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6F827">
      <w:pPr>
        <w:jc w:val="center"/>
        <w:rPr>
          <w:rFonts w:hint="eastAsia" w:ascii="仿宋" w:hAnsi="仿宋" w:eastAsia="仿宋" w:cs="仿宋"/>
          <w:color w:val="000000" w:themeColor="text1"/>
          <w:sz w:val="96"/>
          <w:szCs w:val="72"/>
          <w14:textFill>
            <w14:solidFill>
              <w14:schemeClr w14:val="tx1"/>
            </w14:solidFill>
          </w14:textFill>
        </w:rPr>
      </w:pPr>
      <w:r>
        <w:rPr>
          <w:rFonts w:hint="eastAsia" w:ascii="仿宋" w:hAnsi="仿宋" w:eastAsia="仿宋" w:cs="仿宋"/>
          <w:b/>
          <w:bCs/>
          <w:color w:val="000000" w:themeColor="text1"/>
          <w:sz w:val="52"/>
          <w:szCs w:val="48"/>
          <w:lang w:eastAsia="zh-CN"/>
          <w14:textFill>
            <w14:solidFill>
              <w14:schemeClr w14:val="tx1"/>
            </w14:solidFill>
          </w14:textFill>
        </w:rPr>
        <w:t>阿瓦提县预算绩效全过程管理咨询服务（</w:t>
      </w:r>
      <w:r>
        <w:rPr>
          <w:rFonts w:hint="eastAsia" w:ascii="仿宋" w:hAnsi="仿宋" w:eastAsia="仿宋" w:cs="仿宋"/>
          <w:b/>
          <w:bCs/>
          <w:color w:val="000000" w:themeColor="text1"/>
          <w:sz w:val="52"/>
          <w:szCs w:val="48"/>
          <w:lang w:val="en-US" w:eastAsia="zh-CN"/>
          <w14:textFill>
            <w14:solidFill>
              <w14:schemeClr w14:val="tx1"/>
            </w14:solidFill>
          </w14:textFill>
        </w:rPr>
        <w:t>二次</w:t>
      </w:r>
      <w:r>
        <w:rPr>
          <w:rFonts w:hint="eastAsia" w:ascii="仿宋" w:hAnsi="仿宋" w:eastAsia="仿宋" w:cs="仿宋"/>
          <w:b/>
          <w:bCs/>
          <w:color w:val="000000" w:themeColor="text1"/>
          <w:sz w:val="52"/>
          <w:szCs w:val="48"/>
          <w:lang w:eastAsia="zh-CN"/>
          <w14:textFill>
            <w14:solidFill>
              <w14:schemeClr w14:val="tx1"/>
            </w14:solidFill>
          </w14:textFill>
        </w:rPr>
        <w:t>）</w:t>
      </w:r>
    </w:p>
    <w:p w14:paraId="157ABF38">
      <w:pPr>
        <w:pStyle w:val="27"/>
        <w:rPr>
          <w:rFonts w:hint="eastAsia" w:ascii="仿宋" w:hAnsi="仿宋" w:eastAsia="仿宋" w:cs="仿宋"/>
          <w:color w:val="000000" w:themeColor="text1"/>
          <w14:textFill>
            <w14:solidFill>
              <w14:schemeClr w14:val="tx1"/>
            </w14:solidFill>
          </w14:textFill>
        </w:rPr>
      </w:pPr>
    </w:p>
    <w:p w14:paraId="21069306">
      <w:pPr>
        <w:spacing w:line="300" w:lineRule="auto"/>
        <w:jc w:val="center"/>
        <w:rPr>
          <w:rFonts w:hint="eastAsia" w:ascii="仿宋" w:hAnsi="仿宋" w:eastAsia="仿宋" w:cs="仿宋"/>
          <w:b/>
          <w:color w:val="000000" w:themeColor="text1"/>
          <w:sz w:val="56"/>
          <w:szCs w:val="52"/>
          <w14:textFill>
            <w14:solidFill>
              <w14:schemeClr w14:val="tx1"/>
            </w14:solidFill>
          </w14:textFill>
        </w:rPr>
      </w:pPr>
    </w:p>
    <w:p w14:paraId="14431231">
      <w:pPr>
        <w:spacing w:line="300" w:lineRule="auto"/>
        <w:jc w:val="center"/>
        <w:rPr>
          <w:rFonts w:hint="eastAsia" w:ascii="仿宋" w:hAnsi="仿宋" w:eastAsia="仿宋" w:cs="仿宋"/>
          <w:b/>
          <w:color w:val="000000" w:themeColor="text1"/>
          <w:sz w:val="56"/>
          <w:szCs w:val="52"/>
          <w14:textFill>
            <w14:solidFill>
              <w14:schemeClr w14:val="tx1"/>
            </w14:solidFill>
          </w14:textFill>
        </w:rPr>
      </w:pPr>
    </w:p>
    <w:p w14:paraId="6C1DA070">
      <w:pPr>
        <w:spacing w:line="300" w:lineRule="auto"/>
        <w:jc w:val="center"/>
        <w:rPr>
          <w:rFonts w:hint="eastAsia" w:ascii="仿宋" w:hAnsi="仿宋" w:eastAsia="仿宋" w:cs="仿宋"/>
          <w:b/>
          <w:color w:val="000000" w:themeColor="text1"/>
          <w:sz w:val="56"/>
          <w:szCs w:val="52"/>
          <w14:textFill>
            <w14:solidFill>
              <w14:schemeClr w14:val="tx1"/>
            </w14:solidFill>
          </w14:textFill>
        </w:rPr>
      </w:pPr>
      <w:r>
        <w:rPr>
          <w:rFonts w:hint="eastAsia" w:ascii="仿宋" w:hAnsi="仿宋" w:eastAsia="仿宋" w:cs="仿宋"/>
          <w:b/>
          <w:color w:val="000000" w:themeColor="text1"/>
          <w:sz w:val="56"/>
          <w:szCs w:val="52"/>
          <w14:textFill>
            <w14:solidFill>
              <w14:schemeClr w14:val="tx1"/>
            </w14:solidFill>
          </w14:textFill>
        </w:rPr>
        <w:t>竞争性磋商文件</w:t>
      </w:r>
    </w:p>
    <w:p w14:paraId="47A0E332">
      <w:pPr>
        <w:spacing w:line="560" w:lineRule="exact"/>
        <w:jc w:val="center"/>
        <w:rPr>
          <w:rFonts w:hint="eastAsia" w:ascii="仿宋" w:hAnsi="仿宋" w:eastAsia="仿宋" w:cs="仿宋"/>
          <w:color w:val="000000" w:themeColor="text1"/>
          <w:sz w:val="32"/>
          <w:szCs w:val="28"/>
          <w14:textFill>
            <w14:solidFill>
              <w14:schemeClr w14:val="tx1"/>
            </w14:solidFill>
          </w14:textFill>
        </w:rPr>
      </w:pPr>
    </w:p>
    <w:p w14:paraId="0238CE68">
      <w:pPr>
        <w:spacing w:line="560" w:lineRule="exact"/>
        <w:rPr>
          <w:rFonts w:hint="eastAsia" w:ascii="仿宋" w:hAnsi="仿宋" w:eastAsia="仿宋" w:cs="仿宋"/>
          <w:color w:val="000000" w:themeColor="text1"/>
          <w:sz w:val="32"/>
          <w:szCs w:val="28"/>
          <w14:textFill>
            <w14:solidFill>
              <w14:schemeClr w14:val="tx1"/>
            </w14:solidFill>
          </w14:textFill>
        </w:rPr>
      </w:pPr>
    </w:p>
    <w:p w14:paraId="58532C12">
      <w:pPr>
        <w:pStyle w:val="32"/>
        <w:rPr>
          <w:rFonts w:hint="eastAsia"/>
          <w:color w:val="000000" w:themeColor="text1"/>
          <w14:textFill>
            <w14:solidFill>
              <w14:schemeClr w14:val="tx1"/>
            </w14:solidFill>
          </w14:textFill>
        </w:rPr>
      </w:pPr>
    </w:p>
    <w:p w14:paraId="09CE828A">
      <w:pPr>
        <w:spacing w:line="560" w:lineRule="exact"/>
        <w:rPr>
          <w:rFonts w:hint="eastAsia" w:ascii="仿宋" w:hAnsi="仿宋" w:eastAsia="仿宋" w:cs="仿宋"/>
          <w:color w:val="000000" w:themeColor="text1"/>
          <w:sz w:val="32"/>
          <w:szCs w:val="28"/>
          <w14:textFill>
            <w14:solidFill>
              <w14:schemeClr w14:val="tx1"/>
            </w14:solidFill>
          </w14:textFill>
        </w:rPr>
      </w:pPr>
    </w:p>
    <w:p w14:paraId="5272A400">
      <w:pPr>
        <w:spacing w:line="560" w:lineRule="exact"/>
        <w:rPr>
          <w:rFonts w:hint="eastAsia" w:ascii="仿宋" w:hAnsi="仿宋" w:eastAsia="仿宋" w:cs="仿宋"/>
          <w:color w:val="000000" w:themeColor="text1"/>
          <w:sz w:val="32"/>
          <w:szCs w:val="28"/>
          <w14:textFill>
            <w14:solidFill>
              <w14:schemeClr w14:val="tx1"/>
            </w14:solidFill>
          </w14:textFill>
        </w:rPr>
      </w:pPr>
    </w:p>
    <w:p w14:paraId="5B609AA7">
      <w:pPr>
        <w:pStyle w:val="2"/>
        <w:rPr>
          <w:rFonts w:hint="eastAsia"/>
        </w:rPr>
      </w:pPr>
    </w:p>
    <w:p w14:paraId="130A72DD">
      <w:pPr>
        <w:spacing w:line="560" w:lineRule="exact"/>
        <w:rPr>
          <w:rFonts w:hint="eastAsia" w:ascii="仿宋" w:hAnsi="仿宋" w:eastAsia="仿宋" w:cs="仿宋"/>
          <w:color w:val="000000" w:themeColor="text1"/>
          <w:sz w:val="32"/>
          <w:szCs w:val="28"/>
          <w:lang w:eastAsia="zh-CN"/>
          <w14:textFill>
            <w14:solidFill>
              <w14:schemeClr w14:val="tx1"/>
            </w14:solidFill>
          </w14:textFill>
        </w:rPr>
      </w:pPr>
      <w:r>
        <w:rPr>
          <w:rFonts w:hint="eastAsia" w:ascii="仿宋" w:hAnsi="仿宋" w:eastAsia="仿宋" w:cs="仿宋"/>
          <w:color w:val="000000" w:themeColor="text1"/>
          <w:sz w:val="32"/>
          <w:szCs w:val="28"/>
          <w14:textFill>
            <w14:solidFill>
              <w14:schemeClr w14:val="tx1"/>
            </w14:solidFill>
          </w14:textFill>
        </w:rPr>
        <w:t>采 购 人：</w:t>
      </w:r>
      <w:r>
        <w:rPr>
          <w:rFonts w:hint="eastAsia" w:ascii="仿宋" w:hAnsi="仿宋" w:eastAsia="仿宋" w:cs="仿宋"/>
          <w:color w:val="000000" w:themeColor="text1"/>
          <w:sz w:val="32"/>
          <w:szCs w:val="28"/>
          <w:lang w:eastAsia="zh-CN"/>
          <w14:textFill>
            <w14:solidFill>
              <w14:schemeClr w14:val="tx1"/>
            </w14:solidFill>
          </w14:textFill>
        </w:rPr>
        <w:t>阿瓦提县财政局</w:t>
      </w:r>
    </w:p>
    <w:p w14:paraId="12E53A1E">
      <w:pPr>
        <w:spacing w:line="560" w:lineRule="exac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28"/>
          <w14:textFill>
            <w14:solidFill>
              <w14:schemeClr w14:val="tx1"/>
            </w14:solidFill>
          </w14:textFill>
        </w:rPr>
        <w:t>联 系 人：</w:t>
      </w:r>
      <w:r>
        <w:rPr>
          <w:rFonts w:hint="eastAsia" w:ascii="仿宋" w:hAnsi="仿宋" w:eastAsia="仿宋" w:cs="仿宋"/>
          <w:color w:val="000000" w:themeColor="text1"/>
          <w:sz w:val="32"/>
          <w:szCs w:val="28"/>
          <w:lang w:eastAsia="zh-CN"/>
          <w14:textFill>
            <w14:solidFill>
              <w14:schemeClr w14:val="tx1"/>
            </w14:solidFill>
          </w14:textFill>
        </w:rPr>
        <w:t>曹杨</w:t>
      </w:r>
    </w:p>
    <w:p w14:paraId="7EF33C5A">
      <w:pPr>
        <w:spacing w:line="560" w:lineRule="exact"/>
        <w:rPr>
          <w:rFonts w:hint="eastAsia" w:ascii="仿宋" w:hAnsi="仿宋" w:eastAsia="仿宋" w:cs="仿宋"/>
          <w:color w:val="000000" w:themeColor="text1"/>
          <w:sz w:val="32"/>
          <w:szCs w:val="28"/>
          <w14:textFill>
            <w14:solidFill>
              <w14:schemeClr w14:val="tx1"/>
            </w14:solidFill>
          </w14:textFill>
        </w:rPr>
      </w:pPr>
      <w:r>
        <w:rPr>
          <w:rFonts w:hint="eastAsia" w:ascii="仿宋" w:hAnsi="仿宋" w:eastAsia="仿宋" w:cs="仿宋"/>
          <w:color w:val="000000" w:themeColor="text1"/>
          <w:sz w:val="32"/>
          <w:szCs w:val="28"/>
          <w14:textFill>
            <w14:solidFill>
              <w14:schemeClr w14:val="tx1"/>
            </w14:solidFill>
          </w14:textFill>
        </w:rPr>
        <w:t>代理机构：华春建设工程项目管理有限责任公司</w:t>
      </w:r>
    </w:p>
    <w:p w14:paraId="545F5662">
      <w:pPr>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28"/>
          <w14:textFill>
            <w14:solidFill>
              <w14:schemeClr w14:val="tx1"/>
            </w14:solidFill>
          </w14:textFill>
        </w:rPr>
        <w:t>联 系 人：</w:t>
      </w:r>
      <w:r>
        <w:rPr>
          <w:rFonts w:hint="eastAsia" w:ascii="仿宋" w:hAnsi="仿宋" w:eastAsia="仿宋" w:cs="仿宋"/>
          <w:color w:val="000000" w:themeColor="text1"/>
          <w:sz w:val="32"/>
          <w:szCs w:val="32"/>
          <w14:textFill>
            <w14:solidFill>
              <w14:schemeClr w14:val="tx1"/>
            </w14:solidFill>
          </w14:textFill>
        </w:rPr>
        <w:t>万仁屿</w:t>
      </w:r>
    </w:p>
    <w:p w14:paraId="6881DA05">
      <w:pPr>
        <w:pStyle w:val="27"/>
        <w:rPr>
          <w:rFonts w:hint="eastAsia" w:ascii="仿宋" w:hAnsi="仿宋" w:eastAsia="仿宋" w:cs="仿宋"/>
          <w:color w:val="000000" w:themeColor="text1"/>
          <w:sz w:val="32"/>
          <w:szCs w:val="28"/>
          <w14:textFill>
            <w14:solidFill>
              <w14:schemeClr w14:val="tx1"/>
            </w14:solidFill>
          </w14:textFill>
        </w:rPr>
      </w:pPr>
      <w:r>
        <w:rPr>
          <w:rFonts w:hint="eastAsia" w:ascii="仿宋" w:hAnsi="仿宋" w:eastAsia="仿宋" w:cs="仿宋"/>
          <w:color w:val="000000" w:themeColor="text1"/>
          <w:kern w:val="2"/>
          <w:sz w:val="32"/>
          <w:szCs w:val="28"/>
          <w14:textFill>
            <w14:solidFill>
              <w14:schemeClr w14:val="tx1"/>
            </w14:solidFill>
          </w14:textFill>
        </w:rPr>
        <w:t>联系电话：19199471321</w:t>
      </w:r>
    </w:p>
    <w:p w14:paraId="5895EBA6">
      <w:pPr>
        <w:jc w:val="center"/>
        <w:rPr>
          <w:rFonts w:hint="eastAsia" w:ascii="仿宋" w:hAnsi="仿宋" w:eastAsia="仿宋" w:cs="仿宋"/>
          <w:b/>
          <w:bCs/>
          <w:color w:val="000000" w:themeColor="text1"/>
          <w:sz w:val="48"/>
          <w:szCs w:val="48"/>
          <w14:textFill>
            <w14:solidFill>
              <w14:schemeClr w14:val="tx1"/>
            </w14:solidFill>
          </w14:textFill>
        </w:rPr>
      </w:pPr>
    </w:p>
    <w:p w14:paraId="0A7E267C">
      <w:pPr>
        <w:jc w:val="center"/>
        <w:rPr>
          <w:rFonts w:hint="eastAsia" w:ascii="仿宋" w:hAnsi="仿宋" w:eastAsia="仿宋" w:cs="仿宋"/>
          <w:b/>
          <w:bCs/>
          <w:color w:val="000000" w:themeColor="text1"/>
          <w:sz w:val="48"/>
          <w:szCs w:val="48"/>
          <w14:textFill>
            <w14:solidFill>
              <w14:schemeClr w14:val="tx1"/>
            </w14:solidFill>
          </w14:textFill>
        </w:rPr>
      </w:pPr>
    </w:p>
    <w:p w14:paraId="3E572FD2">
      <w:pPr>
        <w:pStyle w:val="2"/>
        <w:rPr>
          <w:rFonts w:hint="eastAsia"/>
        </w:rPr>
      </w:pPr>
    </w:p>
    <w:p w14:paraId="24971B18">
      <w:pPr>
        <w:jc w:val="center"/>
        <w:rPr>
          <w:rFonts w:hint="eastAsia" w:ascii="仿宋" w:hAnsi="仿宋" w:eastAsia="仿宋" w:cs="仿宋"/>
          <w:b/>
          <w:bCs/>
          <w:color w:val="000000" w:themeColor="text1"/>
          <w:sz w:val="48"/>
          <w:szCs w:val="48"/>
          <w14:textFill>
            <w14:solidFill>
              <w14:schemeClr w14:val="tx1"/>
            </w14:solidFill>
          </w14:textFill>
        </w:rPr>
      </w:pPr>
    </w:p>
    <w:p w14:paraId="53F73C76">
      <w:pPr>
        <w:jc w:val="center"/>
        <w:rPr>
          <w:rFonts w:hint="eastAsia" w:ascii="仿宋" w:hAnsi="仿宋" w:eastAsia="仿宋" w:cs="仿宋"/>
          <w:b/>
          <w:bCs/>
          <w:color w:val="000000" w:themeColor="text1"/>
          <w:sz w:val="48"/>
          <w:szCs w:val="48"/>
          <w14:textFill>
            <w14:solidFill>
              <w14:schemeClr w14:val="tx1"/>
            </w14:solidFill>
          </w14:textFill>
        </w:rPr>
      </w:pPr>
    </w:p>
    <w:p w14:paraId="4ED7656A">
      <w:pPr>
        <w:spacing w:line="500" w:lineRule="exact"/>
        <w:jc w:val="center"/>
        <w:rPr>
          <w:rFonts w:hint="eastAsia" w:ascii="仿宋" w:hAnsi="仿宋" w:eastAsia="仿宋" w:cs="仿宋"/>
          <w:b/>
          <w:bCs/>
          <w:color w:val="000000" w:themeColor="text1"/>
          <w:sz w:val="48"/>
          <w:szCs w:val="48"/>
          <w14:textFill>
            <w14:solidFill>
              <w14:schemeClr w14:val="tx1"/>
            </w14:solidFill>
          </w14:textFill>
        </w:rPr>
      </w:pPr>
      <w:r>
        <w:rPr>
          <w:rFonts w:hint="eastAsia" w:ascii="仿宋" w:hAnsi="仿宋" w:eastAsia="仿宋" w:cs="仿宋"/>
          <w:b/>
          <w:bCs/>
          <w:color w:val="000000" w:themeColor="text1"/>
          <w:sz w:val="48"/>
          <w:szCs w:val="48"/>
          <w14:textFill>
            <w14:solidFill>
              <w14:schemeClr w14:val="tx1"/>
            </w14:solidFill>
          </w14:textFill>
        </w:rPr>
        <w:t>目  录</w:t>
      </w:r>
    </w:p>
    <w:p w14:paraId="385A7896">
      <w:pPr>
        <w:spacing w:line="500" w:lineRule="exact"/>
        <w:jc w:val="center"/>
        <w:rPr>
          <w:rFonts w:hint="eastAsia" w:ascii="仿宋" w:hAnsi="仿宋" w:eastAsia="仿宋" w:cs="仿宋"/>
          <w:b/>
          <w:bCs/>
          <w:color w:val="000000" w:themeColor="text1"/>
          <w:sz w:val="44"/>
          <w:szCs w:val="44"/>
          <w14:textFill>
            <w14:solidFill>
              <w14:schemeClr w14:val="tx1"/>
            </w14:solidFill>
          </w14:textFill>
        </w:rPr>
      </w:pPr>
    </w:p>
    <w:sdt>
      <w:sdtPr>
        <w:rPr>
          <w:rFonts w:hint="eastAsia" w:ascii="仿宋" w:hAnsi="仿宋" w:eastAsia="仿宋" w:cs="仿宋"/>
          <w:color w:val="000000" w:themeColor="text1"/>
          <w:sz w:val="30"/>
          <w:szCs w:val="30"/>
          <w14:textFill>
            <w14:solidFill>
              <w14:schemeClr w14:val="tx1"/>
            </w14:solidFill>
          </w14:textFill>
        </w:rPr>
        <w:id w:val="147464411"/>
        <w15:color w:val="DBDBDB"/>
        <w:docPartObj>
          <w:docPartGallery w:val="Table of Contents"/>
          <w:docPartUnique/>
        </w:docPartObj>
      </w:sdtPr>
      <w:sdtEndPr>
        <w:rPr>
          <w:rFonts w:hint="eastAsia" w:ascii="仿宋" w:hAnsi="仿宋" w:eastAsia="仿宋" w:cs="仿宋"/>
          <w:bCs/>
          <w:color w:val="000000" w:themeColor="text1"/>
          <w:sz w:val="21"/>
          <w:szCs w:val="30"/>
          <w14:textFill>
            <w14:solidFill>
              <w14:schemeClr w14:val="tx1"/>
            </w14:solidFill>
          </w14:textFill>
        </w:rPr>
      </w:sdtEndPr>
      <w:sdtContent>
        <w:p w14:paraId="01D0ED9C">
          <w:pPr>
            <w:jc w:val="center"/>
            <w:rPr>
              <w:rFonts w:hint="eastAsia" w:ascii="仿宋" w:hAnsi="仿宋" w:eastAsia="仿宋" w:cs="仿宋"/>
              <w:color w:val="000000" w:themeColor="text1"/>
              <w:sz w:val="30"/>
              <w:szCs w:val="30"/>
              <w14:textFill>
                <w14:solidFill>
                  <w14:schemeClr w14:val="tx1"/>
                </w14:solidFill>
              </w14:textFill>
            </w:rPr>
          </w:pPr>
          <w:bookmarkStart w:id="0" w:name="_Hlk39648029"/>
          <w:bookmarkStart w:id="1" w:name="_Hlk13586256"/>
          <w:bookmarkStart w:id="2" w:name="_Hlk39663443"/>
        </w:p>
        <w:p w14:paraId="4738285A">
          <w:pPr>
            <w:pStyle w:val="22"/>
            <w:tabs>
              <w:tab w:val="right" w:leader="dot" w:pos="8306"/>
            </w:tabs>
            <w:spacing w:line="720" w:lineRule="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fldChar w:fldCharType="begin"/>
          </w:r>
          <w:r>
            <w:rPr>
              <w:rFonts w:hint="eastAsia" w:ascii="仿宋" w:hAnsi="仿宋" w:eastAsia="仿宋" w:cs="仿宋"/>
              <w:b/>
              <w:bCs/>
              <w:color w:val="000000" w:themeColor="text1"/>
              <w:sz w:val="30"/>
              <w:szCs w:val="30"/>
              <w14:textFill>
                <w14:solidFill>
                  <w14:schemeClr w14:val="tx1"/>
                </w14:solidFill>
              </w14:textFill>
            </w:rPr>
            <w:instrText xml:space="preserve">TOC \o "1-1" \h \u </w:instrText>
          </w:r>
          <w:r>
            <w:rPr>
              <w:rFonts w:hint="eastAsia" w:ascii="仿宋" w:hAnsi="仿宋" w:eastAsia="仿宋" w:cs="仿宋"/>
              <w:b/>
              <w:bCs/>
              <w:color w:val="000000" w:themeColor="text1"/>
              <w:sz w:val="30"/>
              <w:szCs w:val="30"/>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"_Toc25772"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sz w:val="36"/>
              <w:szCs w:val="48"/>
              <w14:textFill>
                <w14:solidFill>
                  <w14:schemeClr w14:val="tx1"/>
                </w14:solidFill>
              </w14:textFill>
            </w:rPr>
            <w:t>第一章 竞争性磋商公告</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fldChar w:fldCharType="begin"/>
          </w:r>
          <w:r>
            <w:rPr>
              <w:rFonts w:hint="eastAsia" w:ascii="仿宋" w:hAnsi="仿宋" w:eastAsia="仿宋" w:cs="仿宋"/>
              <w:color w:val="000000" w:themeColor="text1"/>
              <w:sz w:val="36"/>
              <w:szCs w:val="36"/>
              <w14:textFill>
                <w14:solidFill>
                  <w14:schemeClr w14:val="tx1"/>
                </w14:solidFill>
              </w14:textFill>
            </w:rPr>
            <w:instrText xml:space="preserve"> PAGEREF _Toc25772 \h </w:instrText>
          </w:r>
          <w:r>
            <w:rPr>
              <w:rFonts w:hint="eastAsia" w:ascii="仿宋" w:hAnsi="仿宋" w:eastAsia="仿宋" w:cs="仿宋"/>
              <w:color w:val="000000" w:themeColor="text1"/>
              <w:sz w:val="36"/>
              <w:szCs w:val="36"/>
              <w14:textFill>
                <w14:solidFill>
                  <w14:schemeClr w14:val="tx1"/>
                </w14:solidFill>
              </w14:textFill>
            </w:rPr>
            <w:fldChar w:fldCharType="separate"/>
          </w:r>
          <w:r>
            <w:rPr>
              <w:rFonts w:hint="eastAsia" w:ascii="仿宋" w:hAnsi="仿宋" w:eastAsia="仿宋" w:cs="仿宋"/>
              <w:color w:val="000000" w:themeColor="text1"/>
              <w:sz w:val="36"/>
              <w:szCs w:val="36"/>
              <w14:textFill>
                <w14:solidFill>
                  <w14:schemeClr w14:val="tx1"/>
                </w14:solidFill>
              </w14:textFill>
            </w:rPr>
            <w:t>1</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color w:val="000000" w:themeColor="text1"/>
              <w:sz w:val="36"/>
              <w:szCs w:val="36"/>
              <w14:textFill>
                <w14:solidFill>
                  <w14:schemeClr w14:val="tx1"/>
                </w14:solidFill>
              </w14:textFill>
            </w:rPr>
            <w:fldChar w:fldCharType="end"/>
          </w:r>
        </w:p>
        <w:p w14:paraId="5070E4C1">
          <w:pPr>
            <w:pStyle w:val="22"/>
            <w:tabs>
              <w:tab w:val="right" w:leader="dot" w:pos="8306"/>
            </w:tabs>
            <w:spacing w:line="720" w:lineRule="auto"/>
            <w:rPr>
              <w:rFonts w:hint="eastAsia" w:ascii="仿宋" w:hAnsi="仿宋" w:eastAsia="仿宋" w:cs="仿宋"/>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"_Toc13320"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sz w:val="36"/>
              <w:szCs w:val="48"/>
              <w14:textFill>
                <w14:solidFill>
                  <w14:schemeClr w14:val="tx1"/>
                </w14:solidFill>
              </w14:textFill>
            </w:rPr>
            <w:t>第二章 供应商须知前附表</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t>5</w:t>
          </w:r>
          <w:r>
            <w:rPr>
              <w:rFonts w:hint="eastAsia" w:ascii="仿宋" w:hAnsi="仿宋" w:eastAsia="仿宋" w:cs="仿宋"/>
              <w:color w:val="000000" w:themeColor="text1"/>
              <w:sz w:val="36"/>
              <w:szCs w:val="36"/>
              <w14:textFill>
                <w14:solidFill>
                  <w14:schemeClr w14:val="tx1"/>
                </w14:solidFill>
              </w14:textFill>
            </w:rPr>
            <w:fldChar w:fldCharType="end"/>
          </w:r>
        </w:p>
        <w:p w14:paraId="1604ABB7">
          <w:pPr>
            <w:pStyle w:val="22"/>
            <w:tabs>
              <w:tab w:val="right" w:leader="dot" w:pos="8306"/>
            </w:tabs>
            <w:spacing w:line="720" w:lineRule="auto"/>
            <w:rPr>
              <w:rFonts w:hint="eastAsia" w:ascii="仿宋" w:hAnsi="仿宋" w:eastAsia="仿宋" w:cs="仿宋"/>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"_Toc18543"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sz w:val="36"/>
              <w:szCs w:val="48"/>
              <w14:textFill>
                <w14:solidFill>
                  <w14:schemeClr w14:val="tx1"/>
                </w14:solidFill>
              </w14:textFill>
            </w:rPr>
            <w:t>第三章  政府采购合同</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t>1</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bCs/>
              <w:color w:val="000000" w:themeColor="text1"/>
              <w:sz w:val="36"/>
              <w:szCs w:val="40"/>
              <w14:textFill>
                <w14:solidFill>
                  <w14:schemeClr w14:val="tx1"/>
                </w14:solidFill>
              </w14:textFill>
            </w:rPr>
            <w:t>7</w:t>
          </w:r>
        </w:p>
        <w:p w14:paraId="4C3C38A9">
          <w:pPr>
            <w:pStyle w:val="22"/>
            <w:tabs>
              <w:tab w:val="right" w:leader="dot" w:pos="8306"/>
            </w:tabs>
            <w:spacing w:line="720" w:lineRule="auto"/>
            <w:rPr>
              <w:rFonts w:hint="eastAsia" w:ascii="仿宋" w:hAnsi="仿宋" w:eastAsia="仿宋" w:cs="仿宋"/>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"_Toc16249"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sz w:val="36"/>
              <w:szCs w:val="48"/>
              <w14:textFill>
                <w14:solidFill>
                  <w14:schemeClr w14:val="tx1"/>
                </w14:solidFill>
              </w14:textFill>
            </w:rPr>
            <w:t>第四章  采购需求</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t>2</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bCs/>
              <w:color w:val="000000" w:themeColor="text1"/>
              <w:sz w:val="36"/>
              <w:szCs w:val="40"/>
              <w14:textFill>
                <w14:solidFill>
                  <w14:schemeClr w14:val="tx1"/>
                </w14:solidFill>
              </w14:textFill>
            </w:rPr>
            <w:t>1</w:t>
          </w:r>
        </w:p>
        <w:p w14:paraId="3D56998A">
          <w:pPr>
            <w:pStyle w:val="22"/>
            <w:tabs>
              <w:tab w:val="right" w:leader="dot" w:pos="8306"/>
            </w:tabs>
            <w:spacing w:line="720" w:lineRule="auto"/>
            <w:rPr>
              <w:rFonts w:hint="eastAsia" w:ascii="仿宋" w:hAnsi="仿宋" w:eastAsia="仿宋" w:cs="仿宋"/>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"_Toc19086"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36"/>
              <w:szCs w:val="48"/>
              <w14:textFill>
                <w14:solidFill>
                  <w14:schemeClr w14:val="tx1"/>
                </w14:solidFill>
              </w14:textFill>
            </w:rPr>
            <w:t>第五章 评审程序、方法和标准</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t>2</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bCs/>
              <w:color w:val="000000" w:themeColor="text1"/>
              <w:sz w:val="36"/>
              <w:szCs w:val="40"/>
              <w14:textFill>
                <w14:solidFill>
                  <w14:schemeClr w14:val="tx1"/>
                </w14:solidFill>
              </w14:textFill>
            </w:rPr>
            <w:t>4</w:t>
          </w:r>
        </w:p>
        <w:p w14:paraId="3E4D1D6C">
          <w:pPr>
            <w:pStyle w:val="22"/>
            <w:tabs>
              <w:tab w:val="right" w:leader="dot" w:pos="8306"/>
            </w:tabs>
            <w:spacing w:line="720" w:lineRule="auto"/>
            <w:rPr>
              <w:rFonts w:hint="eastAsia" w:ascii="仿宋" w:hAnsi="仿宋" w:eastAsia="仿宋" w:cs="仿宋"/>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"_Toc29154"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sz w:val="36"/>
              <w:szCs w:val="48"/>
              <w:highlight w:val="white"/>
              <w14:textFill>
                <w14:solidFill>
                  <w14:schemeClr w14:val="tx1"/>
                </w14:solidFill>
              </w14:textFill>
            </w:rPr>
            <w:t xml:space="preserve">第六章 </w:t>
          </w:r>
          <w:r>
            <w:rPr>
              <w:rFonts w:hint="eastAsia" w:ascii="仿宋" w:hAnsi="仿宋" w:eastAsia="仿宋" w:cs="仿宋"/>
              <w:bCs/>
              <w:color w:val="000000" w:themeColor="text1"/>
              <w:kern w:val="44"/>
              <w:sz w:val="36"/>
              <w:szCs w:val="48"/>
              <w14:textFill>
                <w14:solidFill>
                  <w14:schemeClr w14:val="tx1"/>
                </w14:solidFill>
              </w14:textFill>
            </w:rPr>
            <w:t>竞争性磋商须知</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t>3</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bCs/>
              <w:color w:val="000000" w:themeColor="text1"/>
              <w:sz w:val="36"/>
              <w:szCs w:val="40"/>
              <w14:textFill>
                <w14:solidFill>
                  <w14:schemeClr w14:val="tx1"/>
                </w14:solidFill>
              </w14:textFill>
            </w:rPr>
            <w:t>2</w:t>
          </w:r>
        </w:p>
        <w:p w14:paraId="2F6E8D5B">
          <w:pPr>
            <w:pStyle w:val="22"/>
            <w:tabs>
              <w:tab w:val="right" w:leader="dot" w:pos="8306"/>
            </w:tabs>
            <w:spacing w:line="720" w:lineRule="auto"/>
            <w:rPr>
              <w:rFonts w:hint="eastAsia" w:ascii="仿宋" w:hAnsi="仿宋" w:eastAsia="仿宋" w:cs="仿宋"/>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"_Toc5792"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36"/>
              <w:szCs w:val="48"/>
              <w14:textFill>
                <w14:solidFill>
                  <w14:schemeClr w14:val="tx1"/>
                </w14:solidFill>
              </w14:textFill>
            </w:rPr>
            <w:t>第七章  响应文件格式</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fldChar w:fldCharType="begin"/>
          </w:r>
          <w:r>
            <w:rPr>
              <w:rFonts w:hint="eastAsia" w:ascii="仿宋" w:hAnsi="仿宋" w:eastAsia="仿宋" w:cs="仿宋"/>
              <w:color w:val="000000" w:themeColor="text1"/>
              <w:sz w:val="36"/>
              <w:szCs w:val="36"/>
              <w14:textFill>
                <w14:solidFill>
                  <w14:schemeClr w14:val="tx1"/>
                </w14:solidFill>
              </w14:textFill>
            </w:rPr>
            <w:instrText xml:space="preserve"> PAGEREF _Toc5792 \h </w:instrText>
          </w:r>
          <w:r>
            <w:rPr>
              <w:rFonts w:hint="eastAsia" w:ascii="仿宋" w:hAnsi="仿宋" w:eastAsia="仿宋" w:cs="仿宋"/>
              <w:color w:val="000000" w:themeColor="text1"/>
              <w:sz w:val="36"/>
              <w:szCs w:val="36"/>
              <w14:textFill>
                <w14:solidFill>
                  <w14:schemeClr w14:val="tx1"/>
                </w14:solidFill>
              </w14:textFill>
            </w:rPr>
            <w:fldChar w:fldCharType="separate"/>
          </w:r>
          <w:r>
            <w:rPr>
              <w:rFonts w:hint="eastAsia" w:ascii="仿宋" w:hAnsi="仿宋" w:eastAsia="仿宋" w:cs="仿宋"/>
              <w:color w:val="000000" w:themeColor="text1"/>
              <w:sz w:val="36"/>
              <w:szCs w:val="36"/>
              <w14:textFill>
                <w14:solidFill>
                  <w14:schemeClr w14:val="tx1"/>
                </w14:solidFill>
              </w14:textFill>
            </w:rPr>
            <w:t>41</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color w:val="000000" w:themeColor="text1"/>
              <w:sz w:val="36"/>
              <w:szCs w:val="36"/>
              <w14:textFill>
                <w14:solidFill>
                  <w14:schemeClr w14:val="tx1"/>
                </w14:solidFill>
              </w14:textFill>
            </w:rPr>
            <w:fldChar w:fldCharType="end"/>
          </w:r>
        </w:p>
        <w:p w14:paraId="3F319CB9">
          <w:pPr>
            <w:pStyle w:val="22"/>
            <w:tabs>
              <w:tab w:val="right" w:leader="dot" w:pos="8306"/>
            </w:tabs>
            <w:rPr>
              <w:rFonts w:hint="eastAsia" w:ascii="仿宋" w:hAnsi="仿宋" w:eastAsia="仿宋" w:cs="仿宋"/>
              <w:color w:val="000000" w:themeColor="text1"/>
              <w14:textFill>
                <w14:solidFill>
                  <w14:schemeClr w14:val="tx1"/>
                </w14:solidFill>
              </w14:textFill>
            </w:rPr>
          </w:pPr>
        </w:p>
        <w:p w14:paraId="2EBE1329">
          <w:pPr>
            <w:widowControl/>
            <w:snapToGrid w:val="0"/>
            <w:spacing w:line="400" w:lineRule="atLeast"/>
            <w:rPr>
              <w:rFonts w:hint="eastAsia" w:ascii="仿宋" w:hAnsi="仿宋" w:eastAsia="仿宋" w:cs="仿宋"/>
              <w:b/>
              <w:bCs/>
              <w:color w:val="000000" w:themeColor="text1"/>
              <w:sz w:val="30"/>
              <w:szCs w:val="30"/>
              <w14:textFill>
                <w14:solidFill>
                  <w14:schemeClr w14:val="tx1"/>
                </w14:solidFill>
              </w14:textFill>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bCs/>
              <w:color w:val="000000" w:themeColor="text1"/>
              <w:szCs w:val="30"/>
              <w14:textFill>
                <w14:solidFill>
                  <w14:schemeClr w14:val="tx1"/>
                </w14:solidFill>
              </w14:textFill>
            </w:rPr>
            <w:fldChar w:fldCharType="end"/>
          </w:r>
        </w:p>
      </w:sdtContent>
    </w:sdt>
    <w:p w14:paraId="1F563133">
      <w:pPr>
        <w:numPr>
          <w:ilvl w:val="0"/>
          <w:numId w:val="2"/>
        </w:numPr>
        <w:tabs>
          <w:tab w:val="left" w:pos="2163"/>
          <w:tab w:val="center" w:pos="4891"/>
        </w:tabs>
        <w:jc w:val="center"/>
        <w:outlineLvl w:val="0"/>
        <w:rPr>
          <w:rFonts w:hint="eastAsia" w:ascii="仿宋" w:hAnsi="仿宋" w:eastAsia="仿宋" w:cs="仿宋"/>
          <w:b/>
          <w:bCs/>
          <w:color w:val="000000" w:themeColor="text1"/>
          <w:sz w:val="36"/>
          <w:szCs w:val="36"/>
          <w14:textFill>
            <w14:solidFill>
              <w14:schemeClr w14:val="tx1"/>
            </w14:solidFill>
          </w14:textFill>
        </w:rPr>
      </w:pPr>
      <w:bookmarkStart w:id="3" w:name="_Toc25772"/>
      <w:r>
        <w:rPr>
          <w:rFonts w:hint="eastAsia" w:ascii="仿宋" w:hAnsi="仿宋" w:eastAsia="仿宋" w:cs="仿宋"/>
          <w:b/>
          <w:bCs/>
          <w:color w:val="000000" w:themeColor="text1"/>
          <w:sz w:val="36"/>
          <w:szCs w:val="36"/>
          <w14:textFill>
            <w14:solidFill>
              <w14:schemeClr w14:val="tx1"/>
            </w14:solidFill>
          </w14:textFill>
        </w:rPr>
        <w:t>竞争性磋商公</w:t>
      </w:r>
      <w:bookmarkEnd w:id="0"/>
      <w:bookmarkEnd w:id="1"/>
      <w:bookmarkEnd w:id="2"/>
      <w:bookmarkEnd w:id="3"/>
      <w:bookmarkStart w:id="4" w:name="_Toc9128"/>
      <w:bookmarkStart w:id="5" w:name="_Toc13320"/>
      <w:bookmarkStart w:id="6" w:name="_Hlk38271456"/>
      <w:r>
        <w:rPr>
          <w:rFonts w:hint="eastAsia" w:ascii="仿宋" w:hAnsi="仿宋" w:eastAsia="仿宋" w:cs="仿宋"/>
          <w:b/>
          <w:bCs/>
          <w:color w:val="000000" w:themeColor="text1"/>
          <w:sz w:val="36"/>
          <w:szCs w:val="36"/>
          <w14:textFill>
            <w14:solidFill>
              <w14:schemeClr w14:val="tx1"/>
            </w14:solidFill>
          </w14:textFill>
        </w:rPr>
        <w:t>告</w:t>
      </w:r>
    </w:p>
    <w:p w14:paraId="48AA350A">
      <w:pPr>
        <w:pStyle w:val="7"/>
        <w:ind w:firstLine="0"/>
        <w:rPr>
          <w:rFonts w:hint="eastAsia" w:ascii="仿宋" w:hAnsi="仿宋" w:eastAsia="仿宋" w:cs="仿宋"/>
          <w:color w:val="000000" w:themeColor="text1"/>
          <w14:textFill>
            <w14:solidFill>
              <w14:schemeClr w14:val="tx1"/>
            </w14:solidFill>
          </w14:textFill>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33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22" w:type="dxa"/>
          </w:tcPr>
          <w:p w14:paraId="5058DC43">
            <w:pPr>
              <w:pStyle w:val="28"/>
              <w:adjustRightInd w:val="0"/>
              <w:snapToGrid w:val="0"/>
              <w:spacing w:before="75" w:after="150"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项目概况</w:t>
            </w:r>
          </w:p>
          <w:p w14:paraId="7C06C802">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kern w:val="2"/>
                <w:sz w:val="32"/>
                <w:szCs w:val="32"/>
                <w14:textFill>
                  <w14:solidFill>
                    <w14:schemeClr w14:val="tx1"/>
                  </w14:solidFill>
                </w14:textFill>
              </w:rPr>
              <w:t> </w:t>
            </w:r>
            <w:r>
              <w:rPr>
                <w:rFonts w:hint="eastAsia" w:ascii="仿宋" w:hAnsi="仿宋" w:eastAsia="仿宋" w:cs="仿宋"/>
                <w:color w:val="000000" w:themeColor="text1"/>
                <w:kern w:val="2"/>
                <w:sz w:val="32"/>
                <w:szCs w:val="32"/>
                <w:u w:val="single"/>
                <w14:textFill>
                  <w14:solidFill>
                    <w14:schemeClr w14:val="tx1"/>
                  </w14:solidFill>
                </w14:textFill>
              </w:rPr>
              <w:t> </w:t>
            </w:r>
            <w:r>
              <w:rPr>
                <w:rFonts w:hint="eastAsia" w:ascii="仿宋" w:hAnsi="仿宋" w:eastAsia="仿宋" w:cs="仿宋"/>
                <w:color w:val="000000" w:themeColor="text1"/>
                <w:kern w:val="2"/>
                <w:u w:val="single"/>
                <w:lang w:eastAsia="zh-CN"/>
                <w14:textFill>
                  <w14:solidFill>
                    <w14:schemeClr w14:val="tx1"/>
                  </w14:solidFill>
                </w14:textFill>
              </w:rPr>
              <w:t>阿瓦提县预算绩效全过程管理咨询服务（</w:t>
            </w:r>
            <w:r>
              <w:rPr>
                <w:rFonts w:hint="eastAsia" w:ascii="仿宋" w:hAnsi="仿宋" w:eastAsia="仿宋" w:cs="仿宋"/>
                <w:color w:val="000000" w:themeColor="text1"/>
                <w:kern w:val="2"/>
                <w:u w:val="single"/>
                <w:lang w:val="en-US" w:eastAsia="zh-CN"/>
                <w14:textFill>
                  <w14:solidFill>
                    <w14:schemeClr w14:val="tx1"/>
                  </w14:solidFill>
                </w14:textFill>
              </w:rPr>
              <w:t>二次</w:t>
            </w:r>
            <w:r>
              <w:rPr>
                <w:rFonts w:hint="eastAsia" w:ascii="仿宋" w:hAnsi="仿宋" w:eastAsia="仿宋" w:cs="仿宋"/>
                <w:color w:val="000000" w:themeColor="text1"/>
                <w:kern w:val="2"/>
                <w:u w:val="single"/>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采购项目的潜在供应商应在</w:t>
            </w:r>
            <w:r>
              <w:rPr>
                <w:rFonts w:hint="eastAsia" w:ascii="仿宋" w:hAnsi="仿宋" w:eastAsia="仿宋" w:cs="仿宋"/>
                <w:color w:val="000000" w:themeColor="text1"/>
                <w:u w:val="single"/>
                <w14:textFill>
                  <w14:solidFill>
                    <w14:schemeClr w14:val="tx1"/>
                  </w14:solidFill>
                </w14:textFill>
              </w:rPr>
              <w:t>政采云平台线上</w:t>
            </w:r>
            <w:r>
              <w:rPr>
                <w:rFonts w:hint="eastAsia" w:ascii="仿宋" w:hAnsi="仿宋" w:eastAsia="仿宋" w:cs="仿宋"/>
                <w:color w:val="000000" w:themeColor="text1"/>
                <w14:textFill>
                  <w14:solidFill>
                    <w14:schemeClr w14:val="tx1"/>
                  </w14:solidFill>
                </w14:textFill>
              </w:rPr>
              <w:t>获取采购文件，并于</w:t>
            </w:r>
            <w:r>
              <w:rPr>
                <w:rFonts w:hint="eastAsia" w:ascii="仿宋" w:hAnsi="仿宋" w:eastAsia="仿宋" w:cs="仿宋"/>
                <w:color w:val="000000" w:themeColor="text1"/>
                <w:kern w:val="2"/>
                <w:highlight w:val="none"/>
                <w:u w:val="single"/>
                <w:lang w:eastAsia="zh-CN"/>
                <w14:textFill>
                  <w14:solidFill>
                    <w14:schemeClr w14:val="tx1"/>
                  </w14:solidFill>
                </w14:textFill>
              </w:rPr>
              <w:t>202</w:t>
            </w:r>
            <w:r>
              <w:rPr>
                <w:rFonts w:hint="eastAsia" w:ascii="仿宋" w:hAnsi="仿宋" w:eastAsia="仿宋" w:cs="仿宋"/>
                <w:color w:val="000000" w:themeColor="text1"/>
                <w:kern w:val="2"/>
                <w:highlight w:val="none"/>
                <w:u w:val="single"/>
                <w:lang w:val="en-US" w:eastAsia="zh-CN"/>
                <w14:textFill>
                  <w14:solidFill>
                    <w14:schemeClr w14:val="tx1"/>
                  </w14:solidFill>
                </w14:textFill>
              </w:rPr>
              <w:t>6</w:t>
            </w:r>
            <w:r>
              <w:rPr>
                <w:rFonts w:hint="eastAsia" w:ascii="仿宋" w:hAnsi="仿宋" w:eastAsia="仿宋" w:cs="仿宋"/>
                <w:color w:val="000000" w:themeColor="text1"/>
                <w:kern w:val="2"/>
                <w:highlight w:val="none"/>
                <w:u w:val="single"/>
                <w:lang w:eastAsia="zh-CN"/>
                <w14:textFill>
                  <w14:solidFill>
                    <w14:schemeClr w14:val="tx1"/>
                  </w14:solidFill>
                </w14:textFill>
              </w:rPr>
              <w:t>年</w:t>
            </w:r>
            <w:r>
              <w:rPr>
                <w:rFonts w:hint="eastAsia" w:ascii="仿宋" w:hAnsi="仿宋" w:eastAsia="仿宋" w:cs="仿宋"/>
                <w:color w:val="000000" w:themeColor="text1"/>
                <w:kern w:val="2"/>
                <w:highlight w:val="none"/>
                <w:u w:val="single"/>
                <w:lang w:val="en-US" w:eastAsia="zh-CN"/>
                <w14:textFill>
                  <w14:solidFill>
                    <w14:schemeClr w14:val="tx1"/>
                  </w14:solidFill>
                </w14:textFill>
              </w:rPr>
              <w:t>05</w:t>
            </w:r>
            <w:r>
              <w:rPr>
                <w:rFonts w:hint="eastAsia" w:ascii="仿宋" w:hAnsi="仿宋" w:eastAsia="仿宋" w:cs="仿宋"/>
                <w:color w:val="000000" w:themeColor="text1"/>
                <w:kern w:val="2"/>
                <w:highlight w:val="none"/>
                <w:u w:val="single"/>
                <w:lang w:eastAsia="zh-CN"/>
                <w14:textFill>
                  <w14:solidFill>
                    <w14:schemeClr w14:val="tx1"/>
                  </w14:solidFill>
                </w14:textFill>
              </w:rPr>
              <w:t>月</w:t>
            </w:r>
            <w:r>
              <w:rPr>
                <w:rFonts w:hint="eastAsia" w:ascii="仿宋" w:hAnsi="仿宋" w:eastAsia="仿宋" w:cs="仿宋"/>
                <w:color w:val="000000" w:themeColor="text1"/>
                <w:kern w:val="2"/>
                <w:highlight w:val="none"/>
                <w:u w:val="single"/>
                <w:lang w:val="en-US" w:eastAsia="zh-CN"/>
                <w14:textFill>
                  <w14:solidFill>
                    <w14:schemeClr w14:val="tx1"/>
                  </w14:solidFill>
                </w14:textFill>
              </w:rPr>
              <w:t>6</w:t>
            </w:r>
            <w:r>
              <w:rPr>
                <w:rFonts w:hint="eastAsia" w:ascii="仿宋" w:hAnsi="仿宋" w:eastAsia="仿宋" w:cs="仿宋"/>
                <w:color w:val="000000" w:themeColor="text1"/>
                <w:kern w:val="2"/>
                <w:highlight w:val="none"/>
                <w:u w:val="single"/>
                <w:lang w:eastAsia="zh-CN"/>
                <w14:textFill>
                  <w14:solidFill>
                    <w14:schemeClr w14:val="tx1"/>
                  </w14:solidFill>
                </w14:textFill>
              </w:rPr>
              <w:t>日</w:t>
            </w:r>
            <w:r>
              <w:rPr>
                <w:rFonts w:hint="eastAsia" w:ascii="仿宋" w:hAnsi="仿宋" w:eastAsia="仿宋" w:cs="仿宋"/>
                <w:color w:val="000000" w:themeColor="text1"/>
                <w:kern w:val="2"/>
                <w:highlight w:val="none"/>
                <w:u w:val="single"/>
                <w14:textFill>
                  <w14:solidFill>
                    <w14:schemeClr w14:val="tx1"/>
                  </w14:solidFill>
                </w14:textFill>
              </w:rPr>
              <w:t xml:space="preserve"> </w:t>
            </w:r>
            <w:r>
              <w:rPr>
                <w:rFonts w:hint="eastAsia" w:ascii="仿宋" w:hAnsi="仿宋" w:eastAsia="仿宋" w:cs="仿宋"/>
                <w:color w:val="000000" w:themeColor="text1"/>
                <w:kern w:val="2"/>
                <w:highlight w:val="none"/>
                <w:u w:val="single"/>
                <w:lang w:eastAsia="zh-CN"/>
                <w14:textFill>
                  <w14:solidFill>
                    <w14:schemeClr w14:val="tx1"/>
                  </w14:solidFill>
                </w14:textFill>
              </w:rPr>
              <w:t>11:00</w:t>
            </w:r>
            <w:r>
              <w:rPr>
                <w:rFonts w:hint="eastAsia" w:ascii="仿宋" w:hAnsi="仿宋" w:eastAsia="仿宋" w:cs="仿宋"/>
                <w:color w:val="000000" w:themeColor="text1"/>
                <w:kern w:val="2"/>
                <w:u w:val="single"/>
                <w14:textFill>
                  <w14:solidFill>
                    <w14:schemeClr w14:val="tx1"/>
                  </w14:solidFill>
                </w14:textFill>
              </w:rPr>
              <w:t>（北京时间）</w:t>
            </w:r>
            <w:r>
              <w:rPr>
                <w:rFonts w:hint="eastAsia" w:ascii="仿宋" w:hAnsi="仿宋" w:eastAsia="仿宋" w:cs="仿宋"/>
                <w:color w:val="000000" w:themeColor="text1"/>
                <w14:textFill>
                  <w14:solidFill>
                    <w14:schemeClr w14:val="tx1"/>
                  </w14:solidFill>
                </w14:textFill>
              </w:rPr>
              <w:t>前提交响应文件。</w:t>
            </w:r>
          </w:p>
        </w:tc>
      </w:tr>
    </w:tbl>
    <w:p w14:paraId="0336E0FD">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Style w:val="36"/>
          <w:rFonts w:hint="eastAsia" w:ascii="仿宋" w:hAnsi="仿宋" w:eastAsia="仿宋" w:cs="仿宋"/>
          <w:color w:val="000000" w:themeColor="text1"/>
          <w14:textFill>
            <w14:solidFill>
              <w14:schemeClr w14:val="tx1"/>
            </w14:solidFill>
          </w14:textFill>
        </w:rPr>
        <w:t>一、项目基本情况</w:t>
      </w:r>
    </w:p>
    <w:p w14:paraId="71471EF9">
      <w:pPr>
        <w:pStyle w:val="28"/>
        <w:adjustRightInd w:val="0"/>
        <w:snapToGrid w:val="0"/>
        <w:spacing w:before="75" w:after="75" w:line="360" w:lineRule="auto"/>
        <w:rPr>
          <w:rFonts w:hint="default" w:ascii="仿宋" w:hAnsi="仿宋" w:eastAsia="仿宋" w:cs="仿宋"/>
          <w:color w:val="000000" w:themeColor="text1"/>
          <w:kern w:val="2"/>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项目编号：</w:t>
      </w:r>
      <w:r>
        <w:rPr>
          <w:rFonts w:hint="eastAsia" w:ascii="仿宋" w:hAnsi="仿宋" w:eastAsia="仿宋" w:cs="仿宋"/>
          <w:color w:val="000000" w:themeColor="text1"/>
          <w:kern w:val="2"/>
          <w:lang w:val="en-US" w:eastAsia="zh-CN"/>
          <w14:textFill>
            <w14:solidFill>
              <w14:schemeClr w14:val="tx1"/>
            </w14:solidFill>
          </w14:textFill>
        </w:rPr>
        <w:t>20260094-</w:t>
      </w:r>
    </w:p>
    <w:p w14:paraId="78A8D77F">
      <w:pPr>
        <w:pStyle w:val="28"/>
        <w:adjustRightInd w:val="0"/>
        <w:snapToGrid w:val="0"/>
        <w:spacing w:before="75" w:after="75" w:line="360" w:lineRule="auto"/>
        <w:ind w:firstLine="37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r>
        <w:rPr>
          <w:rFonts w:hint="eastAsia" w:ascii="仿宋" w:hAnsi="仿宋" w:eastAsia="仿宋" w:cs="仿宋"/>
          <w:color w:val="000000" w:themeColor="text1"/>
          <w:kern w:val="2"/>
          <w:lang w:eastAsia="zh-CN"/>
          <w14:textFill>
            <w14:solidFill>
              <w14:schemeClr w14:val="tx1"/>
            </w14:solidFill>
          </w14:textFill>
        </w:rPr>
        <w:t>阿瓦提县预算绩效全过程管理咨询服务（</w:t>
      </w:r>
      <w:r>
        <w:rPr>
          <w:rFonts w:hint="eastAsia" w:ascii="仿宋" w:hAnsi="仿宋" w:eastAsia="仿宋" w:cs="仿宋"/>
          <w:color w:val="000000" w:themeColor="text1"/>
          <w:kern w:val="2"/>
          <w:lang w:val="en-US" w:eastAsia="zh-CN"/>
          <w14:textFill>
            <w14:solidFill>
              <w14:schemeClr w14:val="tx1"/>
            </w14:solidFill>
          </w14:textFill>
        </w:rPr>
        <w:t>二次</w:t>
      </w:r>
      <w:r>
        <w:rPr>
          <w:rFonts w:hint="eastAsia" w:ascii="仿宋" w:hAnsi="仿宋" w:eastAsia="仿宋" w:cs="仿宋"/>
          <w:color w:val="000000" w:themeColor="text1"/>
          <w:kern w:val="2"/>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 xml:space="preserve">    </w:t>
      </w:r>
    </w:p>
    <w:p w14:paraId="0D9261FF">
      <w:pPr>
        <w:pStyle w:val="28"/>
        <w:adjustRightInd w:val="0"/>
        <w:snapToGrid w:val="0"/>
        <w:spacing w:before="75" w:after="75" w:line="360" w:lineRule="auto"/>
        <w:ind w:firstLine="37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采购方式：竞争性磋商 </w:t>
      </w:r>
    </w:p>
    <w:p w14:paraId="31183E96">
      <w:pPr>
        <w:pStyle w:val="28"/>
        <w:adjustRightInd w:val="0"/>
        <w:snapToGrid w:val="0"/>
        <w:spacing w:before="75" w:after="75" w:line="360" w:lineRule="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预算金额（元）：</w:t>
      </w:r>
      <w:r>
        <w:rPr>
          <w:rFonts w:hint="eastAsia" w:ascii="仿宋" w:hAnsi="仿宋" w:eastAsia="仿宋" w:cs="仿宋"/>
          <w:color w:val="000000" w:themeColor="text1"/>
          <w:lang w:val="en-US" w:eastAsia="zh-CN"/>
          <w14:textFill>
            <w14:solidFill>
              <w14:schemeClr w14:val="tx1"/>
            </w14:solidFill>
          </w14:textFill>
        </w:rPr>
        <w:t>650000.00</w:t>
      </w:r>
    </w:p>
    <w:p w14:paraId="26E811E7">
      <w:pPr>
        <w:pStyle w:val="28"/>
        <w:adjustRightInd w:val="0"/>
        <w:snapToGrid w:val="0"/>
        <w:spacing w:before="75" w:after="75" w:line="360" w:lineRule="auto"/>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最高限价（元）：</w:t>
      </w:r>
      <w:r>
        <w:rPr>
          <w:rFonts w:hint="eastAsia" w:ascii="仿宋" w:hAnsi="仿宋" w:eastAsia="仿宋" w:cs="仿宋"/>
          <w:color w:val="000000" w:themeColor="text1"/>
          <w:lang w:val="en-US" w:eastAsia="zh-CN"/>
          <w14:textFill>
            <w14:solidFill>
              <w14:schemeClr w14:val="tx1"/>
            </w14:solidFill>
          </w14:textFill>
        </w:rPr>
        <w:t>650000.</w:t>
      </w:r>
      <w:r>
        <w:rPr>
          <w:rFonts w:hint="eastAsia" w:ascii="仿宋" w:hAnsi="仿宋" w:eastAsia="仿宋" w:cs="仿宋"/>
          <w:color w:val="000000" w:themeColor="text1"/>
          <w:kern w:val="2"/>
          <w14:textFill>
            <w14:solidFill>
              <w14:schemeClr w14:val="tx1"/>
            </w14:solidFill>
          </w14:textFill>
        </w:rPr>
        <w:t>00 </w:t>
      </w:r>
    </w:p>
    <w:p w14:paraId="300397CC">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采购需求： </w:t>
      </w:r>
    </w:p>
    <w:p w14:paraId="14E32E86">
      <w:pPr>
        <w:pStyle w:val="28"/>
        <w:adjustRightInd w:val="0"/>
        <w:snapToGrid w:val="0"/>
        <w:spacing w:before="75" w:after="75" w:line="360" w:lineRule="auto"/>
        <w:rPr>
          <w:rFonts w:hint="eastAsia" w:ascii="仿宋" w:hAnsi="仿宋" w:eastAsia="仿宋" w:cs="仿宋"/>
          <w:color w:val="000000" w:themeColor="text1"/>
          <w:kern w:val="2"/>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标项名称： </w:t>
      </w:r>
      <w:r>
        <w:rPr>
          <w:rFonts w:hint="eastAsia" w:ascii="仿宋" w:hAnsi="仿宋" w:eastAsia="仿宋" w:cs="仿宋"/>
          <w:color w:val="000000" w:themeColor="text1"/>
          <w:kern w:val="2"/>
          <w:lang w:eastAsia="zh-CN"/>
          <w14:textFill>
            <w14:solidFill>
              <w14:schemeClr w14:val="tx1"/>
            </w14:solidFill>
          </w14:textFill>
        </w:rPr>
        <w:t>阿瓦提县预算绩效全过程管理咨询服务</w:t>
      </w: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二次</w:t>
      </w:r>
      <w:r>
        <w:rPr>
          <w:rFonts w:hint="eastAsia" w:ascii="仿宋" w:hAnsi="仿宋" w:eastAsia="仿宋" w:cs="仿宋"/>
          <w:color w:val="000000" w:themeColor="text1"/>
          <w:lang w:eastAsia="zh-CN"/>
          <w14:textFill>
            <w14:solidFill>
              <w14:schemeClr w14:val="tx1"/>
            </w14:solidFill>
          </w14:textFill>
        </w:rPr>
        <w:t>）</w:t>
      </w:r>
    </w:p>
    <w:p w14:paraId="6A7C941B">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数量：1     </w:t>
      </w:r>
    </w:p>
    <w:p w14:paraId="5F39C8F8">
      <w:pPr>
        <w:pStyle w:val="28"/>
        <w:adjustRightInd w:val="0"/>
        <w:snapToGrid w:val="0"/>
        <w:spacing w:before="75" w:after="75" w:line="360" w:lineRule="auto"/>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预算金额（元）：</w:t>
      </w:r>
      <w:r>
        <w:rPr>
          <w:rFonts w:hint="eastAsia" w:ascii="仿宋" w:hAnsi="仿宋" w:eastAsia="仿宋" w:cs="仿宋"/>
          <w:color w:val="000000" w:themeColor="text1"/>
          <w:lang w:val="en-US" w:eastAsia="zh-CN"/>
          <w14:textFill>
            <w14:solidFill>
              <w14:schemeClr w14:val="tx1"/>
            </w14:solidFill>
          </w14:textFill>
        </w:rPr>
        <w:t>650000.</w:t>
      </w:r>
      <w:r>
        <w:rPr>
          <w:rFonts w:hint="eastAsia" w:ascii="仿宋" w:hAnsi="仿宋" w:eastAsia="仿宋" w:cs="仿宋"/>
          <w:color w:val="000000" w:themeColor="text1"/>
          <w:kern w:val="2"/>
          <w14:textFill>
            <w14:solidFill>
              <w14:schemeClr w14:val="tx1"/>
            </w14:solidFill>
          </w14:textFill>
        </w:rPr>
        <w:t>00 </w:t>
      </w:r>
    </w:p>
    <w:p w14:paraId="7926543E">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单位：批 </w:t>
      </w:r>
    </w:p>
    <w:p w14:paraId="4E7ABDCB">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简要规格描述： </w:t>
      </w:r>
      <w:r>
        <w:rPr>
          <w:rFonts w:hint="eastAsia" w:ascii="仿宋" w:hAnsi="仿宋" w:eastAsia="仿宋" w:cs="仿宋"/>
          <w:color w:val="000000" w:themeColor="text1"/>
          <w:kern w:val="2"/>
          <w:lang w:eastAsia="zh-CN"/>
          <w14:textFill>
            <w14:solidFill>
              <w14:schemeClr w14:val="tx1"/>
            </w14:solidFill>
          </w14:textFill>
        </w:rPr>
        <w:t>阿瓦提县预算绩效全过程管理咨询服务</w:t>
      </w:r>
      <w:r>
        <w:rPr>
          <w:rFonts w:hint="eastAsia" w:ascii="仿宋" w:hAnsi="仿宋" w:eastAsia="仿宋" w:cs="仿宋"/>
          <w:color w:val="000000" w:themeColor="text1"/>
          <w14:textFill>
            <w14:solidFill>
              <w14:schemeClr w14:val="tx1"/>
            </w14:solidFill>
          </w14:textFill>
        </w:rPr>
        <w:t>（详见采购需求）</w:t>
      </w:r>
    </w:p>
    <w:p w14:paraId="1DCB6112">
      <w:pPr>
        <w:pStyle w:val="28"/>
        <w:adjustRightInd w:val="0"/>
        <w:snapToGrid w:val="0"/>
        <w:spacing w:before="75" w:after="75" w:line="360" w:lineRule="auto"/>
        <w:ind w:firstLine="37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合同履约期限：</w:t>
      </w:r>
      <w:r>
        <w:rPr>
          <w:rFonts w:hint="eastAsia" w:ascii="仿宋" w:hAnsi="仿宋" w:eastAsia="仿宋" w:cs="仿宋"/>
          <w:color w:val="000000" w:themeColor="text1"/>
          <w:lang w:val="en-US" w:eastAsia="zh-CN"/>
          <w14:textFill>
            <w14:solidFill>
              <w14:schemeClr w14:val="tx1"/>
            </w14:solidFill>
          </w14:textFill>
        </w:rPr>
        <w:t>2年（合同一年一签，视中标(成交)供应商服务情况签订下一年度合同）</w:t>
      </w:r>
      <w:r>
        <w:rPr>
          <w:rFonts w:hint="eastAsia" w:ascii="仿宋" w:hAnsi="仿宋" w:eastAsia="仿宋" w:cs="仿宋"/>
          <w:color w:val="000000" w:themeColor="text1"/>
          <w14:textFill>
            <w14:solidFill>
              <w14:schemeClr w14:val="tx1"/>
            </w14:solidFill>
          </w14:textFill>
        </w:rPr>
        <w:t xml:space="preserve">    </w:t>
      </w:r>
    </w:p>
    <w:p w14:paraId="237F937F">
      <w:pPr>
        <w:pStyle w:val="28"/>
        <w:adjustRightInd w:val="0"/>
        <w:snapToGrid w:val="0"/>
        <w:spacing w:before="75" w:after="75" w:line="360" w:lineRule="auto"/>
        <w:ind w:firstLine="37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本项目（否）接受联合体投标。  </w:t>
      </w:r>
    </w:p>
    <w:p w14:paraId="704A314C">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Style w:val="36"/>
          <w:rFonts w:hint="eastAsia" w:ascii="仿宋" w:hAnsi="仿宋" w:eastAsia="仿宋" w:cs="仿宋"/>
          <w:color w:val="000000" w:themeColor="text1"/>
          <w14:textFill>
            <w14:solidFill>
              <w14:schemeClr w14:val="tx1"/>
            </w14:solidFill>
          </w14:textFill>
        </w:rPr>
        <w:t>二、申请人的资格要求：</w:t>
      </w:r>
    </w:p>
    <w:p w14:paraId="6952195B">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1.满足《中华人民共和国政府采购法》第二十二条规定；</w:t>
      </w:r>
    </w:p>
    <w:p w14:paraId="0DA3B5DE">
      <w:pPr>
        <w:pStyle w:val="28"/>
        <w:adjustRightInd w:val="0"/>
        <w:snapToGrid w:val="0"/>
        <w:spacing w:before="255" w:after="255" w:line="360" w:lineRule="auto"/>
        <w:ind w:firstLine="240" w:firstLineChars="10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2.落实政府采购政策需满足的资格要求：</w:t>
      </w:r>
    </w:p>
    <w:p w14:paraId="5C84B826">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（1）财政部、国家发展改革委、生态环境部、市场监管总局《关于调整优化节能产品、环境标志产品政府采购执行机制的通知》（财库[2019]9号文）；</w:t>
      </w:r>
    </w:p>
    <w:p w14:paraId="6A9973FA">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（2）财政部、生态环境部《关于印发环境标志产品政府采购品目清单的通知》（财库[2019]18号文）；</w:t>
      </w:r>
    </w:p>
    <w:p w14:paraId="1C03266C">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（3）财政部、发展改革委《关于印发节能产品政府采购品目清单的通知》（财库[2019]19号文）；</w:t>
      </w:r>
    </w:p>
    <w:p w14:paraId="3FE5C697">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（4）市场监管总局《市场监管总局关于发布参与实施政府采购节能产品、环境标志产品认证机构名录的公告》（2019年第16号）；</w:t>
      </w:r>
    </w:p>
    <w:p w14:paraId="6D006206">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（5）财政部、工业和信息化部《关于印发《政府采购促进中小企业发展管理办法》的通知》（财库[2020]46号文）；</w:t>
      </w:r>
    </w:p>
    <w:p w14:paraId="2C9D53D6">
      <w:pPr>
        <w:pStyle w:val="28"/>
        <w:adjustRightInd w:val="0"/>
        <w:snapToGrid w:val="0"/>
        <w:spacing w:before="255" w:after="255" w:line="360" w:lineRule="auto"/>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（6）财政部、民政部、中国残疾人联合会《关于促进残疾人就业政府采购政策的通知》（财库[2017]141号）</w:t>
      </w:r>
      <w:r>
        <w:rPr>
          <w:rFonts w:hint="eastAsia" w:ascii="仿宋" w:hAnsi="仿宋" w:eastAsia="仿宋" w:cs="仿宋"/>
          <w:color w:val="000000" w:themeColor="text1"/>
          <w:lang w:eastAsia="zh-CN"/>
          <w14:textFill>
            <w14:solidFill>
              <w14:schemeClr w14:val="tx1"/>
            </w14:solidFill>
          </w14:textFill>
        </w:rPr>
        <w:t>；</w:t>
      </w:r>
    </w:p>
    <w:p w14:paraId="6E8AD016">
      <w:pPr>
        <w:pStyle w:val="28"/>
        <w:adjustRightInd w:val="0"/>
        <w:snapToGrid w:val="0"/>
        <w:spacing w:before="255" w:after="255" w:line="360" w:lineRule="auto"/>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本项目专门面向中小企业。</w:t>
      </w:r>
    </w:p>
    <w:p w14:paraId="78C55A6F">
      <w:pPr>
        <w:pStyle w:val="28"/>
        <w:adjustRightInd w:val="0"/>
        <w:snapToGrid w:val="0"/>
        <w:spacing w:before="255" w:after="255" w:line="360" w:lineRule="auto"/>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3.本项目的特定资格要求：</w:t>
      </w:r>
      <w:r>
        <w:rPr>
          <w:rFonts w:hint="eastAsia" w:ascii="仿宋" w:hAnsi="仿宋" w:eastAsia="仿宋" w:cs="仿宋"/>
          <w:color w:val="000000" w:themeColor="text1"/>
          <w:lang w:val="en-US" w:eastAsia="zh-CN"/>
          <w14:textFill>
            <w14:solidFill>
              <w14:schemeClr w14:val="tx1"/>
            </w14:solidFill>
          </w14:textFill>
        </w:rPr>
        <w:t>无。</w:t>
      </w:r>
    </w:p>
    <w:p w14:paraId="462B54E7">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Style w:val="36"/>
          <w:rFonts w:hint="eastAsia" w:ascii="仿宋" w:hAnsi="仿宋" w:eastAsia="仿宋" w:cs="仿宋"/>
          <w:color w:val="000000" w:themeColor="text1"/>
          <w14:textFill>
            <w14:solidFill>
              <w14:schemeClr w14:val="tx1"/>
            </w14:solidFill>
          </w14:textFill>
        </w:rPr>
        <w:t>三、获取采购文件</w:t>
      </w:r>
    </w:p>
    <w:p w14:paraId="0764F012">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时间：</w:t>
      </w:r>
      <w:r>
        <w:rPr>
          <w:rFonts w:hint="eastAsia" w:ascii="仿宋" w:hAnsi="仿宋" w:eastAsia="仿宋" w:cs="仿宋"/>
          <w:color w:val="000000" w:themeColor="text1"/>
          <w:kern w:val="2"/>
          <w:highlight w:val="none"/>
          <w14:textFill>
            <w14:solidFill>
              <w14:schemeClr w14:val="tx1"/>
            </w14:solidFill>
          </w14:textFill>
        </w:rPr>
        <w:t>202</w:t>
      </w:r>
      <w:r>
        <w:rPr>
          <w:rFonts w:hint="eastAsia" w:ascii="仿宋" w:hAnsi="仿宋" w:eastAsia="仿宋" w:cs="仿宋"/>
          <w:color w:val="000000" w:themeColor="text1"/>
          <w:kern w:val="2"/>
          <w:highlight w:val="none"/>
          <w:lang w:val="en-US" w:eastAsia="zh-CN"/>
          <w14:textFill>
            <w14:solidFill>
              <w14:schemeClr w14:val="tx1"/>
            </w14:solidFill>
          </w14:textFill>
        </w:rPr>
        <w:t>6</w:t>
      </w:r>
      <w:r>
        <w:rPr>
          <w:rFonts w:hint="eastAsia" w:ascii="仿宋" w:hAnsi="仿宋" w:eastAsia="仿宋" w:cs="仿宋"/>
          <w:color w:val="000000" w:themeColor="text1"/>
          <w:kern w:val="2"/>
          <w:highlight w:val="none"/>
          <w14:textFill>
            <w14:solidFill>
              <w14:schemeClr w14:val="tx1"/>
            </w14:solidFill>
          </w14:textFill>
        </w:rPr>
        <w:t>年</w:t>
      </w:r>
      <w:r>
        <w:rPr>
          <w:rFonts w:hint="eastAsia" w:ascii="仿宋" w:hAnsi="仿宋" w:eastAsia="仿宋" w:cs="仿宋"/>
          <w:color w:val="000000" w:themeColor="text1"/>
          <w:kern w:val="2"/>
          <w:highlight w:val="none"/>
          <w:lang w:val="en-US" w:eastAsia="zh-CN"/>
          <w14:textFill>
            <w14:solidFill>
              <w14:schemeClr w14:val="tx1"/>
            </w14:solidFill>
          </w14:textFill>
        </w:rPr>
        <w:t>04</w:t>
      </w:r>
      <w:r>
        <w:rPr>
          <w:rFonts w:hint="eastAsia" w:ascii="仿宋" w:hAnsi="仿宋" w:eastAsia="仿宋" w:cs="仿宋"/>
          <w:color w:val="000000" w:themeColor="text1"/>
          <w:kern w:val="2"/>
          <w:highlight w:val="none"/>
          <w14:textFill>
            <w14:solidFill>
              <w14:schemeClr w14:val="tx1"/>
            </w14:solidFill>
          </w14:textFill>
        </w:rPr>
        <w:t xml:space="preserve"> 月</w:t>
      </w:r>
      <w:r>
        <w:rPr>
          <w:rFonts w:hint="eastAsia" w:ascii="仿宋" w:hAnsi="仿宋" w:eastAsia="仿宋" w:cs="仿宋"/>
          <w:color w:val="000000" w:themeColor="text1"/>
          <w:kern w:val="2"/>
          <w:highlight w:val="none"/>
          <w:lang w:val="en-US" w:eastAsia="zh-CN"/>
          <w14:textFill>
            <w14:solidFill>
              <w14:schemeClr w14:val="tx1"/>
            </w14:solidFill>
          </w14:textFill>
        </w:rPr>
        <w:t>21</w:t>
      </w:r>
      <w:r>
        <w:rPr>
          <w:rFonts w:hint="eastAsia" w:ascii="仿宋" w:hAnsi="仿宋" w:eastAsia="仿宋" w:cs="仿宋"/>
          <w:color w:val="000000" w:themeColor="text1"/>
          <w:kern w:val="2"/>
          <w:highlight w:val="none"/>
          <w14:textFill>
            <w14:solidFill>
              <w14:schemeClr w14:val="tx1"/>
            </w14:solidFill>
          </w14:textFill>
        </w:rPr>
        <w:t>日至202</w:t>
      </w:r>
      <w:r>
        <w:rPr>
          <w:rFonts w:hint="eastAsia" w:ascii="仿宋" w:hAnsi="仿宋" w:eastAsia="仿宋" w:cs="仿宋"/>
          <w:color w:val="000000" w:themeColor="text1"/>
          <w:kern w:val="2"/>
          <w:highlight w:val="none"/>
          <w:lang w:val="en-US" w:eastAsia="zh-CN"/>
          <w14:textFill>
            <w14:solidFill>
              <w14:schemeClr w14:val="tx1"/>
            </w14:solidFill>
          </w14:textFill>
        </w:rPr>
        <w:t>6</w:t>
      </w:r>
      <w:r>
        <w:rPr>
          <w:rFonts w:hint="eastAsia" w:ascii="仿宋" w:hAnsi="仿宋" w:eastAsia="仿宋" w:cs="仿宋"/>
          <w:color w:val="000000" w:themeColor="text1"/>
          <w:kern w:val="2"/>
          <w:highlight w:val="none"/>
          <w14:textFill>
            <w14:solidFill>
              <w14:schemeClr w14:val="tx1"/>
            </w14:solidFill>
          </w14:textFill>
        </w:rPr>
        <w:t>年</w:t>
      </w:r>
      <w:r>
        <w:rPr>
          <w:rFonts w:hint="eastAsia" w:ascii="仿宋" w:hAnsi="仿宋" w:eastAsia="仿宋" w:cs="仿宋"/>
          <w:color w:val="000000" w:themeColor="text1"/>
          <w:kern w:val="2"/>
          <w:highlight w:val="none"/>
          <w:lang w:val="en-US" w:eastAsia="zh-CN"/>
          <w14:textFill>
            <w14:solidFill>
              <w14:schemeClr w14:val="tx1"/>
            </w14:solidFill>
          </w14:textFill>
        </w:rPr>
        <w:t>04</w:t>
      </w:r>
      <w:r>
        <w:rPr>
          <w:rFonts w:hint="eastAsia" w:ascii="仿宋" w:hAnsi="仿宋" w:eastAsia="仿宋" w:cs="仿宋"/>
          <w:color w:val="000000" w:themeColor="text1"/>
          <w:kern w:val="2"/>
          <w:highlight w:val="none"/>
          <w14:textFill>
            <w14:solidFill>
              <w14:schemeClr w14:val="tx1"/>
            </w14:solidFill>
          </w14:textFill>
        </w:rPr>
        <w:t>月</w:t>
      </w:r>
      <w:r>
        <w:rPr>
          <w:rFonts w:hint="eastAsia" w:ascii="仿宋" w:hAnsi="仿宋" w:eastAsia="仿宋" w:cs="仿宋"/>
          <w:color w:val="000000" w:themeColor="text1"/>
          <w:kern w:val="2"/>
          <w:highlight w:val="none"/>
          <w:lang w:val="en-US" w:eastAsia="zh-CN"/>
          <w14:textFill>
            <w14:solidFill>
              <w14:schemeClr w14:val="tx1"/>
            </w14:solidFill>
          </w14:textFill>
        </w:rPr>
        <w:t>28</w:t>
      </w:r>
      <w:r>
        <w:rPr>
          <w:rFonts w:hint="eastAsia" w:ascii="仿宋" w:hAnsi="仿宋" w:eastAsia="仿宋" w:cs="仿宋"/>
          <w:color w:val="000000" w:themeColor="text1"/>
          <w:kern w:val="2"/>
          <w:highlight w:val="none"/>
          <w14:textFill>
            <w14:solidFill>
              <w14:schemeClr w14:val="tx1"/>
            </w14:solidFill>
          </w14:textFill>
        </w:rPr>
        <w:t>日</w:t>
      </w:r>
      <w:r>
        <w:rPr>
          <w:rFonts w:hint="eastAsia" w:ascii="仿宋" w:hAnsi="仿宋" w:eastAsia="仿宋" w:cs="仿宋"/>
          <w:color w:val="000000" w:themeColor="text1"/>
          <w:kern w:val="2"/>
          <w14:textFill>
            <w14:solidFill>
              <w14:schemeClr w14:val="tx1"/>
            </w14:solidFill>
          </w14:textFill>
        </w:rPr>
        <w:t>，每天上午10:00至14:00，下午14:00至20:00</w:t>
      </w:r>
      <w:r>
        <w:rPr>
          <w:rFonts w:hint="eastAsia" w:ascii="仿宋" w:hAnsi="仿宋" w:eastAsia="仿宋" w:cs="仿宋"/>
          <w:color w:val="000000" w:themeColor="text1"/>
          <w14:textFill>
            <w14:solidFill>
              <w14:schemeClr w14:val="tx1"/>
            </w14:solidFill>
          </w14:textFill>
        </w:rPr>
        <w:t>（北京时间，法定节假日除外）</w:t>
      </w:r>
    </w:p>
    <w:p w14:paraId="465AA753">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地点：政采云平台线上获取 </w:t>
      </w:r>
    </w:p>
    <w:p w14:paraId="1ED1EB41">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方式：供应商登录政采云平台https://www.zcygov.cn/在线申请获取采购文件（进入“项目采购”应用，在获取采购文件菜单中选择项目，申请获取采购文件） </w:t>
      </w:r>
    </w:p>
    <w:p w14:paraId="763AD6C1">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售价（元）： </w:t>
      </w:r>
      <w:r>
        <w:rPr>
          <w:rStyle w:val="49"/>
          <w:rFonts w:hint="eastAsia" w:ascii="仿宋" w:hAnsi="仿宋" w:eastAsia="仿宋" w:cs="仿宋"/>
          <w:color w:val="000000" w:themeColor="text1"/>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 </w:t>
      </w:r>
    </w:p>
    <w:p w14:paraId="4A4DA884">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Style w:val="36"/>
          <w:rFonts w:hint="eastAsia" w:ascii="仿宋" w:hAnsi="仿宋" w:eastAsia="仿宋" w:cs="仿宋"/>
          <w:color w:val="000000" w:themeColor="text1"/>
          <w14:textFill>
            <w14:solidFill>
              <w14:schemeClr w14:val="tx1"/>
            </w14:solidFill>
          </w14:textFill>
        </w:rPr>
        <w:t>四、响应文件提交</w:t>
      </w:r>
      <w:r>
        <w:rPr>
          <w:rFonts w:hint="eastAsia" w:ascii="仿宋" w:hAnsi="仿宋" w:eastAsia="仿宋" w:cs="仿宋"/>
          <w:color w:val="000000" w:themeColor="text1"/>
          <w14:textFill>
            <w14:solidFill>
              <w14:schemeClr w14:val="tx1"/>
            </w14:solidFill>
          </w14:textFill>
        </w:rPr>
        <w:t> </w:t>
      </w:r>
    </w:p>
    <w:p w14:paraId="2046BA47">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截止时间：</w:t>
      </w:r>
      <w:r>
        <w:rPr>
          <w:rFonts w:hint="eastAsia" w:ascii="仿宋" w:hAnsi="仿宋" w:eastAsia="仿宋" w:cs="仿宋"/>
          <w:color w:val="000000" w:themeColor="text1"/>
          <w:kern w:val="2"/>
          <w:highlight w:val="none"/>
          <w:lang w:eastAsia="zh-CN"/>
          <w14:textFill>
            <w14:solidFill>
              <w14:schemeClr w14:val="tx1"/>
            </w14:solidFill>
          </w14:textFill>
        </w:rPr>
        <w:t>202</w:t>
      </w:r>
      <w:r>
        <w:rPr>
          <w:rFonts w:hint="eastAsia" w:ascii="仿宋" w:hAnsi="仿宋" w:eastAsia="仿宋" w:cs="仿宋"/>
          <w:color w:val="000000" w:themeColor="text1"/>
          <w:kern w:val="2"/>
          <w:highlight w:val="none"/>
          <w:lang w:val="en-US" w:eastAsia="zh-CN"/>
          <w14:textFill>
            <w14:solidFill>
              <w14:schemeClr w14:val="tx1"/>
            </w14:solidFill>
          </w14:textFill>
        </w:rPr>
        <w:t>6</w:t>
      </w:r>
      <w:r>
        <w:rPr>
          <w:rFonts w:hint="eastAsia" w:ascii="仿宋" w:hAnsi="仿宋" w:eastAsia="仿宋" w:cs="仿宋"/>
          <w:color w:val="000000" w:themeColor="text1"/>
          <w:kern w:val="2"/>
          <w:highlight w:val="none"/>
          <w:lang w:eastAsia="zh-CN"/>
          <w14:textFill>
            <w14:solidFill>
              <w14:schemeClr w14:val="tx1"/>
            </w14:solidFill>
          </w14:textFill>
        </w:rPr>
        <w:t>年</w:t>
      </w:r>
      <w:r>
        <w:rPr>
          <w:rFonts w:hint="eastAsia" w:ascii="仿宋" w:hAnsi="仿宋" w:eastAsia="仿宋" w:cs="仿宋"/>
          <w:color w:val="000000" w:themeColor="text1"/>
          <w:kern w:val="2"/>
          <w:highlight w:val="none"/>
          <w:lang w:val="en-US" w:eastAsia="zh-CN"/>
          <w14:textFill>
            <w14:solidFill>
              <w14:schemeClr w14:val="tx1"/>
            </w14:solidFill>
          </w14:textFill>
        </w:rPr>
        <w:t>05</w:t>
      </w:r>
      <w:r>
        <w:rPr>
          <w:rFonts w:hint="eastAsia" w:ascii="仿宋" w:hAnsi="仿宋" w:eastAsia="仿宋" w:cs="仿宋"/>
          <w:color w:val="000000" w:themeColor="text1"/>
          <w:kern w:val="2"/>
          <w:highlight w:val="none"/>
          <w:lang w:eastAsia="zh-CN"/>
          <w14:textFill>
            <w14:solidFill>
              <w14:schemeClr w14:val="tx1"/>
            </w14:solidFill>
          </w14:textFill>
        </w:rPr>
        <w:t>月</w:t>
      </w:r>
      <w:r>
        <w:rPr>
          <w:rFonts w:hint="eastAsia" w:ascii="仿宋" w:hAnsi="仿宋" w:eastAsia="仿宋" w:cs="仿宋"/>
          <w:color w:val="000000" w:themeColor="text1"/>
          <w:kern w:val="2"/>
          <w:highlight w:val="none"/>
          <w:lang w:val="en-US" w:eastAsia="zh-CN"/>
          <w14:textFill>
            <w14:solidFill>
              <w14:schemeClr w14:val="tx1"/>
            </w14:solidFill>
          </w14:textFill>
        </w:rPr>
        <w:t>06</w:t>
      </w:r>
      <w:r>
        <w:rPr>
          <w:rFonts w:hint="eastAsia" w:ascii="仿宋" w:hAnsi="仿宋" w:eastAsia="仿宋" w:cs="仿宋"/>
          <w:color w:val="000000" w:themeColor="text1"/>
          <w:kern w:val="2"/>
          <w:highlight w:val="none"/>
          <w:lang w:eastAsia="zh-CN"/>
          <w14:textFill>
            <w14:solidFill>
              <w14:schemeClr w14:val="tx1"/>
            </w14:solidFill>
          </w14:textFill>
        </w:rPr>
        <w:t>日</w:t>
      </w:r>
      <w:r>
        <w:rPr>
          <w:rFonts w:hint="eastAsia" w:ascii="仿宋" w:hAnsi="仿宋" w:eastAsia="仿宋" w:cs="仿宋"/>
          <w:color w:val="000000" w:themeColor="text1"/>
          <w:kern w:val="2"/>
          <w:highlight w:val="none"/>
          <w14:textFill>
            <w14:solidFill>
              <w14:schemeClr w14:val="tx1"/>
            </w14:solidFill>
          </w14:textFill>
        </w:rPr>
        <w:t xml:space="preserve"> </w:t>
      </w:r>
      <w:r>
        <w:rPr>
          <w:rFonts w:hint="eastAsia" w:ascii="仿宋" w:hAnsi="仿宋" w:eastAsia="仿宋" w:cs="仿宋"/>
          <w:color w:val="000000" w:themeColor="text1"/>
          <w:kern w:val="2"/>
          <w:highlight w:val="none"/>
          <w:lang w:eastAsia="zh-CN"/>
          <w14:textFill>
            <w14:solidFill>
              <w14:schemeClr w14:val="tx1"/>
            </w14:solidFill>
          </w14:textFill>
        </w:rPr>
        <w:t>11:00</w:t>
      </w:r>
      <w:r>
        <w:rPr>
          <w:rFonts w:hint="eastAsia" w:ascii="仿宋" w:hAnsi="仿宋" w:eastAsia="仿宋" w:cs="仿宋"/>
          <w:color w:val="000000" w:themeColor="text1"/>
          <w:kern w:val="2"/>
          <w14:textFill>
            <w14:solidFill>
              <w14:schemeClr w14:val="tx1"/>
            </w14:solidFill>
          </w14:textFill>
        </w:rPr>
        <w:t>（北京时间）</w:t>
      </w:r>
    </w:p>
    <w:p w14:paraId="546505F7">
      <w:pPr>
        <w:pStyle w:val="28"/>
        <w:adjustRightInd w:val="0"/>
        <w:snapToGrid w:val="0"/>
        <w:spacing w:before="255" w:after="255" w:line="360" w:lineRule="auto"/>
        <w:ind w:firstLine="373"/>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地点：政采云一站式政府采购云平台</w:t>
      </w:r>
    </w:p>
    <w:p w14:paraId="42A2BC35">
      <w:pPr>
        <w:pStyle w:val="28"/>
        <w:adjustRightInd w:val="0"/>
        <w:snapToGrid w:val="0"/>
        <w:spacing w:before="255" w:after="255" w:line="360" w:lineRule="auto"/>
        <w:ind w:firstLine="373"/>
        <w:jc w:val="both"/>
        <w:rPr>
          <w:rFonts w:hint="eastAsia" w:ascii="仿宋" w:hAnsi="仿宋" w:eastAsia="仿宋" w:cs="仿宋"/>
          <w:color w:val="000000" w:themeColor="text1"/>
          <w14:textFill>
            <w14:solidFill>
              <w14:schemeClr w14:val="tx1"/>
            </w14:solidFill>
          </w14:textFill>
        </w:rPr>
      </w:pPr>
      <w:r>
        <w:rPr>
          <w:rStyle w:val="36"/>
          <w:rFonts w:hint="eastAsia" w:ascii="仿宋" w:hAnsi="仿宋" w:eastAsia="仿宋" w:cs="仿宋"/>
          <w:color w:val="000000" w:themeColor="text1"/>
          <w14:textFill>
            <w14:solidFill>
              <w14:schemeClr w14:val="tx1"/>
            </w14:solidFill>
          </w14:textFill>
        </w:rPr>
        <w:t>五、响应文件开启</w:t>
      </w:r>
      <w:r>
        <w:rPr>
          <w:rFonts w:hint="eastAsia" w:ascii="仿宋" w:hAnsi="仿宋" w:eastAsia="仿宋" w:cs="仿宋"/>
          <w:color w:val="000000" w:themeColor="text1"/>
          <w14:textFill>
            <w14:solidFill>
              <w14:schemeClr w14:val="tx1"/>
            </w14:solidFill>
          </w14:textFill>
        </w:rPr>
        <w:t> </w:t>
      </w:r>
    </w:p>
    <w:p w14:paraId="781B112C">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开启时间</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kern w:val="2"/>
          <w:highlight w:val="none"/>
          <w:lang w:eastAsia="zh-CN"/>
          <w14:textFill>
            <w14:solidFill>
              <w14:schemeClr w14:val="tx1"/>
            </w14:solidFill>
          </w14:textFill>
        </w:rPr>
        <w:t>202</w:t>
      </w:r>
      <w:r>
        <w:rPr>
          <w:rFonts w:hint="eastAsia" w:ascii="仿宋" w:hAnsi="仿宋" w:eastAsia="仿宋" w:cs="仿宋"/>
          <w:color w:val="000000" w:themeColor="text1"/>
          <w:kern w:val="2"/>
          <w:highlight w:val="none"/>
          <w:lang w:val="en-US" w:eastAsia="zh-CN"/>
          <w14:textFill>
            <w14:solidFill>
              <w14:schemeClr w14:val="tx1"/>
            </w14:solidFill>
          </w14:textFill>
        </w:rPr>
        <w:t>6</w:t>
      </w:r>
      <w:r>
        <w:rPr>
          <w:rFonts w:hint="eastAsia" w:ascii="仿宋" w:hAnsi="仿宋" w:eastAsia="仿宋" w:cs="仿宋"/>
          <w:color w:val="000000" w:themeColor="text1"/>
          <w:kern w:val="2"/>
          <w:highlight w:val="none"/>
          <w:lang w:eastAsia="zh-CN"/>
          <w14:textFill>
            <w14:solidFill>
              <w14:schemeClr w14:val="tx1"/>
            </w14:solidFill>
          </w14:textFill>
        </w:rPr>
        <w:t>年</w:t>
      </w:r>
      <w:r>
        <w:rPr>
          <w:rFonts w:hint="eastAsia" w:ascii="仿宋" w:hAnsi="仿宋" w:eastAsia="仿宋" w:cs="仿宋"/>
          <w:color w:val="000000" w:themeColor="text1"/>
          <w:kern w:val="2"/>
          <w:highlight w:val="none"/>
          <w:lang w:val="en-US" w:eastAsia="zh-CN"/>
          <w14:textFill>
            <w14:solidFill>
              <w14:schemeClr w14:val="tx1"/>
            </w14:solidFill>
          </w14:textFill>
        </w:rPr>
        <w:t>05</w:t>
      </w:r>
      <w:r>
        <w:rPr>
          <w:rFonts w:hint="eastAsia" w:ascii="仿宋" w:hAnsi="仿宋" w:eastAsia="仿宋" w:cs="仿宋"/>
          <w:color w:val="000000" w:themeColor="text1"/>
          <w:kern w:val="2"/>
          <w:highlight w:val="none"/>
          <w:lang w:eastAsia="zh-CN"/>
          <w14:textFill>
            <w14:solidFill>
              <w14:schemeClr w14:val="tx1"/>
            </w14:solidFill>
          </w14:textFill>
        </w:rPr>
        <w:t>月</w:t>
      </w:r>
      <w:r>
        <w:rPr>
          <w:rFonts w:hint="eastAsia" w:ascii="仿宋" w:hAnsi="仿宋" w:eastAsia="仿宋" w:cs="仿宋"/>
          <w:color w:val="000000" w:themeColor="text1"/>
          <w:kern w:val="2"/>
          <w:highlight w:val="none"/>
          <w:lang w:val="en-US" w:eastAsia="zh-CN"/>
          <w14:textFill>
            <w14:solidFill>
              <w14:schemeClr w14:val="tx1"/>
            </w14:solidFill>
          </w14:textFill>
        </w:rPr>
        <w:t>06</w:t>
      </w:r>
      <w:r>
        <w:rPr>
          <w:rFonts w:hint="eastAsia" w:ascii="仿宋" w:hAnsi="仿宋" w:eastAsia="仿宋" w:cs="仿宋"/>
          <w:color w:val="000000" w:themeColor="text1"/>
          <w:kern w:val="2"/>
          <w:highlight w:val="none"/>
          <w:lang w:eastAsia="zh-CN"/>
          <w14:textFill>
            <w14:solidFill>
              <w14:schemeClr w14:val="tx1"/>
            </w14:solidFill>
          </w14:textFill>
        </w:rPr>
        <w:t>日</w:t>
      </w:r>
      <w:r>
        <w:rPr>
          <w:rFonts w:hint="eastAsia" w:ascii="仿宋" w:hAnsi="仿宋" w:eastAsia="仿宋" w:cs="仿宋"/>
          <w:color w:val="000000" w:themeColor="text1"/>
          <w:kern w:val="2"/>
          <w:highlight w:val="none"/>
          <w14:textFill>
            <w14:solidFill>
              <w14:schemeClr w14:val="tx1"/>
            </w14:solidFill>
          </w14:textFill>
        </w:rPr>
        <w:t xml:space="preserve"> </w:t>
      </w:r>
      <w:r>
        <w:rPr>
          <w:rFonts w:hint="eastAsia" w:ascii="仿宋" w:hAnsi="仿宋" w:eastAsia="仿宋" w:cs="仿宋"/>
          <w:color w:val="000000" w:themeColor="text1"/>
          <w:kern w:val="2"/>
          <w:highlight w:val="none"/>
          <w:lang w:eastAsia="zh-CN"/>
          <w14:textFill>
            <w14:solidFill>
              <w14:schemeClr w14:val="tx1"/>
            </w14:solidFill>
          </w14:textFill>
        </w:rPr>
        <w:t>11:00</w:t>
      </w:r>
      <w:r>
        <w:rPr>
          <w:rFonts w:hint="eastAsia" w:ascii="仿宋" w:hAnsi="仿宋" w:eastAsia="仿宋" w:cs="仿宋"/>
          <w:color w:val="000000" w:themeColor="text1"/>
          <w:kern w:val="2"/>
          <w14:textFill>
            <w14:solidFill>
              <w14:schemeClr w14:val="tx1"/>
            </w14:solidFill>
          </w14:textFill>
        </w:rPr>
        <w:t>（北京时间）</w:t>
      </w:r>
    </w:p>
    <w:p w14:paraId="416EAF9C">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地点：响应供应商登录政采云平台https://www.zcygov.cn/，进入“项目采购-开标评标-右边选择对应项目点击“进入项目”进入开标大厅。</w:t>
      </w:r>
    </w:p>
    <w:p w14:paraId="4E53B96E">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Style w:val="36"/>
          <w:rFonts w:hint="eastAsia" w:ascii="仿宋" w:hAnsi="仿宋" w:eastAsia="仿宋" w:cs="仿宋"/>
          <w:color w:val="000000" w:themeColor="text1"/>
          <w14:textFill>
            <w14:solidFill>
              <w14:schemeClr w14:val="tx1"/>
            </w14:solidFill>
          </w14:textFill>
        </w:rPr>
        <w:t>六、公告期限</w:t>
      </w:r>
    </w:p>
    <w:p w14:paraId="7CFD8EEB">
      <w:pPr>
        <w:pStyle w:val="28"/>
        <w:adjustRightInd w:val="0"/>
        <w:snapToGrid w:val="0"/>
        <w:spacing w:before="75" w:after="75"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自本公告发布之日起5个工作日。</w:t>
      </w:r>
    </w:p>
    <w:p w14:paraId="2660C509">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Style w:val="36"/>
          <w:rFonts w:hint="eastAsia" w:ascii="仿宋" w:hAnsi="仿宋" w:eastAsia="仿宋" w:cs="仿宋"/>
          <w:color w:val="000000" w:themeColor="text1"/>
          <w14:textFill>
            <w14:solidFill>
              <w14:schemeClr w14:val="tx1"/>
            </w14:solidFill>
          </w14:textFill>
        </w:rPr>
        <w:t>七、其他补充事宜</w:t>
      </w:r>
      <w:r>
        <w:rPr>
          <w:rFonts w:hint="eastAsia" w:ascii="仿宋" w:hAnsi="仿宋" w:eastAsia="仿宋" w:cs="仿宋"/>
          <w:color w:val="000000" w:themeColor="text1"/>
          <w14:textFill>
            <w14:solidFill>
              <w14:schemeClr w14:val="tx1"/>
            </w14:solidFill>
          </w14:textFill>
        </w:rPr>
        <w:t> </w:t>
      </w:r>
    </w:p>
    <w:p w14:paraId="6973A0E4">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1、本项目实行网上投标，采用电子投标文件。</w:t>
      </w:r>
    </w:p>
    <w:p w14:paraId="13F034A1">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011FCA40">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3、供应商将政采云电子交易客户端下载、安装完成后，可通过账号密码或CA登录客户端进行投标文件的制作。在使用政采云投标客户端时，建议使用WIN7及以上操作系统。</w:t>
      </w:r>
    </w:p>
    <w:p w14:paraId="3B9EB0D9">
      <w:pPr>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4、其他事项：本次公告在新疆政府采购网、</w:t>
      </w:r>
      <w:r>
        <w:rPr>
          <w:rFonts w:hint="eastAsia" w:ascii="仿宋" w:hAnsi="仿宋" w:eastAsia="仿宋" w:cs="仿宋"/>
          <w:b/>
          <w:bCs/>
          <w:color w:val="000000" w:themeColor="text1"/>
          <w:sz w:val="24"/>
          <w:szCs w:val="24"/>
          <w:lang w:val="en-US" w:eastAsia="zh-CN"/>
          <w14:textFill>
            <w14:solidFill>
              <w14:schemeClr w14:val="tx1"/>
            </w14:solidFill>
          </w14:textFill>
        </w:rPr>
        <w:t>阿瓦提县人民政府</w:t>
      </w:r>
      <w:r>
        <w:rPr>
          <w:rFonts w:hint="eastAsia" w:ascii="仿宋" w:hAnsi="仿宋" w:eastAsia="仿宋" w:cs="仿宋"/>
          <w:b/>
          <w:bCs/>
          <w:color w:val="000000" w:themeColor="text1"/>
          <w:sz w:val="24"/>
          <w:szCs w:val="24"/>
          <w14:textFill>
            <w14:solidFill>
              <w14:schemeClr w14:val="tx1"/>
            </w14:solidFill>
          </w14:textFill>
        </w:rPr>
        <w:t>网同时发布。  </w:t>
      </w:r>
    </w:p>
    <w:p w14:paraId="51F34621">
      <w:pPr>
        <w:pStyle w:val="28"/>
        <w:wordWrap w:val="0"/>
        <w:spacing w:before="75" w:after="75"/>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特别提示：</w:t>
      </w:r>
    </w:p>
    <w:p w14:paraId="7CD6485C">
      <w:pPr>
        <w:pStyle w:val="28"/>
        <w:wordWrap w:val="0"/>
        <w:spacing w:before="75" w:after="75"/>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b/>
          <w:bCs/>
          <w:color w:val="000000" w:themeColor="text1"/>
          <w14:textFill>
            <w14:solidFill>
              <w14:schemeClr w14:val="tx1"/>
            </w14:solidFill>
          </w14:textFill>
        </w:rPr>
        <w:t>    1、采购限额标准以上，200万元以下的货物和服务采购项目、400万元以下的工程采购项目，适宜由中小企业提供的，采购人应当专门面向中小企业采购。</w:t>
      </w:r>
    </w:p>
    <w:p w14:paraId="43A2F299">
      <w:pPr>
        <w:pStyle w:val="28"/>
        <w:wordWrap w:val="0"/>
        <w:spacing w:before="75" w:after="75"/>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2、超过200万元的货物和服务采购项目，预留该部分采购项目预算总额的30%以上专门面向中小企业采购，其中预留给小微企业的比例不低于60%。</w:t>
      </w:r>
    </w:p>
    <w:p w14:paraId="5D41B71D">
      <w:pPr>
        <w:pStyle w:val="28"/>
        <w:wordWrap w:val="0"/>
        <w:spacing w:before="75" w:after="75"/>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3、超过400万元的工程采购项目中适宜由中小企业提供的，预留该部分采购项目预算总额的40%以上专门面向中小企业采购，其中预留给小微企业的比例不低于60%。</w:t>
      </w:r>
    </w:p>
    <w:p w14:paraId="3D1AC414">
      <w:pPr>
        <w:pStyle w:val="28"/>
        <w:wordWrap w:val="0"/>
        <w:spacing w:before="75" w:after="75"/>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6E1065C">
      <w:pPr>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 </w:t>
      </w:r>
    </w:p>
    <w:p w14:paraId="41BDE21F">
      <w:pPr>
        <w:pStyle w:val="28"/>
        <w:adjustRightInd w:val="0"/>
        <w:snapToGrid w:val="0"/>
        <w:spacing w:before="255" w:after="255" w:line="360" w:lineRule="auto"/>
        <w:jc w:val="both"/>
        <w:rPr>
          <w:rFonts w:hint="eastAsia" w:ascii="仿宋" w:hAnsi="仿宋" w:eastAsia="仿宋" w:cs="仿宋"/>
          <w:color w:val="000000" w:themeColor="text1"/>
          <w14:textFill>
            <w14:solidFill>
              <w14:schemeClr w14:val="tx1"/>
            </w14:solidFill>
          </w14:textFill>
        </w:rPr>
      </w:pPr>
      <w:r>
        <w:rPr>
          <w:rStyle w:val="36"/>
          <w:rFonts w:hint="eastAsia" w:ascii="仿宋" w:hAnsi="仿宋" w:eastAsia="仿宋" w:cs="仿宋"/>
          <w:color w:val="000000" w:themeColor="text1"/>
          <w14:textFill>
            <w14:solidFill>
              <w14:schemeClr w14:val="tx1"/>
            </w14:solidFill>
          </w14:textFill>
        </w:rPr>
        <w:t>八、凡对本次招标提出询问，请按以下方式联系</w:t>
      </w:r>
    </w:p>
    <w:p w14:paraId="2C988BEA">
      <w:pPr>
        <w:pStyle w:val="28"/>
        <w:adjustRightInd w:val="0"/>
        <w:snapToGrid w:val="0"/>
        <w:spacing w:before="75" w:after="75" w:line="360" w:lineRule="auto"/>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1.采购人信息</w:t>
      </w:r>
    </w:p>
    <w:p w14:paraId="733C62E0">
      <w:pPr>
        <w:pStyle w:val="28"/>
        <w:adjustRightInd w:val="0"/>
        <w:snapToGrid w:val="0"/>
        <w:spacing w:before="75" w:after="75" w:line="360" w:lineRule="auto"/>
        <w:ind w:firstLine="4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 称：</w:t>
      </w:r>
      <w:r>
        <w:rPr>
          <w:rFonts w:hint="eastAsia" w:ascii="仿宋" w:hAnsi="仿宋" w:eastAsia="仿宋" w:cs="仿宋"/>
          <w:color w:val="000000" w:themeColor="text1"/>
          <w:lang w:eastAsia="zh-CN"/>
          <w14:textFill>
            <w14:solidFill>
              <w14:schemeClr w14:val="tx1"/>
            </w14:solidFill>
          </w14:textFill>
        </w:rPr>
        <w:t>阿瓦提县财政局</w:t>
      </w:r>
    </w:p>
    <w:p w14:paraId="5935FEB3">
      <w:pPr>
        <w:pStyle w:val="28"/>
        <w:adjustRightInd w:val="0"/>
        <w:snapToGrid w:val="0"/>
        <w:spacing w:before="75" w:after="75" w:line="360" w:lineRule="auto"/>
        <w:ind w:firstLine="4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 址：</w:t>
      </w:r>
      <w:r>
        <w:rPr>
          <w:rFonts w:hint="eastAsia" w:ascii="仿宋" w:hAnsi="仿宋" w:eastAsia="仿宋" w:cs="仿宋"/>
          <w:color w:val="000000" w:themeColor="text1"/>
          <w:lang w:eastAsia="zh-CN"/>
          <w14:textFill>
            <w14:solidFill>
              <w14:schemeClr w14:val="tx1"/>
            </w14:solidFill>
          </w14:textFill>
        </w:rPr>
        <w:t>阿瓦提县团结西路12号</w:t>
      </w:r>
    </w:p>
    <w:p w14:paraId="10BB6580">
      <w:pPr>
        <w:pStyle w:val="28"/>
        <w:adjustRightInd w:val="0"/>
        <w:snapToGrid w:val="0"/>
        <w:spacing w:before="75" w:after="75" w:line="360" w:lineRule="auto"/>
        <w:ind w:firstLine="4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联系方式：</w:t>
      </w:r>
      <w:r>
        <w:rPr>
          <w:rFonts w:hint="eastAsia" w:ascii="仿宋" w:hAnsi="仿宋" w:eastAsia="仿宋" w:cs="仿宋"/>
          <w:color w:val="000000" w:themeColor="text1"/>
          <w:lang w:eastAsia="zh-CN"/>
          <w14:textFill>
            <w14:solidFill>
              <w14:schemeClr w14:val="tx1"/>
            </w14:solidFill>
          </w14:textFill>
        </w:rPr>
        <w:t>15909970312</w:t>
      </w:r>
    </w:p>
    <w:p w14:paraId="003191EE">
      <w:pPr>
        <w:pStyle w:val="28"/>
        <w:adjustRightInd w:val="0"/>
        <w:snapToGrid w:val="0"/>
        <w:spacing w:before="75" w:after="75" w:line="360" w:lineRule="auto"/>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2.采购代理机构信息</w:t>
      </w:r>
    </w:p>
    <w:p w14:paraId="08B8144E">
      <w:pPr>
        <w:pStyle w:val="28"/>
        <w:adjustRightInd w:val="0"/>
        <w:snapToGrid w:val="0"/>
        <w:spacing w:before="75" w:after="75" w:line="360" w:lineRule="auto"/>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 称：华春建设工程项目管理有限责任公司</w:t>
      </w:r>
    </w:p>
    <w:p w14:paraId="18EFBAB3">
      <w:pPr>
        <w:pStyle w:val="28"/>
        <w:adjustRightInd w:val="0"/>
        <w:snapToGrid w:val="0"/>
        <w:spacing w:before="75" w:after="75" w:line="360" w:lineRule="auto"/>
        <w:ind w:firstLine="4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 址：</w:t>
      </w:r>
      <w:r>
        <w:rPr>
          <w:rFonts w:hint="eastAsia" w:ascii="仿宋" w:hAnsi="仿宋" w:eastAsia="仿宋" w:cs="仿宋"/>
          <w:color w:val="000000" w:themeColor="text1"/>
          <w:lang w:eastAsia="zh-CN"/>
          <w14:textFill>
            <w14:solidFill>
              <w14:schemeClr w14:val="tx1"/>
            </w14:solidFill>
          </w14:textFill>
        </w:rPr>
        <w:t>新疆阿克苏地区温宿县复兴大道龙泉湖畔小区五期9-1-701室</w:t>
      </w:r>
    </w:p>
    <w:p w14:paraId="3FDA1605">
      <w:pPr>
        <w:pStyle w:val="28"/>
        <w:adjustRightInd w:val="0"/>
        <w:snapToGrid w:val="0"/>
        <w:spacing w:before="75" w:after="75" w:line="360" w:lineRule="auto"/>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联系方式：19199471321</w:t>
      </w:r>
    </w:p>
    <w:p w14:paraId="2C8BA6D4">
      <w:pPr>
        <w:pStyle w:val="28"/>
        <w:adjustRightInd w:val="0"/>
        <w:snapToGrid w:val="0"/>
        <w:spacing w:before="75" w:after="75" w:line="360" w:lineRule="auto"/>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3.项目联系方式</w:t>
      </w:r>
    </w:p>
    <w:p w14:paraId="048BEF7B">
      <w:pPr>
        <w:pStyle w:val="28"/>
        <w:adjustRightInd w:val="0"/>
        <w:snapToGrid w:val="0"/>
        <w:spacing w:before="75" w:after="75" w:line="360" w:lineRule="auto"/>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项目联系人：万仁屿</w:t>
      </w:r>
    </w:p>
    <w:p w14:paraId="076EFAB5">
      <w:pPr>
        <w:pStyle w:val="28"/>
        <w:adjustRightInd w:val="0"/>
        <w:snapToGrid w:val="0"/>
        <w:spacing w:before="75" w:after="75" w:line="360" w:lineRule="auto"/>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 话：19199471321</w:t>
      </w:r>
    </w:p>
    <w:p w14:paraId="6023AEAE">
      <w:pPr>
        <w:jc w:val="center"/>
        <w:outlineLvl w:val="0"/>
        <w:rPr>
          <w:rFonts w:hint="eastAsia" w:ascii="仿宋" w:hAnsi="仿宋" w:eastAsia="仿宋" w:cs="仿宋"/>
          <w:b/>
          <w:bCs/>
          <w:color w:val="000000" w:themeColor="text1"/>
          <w:sz w:val="36"/>
          <w:szCs w:val="36"/>
          <w14:textFill>
            <w14:solidFill>
              <w14:schemeClr w14:val="tx1"/>
            </w14:solidFill>
          </w14:textFill>
        </w:rPr>
        <w:sectPr>
          <w:footerReference r:id="rId4" w:type="default"/>
          <w:pgSz w:w="11906" w:h="16838"/>
          <w:pgMar w:top="1440" w:right="1706" w:bottom="1440" w:left="1800" w:header="851" w:footer="992" w:gutter="0"/>
          <w:pgNumType w:start="1"/>
          <w:cols w:space="720" w:num="1"/>
          <w:docGrid w:type="lines" w:linePitch="312" w:charSpace="0"/>
        </w:sectPr>
      </w:pPr>
    </w:p>
    <w:p w14:paraId="2DE3EAFA">
      <w:pPr>
        <w:jc w:val="center"/>
        <w:outlineLvl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第二章 供应商须知</w:t>
      </w:r>
      <w:bookmarkEnd w:id="4"/>
      <w:r>
        <w:rPr>
          <w:rFonts w:hint="eastAsia" w:ascii="仿宋" w:hAnsi="仿宋" w:eastAsia="仿宋" w:cs="仿宋"/>
          <w:b/>
          <w:bCs/>
          <w:color w:val="000000" w:themeColor="text1"/>
          <w:sz w:val="36"/>
          <w:szCs w:val="36"/>
          <w14:textFill>
            <w14:solidFill>
              <w14:schemeClr w14:val="tx1"/>
            </w14:solidFill>
          </w14:textFill>
        </w:rPr>
        <w:t>前附表</w:t>
      </w:r>
      <w:bookmarkEnd w:id="5"/>
    </w:p>
    <w:tbl>
      <w:tblPr>
        <w:tblStyle w:val="34"/>
        <w:tblW w:w="10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894"/>
      </w:tblGrid>
      <w:tr w14:paraId="2B26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BBA3C68">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条款号</w:t>
            </w:r>
          </w:p>
        </w:tc>
        <w:tc>
          <w:tcPr>
            <w:tcW w:w="2548" w:type="dxa"/>
            <w:vAlign w:val="center"/>
          </w:tcPr>
          <w:p w14:paraId="52AC357A">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条 款 名 称</w:t>
            </w:r>
          </w:p>
        </w:tc>
        <w:tc>
          <w:tcPr>
            <w:tcW w:w="6894" w:type="dxa"/>
            <w:vAlign w:val="center"/>
          </w:tcPr>
          <w:p w14:paraId="338C5F0A">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编 列 内 容</w:t>
            </w:r>
          </w:p>
        </w:tc>
      </w:tr>
      <w:tr w14:paraId="0151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vAlign w:val="center"/>
          </w:tcPr>
          <w:p w14:paraId="0BB9ED15">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548" w:type="dxa"/>
            <w:vAlign w:val="center"/>
          </w:tcPr>
          <w:p w14:paraId="76C8F83F">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w:t>
            </w:r>
          </w:p>
        </w:tc>
        <w:tc>
          <w:tcPr>
            <w:tcW w:w="6894" w:type="dxa"/>
            <w:vAlign w:val="center"/>
          </w:tcPr>
          <w:p w14:paraId="16E87CE1">
            <w:pPr>
              <w:spacing w:line="360" w:lineRule="auto"/>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阿瓦提县财政局</w:t>
            </w:r>
          </w:p>
          <w:p w14:paraId="700B7E1B">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w:t>
            </w:r>
            <w:r>
              <w:rPr>
                <w:rFonts w:hint="eastAsia" w:ascii="仿宋" w:hAnsi="仿宋" w:eastAsia="仿宋" w:cs="仿宋"/>
                <w:color w:val="000000" w:themeColor="text1"/>
                <w:sz w:val="24"/>
                <w:szCs w:val="24"/>
                <w:lang w:eastAsia="zh-CN"/>
                <w14:textFill>
                  <w14:solidFill>
                    <w14:schemeClr w14:val="tx1"/>
                  </w14:solidFill>
                </w14:textFill>
              </w:rPr>
              <w:t>阿瓦提县团结西路12号</w:t>
            </w:r>
            <w:r>
              <w:rPr>
                <w:rFonts w:hint="eastAsia" w:ascii="仿宋" w:hAnsi="仿宋" w:eastAsia="仿宋" w:cs="仿宋"/>
                <w:color w:val="000000" w:themeColor="text1"/>
                <w:sz w:val="24"/>
                <w:szCs w:val="24"/>
                <w14:textFill>
                  <w14:solidFill>
                    <w14:schemeClr w14:val="tx1"/>
                  </w14:solidFill>
                </w14:textFill>
              </w:rPr>
              <w:t xml:space="preserve"> </w:t>
            </w:r>
          </w:p>
          <w:p w14:paraId="03F1BEC2">
            <w:pPr>
              <w:spacing w:line="360" w:lineRule="auto"/>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r>
              <w:rPr>
                <w:rFonts w:hint="eastAsia" w:ascii="仿宋" w:hAnsi="仿宋" w:eastAsia="仿宋" w:cs="仿宋"/>
                <w:color w:val="000000" w:themeColor="text1"/>
                <w:sz w:val="24"/>
                <w:szCs w:val="24"/>
                <w:lang w:eastAsia="zh-CN"/>
                <w14:textFill>
                  <w14:solidFill>
                    <w14:schemeClr w14:val="tx1"/>
                  </w14:solidFill>
                </w14:textFill>
              </w:rPr>
              <w:t>曹杨</w:t>
            </w:r>
          </w:p>
          <w:p w14:paraId="6C2FD025">
            <w:pPr>
              <w:spacing w:line="360" w:lineRule="auto"/>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w:t>
            </w:r>
            <w:r>
              <w:rPr>
                <w:rFonts w:hint="eastAsia" w:ascii="仿宋" w:hAnsi="仿宋" w:eastAsia="仿宋" w:cs="仿宋"/>
                <w:color w:val="000000" w:themeColor="text1"/>
                <w:sz w:val="24"/>
                <w:szCs w:val="24"/>
                <w:lang w:val="en-US" w:eastAsia="zh-CN"/>
                <w14:textFill>
                  <w14:solidFill>
                    <w14:schemeClr w14:val="tx1"/>
                  </w14:solidFill>
                </w14:textFill>
              </w:rPr>
              <w:t>15909970312</w:t>
            </w:r>
          </w:p>
        </w:tc>
      </w:tr>
      <w:tr w14:paraId="4CCD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vAlign w:val="center"/>
          </w:tcPr>
          <w:p w14:paraId="1F61FD7B">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548" w:type="dxa"/>
            <w:vAlign w:val="center"/>
          </w:tcPr>
          <w:p w14:paraId="0D462277">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采购代理机构</w:t>
            </w:r>
          </w:p>
        </w:tc>
        <w:tc>
          <w:tcPr>
            <w:tcW w:w="6894" w:type="dxa"/>
            <w:vAlign w:val="center"/>
          </w:tcPr>
          <w:p w14:paraId="56A4F8D9">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名称：华春建设工程项目管理有限责任公司</w:t>
            </w:r>
          </w:p>
          <w:p w14:paraId="11EB7537">
            <w:pPr>
              <w:spacing w:line="360" w:lineRule="auto"/>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w:t>
            </w:r>
            <w:r>
              <w:rPr>
                <w:rFonts w:hint="eastAsia" w:ascii="仿宋" w:hAnsi="仿宋" w:eastAsia="仿宋" w:cs="仿宋"/>
                <w:color w:val="000000" w:themeColor="text1"/>
                <w:sz w:val="24"/>
                <w:szCs w:val="24"/>
                <w:lang w:eastAsia="zh-CN"/>
                <w14:textFill>
                  <w14:solidFill>
                    <w14:schemeClr w14:val="tx1"/>
                  </w14:solidFill>
                </w14:textFill>
              </w:rPr>
              <w:t>新疆阿克苏地区温宿县复兴大道龙泉湖畔小区五期9-1-701室</w:t>
            </w:r>
          </w:p>
          <w:p w14:paraId="10FC68A5">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联系人：万仁屿</w:t>
            </w:r>
          </w:p>
          <w:p w14:paraId="3E47351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电话：19199471321</w:t>
            </w:r>
          </w:p>
        </w:tc>
      </w:tr>
      <w:tr w14:paraId="3472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06E8D55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548" w:type="dxa"/>
            <w:vAlign w:val="center"/>
          </w:tcPr>
          <w:p w14:paraId="2D4C9DE1">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采购项目名称及项目编号</w:t>
            </w:r>
          </w:p>
        </w:tc>
        <w:tc>
          <w:tcPr>
            <w:tcW w:w="6894" w:type="dxa"/>
            <w:vAlign w:val="center"/>
          </w:tcPr>
          <w:p w14:paraId="6F519A93">
            <w:pPr>
              <w:pStyle w:val="27"/>
              <w:spacing w:line="360" w:lineRule="auto"/>
              <w:rPr>
                <w:rFonts w:hint="eastAsia"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lang w:eastAsia="zh-CN"/>
                <w14:textFill>
                  <w14:solidFill>
                    <w14:schemeClr w14:val="tx1"/>
                  </w14:solidFill>
                </w14:textFill>
              </w:rPr>
              <w:t>阿瓦提县预算绩效全过程管理咨询服务（</w:t>
            </w:r>
            <w:r>
              <w:rPr>
                <w:rFonts w:hint="eastAsia" w:ascii="仿宋" w:hAnsi="仿宋" w:eastAsia="仿宋" w:cs="仿宋"/>
                <w:color w:val="000000" w:themeColor="text1"/>
                <w:kern w:val="2"/>
                <w:lang w:val="en-US" w:eastAsia="zh-CN"/>
                <w14:textFill>
                  <w14:solidFill>
                    <w14:schemeClr w14:val="tx1"/>
                  </w14:solidFill>
                </w14:textFill>
              </w:rPr>
              <w:t>二次</w:t>
            </w:r>
            <w:r>
              <w:rPr>
                <w:rFonts w:hint="eastAsia" w:ascii="仿宋" w:hAnsi="仿宋" w:eastAsia="仿宋" w:cs="仿宋"/>
                <w:color w:val="000000" w:themeColor="text1"/>
                <w:kern w:val="2"/>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kern w:val="2"/>
                <w:szCs w:val="24"/>
                <w14:textFill>
                  <w14:solidFill>
                    <w14:schemeClr w14:val="tx1"/>
                  </w14:solidFill>
                </w14:textFill>
              </w:rPr>
              <w:t xml:space="preserve">           </w:t>
            </w:r>
          </w:p>
          <w:p w14:paraId="427305CE">
            <w:pPr>
              <w:pStyle w:val="28"/>
              <w:adjustRightInd w:val="0"/>
              <w:snapToGrid w:val="0"/>
              <w:spacing w:before="75" w:after="75" w:line="360" w:lineRule="auto"/>
              <w:rPr>
                <w:rFonts w:hint="default" w:ascii="仿宋" w:hAnsi="仿宋" w:eastAsia="仿宋" w:cs="仿宋"/>
                <w:color w:val="000000" w:themeColor="text1"/>
                <w:kern w:val="2"/>
                <w:szCs w:val="24"/>
                <w:lang w:val="en-US" w:eastAsia="zh-CN"/>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项目编号：</w:t>
            </w:r>
            <w:r>
              <w:rPr>
                <w:rFonts w:hint="eastAsia" w:ascii="仿宋" w:hAnsi="仿宋" w:eastAsia="仿宋" w:cs="仿宋"/>
                <w:color w:val="000000" w:themeColor="text1"/>
                <w:kern w:val="2"/>
                <w:lang w:val="en-US" w:eastAsia="zh-CN"/>
                <w14:textFill>
                  <w14:solidFill>
                    <w14:schemeClr w14:val="tx1"/>
                  </w14:solidFill>
                </w14:textFill>
              </w:rPr>
              <w:t>20260094-</w:t>
            </w:r>
          </w:p>
        </w:tc>
      </w:tr>
      <w:tr w14:paraId="2489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B8AA03C">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2548" w:type="dxa"/>
            <w:vAlign w:val="center"/>
          </w:tcPr>
          <w:p w14:paraId="3031E14F">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资金来源及比例</w:t>
            </w:r>
          </w:p>
        </w:tc>
        <w:tc>
          <w:tcPr>
            <w:tcW w:w="6894" w:type="dxa"/>
            <w:vAlign w:val="center"/>
          </w:tcPr>
          <w:p w14:paraId="049D606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财政资金</w:t>
            </w:r>
          </w:p>
        </w:tc>
      </w:tr>
      <w:tr w14:paraId="3F6F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vAlign w:val="center"/>
          </w:tcPr>
          <w:p w14:paraId="39220D5C">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2548" w:type="dxa"/>
            <w:vAlign w:val="center"/>
          </w:tcPr>
          <w:p w14:paraId="6A675BCF">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资金落实情况</w:t>
            </w:r>
          </w:p>
        </w:tc>
        <w:tc>
          <w:tcPr>
            <w:tcW w:w="6894" w:type="dxa"/>
            <w:vAlign w:val="center"/>
          </w:tcPr>
          <w:p w14:paraId="1A3A08CA">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已落实</w:t>
            </w:r>
          </w:p>
        </w:tc>
      </w:tr>
      <w:tr w14:paraId="7B33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45B57FB1">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2548" w:type="dxa"/>
            <w:vAlign w:val="center"/>
          </w:tcPr>
          <w:p w14:paraId="5EF08A2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采购范围</w:t>
            </w:r>
          </w:p>
        </w:tc>
        <w:tc>
          <w:tcPr>
            <w:tcW w:w="6894" w:type="dxa"/>
            <w:vAlign w:val="center"/>
          </w:tcPr>
          <w:p w14:paraId="4CF20198">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阿瓦提县预算绩效全过程管理咨询服务</w:t>
            </w:r>
            <w:r>
              <w:rPr>
                <w:rFonts w:hint="eastAsia" w:ascii="仿宋" w:hAnsi="仿宋" w:eastAsia="仿宋" w:cs="仿宋"/>
                <w:color w:val="000000" w:themeColor="text1"/>
                <w:sz w:val="24"/>
                <w:szCs w:val="24"/>
                <w14:textFill>
                  <w14:solidFill>
                    <w14:schemeClr w14:val="tx1"/>
                  </w14:solidFill>
                </w14:textFill>
              </w:rPr>
              <w:t>（详见采购需求）</w:t>
            </w:r>
          </w:p>
        </w:tc>
      </w:tr>
      <w:tr w14:paraId="3BBC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4055E5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2548" w:type="dxa"/>
            <w:vAlign w:val="center"/>
          </w:tcPr>
          <w:p w14:paraId="2D01EFED">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采购预算</w:t>
            </w:r>
          </w:p>
        </w:tc>
        <w:tc>
          <w:tcPr>
            <w:tcW w:w="6894" w:type="dxa"/>
            <w:vAlign w:val="center"/>
          </w:tcPr>
          <w:p w14:paraId="3E5E1E48">
            <w:pPr>
              <w:pStyle w:val="28"/>
              <w:adjustRightInd w:val="0"/>
              <w:snapToGrid w:val="0"/>
              <w:spacing w:before="75" w:after="75"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650000.00</w:t>
            </w:r>
            <w:r>
              <w:rPr>
                <w:rFonts w:hint="eastAsia" w:ascii="仿宋" w:hAnsi="仿宋" w:eastAsia="仿宋" w:cs="仿宋"/>
                <w:b/>
                <w:bCs/>
                <w:color w:val="000000" w:themeColor="text1"/>
                <w:sz w:val="24"/>
                <w:szCs w:val="24"/>
                <w14:textFill>
                  <w14:solidFill>
                    <w14:schemeClr w14:val="tx1"/>
                  </w14:solidFill>
                </w14:textFill>
              </w:rPr>
              <w:t>元</w:t>
            </w:r>
          </w:p>
        </w:tc>
      </w:tr>
      <w:tr w14:paraId="0E28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67" w:type="dxa"/>
            <w:vAlign w:val="center"/>
          </w:tcPr>
          <w:p w14:paraId="487D2A89">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2548" w:type="dxa"/>
            <w:vAlign w:val="center"/>
          </w:tcPr>
          <w:p w14:paraId="04D5ADC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服务期限</w:t>
            </w:r>
          </w:p>
        </w:tc>
        <w:tc>
          <w:tcPr>
            <w:tcW w:w="6894" w:type="dxa"/>
            <w:vAlign w:val="center"/>
          </w:tcPr>
          <w:p w14:paraId="147957C2">
            <w:pPr>
              <w:pStyle w:val="85"/>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2年（合同一年一签，视中标(成交)供应商服务情况签订下一年度合同）</w:t>
            </w:r>
          </w:p>
        </w:tc>
      </w:tr>
      <w:tr w14:paraId="6CB0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67" w:type="dxa"/>
            <w:vAlign w:val="center"/>
          </w:tcPr>
          <w:p w14:paraId="4049E939">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2548" w:type="dxa"/>
            <w:vAlign w:val="center"/>
          </w:tcPr>
          <w:p w14:paraId="6E850F3D">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费用支付方式</w:t>
            </w:r>
          </w:p>
        </w:tc>
        <w:tc>
          <w:tcPr>
            <w:tcW w:w="6894" w:type="dxa"/>
            <w:vAlign w:val="center"/>
          </w:tcPr>
          <w:p w14:paraId="01A687B5">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分期支付。</w:t>
            </w:r>
          </w:p>
        </w:tc>
      </w:tr>
      <w:tr w14:paraId="0215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574D5A7C">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2548" w:type="dxa"/>
            <w:vAlign w:val="center"/>
          </w:tcPr>
          <w:p w14:paraId="4D953D5C">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服务地点</w:t>
            </w:r>
          </w:p>
        </w:tc>
        <w:tc>
          <w:tcPr>
            <w:tcW w:w="6894" w:type="dxa"/>
            <w:vAlign w:val="center"/>
          </w:tcPr>
          <w:p w14:paraId="715FC4F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采购人指定地点</w:t>
            </w:r>
          </w:p>
        </w:tc>
      </w:tr>
      <w:tr w14:paraId="1D96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028452A">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2548" w:type="dxa"/>
            <w:vAlign w:val="center"/>
          </w:tcPr>
          <w:p w14:paraId="23F20D1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服务标准</w:t>
            </w:r>
          </w:p>
        </w:tc>
        <w:tc>
          <w:tcPr>
            <w:tcW w:w="6894" w:type="dxa"/>
            <w:vAlign w:val="center"/>
          </w:tcPr>
          <w:p w14:paraId="17EDEC7F">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满足采购人采购需求</w:t>
            </w:r>
          </w:p>
        </w:tc>
      </w:tr>
      <w:tr w14:paraId="0A9F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67" w:type="dxa"/>
            <w:vAlign w:val="center"/>
          </w:tcPr>
          <w:p w14:paraId="30F8EDE3">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2548" w:type="dxa"/>
            <w:vAlign w:val="center"/>
          </w:tcPr>
          <w:p w14:paraId="58CAFD39">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响应供应商资格要求</w:t>
            </w:r>
          </w:p>
        </w:tc>
        <w:tc>
          <w:tcPr>
            <w:tcW w:w="6894" w:type="dxa"/>
            <w:vAlign w:val="center"/>
          </w:tcPr>
          <w:p w14:paraId="76B1FC7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w:t>
            </w:r>
            <w:bookmarkStart w:id="122" w:name="_GoBack"/>
            <w:bookmarkEnd w:id="122"/>
          </w:p>
          <w:p w14:paraId="252FC025">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w:t>
            </w:r>
          </w:p>
          <w:p w14:paraId="33EB0D9B">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（2）具有良好的商业信誉和健全的财务会计制度；</w:t>
            </w:r>
          </w:p>
          <w:p w14:paraId="5B75B5B2">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（3）具有履行合同所必需的设备和专业技术能力；</w:t>
            </w:r>
          </w:p>
          <w:p w14:paraId="4DC844F4">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（4）有依法缴纳税收和社会保障资金的良好记录；</w:t>
            </w:r>
          </w:p>
          <w:p w14:paraId="170A35EF">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（5）参加政府采购活动前三年内，在经营活动中没有重大违法记录；</w:t>
            </w:r>
          </w:p>
          <w:p w14:paraId="7DC3DDDF">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（6）法律、行政法规规定的其他条件。</w:t>
            </w:r>
          </w:p>
          <w:p w14:paraId="5E23C239">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2.落实政府采购政策需满足的资格要求：</w:t>
            </w:r>
          </w:p>
          <w:p w14:paraId="1CDEFB9F">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（1）财政部、国家发展改革委、生态环境部、市场监管总局《关于调整优化节能产品、环境标志产品政府采购执行机制的通知》（财库[2019]9号文）；</w:t>
            </w:r>
          </w:p>
          <w:p w14:paraId="3167C05B">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（2）财政部、生态环境部《关于印发环境标志产品政府采购品目清单的通知》（财库[2019]18号文）；</w:t>
            </w:r>
          </w:p>
          <w:p w14:paraId="744B225F">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（3）财政部、发展改革委《关于印发节能产品政府采购品目清单的通知》（财库[2019]19号文）；</w:t>
            </w:r>
          </w:p>
          <w:p w14:paraId="01728303">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（4）市场监管总局《市场监管总局关于发布参与实施政府采购节能产品、环境标志产品认证机构名录的公告》（2019年第16号）；</w:t>
            </w:r>
          </w:p>
          <w:p w14:paraId="2118BE2B">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（5）财政部、工业和信息化部《关于印发《政府采购促进中小企业发展管理办法》的通知》（财库[2020]46号文）；</w:t>
            </w:r>
          </w:p>
          <w:p w14:paraId="4D443450">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（6）财政部、民政部、中国残疾人联合会《关于促进残疾人就业政府采购政策的通知》（财库[2017]141号）。</w:t>
            </w:r>
          </w:p>
          <w:p w14:paraId="4C97CB59">
            <w:pPr>
              <w:spacing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本次采购项目专门面向中小企业。</w:t>
            </w:r>
          </w:p>
          <w:p w14:paraId="7660F53D">
            <w:pPr>
              <w:spacing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本项目所属行业：其他未列明行业</w:t>
            </w:r>
          </w:p>
          <w:p w14:paraId="00AD122F">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3.本项目的特定资格要求：</w:t>
            </w:r>
            <w:r>
              <w:rPr>
                <w:rFonts w:hint="eastAsia" w:ascii="仿宋" w:hAnsi="仿宋" w:eastAsia="仿宋" w:cs="仿宋"/>
                <w:color w:val="000000" w:themeColor="text1"/>
                <w:sz w:val="24"/>
                <w:lang w:val="en-US" w:eastAsia="zh-CN"/>
                <w14:textFill>
                  <w14:solidFill>
                    <w14:schemeClr w14:val="tx1"/>
                  </w14:solidFill>
                </w14:textFill>
              </w:rPr>
              <w:t>无。</w:t>
            </w:r>
          </w:p>
        </w:tc>
      </w:tr>
      <w:tr w14:paraId="5E4F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14:paraId="1D5887C2">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2548" w:type="dxa"/>
            <w:vAlign w:val="center"/>
          </w:tcPr>
          <w:p w14:paraId="685CDFE6">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是否接受联合体</w:t>
            </w:r>
          </w:p>
        </w:tc>
        <w:tc>
          <w:tcPr>
            <w:tcW w:w="6894" w:type="dxa"/>
            <w:vAlign w:val="center"/>
          </w:tcPr>
          <w:p w14:paraId="4E066883">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不接受</w:t>
            </w:r>
          </w:p>
          <w:p w14:paraId="66E4459A">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□接受，应满足下列要求：</w:t>
            </w:r>
          </w:p>
        </w:tc>
      </w:tr>
      <w:tr w14:paraId="368C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14:paraId="17E1B313">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2548" w:type="dxa"/>
            <w:vAlign w:val="center"/>
          </w:tcPr>
          <w:p w14:paraId="489F92A1">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近年财务状况的年份要求</w:t>
            </w:r>
          </w:p>
        </w:tc>
        <w:tc>
          <w:tcPr>
            <w:tcW w:w="6894" w:type="dxa"/>
            <w:vAlign w:val="center"/>
          </w:tcPr>
          <w:p w14:paraId="2CC90334">
            <w:pPr>
              <w:spacing w:line="312" w:lineRule="auto"/>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须提供本单位</w:t>
            </w:r>
            <w:r>
              <w:rPr>
                <w:rFonts w:hint="eastAsia" w:ascii="仿宋" w:hAnsi="仿宋" w:eastAsia="仿宋" w:cs="仿宋"/>
                <w:color w:val="000000" w:themeColor="text1"/>
                <w:sz w:val="24"/>
                <w:szCs w:val="24"/>
                <w:lang w:val="en-US" w:eastAsia="zh-CN"/>
                <w14:textFill>
                  <w14:solidFill>
                    <w14:schemeClr w14:val="tx1"/>
                  </w14:solidFill>
                </w14:textFill>
              </w:rPr>
              <w:t>2025</w:t>
            </w:r>
            <w:r>
              <w:rPr>
                <w:rFonts w:hint="eastAsia" w:ascii="仿宋" w:hAnsi="仿宋" w:eastAsia="仿宋" w:cs="仿宋"/>
                <w:color w:val="000000" w:themeColor="text1"/>
                <w:sz w:val="24"/>
                <w:szCs w:val="24"/>
                <w14:textFill>
                  <w14:solidFill>
                    <w14:schemeClr w14:val="tx1"/>
                  </w14:solidFill>
                </w14:textFill>
              </w:rPr>
              <w:t>年度由会计师事务所出具的财务审计报告，审计报告须包括资产负债表、利润表、现金流量表、所有者权益变动(如有)及其附注(复印件并加盖本单位公章)。如响应供应商注册成立不满一年的则提供成立至今的财务报表（须包括资产负债表、利润表、现金流量表）。</w:t>
            </w:r>
          </w:p>
        </w:tc>
      </w:tr>
      <w:tr w14:paraId="79BC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14:paraId="5066C277">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2548" w:type="dxa"/>
            <w:vAlign w:val="center"/>
          </w:tcPr>
          <w:p w14:paraId="113F3E34">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近年完成的类似项目情况的时间要求</w:t>
            </w:r>
          </w:p>
        </w:tc>
        <w:tc>
          <w:tcPr>
            <w:tcW w:w="6894" w:type="dxa"/>
            <w:vAlign w:val="center"/>
          </w:tcPr>
          <w:p w14:paraId="424204B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近202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月至投标截止日期前。</w:t>
            </w:r>
          </w:p>
        </w:tc>
      </w:tr>
      <w:tr w14:paraId="62A8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14:paraId="58657221">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2548" w:type="dxa"/>
            <w:vAlign w:val="center"/>
          </w:tcPr>
          <w:p w14:paraId="46D8529A">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有依法缴纳税收和依法缴纳社会保障资金的记录</w:t>
            </w:r>
          </w:p>
        </w:tc>
        <w:tc>
          <w:tcPr>
            <w:tcW w:w="6894" w:type="dxa"/>
            <w:vAlign w:val="center"/>
          </w:tcPr>
          <w:p w14:paraId="73E5A606">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1.须提供响应文件递交截止日期之前六个月内任何一个月的纳税记录(如响应供应商缴纳的增值税、所得税、印花税等我国现行税种中任意一项即可)或证明文件原件扫描件(依法免税的应提供相应文件说明)</w:t>
            </w:r>
          </w:p>
          <w:p w14:paraId="4C1F2A57">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2.须提供响应文件递交截止日期之前六个月内任意三个月为员工缴纳社会保障资金的证明材料原件扫描件</w:t>
            </w:r>
          </w:p>
        </w:tc>
      </w:tr>
      <w:tr w14:paraId="5E6D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A467A57">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2548" w:type="dxa"/>
            <w:vAlign w:val="center"/>
          </w:tcPr>
          <w:p w14:paraId="2CD0403C">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响应供应商不得存在的其他情形</w:t>
            </w:r>
          </w:p>
        </w:tc>
        <w:tc>
          <w:tcPr>
            <w:tcW w:w="6894" w:type="dxa"/>
            <w:vAlign w:val="center"/>
          </w:tcPr>
          <w:p w14:paraId="4C3D1576">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与采购人存在利害关系可能影响招标公正性的法人、其他组织或者个人，不得参加投标；2、单位负责人为同一人或者存在控股、管理关系的不同单位，不得参加同一标段投标或者未划分标段的同一采购项目投标，违反前两款规定的，相关投标均无效。</w:t>
            </w:r>
          </w:p>
        </w:tc>
      </w:tr>
      <w:tr w14:paraId="0F7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FE27407">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2548" w:type="dxa"/>
            <w:vAlign w:val="center"/>
          </w:tcPr>
          <w:p w14:paraId="4D89F3E7">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分包</w:t>
            </w:r>
          </w:p>
        </w:tc>
        <w:tc>
          <w:tcPr>
            <w:tcW w:w="6894" w:type="dxa"/>
            <w:vAlign w:val="center"/>
          </w:tcPr>
          <w:p w14:paraId="405ECA12">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本项目不允许分包和转包。</w:t>
            </w:r>
          </w:p>
        </w:tc>
      </w:tr>
      <w:tr w14:paraId="2759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vAlign w:val="center"/>
          </w:tcPr>
          <w:p w14:paraId="7B5402A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2548" w:type="dxa"/>
            <w:vAlign w:val="center"/>
          </w:tcPr>
          <w:p w14:paraId="60F7D401">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实质性要求和条件</w:t>
            </w:r>
          </w:p>
        </w:tc>
        <w:tc>
          <w:tcPr>
            <w:tcW w:w="6894" w:type="dxa"/>
            <w:vAlign w:val="center"/>
          </w:tcPr>
          <w:p w14:paraId="1E8D21E0">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满足采购人采购需求</w:t>
            </w:r>
          </w:p>
        </w:tc>
      </w:tr>
      <w:tr w14:paraId="4286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67" w:type="dxa"/>
            <w:vAlign w:val="center"/>
          </w:tcPr>
          <w:p w14:paraId="2A5F0A6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p>
        </w:tc>
        <w:tc>
          <w:tcPr>
            <w:tcW w:w="2548" w:type="dxa"/>
            <w:vAlign w:val="center"/>
          </w:tcPr>
          <w:p w14:paraId="1B1F00EA">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构成磋商文件的其他资料</w:t>
            </w:r>
          </w:p>
        </w:tc>
        <w:tc>
          <w:tcPr>
            <w:tcW w:w="6894" w:type="dxa"/>
            <w:vAlign w:val="center"/>
          </w:tcPr>
          <w:p w14:paraId="0F72CF47">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磋商文件的补充文件、澄清文件</w:t>
            </w:r>
          </w:p>
        </w:tc>
      </w:tr>
      <w:tr w14:paraId="34B4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067" w:type="dxa"/>
            <w:vAlign w:val="center"/>
          </w:tcPr>
          <w:p w14:paraId="3E1FEE7D">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w:t>
            </w:r>
          </w:p>
        </w:tc>
        <w:tc>
          <w:tcPr>
            <w:tcW w:w="2548" w:type="dxa"/>
            <w:vAlign w:val="center"/>
          </w:tcPr>
          <w:p w14:paraId="6A0D0F3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供应商提出问题的截止时间</w:t>
            </w:r>
          </w:p>
        </w:tc>
        <w:tc>
          <w:tcPr>
            <w:tcW w:w="6894" w:type="dxa"/>
            <w:vAlign w:val="center"/>
          </w:tcPr>
          <w:p w14:paraId="120DC112">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若有疑问，请于磋商文件领取之日起7个工作日内将问题以书面形式提交采购人或采购代理机构。</w:t>
            </w:r>
          </w:p>
        </w:tc>
      </w:tr>
      <w:tr w14:paraId="73C8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67" w:type="dxa"/>
            <w:vAlign w:val="center"/>
          </w:tcPr>
          <w:p w14:paraId="0DC50E9A">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2548" w:type="dxa"/>
            <w:vAlign w:val="center"/>
          </w:tcPr>
          <w:p w14:paraId="5BCDD481">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磋商文件修改发出的形式</w:t>
            </w:r>
          </w:p>
        </w:tc>
        <w:tc>
          <w:tcPr>
            <w:tcW w:w="6894" w:type="dxa"/>
            <w:vAlign w:val="center"/>
          </w:tcPr>
          <w:p w14:paraId="025E394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电子文件，磋商文件的澄清或修改将以发布澄清或变更公告为准</w:t>
            </w:r>
            <w:r>
              <w:rPr>
                <w:rFonts w:hint="eastAsia" w:ascii="仿宋" w:hAnsi="仿宋" w:eastAsia="仿宋" w:cs="仿宋"/>
                <w:b/>
                <w:bCs/>
                <w:color w:val="000000" w:themeColor="text1"/>
                <w:sz w:val="24"/>
                <w:u w:val="single"/>
                <w14:textFill>
                  <w14:solidFill>
                    <w14:schemeClr w14:val="tx1"/>
                  </w14:solidFill>
                </w14:textFill>
              </w:rPr>
              <w:t>（同招标公告发布网站）</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u w:val="single"/>
                <w14:textFill>
                  <w14:solidFill>
                    <w14:schemeClr w14:val="tx1"/>
                  </w14:solidFill>
                </w14:textFill>
              </w:rPr>
              <w:t>所有投标供应商应关注网站并及时查看，采购人不再进行书面或其他形式通知，未及时看变更或澄清公告由此导致的一切后果均由投标供应商自负。</w:t>
            </w:r>
          </w:p>
        </w:tc>
      </w:tr>
      <w:tr w14:paraId="07BF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67" w:type="dxa"/>
            <w:vAlign w:val="center"/>
          </w:tcPr>
          <w:p w14:paraId="7DB9A69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w:t>
            </w:r>
          </w:p>
        </w:tc>
        <w:tc>
          <w:tcPr>
            <w:tcW w:w="2548" w:type="dxa"/>
            <w:vAlign w:val="center"/>
          </w:tcPr>
          <w:p w14:paraId="563881F6">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备选方案</w:t>
            </w:r>
          </w:p>
        </w:tc>
        <w:tc>
          <w:tcPr>
            <w:tcW w:w="6894" w:type="dxa"/>
            <w:vAlign w:val="center"/>
          </w:tcPr>
          <w:p w14:paraId="50DEA07E">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不接受备选方案</w:t>
            </w:r>
          </w:p>
        </w:tc>
      </w:tr>
      <w:tr w14:paraId="42CA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67" w:type="dxa"/>
            <w:vAlign w:val="center"/>
          </w:tcPr>
          <w:p w14:paraId="69A8E18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w:t>
            </w:r>
          </w:p>
        </w:tc>
        <w:tc>
          <w:tcPr>
            <w:tcW w:w="2548" w:type="dxa"/>
            <w:vAlign w:val="center"/>
          </w:tcPr>
          <w:p w14:paraId="0EE1E9E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增值税税金的计算方法</w:t>
            </w:r>
          </w:p>
        </w:tc>
        <w:tc>
          <w:tcPr>
            <w:tcW w:w="6894" w:type="dxa"/>
            <w:vAlign w:val="center"/>
          </w:tcPr>
          <w:p w14:paraId="0BD6997C">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增值税税金按一般计税方法计算，包含在投标报价中</w:t>
            </w:r>
          </w:p>
        </w:tc>
      </w:tr>
      <w:tr w14:paraId="4DF9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67" w:type="dxa"/>
            <w:vAlign w:val="center"/>
          </w:tcPr>
          <w:p w14:paraId="7ECEAAC0">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w:t>
            </w:r>
          </w:p>
        </w:tc>
        <w:tc>
          <w:tcPr>
            <w:tcW w:w="2548" w:type="dxa"/>
            <w:vAlign w:val="center"/>
          </w:tcPr>
          <w:p w14:paraId="5979782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最高投标限价</w:t>
            </w:r>
          </w:p>
        </w:tc>
        <w:tc>
          <w:tcPr>
            <w:tcW w:w="6894" w:type="dxa"/>
            <w:vAlign w:val="center"/>
          </w:tcPr>
          <w:p w14:paraId="2402E89A">
            <w:pPr>
              <w:adjustRightInd w:val="0"/>
              <w:snapToGrid w:val="0"/>
              <w:spacing w:line="360" w:lineRule="auto"/>
              <w:jc w:val="lef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最高投标限价：</w:t>
            </w:r>
            <w:r>
              <w:rPr>
                <w:rFonts w:hint="eastAsia" w:ascii="仿宋" w:hAnsi="仿宋" w:eastAsia="仿宋" w:cs="仿宋"/>
                <w:b/>
                <w:bCs/>
                <w:color w:val="000000" w:themeColor="text1"/>
                <w:sz w:val="28"/>
                <w:szCs w:val="28"/>
                <w:lang w:val="en-US" w:eastAsia="zh-CN"/>
                <w14:textFill>
                  <w14:solidFill>
                    <w14:schemeClr w14:val="tx1"/>
                  </w14:solidFill>
                </w14:textFill>
              </w:rPr>
              <w:t>650000.00</w:t>
            </w:r>
            <w:r>
              <w:rPr>
                <w:rFonts w:hint="eastAsia" w:ascii="仿宋" w:hAnsi="仿宋" w:eastAsia="仿宋" w:cs="仿宋"/>
                <w:b/>
                <w:bCs/>
                <w:color w:val="000000" w:themeColor="text1"/>
                <w:sz w:val="28"/>
                <w:szCs w:val="28"/>
                <w14:textFill>
                  <w14:solidFill>
                    <w14:schemeClr w14:val="tx1"/>
                  </w14:solidFill>
                </w14:textFill>
              </w:rPr>
              <w:t>.00元</w:t>
            </w:r>
          </w:p>
          <w:p w14:paraId="1EA22886">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本次竞争性磋商采购将有两次报价，供应商通过政采云系统编制响应文件时填报的报价为第一次报价；评标过程中供应商通过政采云系统进行的报价为第二次报价(即最终报价)；第一次报价(即开标报价)及第二次报价(即最终报价)均不能超过所投标项的最高限价且最终报价不能超过第一次报价，否则作无效投标处理。</w:t>
            </w:r>
          </w:p>
        </w:tc>
      </w:tr>
      <w:tr w14:paraId="61F3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7" w:type="dxa"/>
            <w:vAlign w:val="center"/>
          </w:tcPr>
          <w:p w14:paraId="742DF60A">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w:t>
            </w:r>
          </w:p>
        </w:tc>
        <w:tc>
          <w:tcPr>
            <w:tcW w:w="2548" w:type="dxa"/>
            <w:vAlign w:val="center"/>
          </w:tcPr>
          <w:p w14:paraId="2244DCA3">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响应有效期（投标有效期）</w:t>
            </w:r>
          </w:p>
        </w:tc>
        <w:tc>
          <w:tcPr>
            <w:tcW w:w="6894" w:type="dxa"/>
            <w:vAlign w:val="center"/>
          </w:tcPr>
          <w:p w14:paraId="46D12E8F">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60天</w:t>
            </w:r>
          </w:p>
        </w:tc>
      </w:tr>
      <w:tr w14:paraId="5812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067" w:type="dxa"/>
            <w:vAlign w:val="center"/>
          </w:tcPr>
          <w:p w14:paraId="67B8276D">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w:t>
            </w:r>
          </w:p>
        </w:tc>
        <w:tc>
          <w:tcPr>
            <w:tcW w:w="2548" w:type="dxa"/>
            <w:vAlign w:val="center"/>
          </w:tcPr>
          <w:p w14:paraId="1ECD5EB6">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投标保证金</w:t>
            </w:r>
          </w:p>
        </w:tc>
        <w:tc>
          <w:tcPr>
            <w:tcW w:w="6894" w:type="dxa"/>
            <w:vAlign w:val="center"/>
          </w:tcPr>
          <w:p w14:paraId="47B724F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本项目不做要求。</w:t>
            </w:r>
          </w:p>
        </w:tc>
      </w:tr>
      <w:tr w14:paraId="2B2A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1067" w:type="dxa"/>
            <w:vAlign w:val="center"/>
          </w:tcPr>
          <w:p w14:paraId="65255B5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w:t>
            </w:r>
          </w:p>
        </w:tc>
        <w:tc>
          <w:tcPr>
            <w:tcW w:w="2548" w:type="dxa"/>
            <w:vAlign w:val="center"/>
          </w:tcPr>
          <w:p w14:paraId="652E282B">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资格审查资料的特殊要求</w:t>
            </w:r>
          </w:p>
        </w:tc>
        <w:tc>
          <w:tcPr>
            <w:tcW w:w="6894" w:type="dxa"/>
            <w:vAlign w:val="center"/>
          </w:tcPr>
          <w:p w14:paraId="36C7D45C">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响应供应商制作电子版响应文件时须保证响应文件中的资料、图片为原件扫描件，须严谨、清晰、完整，如因此原因出现废标、扣分等情况，各响应供应商自行负责。</w:t>
            </w:r>
          </w:p>
        </w:tc>
      </w:tr>
      <w:tr w14:paraId="68A4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1067" w:type="dxa"/>
            <w:vAlign w:val="center"/>
          </w:tcPr>
          <w:p w14:paraId="1E2EA936">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29</w:t>
            </w:r>
          </w:p>
        </w:tc>
        <w:tc>
          <w:tcPr>
            <w:tcW w:w="2548" w:type="dxa"/>
            <w:vAlign w:val="center"/>
          </w:tcPr>
          <w:p w14:paraId="7F1E4F56">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企业信誉要求（无不良行为记录）</w:t>
            </w:r>
          </w:p>
        </w:tc>
        <w:tc>
          <w:tcPr>
            <w:tcW w:w="6894" w:type="dxa"/>
            <w:vAlign w:val="center"/>
          </w:tcPr>
          <w:p w14:paraId="48D68476">
            <w:pPr>
              <w:pStyle w:val="25"/>
              <w:spacing w:after="156" w:line="360" w:lineRule="auto"/>
              <w:jc w:val="left"/>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近三年在“信用中国”网站（www.creditchina.gov.cn）、中国政府采购网（www.ccgp.gov.cn）、 被列入失信被执行人、重大税收违法案件当事人名单、政府采购严重违法失信行为记录名单的（尚在处罚期内的），将拒绝其参本次政府采购活动（由磋商小组成员现场查询）；在参加政府采购活动前三年内，在经营活动中没有无重大违法记录。</w:t>
            </w:r>
          </w:p>
        </w:tc>
      </w:tr>
      <w:tr w14:paraId="0930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0A70707F">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30</w:t>
            </w:r>
          </w:p>
        </w:tc>
        <w:tc>
          <w:tcPr>
            <w:tcW w:w="2548" w:type="dxa"/>
            <w:vAlign w:val="center"/>
          </w:tcPr>
          <w:p w14:paraId="1698750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是否允许递交备选投标方案</w:t>
            </w:r>
          </w:p>
        </w:tc>
        <w:tc>
          <w:tcPr>
            <w:tcW w:w="6894" w:type="dxa"/>
            <w:vAlign w:val="center"/>
          </w:tcPr>
          <w:p w14:paraId="71CF6769">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□允许</w:t>
            </w:r>
          </w:p>
          <w:p w14:paraId="3CBF125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不允许</w:t>
            </w:r>
          </w:p>
        </w:tc>
      </w:tr>
      <w:tr w14:paraId="297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67" w:type="dxa"/>
            <w:vAlign w:val="center"/>
          </w:tcPr>
          <w:p w14:paraId="235D353D">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w:t>
            </w:r>
          </w:p>
        </w:tc>
        <w:tc>
          <w:tcPr>
            <w:tcW w:w="2548" w:type="dxa"/>
            <w:vAlign w:val="center"/>
          </w:tcPr>
          <w:p w14:paraId="49D0397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响应文件副本份数及其他要求</w:t>
            </w:r>
          </w:p>
        </w:tc>
        <w:tc>
          <w:tcPr>
            <w:tcW w:w="6894" w:type="dxa"/>
            <w:vAlign w:val="center"/>
          </w:tcPr>
          <w:p w14:paraId="5438FE3E">
            <w:pPr>
              <w:pStyle w:val="25"/>
              <w:spacing w:after="156" w:line="360" w:lineRule="auto"/>
              <w:jc w:val="left"/>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本项目拟采用政采云不见面开标系统进行开评标。</w:t>
            </w:r>
          </w:p>
        </w:tc>
      </w:tr>
      <w:tr w14:paraId="3B5C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7167479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w:t>
            </w:r>
          </w:p>
        </w:tc>
        <w:tc>
          <w:tcPr>
            <w:tcW w:w="2548" w:type="dxa"/>
            <w:vAlign w:val="center"/>
          </w:tcPr>
          <w:p w14:paraId="22327C65">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响应文件是否需分册装订</w:t>
            </w:r>
          </w:p>
        </w:tc>
        <w:tc>
          <w:tcPr>
            <w:tcW w:w="6894" w:type="dxa"/>
            <w:vAlign w:val="center"/>
          </w:tcPr>
          <w:p w14:paraId="05DAF102">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本项目拟采用政采云不见面开标系统进行开评标，不对纸质版文件进行要求，</w:t>
            </w:r>
            <w:r>
              <w:rPr>
                <w:rFonts w:hint="eastAsia" w:ascii="仿宋" w:hAnsi="仿宋" w:eastAsia="仿宋" w:cs="仿宋"/>
                <w:b/>
                <w:bCs/>
                <w:color w:val="000000" w:themeColor="text1"/>
                <w:sz w:val="24"/>
                <w14:textFill>
                  <w14:solidFill>
                    <w14:schemeClr w14:val="tx1"/>
                  </w14:solidFill>
                </w14:textFill>
              </w:rPr>
              <w:t>供应商需要使用CA锁，登录政府采购云平台电子投标客户端制作响应文件，将生成的“JMBS格式电子加密响应文件”上传递交至“政府采购云平台”</w:t>
            </w:r>
          </w:p>
        </w:tc>
      </w:tr>
      <w:tr w14:paraId="0C5C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6734C5FC">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w:t>
            </w:r>
          </w:p>
        </w:tc>
        <w:tc>
          <w:tcPr>
            <w:tcW w:w="2548" w:type="dxa"/>
            <w:vAlign w:val="center"/>
          </w:tcPr>
          <w:p w14:paraId="6E9C4696">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响应文件签字或盖章要求</w:t>
            </w:r>
          </w:p>
        </w:tc>
        <w:tc>
          <w:tcPr>
            <w:tcW w:w="6894" w:type="dxa"/>
            <w:vAlign w:val="center"/>
          </w:tcPr>
          <w:p w14:paraId="7C4CD3DC">
            <w:pPr>
              <w:spacing w:line="360" w:lineRule="auto"/>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1、企业公章、企业法定代表人或授权委托人签字或签章。</w:t>
            </w:r>
          </w:p>
          <w:p w14:paraId="2A68AA5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2、响应文件正副本须逐页加盖企业公章</w:t>
            </w:r>
          </w:p>
        </w:tc>
      </w:tr>
      <w:tr w14:paraId="2F5E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067" w:type="dxa"/>
            <w:vAlign w:val="center"/>
          </w:tcPr>
          <w:p w14:paraId="5599087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w:t>
            </w:r>
          </w:p>
        </w:tc>
        <w:tc>
          <w:tcPr>
            <w:tcW w:w="2548" w:type="dxa"/>
            <w:vAlign w:val="center"/>
          </w:tcPr>
          <w:p w14:paraId="6AE6BF87">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响应文件密封要求</w:t>
            </w:r>
          </w:p>
        </w:tc>
        <w:tc>
          <w:tcPr>
            <w:tcW w:w="6894" w:type="dxa"/>
            <w:vAlign w:val="center"/>
          </w:tcPr>
          <w:p w14:paraId="314E9960">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本项目拟采用政采云不见面开标系统进行开评标，响应供应商制作电子响应文件时须进行加密。</w:t>
            </w:r>
          </w:p>
        </w:tc>
      </w:tr>
      <w:tr w14:paraId="7877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63892C2F">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w:t>
            </w:r>
          </w:p>
        </w:tc>
        <w:tc>
          <w:tcPr>
            <w:tcW w:w="2548" w:type="dxa"/>
            <w:vAlign w:val="center"/>
          </w:tcPr>
          <w:p w14:paraId="2071016F">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封套上应载明的信息</w:t>
            </w:r>
          </w:p>
        </w:tc>
        <w:tc>
          <w:tcPr>
            <w:tcW w:w="6894" w:type="dxa"/>
            <w:vAlign w:val="center"/>
          </w:tcPr>
          <w:p w14:paraId="2A50CA8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r>
      <w:tr w14:paraId="64E3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067" w:type="dxa"/>
            <w:vAlign w:val="center"/>
          </w:tcPr>
          <w:p w14:paraId="1856682D">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36</w:t>
            </w:r>
          </w:p>
        </w:tc>
        <w:tc>
          <w:tcPr>
            <w:tcW w:w="2548" w:type="dxa"/>
            <w:vAlign w:val="center"/>
          </w:tcPr>
          <w:p w14:paraId="45E73208">
            <w:pPr>
              <w:spacing w:line="360" w:lineRule="auto"/>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响应截止时间</w:t>
            </w:r>
          </w:p>
        </w:tc>
        <w:tc>
          <w:tcPr>
            <w:tcW w:w="6894" w:type="dxa"/>
            <w:vAlign w:val="center"/>
          </w:tcPr>
          <w:p w14:paraId="517732C6">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06</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11:00</w:t>
            </w:r>
            <w:r>
              <w:rPr>
                <w:rFonts w:hint="eastAsia" w:ascii="仿宋" w:hAnsi="仿宋" w:eastAsia="仿宋" w:cs="仿宋"/>
                <w:color w:val="000000" w:themeColor="text1"/>
                <w:sz w:val="24"/>
                <w:szCs w:val="24"/>
                <w14:textFill>
                  <w14:solidFill>
                    <w14:schemeClr w14:val="tx1"/>
                  </w14:solidFill>
                </w14:textFill>
              </w:rPr>
              <w:t>（北京时间）</w:t>
            </w:r>
          </w:p>
        </w:tc>
      </w:tr>
      <w:tr w14:paraId="0C94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67" w:type="dxa"/>
            <w:vAlign w:val="center"/>
          </w:tcPr>
          <w:p w14:paraId="0EC69FA3">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w:t>
            </w:r>
          </w:p>
        </w:tc>
        <w:tc>
          <w:tcPr>
            <w:tcW w:w="2548" w:type="dxa"/>
            <w:vAlign w:val="center"/>
          </w:tcPr>
          <w:p w14:paraId="74E6EA95">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递交响应文件地点</w:t>
            </w:r>
          </w:p>
        </w:tc>
        <w:tc>
          <w:tcPr>
            <w:tcW w:w="6894" w:type="dxa"/>
            <w:vAlign w:val="center"/>
          </w:tcPr>
          <w:p w14:paraId="59C24313">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政府采购云平台http://www.zcygov.cn/（政采云网上不见面开评标系统）</w:t>
            </w:r>
          </w:p>
        </w:tc>
      </w:tr>
      <w:tr w14:paraId="6D13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67" w:type="dxa"/>
            <w:vAlign w:val="center"/>
          </w:tcPr>
          <w:p w14:paraId="26E7887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38</w:t>
            </w:r>
          </w:p>
        </w:tc>
        <w:tc>
          <w:tcPr>
            <w:tcW w:w="2548" w:type="dxa"/>
            <w:vAlign w:val="center"/>
          </w:tcPr>
          <w:p w14:paraId="1B6AA2EF">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响应文件是否退还</w:t>
            </w:r>
          </w:p>
        </w:tc>
        <w:tc>
          <w:tcPr>
            <w:tcW w:w="6894" w:type="dxa"/>
            <w:vAlign w:val="center"/>
          </w:tcPr>
          <w:p w14:paraId="64F967AA">
            <w:pPr>
              <w:tabs>
                <w:tab w:val="center" w:pos="2931"/>
              </w:tabs>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否</w:t>
            </w:r>
            <w:r>
              <w:rPr>
                <w:rFonts w:hint="eastAsia" w:ascii="仿宋" w:hAnsi="仿宋" w:eastAsia="仿宋" w:cs="仿宋"/>
                <w:color w:val="000000" w:themeColor="text1"/>
                <w:sz w:val="24"/>
                <w:szCs w:val="24"/>
                <w14:textFill>
                  <w14:solidFill>
                    <w14:schemeClr w14:val="tx1"/>
                  </w14:solidFill>
                </w14:textFill>
              </w:rPr>
              <w:tab/>
            </w:r>
          </w:p>
          <w:p w14:paraId="4F0AD17A">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□是，退还时间：</w:t>
            </w:r>
          </w:p>
        </w:tc>
      </w:tr>
      <w:tr w14:paraId="3BF2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1067" w:type="dxa"/>
            <w:vAlign w:val="center"/>
          </w:tcPr>
          <w:p w14:paraId="1272647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39</w:t>
            </w:r>
          </w:p>
        </w:tc>
        <w:tc>
          <w:tcPr>
            <w:tcW w:w="2548" w:type="dxa"/>
            <w:vAlign w:val="center"/>
          </w:tcPr>
          <w:p w14:paraId="49846FC3">
            <w:pPr>
              <w:spacing w:line="360" w:lineRule="auto"/>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磋商时间和地点</w:t>
            </w:r>
          </w:p>
        </w:tc>
        <w:tc>
          <w:tcPr>
            <w:tcW w:w="6894" w:type="dxa"/>
            <w:vAlign w:val="center"/>
          </w:tcPr>
          <w:p w14:paraId="78C05976">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磋商时间：</w:t>
            </w:r>
            <w:r>
              <w:rPr>
                <w:rFonts w:hint="eastAsia" w:ascii="仿宋" w:hAnsi="仿宋" w:eastAsia="仿宋" w:cs="仿宋"/>
                <w:color w:val="000000" w:themeColor="text1"/>
                <w:sz w:val="24"/>
                <w:szCs w:val="24"/>
                <w:highlight w:val="none"/>
                <w:lang w:eastAsia="zh-CN"/>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06</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lang w:eastAsia="zh-CN"/>
                <w14:textFill>
                  <w14:solidFill>
                    <w14:schemeClr w14:val="tx1"/>
                  </w14:solidFill>
                </w14:textFill>
              </w:rPr>
              <w:t xml:space="preserve"> 11:00</w:t>
            </w:r>
            <w:r>
              <w:rPr>
                <w:rFonts w:hint="eastAsia" w:ascii="仿宋" w:hAnsi="仿宋" w:eastAsia="仿宋" w:cs="仿宋"/>
                <w:color w:val="000000" w:themeColor="text1"/>
                <w:sz w:val="24"/>
                <w:szCs w:val="24"/>
                <w14:textFill>
                  <w14:solidFill>
                    <w14:schemeClr w14:val="tx1"/>
                  </w14:solidFill>
                </w14:textFill>
              </w:rPr>
              <w:t>（北京时间）（同响应截止时间）</w:t>
            </w:r>
          </w:p>
          <w:p w14:paraId="06350AF7">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磋商地点：</w:t>
            </w:r>
            <w:r>
              <w:rPr>
                <w:rFonts w:hint="eastAsia" w:ascii="仿宋" w:hAnsi="仿宋" w:eastAsia="仿宋" w:cs="仿宋"/>
                <w:color w:val="000000" w:themeColor="text1"/>
                <w:sz w:val="24"/>
                <w14:textFill>
                  <w14:solidFill>
                    <w14:schemeClr w14:val="tx1"/>
                  </w14:solidFill>
                </w14:textFill>
              </w:rPr>
              <w:t>政府采购云平台http://www.zcygov.cn/（政采云网上不见面开评标系统）</w:t>
            </w:r>
          </w:p>
        </w:tc>
      </w:tr>
      <w:tr w14:paraId="1841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14:paraId="5E34F6D1">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w:t>
            </w:r>
          </w:p>
        </w:tc>
        <w:tc>
          <w:tcPr>
            <w:tcW w:w="2548" w:type="dxa"/>
            <w:vAlign w:val="center"/>
          </w:tcPr>
          <w:p w14:paraId="30ED9C80">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竞争性磋商小组的组建</w:t>
            </w:r>
          </w:p>
        </w:tc>
        <w:tc>
          <w:tcPr>
            <w:tcW w:w="6894" w:type="dxa"/>
            <w:vAlign w:val="center"/>
          </w:tcPr>
          <w:p w14:paraId="2699958C">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竞争性磋商小组的构成：</w:t>
            </w:r>
            <w:r>
              <w:rPr>
                <w:rFonts w:hint="eastAsia" w:ascii="仿宋" w:hAnsi="仿宋" w:eastAsia="仿宋" w:cs="仿宋"/>
                <w:color w:val="000000" w:themeColor="text1"/>
                <w:sz w:val="24"/>
                <w:szCs w:val="24"/>
                <w:u w:val="single"/>
                <w14:textFill>
                  <w14:solidFill>
                    <w14:schemeClr w14:val="tx1"/>
                  </w14:solidFill>
                </w14:textFill>
              </w:rPr>
              <w:t xml:space="preserve">  3 </w:t>
            </w:r>
            <w:r>
              <w:rPr>
                <w:rFonts w:hint="eastAsia" w:ascii="仿宋" w:hAnsi="仿宋" w:eastAsia="仿宋" w:cs="仿宋"/>
                <w:color w:val="000000" w:themeColor="text1"/>
                <w:sz w:val="24"/>
                <w:szCs w:val="24"/>
                <w14:textFill>
                  <w14:solidFill>
                    <w14:schemeClr w14:val="tx1"/>
                  </w14:solidFill>
                </w14:textFill>
              </w:rPr>
              <w:t>人</w:t>
            </w:r>
          </w:p>
          <w:p w14:paraId="6D0AD46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其中采购人代表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0</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人，专家</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3</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w:t>
            </w:r>
          </w:p>
          <w:p w14:paraId="53845F1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竞争性磋商小组成员确定方式：政采云平台随机抽取。</w:t>
            </w:r>
          </w:p>
        </w:tc>
      </w:tr>
      <w:tr w14:paraId="18C9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358B85CF">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w:t>
            </w:r>
          </w:p>
        </w:tc>
        <w:tc>
          <w:tcPr>
            <w:tcW w:w="2548" w:type="dxa"/>
            <w:vAlign w:val="center"/>
          </w:tcPr>
          <w:p w14:paraId="449936C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竞争性磋商小组推荐成交候选人的人数</w:t>
            </w:r>
          </w:p>
        </w:tc>
        <w:tc>
          <w:tcPr>
            <w:tcW w:w="6894" w:type="dxa"/>
            <w:vAlign w:val="center"/>
          </w:tcPr>
          <w:p w14:paraId="44D775AA">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3  </w:t>
            </w:r>
            <w:r>
              <w:rPr>
                <w:rFonts w:hint="eastAsia" w:ascii="仿宋" w:hAnsi="仿宋" w:eastAsia="仿宋" w:cs="仿宋"/>
                <w:color w:val="000000" w:themeColor="text1"/>
                <w:sz w:val="24"/>
                <w:szCs w:val="24"/>
                <w14:textFill>
                  <w14:solidFill>
                    <w14:schemeClr w14:val="tx1"/>
                  </w14:solidFill>
                </w14:textFill>
              </w:rPr>
              <w:t>人</w:t>
            </w:r>
          </w:p>
        </w:tc>
      </w:tr>
      <w:tr w14:paraId="42D6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13C52E0C">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w:t>
            </w:r>
          </w:p>
        </w:tc>
        <w:tc>
          <w:tcPr>
            <w:tcW w:w="2548" w:type="dxa"/>
            <w:vAlign w:val="center"/>
          </w:tcPr>
          <w:p w14:paraId="0E844413">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中标候选人公示媒介及期限</w:t>
            </w:r>
          </w:p>
        </w:tc>
        <w:tc>
          <w:tcPr>
            <w:tcW w:w="6894" w:type="dxa"/>
            <w:vAlign w:val="center"/>
          </w:tcPr>
          <w:p w14:paraId="03344BD9">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公示媒介：新疆政府采购网、</w:t>
            </w:r>
            <w:r>
              <w:rPr>
                <w:rFonts w:hint="eastAsia" w:ascii="仿宋" w:hAnsi="仿宋" w:eastAsia="仿宋" w:cs="仿宋"/>
                <w:color w:val="000000" w:themeColor="text1"/>
                <w:sz w:val="24"/>
                <w:szCs w:val="24"/>
                <w:lang w:val="en-US" w:eastAsia="zh-CN"/>
                <w14:textFill>
                  <w14:solidFill>
                    <w14:schemeClr w14:val="tx1"/>
                  </w14:solidFill>
                </w14:textFill>
              </w:rPr>
              <w:t>阿瓦提县人民政府</w:t>
            </w:r>
            <w:r>
              <w:rPr>
                <w:rFonts w:hint="eastAsia" w:ascii="仿宋" w:hAnsi="仿宋" w:eastAsia="仿宋" w:cs="仿宋"/>
                <w:color w:val="000000" w:themeColor="text1"/>
                <w:sz w:val="24"/>
                <w:szCs w:val="24"/>
                <w14:textFill>
                  <w14:solidFill>
                    <w14:schemeClr w14:val="tx1"/>
                  </w14:solidFill>
                </w14:textFill>
              </w:rPr>
              <w:t>网。  </w:t>
            </w:r>
          </w:p>
          <w:p w14:paraId="084E6721">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公示期限：</w:t>
            </w:r>
            <w:r>
              <w:rPr>
                <w:rFonts w:hint="eastAsia" w:ascii="仿宋" w:hAnsi="仿宋" w:eastAsia="仿宋" w:cs="仿宋"/>
                <w:color w:val="000000" w:themeColor="text1"/>
                <w:sz w:val="24"/>
                <w:szCs w:val="24"/>
                <w:u w:val="single"/>
                <w14:textFill>
                  <w14:solidFill>
                    <w14:schemeClr w14:val="tx1"/>
                  </w14:solidFill>
                </w14:textFill>
              </w:rPr>
              <w:t xml:space="preserve">  1  </w:t>
            </w:r>
            <w:r>
              <w:rPr>
                <w:rFonts w:hint="eastAsia" w:ascii="仿宋" w:hAnsi="仿宋" w:eastAsia="仿宋" w:cs="仿宋"/>
                <w:color w:val="000000" w:themeColor="text1"/>
                <w:sz w:val="24"/>
                <w:szCs w:val="24"/>
                <w14:textFill>
                  <w14:solidFill>
                    <w14:schemeClr w14:val="tx1"/>
                  </w14:solidFill>
                </w14:textFill>
              </w:rPr>
              <w:t>工作日</w:t>
            </w:r>
          </w:p>
        </w:tc>
      </w:tr>
      <w:tr w14:paraId="73C7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4D0D4B83">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w:t>
            </w:r>
          </w:p>
        </w:tc>
        <w:tc>
          <w:tcPr>
            <w:tcW w:w="2548" w:type="dxa"/>
            <w:vAlign w:val="center"/>
          </w:tcPr>
          <w:p w14:paraId="1216B8A2">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是否授权竞争性磋商小组确定成交供应商</w:t>
            </w:r>
          </w:p>
        </w:tc>
        <w:tc>
          <w:tcPr>
            <w:tcW w:w="6894" w:type="dxa"/>
            <w:vAlign w:val="center"/>
          </w:tcPr>
          <w:p w14:paraId="0CB5E2B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是</w:t>
            </w:r>
          </w:p>
          <w:p w14:paraId="38C835D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否</w:t>
            </w:r>
          </w:p>
        </w:tc>
      </w:tr>
      <w:tr w14:paraId="5877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67" w:type="dxa"/>
            <w:vAlign w:val="center"/>
          </w:tcPr>
          <w:p w14:paraId="3F9093A6">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w:t>
            </w:r>
          </w:p>
        </w:tc>
        <w:tc>
          <w:tcPr>
            <w:tcW w:w="2548" w:type="dxa"/>
            <w:vAlign w:val="center"/>
          </w:tcPr>
          <w:p w14:paraId="287D0F2A">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履约保证金</w:t>
            </w:r>
          </w:p>
        </w:tc>
        <w:tc>
          <w:tcPr>
            <w:tcW w:w="6894" w:type="dxa"/>
            <w:vAlign w:val="center"/>
          </w:tcPr>
          <w:p w14:paraId="60BB7926">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履约担保的形式：支票、汇票或银行保函</w:t>
            </w:r>
          </w:p>
          <w:p w14:paraId="13239E2B">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履约担保的金额</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中标价的5%</w:t>
            </w:r>
            <w:r>
              <w:rPr>
                <w:rFonts w:hint="eastAsia" w:ascii="仿宋" w:hAnsi="仿宋" w:eastAsia="仿宋" w:cs="仿宋"/>
                <w:color w:val="auto"/>
                <w:sz w:val="24"/>
                <w:szCs w:val="24"/>
              </w:rPr>
              <w:t>。</w:t>
            </w:r>
          </w:p>
        </w:tc>
      </w:tr>
      <w:tr w14:paraId="2CC5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restart"/>
            <w:vAlign w:val="center"/>
          </w:tcPr>
          <w:p w14:paraId="7F28585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45</w:t>
            </w:r>
          </w:p>
        </w:tc>
        <w:tc>
          <w:tcPr>
            <w:tcW w:w="2548" w:type="dxa"/>
            <w:vMerge w:val="restart"/>
            <w:vAlign w:val="center"/>
          </w:tcPr>
          <w:p w14:paraId="49D216B6">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需要补充的其他内容</w:t>
            </w:r>
          </w:p>
        </w:tc>
        <w:tc>
          <w:tcPr>
            <w:tcW w:w="6894" w:type="dxa"/>
            <w:vAlign w:val="center"/>
          </w:tcPr>
          <w:p w14:paraId="1BBE2FF1">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1、竞争性磋商文件及补充文件要求的证明材料，响应供应商均需在原件扫描清晰上传，如因响应供应商未提供清晰的原件扫描件导致的相关后果，响应供应商自行承担。</w:t>
            </w:r>
          </w:p>
          <w:p w14:paraId="6A41F2A3">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b/>
                <w:bCs/>
                <w:color w:val="000000" w:themeColor="text1"/>
                <w:sz w:val="24"/>
                <w:szCs w:val="24"/>
                <w14:textFill>
                  <w14:solidFill>
                    <w14:schemeClr w14:val="tx1"/>
                  </w14:solidFill>
                </w14:textFill>
              </w:rPr>
              <w:t>本项目采用新疆政府采购网政采云不见面开标系统进行开评标，各合格响应供应商须及时办理CA锁，不见面开标系统中上传的响应文件须进行CA加密并按要求上传。各响应供应商须在开标时及时对所上传响应文件进行解密，未按时解密签字可能导致投标无效，其后果由响应供应商自行承担；响应供应商在制作响应文件时须关联相关评审点，如因此原因出现废标、扣分等情况，各响应供应商自行负责。</w:t>
            </w:r>
          </w:p>
          <w:p w14:paraId="7F0638FE">
            <w:pPr>
              <w:pStyle w:val="50"/>
              <w:ind w:firstLine="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3、本项目不组织现场踏勘，响应供应商可自行进行现场踏勘。</w:t>
            </w:r>
          </w:p>
        </w:tc>
      </w:tr>
      <w:tr w14:paraId="61F9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67" w:type="dxa"/>
            <w:vMerge w:val="continue"/>
            <w:vAlign w:val="center"/>
          </w:tcPr>
          <w:p w14:paraId="2C823F47">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48" w:type="dxa"/>
            <w:vMerge w:val="continue"/>
            <w:vAlign w:val="center"/>
          </w:tcPr>
          <w:p w14:paraId="1BC2565F">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6894" w:type="dxa"/>
            <w:vAlign w:val="center"/>
          </w:tcPr>
          <w:p w14:paraId="09782A3F">
            <w:pPr>
              <w:pStyle w:val="50"/>
              <w:spacing w:line="360" w:lineRule="auto"/>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本项目招标文件所有开、评标时间均以新疆政府采购网本项目招标相关公告时间为准，如有异议请及时联系招标代理公司。</w:t>
            </w:r>
          </w:p>
        </w:tc>
      </w:tr>
      <w:tr w14:paraId="58F6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3626C2FC">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46</w:t>
            </w:r>
          </w:p>
        </w:tc>
        <w:tc>
          <w:tcPr>
            <w:tcW w:w="2548" w:type="dxa"/>
            <w:vAlign w:val="center"/>
          </w:tcPr>
          <w:p w14:paraId="08131F6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政策优惠</w:t>
            </w:r>
          </w:p>
        </w:tc>
        <w:tc>
          <w:tcPr>
            <w:tcW w:w="6894" w:type="dxa"/>
            <w:vAlign w:val="center"/>
          </w:tcPr>
          <w:p w14:paraId="60A894CC">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中型、小型、微型企业：</w:t>
            </w:r>
            <w:r>
              <w:rPr>
                <w:rFonts w:hint="eastAsia" w:ascii="仿宋" w:hAnsi="仿宋" w:eastAsia="仿宋" w:cs="仿宋"/>
                <w:color w:val="000000" w:themeColor="text1"/>
                <w:sz w:val="24"/>
                <w:szCs w:val="24"/>
                <w14:textFill>
                  <w14:solidFill>
                    <w14:schemeClr w14:val="tx1"/>
                  </w14:solidFill>
                </w14:textFill>
              </w:rPr>
              <w:t>根据《政府采购促进中小企业发展管理办法》（财库﹝2020﹞46 号）、《关于进一步加大政府采购支持中小企业力度的通知》（财库〔2022〕19号）相关规定</w:t>
            </w:r>
          </w:p>
          <w:p w14:paraId="3E6142E8">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（1）非专门面向中小企业预留采购项目中小企业（含中型、小型、微型企业，下同）单独参加本项目的投标：</w:t>
            </w:r>
          </w:p>
          <w:p w14:paraId="34508E3B">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①提供小、微型企业生产的产品或服务的，给予10%的价格扣除，用扣除后的价格参与评审。②提供大、中型企业生产的产品或服务的，不进行价格扣除。</w:t>
            </w:r>
          </w:p>
          <w:p w14:paraId="116D4002">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（2）参加本次采购活动的中小企业，应当在响应文件中提供有效的《中小企业声明函》，并对其真实性负责。</w:t>
            </w:r>
          </w:p>
          <w:p w14:paraId="273D46A6">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大中型企业和其他自然人、法人或者其他组织与小型、微型企业组成联合体共同参加本项目投标，凡联合协议中约定，小型、微型企业的协议合同金额占到联合体协议合同总金额30%以上的，给予联合体2%的价格扣除；联合体各方均为小型企业的，联合体视同为小型企业；联合体各方均为微型企业的，联合体视同为微型企业。</w:t>
            </w:r>
          </w:p>
          <w:p w14:paraId="74CC1170">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监狱企业：</w:t>
            </w:r>
            <w:r>
              <w:rPr>
                <w:rFonts w:hint="eastAsia" w:ascii="仿宋" w:hAnsi="仿宋" w:eastAsia="仿宋" w:cs="仿宋"/>
                <w:color w:val="000000" w:themeColor="text1"/>
                <w:sz w:val="24"/>
                <w:szCs w:val="24"/>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14:paraId="53C5EC4C">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监狱企业视同微型企业。</w:t>
            </w:r>
          </w:p>
          <w:p w14:paraId="6B070E20">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（1）监狱企业参加本项目的投标，视同微型企业投标，提供本单位生产的产品享受10%价格扣除。</w:t>
            </w:r>
          </w:p>
          <w:p w14:paraId="08B5DEC2">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（2）参加本次采购活动的监狱企业，应当在响应文件中提供由省级以上监狱管理局、戒毒管理局（含新疆建设生产兵团）出具的属于监狱企业的证明文件，不再提供《中小企业声明函》，不重复享受政策。</w:t>
            </w:r>
          </w:p>
          <w:p w14:paraId="442F7924">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残疾人福利性单位：</w:t>
            </w:r>
            <w:r>
              <w:rPr>
                <w:rFonts w:hint="eastAsia" w:ascii="仿宋" w:hAnsi="仿宋" w:eastAsia="仿宋" w:cs="仿宋"/>
                <w:color w:val="000000" w:themeColor="text1"/>
                <w:sz w:val="24"/>
                <w:szCs w:val="24"/>
                <w14:textFill>
                  <w14:solidFill>
                    <w14:schemeClr w14:val="tx1"/>
                  </w14:solidFill>
                </w14:textFill>
              </w:rPr>
              <w:t>根据财政部  民政部《中国残疾人联合会关于促进残疾人就业政府采购政策的通知》（财库【2017】141号）的规定。</w:t>
            </w:r>
          </w:p>
          <w:p w14:paraId="6C472A8C">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（1）残疾人福利性单位参加本项目的投标，视同小型、微型企业投标，提供本单位生产的产品享受10%的价格扣除。</w:t>
            </w:r>
          </w:p>
          <w:p w14:paraId="01384036">
            <w:pPr>
              <w:spacing w:line="312"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（2）参加本次采购活动的残疾人福利性单位，应当在 响应文件中提供由141号文规定的《残疾人福利性单位声明函》，不再提供《中小企业声明函》，不重复享受政策。</w:t>
            </w:r>
          </w:p>
          <w:p w14:paraId="66041B20">
            <w:pPr>
              <w:widowControl/>
              <w:shd w:val="clear" w:color="auto" w:fill="FFFFFF"/>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节能及环境标志产品：</w:t>
            </w:r>
            <w:r>
              <w:rPr>
                <w:rFonts w:hint="eastAsia" w:ascii="仿宋" w:hAnsi="仿宋" w:eastAsia="仿宋" w:cs="仿宋"/>
                <w:color w:val="000000" w:themeColor="text1"/>
                <w:sz w:val="24"/>
                <w:szCs w:val="24"/>
                <w14:textFill>
                  <w14:solidFill>
                    <w14:schemeClr w14:val="tx1"/>
                  </w14:solidFill>
                </w14:textFill>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响应供应商所投产品必须是《节能产品政府采购清单》内产品，并提供清单内证明材料，否则投标无效。其他产品若属于“节能产品政府采购清单”内产品，在同等条件下，优先采购清单中的产品。</w:t>
            </w:r>
          </w:p>
          <w:p w14:paraId="46918DB7">
            <w:pPr>
              <w:pStyle w:val="50"/>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10%价格扣除，强制类产品已作为投标时强制性要求不再给予价格扣除。若节能、环境标志清单内的产品仅是构成投标产品的部件、组件或零件的，则该投标产品不予价格扣除。</w:t>
            </w:r>
          </w:p>
        </w:tc>
      </w:tr>
      <w:tr w14:paraId="178D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67" w:type="dxa"/>
            <w:vAlign w:val="center"/>
          </w:tcPr>
          <w:p w14:paraId="05370AA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47</w:t>
            </w:r>
          </w:p>
        </w:tc>
        <w:tc>
          <w:tcPr>
            <w:tcW w:w="2548" w:type="dxa"/>
            <w:vAlign w:val="center"/>
          </w:tcPr>
          <w:p w14:paraId="2BA1578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招标代理服务收费标准</w:t>
            </w:r>
          </w:p>
        </w:tc>
        <w:tc>
          <w:tcPr>
            <w:tcW w:w="6894" w:type="dxa"/>
            <w:vAlign w:val="center"/>
          </w:tcPr>
          <w:p w14:paraId="67A7B739">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国家发展和改革委员会办公室“发改办价格[2015]299号”文规定，本项目向中标人收取中标服务费。以上费用请各响应供应商考虑到成本费用中，由中标单位在领取中标通知书时一次性支付给代理公司。（若通过银行汇款交纳的，须由响应供应商的帐户汇入）。中标服务费按差额定率累进法计算收取。收费标准如下表所列：</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730"/>
            </w:tblGrid>
            <w:tr w14:paraId="3058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729" w:type="dxa"/>
                  <w:vAlign w:val="center"/>
                </w:tcPr>
                <w:p w14:paraId="282CF61A">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中标金额</w:t>
                  </w:r>
                </w:p>
              </w:tc>
              <w:tc>
                <w:tcPr>
                  <w:tcW w:w="2730" w:type="dxa"/>
                  <w:vAlign w:val="center"/>
                </w:tcPr>
                <w:p w14:paraId="5FEA089A">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费率</w:t>
                  </w:r>
                </w:p>
              </w:tc>
            </w:tr>
            <w:tr w14:paraId="2076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14:paraId="5ED1465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100万以下</w:t>
                  </w:r>
                </w:p>
              </w:tc>
              <w:tc>
                <w:tcPr>
                  <w:tcW w:w="2730" w:type="dxa"/>
                  <w:vAlign w:val="center"/>
                </w:tcPr>
                <w:p w14:paraId="1D855E11">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r>
            <w:tr w14:paraId="5FC7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14:paraId="78F88B6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100-500万</w:t>
                  </w:r>
                </w:p>
              </w:tc>
              <w:tc>
                <w:tcPr>
                  <w:tcW w:w="2730" w:type="dxa"/>
                  <w:vAlign w:val="center"/>
                </w:tcPr>
                <w:p w14:paraId="720909B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0.8%</w:t>
                  </w:r>
                </w:p>
              </w:tc>
            </w:tr>
            <w:tr w14:paraId="2E04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14:paraId="0A38E715">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500-1000万</w:t>
                  </w:r>
                </w:p>
              </w:tc>
              <w:tc>
                <w:tcPr>
                  <w:tcW w:w="2730" w:type="dxa"/>
                  <w:vAlign w:val="center"/>
                </w:tcPr>
                <w:p w14:paraId="4405CFD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0.45%</w:t>
                  </w:r>
                </w:p>
              </w:tc>
            </w:tr>
          </w:tbl>
          <w:p w14:paraId="787765E7">
            <w:pPr>
              <w:spacing w:line="360" w:lineRule="auto"/>
              <w:jc w:val="left"/>
              <w:rPr>
                <w:rFonts w:hint="eastAsia" w:ascii="仿宋" w:hAnsi="仿宋" w:eastAsia="仿宋" w:cs="仿宋"/>
                <w:color w:val="000000" w:themeColor="text1"/>
                <w:sz w:val="24"/>
                <w:szCs w:val="24"/>
                <w14:textFill>
                  <w14:solidFill>
                    <w14:schemeClr w14:val="tx1"/>
                  </w14:solidFill>
                </w14:textFill>
              </w:rPr>
            </w:pPr>
          </w:p>
        </w:tc>
      </w:tr>
      <w:tr w14:paraId="2232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1067" w:type="dxa"/>
            <w:vAlign w:val="center"/>
          </w:tcPr>
          <w:p w14:paraId="24745AC0">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48</w:t>
            </w:r>
          </w:p>
        </w:tc>
        <w:tc>
          <w:tcPr>
            <w:tcW w:w="2548" w:type="dxa"/>
            <w:vAlign w:val="center"/>
          </w:tcPr>
          <w:p w14:paraId="1ECA3E2F">
            <w:pPr>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综合说明</w:t>
            </w:r>
          </w:p>
          <w:p w14:paraId="4FC06106">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6894" w:type="dxa"/>
            <w:vAlign w:val="center"/>
          </w:tcPr>
          <w:p w14:paraId="2256F5C1">
            <w:pPr>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14:paraId="7D1EA708">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2、对招标文件的澄清和质疑</w:t>
            </w:r>
          </w:p>
          <w:p w14:paraId="1BFAC768">
            <w:pPr>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14:paraId="7EC0B107">
            <w:pPr>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14:paraId="415447FD">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3、对招标过程和拟中标结果的质疑</w:t>
            </w:r>
          </w:p>
          <w:p w14:paraId="595A84DC">
            <w:pPr>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投标人认为招标过程和拟中标结果使自己的权益受到损害的，可以在投标人于新疆政府采购网、</w:t>
            </w:r>
            <w:r>
              <w:rPr>
                <w:rFonts w:hint="eastAsia" w:ascii="仿宋" w:hAnsi="仿宋" w:eastAsia="仿宋" w:cs="仿宋"/>
                <w:bCs/>
                <w:color w:val="000000" w:themeColor="text1"/>
                <w:sz w:val="24"/>
                <w:szCs w:val="24"/>
                <w:lang w:val="en-US" w:eastAsia="zh-CN"/>
                <w14:textFill>
                  <w14:solidFill>
                    <w14:schemeClr w14:val="tx1"/>
                  </w14:solidFill>
                </w14:textFill>
              </w:rPr>
              <w:t>阿瓦提县人民政府</w:t>
            </w:r>
            <w:r>
              <w:rPr>
                <w:rFonts w:hint="eastAsia" w:ascii="仿宋" w:hAnsi="仿宋" w:eastAsia="仿宋" w:cs="仿宋"/>
                <w:bCs/>
                <w:color w:val="000000" w:themeColor="text1"/>
                <w:sz w:val="24"/>
                <w:szCs w:val="24"/>
                <w14:textFill>
                  <w14:solidFill>
                    <w14:schemeClr w14:val="tx1"/>
                  </w14:solidFill>
                </w14:textFill>
              </w:rPr>
              <w:t>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14:paraId="00A7BE7F">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14:paraId="3E43C80F">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4、澄清或质疑不予受理的情况，有下列情形之一的，属于无效质疑，被质疑人不予受理，由此产生的影响由投标人自行承担：</w:t>
            </w:r>
          </w:p>
          <w:p w14:paraId="495EAA96">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(一)不是参与该政府采购项目活动供应商的;</w:t>
            </w:r>
          </w:p>
          <w:p w14:paraId="4FC31834">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(二)被质疑人为采购人或政府采购代理机构之外的；</w:t>
            </w:r>
          </w:p>
          <w:p w14:paraId="0A846952">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(三)所有质疑事项超过质疑有效期的；</w:t>
            </w:r>
          </w:p>
          <w:p w14:paraId="14C92DE2">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(四)以具有法律效力的文书送达之外方式提出的；</w:t>
            </w:r>
          </w:p>
          <w:p w14:paraId="04F1E855">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(五) 未按上述规定递交澄清或质疑函的；</w:t>
            </w:r>
          </w:p>
          <w:p w14:paraId="4F6AC551">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(六) 其它不符合受理条件的情形。</w:t>
            </w:r>
          </w:p>
          <w:p w14:paraId="4E20965B">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5、其他</w:t>
            </w:r>
          </w:p>
          <w:p w14:paraId="53350A68">
            <w:pPr>
              <w:spacing w:line="360" w:lineRule="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澄清或质疑函递交地点：</w:t>
            </w:r>
            <w:r>
              <w:rPr>
                <w:rFonts w:hint="eastAsia" w:ascii="仿宋" w:hAnsi="仿宋" w:eastAsia="仿宋" w:cs="仿宋"/>
                <w:bCs/>
                <w:color w:val="000000" w:themeColor="text1"/>
                <w:sz w:val="24"/>
                <w:szCs w:val="24"/>
                <w:lang w:eastAsia="zh-CN"/>
                <w14:textFill>
                  <w14:solidFill>
                    <w14:schemeClr w14:val="tx1"/>
                  </w14:solidFill>
                </w14:textFill>
              </w:rPr>
              <w:t>新疆阿克苏地区温宿县复兴大道龙泉湖畔小区五期9-1-701室</w:t>
            </w:r>
          </w:p>
          <w:p w14:paraId="34DD2075">
            <w:pPr>
              <w:widowControl/>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联系方式：19199471321</w:t>
            </w:r>
          </w:p>
        </w:tc>
      </w:tr>
      <w:tr w14:paraId="3D22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1067" w:type="dxa"/>
            <w:vAlign w:val="center"/>
          </w:tcPr>
          <w:p w14:paraId="1880AC11">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49</w:t>
            </w:r>
          </w:p>
        </w:tc>
        <w:tc>
          <w:tcPr>
            <w:tcW w:w="2548" w:type="dxa"/>
            <w:vAlign w:val="center"/>
          </w:tcPr>
          <w:p w14:paraId="1B55D3DB">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其他说明</w:t>
            </w:r>
          </w:p>
        </w:tc>
        <w:tc>
          <w:tcPr>
            <w:tcW w:w="6894" w:type="dxa"/>
            <w:vAlign w:val="center"/>
          </w:tcPr>
          <w:p w14:paraId="46AD3D91">
            <w:pPr>
              <w:widowControl/>
              <w:spacing w:line="360" w:lineRule="auto"/>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1、响应供应商应按政采云资格文件、商务技术文件、报价文件相关要求上传相关响应文件，未按要求上传文件导致的废标、扣分情况由响应供应商自行承担责任；</w:t>
            </w:r>
          </w:p>
          <w:p w14:paraId="7F1FC8AD">
            <w:pPr>
              <w:widowControl/>
              <w:spacing w:line="360" w:lineRule="auto"/>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2、响应供应商解密、开标一览表签字确认时间为30分钟；未在规定时间内进行解密、签字的响应供应商视为无效投标；</w:t>
            </w:r>
          </w:p>
          <w:p w14:paraId="01628F5C">
            <w:pPr>
              <w:widowControl/>
              <w:spacing w:line="360" w:lineRule="auto"/>
              <w:jc w:val="left"/>
              <w:rPr>
                <w:rFonts w:hint="eastAsia" w:ascii="宋体" w:hAnsi="宋体" w:eastAsia="宋体" w:cs="宋体"/>
                <w:bCs/>
                <w:color w:val="000000" w:themeColor="text1"/>
                <w:sz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按照财综【2023】12号财政部关于做好2023年政府购买服务改革重点工作的通知：严禁变相用工。购买主体不得借政府购买服务名义变相用工，不得将人员招、聘用，以劳务派遣方式用工，以及设置公益性岗位等事项纳入政府购买服务范围。对于此前以政府购买服务名义变相用工的做法，应严格根据国家有关法律法规和政策规定予以整改。</w:t>
            </w:r>
          </w:p>
        </w:tc>
      </w:tr>
    </w:tbl>
    <w:p w14:paraId="6D149D43">
      <w:pPr>
        <w:spacing w:line="360" w:lineRule="auto"/>
        <w:jc w:val="left"/>
        <w:rPr>
          <w:rFonts w:hint="eastAsia" w:ascii="仿宋" w:hAnsi="仿宋" w:eastAsia="仿宋" w:cs="仿宋"/>
          <w:color w:val="000000" w:themeColor="text1"/>
          <w:sz w:val="24"/>
          <w:szCs w:val="24"/>
          <w14:textFill>
            <w14:solidFill>
              <w14:schemeClr w14:val="tx1"/>
            </w14:solidFill>
          </w14:textFill>
        </w:rPr>
      </w:pPr>
    </w:p>
    <w:p w14:paraId="4AE1F2CC">
      <w:pPr>
        <w:spacing w:line="360" w:lineRule="auto"/>
        <w:jc w:val="left"/>
        <w:rPr>
          <w:rFonts w:hint="eastAsia" w:ascii="仿宋" w:hAnsi="仿宋" w:eastAsia="仿宋" w:cs="仿宋"/>
          <w:color w:val="000000" w:themeColor="text1"/>
          <w:sz w:val="24"/>
          <w:szCs w:val="24"/>
          <w14:textFill>
            <w14:solidFill>
              <w14:schemeClr w14:val="tx1"/>
            </w14:solidFill>
          </w14:textFill>
        </w:rPr>
      </w:pPr>
    </w:p>
    <w:p w14:paraId="592C65D5">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一、总则</w:t>
      </w:r>
    </w:p>
    <w:p w14:paraId="174B8189">
      <w:pPr>
        <w:spacing w:line="360" w:lineRule="auto"/>
        <w:jc w:val="left"/>
        <w:rPr>
          <w:rFonts w:hint="eastAsia" w:ascii="仿宋" w:hAnsi="仿宋" w:eastAsia="仿宋" w:cs="仿宋"/>
          <w:color w:val="000000" w:themeColor="text1"/>
          <w:sz w:val="24"/>
          <w:szCs w:val="24"/>
          <w14:textFill>
            <w14:solidFill>
              <w14:schemeClr w14:val="tx1"/>
            </w14:solidFill>
          </w14:textFill>
        </w:rPr>
      </w:pPr>
      <w:bookmarkStart w:id="7" w:name="_Toc177825120"/>
      <w:bookmarkStart w:id="8" w:name="_Toc177824872"/>
      <w:bookmarkStart w:id="9" w:name="_Toc177870537"/>
      <w:bookmarkStart w:id="10" w:name="_Toc177824939"/>
      <w:r>
        <w:rPr>
          <w:rFonts w:hint="eastAsia" w:ascii="仿宋" w:hAnsi="仿宋" w:eastAsia="仿宋" w:cs="仿宋"/>
          <w:color w:val="000000" w:themeColor="text1"/>
          <w:sz w:val="24"/>
          <w:szCs w:val="24"/>
          <w14:textFill>
            <w14:solidFill>
              <w14:schemeClr w14:val="tx1"/>
            </w14:solidFill>
          </w14:textFill>
        </w:rPr>
        <w:t>（一）适用范围</w:t>
      </w:r>
      <w:bookmarkEnd w:id="7"/>
      <w:bookmarkEnd w:id="8"/>
      <w:bookmarkEnd w:id="9"/>
      <w:bookmarkEnd w:id="10"/>
      <w:r>
        <w:rPr>
          <w:rFonts w:hint="eastAsia" w:ascii="仿宋" w:hAnsi="仿宋" w:eastAsia="仿宋" w:cs="仿宋"/>
          <w:color w:val="000000" w:themeColor="text1"/>
          <w:sz w:val="24"/>
          <w:szCs w:val="24"/>
          <w14:textFill>
            <w14:solidFill>
              <w14:schemeClr w14:val="tx1"/>
            </w14:solidFill>
          </w14:textFill>
        </w:rPr>
        <w:t>及依据</w:t>
      </w:r>
    </w:p>
    <w:p w14:paraId="46B5207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本次竞争性磋商文件适用于：</w:t>
      </w:r>
      <w:r>
        <w:rPr>
          <w:rFonts w:hint="eastAsia" w:ascii="仿宋" w:hAnsi="仿宋" w:eastAsia="仿宋" w:cs="仿宋"/>
          <w:color w:val="000000" w:themeColor="text1"/>
          <w:kern w:val="2"/>
          <w:lang w:eastAsia="zh-CN"/>
          <w14:textFill>
            <w14:solidFill>
              <w14:schemeClr w14:val="tx1"/>
            </w14:solidFill>
          </w14:textFill>
        </w:rPr>
        <w:t>阿瓦提县预算绩效全过程管理咨询服务</w:t>
      </w:r>
      <w:r>
        <w:rPr>
          <w:rFonts w:hint="eastAsia" w:ascii="仿宋" w:hAnsi="仿宋" w:eastAsia="仿宋" w:cs="仿宋"/>
          <w:color w:val="000000" w:themeColor="text1"/>
          <w:sz w:val="24"/>
          <w:szCs w:val="24"/>
          <w:lang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的招标、评标、定标、验收、合同履约、付款等（法律、法规另有规定的，从其规定）。</w:t>
      </w:r>
    </w:p>
    <w:p w14:paraId="2DAC2C56">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本次竞争性磋商文件法律依据：</w:t>
      </w:r>
    </w:p>
    <w:p w14:paraId="412D9950">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1.1《中华人民共和国政府采购法》；</w:t>
      </w:r>
    </w:p>
    <w:p w14:paraId="0D5F6323">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1.2《中华人民共和国政府采购法实施条例》；</w:t>
      </w:r>
    </w:p>
    <w:p w14:paraId="1F6AFDB9">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1.3《政府采购货物和服务招标投标管理办法》；</w:t>
      </w:r>
    </w:p>
    <w:p w14:paraId="66946B09">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1.4《政府采购质疑和投诉办法》；</w:t>
      </w:r>
    </w:p>
    <w:p w14:paraId="66DB2763">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政府采购竞争性磋商采购方式管理暂行办法</w:t>
      </w:r>
      <w:r>
        <w:rPr>
          <w:rFonts w:ascii="仿宋" w:hAnsi="仿宋" w:eastAsia="仿宋" w:cs="仿宋"/>
          <w:color w:val="000000" w:themeColor="text1"/>
          <w:sz w:val="24"/>
          <w:szCs w:val="24"/>
          <w14:textFill>
            <w14:solidFill>
              <w14:schemeClr w14:val="tx1"/>
            </w14:solidFill>
          </w14:textFill>
        </w:rPr>
        <w:t>》；</w:t>
      </w:r>
    </w:p>
    <w:p w14:paraId="0082E91F">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1.6《中华人民共和国</w:t>
      </w:r>
      <w:r>
        <w:rPr>
          <w:rFonts w:hint="eastAsia" w:ascii="仿宋" w:hAnsi="仿宋" w:eastAsia="仿宋" w:cs="仿宋"/>
          <w:color w:val="000000" w:themeColor="text1"/>
          <w:sz w:val="24"/>
          <w:szCs w:val="24"/>
          <w14:textFill>
            <w14:solidFill>
              <w14:schemeClr w14:val="tx1"/>
            </w14:solidFill>
          </w14:textFill>
        </w:rPr>
        <w:t>民法典</w:t>
      </w:r>
      <w:r>
        <w:rPr>
          <w:rFonts w:ascii="仿宋" w:hAnsi="仿宋" w:eastAsia="仿宋" w:cs="仿宋"/>
          <w:color w:val="000000" w:themeColor="text1"/>
          <w:sz w:val="24"/>
          <w:szCs w:val="24"/>
          <w14:textFill>
            <w14:solidFill>
              <w14:schemeClr w14:val="tx1"/>
            </w14:solidFill>
          </w14:textFill>
        </w:rPr>
        <w:t>》；</w:t>
      </w:r>
    </w:p>
    <w:p w14:paraId="3935E9CF">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1.7其他有关法律、行政法规以及省市规范性文件规定。</w:t>
      </w:r>
    </w:p>
    <w:p w14:paraId="64576FBB">
      <w:pPr>
        <w:spacing w:line="360" w:lineRule="auto"/>
        <w:jc w:val="left"/>
        <w:rPr>
          <w:rFonts w:hint="eastAsia" w:ascii="仿宋" w:hAnsi="仿宋" w:eastAsia="仿宋" w:cs="仿宋"/>
          <w:color w:val="000000" w:themeColor="text1"/>
          <w:sz w:val="24"/>
          <w:szCs w:val="24"/>
          <w14:textFill>
            <w14:solidFill>
              <w14:schemeClr w14:val="tx1"/>
            </w14:solidFill>
          </w14:textFill>
        </w:rPr>
      </w:pPr>
      <w:bookmarkStart w:id="11" w:name="_Toc177824940"/>
      <w:bookmarkStart w:id="12" w:name="_Toc177825121"/>
      <w:bookmarkStart w:id="13" w:name="_Toc177824873"/>
      <w:bookmarkStart w:id="14" w:name="_Toc177870538"/>
      <w:r>
        <w:rPr>
          <w:rFonts w:hint="eastAsia" w:ascii="仿宋" w:hAnsi="仿宋" w:eastAsia="仿宋" w:cs="仿宋"/>
          <w:color w:val="000000" w:themeColor="text1"/>
          <w:sz w:val="24"/>
          <w:szCs w:val="24"/>
          <w14:textFill>
            <w14:solidFill>
              <w14:schemeClr w14:val="tx1"/>
            </w14:solidFill>
          </w14:textFill>
        </w:rPr>
        <w:t>（二）定义</w:t>
      </w:r>
      <w:bookmarkEnd w:id="11"/>
      <w:bookmarkEnd w:id="12"/>
      <w:bookmarkEnd w:id="13"/>
      <w:bookmarkEnd w:id="14"/>
    </w:p>
    <w:p w14:paraId="096653D2">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1.“响应供应商”系指向采购人提交响应文件的单位。</w:t>
      </w:r>
    </w:p>
    <w:p w14:paraId="35AA4E92">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2、“服务” 系指磋商文件规定供应商应承担的劳务派遣、物业管理、系统集成、安装、调试、技术协助、校准、培训以及其它类似的义务。</w:t>
      </w:r>
    </w:p>
    <w:p w14:paraId="6195021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3、“货物”系指供应商按磋商文件规定,向采购人提供的各种形态和种类的物品，包括原材料、设备、产品(包括软件)及相关的其备品备件、工具、手册及其它技术资料和材料。</w:t>
      </w:r>
    </w:p>
    <w:p w14:paraId="2C7F12E4">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6.“★”系指实质性要求条款。</w:t>
      </w:r>
    </w:p>
    <w:p w14:paraId="22046E13">
      <w:pPr>
        <w:spacing w:line="360" w:lineRule="auto"/>
        <w:jc w:val="left"/>
        <w:rPr>
          <w:rFonts w:hint="eastAsia" w:ascii="仿宋" w:hAnsi="仿宋" w:eastAsia="仿宋" w:cs="仿宋"/>
          <w:color w:val="000000" w:themeColor="text1"/>
          <w:sz w:val="24"/>
          <w:szCs w:val="24"/>
          <w14:textFill>
            <w14:solidFill>
              <w14:schemeClr w14:val="tx1"/>
            </w14:solidFill>
          </w14:textFill>
        </w:rPr>
      </w:pPr>
      <w:bookmarkStart w:id="15" w:name="_Toc177870539"/>
      <w:r>
        <w:rPr>
          <w:rFonts w:hint="eastAsia" w:ascii="仿宋" w:hAnsi="仿宋" w:eastAsia="仿宋" w:cs="仿宋"/>
          <w:color w:val="000000" w:themeColor="text1"/>
          <w:sz w:val="24"/>
          <w:szCs w:val="24"/>
          <w14:textFill>
            <w14:solidFill>
              <w14:schemeClr w14:val="tx1"/>
            </w14:solidFill>
          </w14:textFill>
        </w:rPr>
        <w:t>（三）采购方式</w:t>
      </w:r>
      <w:bookmarkEnd w:id="15"/>
    </w:p>
    <w:p w14:paraId="1EFFA00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本项目采用竞争性磋商的方式进行。</w:t>
      </w:r>
    </w:p>
    <w:p w14:paraId="4FABE1B2">
      <w:pPr>
        <w:spacing w:line="360" w:lineRule="auto"/>
        <w:jc w:val="left"/>
        <w:rPr>
          <w:rFonts w:hint="eastAsia" w:ascii="仿宋" w:hAnsi="仿宋" w:eastAsia="仿宋" w:cs="仿宋"/>
          <w:color w:val="000000" w:themeColor="text1"/>
          <w:sz w:val="24"/>
          <w:szCs w:val="24"/>
          <w14:textFill>
            <w14:solidFill>
              <w14:schemeClr w14:val="tx1"/>
            </w14:solidFill>
          </w14:textFill>
        </w:rPr>
      </w:pPr>
      <w:bookmarkStart w:id="16" w:name="_Toc177824941"/>
      <w:bookmarkStart w:id="17" w:name="_Toc177870540"/>
      <w:bookmarkStart w:id="18" w:name="_Toc177824874"/>
      <w:bookmarkStart w:id="19" w:name="_Toc177825122"/>
      <w:r>
        <w:rPr>
          <w:rFonts w:hint="eastAsia" w:ascii="仿宋" w:hAnsi="仿宋" w:eastAsia="仿宋" w:cs="仿宋"/>
          <w:color w:val="000000" w:themeColor="text1"/>
          <w:sz w:val="24"/>
          <w:szCs w:val="24"/>
          <w14:textFill>
            <w14:solidFill>
              <w14:schemeClr w14:val="tx1"/>
            </w14:solidFill>
          </w14:textFill>
        </w:rPr>
        <w:t>（四）投标委托</w:t>
      </w:r>
      <w:bookmarkEnd w:id="16"/>
      <w:bookmarkEnd w:id="17"/>
      <w:bookmarkEnd w:id="18"/>
      <w:bookmarkEnd w:id="19"/>
    </w:p>
    <w:p w14:paraId="0FFE54B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响应供应商代表须携带居民身份证、法人代表证明书（或法定代表人出具的授权委托书）参加投标。</w:t>
      </w:r>
    </w:p>
    <w:p w14:paraId="2B059FCB">
      <w:pPr>
        <w:spacing w:line="360" w:lineRule="auto"/>
        <w:jc w:val="left"/>
        <w:rPr>
          <w:rFonts w:hint="eastAsia" w:ascii="仿宋" w:hAnsi="仿宋" w:eastAsia="仿宋" w:cs="仿宋"/>
          <w:color w:val="000000" w:themeColor="text1"/>
          <w:sz w:val="24"/>
          <w:szCs w:val="24"/>
          <w14:textFill>
            <w14:solidFill>
              <w14:schemeClr w14:val="tx1"/>
            </w14:solidFill>
          </w14:textFill>
        </w:rPr>
      </w:pPr>
      <w:bookmarkStart w:id="20" w:name="_Toc177824942"/>
      <w:bookmarkStart w:id="21" w:name="_Toc177824875"/>
      <w:bookmarkStart w:id="22" w:name="_Toc177870541"/>
      <w:bookmarkStart w:id="23" w:name="_Toc177825123"/>
      <w:r>
        <w:rPr>
          <w:rFonts w:hint="eastAsia" w:ascii="仿宋" w:hAnsi="仿宋" w:eastAsia="仿宋" w:cs="仿宋"/>
          <w:color w:val="000000" w:themeColor="text1"/>
          <w:sz w:val="24"/>
          <w:szCs w:val="24"/>
          <w14:textFill>
            <w14:solidFill>
              <w14:schemeClr w14:val="tx1"/>
            </w14:solidFill>
          </w14:textFill>
        </w:rPr>
        <w:t>（五）投标费用</w:t>
      </w:r>
      <w:bookmarkEnd w:id="20"/>
      <w:bookmarkEnd w:id="21"/>
      <w:bookmarkEnd w:id="22"/>
      <w:bookmarkEnd w:id="23"/>
    </w:p>
    <w:p w14:paraId="11CFED04">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不论投标结果如何，响应供应商均应自行承担所有与投标有关的全部费用。</w:t>
      </w:r>
    </w:p>
    <w:p w14:paraId="70C463C1">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（六）联合体投标、转包及分包</w:t>
      </w:r>
    </w:p>
    <w:p w14:paraId="3933D0E2">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本项目不接受联合体投标。本项目不允许转包或分包。</w:t>
      </w:r>
    </w:p>
    <w:p w14:paraId="13E14BF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（七）特别说明：</w:t>
      </w:r>
    </w:p>
    <w:p w14:paraId="452CF33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★1.响应供应商投标所使用的资格、信誉、荣誉、业绩与企业认证必须为本企业所拥有。响应供应商投标所使用的采购项目实施人员可以为其控股公司的工作人员。</w:t>
      </w:r>
    </w:p>
    <w:p w14:paraId="687C4C31">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响应供应商在投标活动中提供任何虚假材料或从事其他违法活动的,其投标无效，并报监管部门查处、中标后发现的,中标人须依照《中华人民共和国消费者权益保护法》第49条之规定执行，且民事赔偿并不免除违法响应供应商的行政与刑事责任。</w:t>
      </w:r>
    </w:p>
    <w:p w14:paraId="0383D643">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★3.响应供应商应仔细阅读竞争性磋商文件的所有内容，按照竞争性磋商文件的要求提交响应文件，响应文件应对竞争性磋商文件的要求作出实质性响应，并对所提供的全部资料的真实性承担法律责任。</w:t>
      </w:r>
    </w:p>
    <w:p w14:paraId="34A05376">
      <w:pPr>
        <w:rPr>
          <w:rFonts w:hint="eastAsia" w:ascii="仿宋" w:hAnsi="仿宋" w:eastAsia="仿宋" w:cs="仿宋"/>
          <w:color w:val="000000" w:themeColor="text1"/>
          <w14:textFill>
            <w14:solidFill>
              <w14:schemeClr w14:val="tx1"/>
            </w14:solidFill>
          </w14:textFill>
        </w:rPr>
        <w:sectPr>
          <w:pgSz w:w="11906" w:h="16838"/>
          <w:pgMar w:top="1440" w:right="1706" w:bottom="1440" w:left="1800" w:header="851" w:footer="992" w:gutter="0"/>
          <w:cols w:space="720" w:num="1"/>
          <w:docGrid w:type="lines" w:linePitch="312" w:charSpace="0"/>
        </w:sectPr>
      </w:pPr>
    </w:p>
    <w:bookmarkEnd w:id="6"/>
    <w:p w14:paraId="1220A812">
      <w:pPr>
        <w:pStyle w:val="16"/>
        <w:spacing w:line="360" w:lineRule="auto"/>
        <w:jc w:val="center"/>
        <w:outlineLvl w:val="0"/>
        <w:rPr>
          <w:rFonts w:hint="eastAsia" w:ascii="仿宋" w:hAnsi="仿宋" w:eastAsia="仿宋" w:cs="仿宋"/>
          <w:b/>
          <w:bCs/>
          <w:color w:val="000000" w:themeColor="text1"/>
          <w:sz w:val="36"/>
          <w:szCs w:val="36"/>
          <w14:textFill>
            <w14:solidFill>
              <w14:schemeClr w14:val="tx1"/>
            </w14:solidFill>
          </w14:textFill>
        </w:rPr>
      </w:pPr>
      <w:bookmarkStart w:id="24" w:name="_Toc18543"/>
      <w:r>
        <w:rPr>
          <w:rFonts w:hint="eastAsia" w:ascii="仿宋" w:hAnsi="仿宋" w:eastAsia="仿宋" w:cs="仿宋"/>
          <w:b/>
          <w:bCs/>
          <w:color w:val="000000" w:themeColor="text1"/>
          <w:sz w:val="36"/>
          <w:szCs w:val="36"/>
          <w14:textFill>
            <w14:solidFill>
              <w14:schemeClr w14:val="tx1"/>
            </w14:solidFill>
          </w14:textFill>
        </w:rPr>
        <w:t>第三章  政府采购合同</w:t>
      </w:r>
      <w:bookmarkEnd w:id="24"/>
    </w:p>
    <w:p w14:paraId="09DC6720">
      <w:pPr>
        <w:spacing w:line="360" w:lineRule="auto"/>
        <w:ind w:firstLine="482"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（一）签发中标通知书。</w:t>
      </w:r>
      <w:r>
        <w:rPr>
          <w:rFonts w:hint="eastAsia" w:ascii="仿宋" w:hAnsi="仿宋" w:eastAsia="仿宋" w:cs="仿宋"/>
          <w:color w:val="000000" w:themeColor="text1"/>
          <w:sz w:val="24"/>
          <w:szCs w:val="24"/>
          <w14:textFill>
            <w14:solidFill>
              <w14:schemeClr w14:val="tx1"/>
            </w14:solidFill>
          </w14:textFill>
        </w:rPr>
        <w:t>确定成交供应商后，采购业务代理机构在三日内向成交供应商发出成交通知书，经采购单位盖章,对成交结果予以确认。</w:t>
      </w:r>
    </w:p>
    <w:p w14:paraId="676CED05">
      <w:pPr>
        <w:wordWrap w:val="0"/>
        <w:spacing w:before="100" w:beforeAutospacing="1" w:after="100" w:afterAutospacing="1" w:line="360" w:lineRule="auto"/>
        <w:ind w:left="180" w:firstLine="241"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（二）签订合同</w:t>
      </w:r>
      <w:r>
        <w:rPr>
          <w:rFonts w:hint="eastAsia" w:ascii="仿宋" w:hAnsi="仿宋" w:eastAsia="仿宋" w:cs="仿宋"/>
          <w:color w:val="000000" w:themeColor="text1"/>
          <w:sz w:val="24"/>
          <w:szCs w:val="24"/>
          <w14:textFill>
            <w14:solidFill>
              <w14:schemeClr w14:val="tx1"/>
            </w14:solidFill>
          </w14:textFill>
        </w:rPr>
        <w:t>。确定成交供应商后，采购人和成交供应商应当在中标通知书发出之后，及时书面签订政府采购合同。合同由采购人（甲方）、成交供应商（乙方）双方共同签订。</w:t>
      </w:r>
    </w:p>
    <w:p w14:paraId="58CDD412">
      <w:pPr>
        <w:pStyle w:val="139"/>
        <w:widowControl/>
        <w:wordWrap w:val="0"/>
        <w:spacing w:before="100" w:beforeAutospacing="1" w:after="100" w:afterAutospacing="1" w:line="360" w:lineRule="auto"/>
        <w:ind w:left="420" w:firstLine="0" w:firstLineChars="0"/>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 （三）合同主要条款</w:t>
      </w:r>
    </w:p>
    <w:p w14:paraId="6B4DAF05">
      <w:pPr>
        <w:spacing w:line="360" w:lineRule="auto"/>
        <w:ind w:firstLine="482" w:firstLineChars="200"/>
        <w:jc w:val="center"/>
        <w:rPr>
          <w:rFonts w:hint="eastAsia" w:ascii="仿宋" w:hAnsi="仿宋" w:eastAsia="仿宋" w:cs="仿宋"/>
          <w:b/>
          <w:bCs/>
          <w:color w:val="000000" w:themeColor="text1"/>
          <w:sz w:val="24"/>
          <w:szCs w:val="24"/>
          <w14:textFill>
            <w14:solidFill>
              <w14:schemeClr w14:val="tx1"/>
            </w14:solidFill>
          </w14:textFill>
        </w:rPr>
      </w:pPr>
    </w:p>
    <w:p w14:paraId="1E405605">
      <w:pPr>
        <w:spacing w:line="360" w:lineRule="auto"/>
        <w:ind w:firstLine="482" w:firstLineChars="20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技术服务合同</w:t>
      </w:r>
    </w:p>
    <w:p w14:paraId="2530B3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委托人（全称）：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（简称甲方） </w:t>
      </w:r>
    </w:p>
    <w:p w14:paraId="585ED84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受托人（全称）：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（简称乙方）</w:t>
      </w:r>
    </w:p>
    <w:p w14:paraId="499CB4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本合同甲方委托乙方进行</w:t>
      </w:r>
      <w:r>
        <w:rPr>
          <w:rFonts w:hint="eastAsia" w:ascii="仿宋" w:hAnsi="仿宋" w:eastAsia="仿宋" w:cs="仿宋"/>
          <w:color w:val="000000" w:themeColor="text1"/>
          <w:sz w:val="24"/>
          <w:szCs w:val="24"/>
          <w:u w:val="single"/>
          <w14:textFill>
            <w14:solidFill>
              <w14:schemeClr w14:val="tx1"/>
            </w14:solidFill>
          </w14:textFill>
        </w:rPr>
        <w:t xml:space="preserve">                               （项目名称）</w:t>
      </w:r>
      <w:r>
        <w:rPr>
          <w:rFonts w:hint="eastAsia" w:ascii="仿宋" w:hAnsi="仿宋" w:eastAsia="仿宋" w:cs="仿宋"/>
          <w:color w:val="000000" w:themeColor="text1"/>
          <w:sz w:val="24"/>
          <w:szCs w:val="24"/>
          <w14:textFill>
            <w14:solidFill>
              <w14:schemeClr w14:val="tx1"/>
            </w14:solidFill>
          </w14:textFill>
        </w:rPr>
        <w:t xml:space="preserve">招标的技术服务工作。依照《中华人民共和国合同法》及其他有关法律、行政法规，遵循平等、自愿、公平和诚实信用的原则，现达成如下协议： </w:t>
      </w:r>
    </w:p>
    <w:p w14:paraId="1BCD0FBF">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第一条、甲方委托乙方进行技术服务的内容如下：</w:t>
      </w:r>
    </w:p>
    <w:p w14:paraId="24E1C843">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技术服务的目标：</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4CC7CD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技术服务的内容：</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33DD4C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 技术服务的方式：</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4BDBC768">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第二条、乙方应按下列要求完成技术服务工作：</w:t>
      </w:r>
    </w:p>
    <w:p w14:paraId="497DAE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技术服务地点：</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75ACCB9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技术服务期限：</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10BEFC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 技术服务进度：</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1FA39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 技术服务质量要求：</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76F45D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 技术服务质量期限求：</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2D62E2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 技术服务成果的提交要求：</w:t>
      </w:r>
      <w:r>
        <w:rPr>
          <w:rFonts w:hint="eastAsia" w:ascii="仿宋" w:hAnsi="仿宋" w:eastAsia="仿宋" w:cs="仿宋"/>
          <w:b/>
          <w:bCs/>
          <w:color w:val="000000" w:themeColor="text1"/>
          <w:sz w:val="24"/>
          <w:szCs w:val="24"/>
          <w:u w:val="single"/>
          <w14:textFill>
            <w14:solidFill>
              <w14:schemeClr w14:val="tx1"/>
            </w14:solidFill>
          </w14:textFill>
        </w:rPr>
        <w:t xml:space="preserve">                    。 </w:t>
      </w:r>
    </w:p>
    <w:p w14:paraId="2DB57618">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第三条、为保证乙方有效进行技术服务工作，甲方应当向乙方提供下列工作条件和协作事项：</w:t>
      </w:r>
    </w:p>
    <w:p w14:paraId="25804E1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1.提供技术资料：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464073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2.提供工作条件：</w:t>
      </w:r>
      <w:r>
        <w:rPr>
          <w:rFonts w:hint="eastAsia" w:ascii="仿宋" w:hAnsi="仿宋" w:eastAsia="仿宋" w:cs="仿宋"/>
          <w:color w:val="000000" w:themeColor="text1"/>
          <w:sz w:val="24"/>
          <w:szCs w:val="24"/>
          <w:u w:val="single"/>
          <w14:textFill>
            <w14:solidFill>
              <w14:schemeClr w14:val="tx1"/>
            </w14:solidFill>
          </w14:textFill>
        </w:rPr>
        <w:t>由乙方自行解决。</w:t>
      </w:r>
    </w:p>
    <w:p w14:paraId="31AAB9C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3.甲方提供上述工作条件和协作事项的时间及方式：</w:t>
      </w:r>
      <w:r>
        <w:rPr>
          <w:rFonts w:hint="eastAsia" w:ascii="仿宋" w:hAnsi="仿宋" w:eastAsia="仿宋" w:cs="仿宋"/>
          <w:color w:val="000000" w:themeColor="text1"/>
          <w:sz w:val="24"/>
          <w:szCs w:val="24"/>
          <w:u w:val="single"/>
          <w14:textFill>
            <w14:solidFill>
              <w14:schemeClr w14:val="tx1"/>
            </w14:solidFill>
          </w14:textFill>
        </w:rPr>
        <w:t>合同签订后即开始电话、传真联系。</w:t>
      </w:r>
    </w:p>
    <w:p w14:paraId="7DA52FB3">
      <w:pPr>
        <w:spacing w:line="360" w:lineRule="auto"/>
        <w:ind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第四条、甲方向乙方支付技术服务报酬及支付方式为</w:t>
      </w:r>
      <w:r>
        <w:rPr>
          <w:rFonts w:hint="eastAsia" w:ascii="仿宋" w:hAnsi="仿宋" w:eastAsia="仿宋" w:cs="仿宋"/>
          <w:color w:val="000000" w:themeColor="text1"/>
          <w:sz w:val="24"/>
          <w:szCs w:val="24"/>
          <w14:textFill>
            <w14:solidFill>
              <w14:schemeClr w14:val="tx1"/>
            </w14:solidFill>
          </w14:textFill>
        </w:rPr>
        <w:t>：</w:t>
      </w:r>
    </w:p>
    <w:p w14:paraId="4523D94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1．技术服务费总额为：</w:t>
      </w:r>
      <w:r>
        <w:rPr>
          <w:rFonts w:hint="eastAsia" w:ascii="仿宋" w:hAnsi="仿宋" w:eastAsia="仿宋" w:cs="仿宋"/>
          <w:color w:val="000000" w:themeColor="text1"/>
          <w:sz w:val="24"/>
          <w:szCs w:val="24"/>
          <w:u w:val="single"/>
          <w14:textFill>
            <w14:solidFill>
              <w14:schemeClr w14:val="tx1"/>
            </w14:solidFill>
          </w14:textFill>
        </w:rPr>
        <w:t>元人民币</w:t>
      </w:r>
      <w:r>
        <w:rPr>
          <w:rFonts w:hint="eastAsia" w:ascii="仿宋" w:hAnsi="仿宋" w:eastAsia="仿宋" w:cs="仿宋"/>
          <w:color w:val="000000" w:themeColor="text1"/>
          <w:sz w:val="24"/>
          <w:szCs w:val="24"/>
          <w14:textFill>
            <w14:solidFill>
              <w14:schemeClr w14:val="tx1"/>
            </w14:solidFill>
          </w14:textFill>
        </w:rPr>
        <w:t>。</w:t>
      </w:r>
    </w:p>
    <w:p w14:paraId="0B52EDA2">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2．技术服务费的支付方式：</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77310DC">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第一次支付：                                          </w:t>
      </w:r>
    </w:p>
    <w:p w14:paraId="645A7374">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第一次支付：                                          </w:t>
      </w:r>
    </w:p>
    <w:p w14:paraId="7D0C176F">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第二次支付：                                          </w:t>
      </w:r>
    </w:p>
    <w:p w14:paraId="53EBE58C">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第五条、双方确定因履行本合同应遵守的保密义务如下：</w:t>
      </w:r>
    </w:p>
    <w:p w14:paraId="1BD21F2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w:t>
      </w:r>
    </w:p>
    <w:p w14:paraId="6702C9B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1.保密内容：与本项目有关的所有技术资料及研究成果；</w:t>
      </w:r>
    </w:p>
    <w:p w14:paraId="7101D03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2.涉密人员范围：</w:t>
      </w:r>
      <w:r>
        <w:rPr>
          <w:rFonts w:hint="eastAsia" w:ascii="仿宋" w:hAnsi="仿宋" w:eastAsia="仿宋" w:cs="仿宋"/>
          <w:color w:val="000000" w:themeColor="text1"/>
          <w:sz w:val="24"/>
          <w:szCs w:val="24"/>
          <w:u w:val="single"/>
          <w14:textFill>
            <w14:solidFill>
              <w14:schemeClr w14:val="tx1"/>
            </w14:solidFill>
          </w14:textFill>
        </w:rPr>
        <w:t>与本项目相关人员；</w:t>
      </w:r>
    </w:p>
    <w:p w14:paraId="6D9EB50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3.保密期限：</w:t>
      </w:r>
    </w:p>
    <w:p w14:paraId="7C9404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4.泄密责任：</w:t>
      </w:r>
      <w:r>
        <w:rPr>
          <w:rFonts w:hint="eastAsia" w:ascii="仿宋" w:hAnsi="仿宋" w:eastAsia="仿宋" w:cs="仿宋"/>
          <w:color w:val="000000" w:themeColor="text1"/>
          <w:sz w:val="24"/>
          <w:szCs w:val="24"/>
          <w:u w:val="single"/>
          <w14:textFill>
            <w14:solidFill>
              <w14:schemeClr w14:val="tx1"/>
            </w14:solidFill>
          </w14:textFill>
        </w:rPr>
        <w:t>按照有关规定追究相关责任。</w:t>
      </w:r>
    </w:p>
    <w:p w14:paraId="55758BF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w:t>
      </w:r>
    </w:p>
    <w:p w14:paraId="19881B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1.保密内容： </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587D5B5">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2.涉密人员范围： </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71E4F5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3.保密期限：</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0D71E4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4.泄密责任：</w:t>
      </w:r>
      <w:r>
        <w:rPr>
          <w:rFonts w:hint="eastAsia" w:ascii="仿宋" w:hAnsi="仿宋" w:eastAsia="仿宋" w:cs="仿宋"/>
          <w:color w:val="000000" w:themeColor="text1"/>
          <w:sz w:val="24"/>
          <w:szCs w:val="24"/>
          <w:u w:val="single"/>
          <w14:textFill>
            <w14:solidFill>
              <w14:schemeClr w14:val="tx1"/>
            </w14:solidFill>
          </w14:textFill>
        </w:rPr>
        <w:t>承担行政与法律责任。</w:t>
      </w:r>
    </w:p>
    <w:p w14:paraId="57B1DA9E">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第六条、本合同的变更必须由双方协商一致，并以书面形式确定。</w:t>
      </w:r>
    </w:p>
    <w:p w14:paraId="5D1CC22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但有下列情形之一的，一方可以向另一方提出变更合同权利与义务的请求，另一方应当在3日内予以答复，逾期未予答复的，视为同意：</w:t>
      </w:r>
    </w:p>
    <w:p w14:paraId="335146E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项目条件有重大变更</w:t>
      </w:r>
      <w:r>
        <w:rPr>
          <w:rFonts w:hint="eastAsia" w:ascii="仿宋" w:hAnsi="仿宋" w:eastAsia="仿宋" w:cs="仿宋"/>
          <w:color w:val="000000" w:themeColor="text1"/>
          <w:sz w:val="24"/>
          <w:szCs w:val="24"/>
          <w14:textFill>
            <w14:solidFill>
              <w14:schemeClr w14:val="tx1"/>
            </w14:solidFill>
          </w14:textFill>
        </w:rPr>
        <w:t>；</w:t>
      </w:r>
    </w:p>
    <w:p w14:paraId="501A0B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第七条、双方确定以下列标准和方式对乙方的技术服务工作成果进行验收：</w:t>
      </w:r>
    </w:p>
    <w:p w14:paraId="124A13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1．乙方完成技术服务工作的形式：以书面形式向甲方提交项目报告；</w:t>
      </w:r>
    </w:p>
    <w:p w14:paraId="3ECF206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2.技术服务工作成果的验收标准：</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2B1C0FC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3.技术服务工作成果的验收方法：</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E96FE4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4.验收的时间和地点：</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1A56BE4">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5.技术服务工作成果的提交</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228E6F7">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第八条、甲、乙双方的权利和义务：</w:t>
      </w:r>
    </w:p>
    <w:p w14:paraId="6631631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FB3C054">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7DE60EDC">
      <w:pPr>
        <w:spacing w:line="360" w:lineRule="auto"/>
        <w:ind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第九条、双方确定，按以下约定承担各自的违约责任</w:t>
      </w:r>
      <w:r>
        <w:rPr>
          <w:rFonts w:hint="eastAsia" w:ascii="仿宋" w:hAnsi="仿宋" w:eastAsia="仿宋" w:cs="仿宋"/>
          <w:color w:val="000000" w:themeColor="text1"/>
          <w:sz w:val="24"/>
          <w:szCs w:val="24"/>
          <w14:textFill>
            <w14:solidFill>
              <w14:schemeClr w14:val="tx1"/>
            </w14:solidFill>
          </w14:textFill>
        </w:rPr>
        <w:t>：</w:t>
      </w:r>
    </w:p>
    <w:p w14:paraId="7DD4FE89">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1.由于甲方违反本合同第三条第1款约定，甲方如果延期提供资料，乙方提交成果的时间也应相应延后。</w:t>
      </w:r>
    </w:p>
    <w:p w14:paraId="6F35CE45">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2.由于乙方原因，乙方违反本合同第二条约定，乙方应当承担违约责任并支付2‰的违约金。</w:t>
      </w:r>
    </w:p>
    <w:p w14:paraId="7E371AAF">
      <w:pPr>
        <w:spacing w:line="360" w:lineRule="auto"/>
        <w:ind w:firstLine="482"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u w:val="single"/>
          <w14:textFill>
            <w14:solidFill>
              <w14:schemeClr w14:val="tx1"/>
            </w14:solidFill>
          </w14:textFill>
        </w:rPr>
        <w:t>第十条、双方确定，在本合同有效期内，</w:t>
      </w:r>
    </w:p>
    <w:p w14:paraId="2307A1E3">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甲方指定    为甲方项目联系人，乙方指定     为            （项目名称）的总负责人和项目联系人。项目联系人承担以下责任：</w:t>
      </w:r>
    </w:p>
    <w:p w14:paraId="76DA541C">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1.及时沟通工作进展情况；</w:t>
      </w:r>
    </w:p>
    <w:p w14:paraId="30D99D6D">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2.及时沟通双方需求变化；</w:t>
      </w:r>
    </w:p>
    <w:p w14:paraId="27791DC4">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3.负责项目的接口及联络</w:t>
      </w:r>
    </w:p>
    <w:p w14:paraId="6C77A06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甲方变更项目联系人的，应当及时以书面形式通知另一方。未及时通知并影响本合同履行或造成损失的，应承担相应的责任。乙方不得变更项目总负责人。</w:t>
      </w:r>
    </w:p>
    <w:p w14:paraId="44514BBC">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第十一条、双方确定，出现下列情形，致使本合同的履行成为不必要或不可能的，可以解除本合同：</w:t>
      </w:r>
    </w:p>
    <w:p w14:paraId="7DD34DAD">
      <w:pPr>
        <w:spacing w:line="360" w:lineRule="auto"/>
        <w:ind w:firstLine="480"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发生不可抗力</w:t>
      </w:r>
      <w:r>
        <w:rPr>
          <w:rFonts w:hint="eastAsia" w:ascii="仿宋" w:hAnsi="仿宋" w:eastAsia="仿宋" w:cs="仿宋"/>
          <w:b/>
          <w:bCs/>
          <w:color w:val="000000" w:themeColor="text1"/>
          <w:sz w:val="24"/>
          <w:szCs w:val="24"/>
          <w14:textFill>
            <w14:solidFill>
              <w14:schemeClr w14:val="tx1"/>
            </w14:solidFill>
          </w14:textFill>
        </w:rPr>
        <w:t>；</w:t>
      </w:r>
    </w:p>
    <w:p w14:paraId="2E57D2A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第十二条、双方因履行本合同而发生的争议，应协商、调解解决。协商、调解不成的， 确定按以下第1种方式处理：</w:t>
      </w:r>
    </w:p>
    <w:p w14:paraId="7A38D3E3">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1.                                    ；</w:t>
      </w:r>
    </w:p>
    <w:p w14:paraId="7125A465">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2.                                     。</w:t>
      </w:r>
    </w:p>
    <w:p w14:paraId="4C20BD7D">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第十三条、双方确定：本合同及相关附件中所涉及的有关名词和技术术语，其定义和解释如下：</w:t>
      </w:r>
      <w:r>
        <w:rPr>
          <w:rFonts w:hint="eastAsia" w:ascii="仿宋" w:hAnsi="仿宋" w:eastAsia="仿宋" w:cs="仿宋"/>
          <w:color w:val="000000" w:themeColor="text1"/>
          <w:sz w:val="24"/>
          <w:szCs w:val="24"/>
          <w14:textFill>
            <w14:solidFill>
              <w14:schemeClr w14:val="tx1"/>
            </w14:solidFill>
          </w14:textFill>
        </w:rPr>
        <w:t>无</w:t>
      </w:r>
    </w:p>
    <w:p w14:paraId="1F12358F">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第十四条、与履行本合同有关的下列技术文件，经双方以协商方式确认后，为本合同的组成部分：</w:t>
      </w:r>
      <w:r>
        <w:rPr>
          <w:rFonts w:hint="eastAsia" w:ascii="仿宋" w:hAnsi="仿宋" w:eastAsia="仿宋" w:cs="仿宋"/>
          <w:b/>
          <w:bCs/>
          <w:color w:val="000000" w:themeColor="text1"/>
          <w:sz w:val="24"/>
          <w:szCs w:val="24"/>
          <w:u w:val="single"/>
          <w14:textFill>
            <w14:solidFill>
              <w14:schemeClr w14:val="tx1"/>
            </w14:solidFill>
          </w14:textFill>
        </w:rPr>
        <w:t>乙方的响应文件。</w:t>
      </w:r>
    </w:p>
    <w:p w14:paraId="189D7DED">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第十五条、双方约定本合同其他相关事项为：合同执行过程中双方协商解决。</w:t>
      </w:r>
    </w:p>
    <w:p w14:paraId="6CF4B1CE">
      <w:pPr>
        <w:spacing w:line="360" w:lineRule="auto"/>
        <w:ind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第十六条、</w:t>
      </w:r>
      <w:r>
        <w:rPr>
          <w:rFonts w:hint="eastAsia" w:ascii="仿宋" w:hAnsi="仿宋" w:eastAsia="仿宋" w:cs="仿宋"/>
          <w:color w:val="000000" w:themeColor="text1"/>
          <w:sz w:val="24"/>
          <w:szCs w:val="24"/>
          <w14:textFill>
            <w14:solidFill>
              <w14:schemeClr w14:val="tx1"/>
            </w14:solidFill>
          </w14:textFill>
        </w:rPr>
        <w:t>本合同一式</w:t>
      </w:r>
      <w:r>
        <w:rPr>
          <w:rFonts w:hint="eastAsia" w:ascii="仿宋" w:hAnsi="仿宋" w:eastAsia="仿宋" w:cs="仿宋"/>
          <w:b/>
          <w:bCs/>
          <w:color w:val="000000" w:themeColor="text1"/>
          <w:sz w:val="24"/>
          <w:szCs w:val="24"/>
          <w:u w:val="single"/>
          <w14:textFill>
            <w14:solidFill>
              <w14:schemeClr w14:val="tx1"/>
            </w14:solidFill>
          </w14:textFill>
        </w:rPr>
        <w:t>肆</w:t>
      </w:r>
      <w:r>
        <w:rPr>
          <w:rFonts w:hint="eastAsia" w:ascii="仿宋" w:hAnsi="仿宋" w:eastAsia="仿宋" w:cs="仿宋"/>
          <w:color w:val="000000" w:themeColor="text1"/>
          <w:sz w:val="24"/>
          <w:szCs w:val="24"/>
          <w14:textFill>
            <w14:solidFill>
              <w14:schemeClr w14:val="tx1"/>
            </w14:solidFill>
          </w14:textFill>
        </w:rPr>
        <w:t>份，其中采购人</w:t>
      </w:r>
      <w:r>
        <w:rPr>
          <w:rFonts w:hint="eastAsia" w:ascii="仿宋" w:hAnsi="仿宋" w:eastAsia="仿宋" w:cs="仿宋"/>
          <w:b/>
          <w:bCs/>
          <w:color w:val="000000" w:themeColor="text1"/>
          <w:sz w:val="24"/>
          <w:szCs w:val="24"/>
          <w14:textFill>
            <w14:solidFill>
              <w14:schemeClr w14:val="tx1"/>
            </w14:solidFill>
          </w14:textFill>
        </w:rPr>
        <w:t>贰</w:t>
      </w:r>
      <w:r>
        <w:rPr>
          <w:rFonts w:hint="eastAsia" w:ascii="仿宋" w:hAnsi="仿宋" w:eastAsia="仿宋" w:cs="仿宋"/>
          <w:color w:val="000000" w:themeColor="text1"/>
          <w:sz w:val="24"/>
          <w:szCs w:val="24"/>
          <w14:textFill>
            <w14:solidFill>
              <w14:schemeClr w14:val="tx1"/>
            </w14:solidFill>
          </w14:textFill>
        </w:rPr>
        <w:t>份、中标单位</w:t>
      </w:r>
      <w:r>
        <w:rPr>
          <w:rFonts w:hint="eastAsia" w:ascii="仿宋" w:hAnsi="仿宋" w:eastAsia="仿宋" w:cs="仿宋"/>
          <w:b/>
          <w:bCs/>
          <w:color w:val="000000" w:themeColor="text1"/>
          <w:sz w:val="24"/>
          <w:szCs w:val="24"/>
          <w14:textFill>
            <w14:solidFill>
              <w14:schemeClr w14:val="tx1"/>
            </w14:solidFill>
          </w14:textFill>
        </w:rPr>
        <w:t>贰</w:t>
      </w:r>
      <w:r>
        <w:rPr>
          <w:rFonts w:hint="eastAsia" w:ascii="仿宋" w:hAnsi="仿宋" w:eastAsia="仿宋" w:cs="仿宋"/>
          <w:color w:val="000000" w:themeColor="text1"/>
          <w:sz w:val="24"/>
          <w:szCs w:val="24"/>
          <w14:textFill>
            <w14:solidFill>
              <w14:schemeClr w14:val="tx1"/>
            </w14:solidFill>
          </w14:textFill>
        </w:rPr>
        <w:t>份，具有同等法律效力</w:t>
      </w:r>
    </w:p>
    <w:p w14:paraId="02561B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第十七条、合同生效</w:t>
      </w:r>
    </w:p>
    <w:p w14:paraId="3C634A2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合同订立时间：  年 月 日</w:t>
      </w:r>
    </w:p>
    <w:p w14:paraId="4820451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合同订立地点：</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908219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67FD25D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本合同双方约定：   年    月   日   生   效 。</w:t>
      </w:r>
    </w:p>
    <w:p w14:paraId="75A2C68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00A841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委托人：（甲方公章）                      受托人：（乙方公章）</w:t>
      </w:r>
    </w:p>
    <w:p w14:paraId="51D384B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法定代表人（签字或盖章）：                法定代表人（签字或盖章）：</w:t>
      </w:r>
    </w:p>
    <w:p w14:paraId="3A97D5F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授权代理人（签字或盖章）：                授权代理人（签字或盖章）：</w:t>
      </w:r>
    </w:p>
    <w:p w14:paraId="6DF78C5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单位地址：                                单位地址：</w:t>
      </w:r>
    </w:p>
    <w:p w14:paraId="4CCECC6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邮政编码：                                邮政编码：</w:t>
      </w:r>
    </w:p>
    <w:p w14:paraId="34836DB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                                联系电话：</w:t>
      </w:r>
    </w:p>
    <w:p w14:paraId="311411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                                开户银行：</w:t>
      </w:r>
    </w:p>
    <w:p w14:paraId="6A0120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帐    号：                                帐    号：</w:t>
      </w:r>
    </w:p>
    <w:p w14:paraId="4859A7F3">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328CEC6C">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6356A839">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0E808D5E">
      <w:pPr>
        <w:pStyle w:val="16"/>
        <w:spacing w:line="276" w:lineRule="auto"/>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注：本合同仅供参考，具体合同签订事宜由采购人根据磋商文件及成交供应商的磋商响应文件与成交供应商订立及签订。</w:t>
      </w:r>
    </w:p>
    <w:p w14:paraId="74BC0FE2">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6DBA4EE7">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1F71F339">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718C9C8F">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3A5F0566">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6A5EDFD0">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54BD0C86">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739641F9">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666DF0BB">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22B918C4">
      <w:pPr>
        <w:pStyle w:val="16"/>
        <w:spacing w:line="276" w:lineRule="auto"/>
        <w:jc w:val="center"/>
        <w:rPr>
          <w:rFonts w:hint="eastAsia" w:ascii="仿宋" w:hAnsi="仿宋" w:eastAsia="仿宋" w:cs="仿宋"/>
          <w:b/>
          <w:bCs/>
          <w:color w:val="000000" w:themeColor="text1"/>
          <w:sz w:val="24"/>
          <w:szCs w:val="24"/>
          <w14:textFill>
            <w14:solidFill>
              <w14:schemeClr w14:val="tx1"/>
            </w14:solidFill>
          </w14:textFill>
        </w:rPr>
      </w:pPr>
    </w:p>
    <w:p w14:paraId="31F7E115">
      <w:pPr>
        <w:pStyle w:val="16"/>
        <w:spacing w:line="276" w:lineRule="auto"/>
        <w:rPr>
          <w:rFonts w:hint="eastAsia" w:ascii="仿宋" w:hAnsi="仿宋" w:eastAsia="仿宋" w:cs="仿宋"/>
          <w:b/>
          <w:bCs/>
          <w:color w:val="000000" w:themeColor="text1"/>
          <w:sz w:val="24"/>
          <w:szCs w:val="24"/>
          <w14:textFill>
            <w14:solidFill>
              <w14:schemeClr w14:val="tx1"/>
            </w14:solidFill>
          </w14:textFill>
        </w:rPr>
      </w:pPr>
    </w:p>
    <w:p w14:paraId="0D82C038">
      <w:pPr>
        <w:pStyle w:val="16"/>
        <w:spacing w:line="276" w:lineRule="auto"/>
        <w:jc w:val="center"/>
        <w:outlineLvl w:val="0"/>
        <w:rPr>
          <w:rFonts w:hint="eastAsia" w:ascii="仿宋" w:hAnsi="仿宋" w:eastAsia="仿宋" w:cs="仿宋"/>
          <w:color w:val="000000" w:themeColor="text1"/>
          <w:sz w:val="24"/>
          <w:szCs w:val="24"/>
          <w14:textFill>
            <w14:solidFill>
              <w14:schemeClr w14:val="tx1"/>
            </w14:solidFill>
          </w14:textFill>
        </w:rPr>
      </w:pPr>
      <w:bookmarkStart w:id="25" w:name="_Toc16249"/>
      <w:bookmarkStart w:id="26" w:name="_Hlk206002806"/>
      <w:r>
        <w:rPr>
          <w:rFonts w:hint="eastAsia" w:ascii="仿宋" w:hAnsi="仿宋" w:eastAsia="仿宋" w:cs="仿宋"/>
          <w:b/>
          <w:bCs/>
          <w:color w:val="000000" w:themeColor="text1"/>
          <w:sz w:val="36"/>
          <w:szCs w:val="36"/>
          <w14:textFill>
            <w14:solidFill>
              <w14:schemeClr w14:val="tx1"/>
            </w14:solidFill>
          </w14:textFill>
        </w:rPr>
        <w:t>第四章  采购需求</w:t>
      </w:r>
      <w:bookmarkEnd w:id="25"/>
    </w:p>
    <w:p w14:paraId="6C14D2CC">
      <w:pPr>
        <w:spacing w:line="360" w:lineRule="auto"/>
        <w:ind w:firstLine="240" w:firstLineChars="100"/>
        <w:jc w:val="left"/>
        <w:rPr>
          <w:rFonts w:hint="eastAsia" w:ascii="仿宋" w:hAnsi="仿宋" w:eastAsia="仿宋" w:cs="仿宋"/>
          <w:color w:val="000000" w:themeColor="text1"/>
          <w:sz w:val="24"/>
          <w:szCs w:val="24"/>
          <w14:textFill>
            <w14:solidFill>
              <w14:schemeClr w14:val="tx1"/>
            </w14:solidFill>
          </w14:textFill>
        </w:rPr>
      </w:pPr>
    </w:p>
    <w:bookmarkEnd w:id="26"/>
    <w:p w14:paraId="7E6755E9">
      <w:pPr>
        <w:widowControl w:val="0"/>
        <w:pBdr>
          <w:bottom w:val="none" w:color="auto" w:sz="0" w:space="0"/>
        </w:pBdr>
        <w:tabs>
          <w:tab w:val="center" w:pos="4153"/>
          <w:tab w:val="right" w:pos="8306"/>
        </w:tabs>
        <w:adjustRightInd w:val="0"/>
        <w:snapToGrid w:val="0"/>
        <w:spacing w:line="360" w:lineRule="auto"/>
        <w:ind w:firstLine="482" w:firstLineChars="200"/>
        <w:jc w:val="both"/>
        <w:rPr>
          <w:rFonts w:ascii="楷体" w:hAnsi="楷体" w:eastAsia="楷体" w:cs="Times New Roman"/>
          <w:kern w:val="2"/>
          <w:sz w:val="24"/>
          <w:szCs w:val="24"/>
          <w:highlight w:val="none"/>
          <w:lang w:val="en-US" w:eastAsia="zh-CN" w:bidi="ar-SA"/>
        </w:rPr>
      </w:pPr>
      <w:bookmarkStart w:id="27" w:name="_Toc19086"/>
      <w:r>
        <w:rPr>
          <w:rFonts w:hint="eastAsia" w:ascii="楷体" w:hAnsi="楷体" w:eastAsia="楷体" w:cs="Times New Roman"/>
          <w:b/>
          <w:bCs/>
          <w:kern w:val="2"/>
          <w:sz w:val="24"/>
          <w:szCs w:val="24"/>
          <w:highlight w:val="none"/>
          <w:lang w:val="en-US" w:eastAsia="zh-CN" w:bidi="ar-SA"/>
        </w:rPr>
        <w:t>一、项目名称：</w:t>
      </w:r>
      <w:r>
        <w:rPr>
          <w:rFonts w:hint="eastAsia" w:ascii="楷体" w:hAnsi="楷体" w:eastAsia="楷体" w:cs="Times New Roman"/>
          <w:kern w:val="2"/>
          <w:sz w:val="24"/>
          <w:szCs w:val="22"/>
          <w:highlight w:val="none"/>
          <w:lang w:val="en-US" w:eastAsia="zh-CN" w:bidi="ar-SA"/>
        </w:rPr>
        <w:t>阿瓦提县预算绩效全过程管理咨询服务（二次）</w:t>
      </w:r>
    </w:p>
    <w:p w14:paraId="233A6218">
      <w:pPr>
        <w:adjustRightInd w:val="0"/>
        <w:snapToGrid w:val="0"/>
        <w:spacing w:line="360" w:lineRule="auto"/>
        <w:ind w:firstLine="482" w:firstLineChars="200"/>
        <w:rPr>
          <w:rFonts w:hint="eastAsia" w:ascii="楷体" w:hAnsi="楷体" w:eastAsia="楷体" w:cs="Times New Roman"/>
          <w:sz w:val="24"/>
          <w:szCs w:val="20"/>
          <w:highlight w:val="none"/>
        </w:rPr>
      </w:pPr>
      <w:r>
        <w:rPr>
          <w:rFonts w:hint="eastAsia" w:ascii="楷体" w:hAnsi="楷体" w:eastAsia="楷体" w:cs="Times New Roman"/>
          <w:b/>
          <w:bCs/>
          <w:sz w:val="24"/>
          <w:szCs w:val="20"/>
          <w:highlight w:val="none"/>
        </w:rPr>
        <w:t>二、项目预算金额：</w:t>
      </w:r>
      <w:r>
        <w:rPr>
          <w:rFonts w:hint="eastAsia" w:ascii="楷体" w:hAnsi="楷体" w:eastAsia="楷体" w:cs="Times New Roman"/>
          <w:b/>
          <w:bCs/>
          <w:sz w:val="24"/>
          <w:szCs w:val="20"/>
          <w:highlight w:val="none"/>
          <w:lang w:val="en-US" w:eastAsia="zh-CN"/>
        </w:rPr>
        <w:t>65万元</w:t>
      </w:r>
      <w:r>
        <w:rPr>
          <w:rFonts w:hint="eastAsia" w:ascii="楷体" w:hAnsi="楷体" w:eastAsia="楷体" w:cs="Times New Roman"/>
          <w:sz w:val="24"/>
          <w:szCs w:val="20"/>
          <w:highlight w:val="none"/>
        </w:rPr>
        <w:t>。</w:t>
      </w:r>
    </w:p>
    <w:p w14:paraId="51DFFEBC">
      <w:pPr>
        <w:autoSpaceDE w:val="0"/>
        <w:autoSpaceDN w:val="0"/>
        <w:adjustRightInd w:val="0"/>
        <w:snapToGrid w:val="0"/>
        <w:spacing w:line="360" w:lineRule="auto"/>
        <w:ind w:firstLine="482" w:firstLineChars="200"/>
        <w:jc w:val="left"/>
        <w:rPr>
          <w:rFonts w:ascii="楷体" w:hAnsi="楷体" w:eastAsia="楷体" w:cs="Times New Roman"/>
          <w:b/>
          <w:bCs/>
          <w:sz w:val="24"/>
          <w:szCs w:val="20"/>
          <w:highlight w:val="none"/>
        </w:rPr>
      </w:pPr>
      <w:r>
        <w:rPr>
          <w:rFonts w:hint="eastAsia" w:ascii="楷体" w:hAnsi="楷体" w:eastAsia="楷体" w:cs="Times New Roman"/>
          <w:b/>
          <w:bCs/>
          <w:sz w:val="24"/>
          <w:szCs w:val="20"/>
          <w:highlight w:val="none"/>
        </w:rPr>
        <w:t>三、商务要求</w:t>
      </w:r>
    </w:p>
    <w:p w14:paraId="561E4B47">
      <w:pPr>
        <w:autoSpaceDE w:val="0"/>
        <w:autoSpaceDN w:val="0"/>
        <w:adjustRightInd w:val="0"/>
        <w:snapToGrid w:val="0"/>
        <w:spacing w:line="360" w:lineRule="auto"/>
        <w:ind w:firstLine="482" w:firstLineChars="200"/>
        <w:jc w:val="left"/>
        <w:rPr>
          <w:rFonts w:hint="eastAsia" w:ascii="楷体" w:hAnsi="楷体" w:eastAsia="楷体" w:cs="Times New Roman"/>
          <w:sz w:val="24"/>
          <w:szCs w:val="20"/>
          <w:highlight w:val="none"/>
        </w:rPr>
      </w:pPr>
      <w:r>
        <w:rPr>
          <w:rFonts w:hint="eastAsia" w:ascii="楷体" w:hAnsi="楷体" w:eastAsia="楷体" w:cs="Times New Roman"/>
          <w:b/>
          <w:bCs/>
          <w:sz w:val="24"/>
          <w:szCs w:val="20"/>
          <w:highlight w:val="none"/>
        </w:rPr>
        <w:t>（一）服务地点</w:t>
      </w:r>
      <w:r>
        <w:rPr>
          <w:rFonts w:hint="eastAsia" w:ascii="楷体" w:hAnsi="楷体" w:eastAsia="楷体" w:cs="Times New Roman"/>
          <w:sz w:val="24"/>
          <w:szCs w:val="20"/>
          <w:highlight w:val="none"/>
        </w:rPr>
        <w:t>：采购人指定地点。</w:t>
      </w:r>
    </w:p>
    <w:p w14:paraId="78778673">
      <w:pPr>
        <w:widowControl w:val="0"/>
        <w:pBdr>
          <w:bottom w:val="none" w:color="auto" w:sz="0" w:space="0"/>
        </w:pBdr>
        <w:tabs>
          <w:tab w:val="center" w:pos="4153"/>
          <w:tab w:val="right" w:pos="8306"/>
        </w:tabs>
        <w:adjustRightInd w:val="0"/>
        <w:snapToGrid w:val="0"/>
        <w:spacing w:line="360" w:lineRule="auto"/>
        <w:ind w:firstLine="482" w:firstLineChars="200"/>
        <w:jc w:val="both"/>
        <w:rPr>
          <w:rFonts w:hint="eastAsia" w:ascii="楷体" w:hAnsi="楷体" w:eastAsia="楷体" w:cs="Times New Roman"/>
          <w:kern w:val="2"/>
          <w:sz w:val="24"/>
          <w:szCs w:val="24"/>
          <w:highlight w:val="none"/>
          <w:lang w:val="en-US" w:eastAsia="zh-CN" w:bidi="ar-SA"/>
        </w:rPr>
      </w:pPr>
      <w:bookmarkStart w:id="28" w:name="_Toc9288"/>
      <w:bookmarkStart w:id="29" w:name="_Toc485147127"/>
      <w:r>
        <w:rPr>
          <w:rFonts w:hint="eastAsia" w:ascii="楷体" w:hAnsi="楷体" w:eastAsia="楷体" w:cs="Times New Roman"/>
          <w:b/>
          <w:bCs/>
          <w:kern w:val="2"/>
          <w:sz w:val="24"/>
          <w:szCs w:val="24"/>
          <w:highlight w:val="none"/>
          <w:lang w:val="en-US" w:eastAsia="zh-CN" w:bidi="ar-SA"/>
        </w:rPr>
        <w:t>（二）服务期限</w:t>
      </w:r>
      <w:r>
        <w:rPr>
          <w:rFonts w:hint="eastAsia" w:ascii="楷体" w:hAnsi="楷体" w:eastAsia="楷体" w:cs="Times New Roman"/>
          <w:kern w:val="2"/>
          <w:sz w:val="24"/>
          <w:szCs w:val="24"/>
          <w:highlight w:val="none"/>
          <w:lang w:val="en-US" w:eastAsia="zh-CN" w:bidi="ar-SA"/>
        </w:rPr>
        <w:t>：</w:t>
      </w:r>
      <w:bookmarkEnd w:id="28"/>
      <w:bookmarkEnd w:id="29"/>
      <w:r>
        <w:rPr>
          <w:rFonts w:hint="eastAsia" w:ascii="楷体" w:hAnsi="楷体" w:eastAsia="楷体" w:cs="Times New Roman"/>
          <w:kern w:val="2"/>
          <w:sz w:val="24"/>
          <w:szCs w:val="24"/>
          <w:highlight w:val="none"/>
          <w:lang w:val="en-US" w:eastAsia="zh-CN" w:bidi="ar-SA"/>
        </w:rPr>
        <w:t>2年（合同一年一签，视中标(成交)供应商服务情况签订下一年度合同）。</w:t>
      </w:r>
    </w:p>
    <w:p w14:paraId="0B2D5151">
      <w:pPr>
        <w:widowControl w:val="0"/>
        <w:pBdr>
          <w:bottom w:val="none" w:color="auto" w:sz="0" w:space="0"/>
        </w:pBdr>
        <w:tabs>
          <w:tab w:val="center" w:pos="4153"/>
          <w:tab w:val="right" w:pos="8306"/>
        </w:tabs>
        <w:adjustRightInd w:val="0"/>
        <w:snapToGrid w:val="0"/>
        <w:spacing w:before="20" w:after="20" w:line="360" w:lineRule="auto"/>
        <w:ind w:firstLine="482" w:firstLineChars="200"/>
        <w:jc w:val="both"/>
        <w:rPr>
          <w:rFonts w:hint="eastAsia" w:ascii="楷体" w:hAnsi="楷体" w:eastAsia="楷体" w:cs="Times New Roman"/>
          <w:b/>
          <w:bCs/>
          <w:kern w:val="2"/>
          <w:sz w:val="24"/>
          <w:szCs w:val="24"/>
          <w:highlight w:val="none"/>
          <w:lang w:val="en-US" w:eastAsia="zh-CN" w:bidi="ar-SA"/>
        </w:rPr>
      </w:pPr>
      <w:r>
        <w:rPr>
          <w:rFonts w:hint="eastAsia" w:ascii="楷体" w:hAnsi="楷体" w:eastAsia="楷体" w:cs="Times New Roman"/>
          <w:b/>
          <w:bCs/>
          <w:kern w:val="2"/>
          <w:sz w:val="24"/>
          <w:szCs w:val="24"/>
          <w:highlight w:val="none"/>
          <w:lang w:val="en-US" w:eastAsia="zh-CN" w:bidi="ar-SA"/>
        </w:rPr>
        <w:t>四、服务需求：</w:t>
      </w:r>
    </w:p>
    <w:p w14:paraId="3467734A">
      <w:pPr>
        <w:widowControl w:val="0"/>
        <w:pBdr>
          <w:bottom w:val="none" w:color="auto" w:sz="0" w:space="0"/>
        </w:pBdr>
        <w:tabs>
          <w:tab w:val="center" w:pos="4153"/>
          <w:tab w:val="right" w:pos="8306"/>
        </w:tabs>
        <w:adjustRightInd w:val="0"/>
        <w:snapToGrid w:val="0"/>
        <w:spacing w:before="20" w:after="20" w:line="360" w:lineRule="auto"/>
        <w:ind w:firstLine="480" w:firstLineChars="200"/>
        <w:jc w:val="both"/>
        <w:rPr>
          <w:rFonts w:hint="eastAsia" w:ascii="楷体" w:hAnsi="楷体" w:eastAsia="楷体" w:cs="Times New Roman"/>
          <w:b w:val="0"/>
          <w:bCs w:val="0"/>
          <w:kern w:val="2"/>
          <w:sz w:val="24"/>
          <w:szCs w:val="24"/>
          <w:highlight w:val="none"/>
          <w:lang w:val="en-US" w:eastAsia="zh-CN" w:bidi="ar-SA"/>
        </w:rPr>
      </w:pPr>
      <w:r>
        <w:rPr>
          <w:rFonts w:hint="eastAsia" w:ascii="楷体" w:hAnsi="楷体" w:eastAsia="楷体" w:cs="Times New Roman"/>
          <w:b w:val="0"/>
          <w:bCs w:val="0"/>
          <w:kern w:val="2"/>
          <w:sz w:val="24"/>
          <w:szCs w:val="24"/>
          <w:highlight w:val="none"/>
          <w:lang w:val="en-US" w:eastAsia="zh-CN" w:bidi="ar-SA"/>
        </w:rPr>
        <w:t>(1)审核阿瓦提县2026、2027年新增项目事前绩效评估报告;</w:t>
      </w:r>
    </w:p>
    <w:p w14:paraId="5B4AACF9">
      <w:pPr>
        <w:widowControl w:val="0"/>
        <w:pBdr>
          <w:bottom w:val="none" w:color="auto" w:sz="0" w:space="0"/>
        </w:pBdr>
        <w:tabs>
          <w:tab w:val="center" w:pos="4153"/>
          <w:tab w:val="right" w:pos="8306"/>
        </w:tabs>
        <w:adjustRightInd w:val="0"/>
        <w:snapToGrid w:val="0"/>
        <w:spacing w:before="20" w:after="20" w:line="360" w:lineRule="auto"/>
        <w:ind w:firstLine="480" w:firstLineChars="200"/>
        <w:jc w:val="both"/>
        <w:rPr>
          <w:rFonts w:hint="eastAsia" w:ascii="楷体" w:hAnsi="楷体" w:eastAsia="楷体" w:cs="Times New Roman"/>
          <w:b w:val="0"/>
          <w:bCs w:val="0"/>
          <w:kern w:val="2"/>
          <w:sz w:val="24"/>
          <w:szCs w:val="24"/>
          <w:highlight w:val="none"/>
          <w:lang w:val="en-US" w:eastAsia="zh-CN" w:bidi="ar-SA"/>
        </w:rPr>
      </w:pPr>
      <w:r>
        <w:rPr>
          <w:rFonts w:hint="eastAsia" w:ascii="楷体" w:hAnsi="楷体" w:eastAsia="楷体" w:cs="Times New Roman"/>
          <w:b w:val="0"/>
          <w:bCs w:val="0"/>
          <w:kern w:val="2"/>
          <w:sz w:val="24"/>
          <w:szCs w:val="24"/>
          <w:highlight w:val="none"/>
          <w:lang w:val="en-US" w:eastAsia="zh-CN" w:bidi="ar-SA"/>
        </w:rPr>
        <w:t>(2)审核阿瓦提县2026、2027年部门预算安排项目绩效目标、部门整体支出绩效目标、年中追加预算项目绩效目标;</w:t>
      </w:r>
    </w:p>
    <w:p w14:paraId="5B865331">
      <w:pPr>
        <w:widowControl w:val="0"/>
        <w:pBdr>
          <w:bottom w:val="none" w:color="auto" w:sz="0" w:space="0"/>
        </w:pBdr>
        <w:tabs>
          <w:tab w:val="center" w:pos="4153"/>
          <w:tab w:val="right" w:pos="8306"/>
        </w:tabs>
        <w:adjustRightInd w:val="0"/>
        <w:snapToGrid w:val="0"/>
        <w:spacing w:before="20" w:after="20" w:line="360" w:lineRule="auto"/>
        <w:ind w:firstLine="480" w:firstLineChars="200"/>
        <w:jc w:val="both"/>
        <w:rPr>
          <w:rFonts w:hint="eastAsia" w:ascii="楷体" w:hAnsi="楷体" w:eastAsia="楷体" w:cs="Times New Roman"/>
          <w:b w:val="0"/>
          <w:bCs w:val="0"/>
          <w:kern w:val="2"/>
          <w:sz w:val="24"/>
          <w:szCs w:val="24"/>
          <w:highlight w:val="none"/>
          <w:lang w:val="en-US" w:eastAsia="zh-CN" w:bidi="ar-SA"/>
        </w:rPr>
      </w:pPr>
      <w:r>
        <w:rPr>
          <w:rFonts w:hint="eastAsia" w:ascii="楷体" w:hAnsi="楷体" w:eastAsia="楷体" w:cs="Times New Roman"/>
          <w:b w:val="0"/>
          <w:bCs w:val="0"/>
          <w:kern w:val="2"/>
          <w:sz w:val="24"/>
          <w:szCs w:val="24"/>
          <w:highlight w:val="none"/>
          <w:lang w:val="en-US" w:eastAsia="zh-CN" w:bidi="ar-SA"/>
        </w:rPr>
        <w:t>(3)按监控节点即2026、2027年5月，8月，审核各预算单位项目支出绩效监控情况，及时向财政局反馈监控结果并提出改进建议;</w:t>
      </w:r>
    </w:p>
    <w:p w14:paraId="450AE28D">
      <w:pPr>
        <w:widowControl w:val="0"/>
        <w:pBdr>
          <w:bottom w:val="none" w:color="auto" w:sz="0" w:space="0"/>
        </w:pBdr>
        <w:tabs>
          <w:tab w:val="center" w:pos="4153"/>
          <w:tab w:val="right" w:pos="8306"/>
        </w:tabs>
        <w:adjustRightInd w:val="0"/>
        <w:snapToGrid w:val="0"/>
        <w:spacing w:before="20" w:after="20" w:line="360" w:lineRule="auto"/>
        <w:ind w:firstLine="480" w:firstLineChars="200"/>
        <w:jc w:val="both"/>
        <w:rPr>
          <w:rFonts w:hint="eastAsia" w:ascii="楷体" w:hAnsi="楷体" w:eastAsia="楷体" w:cs="Times New Roman"/>
          <w:b w:val="0"/>
          <w:bCs w:val="0"/>
          <w:kern w:val="2"/>
          <w:sz w:val="24"/>
          <w:szCs w:val="24"/>
          <w:highlight w:val="none"/>
          <w:lang w:val="en-US" w:eastAsia="zh-CN" w:bidi="ar-SA"/>
        </w:rPr>
      </w:pPr>
      <w:r>
        <w:rPr>
          <w:rFonts w:hint="eastAsia" w:ascii="楷体" w:hAnsi="楷体" w:eastAsia="楷体" w:cs="Times New Roman"/>
          <w:b w:val="0"/>
          <w:bCs w:val="0"/>
          <w:kern w:val="2"/>
          <w:sz w:val="24"/>
          <w:szCs w:val="24"/>
          <w:highlight w:val="none"/>
          <w:lang w:val="en-US" w:eastAsia="zh-CN" w:bidi="ar-SA"/>
        </w:rPr>
        <w:t>(4)审核阿瓦提县2026、2027年部门单位整体支出绩效监控，并及时向财政局反馈监控结果并提出改进建议;</w:t>
      </w:r>
    </w:p>
    <w:p w14:paraId="1F9D2D33">
      <w:pPr>
        <w:widowControl w:val="0"/>
        <w:pBdr>
          <w:bottom w:val="none" w:color="auto" w:sz="0" w:space="0"/>
        </w:pBdr>
        <w:tabs>
          <w:tab w:val="center" w:pos="4153"/>
          <w:tab w:val="right" w:pos="8306"/>
        </w:tabs>
        <w:adjustRightInd w:val="0"/>
        <w:snapToGrid w:val="0"/>
        <w:spacing w:before="20" w:after="20" w:line="360" w:lineRule="auto"/>
        <w:ind w:firstLine="480" w:firstLineChars="200"/>
        <w:jc w:val="both"/>
        <w:rPr>
          <w:rFonts w:hint="eastAsia" w:ascii="楷体" w:hAnsi="楷体" w:eastAsia="楷体" w:cs="Times New Roman"/>
          <w:b w:val="0"/>
          <w:bCs w:val="0"/>
          <w:kern w:val="2"/>
          <w:sz w:val="24"/>
          <w:szCs w:val="24"/>
          <w:highlight w:val="none"/>
          <w:lang w:val="en-US" w:eastAsia="zh-CN" w:bidi="ar-SA"/>
        </w:rPr>
      </w:pPr>
      <w:r>
        <w:rPr>
          <w:rFonts w:hint="eastAsia" w:ascii="楷体" w:hAnsi="楷体" w:eastAsia="楷体" w:cs="Times New Roman"/>
          <w:b w:val="0"/>
          <w:bCs w:val="0"/>
          <w:kern w:val="2"/>
          <w:sz w:val="24"/>
          <w:szCs w:val="24"/>
          <w:highlight w:val="none"/>
          <w:lang w:val="en-US" w:eastAsia="zh-CN" w:bidi="ar-SA"/>
        </w:rPr>
        <w:t>(5)审核阿瓦提县各预算单位2026、2027年度部门单位整体绩效评价及项目支出绩效评价表，并审核预算部门单位人员撰写的20%的项目绩效评价报告，以及部门整体支出绩效自评报告。并协助阿瓦提县财政局完成10%项目支出绩效评价数据真实性核查工作;</w:t>
      </w:r>
    </w:p>
    <w:p w14:paraId="3AD46AC7">
      <w:pPr>
        <w:widowControl w:val="0"/>
        <w:pBdr>
          <w:bottom w:val="none" w:color="auto" w:sz="0" w:space="0"/>
        </w:pBdr>
        <w:tabs>
          <w:tab w:val="center" w:pos="4153"/>
          <w:tab w:val="right" w:pos="8306"/>
        </w:tabs>
        <w:adjustRightInd w:val="0"/>
        <w:snapToGrid w:val="0"/>
        <w:spacing w:before="20" w:after="20" w:line="360" w:lineRule="auto"/>
        <w:ind w:firstLine="480" w:firstLineChars="200"/>
        <w:jc w:val="both"/>
        <w:rPr>
          <w:rFonts w:hint="eastAsia" w:ascii="楷体" w:hAnsi="楷体" w:eastAsia="楷体" w:cs="Times New Roman"/>
          <w:b w:val="0"/>
          <w:bCs w:val="0"/>
          <w:kern w:val="2"/>
          <w:sz w:val="24"/>
          <w:szCs w:val="24"/>
          <w:highlight w:val="none"/>
          <w:lang w:val="en-US" w:eastAsia="zh-CN" w:bidi="ar-SA"/>
        </w:rPr>
      </w:pPr>
      <w:r>
        <w:rPr>
          <w:rFonts w:hint="eastAsia" w:ascii="楷体" w:hAnsi="楷体" w:eastAsia="楷体" w:cs="Times New Roman"/>
          <w:b w:val="0"/>
          <w:bCs w:val="0"/>
          <w:kern w:val="2"/>
          <w:sz w:val="24"/>
          <w:szCs w:val="24"/>
          <w:highlight w:val="none"/>
          <w:lang w:val="en-US" w:eastAsia="zh-CN" w:bidi="ar-SA"/>
        </w:rPr>
        <w:t>(6)审核阿瓦提县2026、2027年乡村振兴衔接资金、援疆资金、债券项目绩效目标、项目绩效监控、项目绩效评价工作;</w:t>
      </w:r>
    </w:p>
    <w:p w14:paraId="414D28BA">
      <w:pPr>
        <w:widowControl w:val="0"/>
        <w:pBdr>
          <w:bottom w:val="none" w:color="auto" w:sz="0" w:space="0"/>
        </w:pBdr>
        <w:tabs>
          <w:tab w:val="center" w:pos="4153"/>
          <w:tab w:val="right" w:pos="8306"/>
        </w:tabs>
        <w:adjustRightInd w:val="0"/>
        <w:snapToGrid w:val="0"/>
        <w:spacing w:before="20" w:after="20" w:line="360" w:lineRule="auto"/>
        <w:ind w:firstLine="480" w:firstLineChars="200"/>
        <w:jc w:val="both"/>
        <w:rPr>
          <w:rFonts w:hint="eastAsia" w:ascii="楷体" w:hAnsi="楷体" w:eastAsia="楷体" w:cs="Times New Roman"/>
          <w:b w:val="0"/>
          <w:bCs w:val="0"/>
          <w:kern w:val="2"/>
          <w:sz w:val="24"/>
          <w:szCs w:val="24"/>
          <w:highlight w:val="none"/>
          <w:lang w:val="en-US" w:eastAsia="zh-CN" w:bidi="ar-SA"/>
        </w:rPr>
      </w:pPr>
      <w:r>
        <w:rPr>
          <w:rFonts w:hint="eastAsia" w:ascii="楷体" w:hAnsi="楷体" w:eastAsia="楷体" w:cs="Times New Roman"/>
          <w:b w:val="0"/>
          <w:bCs w:val="0"/>
          <w:kern w:val="2"/>
          <w:sz w:val="24"/>
          <w:szCs w:val="24"/>
          <w:highlight w:val="none"/>
          <w:lang w:val="en-US" w:eastAsia="zh-CN" w:bidi="ar-SA"/>
        </w:rPr>
        <w:t>(7)根据阿瓦提县财政局的要求，对该县部门预算绩效管理工作人员开展指导培训工作，每季度不少于一次。</w:t>
      </w:r>
    </w:p>
    <w:p w14:paraId="3DEBBD7A">
      <w:pPr>
        <w:widowControl w:val="0"/>
        <w:pBdr>
          <w:bottom w:val="none" w:color="auto" w:sz="0" w:space="0"/>
        </w:pBdr>
        <w:tabs>
          <w:tab w:val="center" w:pos="4153"/>
          <w:tab w:val="right" w:pos="8306"/>
        </w:tabs>
        <w:adjustRightInd w:val="0"/>
        <w:snapToGrid w:val="0"/>
        <w:spacing w:before="20" w:after="20" w:line="360" w:lineRule="auto"/>
        <w:ind w:firstLine="480" w:firstLineChars="200"/>
        <w:jc w:val="both"/>
        <w:rPr>
          <w:rFonts w:hint="eastAsia" w:ascii="仿宋" w:hAnsi="仿宋" w:eastAsia="仿宋" w:cs="仿宋"/>
          <w:color w:val="000000" w:themeColor="text1"/>
          <w:sz w:val="36"/>
          <w:szCs w:val="36"/>
          <w14:textFill>
            <w14:solidFill>
              <w14:schemeClr w14:val="tx1"/>
            </w14:solidFill>
          </w14:textFill>
        </w:rPr>
      </w:pPr>
      <w:r>
        <w:rPr>
          <w:rFonts w:hint="eastAsia" w:ascii="楷体" w:hAnsi="楷体" w:eastAsia="楷体" w:cs="Times New Roman"/>
          <w:b w:val="0"/>
          <w:bCs w:val="0"/>
          <w:kern w:val="2"/>
          <w:sz w:val="24"/>
          <w:szCs w:val="24"/>
          <w:highlight w:val="none"/>
          <w:lang w:val="en-US" w:eastAsia="zh-CN" w:bidi="ar-SA"/>
        </w:rPr>
        <w:t>(8)协助阿瓦提县财政局开展上级部门安排的与上述1-6服务内容相关的绩效管理工作。</w:t>
      </w:r>
    </w:p>
    <w:p w14:paraId="60E09930">
      <w:pPr>
        <w:pStyle w:val="4"/>
        <w:spacing w:line="276" w:lineRule="auto"/>
        <w:ind w:firstLine="0"/>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第五章 评审程序、方法和标准</w:t>
      </w:r>
      <w:bookmarkEnd w:id="27"/>
    </w:p>
    <w:p w14:paraId="2361C093">
      <w:pPr>
        <w:spacing w:line="360" w:lineRule="auto"/>
        <w:rPr>
          <w:rFonts w:hint="eastAsia" w:ascii="仿宋" w:hAnsi="仿宋" w:eastAsia="仿宋" w:cs="仿宋"/>
          <w:b/>
          <w:color w:val="000000" w:themeColor="text1"/>
          <w:sz w:val="24"/>
          <w:szCs w:val="24"/>
          <w14:textFill>
            <w14:solidFill>
              <w14:schemeClr w14:val="tx1"/>
            </w14:solidFill>
          </w14:textFill>
        </w:rPr>
      </w:pPr>
      <w:bookmarkStart w:id="30" w:name="EB066763282e454600abc10582fb4919e1"/>
      <w:r>
        <w:rPr>
          <w:rFonts w:hint="eastAsia" w:ascii="仿宋" w:hAnsi="仿宋" w:eastAsia="仿宋" w:cs="仿宋"/>
          <w:b/>
          <w:color w:val="000000" w:themeColor="text1"/>
          <w:sz w:val="24"/>
          <w:szCs w:val="24"/>
          <w14:textFill>
            <w14:solidFill>
              <w14:schemeClr w14:val="tx1"/>
            </w14:solidFill>
          </w14:textFill>
        </w:rPr>
        <w:t>一、评审程序</w:t>
      </w:r>
    </w:p>
    <w:p w14:paraId="78257DB9">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（一）评审原则 </w:t>
      </w:r>
    </w:p>
    <w:p w14:paraId="5155167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1、合法、合规原则。</w:t>
      </w:r>
    </w:p>
    <w:p w14:paraId="484CDC6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2、公平、公正、科学、审慎、择优原则。</w:t>
      </w:r>
    </w:p>
    <w:p w14:paraId="47AF51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3、高分优先原则。评审方法：综合评分法；衡量响应文件满足竞争性磋商文件规定的各项评审标准的程度，折算为综合得分分值，依据每个磋商供应商的综合得分由高到低，依次确定排名顺序。</w:t>
      </w:r>
      <w:bookmarkStart w:id="31" w:name="_Hlk35936807"/>
      <w:bookmarkStart w:id="32" w:name="_Hlk39906399"/>
    </w:p>
    <w:p w14:paraId="2BDE1F6A">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（二）评审内容</w:t>
      </w:r>
    </w:p>
    <w:p w14:paraId="0367E1C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1、磋商响应文件评审内容及标准</w:t>
      </w:r>
    </w:p>
    <w:p w14:paraId="434C5E1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1.1采购人或采购代理机构或采购人授权的竞争性磋商专家小组（竞争性磋商小组）对资格响应文件的资格性审查作合格性评审, 评审结论分为“合格”与“不合格”。评审不合格的响应文件不再进行后续评审。</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93"/>
        <w:gridCol w:w="2617"/>
        <w:gridCol w:w="4750"/>
      </w:tblGrid>
      <w:tr w14:paraId="2CAB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64" w:type="pct"/>
            <w:vAlign w:val="center"/>
          </w:tcPr>
          <w:p w14:paraId="63C25BF0">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460" w:type="pct"/>
            <w:vAlign w:val="center"/>
          </w:tcPr>
          <w:p w14:paraId="324E003F">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评审因素</w:t>
            </w:r>
          </w:p>
        </w:tc>
        <w:tc>
          <w:tcPr>
            <w:tcW w:w="1518" w:type="pct"/>
            <w:vAlign w:val="center"/>
          </w:tcPr>
          <w:p w14:paraId="756C469A">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评审标准</w:t>
            </w:r>
          </w:p>
        </w:tc>
        <w:tc>
          <w:tcPr>
            <w:tcW w:w="2755" w:type="pct"/>
            <w:vAlign w:val="center"/>
          </w:tcPr>
          <w:p w14:paraId="55DD7A5B">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w:t>
            </w:r>
          </w:p>
        </w:tc>
      </w:tr>
      <w:tr w14:paraId="3678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64" w:type="pct"/>
            <w:vAlign w:val="center"/>
          </w:tcPr>
          <w:p w14:paraId="5597A5F3">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60" w:type="pct"/>
            <w:vAlign w:val="center"/>
          </w:tcPr>
          <w:p w14:paraId="35C64B25">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基本条件</w:t>
            </w:r>
          </w:p>
        </w:tc>
        <w:tc>
          <w:tcPr>
            <w:tcW w:w="1518" w:type="pct"/>
            <w:vAlign w:val="center"/>
          </w:tcPr>
          <w:p w14:paraId="133DAB8D">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满足《中华人民共和国政府采购法》第二十二条规定。</w:t>
            </w:r>
          </w:p>
          <w:p w14:paraId="3FEB0349">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(一)具有独立承担民事责任的能力；</w:t>
            </w:r>
          </w:p>
          <w:p w14:paraId="35E9D0CD">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(二)具有良好的商业信誉和健全的财务会计制度；</w:t>
            </w:r>
          </w:p>
          <w:p w14:paraId="65FC14AC">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(三)具有履行合同所必需的设备和专业技术能力；</w:t>
            </w:r>
          </w:p>
          <w:p w14:paraId="12B20046">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(四)有依法缴纳税收和社会保障资金的良好记录；</w:t>
            </w:r>
          </w:p>
          <w:p w14:paraId="51C14596">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(五)参加政府采购活动前三年内，在经营活动中没有重大违法记录；</w:t>
            </w:r>
          </w:p>
          <w:p w14:paraId="7E976241">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(六)法律、行政法规规定的其他条件。</w:t>
            </w:r>
          </w:p>
        </w:tc>
        <w:tc>
          <w:tcPr>
            <w:tcW w:w="2755" w:type="pct"/>
            <w:vAlign w:val="center"/>
          </w:tcPr>
          <w:p w14:paraId="10A164DB">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1AA6E82C">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(二)财务状况报告；</w:t>
            </w:r>
            <w:r>
              <w:rPr>
                <w:rFonts w:hint="eastAsia" w:ascii="仿宋" w:hAnsi="仿宋" w:eastAsia="仿宋" w:cs="仿宋"/>
                <w:color w:val="000000" w:themeColor="text1"/>
                <w:sz w:val="24"/>
                <w:szCs w:val="24"/>
                <w14:textFill>
                  <w14:solidFill>
                    <w14:schemeClr w14:val="tx1"/>
                  </w14:solidFill>
                </w14:textFill>
              </w:rPr>
              <w:t>须提供本单位</w:t>
            </w:r>
            <w:r>
              <w:rPr>
                <w:rFonts w:hint="eastAsia" w:ascii="仿宋" w:hAnsi="仿宋" w:eastAsia="仿宋" w:cs="仿宋"/>
                <w:color w:val="000000" w:themeColor="text1"/>
                <w:sz w:val="24"/>
                <w:szCs w:val="24"/>
                <w:lang w:val="en-US" w:eastAsia="zh-CN"/>
                <w14:textFill>
                  <w14:solidFill>
                    <w14:schemeClr w14:val="tx1"/>
                  </w14:solidFill>
                </w14:textFill>
              </w:rPr>
              <w:t>2025</w:t>
            </w:r>
            <w:r>
              <w:rPr>
                <w:rFonts w:hint="eastAsia" w:ascii="仿宋" w:hAnsi="仿宋" w:eastAsia="仿宋" w:cs="仿宋"/>
                <w:color w:val="000000" w:themeColor="text1"/>
                <w:sz w:val="24"/>
                <w:szCs w:val="24"/>
                <w14:textFill>
                  <w14:solidFill>
                    <w14:schemeClr w14:val="tx1"/>
                  </w14:solidFill>
                </w14:textFill>
              </w:rPr>
              <w:t>年度由会计师事务所出具的财务审计报告，审计报告须包括资产负债表、利润表、现金流量表、所有者权益变动(如有)及其附注(复印件并加盖本单位公章)。如响应供应商注册成立不满一年的则提供成立至今的财务报表（须包括资产负债表、利润表、现金流量表）。</w:t>
            </w:r>
          </w:p>
          <w:p w14:paraId="1025A5D2">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(三)具备履行合同所必需的设备和专业技术能力的证明材料或承诺函；</w:t>
            </w:r>
          </w:p>
          <w:p w14:paraId="0F5727DC">
            <w:pPr>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(四)依法缴纳税收和社会保障资金的相关材料；</w:t>
            </w:r>
          </w:p>
          <w:p w14:paraId="1DA0C9BD">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须提供响应文件递交截止日期之前六个月内任何一个月的纳税记录。</w:t>
            </w:r>
          </w:p>
          <w:p w14:paraId="3C680E95">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2.须提供响应文件递交截止日期之前六个月内任意三个月为员工缴纳社会保障资金的证明材料原件扫描件。</w:t>
            </w:r>
          </w:p>
          <w:p w14:paraId="7F04496F">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(五)参加政府采购活动前3年内在经营活动中没有重大违法记录的书面声明；</w:t>
            </w:r>
          </w:p>
          <w:p w14:paraId="62822953">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(六)具备法律、行政法规规定的其他条件的证明材料或承诺函。</w:t>
            </w:r>
          </w:p>
          <w:p w14:paraId="793ECCA5">
            <w:pPr>
              <w:pStyle w:val="2"/>
              <w:rPr>
                <w:rFonts w:hint="eastAsia" w:eastAsia="仿宋"/>
                <w:lang w:eastAsia="zh-CN"/>
              </w:rPr>
            </w:pPr>
          </w:p>
        </w:tc>
      </w:tr>
      <w:tr w14:paraId="5136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64" w:type="pct"/>
            <w:vAlign w:val="center"/>
          </w:tcPr>
          <w:p w14:paraId="56CA8B94">
            <w:pPr>
              <w:spacing w:line="360" w:lineRule="auto"/>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c>
          <w:tcPr>
            <w:tcW w:w="460" w:type="pct"/>
            <w:vAlign w:val="center"/>
          </w:tcPr>
          <w:p w14:paraId="14845829">
            <w:pPr>
              <w:spacing w:line="360" w:lineRule="auto"/>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相关政策</w:t>
            </w:r>
          </w:p>
        </w:tc>
        <w:tc>
          <w:tcPr>
            <w:tcW w:w="1518" w:type="pct"/>
            <w:vAlign w:val="center"/>
          </w:tcPr>
          <w:p w14:paraId="3DEF11AF">
            <w:pPr>
              <w:spacing w:line="360" w:lineRule="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落实政府采购相关政策</w:t>
            </w:r>
          </w:p>
        </w:tc>
        <w:tc>
          <w:tcPr>
            <w:tcW w:w="2755" w:type="pct"/>
            <w:vAlign w:val="center"/>
          </w:tcPr>
          <w:p w14:paraId="09AF2EE7">
            <w:pPr>
              <w:pStyle w:val="2"/>
              <w:rPr>
                <w:rFonts w:hint="eastAsia" w:eastAsia="仿宋"/>
                <w:lang w:val="en-US" w:eastAsia="zh-CN"/>
              </w:rPr>
            </w:pPr>
            <w:r>
              <w:rPr>
                <w:rFonts w:hint="eastAsia" w:eastAsia="仿宋"/>
                <w:lang w:val="en-US" w:eastAsia="zh-CN"/>
              </w:rPr>
              <w:t>本项目专门面向中小企业</w:t>
            </w:r>
          </w:p>
        </w:tc>
      </w:tr>
    </w:tbl>
    <w:p w14:paraId="0458B88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7994CDB8">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174C67F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1.2竞争性磋商小组应对响应文件中服务内容等是否满足竞争性磋商采购文件要求进行评审。评审不合格的磋商响应文件不再进行后续一对一磋商。</w:t>
      </w:r>
    </w:p>
    <w:bookmarkEnd w:id="31"/>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475"/>
        <w:gridCol w:w="7631"/>
      </w:tblGrid>
      <w:tr w14:paraId="7A21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restart"/>
            <w:vAlign w:val="center"/>
          </w:tcPr>
          <w:p w14:paraId="693E65F8">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初步评审</w:t>
            </w:r>
          </w:p>
        </w:tc>
        <w:tc>
          <w:tcPr>
            <w:tcW w:w="4704" w:type="pct"/>
            <w:gridSpan w:val="2"/>
            <w:vAlign w:val="center"/>
          </w:tcPr>
          <w:p w14:paraId="19DACE1D">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评审内容</w:t>
            </w:r>
          </w:p>
        </w:tc>
      </w:tr>
      <w:tr w14:paraId="07A8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vAlign w:val="center"/>
          </w:tcPr>
          <w:p w14:paraId="7FDD0AC9">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5DF3C079">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428" w:type="pct"/>
            <w:vAlign w:val="center"/>
          </w:tcPr>
          <w:p w14:paraId="6B2BBABF">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投标人满足本招标文件关于对合格投标人资格要求的规定；</w:t>
            </w:r>
          </w:p>
        </w:tc>
      </w:tr>
      <w:tr w14:paraId="2DD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562AD193">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43B6E3BF">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4428" w:type="pct"/>
            <w:vAlign w:val="center"/>
          </w:tcPr>
          <w:p w14:paraId="5A4BED14">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响应文件组成完整，主要内容按招标文件规定的内容、格式填写；</w:t>
            </w:r>
          </w:p>
        </w:tc>
      </w:tr>
      <w:tr w14:paraId="5AB8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11879D02">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1A9F1438">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4428" w:type="pct"/>
            <w:vAlign w:val="center"/>
          </w:tcPr>
          <w:p w14:paraId="63D76E8D">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响应文件的有效期满足招标文件的规定；</w:t>
            </w:r>
          </w:p>
        </w:tc>
      </w:tr>
      <w:tr w14:paraId="61C3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0527176D">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47BA6965">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4428" w:type="pct"/>
            <w:vAlign w:val="center"/>
          </w:tcPr>
          <w:p w14:paraId="556A1564">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响应文件按照规定签章的；</w:t>
            </w:r>
          </w:p>
        </w:tc>
      </w:tr>
      <w:tr w14:paraId="62F6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24D3465F">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583F6268">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4428" w:type="pct"/>
            <w:vAlign w:val="center"/>
          </w:tcPr>
          <w:p w14:paraId="12AF1CF4">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投标代表授权书由法定代表人签署；</w:t>
            </w:r>
          </w:p>
        </w:tc>
      </w:tr>
      <w:tr w14:paraId="149A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26F53582">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28127805">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4428" w:type="pct"/>
            <w:vAlign w:val="center"/>
          </w:tcPr>
          <w:p w14:paraId="67932FB5">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响应文件针对每一项服务只提出一个报价，未出现了两个或两个以上的报价；</w:t>
            </w:r>
          </w:p>
        </w:tc>
      </w:tr>
      <w:tr w14:paraId="66EB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7540D09F">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52904E9C">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4428" w:type="pct"/>
            <w:vAlign w:val="center"/>
          </w:tcPr>
          <w:p w14:paraId="0524916A">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投标报价未超过最高限价；</w:t>
            </w:r>
          </w:p>
        </w:tc>
      </w:tr>
      <w:tr w14:paraId="5B2B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6A44B16A">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68572897">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4428" w:type="pct"/>
            <w:vAlign w:val="center"/>
          </w:tcPr>
          <w:p w14:paraId="72BD1712">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符合竞争性磋商文件关于对招标服务技术规格和标准的要求；</w:t>
            </w:r>
          </w:p>
        </w:tc>
      </w:tr>
      <w:tr w14:paraId="5E8D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1ED7970B">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4FCA4FF8">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4428" w:type="pct"/>
            <w:vAlign w:val="center"/>
          </w:tcPr>
          <w:p w14:paraId="1F6AC82B">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响应文件载明的招标项目服务周期未超过竞争性磋商文件规定的期限；</w:t>
            </w:r>
          </w:p>
        </w:tc>
      </w:tr>
      <w:tr w14:paraId="62D0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0440C462">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43BA94E8">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4428" w:type="pct"/>
            <w:vAlign w:val="center"/>
          </w:tcPr>
          <w:p w14:paraId="67EF4FB0">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响应文件载明的服务范围等符合竞争性磋商文件的要求；</w:t>
            </w:r>
          </w:p>
        </w:tc>
      </w:tr>
      <w:tr w14:paraId="5FD6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04B0B91D">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0ABA4C54">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p>
        </w:tc>
        <w:tc>
          <w:tcPr>
            <w:tcW w:w="4428" w:type="pct"/>
            <w:vAlign w:val="center"/>
          </w:tcPr>
          <w:p w14:paraId="280EEE3C">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响应文件未有采购人不能接受的附加条件；</w:t>
            </w:r>
          </w:p>
        </w:tc>
      </w:tr>
      <w:tr w14:paraId="50A2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5" w:type="pct"/>
            <w:vMerge w:val="continue"/>
          </w:tcPr>
          <w:p w14:paraId="3A172747">
            <w:pPr>
              <w:spacing w:line="360" w:lineRule="auto"/>
              <w:rPr>
                <w:rFonts w:hint="eastAsia" w:ascii="仿宋" w:hAnsi="仿宋" w:eastAsia="仿宋" w:cs="仿宋"/>
                <w:color w:val="000000" w:themeColor="text1"/>
                <w:sz w:val="24"/>
                <w14:textFill>
                  <w14:solidFill>
                    <w14:schemeClr w14:val="tx1"/>
                  </w14:solidFill>
                </w14:textFill>
              </w:rPr>
            </w:pPr>
          </w:p>
        </w:tc>
        <w:tc>
          <w:tcPr>
            <w:tcW w:w="276" w:type="pct"/>
            <w:vAlign w:val="center"/>
          </w:tcPr>
          <w:p w14:paraId="254A9FDE">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w:t>
            </w:r>
          </w:p>
        </w:tc>
        <w:tc>
          <w:tcPr>
            <w:tcW w:w="4428" w:type="pct"/>
            <w:vAlign w:val="center"/>
          </w:tcPr>
          <w:p w14:paraId="3AE3CFA8">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符合法律、法规和竞争性磋商文件规定的其他实质性要求。</w:t>
            </w:r>
          </w:p>
        </w:tc>
      </w:tr>
      <w:tr w14:paraId="29DE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000" w:type="pct"/>
            <w:gridSpan w:val="3"/>
            <w:vAlign w:val="center"/>
          </w:tcPr>
          <w:p w14:paraId="78066F0A">
            <w:pPr>
              <w:spacing w:line="360" w:lineRule="auto"/>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注：以上检查内容必须全部符合检查标准，否则为无效标。</w:t>
            </w:r>
          </w:p>
        </w:tc>
      </w:tr>
    </w:tbl>
    <w:p w14:paraId="60B07713">
      <w:pPr>
        <w:spacing w:line="360" w:lineRule="auto"/>
        <w:ind w:firstLine="470" w:firstLineChars="196"/>
        <w:rPr>
          <w:rFonts w:hint="eastAsia" w:ascii="仿宋" w:hAnsi="仿宋" w:eastAsia="仿宋" w:cs="仿宋"/>
          <w:color w:val="000000" w:themeColor="text1"/>
          <w:sz w:val="24"/>
          <w:szCs w:val="24"/>
          <w14:textFill>
            <w14:solidFill>
              <w14:schemeClr w14:val="tx1"/>
            </w14:solidFill>
          </w14:textFill>
        </w:rPr>
      </w:pPr>
    </w:p>
    <w:p w14:paraId="6CD50DBC">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2、竞争性磋商小组对通过以上审查的响应文件进行评估，确定与各供应商磋商的具体内容。</w:t>
      </w:r>
    </w:p>
    <w:p w14:paraId="447CCC79">
      <w:pPr>
        <w:widowControl/>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3、围绕磋商要点，竞争性磋商小组全体成员按照各供应商签到顺序集中与单一供应商分别进行磋商，原则上只进行两轮磋商，但竞争性磋商小组认为必要时可继续进行磋商。</w:t>
      </w:r>
      <w:r>
        <w:rPr>
          <w:rFonts w:hint="eastAsia" w:ascii="仿宋" w:hAnsi="仿宋" w:eastAsia="仿宋" w:cs="仿宋"/>
          <w:color w:val="000000" w:themeColor="text1"/>
          <w:kern w:val="0"/>
          <w:sz w:val="24"/>
          <w:szCs w:val="24"/>
          <w:lang w:bidi="ar"/>
          <w14:textFill>
            <w14:solidFill>
              <w14:schemeClr w14:val="tx1"/>
            </w14:solidFill>
          </w14:textFill>
        </w:rPr>
        <w:t>磋商时，供应商代表在政采云开评标系统中及时参加磋商。供应商人员必须及时解释和澄清响应文件内容及重新做出承诺，并以书面的形式签署确定等，后一轮磋商的价格、服务承诺及优惠条件等必须优于或等于前一轮磋商的价格、服务承诺及优惠条件等。</w:t>
      </w:r>
    </w:p>
    <w:p w14:paraId="02BD1C7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4、实质性变动</w:t>
      </w:r>
    </w:p>
    <w:p w14:paraId="2BF8F6C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过程中，竞争性磋商小组可以根据竞争性磋商文件和磋商情况实质性变动采购需求中的技术、服务要求以及合同草案条款，但不得变动竞争性磋商文件中的其他内容。实质性变动的内容，须经采购人代表确认，并以书面形式同时通知所有参加磋商的供应商。该变动是竞争性磋商文件的有效组成部分。</w:t>
      </w:r>
    </w:p>
    <w:p w14:paraId="091F7D4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磋商供应商按照竞争性磋商文件的变动情况和竞争性磋商小组的要求，在规定的时间内以书面形式作出响应，并由其法定代表人或授权代表签字或者加盖公章。</w:t>
      </w:r>
    </w:p>
    <w:p w14:paraId="1815962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未按要求作出响应的响应文件，将视为无效投标。</w:t>
      </w:r>
    </w:p>
    <w:p w14:paraId="0F2E71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5、最后报价</w:t>
      </w:r>
    </w:p>
    <w:p w14:paraId="03C1FD8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结束后，竞争性磋商小组将要求实质性响应竞争性磋商文件的磋商供应商在规定时间内提交最后报价。在规定的时间内，没有提交最后报价的磋商供应商，视为退出磋商。未通过实质性响应的磋商供应商将不再进行最后报价。</w:t>
      </w:r>
    </w:p>
    <w:p w14:paraId="4426D2FE">
      <w:pPr>
        <w:spacing w:line="360" w:lineRule="auto"/>
        <w:ind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已提交响应文件的供应商，在提交最后报价之前，可以根据磋商情况退出磋商。其磋商保证金与未列为成交供应商的磋商保证金一同退还。</w:t>
      </w:r>
    </w:p>
    <w:p w14:paraId="20793CA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经磋商确定最终采购需求和提交最后报价的供应商后，由竞争性磋商小组结合本竞争性磋商文件规定的政府采购政策进行的价格扣除及综合评分法对提交最后报价的供应商的响应文件和最后报价进行综合评分。</w:t>
      </w:r>
    </w:p>
    <w:bookmarkEnd w:id="32"/>
    <w:p w14:paraId="6618BF76">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二、评审方法和标准</w:t>
      </w:r>
    </w:p>
    <w:p w14:paraId="5E76082D">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（一）、评审方法</w:t>
      </w:r>
    </w:p>
    <w:p w14:paraId="71249F4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bookmarkStart w:id="33" w:name="_Hlk39664001"/>
      <w:r>
        <w:rPr>
          <w:rFonts w:hint="eastAsia" w:ascii="仿宋" w:hAnsi="仿宋" w:eastAsia="仿宋" w:cs="仿宋"/>
          <w:color w:val="000000" w:themeColor="text1"/>
          <w:sz w:val="24"/>
          <w:szCs w:val="24"/>
          <w14:textFill>
            <w14:solidFill>
              <w14:schemeClr w14:val="tx1"/>
            </w14:solidFill>
          </w14:textFill>
        </w:rPr>
        <w:t>1、本项目采用综合评分法，总分100分。综合评分法是指响应文件满足竞争性磋商文件全部实质性要求且按评审因素的量化指标评审得分由高到底的顺序推荐3名供应商为成交候选供应商。</w:t>
      </w:r>
    </w:p>
    <w:p w14:paraId="24FF6D71">
      <w:pPr>
        <w:spacing w:line="360" w:lineRule="auto"/>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竞争性磋商小组按照竞争性磋商文件的要求和条件，根据各磋商供应商的技术、商务、最终报价、对竞争性磋商文件的响应程度等进行综合评价、评分，将评审总得分按照从高到低的顺序排列，并依此顺序推荐3名成交候选供应商。</w:t>
      </w:r>
    </w:p>
    <w:bookmarkEnd w:id="33"/>
    <w:p w14:paraId="76164B42">
      <w:pPr>
        <w:spacing w:line="360" w:lineRule="auto"/>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3、例外情况</w:t>
      </w:r>
    </w:p>
    <w:p w14:paraId="5052208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评审总得分相同的，按最后报价由低到高的顺序排序；评审总得分及最后报价均相同的，按技术部分得分由高到低排序；依然相同的，由采购人根据项目实际情况确定顺序。</w:t>
      </w:r>
    </w:p>
    <w:p w14:paraId="79B7D1E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竞争性磋商小组按本章（二）评审标准规定的量化因素和分值进行打分，并计算出综合评审得分。</w:t>
      </w:r>
    </w:p>
    <w:p w14:paraId="1BFCA7D2">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（二）评审标准</w:t>
      </w:r>
      <w:r>
        <w:rPr>
          <w:rFonts w:hint="eastAsia" w:ascii="仿宋" w:hAnsi="仿宋" w:eastAsia="仿宋" w:cs="仿宋"/>
          <w:color w:val="000000" w:themeColor="text1"/>
          <w:sz w:val="24"/>
          <w:szCs w:val="24"/>
          <w14:textFill>
            <w14:solidFill>
              <w14:schemeClr w14:val="tx1"/>
            </w14:solidFill>
          </w14:textFill>
        </w:rPr>
        <w:t>（数值计算结果均保留两位小数，第三位四舍五入）</w:t>
      </w:r>
    </w:p>
    <w:p w14:paraId="46BEE48D">
      <w:pPr>
        <w:spacing w:line="360" w:lineRule="auto"/>
        <w:ind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1、评审分值分布(满分100分)</w:t>
      </w:r>
    </w:p>
    <w:p w14:paraId="2452D71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1.1报价部分（10分）</w:t>
      </w:r>
    </w:p>
    <w:p w14:paraId="1911FCA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1.2商务技术部分（90分）</w:t>
      </w:r>
    </w:p>
    <w:p w14:paraId="621632BC">
      <w:pPr>
        <w:spacing w:line="360" w:lineRule="auto"/>
        <w:ind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2、评审标准</w:t>
      </w:r>
    </w:p>
    <w:p w14:paraId="08A54C9D">
      <w:pPr>
        <w:spacing w:line="360" w:lineRule="auto"/>
        <w:ind w:firstLine="480" w:firstLineChars="200"/>
        <w:rPr>
          <w:rFonts w:hint="eastAsia" w:ascii="仿宋" w:hAnsi="仿宋" w:eastAsia="仿宋" w:cs="仿宋"/>
          <w:color w:val="000000" w:themeColor="text1"/>
          <w:sz w:val="24"/>
          <w:szCs w:val="24"/>
          <w:highlight w:val="white"/>
          <w14:textFill>
            <w14:solidFill>
              <w14:schemeClr w14:val="tx1"/>
            </w14:solidFill>
          </w14:textFill>
        </w:rPr>
      </w:pPr>
      <w:r>
        <w:rPr>
          <w:rFonts w:hint="eastAsia" w:ascii="仿宋" w:hAnsi="仿宋" w:eastAsia="仿宋" w:cs="仿宋"/>
          <w:color w:val="000000" w:themeColor="text1"/>
          <w:sz w:val="24"/>
          <w:szCs w:val="24"/>
          <w:highlight w:val="white"/>
          <w14:textFill>
            <w14:solidFill>
              <w14:schemeClr w14:val="tx1"/>
            </w14:solidFill>
          </w14:textFill>
        </w:rPr>
        <w:t>2.1报价内容及标准（10分）</w:t>
      </w:r>
    </w:p>
    <w:tbl>
      <w:tblPr>
        <w:tblStyle w:val="33"/>
        <w:tblW w:w="8542"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276"/>
        <w:gridCol w:w="1133"/>
        <w:gridCol w:w="6133"/>
      </w:tblGrid>
      <w:tr w14:paraId="5A2E607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1276" w:type="dxa"/>
            <w:tcBorders>
              <w:top w:val="outset" w:color="auto" w:sz="6" w:space="0"/>
              <w:left w:val="outset" w:color="auto" w:sz="6" w:space="0"/>
              <w:bottom w:val="outset" w:color="auto" w:sz="6" w:space="0"/>
              <w:right w:val="outset" w:color="auto" w:sz="6" w:space="0"/>
            </w:tcBorders>
            <w:vAlign w:val="center"/>
          </w:tcPr>
          <w:p w14:paraId="4878CF3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评审项目</w:t>
            </w:r>
          </w:p>
        </w:tc>
        <w:tc>
          <w:tcPr>
            <w:tcW w:w="1133" w:type="dxa"/>
            <w:tcBorders>
              <w:top w:val="outset" w:color="auto" w:sz="6" w:space="0"/>
              <w:left w:val="outset" w:color="auto" w:sz="6" w:space="0"/>
              <w:bottom w:val="outset" w:color="auto" w:sz="6" w:space="0"/>
              <w:right w:val="outset" w:color="auto" w:sz="6" w:space="0"/>
            </w:tcBorders>
            <w:vAlign w:val="center"/>
          </w:tcPr>
          <w:p w14:paraId="5DB35DC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分值</w:t>
            </w:r>
          </w:p>
        </w:tc>
        <w:tc>
          <w:tcPr>
            <w:tcW w:w="6133" w:type="dxa"/>
            <w:tcBorders>
              <w:top w:val="outset" w:color="auto" w:sz="6" w:space="0"/>
              <w:left w:val="outset" w:color="auto" w:sz="6" w:space="0"/>
              <w:bottom w:val="outset" w:color="auto" w:sz="6" w:space="0"/>
              <w:right w:val="outset" w:color="auto" w:sz="6" w:space="0"/>
            </w:tcBorders>
            <w:vAlign w:val="center"/>
          </w:tcPr>
          <w:p w14:paraId="45229156">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w:t>
            </w:r>
          </w:p>
        </w:tc>
      </w:tr>
      <w:tr w14:paraId="23855C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76" w:type="dxa"/>
            <w:tcBorders>
              <w:top w:val="outset" w:color="auto" w:sz="6" w:space="0"/>
              <w:left w:val="outset" w:color="auto" w:sz="6" w:space="0"/>
              <w:bottom w:val="outset" w:color="auto" w:sz="6" w:space="0"/>
              <w:right w:val="outset" w:color="auto" w:sz="6" w:space="0"/>
            </w:tcBorders>
            <w:vAlign w:val="center"/>
          </w:tcPr>
          <w:p w14:paraId="403889DB">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w:t>
            </w:r>
          </w:p>
          <w:p w14:paraId="540D665B">
            <w:pPr>
              <w:spacing w:line="360" w:lineRule="auto"/>
              <w:jc w:val="left"/>
              <w:rPr>
                <w:rFonts w:hint="eastAsia" w:ascii="仿宋" w:hAnsi="仿宋" w:eastAsia="仿宋" w:cs="仿宋"/>
                <w:color w:val="000000" w:themeColor="text1"/>
                <w:sz w:val="24"/>
                <w:szCs w:val="24"/>
                <w14:textFill>
                  <w14:solidFill>
                    <w14:schemeClr w14:val="tx1"/>
                  </w14:solidFill>
                </w14:textFill>
              </w:rPr>
            </w:pPr>
          </w:p>
        </w:tc>
        <w:tc>
          <w:tcPr>
            <w:tcW w:w="1133" w:type="dxa"/>
            <w:tcBorders>
              <w:top w:val="outset" w:color="auto" w:sz="6" w:space="0"/>
              <w:left w:val="outset" w:color="auto" w:sz="6" w:space="0"/>
              <w:bottom w:val="outset" w:color="auto" w:sz="6" w:space="0"/>
              <w:right w:val="outset" w:color="auto" w:sz="6" w:space="0"/>
            </w:tcBorders>
            <w:vAlign w:val="center"/>
          </w:tcPr>
          <w:p w14:paraId="211C9C0F">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10分</w:t>
            </w:r>
          </w:p>
        </w:tc>
        <w:tc>
          <w:tcPr>
            <w:tcW w:w="6133" w:type="dxa"/>
            <w:tcBorders>
              <w:top w:val="outset" w:color="auto" w:sz="6" w:space="0"/>
              <w:left w:val="outset" w:color="auto" w:sz="6" w:space="0"/>
              <w:bottom w:val="outset" w:color="auto" w:sz="6" w:space="0"/>
              <w:right w:val="outset" w:color="auto" w:sz="6" w:space="0"/>
            </w:tcBorders>
            <w:vAlign w:val="center"/>
          </w:tcPr>
          <w:p w14:paraId="619BAD9C">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1、价格分应当采用低价优先法计算，即满足招标文件要求且投标价格最低的投标报价为评标基准价，其价格分为满分。其他响应供应商的价格分统一按照下列公式计算：</w:t>
            </w:r>
          </w:p>
          <w:p w14:paraId="2C60226C">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2、投标报价得分＝(评标基准价／投标报价）*100*10% </w:t>
            </w:r>
          </w:p>
          <w:p w14:paraId="7F156086">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3、评标过程中，不得去掉报价中的最高报价和最低报价。</w:t>
            </w:r>
          </w:p>
          <w:p w14:paraId="7224E5F8">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竞争性磋商小组认为响应供应商的报价明显低于其他通过符合性审查响应供应商的报价，有可能影响服务质量或者不能诚信履约的，应当要求其在评标现场合理的时间内提供书面说明，必要时提交相关证明材料；响应供应商不能证明其报价合理性的，竞争性磋商小组应当将其作为无效投标处理。</w:t>
            </w:r>
          </w:p>
          <w:p w14:paraId="0C974D83">
            <w:pPr>
              <w:spacing w:line="312" w:lineRule="auto"/>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本项目专门面向中小企业，</w:t>
            </w:r>
            <w:r>
              <w:rPr>
                <w:rFonts w:hint="eastAsia" w:ascii="仿宋" w:hAnsi="仿宋" w:eastAsia="仿宋" w:cs="仿宋"/>
                <w:color w:val="000000" w:themeColor="text1"/>
                <w:sz w:val="24"/>
                <w:szCs w:val="24"/>
                <w14:textFill>
                  <w14:solidFill>
                    <w14:schemeClr w14:val="tx1"/>
                  </w14:solidFill>
                </w14:textFill>
              </w:rPr>
              <w:t>不进行价格扣除。</w:t>
            </w:r>
          </w:p>
        </w:tc>
      </w:tr>
    </w:tbl>
    <w:p w14:paraId="4E2D1B89">
      <w:pPr>
        <w:spacing w:line="360" w:lineRule="auto"/>
        <w:rPr>
          <w:rFonts w:hint="eastAsia" w:ascii="仿宋" w:hAnsi="仿宋" w:eastAsia="仿宋" w:cs="仿宋"/>
          <w:color w:val="000000" w:themeColor="text1"/>
          <w:sz w:val="24"/>
          <w:szCs w:val="24"/>
          <w:highlight w:val="white"/>
          <w14:textFill>
            <w14:solidFill>
              <w14:schemeClr w14:val="tx1"/>
            </w14:solidFill>
          </w14:textFill>
        </w:rPr>
      </w:pPr>
    </w:p>
    <w:p w14:paraId="4C2C0E02">
      <w:pPr>
        <w:spacing w:line="360" w:lineRule="auto"/>
        <w:rPr>
          <w:rFonts w:hint="eastAsia" w:ascii="仿宋" w:hAnsi="仿宋" w:eastAsia="仿宋" w:cs="仿宋"/>
          <w:color w:val="000000" w:themeColor="text1"/>
          <w:sz w:val="24"/>
          <w:szCs w:val="24"/>
          <w:highlight w:val="white"/>
          <w14:textFill>
            <w14:solidFill>
              <w14:schemeClr w14:val="tx1"/>
            </w14:solidFill>
          </w14:textFill>
        </w:rPr>
      </w:pPr>
    </w:p>
    <w:p w14:paraId="6A740301">
      <w:pPr>
        <w:spacing w:line="360" w:lineRule="auto"/>
        <w:rPr>
          <w:rFonts w:hint="eastAsia" w:ascii="仿宋" w:hAnsi="仿宋" w:eastAsia="仿宋" w:cs="仿宋"/>
          <w:color w:val="000000" w:themeColor="text1"/>
          <w:sz w:val="24"/>
          <w:szCs w:val="24"/>
          <w:highlight w:val="white"/>
          <w14:textFill>
            <w14:solidFill>
              <w14:schemeClr w14:val="tx1"/>
            </w14:solidFill>
          </w14:textFill>
        </w:rPr>
      </w:pPr>
    </w:p>
    <w:p w14:paraId="3A2914CE">
      <w:pPr>
        <w:rPr>
          <w:rFonts w:hint="eastAsia" w:ascii="仿宋" w:hAnsi="仿宋" w:eastAsia="仿宋" w:cs="仿宋"/>
          <w:color w:val="000000" w:themeColor="text1"/>
          <w:sz w:val="24"/>
          <w:szCs w:val="24"/>
          <w:highlight w:val="white"/>
          <w14:textFill>
            <w14:solidFill>
              <w14:schemeClr w14:val="tx1"/>
            </w14:solidFill>
          </w14:textFill>
        </w:rPr>
      </w:pPr>
      <w:r>
        <w:rPr>
          <w:rFonts w:hint="eastAsia" w:ascii="仿宋" w:hAnsi="仿宋" w:eastAsia="仿宋" w:cs="仿宋"/>
          <w:color w:val="000000" w:themeColor="text1"/>
          <w:sz w:val="24"/>
          <w:szCs w:val="24"/>
          <w:highlight w:val="white"/>
          <w14:textFill>
            <w14:solidFill>
              <w14:schemeClr w14:val="tx1"/>
            </w14:solidFill>
          </w14:textFill>
        </w:rPr>
        <w:br w:type="page"/>
      </w:r>
    </w:p>
    <w:p w14:paraId="338628AB">
      <w:pPr>
        <w:spacing w:line="360" w:lineRule="auto"/>
        <w:rPr>
          <w:rFonts w:hint="eastAsia" w:ascii="仿宋" w:hAnsi="仿宋" w:eastAsia="仿宋" w:cs="仿宋"/>
          <w:color w:val="000000" w:themeColor="text1"/>
          <w:sz w:val="24"/>
          <w:szCs w:val="24"/>
          <w:highlight w:val="white"/>
          <w14:textFill>
            <w14:solidFill>
              <w14:schemeClr w14:val="tx1"/>
            </w14:solidFill>
          </w14:textFill>
        </w:rPr>
      </w:pPr>
      <w:r>
        <w:rPr>
          <w:rFonts w:hint="eastAsia" w:ascii="仿宋" w:hAnsi="仿宋" w:eastAsia="仿宋" w:cs="仿宋"/>
          <w:color w:val="000000" w:themeColor="text1"/>
          <w:sz w:val="24"/>
          <w:szCs w:val="24"/>
          <w:highlight w:val="white"/>
          <w14:textFill>
            <w14:solidFill>
              <w14:schemeClr w14:val="tx1"/>
            </w14:solidFill>
          </w14:textFill>
        </w:rPr>
        <w:t>2.2商务技术评审内容及标准（90分）</w:t>
      </w:r>
    </w:p>
    <w:bookmarkEnd w:id="30"/>
    <w:tbl>
      <w:tblPr>
        <w:tblStyle w:val="33"/>
        <w:tblW w:w="93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2"/>
        <w:gridCol w:w="1843"/>
        <w:gridCol w:w="6175"/>
      </w:tblGrid>
      <w:tr w14:paraId="2A209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05" w:type="dxa"/>
            <w:gridSpan w:val="2"/>
            <w:tcBorders>
              <w:top w:val="single" w:color="auto" w:sz="4" w:space="0"/>
              <w:left w:val="single" w:color="auto" w:sz="4" w:space="0"/>
              <w:bottom w:val="single" w:color="auto" w:sz="4" w:space="0"/>
              <w:right w:val="single" w:color="auto" w:sz="4" w:space="0"/>
            </w:tcBorders>
            <w:vAlign w:val="center"/>
          </w:tcPr>
          <w:p w14:paraId="35FDD3E8">
            <w:pPr>
              <w:spacing w:beforeLines="30" w:line="312"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条款号</w:t>
            </w:r>
          </w:p>
        </w:tc>
        <w:tc>
          <w:tcPr>
            <w:tcW w:w="6175" w:type="dxa"/>
            <w:tcBorders>
              <w:top w:val="single" w:color="auto" w:sz="4" w:space="0"/>
              <w:left w:val="single" w:color="auto" w:sz="4" w:space="0"/>
              <w:bottom w:val="single" w:color="auto" w:sz="4" w:space="0"/>
              <w:right w:val="single" w:color="auto" w:sz="4" w:space="0"/>
            </w:tcBorders>
            <w:vAlign w:val="center"/>
          </w:tcPr>
          <w:p w14:paraId="1480389A">
            <w:pPr>
              <w:spacing w:beforeLines="30" w:line="312"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评审标准</w:t>
            </w:r>
          </w:p>
        </w:tc>
      </w:tr>
      <w:tr w14:paraId="34749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362" w:type="dxa"/>
            <w:tcBorders>
              <w:top w:val="single" w:color="auto" w:sz="4" w:space="0"/>
              <w:left w:val="single" w:color="auto" w:sz="4" w:space="0"/>
              <w:right w:val="single" w:color="auto" w:sz="4" w:space="0"/>
            </w:tcBorders>
            <w:vAlign w:val="center"/>
          </w:tcPr>
          <w:p w14:paraId="5ECD5FB9">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2.4.1</w:t>
            </w:r>
          </w:p>
        </w:tc>
        <w:tc>
          <w:tcPr>
            <w:tcW w:w="1843" w:type="dxa"/>
            <w:tcBorders>
              <w:top w:val="single" w:color="auto" w:sz="4" w:space="0"/>
              <w:left w:val="nil"/>
              <w:right w:val="single" w:color="auto" w:sz="4" w:space="0"/>
            </w:tcBorders>
            <w:vAlign w:val="center"/>
          </w:tcPr>
          <w:p w14:paraId="3AC6E390">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rPr>
              <w:t>服务方案（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分）</w:t>
            </w:r>
          </w:p>
        </w:tc>
        <w:tc>
          <w:tcPr>
            <w:tcW w:w="6175" w:type="dxa"/>
            <w:tcBorders>
              <w:top w:val="single" w:color="auto" w:sz="4" w:space="0"/>
              <w:left w:val="single" w:color="auto" w:sz="4" w:space="0"/>
              <w:bottom w:val="single" w:color="auto" w:sz="4" w:space="0"/>
              <w:right w:val="single" w:color="auto" w:sz="4" w:space="0"/>
            </w:tcBorders>
            <w:vAlign w:val="center"/>
          </w:tcPr>
          <w:p w14:paraId="74B1529F">
            <w:pPr>
              <w:keepNext w:val="0"/>
              <w:keepLines w:val="0"/>
              <w:widowControl/>
              <w:suppressLineNumbers w:val="0"/>
              <w:jc w:val="left"/>
              <w:rPr>
                <w:rFonts w:hint="default"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服务方案是否描述清晰、完整合理、符合采购人要求，从项目实施计划、项目组织、保障措施、计划进度安排、售后服务方案5项内容进行评价，以上每项0-5分，总分25分。</w:t>
            </w:r>
          </w:p>
        </w:tc>
      </w:tr>
      <w:tr w14:paraId="51E40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3FB09CD0">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2.4.2</w:t>
            </w:r>
          </w:p>
        </w:tc>
        <w:tc>
          <w:tcPr>
            <w:tcW w:w="1843" w:type="dxa"/>
            <w:tcBorders>
              <w:top w:val="single" w:color="auto" w:sz="4" w:space="0"/>
              <w:left w:val="nil"/>
              <w:bottom w:val="single" w:color="auto" w:sz="4" w:space="0"/>
              <w:right w:val="single" w:color="auto" w:sz="4" w:space="0"/>
            </w:tcBorders>
            <w:vAlign w:val="center"/>
          </w:tcPr>
          <w:p w14:paraId="40E34458">
            <w:pPr>
              <w:spacing w:beforeLines="30" w:line="312" w:lineRule="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业绩</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c>
          <w:tcPr>
            <w:tcW w:w="6175" w:type="dxa"/>
            <w:tcBorders>
              <w:top w:val="single" w:color="auto" w:sz="4" w:space="0"/>
              <w:left w:val="single" w:color="auto" w:sz="4" w:space="0"/>
              <w:bottom w:val="single" w:color="auto" w:sz="4" w:space="0"/>
              <w:right w:val="single" w:color="auto" w:sz="4" w:space="0"/>
            </w:tcBorders>
            <w:vAlign w:val="center"/>
          </w:tcPr>
          <w:p w14:paraId="1092E3B0">
            <w:pPr>
              <w:spacing w:beforeLines="30" w:line="312"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供应商 2023 年 1 月 1 日（合同签订时间）至提交响应文件的截止时间已完成的类似业绩(提供中标通知书、项目合同或任务书等相关证明材料)；提供一个得 0.5 分，最高得 5 分。</w:t>
            </w:r>
          </w:p>
        </w:tc>
      </w:tr>
      <w:tr w14:paraId="50B27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61F4938F">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3</w:t>
            </w:r>
          </w:p>
        </w:tc>
        <w:tc>
          <w:tcPr>
            <w:tcW w:w="1843" w:type="dxa"/>
            <w:tcBorders>
              <w:top w:val="single" w:color="auto" w:sz="4" w:space="0"/>
              <w:left w:val="nil"/>
              <w:bottom w:val="single" w:color="auto" w:sz="4" w:space="0"/>
              <w:right w:val="single" w:color="auto" w:sz="4" w:space="0"/>
            </w:tcBorders>
            <w:vAlign w:val="center"/>
          </w:tcPr>
          <w:p w14:paraId="55300975">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保密相关措施</w:t>
            </w:r>
          </w:p>
          <w:p w14:paraId="7542B201">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w:t>
            </w:r>
          </w:p>
        </w:tc>
        <w:tc>
          <w:tcPr>
            <w:tcW w:w="6175" w:type="dxa"/>
            <w:tcBorders>
              <w:top w:val="single" w:color="auto" w:sz="4" w:space="0"/>
              <w:left w:val="single" w:color="auto" w:sz="4" w:space="0"/>
              <w:bottom w:val="single" w:color="auto" w:sz="4" w:space="0"/>
              <w:right w:val="single" w:color="auto" w:sz="4" w:space="0"/>
            </w:tcBorders>
            <w:vAlign w:val="center"/>
          </w:tcPr>
          <w:p w14:paraId="57D3512A">
            <w:pPr>
              <w:spacing w:beforeLines="30" w:line="312"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提供合理的保密相关措施，包括项目建设风险、提供保密措施，每提供一项0-3分，本项最多得6分。</w:t>
            </w:r>
          </w:p>
        </w:tc>
      </w:tr>
      <w:tr w14:paraId="7B0FD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082A5502">
            <w:pPr>
              <w:spacing w:beforeLines="30" w:line="312"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DD620DF">
            <w:pPr>
              <w:spacing w:beforeLines="30" w:line="312" w:lineRule="auto"/>
              <w:rPr>
                <w:rFonts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管理制度</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4B2E3E0">
            <w:pPr>
              <w:spacing w:beforeLines="30" w:line="312"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提供合理完善的管理制度，包含质量、安全控制管理制度；技术管理制度；人员培训管理制度；档案、合同管理制度等；</w:t>
            </w:r>
          </w:p>
          <w:p w14:paraId="1B0231C5">
            <w:pPr>
              <w:spacing w:beforeLines="30" w:line="312"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rPr>
              <w:t>以上内容每项得</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分，满分得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r>
              <w:rPr>
                <w:rFonts w:hint="eastAsia" w:ascii="仿宋" w:hAnsi="仿宋" w:eastAsia="仿宋" w:cs="仿宋"/>
                <w:sz w:val="24"/>
                <w:szCs w:val="24"/>
                <w:highlight w:val="none"/>
                <w:lang w:val="en-US" w:eastAsia="zh-CN"/>
              </w:rPr>
              <w:t>。</w:t>
            </w:r>
          </w:p>
        </w:tc>
      </w:tr>
      <w:tr w14:paraId="18FBA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2394E03C">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23164CF">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服务承诺方案（9分）</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7A46229">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根据供应商提供的服务方案内容进行综合评审，包括服务响应时间、服务流程、应急预案等。</w:t>
            </w:r>
          </w:p>
          <w:p w14:paraId="19679100">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以上内容每项得</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分，满分得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sz w:val="24"/>
                <w:szCs w:val="24"/>
                <w:highlight w:val="none"/>
                <w:lang w:val="en-US" w:eastAsia="zh-CN"/>
              </w:rPr>
              <w:t>。</w:t>
            </w:r>
          </w:p>
        </w:tc>
      </w:tr>
      <w:tr w14:paraId="4E42D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7103BAD4">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0525E22">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人员配置（18分）</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034E469">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1、供应商承诺年度内不更换驻场服务人员得2 分； </w:t>
            </w:r>
          </w:p>
          <w:p w14:paraId="7B598BDE">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2、项目负责人：具备注册会计师资格证，同时具有中级职称及以上（会计专业）证书，得 5 分，否则不得分； </w:t>
            </w:r>
          </w:p>
          <w:p w14:paraId="74DEE8DC">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注：提供项目负责人资格证书、职称证书复印件加盖公章，提供不全的，不得分。 </w:t>
            </w:r>
          </w:p>
          <w:p w14:paraId="46D1D9DA">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3、项目负责人承担过同类项目业绩，提供一项业绩得 1 分，最高得 2 分。提供合同或中标通知书、须体现项目负责人信息（若合同或中标通知书无法体现项目负责人姓名则不得分）</w:t>
            </w:r>
          </w:p>
          <w:p w14:paraId="1A2E971B">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4、技术负责人：具有注册会计师资格证书；同时具备会计中级及以上职称的得 4 分，否则不得分。 </w:t>
            </w:r>
          </w:p>
          <w:p w14:paraId="45BD37E6">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5、项目组成员： </w:t>
            </w:r>
          </w:p>
          <w:p w14:paraId="4AC1AE1C">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1）具有会计师的每提供 1 人得 1 分，最多得3 分； </w:t>
            </w:r>
          </w:p>
          <w:p w14:paraId="7533C49B">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2）具有高级职称（会计专业）的每提供 1 人得 1 分，最多得 1 分； </w:t>
            </w:r>
          </w:p>
          <w:p w14:paraId="644B9499">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3）具有注册会计师资格证书的每提供 1 人得1 分，最多得 1 分； </w:t>
            </w:r>
          </w:p>
          <w:p w14:paraId="1B16EC31">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注：以上人员不得重复，须提供人员身份证、职称证书、资格证书；退休人员提供退休证和劳务合同（不提供不得分），人员证件不在有效期内，不得分。提供以上材料扫描件加盖公章。</w:t>
            </w:r>
          </w:p>
          <w:p w14:paraId="3086ED5F">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tc>
      </w:tr>
      <w:tr w14:paraId="2B66B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68D07D29">
            <w:pPr>
              <w:spacing w:beforeLines="30" w:line="3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9CE3F4E">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需求理解（15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9A38CD1">
            <w:pPr>
              <w:numPr>
                <w:ilvl w:val="0"/>
                <w:numId w:val="0"/>
              </w:numPr>
              <w:spacing w:beforeLines="30" w:line="312" w:lineRule="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投标人对项目的</w:t>
            </w:r>
            <w:r>
              <w:rPr>
                <w:rFonts w:hint="eastAsia" w:ascii="仿宋" w:hAnsi="仿宋" w:eastAsia="仿宋" w:cs="仿宋"/>
                <w:sz w:val="24"/>
                <w:szCs w:val="24"/>
                <w:highlight w:val="none"/>
                <w:lang w:val="en-US" w:eastAsia="zh-CN"/>
              </w:rPr>
              <w:t>服务</w:t>
            </w:r>
            <w:r>
              <w:rPr>
                <w:rFonts w:hint="default" w:ascii="仿宋" w:hAnsi="仿宋" w:eastAsia="仿宋" w:cs="仿宋"/>
                <w:sz w:val="24"/>
                <w:szCs w:val="24"/>
                <w:highlight w:val="none"/>
                <w:lang w:val="en-US" w:eastAsia="zh-CN"/>
              </w:rPr>
              <w:t>理解精准到位，对项目背景描述清晰、目标定位准确、需求分析合理全面，3项内容进行评价，每项0-5分</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最高得15分。</w:t>
            </w:r>
          </w:p>
        </w:tc>
      </w:tr>
    </w:tbl>
    <w:p w14:paraId="39B7E1A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681ABE4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2.3评审得分计算标准</w:t>
      </w:r>
    </w:p>
    <w:p w14:paraId="65037C8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竞争性磋商小组按本章（二）评审标准规定的量化因素和分值进行打分，并计算出综合评估得分。</w:t>
      </w:r>
    </w:p>
    <w:p w14:paraId="51CDC1E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按本章规定的评审因素和分值对报价部分计算出得分A；</w:t>
      </w:r>
    </w:p>
    <w:p w14:paraId="5D9499D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按本章规定的评审因素和分值各评审专家独立对商务技术部分进行评分，根据评审专家评分的平均值计算出各响应供应商商务技术部分得分B；</w:t>
      </w:r>
    </w:p>
    <w:p w14:paraId="28DF1F5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按本章规定的评审因素和分值对其他部分计算出得分C（如有）。</w:t>
      </w:r>
    </w:p>
    <w:p w14:paraId="12C2B3C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3.2.2评分分值计算保留小数点后两位，小数点后第三位“四舍五入”。</w:t>
      </w:r>
    </w:p>
    <w:p w14:paraId="5277012D">
      <w:pPr>
        <w:spacing w:line="360" w:lineRule="auto"/>
        <w:ind w:firstLine="480" w:firstLineChars="200"/>
        <w:rPr>
          <w:rFonts w:hint="eastAsia" w:ascii="仿宋" w:hAnsi="仿宋" w:eastAsia="仿宋" w:cs="仿宋"/>
          <w:color w:val="000000" w:themeColor="text1"/>
          <w:sz w:val="24"/>
          <w:szCs w:val="24"/>
          <w:highlight w:val="whit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3.2.3响应供应商得分=A+B+C。</w:t>
      </w:r>
    </w:p>
    <w:p w14:paraId="3A75042C">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（三）其他</w:t>
      </w:r>
    </w:p>
    <w:p w14:paraId="362DEA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1、参与本项目采购活动的供应商被列入以下失信名单的，不得被推荐为政府采购项目中标候选人。</w:t>
      </w:r>
    </w:p>
    <w:p w14:paraId="1A8039B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（1）供应商被列入失信被执行人的；</w:t>
      </w:r>
    </w:p>
    <w:p w14:paraId="44322E1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（2）供应商被列入重大税收违法案件当事人名单的；</w:t>
      </w:r>
    </w:p>
    <w:p w14:paraId="541F0CA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（3）供应商被列入政府采购严重违法失信行为记录名单的；</w:t>
      </w:r>
    </w:p>
    <w:p w14:paraId="463677B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2、不良信用记录查询渠道如下：</w:t>
      </w:r>
    </w:p>
    <w:p w14:paraId="329C18D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（1）失信被执行人：信用中国官网（www.creditchina.gov.cn）</w:t>
      </w:r>
    </w:p>
    <w:p w14:paraId="297132F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（2）重大税收违法案件当事人名单：信用中国官网（www.creditchina.gov.cn）</w:t>
      </w:r>
    </w:p>
    <w:p w14:paraId="76BCFF2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（3）政府采购严重违法失信行为记录名单：中国政府采购官网（www.ccgp.gov.cn）</w:t>
      </w:r>
    </w:p>
    <w:p w14:paraId="490C7673">
      <w:pPr>
        <w:widowControl/>
        <w:spacing w:line="360" w:lineRule="auto"/>
        <w:jc w:val="center"/>
        <w:outlineLvl w:val="0"/>
        <w:rPr>
          <w:rFonts w:hint="eastAsia" w:ascii="仿宋" w:hAnsi="仿宋" w:eastAsia="仿宋" w:cs="仿宋"/>
          <w:b/>
          <w:bCs/>
          <w:color w:val="000000" w:themeColor="text1"/>
          <w:sz w:val="36"/>
          <w:szCs w:val="36"/>
          <w:highlight w:val="white"/>
          <w14:textFill>
            <w14:solidFill>
              <w14:schemeClr w14:val="tx1"/>
            </w14:solidFill>
          </w14:textFill>
        </w:rPr>
        <w:sectPr>
          <w:pgSz w:w="11906" w:h="16838"/>
          <w:pgMar w:top="1440" w:right="1706" w:bottom="1440" w:left="1800" w:header="851" w:footer="992" w:gutter="0"/>
          <w:cols w:space="720" w:num="1"/>
          <w:docGrid w:type="lines" w:linePitch="312" w:charSpace="0"/>
        </w:sectPr>
      </w:pPr>
      <w:bookmarkStart w:id="34" w:name="_Hlk38275412"/>
      <w:bookmarkStart w:id="35" w:name="_Toc29154"/>
      <w:bookmarkStart w:id="36" w:name="_Hlk38271626"/>
    </w:p>
    <w:p w14:paraId="5FF5F4E7">
      <w:pPr>
        <w:widowControl/>
        <w:spacing w:line="360" w:lineRule="auto"/>
        <w:jc w:val="center"/>
        <w:outlineLvl w:val="0"/>
        <w:rPr>
          <w:rFonts w:hint="eastAsia"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sz w:val="36"/>
          <w:szCs w:val="36"/>
          <w:highlight w:val="white"/>
          <w14:textFill>
            <w14:solidFill>
              <w14:schemeClr w14:val="tx1"/>
            </w14:solidFill>
          </w14:textFill>
        </w:rPr>
        <w:t>第六章</w:t>
      </w:r>
      <w:r>
        <w:rPr>
          <w:rFonts w:hint="eastAsia" w:ascii="仿宋" w:hAnsi="仿宋" w:eastAsia="仿宋" w:cs="仿宋"/>
          <w:color w:val="000000" w:themeColor="text1"/>
          <w:sz w:val="36"/>
          <w:szCs w:val="36"/>
          <w:highlight w:val="white"/>
          <w14:textFill>
            <w14:solidFill>
              <w14:schemeClr w14:val="tx1"/>
            </w14:solidFill>
          </w14:textFill>
        </w:rPr>
        <w:t xml:space="preserve"> </w:t>
      </w:r>
      <w:r>
        <w:rPr>
          <w:rFonts w:hint="eastAsia" w:ascii="仿宋" w:hAnsi="仿宋" w:eastAsia="仿宋" w:cs="仿宋"/>
          <w:b/>
          <w:bCs/>
          <w:color w:val="000000" w:themeColor="text1"/>
          <w:kern w:val="44"/>
          <w:sz w:val="36"/>
          <w:szCs w:val="36"/>
          <w14:textFill>
            <w14:solidFill>
              <w14:schemeClr w14:val="tx1"/>
            </w14:solidFill>
          </w14:textFill>
        </w:rPr>
        <w:t>竞争性磋商须知</w:t>
      </w:r>
      <w:bookmarkEnd w:id="34"/>
      <w:bookmarkEnd w:id="35"/>
    </w:p>
    <w:p w14:paraId="79C11A7B">
      <w:pPr>
        <w:adjustRightInd w:val="0"/>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一、说明</w:t>
      </w:r>
    </w:p>
    <w:p w14:paraId="0021D55A">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1.定义</w:t>
      </w:r>
    </w:p>
    <w:p w14:paraId="2D028A21">
      <w:pPr>
        <w:adjustRightInd w:val="0"/>
        <w:snapToGrid w:val="0"/>
        <w:spacing w:before="156" w:beforeLines="50" w:line="360" w:lineRule="auto"/>
        <w:ind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 “采购人”“采购人”系指依法进行政府采购的国家机关、事业单位、团体组织。本次采购的采购人名称、地址、电话、联系人见</w:t>
      </w:r>
      <w:r>
        <w:rPr>
          <w:rFonts w:hint="eastAsia" w:ascii="仿宋" w:hAnsi="仿宋" w:eastAsia="仿宋" w:cs="仿宋"/>
          <w:b/>
          <w:color w:val="000000" w:themeColor="text1"/>
          <w:sz w:val="24"/>
          <w:szCs w:val="24"/>
          <w14:textFill>
            <w14:solidFill>
              <w14:schemeClr w14:val="tx1"/>
            </w14:solidFill>
          </w14:textFill>
        </w:rPr>
        <w:t>供应商须知前附表</w:t>
      </w:r>
      <w:r>
        <w:rPr>
          <w:rFonts w:hint="eastAsia" w:ascii="仿宋" w:hAnsi="仿宋" w:eastAsia="仿宋" w:cs="仿宋"/>
          <w:color w:val="000000" w:themeColor="text1"/>
          <w:sz w:val="24"/>
          <w:szCs w:val="24"/>
          <w14:textFill>
            <w14:solidFill>
              <w14:schemeClr w14:val="tx1"/>
            </w14:solidFill>
          </w14:textFill>
        </w:rPr>
        <w:t>。</w:t>
      </w:r>
    </w:p>
    <w:p w14:paraId="5579E2D0">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1.2“供应商”“响应供应商”系指响应竞争性磋商文件要求、参加</w:t>
      </w:r>
      <w:r>
        <w:rPr>
          <w:rFonts w:hint="eastAsia" w:ascii="仿宋" w:hAnsi="仿宋" w:eastAsia="仿宋" w:cs="仿宋"/>
          <w:color w:val="000000" w:themeColor="text1"/>
          <w:kern w:val="0"/>
          <w:sz w:val="24"/>
          <w:szCs w:val="24"/>
          <w14:textFill>
            <w14:solidFill>
              <w14:schemeClr w14:val="tx1"/>
            </w14:solidFill>
          </w14:textFill>
        </w:rPr>
        <w:t>竞争性磋商</w:t>
      </w:r>
      <w:r>
        <w:rPr>
          <w:rFonts w:hint="eastAsia" w:ascii="仿宋" w:hAnsi="仿宋" w:eastAsia="仿宋" w:cs="仿宋"/>
          <w:color w:val="000000" w:themeColor="text1"/>
          <w:kern w:val="0"/>
          <w:sz w:val="24"/>
          <w:szCs w:val="24"/>
          <w:lang w:val="zh-CN"/>
          <w14:textFill>
            <w14:solidFill>
              <w14:schemeClr w14:val="tx1"/>
            </w14:solidFill>
          </w14:textFill>
        </w:rPr>
        <w:t>采购活动</w:t>
      </w:r>
      <w:r>
        <w:rPr>
          <w:rFonts w:hint="eastAsia" w:ascii="仿宋" w:hAnsi="仿宋" w:eastAsia="仿宋" w:cs="仿宋"/>
          <w:color w:val="000000" w:themeColor="text1"/>
          <w:sz w:val="24"/>
          <w:szCs w:val="24"/>
          <w14:textFill>
            <w14:solidFill>
              <w14:schemeClr w14:val="tx1"/>
            </w14:solidFill>
          </w14:textFill>
        </w:rPr>
        <w:t>的法人、其他组织或自然人。</w:t>
      </w:r>
    </w:p>
    <w:p w14:paraId="3FFF3116">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1.3“货物” 系指供应商按竞争性磋商文件规定,向采购人提供的各种形态和种类的物品，包括原材料、设备、产品(包括软件)及相关的其备品备件、工具、手册及其它技术资料和材料。</w:t>
      </w:r>
    </w:p>
    <w:p w14:paraId="3C0AE592">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1.4“服务” 系指竞争性磋商文件规定供应商应承担的系统集成、安装、调试、技术协助、校准、培训以及其它类似的义务。</w:t>
      </w:r>
    </w:p>
    <w:p w14:paraId="0915DDF2">
      <w:pPr>
        <w:adjustRightInd w:val="0"/>
        <w:snapToGrid w:val="0"/>
        <w:spacing w:before="156" w:beforeLines="50" w:line="360" w:lineRule="auto"/>
        <w:rPr>
          <w:rFonts w:hint="eastAsia"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u w:val="single"/>
          <w14:textFill>
            <w14:solidFill>
              <w14:schemeClr w14:val="tx1"/>
            </w14:solidFill>
          </w14:textFill>
        </w:rPr>
        <w:t xml:space="preserve">2.参与竞争性磋商的费用 </w:t>
      </w:r>
    </w:p>
    <w:p w14:paraId="26F04077">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2.1无论竞争性磋商的结果如何，供应商应自行承担所有与</w:t>
      </w:r>
      <w:r>
        <w:rPr>
          <w:rFonts w:hint="eastAsia" w:ascii="仿宋" w:hAnsi="仿宋" w:eastAsia="仿宋" w:cs="仿宋"/>
          <w:color w:val="000000" w:themeColor="text1"/>
          <w:kern w:val="0"/>
          <w:sz w:val="24"/>
          <w:szCs w:val="24"/>
          <w:u w:val="single"/>
          <w14:textFill>
            <w14:solidFill>
              <w14:schemeClr w14:val="tx1"/>
            </w14:solidFill>
          </w14:textFill>
        </w:rPr>
        <w:t>竞争性磋商</w:t>
      </w:r>
      <w:r>
        <w:rPr>
          <w:rFonts w:hint="eastAsia" w:ascii="仿宋" w:hAnsi="仿宋" w:eastAsia="仿宋" w:cs="仿宋"/>
          <w:color w:val="000000" w:themeColor="text1"/>
          <w:kern w:val="0"/>
          <w:sz w:val="24"/>
          <w:szCs w:val="24"/>
          <w:u w:val="single"/>
          <w:lang w:val="zh-CN"/>
          <w14:textFill>
            <w14:solidFill>
              <w14:schemeClr w14:val="tx1"/>
            </w14:solidFill>
          </w14:textFill>
        </w:rPr>
        <w:t>采购活动</w:t>
      </w:r>
      <w:r>
        <w:rPr>
          <w:rFonts w:hint="eastAsia" w:ascii="仿宋" w:hAnsi="仿宋" w:eastAsia="仿宋" w:cs="仿宋"/>
          <w:color w:val="000000" w:themeColor="text1"/>
          <w:sz w:val="24"/>
          <w:szCs w:val="24"/>
          <w:u w:val="single"/>
          <w14:textFill>
            <w14:solidFill>
              <w14:schemeClr w14:val="tx1"/>
            </w14:solidFill>
          </w14:textFill>
        </w:rPr>
        <w:t>有关的全部费用。</w:t>
      </w:r>
    </w:p>
    <w:p w14:paraId="69E5EDDE">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竞争性磋商委托</w:t>
      </w:r>
    </w:p>
    <w:p w14:paraId="34E35948">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 如供应商代表不是供应商的法定代表人，须持有《授权委托书》。</w:t>
      </w:r>
    </w:p>
    <w:p w14:paraId="10E4EDC2">
      <w:pPr>
        <w:adjustRightInd w:val="0"/>
        <w:snapToGrid w:val="0"/>
        <w:spacing w:before="156" w:beforeLines="50" w:line="360" w:lineRule="auto"/>
        <w:ind w:left="906" w:hanging="906" w:hangingChars="376"/>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二、竞争性磋商文件</w:t>
      </w:r>
    </w:p>
    <w:p w14:paraId="3981F3B5">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4．竞争性磋商文件的组成</w:t>
      </w:r>
    </w:p>
    <w:p w14:paraId="496F447D">
      <w:pPr>
        <w:adjustRightInd w:val="0"/>
        <w:snapToGrid w:val="0"/>
        <w:spacing w:before="156" w:beforeLines="50" w:line="360" w:lineRule="auto"/>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4.1 竞争性磋商文件由竞争性磋商文件及在竞争性磋商过程中发出的</w:t>
      </w:r>
      <w:r>
        <w:rPr>
          <w:rFonts w:hint="eastAsia" w:ascii="仿宋" w:hAnsi="仿宋" w:eastAsia="仿宋" w:cs="仿宋"/>
          <w:color w:val="000000" w:themeColor="text1"/>
          <w:kern w:val="0"/>
          <w:sz w:val="24"/>
          <w:szCs w:val="24"/>
          <w:lang w:val="zh-CN"/>
          <w14:textFill>
            <w14:solidFill>
              <w14:schemeClr w14:val="tx1"/>
            </w14:solidFill>
          </w14:textFill>
        </w:rPr>
        <w:t>澄清或者</w:t>
      </w:r>
      <w:r>
        <w:rPr>
          <w:rFonts w:hint="eastAsia" w:ascii="仿宋" w:hAnsi="仿宋" w:eastAsia="仿宋" w:cs="仿宋"/>
          <w:color w:val="000000" w:themeColor="text1"/>
          <w:sz w:val="24"/>
          <w:szCs w:val="24"/>
          <w14:textFill>
            <w14:solidFill>
              <w14:schemeClr w14:val="tx1"/>
            </w14:solidFill>
          </w14:textFill>
        </w:rPr>
        <w:t>修改文件组成。</w:t>
      </w:r>
    </w:p>
    <w:p w14:paraId="4CA3522A">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4.2供应商应仔细阅读</w:t>
      </w:r>
      <w:r>
        <w:rPr>
          <w:rFonts w:hint="eastAsia" w:ascii="仿宋" w:hAnsi="仿宋" w:eastAsia="仿宋" w:cs="仿宋"/>
          <w:bCs/>
          <w:color w:val="000000" w:themeColor="text1"/>
          <w:sz w:val="24"/>
          <w:szCs w:val="24"/>
          <w14:textFill>
            <w14:solidFill>
              <w14:schemeClr w14:val="tx1"/>
            </w14:solidFill>
          </w14:textFill>
        </w:rPr>
        <w:t>竞争性磋商文件</w:t>
      </w:r>
      <w:r>
        <w:rPr>
          <w:rFonts w:hint="eastAsia" w:ascii="仿宋" w:hAnsi="仿宋" w:eastAsia="仿宋" w:cs="仿宋"/>
          <w:color w:val="000000" w:themeColor="text1"/>
          <w:sz w:val="24"/>
          <w:szCs w:val="24"/>
          <w14:textFill>
            <w14:solidFill>
              <w14:schemeClr w14:val="tx1"/>
            </w14:solidFill>
          </w14:textFill>
        </w:rPr>
        <w:t>的全部内容，按照</w:t>
      </w:r>
      <w:r>
        <w:rPr>
          <w:rFonts w:hint="eastAsia" w:ascii="仿宋" w:hAnsi="仿宋" w:eastAsia="仿宋" w:cs="仿宋"/>
          <w:bCs/>
          <w:color w:val="000000" w:themeColor="text1"/>
          <w:sz w:val="24"/>
          <w:szCs w:val="24"/>
          <w14:textFill>
            <w14:solidFill>
              <w14:schemeClr w14:val="tx1"/>
            </w14:solidFill>
          </w14:textFill>
        </w:rPr>
        <w:t>竞争性磋商文件</w:t>
      </w:r>
      <w:r>
        <w:rPr>
          <w:rFonts w:hint="eastAsia" w:ascii="仿宋" w:hAnsi="仿宋" w:eastAsia="仿宋" w:cs="仿宋"/>
          <w:color w:val="000000" w:themeColor="text1"/>
          <w:sz w:val="24"/>
          <w:szCs w:val="24"/>
          <w14:textFill>
            <w14:solidFill>
              <w14:schemeClr w14:val="tx1"/>
            </w14:solidFill>
          </w14:textFill>
        </w:rPr>
        <w:t>要求编制竞争性磋商响应文件。任何对</w:t>
      </w:r>
      <w:r>
        <w:rPr>
          <w:rFonts w:hint="eastAsia" w:ascii="仿宋" w:hAnsi="仿宋" w:eastAsia="仿宋" w:cs="仿宋"/>
          <w:bCs/>
          <w:color w:val="000000" w:themeColor="text1"/>
          <w:sz w:val="24"/>
          <w:szCs w:val="24"/>
          <w14:textFill>
            <w14:solidFill>
              <w14:schemeClr w14:val="tx1"/>
            </w14:solidFill>
          </w14:textFill>
        </w:rPr>
        <w:t>竞争性磋商文件</w:t>
      </w:r>
      <w:r>
        <w:rPr>
          <w:rFonts w:hint="eastAsia" w:ascii="仿宋" w:hAnsi="仿宋" w:eastAsia="仿宋" w:cs="仿宋"/>
          <w:color w:val="000000" w:themeColor="text1"/>
          <w:sz w:val="24"/>
          <w:szCs w:val="24"/>
          <w14:textFill>
            <w14:solidFill>
              <w14:schemeClr w14:val="tx1"/>
            </w14:solidFill>
          </w14:textFill>
        </w:rPr>
        <w:t>的忽略或误解不能作为竞争性磋商响应文件存在缺陷或瑕疵的理由，其风险由供应商承担。</w:t>
      </w:r>
    </w:p>
    <w:p w14:paraId="3093FE89">
      <w:pPr>
        <w:adjustRightInd w:val="0"/>
        <w:snapToGrid w:val="0"/>
        <w:spacing w:before="156" w:beforeLines="50" w:line="360" w:lineRule="auto"/>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u w:val="single"/>
          <w14:textFill>
            <w14:solidFill>
              <w14:schemeClr w14:val="tx1"/>
            </w14:solidFill>
          </w14:textFill>
        </w:rPr>
        <w:t>5. 偏离</w:t>
      </w:r>
    </w:p>
    <w:p w14:paraId="3898891D">
      <w:pPr>
        <w:widowControl/>
        <w:adjustRightInd w:val="0"/>
        <w:snapToGrid w:val="0"/>
        <w:spacing w:before="50" w:line="360" w:lineRule="auto"/>
        <w:ind w:right="97" w:rightChars="46"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5.1本条所称</w:t>
      </w:r>
      <w:r>
        <w:rPr>
          <w:rFonts w:hint="eastAsia" w:ascii="仿宋" w:hAnsi="仿宋" w:eastAsia="仿宋" w:cs="仿宋"/>
          <w:color w:val="000000" w:themeColor="text1"/>
          <w:kern w:val="0"/>
          <w:sz w:val="24"/>
          <w:szCs w:val="24"/>
          <w14:textFill>
            <w14:solidFill>
              <w14:schemeClr w14:val="tx1"/>
            </w14:solidFill>
          </w14:textFill>
        </w:rPr>
        <w:t>偏离为竞争性磋商响应</w:t>
      </w:r>
      <w:r>
        <w:rPr>
          <w:rFonts w:hint="eastAsia" w:ascii="仿宋" w:hAnsi="仿宋" w:eastAsia="仿宋" w:cs="仿宋"/>
          <w:bCs/>
          <w:color w:val="000000" w:themeColor="text1"/>
          <w:kern w:val="0"/>
          <w:sz w:val="24"/>
          <w:szCs w:val="24"/>
          <w14:textFill>
            <w14:solidFill>
              <w14:schemeClr w14:val="tx1"/>
            </w14:solidFill>
          </w14:textFill>
        </w:rPr>
        <w:t>文件</w:t>
      </w:r>
      <w:r>
        <w:rPr>
          <w:rFonts w:hint="eastAsia" w:ascii="仿宋" w:hAnsi="仿宋" w:eastAsia="仿宋" w:cs="仿宋"/>
          <w:color w:val="000000" w:themeColor="text1"/>
          <w:kern w:val="0"/>
          <w:sz w:val="24"/>
          <w:szCs w:val="24"/>
          <w14:textFill>
            <w14:solidFill>
              <w14:schemeClr w14:val="tx1"/>
            </w14:solidFill>
          </w14:textFill>
        </w:rPr>
        <w:t>对</w:t>
      </w:r>
      <w:r>
        <w:rPr>
          <w:rFonts w:hint="eastAsia" w:ascii="仿宋" w:hAnsi="仿宋" w:eastAsia="仿宋" w:cs="仿宋"/>
          <w:bCs/>
          <w:color w:val="000000" w:themeColor="text1"/>
          <w:kern w:val="0"/>
          <w:sz w:val="24"/>
          <w:szCs w:val="24"/>
          <w14:textFill>
            <w14:solidFill>
              <w14:schemeClr w14:val="tx1"/>
            </w14:solidFill>
          </w14:textFill>
        </w:rPr>
        <w:t>竞争性磋商文件</w:t>
      </w:r>
      <w:r>
        <w:rPr>
          <w:rFonts w:hint="eastAsia" w:ascii="仿宋" w:hAnsi="仿宋" w:eastAsia="仿宋" w:cs="仿宋"/>
          <w:color w:val="000000" w:themeColor="text1"/>
          <w:kern w:val="0"/>
          <w:sz w:val="24"/>
          <w:szCs w:val="24"/>
          <w14:textFill>
            <w14:solidFill>
              <w14:schemeClr w14:val="tx1"/>
            </w14:solidFill>
          </w14:textFill>
        </w:rPr>
        <w:t>的偏离，即不满足、或不响应</w:t>
      </w:r>
      <w:r>
        <w:rPr>
          <w:rFonts w:hint="eastAsia" w:ascii="仿宋" w:hAnsi="仿宋" w:eastAsia="仿宋" w:cs="仿宋"/>
          <w:bCs/>
          <w:color w:val="000000" w:themeColor="text1"/>
          <w:kern w:val="0"/>
          <w:sz w:val="24"/>
          <w:szCs w:val="24"/>
          <w14:textFill>
            <w14:solidFill>
              <w14:schemeClr w14:val="tx1"/>
            </w14:solidFill>
          </w14:textFill>
        </w:rPr>
        <w:t>竞争性磋商文件</w:t>
      </w:r>
      <w:r>
        <w:rPr>
          <w:rFonts w:hint="eastAsia" w:ascii="仿宋" w:hAnsi="仿宋" w:eastAsia="仿宋" w:cs="仿宋"/>
          <w:color w:val="000000" w:themeColor="text1"/>
          <w:kern w:val="0"/>
          <w:sz w:val="24"/>
          <w:szCs w:val="24"/>
          <w14:textFill>
            <w14:solidFill>
              <w14:schemeClr w14:val="tx1"/>
            </w14:solidFill>
          </w14:textFill>
        </w:rPr>
        <w:t>的要求。偏离分为对</w:t>
      </w:r>
      <w:r>
        <w:rPr>
          <w:rFonts w:hint="eastAsia" w:ascii="仿宋" w:hAnsi="仿宋" w:eastAsia="仿宋" w:cs="仿宋"/>
          <w:bCs/>
          <w:color w:val="000000" w:themeColor="text1"/>
          <w:kern w:val="0"/>
          <w:sz w:val="24"/>
          <w:szCs w:val="24"/>
          <w14:textFill>
            <w14:solidFill>
              <w14:schemeClr w14:val="tx1"/>
            </w14:solidFill>
          </w14:textFill>
        </w:rPr>
        <w:t>竞争性磋商文件</w:t>
      </w:r>
      <w:r>
        <w:rPr>
          <w:rFonts w:hint="eastAsia" w:ascii="仿宋" w:hAnsi="仿宋" w:eastAsia="仿宋" w:cs="仿宋"/>
          <w:color w:val="000000" w:themeColor="text1"/>
          <w:kern w:val="0"/>
          <w:sz w:val="24"/>
          <w:szCs w:val="24"/>
          <w14:textFill>
            <w14:solidFill>
              <w14:schemeClr w14:val="tx1"/>
            </w14:solidFill>
          </w14:textFill>
        </w:rPr>
        <w:t>的实质性要求条款偏离和对</w:t>
      </w:r>
      <w:r>
        <w:rPr>
          <w:rFonts w:hint="eastAsia" w:ascii="仿宋" w:hAnsi="仿宋" w:eastAsia="仿宋" w:cs="仿宋"/>
          <w:bCs/>
          <w:color w:val="000000" w:themeColor="text1"/>
          <w:kern w:val="0"/>
          <w:sz w:val="24"/>
          <w:szCs w:val="24"/>
          <w14:textFill>
            <w14:solidFill>
              <w14:schemeClr w14:val="tx1"/>
            </w14:solidFill>
          </w14:textFill>
        </w:rPr>
        <w:t>竞争性磋商文件</w:t>
      </w:r>
      <w:r>
        <w:rPr>
          <w:rFonts w:hint="eastAsia" w:ascii="仿宋" w:hAnsi="仿宋" w:eastAsia="仿宋" w:cs="仿宋"/>
          <w:color w:val="000000" w:themeColor="text1"/>
          <w:kern w:val="0"/>
          <w:sz w:val="24"/>
          <w:szCs w:val="24"/>
          <w14:textFill>
            <w14:solidFill>
              <w14:schemeClr w14:val="tx1"/>
            </w14:solidFill>
          </w14:textFill>
        </w:rPr>
        <w:t>的一般商务和技术条款（参数）偏离。</w:t>
      </w:r>
    </w:p>
    <w:p w14:paraId="4ED0F1FB">
      <w:pPr>
        <w:tabs>
          <w:tab w:val="left" w:pos="0"/>
        </w:tabs>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w:t>
      </w:r>
      <w:r>
        <w:rPr>
          <w:rFonts w:hint="eastAsia" w:ascii="仿宋" w:hAnsi="仿宋" w:eastAsia="仿宋" w:cs="仿宋"/>
          <w:bCs/>
          <w:color w:val="000000" w:themeColor="text1"/>
          <w:sz w:val="24"/>
          <w:szCs w:val="24"/>
          <w14:textFill>
            <w14:solidFill>
              <w14:schemeClr w14:val="tx1"/>
            </w14:solidFill>
          </w14:textFill>
        </w:rPr>
        <w:t>竞争性磋商文件</w:t>
      </w:r>
      <w:r>
        <w:rPr>
          <w:rFonts w:hint="eastAsia" w:ascii="仿宋" w:hAnsi="仿宋" w:eastAsia="仿宋" w:cs="仿宋"/>
          <w:color w:val="000000" w:themeColor="text1"/>
          <w:sz w:val="24"/>
          <w:szCs w:val="24"/>
          <w14:textFill>
            <w14:solidFill>
              <w14:schemeClr w14:val="tx1"/>
            </w14:solidFill>
          </w14:textFill>
        </w:rPr>
        <w:t>中标注“*”符号的条款为实质性要求条款（即重要条款），对其中任何一条的偏离(即不满足、或不响应)，在评审时将其视为无效响应。</w:t>
      </w:r>
    </w:p>
    <w:p w14:paraId="40DFF8DC">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 竞争性磋商文件的澄清、修改</w:t>
      </w:r>
    </w:p>
    <w:p w14:paraId="6B5ADF1E">
      <w:pPr>
        <w:adjustRightInd w:val="0"/>
        <w:snapToGrid w:val="0"/>
        <w:spacing w:before="50" w:line="360" w:lineRule="auto"/>
        <w:ind w:right="-105" w:rightChars="-5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6.1采购代理机构或采购人</w:t>
      </w:r>
      <w:r>
        <w:rPr>
          <w:rFonts w:hint="eastAsia" w:ascii="仿宋" w:hAnsi="仿宋" w:eastAsia="仿宋" w:cs="仿宋"/>
          <w:color w:val="000000" w:themeColor="text1"/>
          <w:kern w:val="0"/>
          <w:sz w:val="24"/>
          <w:szCs w:val="24"/>
          <w:lang w:val="zh-CN"/>
          <w14:textFill>
            <w14:solidFill>
              <w14:schemeClr w14:val="tx1"/>
            </w14:solidFill>
          </w14:textFill>
        </w:rPr>
        <w:t>对已发出的</w:t>
      </w:r>
      <w:r>
        <w:rPr>
          <w:rFonts w:hint="eastAsia" w:ascii="仿宋" w:hAnsi="仿宋" w:eastAsia="仿宋" w:cs="仿宋"/>
          <w:color w:val="000000" w:themeColor="text1"/>
          <w:sz w:val="24"/>
          <w:szCs w:val="24"/>
          <w14:textFill>
            <w14:solidFill>
              <w14:schemeClr w14:val="tx1"/>
            </w14:solidFill>
          </w14:textFill>
        </w:rPr>
        <w:t>竞争性磋商文件进行必要澄清或者修改的，澄清或修改的内容可能影响响应文件编制的，应在</w:t>
      </w:r>
      <w:r>
        <w:rPr>
          <w:rFonts w:hint="eastAsia" w:ascii="仿宋" w:hAnsi="仿宋" w:eastAsia="仿宋" w:cs="仿宋"/>
          <w:color w:val="000000" w:themeColor="text1"/>
          <w:kern w:val="0"/>
          <w:sz w:val="24"/>
          <w:szCs w:val="24"/>
          <w:lang w:val="zh-CN"/>
          <w14:textFill>
            <w14:solidFill>
              <w14:schemeClr w14:val="tx1"/>
            </w14:solidFill>
          </w14:textFill>
        </w:rPr>
        <w:t>递交竞争性磋商</w:t>
      </w:r>
      <w:r>
        <w:rPr>
          <w:rFonts w:hint="eastAsia" w:ascii="仿宋" w:hAnsi="仿宋" w:eastAsia="仿宋" w:cs="仿宋"/>
          <w:color w:val="000000" w:themeColor="text1"/>
          <w:sz w:val="24"/>
          <w:szCs w:val="24"/>
          <w14:textFill>
            <w14:solidFill>
              <w14:schemeClr w14:val="tx1"/>
            </w14:solidFill>
          </w14:textFill>
        </w:rPr>
        <w:t>响应</w:t>
      </w:r>
      <w:r>
        <w:rPr>
          <w:rFonts w:hint="eastAsia" w:ascii="仿宋" w:hAnsi="仿宋" w:eastAsia="仿宋" w:cs="仿宋"/>
          <w:color w:val="000000" w:themeColor="text1"/>
          <w:kern w:val="0"/>
          <w:sz w:val="24"/>
          <w:szCs w:val="24"/>
          <w:lang w:val="zh-CN"/>
          <w14:textFill>
            <w14:solidFill>
              <w14:schemeClr w14:val="tx1"/>
            </w14:solidFill>
          </w14:textFill>
        </w:rPr>
        <w:t>文件截止时间</w:t>
      </w:r>
      <w:r>
        <w:rPr>
          <w:rFonts w:hint="eastAsia" w:ascii="仿宋" w:hAnsi="仿宋" w:eastAsia="仿宋" w:cs="仿宋"/>
          <w:color w:val="000000" w:themeColor="text1"/>
          <w:kern w:val="0"/>
          <w:sz w:val="24"/>
          <w:szCs w:val="24"/>
          <w14:textFill>
            <w14:solidFill>
              <w14:schemeClr w14:val="tx1"/>
            </w14:solidFill>
          </w14:textFill>
        </w:rPr>
        <w:t>5日</w:t>
      </w:r>
      <w:r>
        <w:rPr>
          <w:rFonts w:hint="eastAsia" w:ascii="仿宋" w:hAnsi="仿宋" w:eastAsia="仿宋" w:cs="仿宋"/>
          <w:color w:val="000000" w:themeColor="text1"/>
          <w:sz w:val="24"/>
          <w:szCs w:val="24"/>
          <w14:textFill>
            <w14:solidFill>
              <w14:schemeClr w14:val="tx1"/>
            </w14:solidFill>
          </w14:textFill>
        </w:rPr>
        <w:t>前通知被邀请参加竞争性磋商的供应商，不足5日的，采购人、采购代理机构应当顺延提交响应文件截止时间。采购人或代理机构不承担未及时关注的责任情形。澄清或修改的内容为竞争性磋商文件的组成部分。</w:t>
      </w:r>
    </w:p>
    <w:p w14:paraId="182E81E1">
      <w:pPr>
        <w:adjustRightInd w:val="0"/>
        <w:snapToGrid w:val="0"/>
        <w:spacing w:before="156" w:beforeLines="5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三、竞争性磋商响应文件</w:t>
      </w:r>
    </w:p>
    <w:p w14:paraId="4B395181">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7.一般要求</w:t>
      </w:r>
    </w:p>
    <w:p w14:paraId="70F8A79D">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7.1 供应商应仔细阅读竞争性磋商文件的所有内容，按竞争性磋商文件的要求</w:t>
      </w:r>
      <w:r>
        <w:rPr>
          <w:rFonts w:hint="eastAsia" w:ascii="仿宋" w:hAnsi="仿宋" w:eastAsia="仿宋" w:cs="仿宋"/>
          <w:color w:val="000000" w:themeColor="text1"/>
          <w:kern w:val="0"/>
          <w:sz w:val="24"/>
          <w:szCs w:val="24"/>
          <w:lang w:val="zh-CN"/>
          <w14:textFill>
            <w14:solidFill>
              <w14:schemeClr w14:val="tx1"/>
            </w14:solidFill>
          </w14:textFill>
        </w:rPr>
        <w:t>依法真实</w:t>
      </w:r>
      <w:r>
        <w:rPr>
          <w:rFonts w:hint="eastAsia" w:ascii="仿宋" w:hAnsi="仿宋" w:eastAsia="仿宋" w:cs="仿宋"/>
          <w:bCs/>
          <w:color w:val="000000" w:themeColor="text1"/>
          <w:sz w:val="24"/>
          <w:szCs w:val="24"/>
          <w14:textFill>
            <w14:solidFill>
              <w14:schemeClr w14:val="tx1"/>
            </w14:solidFill>
          </w14:textFill>
        </w:rPr>
        <w:t>编制竞争性磋商</w:t>
      </w:r>
      <w:r>
        <w:rPr>
          <w:rFonts w:hint="eastAsia" w:ascii="仿宋" w:hAnsi="仿宋" w:eastAsia="仿宋" w:cs="仿宋"/>
          <w:color w:val="000000" w:themeColor="text1"/>
          <w:sz w:val="24"/>
          <w:szCs w:val="24"/>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文件，</w:t>
      </w:r>
      <w:r>
        <w:rPr>
          <w:rFonts w:hint="eastAsia" w:ascii="仿宋" w:hAnsi="仿宋" w:eastAsia="仿宋" w:cs="仿宋"/>
          <w:color w:val="000000" w:themeColor="text1"/>
          <w:kern w:val="0"/>
          <w:sz w:val="24"/>
          <w:szCs w:val="24"/>
          <w:lang w:val="zh-CN"/>
          <w14:textFill>
            <w14:solidFill>
              <w14:schemeClr w14:val="tx1"/>
            </w14:solidFill>
          </w14:textFill>
        </w:rPr>
        <w:t>并对其递交的竞争性磋商</w:t>
      </w:r>
      <w:r>
        <w:rPr>
          <w:rFonts w:hint="eastAsia" w:ascii="仿宋" w:hAnsi="仿宋" w:eastAsia="仿宋" w:cs="仿宋"/>
          <w:color w:val="000000" w:themeColor="text1"/>
          <w:sz w:val="24"/>
          <w:szCs w:val="24"/>
          <w14:textFill>
            <w14:solidFill>
              <w14:schemeClr w14:val="tx1"/>
            </w14:solidFill>
          </w14:textFill>
        </w:rPr>
        <w:t>响应</w:t>
      </w:r>
      <w:r>
        <w:rPr>
          <w:rFonts w:hint="eastAsia" w:ascii="仿宋" w:hAnsi="仿宋" w:eastAsia="仿宋" w:cs="仿宋"/>
          <w:color w:val="000000" w:themeColor="text1"/>
          <w:kern w:val="0"/>
          <w:sz w:val="24"/>
          <w:szCs w:val="24"/>
          <w:lang w:val="zh-CN"/>
          <w14:textFill>
            <w14:solidFill>
              <w14:schemeClr w14:val="tx1"/>
            </w14:solidFill>
          </w14:textFill>
        </w:rPr>
        <w:t>文件承担法律责任。</w:t>
      </w:r>
    </w:p>
    <w:p w14:paraId="0E432581">
      <w:pPr>
        <w:autoSpaceDE w:val="0"/>
        <w:autoSpaceDN w:val="0"/>
        <w:adjustRightInd w:val="0"/>
        <w:snapToGrid w:val="0"/>
        <w:spacing w:before="156" w:beforeLines="50"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7.2 </w:t>
      </w:r>
      <w:r>
        <w:rPr>
          <w:rFonts w:hint="eastAsia" w:ascii="仿宋" w:hAnsi="仿宋" w:eastAsia="仿宋" w:cs="仿宋"/>
          <w:color w:val="000000" w:themeColor="text1"/>
          <w:sz w:val="24"/>
          <w:szCs w:val="24"/>
          <w14:textFill>
            <w14:solidFill>
              <w14:schemeClr w14:val="tx1"/>
            </w14:solidFill>
          </w14:textFill>
        </w:rPr>
        <w:t>供应商提交的竞争性磋商响应文件及供应商与采购代理机构、竞争性磋商小组就有关竞争性磋商的所有来往函电均使用中文。供应商可以提交其它语言的资料，但有关响应内容应附中文注释，在有差异时以中文为准。</w:t>
      </w:r>
    </w:p>
    <w:p w14:paraId="410275E5">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7.3 </w:t>
      </w:r>
      <w:r>
        <w:rPr>
          <w:rFonts w:hint="eastAsia" w:ascii="仿宋" w:hAnsi="仿宋" w:eastAsia="仿宋" w:cs="仿宋"/>
          <w:color w:val="000000" w:themeColor="text1"/>
          <w:sz w:val="24"/>
          <w:szCs w:val="24"/>
          <w14:textFill>
            <w14:solidFill>
              <w14:schemeClr w14:val="tx1"/>
            </w14:solidFill>
          </w14:textFill>
        </w:rPr>
        <w:t>计量单位应使用我国法定计量单位。</w:t>
      </w:r>
    </w:p>
    <w:p w14:paraId="1671963B">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 竞争性磋商响应文件应采用书面形式，电报、传真形式的竞争性磋商响应文件概不接受。</w:t>
      </w:r>
    </w:p>
    <w:p w14:paraId="1E9D0637">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7.5 供应商应按竞争性磋商文件中提供的竞争性磋商响应文件格式填写。</w:t>
      </w:r>
    </w:p>
    <w:p w14:paraId="090428FA">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w:t>
      </w:r>
      <w:r>
        <w:rPr>
          <w:rFonts w:hint="eastAsia" w:ascii="仿宋" w:hAnsi="仿宋" w:eastAsia="仿宋" w:cs="仿宋"/>
          <w:b/>
          <w:color w:val="000000" w:themeColor="text1"/>
          <w:sz w:val="24"/>
          <w:szCs w:val="24"/>
          <w14:textFill>
            <w14:solidFill>
              <w14:schemeClr w14:val="tx1"/>
            </w14:solidFill>
          </w14:textFill>
        </w:rPr>
        <w:t>竞争性磋商响应文件</w:t>
      </w:r>
      <w:r>
        <w:rPr>
          <w:rFonts w:hint="eastAsia" w:ascii="仿宋" w:hAnsi="仿宋" w:eastAsia="仿宋" w:cs="仿宋"/>
          <w:b/>
          <w:bCs/>
          <w:color w:val="000000" w:themeColor="text1"/>
          <w:sz w:val="24"/>
          <w:szCs w:val="24"/>
          <w14:textFill>
            <w14:solidFill>
              <w14:schemeClr w14:val="tx1"/>
            </w14:solidFill>
          </w14:textFill>
        </w:rPr>
        <w:t>的组成</w:t>
      </w:r>
    </w:p>
    <w:p w14:paraId="7FA4ACBF">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8.1 竞争性磋商响应文件包括下列内容：</w:t>
      </w:r>
    </w:p>
    <w:p w14:paraId="6B8428D9">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8.1.1资格文件</w:t>
      </w:r>
    </w:p>
    <w:p w14:paraId="48200AA3">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（1）营业执照</w:t>
      </w:r>
    </w:p>
    <w:p w14:paraId="1044E828">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（2）资质证明</w:t>
      </w:r>
    </w:p>
    <w:p w14:paraId="3E8B114F">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（3）法人授权委托书</w:t>
      </w:r>
    </w:p>
    <w:p w14:paraId="7823E82D">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（4）财务报告</w:t>
      </w:r>
    </w:p>
    <w:p w14:paraId="148EF671">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（5）有依法缴纳税收和依法缴纳社会保障资金的记录</w:t>
      </w:r>
    </w:p>
    <w:p w14:paraId="4B911CB3">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（6）具有履行合同所必需的设备和专业技术能力</w:t>
      </w:r>
    </w:p>
    <w:p w14:paraId="1906DC17">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（7）信誉要求：无不良行为记录</w:t>
      </w:r>
    </w:p>
    <w:p w14:paraId="373628C3">
      <w:pPr>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政采云响应文件制作时应按要求上传清晰的相关证明材料，未按要求上传导致的废标、无效响应由供应商自行承担责任 。</w:t>
      </w:r>
    </w:p>
    <w:p w14:paraId="33C6827A">
      <w:pPr>
        <w:pStyle w:val="7"/>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8.1.2商务技术文件</w:t>
      </w:r>
    </w:p>
    <w:p w14:paraId="618860A7">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（1）竞争性磋商响应函</w:t>
      </w:r>
    </w:p>
    <w:p w14:paraId="47F0DACF">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（2）开标一览表</w:t>
      </w:r>
    </w:p>
    <w:p w14:paraId="7E06FF80">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（3）法定代表人身份证明书、法定代表人授权书</w:t>
      </w:r>
    </w:p>
    <w:p w14:paraId="6D84DC90">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（4）磋商保证金交纳凭证</w:t>
      </w:r>
    </w:p>
    <w:p w14:paraId="1D0E8550">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（5）承诺书</w:t>
      </w:r>
    </w:p>
    <w:p w14:paraId="511D116C">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（6）商务和技术偏差表</w:t>
      </w:r>
    </w:p>
    <w:p w14:paraId="63324163">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（7）响应供应商概况</w:t>
      </w:r>
    </w:p>
    <w:p w14:paraId="1A03550C">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（8）服务管理团队</w:t>
      </w:r>
    </w:p>
    <w:p w14:paraId="0CE27E49">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（9）响应截止时间前三年类似项目业绩表</w:t>
      </w:r>
    </w:p>
    <w:p w14:paraId="68137096">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（10）技术文件</w:t>
      </w:r>
    </w:p>
    <w:p w14:paraId="4CD321ED">
      <w:pPr>
        <w:adjustRightInd w:val="0"/>
        <w:snapToGrid w:val="0"/>
        <w:spacing w:before="50" w:line="360" w:lineRule="auto"/>
        <w:ind w:right="-105" w:rightChars="-50"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（11）其他资料</w:t>
      </w:r>
    </w:p>
    <w:p w14:paraId="5AC96F77">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8.1.3 报价文件</w:t>
      </w:r>
    </w:p>
    <w:p w14:paraId="7CC6176C">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竞争性磋商响应函、开标一览表、报价明细表</w:t>
      </w:r>
    </w:p>
    <w:p w14:paraId="567D795A">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8.1.4 ★新疆政府采购网政采云开评标系统（政采云电子投标客户端）中开标一览表、报价明细表等填写内容应与响应文件一致；新疆政府采购网政采云系统（政采云电子投标客户端）编制资格文件时应按系统要求及磋商文件要求上传相关资格证明材料及说明，未按要求上传相关资格证明材料及说明视为无效响应文件。</w:t>
      </w:r>
    </w:p>
    <w:p w14:paraId="26A559EC">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8.1.5★</w:t>
      </w:r>
      <w:r>
        <w:rPr>
          <w:rFonts w:hint="eastAsia" w:ascii="仿宋" w:hAnsi="仿宋" w:eastAsia="仿宋" w:cs="仿宋"/>
          <w:b/>
          <w:bCs/>
          <w:color w:val="000000" w:themeColor="text1"/>
          <w:sz w:val="24"/>
          <w:szCs w:val="24"/>
          <w14:textFill>
            <w14:solidFill>
              <w14:schemeClr w14:val="tx1"/>
            </w14:solidFill>
          </w14:textFill>
        </w:rPr>
        <w:t>响应供应商制作电子版响应文件时须保证响应文件中的资料、图片、证明材料等为原件扫描件，资料、证明材料等须严谨、清晰、完整。证明材料、资料等不清晰、不完整、不严谨等原因导致出现废标、扣分等情况，各响应供应商自行负责。</w:t>
      </w:r>
    </w:p>
    <w:p w14:paraId="30777F9D">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 响应供应商应按8.1条及“第七章响应文件格式”目录及表格编制投标响应文件。</w:t>
      </w:r>
    </w:p>
    <w:p w14:paraId="73676B72">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8.3 根据《中华人民共和国政府采购法》第四十二条的规定，供应商无论成交与否，其竞争性磋商响应文件不予退还。</w:t>
      </w:r>
    </w:p>
    <w:p w14:paraId="6191E435">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9.报价</w:t>
      </w:r>
    </w:p>
    <w:p w14:paraId="34EC9F65">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9.1供应商应当根据竞争性磋商文件要求和范围，以</w:t>
      </w:r>
      <w:r>
        <w:rPr>
          <w:rFonts w:hint="eastAsia" w:ascii="仿宋" w:hAnsi="仿宋" w:eastAsia="仿宋" w:cs="仿宋"/>
          <w:bCs/>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14:textFill>
            <w14:solidFill>
              <w14:schemeClr w14:val="tx1"/>
            </w14:solidFill>
          </w14:textFill>
        </w:rPr>
        <w:t>报价。</w:t>
      </w:r>
    </w:p>
    <w:p w14:paraId="74ABACDF">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9.2竞争性磋商响应文件中标明的价格在合同执行过程中是固定不变的，不得以任何理由予以变更。以可变动价格提交的报价将被认为是非实质响应采购要求而被拒绝。</w:t>
      </w:r>
    </w:p>
    <w:p w14:paraId="7913D647">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9.3除</w:t>
      </w:r>
      <w:r>
        <w:rPr>
          <w:rFonts w:hint="eastAsia" w:ascii="仿宋" w:hAnsi="仿宋" w:eastAsia="仿宋" w:cs="仿宋"/>
          <w:b/>
          <w:color w:val="000000" w:themeColor="text1"/>
          <w:sz w:val="24"/>
          <w:szCs w:val="24"/>
          <w14:textFill>
            <w14:solidFill>
              <w14:schemeClr w14:val="tx1"/>
            </w14:solidFill>
          </w14:textFill>
        </w:rPr>
        <w:t>供应商须知前附表</w:t>
      </w:r>
      <w:r>
        <w:rPr>
          <w:rFonts w:hint="eastAsia" w:ascii="仿宋" w:hAnsi="仿宋" w:eastAsia="仿宋" w:cs="仿宋"/>
          <w:color w:val="000000" w:themeColor="text1"/>
          <w:sz w:val="24"/>
          <w:szCs w:val="24"/>
          <w14:textFill>
            <w14:solidFill>
              <w14:schemeClr w14:val="tx1"/>
            </w14:solidFill>
          </w14:textFill>
        </w:rPr>
        <w:t>中另有规定外，本次采购不接受备选方案报价。</w:t>
      </w:r>
    </w:p>
    <w:p w14:paraId="091057F5">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9.4采购项目预算见</w:t>
      </w:r>
      <w:r>
        <w:rPr>
          <w:rFonts w:hint="eastAsia" w:ascii="仿宋" w:hAnsi="仿宋" w:eastAsia="仿宋" w:cs="仿宋"/>
          <w:b/>
          <w:color w:val="000000" w:themeColor="text1"/>
          <w:sz w:val="24"/>
          <w:szCs w:val="24"/>
          <w14:textFill>
            <w14:solidFill>
              <w14:schemeClr w14:val="tx1"/>
            </w14:solidFill>
          </w14:textFill>
        </w:rPr>
        <w:t>供应商须知前附表</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的报价不得超过或等于采购项目预算。</w:t>
      </w:r>
    </w:p>
    <w:p w14:paraId="530B16B6">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10.供应商符合竞争性磋商文件规定的证明文件</w:t>
      </w:r>
    </w:p>
    <w:p w14:paraId="6B73339C">
      <w:pPr>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10.1供应商应</w:t>
      </w:r>
      <w:r>
        <w:rPr>
          <w:rFonts w:hint="eastAsia" w:ascii="仿宋" w:hAnsi="仿宋" w:eastAsia="仿宋" w:cs="仿宋"/>
          <w:color w:val="000000" w:themeColor="text1"/>
          <w:sz w:val="24"/>
          <w:szCs w:val="24"/>
          <w14:textFill>
            <w14:solidFill>
              <w14:schemeClr w14:val="tx1"/>
            </w14:solidFill>
          </w14:textFill>
        </w:rPr>
        <w:t>提供</w:t>
      </w:r>
      <w:r>
        <w:rPr>
          <w:rFonts w:hint="eastAsia" w:ascii="仿宋" w:hAnsi="仿宋" w:eastAsia="仿宋" w:cs="仿宋"/>
          <w:color w:val="000000" w:themeColor="text1"/>
          <w:kern w:val="0"/>
          <w:sz w:val="24"/>
          <w:szCs w:val="24"/>
          <w:lang w:val="zh-CN"/>
          <w14:textFill>
            <w14:solidFill>
              <w14:schemeClr w14:val="tx1"/>
            </w14:solidFill>
          </w14:textFill>
        </w:rPr>
        <w:t>符合竞争性磋商文件</w:t>
      </w:r>
      <w:r>
        <w:rPr>
          <w:rFonts w:hint="eastAsia" w:ascii="仿宋" w:hAnsi="仿宋" w:eastAsia="仿宋" w:cs="仿宋"/>
          <w:color w:val="000000" w:themeColor="text1"/>
          <w:sz w:val="24"/>
          <w:szCs w:val="24"/>
          <w14:textFill>
            <w14:solidFill>
              <w14:schemeClr w14:val="tx1"/>
            </w14:solidFill>
          </w14:textFill>
        </w:rPr>
        <w:t>规定的资格条件要求</w:t>
      </w:r>
      <w:r>
        <w:rPr>
          <w:rFonts w:hint="eastAsia" w:ascii="仿宋" w:hAnsi="仿宋" w:eastAsia="仿宋" w:cs="仿宋"/>
          <w:color w:val="000000" w:themeColor="text1"/>
          <w:kern w:val="0"/>
          <w:sz w:val="24"/>
          <w:szCs w:val="24"/>
          <w:lang w:val="zh-CN"/>
          <w14:textFill>
            <w14:solidFill>
              <w14:schemeClr w14:val="tx1"/>
            </w14:solidFill>
          </w14:textFill>
        </w:rPr>
        <w:t>的证明材料</w:t>
      </w:r>
      <w:r>
        <w:rPr>
          <w:rFonts w:hint="eastAsia" w:ascii="仿宋" w:hAnsi="仿宋" w:eastAsia="仿宋" w:cs="仿宋"/>
          <w:color w:val="000000" w:themeColor="text1"/>
          <w:kern w:val="0"/>
          <w:sz w:val="24"/>
          <w:szCs w:val="24"/>
          <w14:textFill>
            <w14:solidFill>
              <w14:schemeClr w14:val="tx1"/>
            </w14:solidFill>
          </w14:textFill>
        </w:rPr>
        <w:t>且在新疆政府采购网政采云系统中上传，未按要求上传或漏传视为无效投标</w:t>
      </w:r>
      <w:r>
        <w:rPr>
          <w:rFonts w:hint="eastAsia" w:ascii="仿宋" w:hAnsi="仿宋" w:eastAsia="仿宋" w:cs="仿宋"/>
          <w:color w:val="000000" w:themeColor="text1"/>
          <w:kern w:val="0"/>
          <w:sz w:val="24"/>
          <w:szCs w:val="24"/>
          <w:lang w:val="zh-CN"/>
          <w14:textFill>
            <w14:solidFill>
              <w14:schemeClr w14:val="tx1"/>
            </w14:solidFill>
          </w14:textFill>
        </w:rPr>
        <w:t>。</w:t>
      </w:r>
    </w:p>
    <w:p w14:paraId="3D8FCC4D">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10.2除</w:t>
      </w:r>
      <w:r>
        <w:rPr>
          <w:rFonts w:hint="eastAsia" w:ascii="仿宋" w:hAnsi="仿宋" w:eastAsia="仿宋" w:cs="仿宋"/>
          <w:b/>
          <w:color w:val="000000" w:themeColor="text1"/>
          <w:sz w:val="24"/>
          <w:szCs w:val="24"/>
          <w14:textFill>
            <w14:solidFill>
              <w14:schemeClr w14:val="tx1"/>
            </w14:solidFill>
          </w14:textFill>
        </w:rPr>
        <w:t>供应商须知前附表</w:t>
      </w:r>
      <w:r>
        <w:rPr>
          <w:rFonts w:hint="eastAsia" w:ascii="仿宋" w:hAnsi="仿宋" w:eastAsia="仿宋" w:cs="仿宋"/>
          <w:color w:val="000000" w:themeColor="text1"/>
          <w:sz w:val="24"/>
          <w:szCs w:val="24"/>
          <w14:textFill>
            <w14:solidFill>
              <w14:schemeClr w14:val="tx1"/>
            </w14:solidFill>
          </w14:textFill>
        </w:rPr>
        <w:t>另有规定外，</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提供的货物及服务不是</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制造或拥有的,则应当提供经销、或代理采购货物、或为采购货物提供售后服务的证明文件。否则将视为非实质响应而被拒绝。</w:t>
      </w:r>
    </w:p>
    <w:p w14:paraId="509D7DB7">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11.货物符合竞争性磋商文件规定的证明文件</w:t>
      </w:r>
    </w:p>
    <w:p w14:paraId="44ECA3DB">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 供应商须提交证明其拟供货物及其服务符合竞争性磋商文件规定的响应性文件，作为竞争性磋商竞争性磋商的一部分。</w:t>
      </w:r>
    </w:p>
    <w:p w14:paraId="4556E23F">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11.2 证明货物及其服务与竞争性磋商文件要求一致的文件，可以是文字资料、图纸和数据，并须提供：</w:t>
      </w:r>
    </w:p>
    <w:p w14:paraId="313274FD">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（1）货物主要性能和参数的详细说明；</w:t>
      </w:r>
    </w:p>
    <w:p w14:paraId="77BEC92D">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（2）对照竞争性磋商文件技术规格，逐条说明所提供货物和服务对技术规格响应与偏离表，并申明技术规格条文的响应或偏离。对有具体参数要求的指标，</w:t>
      </w:r>
      <w:r>
        <w:rPr>
          <w:rFonts w:hint="eastAsia" w:ascii="仿宋" w:hAnsi="仿宋" w:eastAsia="仿宋" w:cs="仿宋"/>
          <w:bCs/>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应提供具体参数值。</w:t>
      </w:r>
    </w:p>
    <w:p w14:paraId="6D38B72F">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12.保证金</w:t>
      </w:r>
    </w:p>
    <w:p w14:paraId="33D87F62">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w:t>
      </w:r>
      <w:r>
        <w:rPr>
          <w:rFonts w:hint="eastAsia" w:ascii="仿宋" w:hAnsi="仿宋" w:eastAsia="仿宋" w:cs="仿宋"/>
          <w:b/>
          <w:color w:val="000000" w:themeColor="text1"/>
          <w:sz w:val="24"/>
          <w:szCs w:val="24"/>
          <w14:textFill>
            <w14:solidFill>
              <w14:schemeClr w14:val="tx1"/>
            </w14:solidFill>
          </w14:textFill>
        </w:rPr>
        <w:t>供应商须知前附表</w:t>
      </w:r>
      <w:r>
        <w:rPr>
          <w:rFonts w:hint="eastAsia" w:ascii="仿宋" w:hAnsi="仿宋" w:eastAsia="仿宋" w:cs="仿宋"/>
          <w:color w:val="000000" w:themeColor="text1"/>
          <w:sz w:val="24"/>
          <w:szCs w:val="24"/>
          <w14:textFill>
            <w14:solidFill>
              <w14:schemeClr w14:val="tx1"/>
            </w14:solidFill>
          </w14:textFill>
        </w:rPr>
        <w:t>规定交纳</w:t>
      </w:r>
      <w:r>
        <w:rPr>
          <w:rFonts w:hint="eastAsia" w:ascii="仿宋" w:hAnsi="仿宋" w:eastAsia="仿宋" w:cs="仿宋"/>
          <w:bCs/>
          <w:color w:val="000000" w:themeColor="text1"/>
          <w:sz w:val="24"/>
          <w:szCs w:val="24"/>
          <w14:textFill>
            <w14:solidFill>
              <w14:schemeClr w14:val="tx1"/>
            </w14:solidFill>
          </w14:textFill>
        </w:rPr>
        <w:t>保证金的</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供应商应</w:t>
      </w:r>
      <w:r>
        <w:rPr>
          <w:rFonts w:hint="eastAsia" w:ascii="仿宋" w:hAnsi="仿宋" w:eastAsia="仿宋" w:cs="仿宋"/>
          <w:color w:val="000000" w:themeColor="text1"/>
          <w:sz w:val="24"/>
          <w:szCs w:val="24"/>
          <w14:textFill>
            <w14:solidFill>
              <w14:schemeClr w14:val="tx1"/>
            </w14:solidFill>
          </w14:textFill>
        </w:rPr>
        <w:t>按</w:t>
      </w:r>
      <w:r>
        <w:rPr>
          <w:rFonts w:hint="eastAsia" w:ascii="仿宋" w:hAnsi="仿宋" w:eastAsia="仿宋" w:cs="仿宋"/>
          <w:b/>
          <w:color w:val="000000" w:themeColor="text1"/>
          <w:sz w:val="24"/>
          <w:szCs w:val="24"/>
          <w14:textFill>
            <w14:solidFill>
              <w14:schemeClr w14:val="tx1"/>
            </w14:solidFill>
          </w14:textFill>
        </w:rPr>
        <w:t>供应商须知前附表</w:t>
      </w:r>
      <w:r>
        <w:rPr>
          <w:rFonts w:hint="eastAsia" w:ascii="仿宋" w:hAnsi="仿宋" w:eastAsia="仿宋" w:cs="仿宋"/>
          <w:color w:val="000000" w:themeColor="text1"/>
          <w:sz w:val="24"/>
          <w:szCs w:val="24"/>
          <w14:textFill>
            <w14:solidFill>
              <w14:schemeClr w14:val="tx1"/>
            </w14:solidFill>
          </w14:textFill>
        </w:rPr>
        <w:t>规定的要求提交保证金，</w:t>
      </w:r>
      <w:r>
        <w:rPr>
          <w:rFonts w:hint="eastAsia" w:ascii="仿宋" w:hAnsi="仿宋" w:eastAsia="仿宋" w:cs="仿宋"/>
          <w:bCs/>
          <w:color w:val="000000" w:themeColor="text1"/>
          <w:sz w:val="24"/>
          <w:szCs w:val="24"/>
          <w14:textFill>
            <w14:solidFill>
              <w14:schemeClr w14:val="tx1"/>
            </w14:solidFill>
          </w14:textFill>
        </w:rPr>
        <w:t>保证金有效期应当与</w:t>
      </w:r>
      <w:r>
        <w:rPr>
          <w:rFonts w:hint="eastAsia" w:ascii="仿宋" w:hAnsi="仿宋" w:eastAsia="仿宋" w:cs="仿宋"/>
          <w:color w:val="000000" w:themeColor="text1"/>
          <w:sz w:val="24"/>
          <w:szCs w:val="24"/>
          <w14:textFill>
            <w14:solidFill>
              <w14:schemeClr w14:val="tx1"/>
            </w14:solidFill>
          </w14:textFill>
        </w:rPr>
        <w:t>规定</w:t>
      </w:r>
      <w:r>
        <w:rPr>
          <w:rFonts w:hint="eastAsia" w:ascii="仿宋" w:hAnsi="仿宋" w:eastAsia="仿宋" w:cs="仿宋"/>
          <w:color w:val="000000" w:themeColor="text1"/>
          <w:kern w:val="0"/>
          <w:sz w:val="24"/>
          <w:szCs w:val="24"/>
          <w:lang w:val="zh-CN"/>
          <w14:textFill>
            <w14:solidFill>
              <w14:schemeClr w14:val="tx1"/>
            </w14:solidFill>
          </w14:textFill>
        </w:rPr>
        <w:t>的竞争性磋商</w:t>
      </w:r>
      <w:r>
        <w:rPr>
          <w:rFonts w:hint="eastAsia" w:ascii="仿宋" w:hAnsi="仿宋" w:eastAsia="仿宋" w:cs="仿宋"/>
          <w:color w:val="000000" w:themeColor="text1"/>
          <w:sz w:val="24"/>
          <w:szCs w:val="24"/>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文件有效期一致。</w:t>
      </w:r>
    </w:p>
    <w:p w14:paraId="139BAF71">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12.2 未按规定提交保证金的竞争性磋商响应文件，将被视为非实质响应而被拒绝。</w:t>
      </w:r>
    </w:p>
    <w:p w14:paraId="56A6378C">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 采购代理机构在成交通知书发出后1个工作日内退还未成交供应商的保证金。</w:t>
      </w:r>
    </w:p>
    <w:p w14:paraId="41ADEA39">
      <w:pPr>
        <w:adjustRightInd w:val="0"/>
        <w:snapToGrid w:val="0"/>
        <w:spacing w:before="156" w:beforeLines="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12.4发生以下情况保证金将不予退还：</w:t>
      </w:r>
    </w:p>
    <w:p w14:paraId="47FF69EB">
      <w:pPr>
        <w:adjustRightInd w:val="0"/>
        <w:snapToGrid w:val="0"/>
        <w:spacing w:before="156" w:beforeLines="50"/>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（1）供应商在本章规定的递交竞争性磋商响应文件截止时间后撤回竞争性磋商响应文件的；</w:t>
      </w:r>
    </w:p>
    <w:p w14:paraId="2C8F34B7">
      <w:pPr>
        <w:adjustRightInd w:val="0"/>
        <w:snapToGrid w:val="0"/>
        <w:spacing w:before="156" w:beforeLines="50"/>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（2）供应商在竞争性磋商响应文件中提供虚假材料或虚假承诺的；</w:t>
      </w:r>
    </w:p>
    <w:p w14:paraId="0CE609E1">
      <w:pPr>
        <w:adjustRightInd w:val="0"/>
        <w:snapToGrid w:val="0"/>
        <w:spacing w:before="156" w:beforeLines="50"/>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（3）成交供应商无正当理由不与采购人签定合同或转让、分包项目以及拒绝履行合同义务的；</w:t>
      </w:r>
    </w:p>
    <w:p w14:paraId="7015B575">
      <w:pPr>
        <w:adjustRightInd w:val="0"/>
        <w:snapToGrid w:val="0"/>
        <w:spacing w:before="156" w:beforeLines="50"/>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（4）中标公告前和中标公示期间，成交候选人无正当理由放弃中标资格的；</w:t>
      </w:r>
    </w:p>
    <w:p w14:paraId="0BDF369A">
      <w:pPr>
        <w:adjustRightInd w:val="0"/>
        <w:snapToGrid w:val="0"/>
        <w:spacing w:before="156" w:beforeLines="50"/>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（5）竞争性磋商文件规定的其他情形。</w:t>
      </w:r>
    </w:p>
    <w:p w14:paraId="0D3E7768">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13.竞争性磋商</w:t>
      </w:r>
      <w:r>
        <w:rPr>
          <w:rFonts w:hint="eastAsia" w:ascii="仿宋" w:hAnsi="仿宋" w:eastAsia="仿宋" w:cs="仿宋"/>
          <w:b/>
          <w:color w:val="000000" w:themeColor="text1"/>
          <w:sz w:val="24"/>
          <w:szCs w:val="24"/>
          <w14:textFill>
            <w14:solidFill>
              <w14:schemeClr w14:val="tx1"/>
            </w14:solidFill>
          </w14:textFill>
        </w:rPr>
        <w:t>响应文件有效期</w:t>
      </w:r>
    </w:p>
    <w:p w14:paraId="307792DF">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13.1竞争性磋商响应文件有效期见</w:t>
      </w:r>
      <w:r>
        <w:rPr>
          <w:rFonts w:hint="eastAsia" w:ascii="仿宋" w:hAnsi="仿宋" w:eastAsia="仿宋" w:cs="仿宋"/>
          <w:b/>
          <w:color w:val="000000" w:themeColor="text1"/>
          <w:sz w:val="24"/>
          <w:szCs w:val="24"/>
          <w14:textFill>
            <w14:solidFill>
              <w14:schemeClr w14:val="tx1"/>
            </w14:solidFill>
          </w14:textFill>
        </w:rPr>
        <w:t>供应商须知前附表</w:t>
      </w:r>
      <w:r>
        <w:rPr>
          <w:rFonts w:hint="eastAsia" w:ascii="仿宋" w:hAnsi="仿宋" w:eastAsia="仿宋" w:cs="仿宋"/>
          <w:color w:val="000000" w:themeColor="text1"/>
          <w:sz w:val="24"/>
          <w:szCs w:val="24"/>
          <w14:textFill>
            <w14:solidFill>
              <w14:schemeClr w14:val="tx1"/>
            </w14:solidFill>
          </w14:textFill>
        </w:rPr>
        <w:t>，在此期间竞争性磋商响应文件对供应商具有法律约束力，竞争性磋商响应文件有效期从规定的递交竞争性磋商响应文件截止时间之日起计算。竞争性磋商响应文件有效期不足的将被视为无效响应，并予以拒绝。</w:t>
      </w:r>
    </w:p>
    <w:p w14:paraId="764A306D">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特殊情况下，采购代理机构可于竞争性磋商响应文件有效期满之前要求供应商同意延长有效期，要求与答复均应为书面形式。供应商可以拒绝上述要求而其保证金不被没收。对于同意该要求的供应商，既不要求也不允许其修改竞争性磋商响应文件，但将要求其相应延长保证金的有效期。有关退还和没收保证金的规定在竞争性磋商响应文件有效期的延长期内继续有效。</w:t>
      </w:r>
    </w:p>
    <w:p w14:paraId="1730C760">
      <w:pPr>
        <w:widowControl/>
        <w:adjustRightInd w:val="0"/>
        <w:snapToGrid w:val="0"/>
        <w:spacing w:before="156" w:beforeLines="50" w:line="360" w:lineRule="auto"/>
        <w:jc w:val="left"/>
        <w:rPr>
          <w:rFonts w:hint="eastAsia" w:ascii="仿宋" w:hAnsi="仿宋" w:eastAsia="仿宋" w:cs="仿宋"/>
          <w:b/>
          <w:color w:val="000000" w:themeColor="text1"/>
          <w:sz w:val="24"/>
          <w:szCs w:val="24"/>
          <w14:textFill>
            <w14:solidFill>
              <w14:schemeClr w14:val="tx1"/>
            </w14:solidFill>
          </w14:textFill>
        </w:rPr>
      </w:pPr>
      <w:bookmarkStart w:id="37" w:name="_Hlk39664050"/>
      <w:bookmarkStart w:id="38" w:name="_Hlk38276022"/>
      <w:r>
        <w:rPr>
          <w:rFonts w:hint="eastAsia" w:ascii="仿宋" w:hAnsi="仿宋" w:eastAsia="仿宋" w:cs="仿宋"/>
          <w:b/>
          <w:bCs/>
          <w:color w:val="000000" w:themeColor="text1"/>
          <w:kern w:val="0"/>
          <w:sz w:val="24"/>
          <w:szCs w:val="24"/>
          <w14:textFill>
            <w14:solidFill>
              <w14:schemeClr w14:val="tx1"/>
            </w14:solidFill>
          </w14:textFill>
        </w:rPr>
        <w:t>14.</w:t>
      </w:r>
      <w:r>
        <w:rPr>
          <w:rFonts w:hint="eastAsia" w:ascii="仿宋" w:hAnsi="仿宋" w:eastAsia="仿宋" w:cs="仿宋"/>
          <w:b/>
          <w:color w:val="000000" w:themeColor="text1"/>
          <w:sz w:val="24"/>
          <w:szCs w:val="24"/>
          <w14:textFill>
            <w14:solidFill>
              <w14:schemeClr w14:val="tx1"/>
            </w14:solidFill>
          </w14:textFill>
        </w:rPr>
        <w:t>有下列情形之一的，视为响应供应商串通投标，其投标无效：</w:t>
      </w:r>
    </w:p>
    <w:p w14:paraId="455D786E">
      <w:pPr>
        <w:widowControl/>
        <w:adjustRightInd w:val="0"/>
        <w:snapToGrid w:val="0"/>
        <w:spacing w:before="156" w:beforeLines="5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14.1不同响应供应商的响应文件由同一单位或者个人编制；</w:t>
      </w:r>
    </w:p>
    <w:p w14:paraId="2DE1E389">
      <w:pPr>
        <w:widowControl/>
        <w:adjustRightInd w:val="0"/>
        <w:snapToGrid w:val="0"/>
        <w:spacing w:before="156" w:beforeLines="50" w:line="360" w:lineRule="auto"/>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14.2不同响应供应商委托同一单位或者个人办理投标事宜；</w:t>
      </w:r>
    </w:p>
    <w:p w14:paraId="4DE2D4DD">
      <w:pPr>
        <w:widowControl/>
        <w:adjustRightInd w:val="0"/>
        <w:snapToGrid w:val="0"/>
        <w:spacing w:before="156" w:beforeLines="5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14.3不同响应供应商的响应文件载明的项目管理成员或者联系人员为同一人；</w:t>
      </w:r>
    </w:p>
    <w:p w14:paraId="120CF0D0">
      <w:pPr>
        <w:widowControl/>
        <w:adjustRightInd w:val="0"/>
        <w:snapToGrid w:val="0"/>
        <w:spacing w:before="156" w:beforeLines="5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14.4不同响应供应商的响应文件异常一致或者投标报价呈规律性差异；</w:t>
      </w:r>
    </w:p>
    <w:p w14:paraId="157F1CD4">
      <w:pPr>
        <w:widowControl/>
        <w:adjustRightInd w:val="0"/>
        <w:snapToGrid w:val="0"/>
        <w:spacing w:before="156" w:beforeLines="5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14.5不同响应供应商的响应文件相互混装；</w:t>
      </w:r>
    </w:p>
    <w:p w14:paraId="4881AC82">
      <w:pPr>
        <w:widowControl/>
        <w:adjustRightInd w:val="0"/>
        <w:snapToGrid w:val="0"/>
        <w:spacing w:before="156" w:beforeLines="5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14.6不同响应供应商的投标保证金从同一单位或者个人的账户转出。</w:t>
      </w:r>
    </w:p>
    <w:bookmarkEnd w:id="37"/>
    <w:p w14:paraId="31C3D99C">
      <w:pPr>
        <w:adjustRightInd w:val="0"/>
        <w:snapToGrid w:val="0"/>
        <w:spacing w:before="156" w:beforeLines="5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四、竞争性磋商响应文件的递交</w:t>
      </w:r>
    </w:p>
    <w:p w14:paraId="417FFC1B">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15.</w:t>
      </w:r>
      <w:r>
        <w:rPr>
          <w:rFonts w:hint="eastAsia" w:ascii="仿宋" w:hAnsi="仿宋" w:eastAsia="仿宋" w:cs="仿宋"/>
          <w:b/>
          <w:color w:val="000000" w:themeColor="text1"/>
          <w:sz w:val="24"/>
          <w:szCs w:val="24"/>
          <w14:textFill>
            <w14:solidFill>
              <w14:schemeClr w14:val="tx1"/>
            </w14:solidFill>
          </w14:textFill>
        </w:rPr>
        <w:t>竞争性磋商响应文件</w:t>
      </w:r>
      <w:r>
        <w:rPr>
          <w:rFonts w:hint="eastAsia" w:ascii="仿宋" w:hAnsi="仿宋" w:eastAsia="仿宋" w:cs="仿宋"/>
          <w:b/>
          <w:bCs/>
          <w:color w:val="000000" w:themeColor="text1"/>
          <w:sz w:val="24"/>
          <w:szCs w:val="24"/>
          <w14:textFill>
            <w14:solidFill>
              <w14:schemeClr w14:val="tx1"/>
            </w14:solidFill>
          </w14:textFill>
        </w:rPr>
        <w:t>的修改和撤回</w:t>
      </w:r>
    </w:p>
    <w:p w14:paraId="65F767C1">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15.1在开标时间前，潜在</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对竞争性磋商文件有疑问且要求采购人澄清的，应于本投标须知前附表规定的时间前以书面形式告知采购人，采购人对竞争性磋商文件的修改或答疑回复将于本投标须知前附表规定的时间以书面形式发出,</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自行上网查阅，并须填写本竞争性磋商文件规定格式之回执，附在供应商竞争性磋商响应文件内。如无答疑回复，则不需填写回执。</w:t>
      </w:r>
    </w:p>
    <w:p w14:paraId="5F54500C">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15.2为使供应商有合理的时间按补充文件准备竞争性磋商响应文件，采购人可能根据具体情况酌情延长投标截止日期。</w:t>
      </w:r>
    </w:p>
    <w:p w14:paraId="408FBCA4">
      <w:pPr>
        <w:numPr>
          <w:ilvl w:val="0"/>
          <w:numId w:val="3"/>
        </w:num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竞争性磋商响应文件</w:t>
      </w:r>
      <w:r>
        <w:rPr>
          <w:rFonts w:hint="eastAsia" w:ascii="仿宋" w:hAnsi="仿宋" w:eastAsia="仿宋" w:cs="仿宋"/>
          <w:b/>
          <w:bCs/>
          <w:color w:val="000000" w:themeColor="text1"/>
          <w:sz w:val="24"/>
          <w:szCs w:val="24"/>
          <w14:textFill>
            <w14:solidFill>
              <w14:schemeClr w14:val="tx1"/>
            </w14:solidFill>
          </w14:textFill>
        </w:rPr>
        <w:t>的递交与接收</w:t>
      </w:r>
    </w:p>
    <w:p w14:paraId="6544C913">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16.1竞争性磋商响应文件应按供应商须知前附表要求的响应截止时间内在新疆政府采购网政采云系统上传。</w:t>
      </w:r>
    </w:p>
    <w:p w14:paraId="1AE2D484">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16.2竞争性磋商响应文件在响应截止时间内可撤回、修改；响应截止时间后不得撤回、修改。</w:t>
      </w:r>
    </w:p>
    <w:p w14:paraId="0AFF940A">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17.</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竞争性磋商响应文件的编制和签署</w:t>
      </w:r>
    </w:p>
    <w:p w14:paraId="09DEED12">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 供应商应仔细阅读竞争性磋商文件的所有内容，按竞争性磋商文件的要求</w:t>
      </w:r>
      <w:r>
        <w:rPr>
          <w:rFonts w:hint="eastAsia" w:ascii="仿宋" w:hAnsi="仿宋" w:eastAsia="仿宋" w:cs="仿宋"/>
          <w:color w:val="000000" w:themeColor="text1"/>
          <w:sz w:val="24"/>
          <w:szCs w:val="24"/>
          <w:lang w:val="zh-CN"/>
          <w14:textFill>
            <w14:solidFill>
              <w14:schemeClr w14:val="tx1"/>
            </w14:solidFill>
          </w14:textFill>
        </w:rPr>
        <w:t>依法真实</w:t>
      </w:r>
      <w:r>
        <w:rPr>
          <w:rFonts w:hint="eastAsia" w:ascii="仿宋" w:hAnsi="仿宋" w:eastAsia="仿宋" w:cs="仿宋"/>
          <w:color w:val="000000" w:themeColor="text1"/>
          <w:sz w:val="24"/>
          <w:szCs w:val="24"/>
          <w14:textFill>
            <w14:solidFill>
              <w14:schemeClr w14:val="tx1"/>
            </w14:solidFill>
          </w14:textFill>
        </w:rPr>
        <w:t>编制磋商响应文件，</w:t>
      </w:r>
      <w:r>
        <w:rPr>
          <w:rFonts w:hint="eastAsia" w:ascii="仿宋" w:hAnsi="仿宋" w:eastAsia="仿宋" w:cs="仿宋"/>
          <w:color w:val="000000" w:themeColor="text1"/>
          <w:sz w:val="24"/>
          <w:szCs w:val="24"/>
          <w:lang w:val="zh-CN"/>
          <w14:textFill>
            <w14:solidFill>
              <w14:schemeClr w14:val="tx1"/>
            </w14:solidFill>
          </w14:textFill>
        </w:rPr>
        <w:t>并对其递交的磋商</w:t>
      </w:r>
      <w:r>
        <w:rPr>
          <w:rFonts w:hint="eastAsia" w:ascii="仿宋" w:hAnsi="仿宋" w:eastAsia="仿宋" w:cs="仿宋"/>
          <w:color w:val="000000" w:themeColor="text1"/>
          <w:sz w:val="24"/>
          <w:szCs w:val="24"/>
          <w14:textFill>
            <w14:solidFill>
              <w14:schemeClr w14:val="tx1"/>
            </w14:solidFill>
          </w14:textFill>
        </w:rPr>
        <w:t>响应</w:t>
      </w:r>
      <w:r>
        <w:rPr>
          <w:rFonts w:hint="eastAsia" w:ascii="仿宋" w:hAnsi="仿宋" w:eastAsia="仿宋" w:cs="仿宋"/>
          <w:color w:val="000000" w:themeColor="text1"/>
          <w:sz w:val="24"/>
          <w:szCs w:val="24"/>
          <w:lang w:val="zh-CN"/>
          <w14:textFill>
            <w14:solidFill>
              <w14:schemeClr w14:val="tx1"/>
            </w14:solidFill>
          </w14:textFill>
        </w:rPr>
        <w:t>文件承担法律责任。</w:t>
      </w:r>
    </w:p>
    <w:p w14:paraId="4839902C">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17.2 供应商提交的磋商响应文件及供应商与采购代理机构、竞争性磋商小组就有关磋商的所有来往函电均使用中文。供应商可以提交其它语言的资料，但有关响应内容应附中文注释，在有差异时以中文为准。</w:t>
      </w:r>
    </w:p>
    <w:p w14:paraId="635CD082">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17.3 计量单位应使用我国法定计量单位。</w:t>
      </w:r>
    </w:p>
    <w:p w14:paraId="7AB7F3F9">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17.4 磋商响应文件应采用书面形式，电报、传真形式的磋商响应文件概不接受。</w:t>
      </w:r>
    </w:p>
    <w:p w14:paraId="7E17951C">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17.5 </w:t>
      </w:r>
      <w:r>
        <w:rPr>
          <w:rFonts w:hint="eastAsia" w:ascii="仿宋" w:hAnsi="仿宋" w:eastAsia="仿宋" w:cs="仿宋"/>
          <w:color w:val="000000" w:themeColor="text1"/>
          <w:sz w:val="24"/>
          <w:szCs w:val="24"/>
          <w:lang w:val="zh-CN"/>
          <w14:textFill>
            <w14:solidFill>
              <w14:schemeClr w14:val="tx1"/>
            </w14:solidFill>
          </w14:textFill>
        </w:rPr>
        <w:t>各供应商在编制响应文件时请按照</w:t>
      </w:r>
      <w:r>
        <w:rPr>
          <w:rFonts w:hint="eastAsia" w:ascii="仿宋" w:hAnsi="仿宋" w:eastAsia="仿宋" w:cs="仿宋"/>
          <w:color w:val="000000" w:themeColor="text1"/>
          <w:sz w:val="24"/>
          <w:szCs w:val="24"/>
          <w14:textFill>
            <w14:solidFill>
              <w14:schemeClr w14:val="tx1"/>
            </w14:solidFill>
          </w14:textFill>
        </w:rPr>
        <w:t>磋商</w:t>
      </w:r>
      <w:r>
        <w:rPr>
          <w:rFonts w:hint="eastAsia" w:ascii="仿宋" w:hAnsi="仿宋" w:eastAsia="仿宋" w:cs="仿宋"/>
          <w:color w:val="000000" w:themeColor="text1"/>
          <w:sz w:val="24"/>
          <w:szCs w:val="24"/>
          <w:lang w:val="zh-CN"/>
          <w14:textFill>
            <w14:solidFill>
              <w14:schemeClr w14:val="tx1"/>
            </w14:solidFill>
          </w14:textFill>
        </w:rPr>
        <w:t>文件第</w:t>
      </w:r>
      <w:r>
        <w:rPr>
          <w:rFonts w:hint="eastAsia" w:ascii="仿宋" w:hAnsi="仿宋" w:eastAsia="仿宋" w:cs="仿宋"/>
          <w:color w:val="000000" w:themeColor="text1"/>
          <w:sz w:val="24"/>
          <w:szCs w:val="24"/>
          <w14:textFill>
            <w14:solidFill>
              <w14:schemeClr w14:val="tx1"/>
            </w14:solidFill>
          </w14:textFill>
        </w:rPr>
        <w:t>七章</w:t>
      </w:r>
      <w:r>
        <w:rPr>
          <w:rFonts w:hint="eastAsia" w:ascii="仿宋" w:hAnsi="仿宋" w:eastAsia="仿宋" w:cs="仿宋"/>
          <w:color w:val="000000" w:themeColor="text1"/>
          <w:sz w:val="24"/>
          <w:szCs w:val="24"/>
          <w:lang w:val="zh-CN"/>
          <w14:textFill>
            <w14:solidFill>
              <w14:schemeClr w14:val="tx1"/>
            </w14:solidFill>
          </w14:textFill>
        </w:rPr>
        <w:t>规定的格式进行，混乱的编排导致响应文件被误读或磋商小组查找不到有效文件是供应商的风险。</w:t>
      </w:r>
    </w:p>
    <w:p w14:paraId="69C04489">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17.6 </w:t>
      </w:r>
      <w:r>
        <w:rPr>
          <w:rFonts w:hint="eastAsia" w:ascii="仿宋" w:hAnsi="仿宋" w:eastAsia="仿宋" w:cs="仿宋"/>
          <w:color w:val="000000" w:themeColor="text1"/>
          <w:sz w:val="24"/>
          <w:szCs w:val="24"/>
          <w:lang w:val="zh-CN"/>
          <w14:textFill>
            <w14:solidFill>
              <w14:schemeClr w14:val="tx1"/>
            </w14:solidFill>
          </w14:textFill>
        </w:rPr>
        <w:t>供应商进行电子交易应安装“政采云电子招投标供应商投标客户端”，并按照磋商文件和电子交易平台的要求编制并加密响应文件。供应商未按规定加密的响应文件，电子交易平台将拒收并提示。</w:t>
      </w:r>
    </w:p>
    <w:p w14:paraId="1012353B">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17.7 </w:t>
      </w:r>
      <w:r>
        <w:rPr>
          <w:rFonts w:hint="eastAsia" w:ascii="仿宋" w:hAnsi="仿宋" w:eastAsia="仿宋" w:cs="仿宋"/>
          <w:color w:val="000000" w:themeColor="text1"/>
          <w:sz w:val="24"/>
          <w:szCs w:val="24"/>
          <w:lang w:val="zh-CN"/>
          <w14:textFill>
            <w14:solidFill>
              <w14:schemeClr w14:val="tx1"/>
            </w14:solidFill>
          </w14:textFill>
        </w:rPr>
        <w:t>使用“政采云电子招投标供应商投标客户端”需要提前申领CA数字证书，申领流程请自行前往“</w:t>
      </w:r>
      <w:r>
        <w:rPr>
          <w:rFonts w:hint="eastAsia" w:ascii="仿宋" w:hAnsi="仿宋" w:eastAsia="仿宋" w:cs="仿宋"/>
          <w:color w:val="000000" w:themeColor="text1"/>
          <w:sz w:val="24"/>
          <w:szCs w:val="24"/>
          <w14:textFill>
            <w14:solidFill>
              <w14:schemeClr w14:val="tx1"/>
            </w14:solidFill>
          </w14:textFill>
        </w:rPr>
        <w:t>新疆</w:t>
      </w:r>
      <w:r>
        <w:rPr>
          <w:rFonts w:hint="eastAsia" w:ascii="仿宋" w:hAnsi="仿宋" w:eastAsia="仿宋" w:cs="仿宋"/>
          <w:color w:val="000000" w:themeColor="text1"/>
          <w:sz w:val="24"/>
          <w:szCs w:val="24"/>
          <w:lang w:val="zh-CN"/>
          <w14:textFill>
            <w14:solidFill>
              <w14:schemeClr w14:val="tx1"/>
            </w14:solidFill>
          </w14:textFill>
        </w:rPr>
        <w:t>政府采购网-下载专区-</w:t>
      </w:r>
      <w:r>
        <w:rPr>
          <w:rFonts w:hint="eastAsia" w:ascii="仿宋" w:hAnsi="仿宋" w:eastAsia="仿宋" w:cs="仿宋"/>
          <w:color w:val="000000" w:themeColor="text1"/>
          <w:sz w:val="24"/>
          <w:szCs w:val="24"/>
          <w14:textFill>
            <w14:solidFill>
              <w14:schemeClr w14:val="tx1"/>
            </w14:solidFill>
          </w14:textFill>
        </w:rPr>
        <w:t>电子招投标供应商客户端下载</w:t>
      </w:r>
      <w:r>
        <w:rPr>
          <w:rFonts w:hint="eastAsia" w:ascii="仿宋" w:hAnsi="仿宋" w:eastAsia="仿宋" w:cs="仿宋"/>
          <w:color w:val="000000" w:themeColor="text1"/>
          <w:sz w:val="24"/>
          <w:szCs w:val="24"/>
          <w:lang w:val="zh-CN"/>
          <w14:textFill>
            <w14:solidFill>
              <w14:schemeClr w14:val="tx1"/>
            </w14:solidFill>
          </w14:textFill>
        </w:rPr>
        <w:t>--新疆维吾尔自治区全流程电子招投标项目管理系统--供应商客户端-政采云电子招投标供应商操作指南”进行查阅。</w:t>
      </w:r>
    </w:p>
    <w:p w14:paraId="2590DCC5">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17.8 响应文件按照磋商文件第七章格式要求进行签署、盖章。供应商的响应文件未按照磋商文件要求签署、盖章的，其响应无效。</w:t>
      </w:r>
    </w:p>
    <w:p w14:paraId="41723E38">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17.9 为确保网上操作合法、有效和安全，供应商应当在响应截止时间前完成在“政府采购云平台”的身份认证，确保在电子交易过程中能够对相关数据电文进行加密和使用电子签名。</w:t>
      </w:r>
    </w:p>
    <w:p w14:paraId="56C9BD37">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17.10 磋商文件对响应文件签署、盖章的要求适用于电子签名，签名应为全名不得简写。</w:t>
      </w:r>
    </w:p>
    <w:p w14:paraId="146CBCC7">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17.11竞争性磋商响应文件应按竞争性磋商文件的要求与格式编写。</w:t>
      </w:r>
    </w:p>
    <w:p w14:paraId="2A92D0F2">
      <w:pPr>
        <w:adjustRightInd w:val="0"/>
        <w:snapToGrid w:val="0"/>
        <w:spacing w:before="156" w:beforeLines="50" w:line="360" w:lineRule="auto"/>
        <w:ind w:left="660" w:leftChars="200" w:hanging="240" w:hanging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17.12竞争性磋商响应文件因表达不清所引起的后果由供应商负责。</w:t>
      </w:r>
    </w:p>
    <w:p w14:paraId="5D66A5A9">
      <w:pPr>
        <w:adjustRightInd w:val="0"/>
        <w:snapToGrid w:val="0"/>
        <w:spacing w:before="156" w:beforeLines="50" w:line="360" w:lineRule="auto"/>
        <w:ind w:left="660" w:leftChars="200" w:hanging="240" w:hanging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17.13供应商编制和提交竞争性磋商响应文件所需费用自理。</w:t>
      </w:r>
    </w:p>
    <w:p w14:paraId="45EE24C1">
      <w:pPr>
        <w:adjustRightInd w:val="0"/>
        <w:snapToGrid w:val="0"/>
        <w:spacing w:before="156" w:beforeLines="50" w:line="360" w:lineRule="auto"/>
        <w:ind w:left="723" w:hanging="723"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w:t>
      </w:r>
      <w:r>
        <w:rPr>
          <w:rFonts w:hint="eastAsia" w:ascii="仿宋" w:hAnsi="仿宋" w:eastAsia="仿宋" w:cs="仿宋"/>
          <w:b/>
          <w:color w:val="000000" w:themeColor="text1"/>
          <w:sz w:val="24"/>
          <w:szCs w:val="24"/>
          <w14:textFill>
            <w14:solidFill>
              <w14:schemeClr w14:val="tx1"/>
            </w14:solidFill>
          </w14:textFill>
        </w:rPr>
        <w:t>竞争性磋商小组和评审</w:t>
      </w:r>
    </w:p>
    <w:p w14:paraId="5C04CA37">
      <w:pPr>
        <w:adjustRightInd w:val="0"/>
        <w:snapToGrid w:val="0"/>
        <w:spacing w:before="156" w:beforeLines="50" w:line="36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w:t>
      </w:r>
      <w:r>
        <w:rPr>
          <w:rFonts w:hint="eastAsia" w:ascii="仿宋" w:hAnsi="仿宋" w:eastAsia="仿宋" w:cs="仿宋"/>
          <w:b/>
          <w:bCs/>
          <w:color w:val="000000" w:themeColor="text1"/>
          <w:sz w:val="24"/>
          <w:szCs w:val="24"/>
          <w:lang w:val="en-US" w:eastAsia="zh-CN"/>
          <w14:textFill>
            <w14:solidFill>
              <w14:schemeClr w14:val="tx1"/>
            </w14:solidFill>
          </w14:textFill>
        </w:rPr>
        <w:t>8</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14:textFill>
            <w14:solidFill>
              <w14:schemeClr w14:val="tx1"/>
            </w14:solidFill>
          </w14:textFill>
        </w:rPr>
        <w:t>竞争性磋商小组</w:t>
      </w:r>
      <w:r>
        <w:rPr>
          <w:rFonts w:hint="eastAsia" w:ascii="仿宋" w:hAnsi="仿宋" w:eastAsia="仿宋" w:cs="仿宋"/>
          <w:b/>
          <w:color w:val="000000" w:themeColor="text1"/>
          <w:sz w:val="24"/>
          <w:szCs w:val="24"/>
          <w:lang w:eastAsia="zh-CN"/>
          <w14:textFill>
            <w14:solidFill>
              <w14:schemeClr w14:val="tx1"/>
            </w14:solidFill>
          </w14:textFill>
        </w:rPr>
        <w:t>及资格核查</w:t>
      </w:r>
    </w:p>
    <w:p w14:paraId="3ECE9279">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8</w:t>
      </w:r>
      <w:r>
        <w:rPr>
          <w:rFonts w:hint="eastAsia" w:ascii="仿宋" w:hAnsi="仿宋" w:eastAsia="仿宋" w:cs="仿宋"/>
          <w:bCs/>
          <w:color w:val="000000" w:themeColor="text1"/>
          <w:sz w:val="24"/>
          <w:szCs w:val="24"/>
          <w14:textFill>
            <w14:solidFill>
              <w14:schemeClr w14:val="tx1"/>
            </w14:solidFill>
          </w14:textFill>
        </w:rPr>
        <w:t>.1 采购人与采购代理机构将根据采购项目的特点依法组建</w:t>
      </w:r>
      <w:r>
        <w:rPr>
          <w:rFonts w:hint="eastAsia" w:ascii="仿宋" w:hAnsi="仿宋" w:eastAsia="仿宋" w:cs="仿宋"/>
          <w:b/>
          <w:color w:val="000000" w:themeColor="text1"/>
          <w:sz w:val="24"/>
          <w:szCs w:val="24"/>
          <w14:textFill>
            <w14:solidFill>
              <w14:schemeClr w14:val="tx1"/>
            </w14:solidFill>
          </w14:textFill>
        </w:rPr>
        <w:t>竞争性磋商小组</w:t>
      </w:r>
      <w:r>
        <w:rPr>
          <w:rFonts w:hint="eastAsia" w:ascii="仿宋" w:hAnsi="仿宋" w:eastAsia="仿宋" w:cs="仿宋"/>
          <w:bCs/>
          <w:color w:val="000000" w:themeColor="text1"/>
          <w:sz w:val="24"/>
          <w:szCs w:val="24"/>
          <w14:textFill>
            <w14:solidFill>
              <w14:schemeClr w14:val="tx1"/>
            </w14:solidFill>
          </w14:textFill>
        </w:rPr>
        <w:t>，其成员由</w:t>
      </w:r>
      <w:r>
        <w:rPr>
          <w:rFonts w:hint="eastAsia" w:ascii="仿宋" w:hAnsi="仿宋" w:eastAsia="仿宋" w:cs="仿宋"/>
          <w:color w:val="000000" w:themeColor="text1"/>
          <w:sz w:val="24"/>
          <w:szCs w:val="24"/>
          <w14:textFill>
            <w14:solidFill>
              <w14:schemeClr w14:val="tx1"/>
            </w14:solidFill>
          </w14:textFill>
        </w:rPr>
        <w:t>评审专家和采购人的代表组成。</w:t>
      </w:r>
      <w:r>
        <w:rPr>
          <w:rFonts w:hint="eastAsia" w:ascii="仿宋" w:hAnsi="仿宋" w:eastAsia="仿宋" w:cs="仿宋"/>
          <w:b/>
          <w:color w:val="000000" w:themeColor="text1"/>
          <w:sz w:val="24"/>
          <w:szCs w:val="24"/>
          <w14:textFill>
            <w14:solidFill>
              <w14:schemeClr w14:val="tx1"/>
            </w14:solidFill>
          </w14:textFill>
        </w:rPr>
        <w:t>竞争性磋商小组</w:t>
      </w:r>
      <w:r>
        <w:rPr>
          <w:rFonts w:hint="eastAsia" w:ascii="仿宋" w:hAnsi="仿宋" w:eastAsia="仿宋" w:cs="仿宋"/>
          <w:color w:val="000000" w:themeColor="text1"/>
          <w:sz w:val="24"/>
          <w:szCs w:val="24"/>
          <w14:textFill>
            <w14:solidFill>
              <w14:schemeClr w14:val="tx1"/>
            </w14:solidFill>
          </w14:textFill>
        </w:rPr>
        <w:t>负责对竞争性磋商响应文件进行审查、竞争性磋商、评价以及推荐成交</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w:t>
      </w:r>
    </w:p>
    <w:p w14:paraId="4C0E52C9">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b/>
          <w:color w:val="000000" w:themeColor="text1"/>
          <w:sz w:val="24"/>
          <w:szCs w:val="24"/>
          <w14:textFill>
            <w14:solidFill>
              <w14:schemeClr w14:val="tx1"/>
            </w14:solidFill>
          </w14:textFill>
        </w:rPr>
        <w:t>竞争性磋商小组</w:t>
      </w:r>
      <w:r>
        <w:rPr>
          <w:rFonts w:hint="eastAsia" w:ascii="仿宋" w:hAnsi="仿宋" w:eastAsia="仿宋" w:cs="仿宋"/>
          <w:color w:val="000000" w:themeColor="text1"/>
          <w:sz w:val="24"/>
          <w:szCs w:val="24"/>
          <w14:textFill>
            <w14:solidFill>
              <w14:schemeClr w14:val="tx1"/>
            </w14:solidFill>
          </w14:textFill>
        </w:rPr>
        <w:t>根据规定的</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资格条件要求，对竞争性磋商响应文件进行资格核</w:t>
      </w:r>
      <w:r>
        <w:rPr>
          <w:rFonts w:hint="eastAsia" w:ascii="仿宋" w:hAnsi="仿宋" w:eastAsia="仿宋" w:cs="仿宋"/>
          <w:bCs/>
          <w:color w:val="000000" w:themeColor="text1"/>
          <w:sz w:val="24"/>
          <w:szCs w:val="24"/>
          <w14:textFill>
            <w14:solidFill>
              <w14:schemeClr w14:val="tx1"/>
            </w14:solidFill>
          </w14:textFill>
        </w:rPr>
        <w:t>查</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不满足资格条件的，在评审时将其视为无效响应。</w:t>
      </w:r>
    </w:p>
    <w:p w14:paraId="5C8ABF69">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b/>
          <w:color w:val="000000" w:themeColor="text1"/>
          <w:sz w:val="24"/>
          <w:szCs w:val="24"/>
          <w14:textFill>
            <w14:solidFill>
              <w14:schemeClr w14:val="tx1"/>
            </w14:solidFill>
          </w14:textFill>
        </w:rPr>
        <w:t>竞争性磋商小组</w:t>
      </w:r>
      <w:r>
        <w:rPr>
          <w:rFonts w:hint="eastAsia" w:ascii="仿宋" w:hAnsi="仿宋" w:eastAsia="仿宋" w:cs="仿宋"/>
          <w:color w:val="000000" w:themeColor="text1"/>
          <w:sz w:val="24"/>
          <w:szCs w:val="24"/>
          <w14:textFill>
            <w14:solidFill>
              <w14:schemeClr w14:val="tx1"/>
            </w14:solidFill>
          </w14:textFill>
        </w:rPr>
        <w:t>可以要求</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提交有关证明和证件的原件以便核验。</w:t>
      </w:r>
    </w:p>
    <w:p w14:paraId="51DE098B">
      <w:pPr>
        <w:tabs>
          <w:tab w:val="left" w:pos="0"/>
        </w:tabs>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19.竞争性磋商响应文件</w:t>
      </w:r>
      <w:r>
        <w:rPr>
          <w:rFonts w:hint="eastAsia" w:ascii="仿宋" w:hAnsi="仿宋" w:eastAsia="仿宋" w:cs="仿宋"/>
          <w:b/>
          <w:bCs/>
          <w:color w:val="000000" w:themeColor="text1"/>
          <w:sz w:val="24"/>
          <w:szCs w:val="24"/>
          <w14:textFill>
            <w14:solidFill>
              <w14:schemeClr w14:val="tx1"/>
            </w14:solidFill>
          </w14:textFill>
        </w:rPr>
        <w:t>的符合性审查</w:t>
      </w:r>
    </w:p>
    <w:p w14:paraId="4E20F0A3">
      <w:pPr>
        <w:adjustRightInd w:val="0"/>
        <w:snapToGrid w:val="0"/>
        <w:spacing w:before="156" w:beforeLines="50"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19.1</w:t>
      </w:r>
      <w:r>
        <w:rPr>
          <w:rFonts w:hint="eastAsia" w:ascii="仿宋" w:hAnsi="仿宋" w:eastAsia="仿宋" w:cs="仿宋"/>
          <w:b/>
          <w:color w:val="000000" w:themeColor="text1"/>
          <w:sz w:val="24"/>
          <w:szCs w:val="24"/>
          <w14:textFill>
            <w14:solidFill>
              <w14:schemeClr w14:val="tx1"/>
            </w14:solidFill>
          </w14:textFill>
        </w:rPr>
        <w:t>竞争性磋商小组</w:t>
      </w:r>
      <w:r>
        <w:rPr>
          <w:rFonts w:hint="eastAsia" w:ascii="仿宋" w:hAnsi="仿宋" w:eastAsia="仿宋" w:cs="仿宋"/>
          <w:bCs/>
          <w:color w:val="000000" w:themeColor="text1"/>
          <w:sz w:val="24"/>
          <w:szCs w:val="24"/>
          <w14:textFill>
            <w14:solidFill>
              <w14:schemeClr w14:val="tx1"/>
            </w14:solidFill>
          </w14:textFill>
        </w:rPr>
        <w:t>对</w:t>
      </w:r>
      <w:r>
        <w:rPr>
          <w:rFonts w:hint="eastAsia" w:ascii="仿宋" w:hAnsi="仿宋" w:eastAsia="仿宋" w:cs="仿宋"/>
          <w:color w:val="000000" w:themeColor="text1"/>
          <w:sz w:val="24"/>
          <w:szCs w:val="24"/>
          <w14:textFill>
            <w14:solidFill>
              <w14:schemeClr w14:val="tx1"/>
            </w14:solidFill>
          </w14:textFill>
        </w:rPr>
        <w:t>竞争性磋商响应文件</w:t>
      </w:r>
      <w:r>
        <w:rPr>
          <w:rFonts w:hint="eastAsia" w:ascii="仿宋" w:hAnsi="仿宋" w:eastAsia="仿宋" w:cs="仿宋"/>
          <w:bCs/>
          <w:color w:val="000000" w:themeColor="text1"/>
          <w:sz w:val="24"/>
          <w:szCs w:val="24"/>
          <w14:textFill>
            <w14:solidFill>
              <w14:schemeClr w14:val="tx1"/>
            </w14:solidFill>
          </w14:textFill>
        </w:rPr>
        <w:t>进行符合性审查，</w:t>
      </w:r>
      <w:r>
        <w:rPr>
          <w:rFonts w:hint="eastAsia" w:ascii="仿宋" w:hAnsi="仿宋" w:eastAsia="仿宋" w:cs="仿宋"/>
          <w:color w:val="000000" w:themeColor="text1"/>
          <w:sz w:val="24"/>
          <w:szCs w:val="24"/>
          <w14:textFill>
            <w14:solidFill>
              <w14:schemeClr w14:val="tx1"/>
            </w14:solidFill>
          </w14:textFill>
        </w:rPr>
        <w:t>竞争性磋商响应文件</w:t>
      </w:r>
      <w:r>
        <w:rPr>
          <w:rFonts w:hint="eastAsia" w:ascii="仿宋" w:hAnsi="仿宋" w:eastAsia="仿宋" w:cs="仿宋"/>
          <w:bCs/>
          <w:color w:val="000000" w:themeColor="text1"/>
          <w:sz w:val="24"/>
          <w:szCs w:val="24"/>
          <w14:textFill>
            <w14:solidFill>
              <w14:schemeClr w14:val="tx1"/>
            </w14:solidFill>
          </w14:textFill>
        </w:rPr>
        <w:t>有下列情况之一的视为无效响应：</w:t>
      </w:r>
    </w:p>
    <w:p w14:paraId="60BC8091">
      <w:pPr>
        <w:adjustRightInd w:val="0"/>
        <w:snapToGrid w:val="0"/>
        <w:spacing w:before="156" w:beforeLines="50"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应交未交保证金或金额不足、保证金缴纳形式不符合</w:t>
      </w:r>
      <w:r>
        <w:rPr>
          <w:rFonts w:hint="eastAsia" w:ascii="仿宋" w:hAnsi="仿宋" w:eastAsia="仿宋" w:cs="仿宋"/>
          <w:bCs/>
          <w:color w:val="000000" w:themeColor="text1"/>
          <w:sz w:val="24"/>
          <w:szCs w:val="24"/>
          <w14:textFill>
            <w14:solidFill>
              <w14:schemeClr w14:val="tx1"/>
            </w14:solidFill>
          </w14:textFill>
        </w:rPr>
        <w:t>竞争性磋商文件</w:t>
      </w:r>
      <w:r>
        <w:rPr>
          <w:rFonts w:hint="eastAsia" w:ascii="仿宋" w:hAnsi="仿宋" w:eastAsia="仿宋" w:cs="仿宋"/>
          <w:color w:val="000000" w:themeColor="text1"/>
          <w:sz w:val="24"/>
          <w:szCs w:val="24"/>
          <w14:textFill>
            <w14:solidFill>
              <w14:schemeClr w14:val="tx1"/>
            </w14:solidFill>
          </w14:textFill>
        </w:rPr>
        <w:t>要求的；</w:t>
      </w:r>
    </w:p>
    <w:p w14:paraId="3A9D3556">
      <w:pPr>
        <w:tabs>
          <w:tab w:val="left" w:pos="735"/>
          <w:tab w:val="left" w:pos="7560"/>
          <w:tab w:val="left" w:pos="7740"/>
          <w:tab w:val="left" w:pos="7920"/>
        </w:tabs>
        <w:adjustRightInd w:val="0"/>
        <w:snapToGrid w:val="0"/>
        <w:spacing w:before="156" w:beforeLines="50" w:line="360" w:lineRule="auto"/>
        <w:ind w:right="300" w:rightChars="143"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（2）未按照</w:t>
      </w:r>
      <w:r>
        <w:rPr>
          <w:rFonts w:hint="eastAsia" w:ascii="仿宋" w:hAnsi="仿宋" w:eastAsia="仿宋" w:cs="仿宋"/>
          <w:bCs/>
          <w:color w:val="000000" w:themeColor="text1"/>
          <w:sz w:val="24"/>
          <w:szCs w:val="24"/>
          <w14:textFill>
            <w14:solidFill>
              <w14:schemeClr w14:val="tx1"/>
            </w14:solidFill>
          </w14:textFill>
        </w:rPr>
        <w:t>竞争性磋商文件</w:t>
      </w:r>
      <w:r>
        <w:rPr>
          <w:rFonts w:hint="eastAsia" w:ascii="仿宋" w:hAnsi="仿宋" w:eastAsia="仿宋" w:cs="仿宋"/>
          <w:color w:val="000000" w:themeColor="text1"/>
          <w:sz w:val="24"/>
          <w:szCs w:val="24"/>
          <w14:textFill>
            <w14:solidFill>
              <w14:schemeClr w14:val="tx1"/>
            </w14:solidFill>
          </w14:textFill>
        </w:rPr>
        <w:t>规定要求签署、盖章的；</w:t>
      </w:r>
    </w:p>
    <w:p w14:paraId="3C13E4FB">
      <w:pPr>
        <w:adjustRightInd w:val="0"/>
        <w:snapToGrid w:val="0"/>
        <w:spacing w:before="156" w:beforeLines="50" w:line="360" w:lineRule="auto"/>
        <w:ind w:right="-109" w:rightChars="-5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（3）不满足</w:t>
      </w:r>
      <w:r>
        <w:rPr>
          <w:rFonts w:hint="eastAsia" w:ascii="仿宋" w:hAnsi="仿宋" w:eastAsia="仿宋" w:cs="仿宋"/>
          <w:bCs/>
          <w:color w:val="000000" w:themeColor="text1"/>
          <w:sz w:val="24"/>
          <w:szCs w:val="24"/>
          <w14:textFill>
            <w14:solidFill>
              <w14:schemeClr w14:val="tx1"/>
            </w14:solidFill>
          </w14:textFill>
        </w:rPr>
        <w:t>磋商</w:t>
      </w:r>
      <w:r>
        <w:rPr>
          <w:rFonts w:hint="eastAsia" w:ascii="仿宋" w:hAnsi="仿宋" w:eastAsia="仿宋" w:cs="仿宋"/>
          <w:color w:val="000000" w:themeColor="text1"/>
          <w:sz w:val="24"/>
          <w:szCs w:val="24"/>
          <w14:textFill>
            <w14:solidFill>
              <w14:schemeClr w14:val="tx1"/>
            </w14:solidFill>
          </w14:textFill>
        </w:rPr>
        <w:t>须知</w:t>
      </w:r>
      <w:r>
        <w:rPr>
          <w:rFonts w:hint="eastAsia" w:ascii="仿宋" w:hAnsi="仿宋" w:eastAsia="仿宋" w:cs="仿宋"/>
          <w:bCs/>
          <w:color w:val="000000" w:themeColor="text1"/>
          <w:sz w:val="24"/>
          <w:szCs w:val="24"/>
          <w14:textFill>
            <w14:solidFill>
              <w14:schemeClr w14:val="tx1"/>
            </w14:solidFill>
          </w14:textFill>
        </w:rPr>
        <w:t>规定的</w:t>
      </w:r>
      <w:r>
        <w:rPr>
          <w:rFonts w:hint="eastAsia" w:ascii="仿宋" w:hAnsi="仿宋" w:eastAsia="仿宋" w:cs="仿宋"/>
          <w:color w:val="000000" w:themeColor="text1"/>
          <w:sz w:val="24"/>
          <w:szCs w:val="24"/>
          <w14:textFill>
            <w14:solidFill>
              <w14:schemeClr w14:val="tx1"/>
            </w14:solidFill>
          </w14:textFill>
        </w:rPr>
        <w:t>实质性要求的；</w:t>
      </w:r>
    </w:p>
    <w:p w14:paraId="624448A0">
      <w:pPr>
        <w:adjustRightInd w:val="0"/>
        <w:snapToGrid w:val="0"/>
        <w:spacing w:before="156" w:beforeLines="50" w:line="360" w:lineRule="auto"/>
        <w:ind w:right="-109" w:rightChars="-5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（4）报价超过采购项目预算的；</w:t>
      </w:r>
    </w:p>
    <w:p w14:paraId="70A2FAFD">
      <w:pPr>
        <w:adjustRightInd w:val="0"/>
        <w:snapToGrid w:val="0"/>
        <w:spacing w:before="156" w:beforeLines="50" w:line="360" w:lineRule="auto"/>
        <w:ind w:right="-109" w:rightChars="-5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（5）同一</w:t>
      </w:r>
      <w:r>
        <w:rPr>
          <w:rFonts w:hint="eastAsia" w:ascii="仿宋" w:hAnsi="仿宋" w:eastAsia="仿宋" w:cs="仿宋"/>
          <w:color w:val="000000" w:themeColor="text1"/>
          <w:kern w:val="0"/>
          <w:sz w:val="24"/>
          <w:szCs w:val="24"/>
          <w:lang w:val="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提交两个以上不同的竞争性磋商响应文件或者报价的，但</w:t>
      </w:r>
      <w:r>
        <w:rPr>
          <w:rFonts w:hint="eastAsia" w:ascii="仿宋" w:hAnsi="仿宋" w:eastAsia="仿宋" w:cs="仿宋"/>
          <w:bCs/>
          <w:color w:val="000000" w:themeColor="text1"/>
          <w:sz w:val="24"/>
          <w:szCs w:val="24"/>
          <w14:textFill>
            <w14:solidFill>
              <w14:schemeClr w14:val="tx1"/>
            </w14:solidFill>
          </w14:textFill>
        </w:rPr>
        <w:t>竞争性磋商</w:t>
      </w:r>
      <w:r>
        <w:rPr>
          <w:rFonts w:hint="eastAsia" w:ascii="仿宋" w:hAnsi="仿宋" w:eastAsia="仿宋" w:cs="仿宋"/>
          <w:color w:val="000000" w:themeColor="text1"/>
          <w:sz w:val="24"/>
          <w:szCs w:val="24"/>
          <w14:textFill>
            <w14:solidFill>
              <w14:schemeClr w14:val="tx1"/>
            </w14:solidFill>
          </w14:textFill>
        </w:rPr>
        <w:t>须知允许提交备选方案的除外；</w:t>
      </w:r>
    </w:p>
    <w:p w14:paraId="3783A616">
      <w:pPr>
        <w:adjustRightInd w:val="0"/>
        <w:snapToGrid w:val="0"/>
        <w:spacing w:before="156" w:beforeLines="50" w:line="360" w:lineRule="auto"/>
        <w:ind w:right="-109" w:rightChars="-5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（6）竞争性磋商响应文件有效期不足的；</w:t>
      </w:r>
      <w:r>
        <w:rPr>
          <w:rFonts w:hint="eastAsia" w:ascii="仿宋" w:hAnsi="仿宋" w:eastAsia="仿宋" w:cs="仿宋"/>
          <w:color w:val="000000" w:themeColor="text1"/>
          <w:sz w:val="24"/>
          <w:szCs w:val="24"/>
          <w14:textFill>
            <w14:solidFill>
              <w14:schemeClr w14:val="tx1"/>
            </w14:solidFill>
          </w14:textFill>
        </w:rPr>
        <w:tab/>
      </w:r>
    </w:p>
    <w:p w14:paraId="50875C4E">
      <w:pPr>
        <w:adjustRightInd w:val="0"/>
        <w:snapToGrid w:val="0"/>
        <w:spacing w:before="156" w:beforeLines="50" w:line="360" w:lineRule="auto"/>
        <w:ind w:right="-109" w:rightChars="-52"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（7）不符合法律、法规和</w:t>
      </w:r>
      <w:r>
        <w:rPr>
          <w:rFonts w:hint="eastAsia" w:ascii="仿宋" w:hAnsi="仿宋" w:eastAsia="仿宋" w:cs="仿宋"/>
          <w:bCs/>
          <w:color w:val="000000" w:themeColor="text1"/>
          <w:sz w:val="24"/>
          <w:szCs w:val="24"/>
          <w14:textFill>
            <w14:solidFill>
              <w14:schemeClr w14:val="tx1"/>
            </w14:solidFill>
          </w14:textFill>
        </w:rPr>
        <w:t>竞争性磋商文件</w:t>
      </w:r>
      <w:r>
        <w:rPr>
          <w:rFonts w:hint="eastAsia" w:ascii="仿宋" w:hAnsi="仿宋" w:eastAsia="仿宋" w:cs="仿宋"/>
          <w:color w:val="000000" w:themeColor="text1"/>
          <w:sz w:val="24"/>
          <w:szCs w:val="24"/>
          <w14:textFill>
            <w14:solidFill>
              <w14:schemeClr w14:val="tx1"/>
            </w14:solidFill>
          </w14:textFill>
        </w:rPr>
        <w:t>规定的。</w:t>
      </w:r>
    </w:p>
    <w:p w14:paraId="73ECECA8">
      <w:pPr>
        <w:adjustRightInd w:val="0"/>
        <w:snapToGrid w:val="0"/>
        <w:spacing w:before="156" w:beforeLines="50" w:line="360" w:lineRule="auto"/>
        <w:ind w:firstLine="470" w:firstLineChars="196"/>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bCs/>
          <w:color w:val="000000" w:themeColor="text1"/>
          <w:sz w:val="24"/>
          <w:szCs w:val="24"/>
          <w14:textFill>
            <w14:solidFill>
              <w14:schemeClr w14:val="tx1"/>
            </w14:solidFill>
          </w14:textFill>
        </w:rPr>
        <w:t>未按竞争性磋商文件要求提交资格证明文件；</w:t>
      </w:r>
    </w:p>
    <w:p w14:paraId="633FDE71">
      <w:pPr>
        <w:adjustRightInd w:val="0"/>
        <w:snapToGrid w:val="0"/>
        <w:spacing w:before="156" w:beforeLines="50" w:line="360" w:lineRule="auto"/>
        <w:ind w:firstLine="590" w:firstLineChars="246"/>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bCs/>
          <w:color w:val="000000" w:themeColor="text1"/>
          <w:sz w:val="24"/>
          <w:szCs w:val="24"/>
          <w14:textFill>
            <w14:solidFill>
              <w14:schemeClr w14:val="tx1"/>
            </w14:solidFill>
          </w14:textFill>
        </w:rPr>
        <w:t>提供的资格证明文件不符合竞争性磋商文件要求或提供虚假资格证明文件的；</w:t>
      </w:r>
    </w:p>
    <w:p w14:paraId="2445872B">
      <w:pPr>
        <w:adjustRightInd w:val="0"/>
        <w:snapToGrid w:val="0"/>
        <w:spacing w:before="156" w:beforeLines="50" w:line="360" w:lineRule="auto"/>
        <w:ind w:firstLine="470" w:firstLineChars="196"/>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r>
        <w:rPr>
          <w:rFonts w:hint="eastAsia" w:ascii="仿宋" w:hAnsi="仿宋" w:eastAsia="仿宋" w:cs="仿宋"/>
          <w:bCs/>
          <w:color w:val="000000" w:themeColor="text1"/>
          <w:sz w:val="24"/>
          <w:szCs w:val="24"/>
          <w14:textFill>
            <w14:solidFill>
              <w14:schemeClr w14:val="tx1"/>
            </w14:solidFill>
          </w14:textFill>
        </w:rPr>
        <w:t>资格证明文件未按竞争性磋商文件要求加盖供应商单位章、</w:t>
      </w:r>
      <w:r>
        <w:rPr>
          <w:rFonts w:hint="eastAsia" w:ascii="仿宋" w:hAnsi="仿宋" w:eastAsia="仿宋" w:cs="仿宋"/>
          <w:color w:val="000000" w:themeColor="text1"/>
          <w:sz w:val="24"/>
          <w:szCs w:val="24"/>
          <w14:textFill>
            <w14:solidFill>
              <w14:schemeClr w14:val="tx1"/>
            </w14:solidFill>
          </w14:textFill>
        </w:rPr>
        <w:t>签字</w:t>
      </w:r>
      <w:r>
        <w:rPr>
          <w:rFonts w:hint="eastAsia" w:ascii="仿宋" w:hAnsi="仿宋" w:eastAsia="仿宋" w:cs="仿宋"/>
          <w:bCs/>
          <w:color w:val="000000" w:themeColor="text1"/>
          <w:sz w:val="24"/>
          <w:szCs w:val="24"/>
          <w14:textFill>
            <w14:solidFill>
              <w14:schemeClr w14:val="tx1"/>
            </w14:solidFill>
          </w14:textFill>
        </w:rPr>
        <w:t>的；</w:t>
      </w:r>
    </w:p>
    <w:p w14:paraId="1A5F489A">
      <w:pPr>
        <w:adjustRightInd w:val="0"/>
        <w:snapToGrid w:val="0"/>
        <w:spacing w:before="156" w:beforeLines="50" w:line="360" w:lineRule="auto"/>
        <w:ind w:firstLine="470" w:firstLineChars="196"/>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r>
        <w:rPr>
          <w:rFonts w:hint="eastAsia" w:ascii="仿宋" w:hAnsi="仿宋" w:eastAsia="仿宋" w:cs="仿宋"/>
          <w:bCs/>
          <w:color w:val="000000" w:themeColor="text1"/>
          <w:sz w:val="24"/>
          <w:szCs w:val="24"/>
          <w14:textFill>
            <w14:solidFill>
              <w14:schemeClr w14:val="tx1"/>
            </w14:solidFill>
          </w14:textFill>
        </w:rPr>
        <w:t>资格证明文件过了有效期的或未按有关规定年审合格的。</w:t>
      </w:r>
    </w:p>
    <w:p w14:paraId="5470F677">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20.</w:t>
      </w:r>
      <w:r>
        <w:rPr>
          <w:rFonts w:hint="eastAsia" w:ascii="仿宋" w:hAnsi="仿宋" w:eastAsia="仿宋" w:cs="仿宋"/>
          <w:b/>
          <w:color w:val="000000" w:themeColor="text1"/>
          <w:sz w:val="24"/>
          <w:szCs w:val="24"/>
          <w14:textFill>
            <w14:solidFill>
              <w14:schemeClr w14:val="tx1"/>
            </w14:solidFill>
          </w14:textFill>
        </w:rPr>
        <w:t>竞争性磋商响应文件</w:t>
      </w:r>
      <w:r>
        <w:rPr>
          <w:rFonts w:hint="eastAsia" w:ascii="仿宋" w:hAnsi="仿宋" w:eastAsia="仿宋" w:cs="仿宋"/>
          <w:b/>
          <w:bCs/>
          <w:color w:val="000000" w:themeColor="text1"/>
          <w:sz w:val="24"/>
          <w:szCs w:val="24"/>
          <w14:textFill>
            <w14:solidFill>
              <w14:schemeClr w14:val="tx1"/>
            </w14:solidFill>
          </w14:textFill>
        </w:rPr>
        <w:t>的澄清</w:t>
      </w:r>
    </w:p>
    <w:p w14:paraId="0CAC07C1">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20.1</w:t>
      </w:r>
      <w:r>
        <w:rPr>
          <w:rFonts w:hint="eastAsia" w:ascii="仿宋" w:hAnsi="仿宋" w:eastAsia="仿宋" w:cs="仿宋"/>
          <w:b/>
          <w:color w:val="000000" w:themeColor="text1"/>
          <w:sz w:val="24"/>
          <w:szCs w:val="24"/>
          <w14:textFill>
            <w14:solidFill>
              <w14:schemeClr w14:val="tx1"/>
            </w14:solidFill>
          </w14:textFill>
        </w:rPr>
        <w:t>竞争性磋商小组</w:t>
      </w:r>
      <w:r>
        <w:rPr>
          <w:rFonts w:hint="eastAsia" w:ascii="仿宋" w:hAnsi="仿宋" w:eastAsia="仿宋" w:cs="仿宋"/>
          <w:color w:val="000000" w:themeColor="text1"/>
          <w:kern w:val="0"/>
          <w:sz w:val="24"/>
          <w:szCs w:val="24"/>
          <w:lang w:val="zh-CN"/>
          <w14:textFill>
            <w14:solidFill>
              <w14:schemeClr w14:val="tx1"/>
            </w14:solidFill>
          </w14:textFill>
        </w:rPr>
        <w:t>在对竞争性磋商响应文件的有效性、完整性和对</w:t>
      </w:r>
      <w:r>
        <w:rPr>
          <w:rFonts w:hint="eastAsia" w:ascii="仿宋" w:hAnsi="仿宋" w:eastAsia="仿宋" w:cs="仿宋"/>
          <w:bCs/>
          <w:color w:val="000000" w:themeColor="text1"/>
          <w:sz w:val="24"/>
          <w:szCs w:val="24"/>
          <w14:textFill>
            <w14:solidFill>
              <w14:schemeClr w14:val="tx1"/>
            </w14:solidFill>
          </w14:textFill>
        </w:rPr>
        <w:t>竞争性磋商文件</w:t>
      </w:r>
      <w:r>
        <w:rPr>
          <w:rFonts w:hint="eastAsia" w:ascii="仿宋" w:hAnsi="仿宋" w:eastAsia="仿宋" w:cs="仿宋"/>
          <w:color w:val="000000" w:themeColor="text1"/>
          <w:kern w:val="0"/>
          <w:sz w:val="24"/>
          <w:szCs w:val="24"/>
          <w:lang w:val="zh-CN"/>
          <w14:textFill>
            <w14:solidFill>
              <w14:schemeClr w14:val="tx1"/>
            </w14:solidFill>
          </w14:textFill>
        </w:rPr>
        <w:t>的响应程度进行审查时，可以要求供应商对竞争性磋商响应文件中含义不明</w:t>
      </w:r>
      <w:r>
        <w:rPr>
          <w:rFonts w:hint="eastAsia" w:ascii="仿宋" w:hAnsi="仿宋" w:eastAsia="仿宋" w:cs="仿宋"/>
          <w:bCs/>
          <w:color w:val="000000" w:themeColor="text1"/>
          <w:sz w:val="24"/>
          <w:szCs w:val="24"/>
          <w14:textFill>
            <w14:solidFill>
              <w14:schemeClr w14:val="tx1"/>
            </w14:solidFill>
          </w14:textFill>
        </w:rPr>
        <w:t>确</w:t>
      </w:r>
      <w:r>
        <w:rPr>
          <w:rFonts w:hint="eastAsia" w:ascii="仿宋" w:hAnsi="仿宋" w:eastAsia="仿宋" w:cs="仿宋"/>
          <w:color w:val="000000" w:themeColor="text1"/>
          <w:kern w:val="0"/>
          <w:sz w:val="24"/>
          <w:szCs w:val="24"/>
          <w:lang w:val="zh-CN"/>
          <w14:textFill>
            <w14:solidFill>
              <w14:schemeClr w14:val="tx1"/>
            </w14:solidFill>
          </w14:textFill>
        </w:rPr>
        <w:t>、同类问题表述不一致或者有明显文字和计算错误的内容等作出必要的澄清、说明或者纠正。该要求</w:t>
      </w:r>
      <w:r>
        <w:rPr>
          <w:rFonts w:hint="eastAsia" w:ascii="仿宋" w:hAnsi="仿宋" w:eastAsia="仿宋" w:cs="仿宋"/>
          <w:color w:val="000000" w:themeColor="text1"/>
          <w:sz w:val="24"/>
          <w:szCs w:val="24"/>
          <w14:textFill>
            <w14:solidFill>
              <w14:schemeClr w14:val="tx1"/>
            </w14:solidFill>
          </w14:textFill>
        </w:rPr>
        <w:t>应当以</w:t>
      </w:r>
      <w:r>
        <w:rPr>
          <w:rFonts w:hint="eastAsia" w:ascii="仿宋" w:hAnsi="仿宋" w:eastAsia="仿宋" w:cs="仿宋"/>
          <w:color w:val="000000" w:themeColor="text1"/>
          <w:kern w:val="0"/>
          <w:sz w:val="24"/>
          <w:szCs w:val="24"/>
          <w:lang w:val="zh-CN"/>
          <w14:textFill>
            <w14:solidFill>
              <w14:schemeClr w14:val="tx1"/>
            </w14:solidFill>
          </w14:textFill>
        </w:rPr>
        <w:t>书面形式作出。供应商的澄清、说明或者补正应当采用书面形式，由其</w:t>
      </w:r>
      <w:r>
        <w:rPr>
          <w:rFonts w:hint="eastAsia" w:ascii="仿宋" w:hAnsi="仿宋" w:eastAsia="仿宋" w:cs="仿宋"/>
          <w:color w:val="000000" w:themeColor="text1"/>
          <w:sz w:val="24"/>
          <w:szCs w:val="24"/>
          <w14:textFill>
            <w14:solidFill>
              <w14:schemeClr w14:val="tx1"/>
            </w14:solidFill>
          </w14:textFill>
        </w:rPr>
        <w:t>法定代表人或其委托代理人</w:t>
      </w:r>
      <w:r>
        <w:rPr>
          <w:rFonts w:hint="eastAsia" w:ascii="仿宋" w:hAnsi="仿宋" w:eastAsia="仿宋" w:cs="仿宋"/>
          <w:bCs/>
          <w:color w:val="000000" w:themeColor="text1"/>
          <w:sz w:val="24"/>
          <w:szCs w:val="24"/>
          <w14:textFill>
            <w14:solidFill>
              <w14:schemeClr w14:val="tx1"/>
            </w14:solidFill>
          </w14:textFill>
        </w:rPr>
        <w:t>签字</w:t>
      </w:r>
      <w:r>
        <w:rPr>
          <w:rFonts w:hint="eastAsia" w:ascii="仿宋" w:hAnsi="仿宋" w:eastAsia="仿宋" w:cs="仿宋"/>
          <w:color w:val="000000" w:themeColor="text1"/>
          <w:kern w:val="0"/>
          <w:sz w:val="24"/>
          <w:szCs w:val="24"/>
          <w:lang w:val="zh-CN"/>
          <w14:textFill>
            <w14:solidFill>
              <w14:schemeClr w14:val="tx1"/>
            </w14:solidFill>
          </w14:textFill>
        </w:rPr>
        <w:t>。供应商的澄清、说明或者更正不得超出</w:t>
      </w:r>
      <w:r>
        <w:rPr>
          <w:rFonts w:hint="eastAsia" w:ascii="仿宋" w:hAnsi="仿宋" w:eastAsia="仿宋" w:cs="仿宋"/>
          <w:bCs/>
          <w:color w:val="000000" w:themeColor="text1"/>
          <w:sz w:val="24"/>
          <w:szCs w:val="24"/>
          <w14:textFill>
            <w14:solidFill>
              <w14:schemeClr w14:val="tx1"/>
            </w14:solidFill>
          </w14:textFill>
        </w:rPr>
        <w:t>竞争性磋商文件</w:t>
      </w:r>
      <w:r>
        <w:rPr>
          <w:rFonts w:hint="eastAsia" w:ascii="仿宋" w:hAnsi="仿宋" w:eastAsia="仿宋" w:cs="仿宋"/>
          <w:color w:val="000000" w:themeColor="text1"/>
          <w:kern w:val="0"/>
          <w:sz w:val="24"/>
          <w:szCs w:val="24"/>
          <w:lang w:val="zh-CN"/>
          <w14:textFill>
            <w14:solidFill>
              <w14:schemeClr w14:val="tx1"/>
            </w14:solidFill>
          </w14:textFill>
        </w:rPr>
        <w:t>的范围或者改变竞争性磋商响应文件的实质性内容。</w:t>
      </w:r>
    </w:p>
    <w:p w14:paraId="3EB22665">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20.2</w:t>
      </w:r>
      <w:r>
        <w:rPr>
          <w:rFonts w:hint="eastAsia" w:ascii="仿宋" w:hAnsi="仿宋" w:eastAsia="仿宋" w:cs="仿宋"/>
          <w:color w:val="000000" w:themeColor="text1"/>
          <w:kern w:val="0"/>
          <w:sz w:val="24"/>
          <w:szCs w:val="24"/>
          <w:lang w:val="zh-CN"/>
          <w14:textFill>
            <w14:solidFill>
              <w14:schemeClr w14:val="tx1"/>
            </w14:solidFill>
          </w14:textFill>
        </w:rPr>
        <w:t>计算</w:t>
      </w:r>
      <w:r>
        <w:rPr>
          <w:rFonts w:hint="eastAsia" w:ascii="仿宋" w:hAnsi="仿宋" w:eastAsia="仿宋" w:cs="仿宋"/>
          <w:color w:val="000000" w:themeColor="text1"/>
          <w:sz w:val="24"/>
          <w:szCs w:val="24"/>
          <w14:textFill>
            <w14:solidFill>
              <w14:schemeClr w14:val="tx1"/>
            </w14:solidFill>
          </w14:textFill>
        </w:rPr>
        <w:t>错误修正的原则：单价与总价有出入,以单价为准；大、小写有出入，以大写为准；竞争性磋商响应文件正本与副本有出入，以正本为准。按上述原则修正的竞争性磋商响应文件，对供应商起约束作用，供应商不接受修正的，其竞争性磋商响应文件将被拒绝。</w:t>
      </w:r>
    </w:p>
    <w:p w14:paraId="5377BBC5">
      <w:pPr>
        <w:tabs>
          <w:tab w:val="left" w:pos="0"/>
        </w:tabs>
        <w:adjustRightInd w:val="0"/>
        <w:snapToGrid w:val="0"/>
        <w:spacing w:before="156" w:beforeLines="50"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20.3供应商应按</w:t>
      </w:r>
      <w:r>
        <w:rPr>
          <w:rFonts w:hint="eastAsia" w:ascii="仿宋" w:hAnsi="仿宋" w:eastAsia="仿宋" w:cs="仿宋"/>
          <w:bCs/>
          <w:color w:val="000000" w:themeColor="text1"/>
          <w:sz w:val="24"/>
          <w:szCs w:val="24"/>
          <w14:textFill>
            <w14:solidFill>
              <w14:schemeClr w14:val="tx1"/>
            </w14:solidFill>
          </w14:textFill>
        </w:rPr>
        <w:t>竞争性磋商小组</w:t>
      </w:r>
      <w:r>
        <w:rPr>
          <w:rFonts w:hint="eastAsia" w:ascii="仿宋" w:hAnsi="仿宋" w:eastAsia="仿宋" w:cs="仿宋"/>
          <w:color w:val="000000" w:themeColor="text1"/>
          <w:sz w:val="24"/>
          <w:szCs w:val="24"/>
          <w14:textFill>
            <w14:solidFill>
              <w14:schemeClr w14:val="tx1"/>
            </w14:solidFill>
          </w14:textFill>
        </w:rPr>
        <w:t>通知的时间、地点，指派专人进行</w:t>
      </w:r>
      <w:r>
        <w:rPr>
          <w:rFonts w:hint="eastAsia" w:ascii="仿宋" w:hAnsi="仿宋" w:eastAsia="仿宋" w:cs="仿宋"/>
          <w:color w:val="000000" w:themeColor="text1"/>
          <w:kern w:val="0"/>
          <w:sz w:val="24"/>
          <w:szCs w:val="24"/>
          <w:lang w:val="zh-CN"/>
          <w14:textFill>
            <w14:solidFill>
              <w14:schemeClr w14:val="tx1"/>
            </w14:solidFill>
          </w14:textFill>
        </w:rPr>
        <w:t>澄清、说明或者补正</w:t>
      </w:r>
      <w:r>
        <w:rPr>
          <w:rFonts w:hint="eastAsia" w:ascii="仿宋" w:hAnsi="仿宋" w:eastAsia="仿宋" w:cs="仿宋"/>
          <w:color w:val="000000" w:themeColor="text1"/>
          <w:sz w:val="24"/>
          <w:szCs w:val="24"/>
          <w14:textFill>
            <w14:solidFill>
              <w14:schemeClr w14:val="tx1"/>
            </w14:solidFill>
          </w14:textFill>
        </w:rPr>
        <w:t>。</w:t>
      </w:r>
    </w:p>
    <w:p w14:paraId="336B4E8E">
      <w:pPr>
        <w:tabs>
          <w:tab w:val="left" w:pos="0"/>
        </w:tabs>
        <w:adjustRightInd w:val="0"/>
        <w:snapToGrid w:val="0"/>
        <w:spacing w:before="156" w:beforeLines="50" w:line="360" w:lineRule="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w:t>
      </w:r>
      <w:r>
        <w:rPr>
          <w:rFonts w:hint="eastAsia" w:ascii="仿宋" w:hAnsi="仿宋" w:eastAsia="仿宋" w:cs="仿宋"/>
          <w:b/>
          <w:bCs/>
          <w:color w:val="000000" w:themeColor="text1"/>
          <w:kern w:val="0"/>
          <w:sz w:val="24"/>
          <w:szCs w:val="24"/>
          <w14:textFill>
            <w14:solidFill>
              <w14:schemeClr w14:val="tx1"/>
            </w14:solidFill>
          </w14:textFill>
        </w:rPr>
        <w:t>供应商有下列情形之一的,不得成为成交供应商:</w:t>
      </w:r>
    </w:p>
    <w:p w14:paraId="36B17D32">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（1）竞争性磋商响应文件中提供虚假材料或虚假承诺的；</w:t>
      </w:r>
    </w:p>
    <w:p w14:paraId="521CB850">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（2）法律法规和竞争性磋商文件规定的其他情形的。</w:t>
      </w:r>
    </w:p>
    <w:p w14:paraId="32D7A40A">
      <w:pPr>
        <w:adjustRightInd w:val="0"/>
        <w:snapToGrid w:val="0"/>
        <w:spacing w:before="156" w:beforeLines="50" w:line="360" w:lineRule="auto"/>
        <w:ind w:left="723" w:hanging="723"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22.竞争性磋商终止</w:t>
      </w:r>
    </w:p>
    <w:p w14:paraId="15BCD858">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22.1 竞争性磋商磋商时，出现下列情况之一，本次竞争性磋商终止：</w:t>
      </w:r>
    </w:p>
    <w:p w14:paraId="08C4711A">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（1）出现影响采购公正的违法、违规行为的；</w:t>
      </w:r>
    </w:p>
    <w:p w14:paraId="7333B0B5">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（2）投标供应商的报价均超过了招标控制价，采购人不能支付的；</w:t>
      </w:r>
    </w:p>
    <w:p w14:paraId="210F0DC9">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（3）因重大变故，采购任务取消的。</w:t>
      </w:r>
    </w:p>
    <w:p w14:paraId="59909F93">
      <w:pPr>
        <w:tabs>
          <w:tab w:val="left" w:pos="0"/>
        </w:tabs>
        <w:adjustRightInd w:val="0"/>
        <w:snapToGrid w:val="0"/>
        <w:spacing w:before="156" w:beforeLines="50"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22.2 </w:t>
      </w:r>
      <w:r>
        <w:rPr>
          <w:rFonts w:hint="eastAsia" w:ascii="仿宋" w:hAnsi="仿宋" w:eastAsia="仿宋" w:cs="仿宋"/>
          <w:b/>
          <w:color w:val="000000" w:themeColor="text1"/>
          <w:sz w:val="24"/>
          <w:szCs w:val="24"/>
          <w14:textFill>
            <w14:solidFill>
              <w14:schemeClr w14:val="tx1"/>
            </w14:solidFill>
          </w14:textFill>
        </w:rPr>
        <w:t>竞争性磋商小组</w:t>
      </w:r>
      <w:r>
        <w:rPr>
          <w:rFonts w:hint="eastAsia" w:ascii="仿宋" w:hAnsi="仿宋" w:eastAsia="仿宋" w:cs="仿宋"/>
          <w:bCs/>
          <w:color w:val="000000" w:themeColor="text1"/>
          <w:sz w:val="24"/>
          <w:szCs w:val="24"/>
          <w14:textFill>
            <w14:solidFill>
              <w14:schemeClr w14:val="tx1"/>
            </w14:solidFill>
          </w14:textFill>
        </w:rPr>
        <w:t>应将竞争性磋商终止理由通知所有参与竞争性磋商的供应商。</w:t>
      </w:r>
    </w:p>
    <w:p w14:paraId="1C46B627">
      <w:pPr>
        <w:spacing w:line="360" w:lineRule="auto"/>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 保密要求</w:t>
      </w:r>
    </w:p>
    <w:p w14:paraId="5FC6B149">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23.1竞争性磋商小组以及与评审工作有关的人员对评审情况以及评审过程中获悉的国家秘密、商业秘密应当保密。</w:t>
      </w:r>
    </w:p>
    <w:p w14:paraId="648C236C">
      <w:pPr>
        <w:adjustRightInd w:val="0"/>
        <w:snapToGrid w:val="0"/>
        <w:spacing w:before="156" w:beforeLines="5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六、成交结果信息公布与供应商质疑</w:t>
      </w:r>
    </w:p>
    <w:p w14:paraId="6F37C145">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24.成交信息的公布</w:t>
      </w:r>
    </w:p>
    <w:p w14:paraId="48FE6881">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24.1 竞争性磋商结束后，成交结果信息将在</w:t>
      </w:r>
      <w:r>
        <w:rPr>
          <w:rFonts w:hint="eastAsia" w:ascii="仿宋" w:hAnsi="仿宋" w:eastAsia="仿宋" w:cs="仿宋"/>
          <w:b/>
          <w:bCs/>
          <w:color w:val="000000" w:themeColor="text1"/>
          <w:sz w:val="24"/>
          <w:szCs w:val="24"/>
          <w14:textFill>
            <w14:solidFill>
              <w14:schemeClr w14:val="tx1"/>
            </w14:solidFill>
          </w14:textFill>
        </w:rPr>
        <w:t>新疆政府采购网</w:t>
      </w:r>
      <w:r>
        <w:rPr>
          <w:rFonts w:hint="eastAsia" w:ascii="仿宋" w:hAnsi="仿宋" w:eastAsia="仿宋" w:cs="仿宋"/>
          <w:b/>
          <w:bCs/>
          <w:color w:val="000000" w:themeColor="text1"/>
          <w:sz w:val="24"/>
          <w:szCs w:val="24"/>
          <w:lang w:eastAsia="zh-CN"/>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阿瓦提县人民政府网</w:t>
      </w:r>
      <w:r>
        <w:rPr>
          <w:rFonts w:hint="eastAsia" w:ascii="仿宋" w:hAnsi="仿宋" w:eastAsia="仿宋" w:cs="仿宋"/>
          <w:color w:val="000000" w:themeColor="text1"/>
          <w:sz w:val="24"/>
          <w:szCs w:val="24"/>
          <w14:textFill>
            <w14:solidFill>
              <w14:schemeClr w14:val="tx1"/>
            </w14:solidFill>
          </w14:textFill>
        </w:rPr>
        <w:t>上公布。</w:t>
      </w:r>
    </w:p>
    <w:p w14:paraId="62FC0131">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25.询问及质疑</w:t>
      </w:r>
    </w:p>
    <w:p w14:paraId="78C696F4">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25.1供应商对政府采购活动事项有疑问的，可以向采购人或采购代理机构提出询问（地址详见第二章）。采购人或采购代理机构将在七个工作日内作出答复。</w:t>
      </w:r>
    </w:p>
    <w:p w14:paraId="759A0CE4">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25.2供应商若认为竞争性磋商文件、采购过程和成交结果使自己的权益受到损害，应当在下列时间内以书面形式向采购人或采购代理机构提出：</w:t>
      </w:r>
    </w:p>
    <w:p w14:paraId="31ED8994">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（1）关于竞争性磋商文件的质疑，应在</w:t>
      </w:r>
      <w:r>
        <w:rPr>
          <w:rFonts w:hint="eastAsia" w:ascii="仿宋" w:hAnsi="仿宋" w:eastAsia="仿宋" w:cs="仿宋"/>
          <w:color w:val="000000" w:themeColor="text1"/>
          <w:kern w:val="0"/>
          <w:sz w:val="24"/>
          <w:szCs w:val="24"/>
          <w14:textFill>
            <w14:solidFill>
              <w14:schemeClr w14:val="tx1"/>
            </w14:solidFill>
          </w14:textFill>
        </w:rPr>
        <w:t>领取竞争性磋商文件之日起7个工作日内提出</w:t>
      </w:r>
      <w:r>
        <w:rPr>
          <w:rFonts w:hint="eastAsia" w:ascii="仿宋" w:hAnsi="仿宋" w:eastAsia="仿宋" w:cs="仿宋"/>
          <w:color w:val="000000" w:themeColor="text1"/>
          <w:kern w:val="0"/>
          <w:sz w:val="24"/>
          <w:szCs w:val="24"/>
          <w:lang w:val="zh-CN"/>
          <w14:textFill>
            <w14:solidFill>
              <w14:schemeClr w14:val="tx1"/>
            </w14:solidFill>
          </w14:textFill>
        </w:rPr>
        <w:t>。</w:t>
      </w:r>
    </w:p>
    <w:p w14:paraId="00C3CB43">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（2）关于采购过程的质疑，应在采购程序环节结束之日起七个工作日内提出。</w:t>
      </w:r>
    </w:p>
    <w:p w14:paraId="72596A4E">
      <w:pPr>
        <w:autoSpaceDE w:val="0"/>
        <w:autoSpaceDN w:val="0"/>
        <w:adjustRightInd w:val="0"/>
        <w:snapToGrid w:val="0"/>
        <w:spacing w:before="156" w:beforeLines="50" w:line="360" w:lineRule="auto"/>
        <w:ind w:firstLine="480" w:firstLineChars="200"/>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（3）关于成交结果的质疑，应在成交结果信息发布</w:t>
      </w:r>
      <w:r>
        <w:rPr>
          <w:rFonts w:hint="eastAsia" w:ascii="仿宋" w:hAnsi="仿宋" w:eastAsia="仿宋" w:cs="仿宋"/>
          <w:color w:val="000000" w:themeColor="text1"/>
          <w:kern w:val="0"/>
          <w:sz w:val="24"/>
          <w:szCs w:val="24"/>
          <w14:textFill>
            <w14:solidFill>
              <w14:schemeClr w14:val="tx1"/>
            </w14:solidFill>
          </w14:textFill>
        </w:rPr>
        <w:t>之日起</w:t>
      </w:r>
      <w:r>
        <w:rPr>
          <w:rFonts w:hint="eastAsia" w:ascii="仿宋" w:hAnsi="仿宋" w:eastAsia="仿宋" w:cs="仿宋"/>
          <w:color w:val="000000" w:themeColor="text1"/>
          <w:kern w:val="0"/>
          <w:sz w:val="24"/>
          <w:szCs w:val="24"/>
          <w:lang w:val="zh-CN"/>
          <w14:textFill>
            <w14:solidFill>
              <w14:schemeClr w14:val="tx1"/>
            </w14:solidFill>
          </w14:textFill>
        </w:rPr>
        <w:t>七个工作日内提出。</w:t>
      </w:r>
    </w:p>
    <w:p w14:paraId="6B502F8A">
      <w:pPr>
        <w:autoSpaceDE w:val="0"/>
        <w:autoSpaceDN w:val="0"/>
        <w:adjustRightInd w:val="0"/>
        <w:snapToGrid w:val="0"/>
        <w:spacing w:before="156" w:beforeLines="50" w:line="360" w:lineRule="auto"/>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25.3 供应商提出质疑的，应当提供质疑书原件。采购人向质疑供应商签收回执。</w:t>
      </w:r>
    </w:p>
    <w:p w14:paraId="7E3CBA97">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25.4 质疑书应当包括下列内容：</w:t>
      </w:r>
    </w:p>
    <w:p w14:paraId="7ACF1DA0">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（1）质疑供应商的名称、地址及有效联系方式；</w:t>
      </w:r>
    </w:p>
    <w:p w14:paraId="76B07D2E">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（2）质疑事项；</w:t>
      </w:r>
    </w:p>
    <w:p w14:paraId="6BBF49DD">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（3）事实依据及相关证明材料；</w:t>
      </w:r>
    </w:p>
    <w:p w14:paraId="2481A2BD">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（4）相关请求及主张。</w:t>
      </w:r>
    </w:p>
    <w:p w14:paraId="1C4D0574">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25.5 质疑书应当由质疑供应商法定代表人或授权代表人签字并加盖公章，质疑书由授权代表人签字的应附法定代表人授权书。</w:t>
      </w:r>
    </w:p>
    <w:p w14:paraId="51D6EFFB">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25.6 采购人或采购代理机构将在签收回执之日起七个工作日内作出书面答复，并以书面形式通知与质疑处理结果有关的供应商。</w:t>
      </w:r>
    </w:p>
    <w:p w14:paraId="3DC15CE8">
      <w:pPr>
        <w:adjustRightInd w:val="0"/>
        <w:snapToGrid w:val="0"/>
        <w:spacing w:before="156" w:beforeLines="50"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25.7供应商对采购人或采购代理机构无正当理由拒绝受理质疑的，可书面向政府采购监管部门反映情况；供应商对采购人或采购代理机构的答复不满意，或采购人或采购代理机构未在规定的期限作出答复的，可在答复期满后十五个工作日内，按政府采购相关法律法规规章的规定及程序提出投诉。</w:t>
      </w:r>
    </w:p>
    <w:p w14:paraId="3E15F943">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26.成交通知</w:t>
      </w:r>
    </w:p>
    <w:p w14:paraId="6C085608">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26.1 成交供应商确定后，采购代理机构将以书面形式向成交供应商发出成交通知书。成交通知书对采购人和成交供应商具有同等法律效力。</w:t>
      </w:r>
    </w:p>
    <w:p w14:paraId="16D950D1">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26.2 成交通知书是合同文件的组成部分。</w:t>
      </w:r>
    </w:p>
    <w:p w14:paraId="29FE2896">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26.3</w:t>
      </w:r>
      <w:r>
        <w:rPr>
          <w:rFonts w:hint="eastAsia" w:ascii="仿宋" w:hAnsi="仿宋" w:eastAsia="仿宋" w:cs="仿宋"/>
          <w:color w:val="000000" w:themeColor="text1"/>
          <w:sz w:val="24"/>
          <w:szCs w:val="24"/>
          <w14:textFill>
            <w14:solidFill>
              <w14:schemeClr w14:val="tx1"/>
            </w14:solidFill>
          </w14:textFill>
        </w:rPr>
        <w:t>成交供应商在收到采购代理机构的成交通知书后十日内，应按照</w:t>
      </w:r>
      <w:r>
        <w:rPr>
          <w:rFonts w:hint="eastAsia" w:ascii="仿宋" w:hAnsi="仿宋" w:eastAsia="仿宋" w:cs="仿宋"/>
          <w:b/>
          <w:color w:val="000000" w:themeColor="text1"/>
          <w:sz w:val="24"/>
          <w:szCs w:val="24"/>
          <w14:textFill>
            <w14:solidFill>
              <w14:schemeClr w14:val="tx1"/>
            </w14:solidFill>
          </w14:textFill>
        </w:rPr>
        <w:t>供应商须知前附表</w:t>
      </w:r>
      <w:r>
        <w:rPr>
          <w:rFonts w:hint="eastAsia" w:ascii="仿宋" w:hAnsi="仿宋" w:eastAsia="仿宋" w:cs="仿宋"/>
          <w:color w:val="000000" w:themeColor="text1"/>
          <w:sz w:val="24"/>
          <w:szCs w:val="24"/>
          <w14:textFill>
            <w14:solidFill>
              <w14:schemeClr w14:val="tx1"/>
            </w14:solidFill>
          </w14:textFill>
        </w:rPr>
        <w:t>的规定，向采购人提交履约保证金，没有提交履约保证金的，</w:t>
      </w:r>
      <w:r>
        <w:rPr>
          <w:rFonts w:hint="eastAsia" w:ascii="仿宋" w:hAnsi="仿宋" w:eastAsia="仿宋" w:cs="仿宋"/>
          <w:color w:val="000000" w:themeColor="text1"/>
          <w:spacing w:val="4"/>
          <w:sz w:val="24"/>
          <w:szCs w:val="24"/>
          <w14:textFill>
            <w14:solidFill>
              <w14:schemeClr w14:val="tx1"/>
            </w14:solidFill>
          </w14:textFill>
        </w:rPr>
        <w:t>视为放弃</w:t>
      </w:r>
      <w:r>
        <w:rPr>
          <w:rFonts w:hint="eastAsia" w:ascii="仿宋" w:hAnsi="仿宋" w:eastAsia="仿宋" w:cs="仿宋"/>
          <w:color w:val="000000" w:themeColor="text1"/>
          <w:sz w:val="24"/>
          <w:szCs w:val="24"/>
          <w14:textFill>
            <w14:solidFill>
              <w14:schemeClr w14:val="tx1"/>
            </w14:solidFill>
          </w14:textFill>
        </w:rPr>
        <w:t>成交</w:t>
      </w:r>
      <w:r>
        <w:rPr>
          <w:rFonts w:hint="eastAsia" w:ascii="仿宋" w:hAnsi="仿宋" w:eastAsia="仿宋" w:cs="仿宋"/>
          <w:color w:val="000000" w:themeColor="text1"/>
          <w:spacing w:val="4"/>
          <w:sz w:val="24"/>
          <w:szCs w:val="24"/>
          <w14:textFill>
            <w14:solidFill>
              <w14:schemeClr w14:val="tx1"/>
            </w14:solidFill>
          </w14:textFill>
        </w:rPr>
        <w:t>，</w:t>
      </w:r>
      <w:r>
        <w:rPr>
          <w:rFonts w:hint="eastAsia" w:ascii="仿宋" w:hAnsi="仿宋" w:eastAsia="仿宋" w:cs="仿宋"/>
          <w:color w:val="000000" w:themeColor="text1"/>
          <w:spacing w:val="2"/>
          <w:sz w:val="24"/>
          <w:szCs w:val="24"/>
          <w14:textFill>
            <w14:solidFill>
              <w14:schemeClr w14:val="tx1"/>
            </w14:solidFill>
          </w14:textFill>
        </w:rPr>
        <w:t>其保证金不予退还。</w:t>
      </w:r>
    </w:p>
    <w:p w14:paraId="1667C0FC">
      <w:pPr>
        <w:adjustRightInd w:val="0"/>
        <w:snapToGrid w:val="0"/>
        <w:spacing w:before="156" w:beforeLines="50"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27.签订</w:t>
      </w:r>
      <w:r>
        <w:rPr>
          <w:rFonts w:hint="eastAsia" w:ascii="仿宋" w:hAnsi="仿宋" w:eastAsia="仿宋" w:cs="仿宋"/>
          <w:b/>
          <w:color w:val="000000" w:themeColor="text1"/>
          <w:sz w:val="24"/>
          <w:szCs w:val="24"/>
          <w14:textFill>
            <w14:solidFill>
              <w14:schemeClr w14:val="tx1"/>
            </w14:solidFill>
          </w14:textFill>
        </w:rPr>
        <w:t>政府采购</w:t>
      </w:r>
      <w:r>
        <w:rPr>
          <w:rFonts w:hint="eastAsia" w:ascii="仿宋" w:hAnsi="仿宋" w:eastAsia="仿宋" w:cs="仿宋"/>
          <w:b/>
          <w:bCs/>
          <w:color w:val="000000" w:themeColor="text1"/>
          <w:sz w:val="24"/>
          <w:szCs w:val="24"/>
          <w14:textFill>
            <w14:solidFill>
              <w14:schemeClr w14:val="tx1"/>
            </w14:solidFill>
          </w14:textFill>
        </w:rPr>
        <w:t>合同</w:t>
      </w:r>
    </w:p>
    <w:p w14:paraId="256349C2">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27.1 竞争性磋商文件、成交供应商的竞争性磋商响应文件等均为签订政府采购合同的依据。</w:t>
      </w:r>
    </w:p>
    <w:p w14:paraId="6D115285">
      <w:pPr>
        <w:adjustRightInd w:val="0"/>
        <w:snapToGrid w:val="0"/>
        <w:spacing w:before="156" w:beforeLines="50" w:line="360" w:lineRule="auto"/>
        <w:ind w:firstLine="480" w:firstLineChars="200"/>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27.2 成交供应商应当在成交通知书发出之日起三十日内与采购人签定政府采购合同。</w:t>
      </w:r>
    </w:p>
    <w:p w14:paraId="4C979740">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27.3 成交供应商应当按照政府采购合同约定履行义务。成交供应商不得向他人转让成交项目，也不得将成交项目分包后分别向他人转让。</w:t>
      </w:r>
    </w:p>
    <w:p w14:paraId="6E92517B">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27.4政府采购合同履行中，采购人需追加与合同标的相同的货物服务的，在不改变合同其他条款的前提下，可以与成交供应商协商签订补充合同，但所有补充合同的采购金额不得超过原合同采购金额的百分之十。</w:t>
      </w:r>
    </w:p>
    <w:p w14:paraId="7E4CD6B6">
      <w:pPr>
        <w:adjustRightInd w:val="0"/>
        <w:snapToGrid w:val="0"/>
        <w:spacing w:before="156" w:beforeLines="5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七、责任承担</w:t>
      </w:r>
    </w:p>
    <w:p w14:paraId="64D60E35">
      <w:pPr>
        <w:adjustRightInd w:val="0"/>
        <w:snapToGrid w:val="0"/>
        <w:spacing w:before="156" w:beforeLines="50" w:line="360" w:lineRule="auto"/>
        <w:ind w:firstLine="470" w:firstLineChars="19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28.1在政府采购活动中，供应商需承担的相应责任及违规处理，按照《政府采购法》、《采购法实施条例》、《政府采购竞争性磋商采购方式管理暂行办法》的规定执行。</w:t>
      </w:r>
    </w:p>
    <w:p w14:paraId="02EBFE78">
      <w:pPr>
        <w:adjustRightInd w:val="0"/>
        <w:snapToGrid w:val="0"/>
        <w:spacing w:before="156" w:beforeLines="50" w:line="360" w:lineRule="auto"/>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八、其他规定</w:t>
      </w:r>
    </w:p>
    <w:p w14:paraId="328DF4B2">
      <w:pPr>
        <w:tabs>
          <w:tab w:val="left" w:pos="420"/>
          <w:tab w:val="left" w:pos="7560"/>
          <w:tab w:val="left" w:pos="7740"/>
          <w:tab w:val="left" w:pos="7920"/>
        </w:tabs>
        <w:adjustRightInd w:val="0"/>
        <w:snapToGrid w:val="0"/>
        <w:spacing w:before="156" w:beforeLines="50"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29.1竞争性磋商文件的其他规定见供应商须知前附表。</w:t>
      </w:r>
      <w:bookmarkEnd w:id="36"/>
      <w:bookmarkEnd w:id="38"/>
    </w:p>
    <w:p w14:paraId="052B545F">
      <w:pPr>
        <w:spacing w:line="276" w:lineRule="auto"/>
        <w:jc w:val="center"/>
        <w:outlineLvl w:val="0"/>
        <w:rPr>
          <w:rFonts w:hint="eastAsia" w:ascii="仿宋" w:hAnsi="仿宋" w:eastAsia="仿宋" w:cs="仿宋"/>
          <w:b/>
          <w:bCs/>
          <w:color w:val="000000" w:themeColor="text1"/>
          <w:sz w:val="24"/>
          <w:szCs w:val="24"/>
          <w14:textFill>
            <w14:solidFill>
              <w14:schemeClr w14:val="tx1"/>
            </w14:solidFill>
          </w14:textFill>
        </w:rPr>
        <w:sectPr>
          <w:pgSz w:w="11906" w:h="16838"/>
          <w:pgMar w:top="1440" w:right="1706" w:bottom="1440" w:left="1800" w:header="851" w:footer="992" w:gutter="0"/>
          <w:cols w:space="720" w:num="1"/>
          <w:docGrid w:type="lines" w:linePitch="312" w:charSpace="0"/>
        </w:sectPr>
      </w:pPr>
    </w:p>
    <w:p w14:paraId="6046478E">
      <w:pPr>
        <w:spacing w:line="276" w:lineRule="auto"/>
        <w:jc w:val="center"/>
        <w:outlineLvl w:val="0"/>
        <w:rPr>
          <w:rFonts w:hint="eastAsia" w:ascii="仿宋" w:hAnsi="仿宋" w:eastAsia="仿宋" w:cs="仿宋"/>
          <w:b/>
          <w:color w:val="000000" w:themeColor="text1"/>
          <w:sz w:val="36"/>
          <w:szCs w:val="36"/>
          <w14:textFill>
            <w14:solidFill>
              <w14:schemeClr w14:val="tx1"/>
            </w14:solidFill>
          </w14:textFill>
        </w:rPr>
      </w:pPr>
      <w:bookmarkStart w:id="39" w:name="_Toc5792"/>
      <w:r>
        <w:rPr>
          <w:rFonts w:hint="eastAsia" w:ascii="仿宋" w:hAnsi="仿宋" w:eastAsia="仿宋" w:cs="仿宋"/>
          <w:b/>
          <w:color w:val="000000" w:themeColor="text1"/>
          <w:sz w:val="36"/>
          <w:szCs w:val="36"/>
          <w14:textFill>
            <w14:solidFill>
              <w14:schemeClr w14:val="tx1"/>
            </w14:solidFill>
          </w14:textFill>
        </w:rPr>
        <w:t>第七章  响应文件格式</w:t>
      </w:r>
      <w:bookmarkEnd w:id="39"/>
    </w:p>
    <w:p w14:paraId="0333FC3D">
      <w:pPr>
        <w:jc w:val="left"/>
        <w:rPr>
          <w:rFonts w:hint="eastAsia" w:ascii="仿宋" w:hAnsi="仿宋" w:eastAsia="仿宋" w:cs="仿宋"/>
          <w:b/>
          <w:bCs/>
          <w:color w:val="000000" w:themeColor="text1"/>
          <w:sz w:val="24"/>
          <w:szCs w:val="24"/>
          <w14:textFill>
            <w14:solidFill>
              <w14:schemeClr w14:val="tx1"/>
            </w14:solidFill>
          </w14:textFill>
        </w:rPr>
      </w:pPr>
      <w:bookmarkStart w:id="40" w:name="_Toc3598"/>
      <w:bookmarkStart w:id="41" w:name="_Toc11240"/>
    </w:p>
    <w:p w14:paraId="7C6067FA">
      <w:pPr>
        <w:jc w:val="left"/>
        <w:rPr>
          <w:rFonts w:hint="eastAsia" w:ascii="仿宋" w:hAnsi="仿宋" w:eastAsia="仿宋" w:cs="仿宋"/>
          <w:b/>
          <w:bCs/>
          <w:color w:val="000000" w:themeColor="text1"/>
          <w:sz w:val="24"/>
          <w:szCs w:val="24"/>
          <w14:textFill>
            <w14:solidFill>
              <w14:schemeClr w14:val="tx1"/>
            </w14:solidFill>
          </w14:textFill>
        </w:rPr>
      </w:pPr>
    </w:p>
    <w:p w14:paraId="1981EE64">
      <w:pPr>
        <w:jc w:val="left"/>
        <w:rPr>
          <w:rFonts w:hint="eastAsia" w:ascii="仿宋" w:hAnsi="仿宋" w:eastAsia="仿宋" w:cs="仿宋"/>
          <w:b/>
          <w:bCs/>
          <w:color w:val="000000" w:themeColor="text1"/>
          <w:sz w:val="24"/>
          <w:szCs w:val="24"/>
          <w14:textFill>
            <w14:solidFill>
              <w14:schemeClr w14:val="tx1"/>
            </w14:solidFill>
          </w14:textFill>
        </w:rPr>
      </w:pPr>
      <w:bookmarkStart w:id="42" w:name="_Toc15083"/>
      <w:bookmarkStart w:id="43" w:name="_Toc2191"/>
      <w:r>
        <w:rPr>
          <w:rFonts w:hint="eastAsia" w:ascii="仿宋" w:hAnsi="仿宋" w:eastAsia="仿宋" w:cs="仿宋"/>
          <w:b/>
          <w:bCs/>
          <w:color w:val="000000" w:themeColor="text1"/>
          <w:sz w:val="24"/>
          <w:szCs w:val="24"/>
          <w14:textFill>
            <w14:solidFill>
              <w14:schemeClr w14:val="tx1"/>
            </w14:solidFill>
          </w14:textFill>
        </w:rPr>
        <w:t>正本/副本</w:t>
      </w:r>
      <w:bookmarkEnd w:id="40"/>
      <w:bookmarkEnd w:id="41"/>
      <w:bookmarkEnd w:id="42"/>
      <w:bookmarkEnd w:id="43"/>
    </w:p>
    <w:p w14:paraId="28A33398">
      <w:pPr>
        <w:spacing w:after="96" w:afterLines="40"/>
        <w:jc w:val="left"/>
        <w:rPr>
          <w:rFonts w:hint="eastAsia" w:ascii="仿宋" w:hAnsi="仿宋" w:eastAsia="仿宋" w:cs="仿宋"/>
          <w:color w:val="000000" w:themeColor="text1"/>
          <w:sz w:val="24"/>
          <w:szCs w:val="24"/>
          <w:u w:val="single"/>
          <w14:textFill>
            <w14:solidFill>
              <w14:schemeClr w14:val="tx1"/>
            </w14:solidFill>
          </w14:textFill>
        </w:rPr>
      </w:pPr>
    </w:p>
    <w:p w14:paraId="17FF09B7">
      <w:pPr>
        <w:spacing w:after="96" w:afterLines="40"/>
        <w:jc w:val="center"/>
        <w:rPr>
          <w:rFonts w:hint="eastAsia" w:ascii="仿宋" w:hAnsi="仿宋" w:eastAsia="仿宋" w:cs="仿宋"/>
          <w:color w:val="000000" w:themeColor="text1"/>
          <w:sz w:val="24"/>
          <w:szCs w:val="24"/>
          <w:u w:val="single"/>
          <w14:textFill>
            <w14:solidFill>
              <w14:schemeClr w14:val="tx1"/>
            </w14:solidFill>
          </w14:textFill>
        </w:rPr>
      </w:pPr>
    </w:p>
    <w:p w14:paraId="2E246D80">
      <w:pPr>
        <w:pStyle w:val="25"/>
        <w:spacing w:after="120"/>
        <w:rPr>
          <w:rFonts w:hint="eastAsia" w:ascii="仿宋" w:hAnsi="仿宋" w:eastAsia="仿宋" w:cs="仿宋"/>
          <w:color w:val="000000" w:themeColor="text1"/>
          <w14:textFill>
            <w14:solidFill>
              <w14:schemeClr w14:val="tx1"/>
            </w14:solidFill>
          </w14:textFill>
        </w:rPr>
      </w:pPr>
    </w:p>
    <w:p w14:paraId="46898DEF">
      <w:pPr>
        <w:pStyle w:val="25"/>
        <w:spacing w:after="120"/>
        <w:rPr>
          <w:rFonts w:hint="eastAsia" w:ascii="仿宋" w:hAnsi="仿宋" w:eastAsia="仿宋" w:cs="仿宋"/>
          <w:color w:val="000000" w:themeColor="text1"/>
          <w14:textFill>
            <w14:solidFill>
              <w14:schemeClr w14:val="tx1"/>
            </w14:solidFill>
          </w14:textFill>
        </w:rPr>
      </w:pPr>
    </w:p>
    <w:p w14:paraId="2616D9C6">
      <w:pPr>
        <w:spacing w:after="96" w:afterLines="4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w:t>
      </w:r>
      <w:bookmarkStart w:id="44" w:name="_Toc3932"/>
      <w:bookmarkStart w:id="45" w:name="_Toc14044"/>
      <w:bookmarkStart w:id="46" w:name="_Toc18133"/>
      <w:bookmarkStart w:id="47" w:name="_Toc11882"/>
      <w:r>
        <w:rPr>
          <w:rFonts w:hint="eastAsia" w:ascii="仿宋" w:hAnsi="仿宋" w:eastAsia="仿宋" w:cs="仿宋"/>
          <w:color w:val="000000" w:themeColor="text1"/>
          <w:sz w:val="24"/>
          <w:szCs w:val="24"/>
          <w:u w:val="single"/>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项目名称）</w:t>
      </w:r>
      <w:bookmarkEnd w:id="44"/>
      <w:bookmarkEnd w:id="45"/>
      <w:bookmarkEnd w:id="46"/>
      <w:bookmarkEnd w:id="47"/>
    </w:p>
    <w:p w14:paraId="55AD5380">
      <w:pPr>
        <w:jc w:val="center"/>
        <w:rPr>
          <w:rFonts w:hint="eastAsia" w:ascii="仿宋" w:hAnsi="仿宋" w:eastAsia="仿宋" w:cs="仿宋"/>
          <w:color w:val="000000" w:themeColor="text1"/>
          <w:sz w:val="24"/>
          <w:szCs w:val="24"/>
          <w14:textFill>
            <w14:solidFill>
              <w14:schemeClr w14:val="tx1"/>
            </w14:solidFill>
          </w14:textFill>
        </w:rPr>
      </w:pPr>
      <w:bookmarkStart w:id="48" w:name="_Toc11004"/>
      <w:bookmarkStart w:id="49" w:name="_Toc17914"/>
      <w:bookmarkStart w:id="50" w:name="_Toc24416"/>
      <w:bookmarkStart w:id="51" w:name="_Toc13135"/>
      <w:r>
        <w:rPr>
          <w:rFonts w:hint="eastAsia" w:ascii="仿宋" w:hAnsi="仿宋" w:eastAsia="仿宋" w:cs="仿宋"/>
          <w:b/>
          <w:bCs/>
          <w:color w:val="000000" w:themeColor="text1"/>
          <w:sz w:val="24"/>
          <w:szCs w:val="24"/>
          <w14:textFill>
            <w14:solidFill>
              <w14:schemeClr w14:val="tx1"/>
            </w14:solidFill>
          </w14:textFill>
        </w:rPr>
        <w:t>封面格式</w:t>
      </w:r>
      <w:bookmarkEnd w:id="48"/>
      <w:bookmarkEnd w:id="49"/>
      <w:bookmarkEnd w:id="50"/>
      <w:bookmarkEnd w:id="51"/>
    </w:p>
    <w:p w14:paraId="756935C8">
      <w:pPr>
        <w:spacing w:after="96" w:afterLines="40"/>
        <w:jc w:val="center"/>
        <w:rPr>
          <w:rFonts w:hint="eastAsia" w:ascii="仿宋" w:hAnsi="仿宋" w:eastAsia="仿宋" w:cs="仿宋"/>
          <w:color w:val="000000" w:themeColor="text1"/>
          <w:sz w:val="24"/>
          <w:szCs w:val="24"/>
          <w14:textFill>
            <w14:solidFill>
              <w14:schemeClr w14:val="tx1"/>
            </w14:solidFill>
          </w14:textFill>
        </w:rPr>
      </w:pPr>
    </w:p>
    <w:p w14:paraId="60412327">
      <w:pPr>
        <w:spacing w:after="96" w:afterLines="40"/>
        <w:jc w:val="center"/>
        <w:rPr>
          <w:rFonts w:hint="eastAsia" w:ascii="仿宋" w:hAnsi="仿宋" w:eastAsia="仿宋" w:cs="仿宋"/>
          <w:color w:val="000000" w:themeColor="text1"/>
          <w:sz w:val="24"/>
          <w:szCs w:val="24"/>
          <w14:textFill>
            <w14:solidFill>
              <w14:schemeClr w14:val="tx1"/>
            </w14:solidFill>
          </w14:textFill>
        </w:rPr>
      </w:pPr>
    </w:p>
    <w:p w14:paraId="3DEE85C8">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bookmarkStart w:id="52" w:name="_Toc1927"/>
      <w:bookmarkStart w:id="53" w:name="_Toc30960"/>
      <w:bookmarkStart w:id="54" w:name="_Toc18236"/>
      <w:bookmarkStart w:id="55" w:name="_Toc12383"/>
      <w:r>
        <w:rPr>
          <w:rFonts w:hint="eastAsia" w:ascii="仿宋" w:hAnsi="仿宋" w:eastAsia="仿宋" w:cs="仿宋"/>
          <w:b/>
          <w:bCs/>
          <w:color w:val="000000" w:themeColor="text1"/>
          <w:sz w:val="24"/>
          <w:szCs w:val="24"/>
          <w14:textFill>
            <w14:solidFill>
              <w14:schemeClr w14:val="tx1"/>
            </w14:solidFill>
          </w14:textFill>
        </w:rPr>
        <w:t>竞争性磋商响应文件</w:t>
      </w:r>
      <w:bookmarkEnd w:id="52"/>
      <w:bookmarkEnd w:id="53"/>
      <w:bookmarkEnd w:id="54"/>
      <w:bookmarkEnd w:id="55"/>
    </w:p>
    <w:p w14:paraId="028F11BE">
      <w:pPr>
        <w:spacing w:after="96" w:afterLines="40"/>
        <w:jc w:val="center"/>
        <w:rPr>
          <w:rFonts w:hint="eastAsia" w:ascii="仿宋" w:hAnsi="仿宋" w:eastAsia="仿宋" w:cs="仿宋"/>
          <w:color w:val="000000" w:themeColor="text1"/>
          <w:sz w:val="24"/>
          <w:szCs w:val="24"/>
          <w14:textFill>
            <w14:solidFill>
              <w14:schemeClr w14:val="tx1"/>
            </w14:solidFill>
          </w14:textFill>
        </w:rPr>
      </w:pPr>
    </w:p>
    <w:p w14:paraId="45A84F75">
      <w:pPr>
        <w:spacing w:after="96" w:afterLines="40"/>
        <w:rPr>
          <w:rFonts w:hint="eastAsia" w:ascii="仿宋" w:hAnsi="仿宋" w:eastAsia="仿宋" w:cs="仿宋"/>
          <w:color w:val="000000" w:themeColor="text1"/>
          <w:sz w:val="24"/>
          <w:szCs w:val="24"/>
          <w14:textFill>
            <w14:solidFill>
              <w14:schemeClr w14:val="tx1"/>
            </w14:solidFill>
          </w14:textFill>
        </w:rPr>
      </w:pPr>
    </w:p>
    <w:p w14:paraId="64FD2680">
      <w:pPr>
        <w:spacing w:after="96" w:afterLines="40"/>
        <w:jc w:val="center"/>
        <w:rPr>
          <w:rFonts w:hint="eastAsia" w:ascii="仿宋" w:hAnsi="仿宋" w:eastAsia="仿宋" w:cs="仿宋"/>
          <w:color w:val="000000" w:themeColor="text1"/>
          <w:sz w:val="24"/>
          <w:szCs w:val="24"/>
          <w14:textFill>
            <w14:solidFill>
              <w14:schemeClr w14:val="tx1"/>
            </w14:solidFill>
          </w14:textFill>
        </w:rPr>
      </w:pPr>
    </w:p>
    <w:p w14:paraId="5EBAFC07">
      <w:pPr>
        <w:spacing w:after="96" w:afterLines="40"/>
        <w:jc w:val="center"/>
        <w:rPr>
          <w:rFonts w:hint="eastAsia" w:ascii="仿宋" w:hAnsi="仿宋" w:eastAsia="仿宋" w:cs="仿宋"/>
          <w:color w:val="000000" w:themeColor="text1"/>
          <w:sz w:val="24"/>
          <w:szCs w:val="24"/>
          <w14:textFill>
            <w14:solidFill>
              <w14:schemeClr w14:val="tx1"/>
            </w14:solidFill>
          </w14:textFill>
        </w:rPr>
      </w:pPr>
    </w:p>
    <w:p w14:paraId="4663783A">
      <w:pPr>
        <w:spacing w:after="96" w:afterLines="40"/>
        <w:jc w:val="center"/>
        <w:rPr>
          <w:rFonts w:hint="eastAsia" w:ascii="仿宋" w:hAnsi="仿宋" w:eastAsia="仿宋" w:cs="仿宋"/>
          <w:color w:val="000000" w:themeColor="text1"/>
          <w:sz w:val="24"/>
          <w:szCs w:val="24"/>
          <w14:textFill>
            <w14:solidFill>
              <w14:schemeClr w14:val="tx1"/>
            </w14:solidFill>
          </w14:textFill>
        </w:rPr>
      </w:pPr>
    </w:p>
    <w:p w14:paraId="7108212F">
      <w:pPr>
        <w:spacing w:after="96" w:afterLines="40"/>
        <w:jc w:val="center"/>
        <w:rPr>
          <w:rFonts w:hint="eastAsia" w:ascii="仿宋" w:hAnsi="仿宋" w:eastAsia="仿宋" w:cs="仿宋"/>
          <w:color w:val="000000" w:themeColor="text1"/>
          <w:sz w:val="24"/>
          <w:szCs w:val="24"/>
          <w14:textFill>
            <w14:solidFill>
              <w14:schemeClr w14:val="tx1"/>
            </w14:solidFill>
          </w14:textFill>
        </w:rPr>
      </w:pPr>
    </w:p>
    <w:p w14:paraId="5FEDF94A">
      <w:pPr>
        <w:spacing w:after="96" w:afterLines="40"/>
        <w:jc w:val="center"/>
        <w:rPr>
          <w:rFonts w:hint="eastAsia" w:ascii="仿宋" w:hAnsi="仿宋" w:eastAsia="仿宋" w:cs="仿宋"/>
          <w:color w:val="000000" w:themeColor="text1"/>
          <w:sz w:val="24"/>
          <w:szCs w:val="24"/>
          <w14:textFill>
            <w14:solidFill>
              <w14:schemeClr w14:val="tx1"/>
            </w14:solidFill>
          </w14:textFill>
        </w:rPr>
      </w:pPr>
    </w:p>
    <w:p w14:paraId="47817768">
      <w:pPr>
        <w:spacing w:after="96" w:afterLines="4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响应供应商：</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（盖单位章）</w:t>
      </w:r>
    </w:p>
    <w:p w14:paraId="4CCE9D5C">
      <w:pPr>
        <w:spacing w:after="96" w:afterLines="4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法定代表人（单位负责人）或其委托代理人：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签字）</w:t>
      </w:r>
    </w:p>
    <w:p w14:paraId="2D779E53">
      <w:pPr>
        <w:spacing w:after="96" w:afterLines="4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6101B011">
      <w:pPr>
        <w:jc w:val="center"/>
        <w:rPr>
          <w:rFonts w:hint="eastAsia" w:ascii="仿宋" w:hAnsi="仿宋" w:eastAsia="仿宋" w:cs="仿宋"/>
          <w:b/>
          <w:bCs/>
          <w:color w:val="000000" w:themeColor="text1"/>
          <w:sz w:val="24"/>
          <w:szCs w:val="24"/>
          <w14:textFill>
            <w14:solidFill>
              <w14:schemeClr w14:val="tx1"/>
            </w14:solidFill>
          </w14:textFill>
        </w:rPr>
      </w:pPr>
    </w:p>
    <w:p w14:paraId="18CC54D2">
      <w:pPr>
        <w:rPr>
          <w:rFonts w:hint="eastAsia" w:ascii="仿宋" w:hAnsi="仿宋" w:eastAsia="仿宋" w:cs="仿宋"/>
          <w:b/>
          <w:bCs/>
          <w:color w:val="000000" w:themeColor="text1"/>
          <w:sz w:val="24"/>
          <w:szCs w:val="24"/>
          <w14:textFill>
            <w14:solidFill>
              <w14:schemeClr w14:val="tx1"/>
            </w14:solidFill>
          </w14:textFill>
        </w:rPr>
      </w:pPr>
    </w:p>
    <w:p w14:paraId="71DEAB31">
      <w:pPr>
        <w:pStyle w:val="2"/>
        <w:rPr>
          <w:rFonts w:hint="eastAsia" w:ascii="仿宋" w:hAnsi="仿宋" w:eastAsia="仿宋" w:cs="仿宋"/>
          <w:b/>
          <w:bCs/>
          <w:color w:val="000000" w:themeColor="text1"/>
          <w:sz w:val="24"/>
          <w14:textFill>
            <w14:solidFill>
              <w14:schemeClr w14:val="tx1"/>
            </w14:solidFill>
          </w14:textFill>
        </w:rPr>
      </w:pPr>
    </w:p>
    <w:p w14:paraId="065A6BC5">
      <w:pPr>
        <w:pStyle w:val="50"/>
        <w:ind w:firstLine="482"/>
        <w:rPr>
          <w:rFonts w:hint="eastAsia" w:ascii="仿宋" w:hAnsi="仿宋" w:eastAsia="仿宋" w:cs="仿宋"/>
          <w:b/>
          <w:bCs/>
          <w:color w:val="000000" w:themeColor="text1"/>
          <w:sz w:val="24"/>
          <w:szCs w:val="24"/>
          <w14:textFill>
            <w14:solidFill>
              <w14:schemeClr w14:val="tx1"/>
            </w14:solidFill>
          </w14:textFill>
        </w:rPr>
      </w:pPr>
    </w:p>
    <w:p w14:paraId="55E50682">
      <w:pPr>
        <w:rPr>
          <w:rFonts w:hint="eastAsia" w:ascii="仿宋" w:hAnsi="仿宋" w:eastAsia="仿宋" w:cs="仿宋"/>
          <w:b/>
          <w:bCs/>
          <w:color w:val="000000" w:themeColor="text1"/>
          <w:sz w:val="24"/>
          <w:szCs w:val="24"/>
          <w14:textFill>
            <w14:solidFill>
              <w14:schemeClr w14:val="tx1"/>
            </w14:solidFill>
          </w14:textFill>
        </w:rPr>
      </w:pPr>
    </w:p>
    <w:p w14:paraId="4E378DEE">
      <w:pPr>
        <w:pStyle w:val="2"/>
        <w:rPr>
          <w:rFonts w:hint="eastAsia" w:ascii="仿宋" w:hAnsi="仿宋" w:eastAsia="仿宋" w:cs="仿宋"/>
          <w:b/>
          <w:bCs/>
          <w:color w:val="000000" w:themeColor="text1"/>
          <w:sz w:val="24"/>
          <w14:textFill>
            <w14:solidFill>
              <w14:schemeClr w14:val="tx1"/>
            </w14:solidFill>
          </w14:textFill>
        </w:rPr>
      </w:pPr>
    </w:p>
    <w:p w14:paraId="444CC218">
      <w:pPr>
        <w:pStyle w:val="50"/>
        <w:ind w:firstLine="482"/>
        <w:rPr>
          <w:rFonts w:hint="eastAsia" w:ascii="仿宋" w:hAnsi="仿宋" w:eastAsia="仿宋" w:cs="仿宋"/>
          <w:b/>
          <w:bCs/>
          <w:color w:val="000000" w:themeColor="text1"/>
          <w:sz w:val="24"/>
          <w:szCs w:val="24"/>
          <w14:textFill>
            <w14:solidFill>
              <w14:schemeClr w14:val="tx1"/>
            </w14:solidFill>
          </w14:textFill>
        </w:rPr>
      </w:pPr>
    </w:p>
    <w:p w14:paraId="4FBEFC5E">
      <w:pPr>
        <w:rPr>
          <w:rFonts w:hint="eastAsia" w:ascii="仿宋" w:hAnsi="仿宋" w:eastAsia="仿宋" w:cs="仿宋"/>
          <w:b/>
          <w:bCs/>
          <w:color w:val="000000" w:themeColor="text1"/>
          <w:sz w:val="24"/>
          <w:szCs w:val="24"/>
          <w14:textFill>
            <w14:solidFill>
              <w14:schemeClr w14:val="tx1"/>
            </w14:solidFill>
          </w14:textFill>
        </w:rPr>
      </w:pPr>
    </w:p>
    <w:p w14:paraId="6CE48055">
      <w:pPr>
        <w:pStyle w:val="25"/>
        <w:spacing w:after="120"/>
        <w:rPr>
          <w:rFonts w:hint="eastAsia" w:ascii="仿宋" w:hAnsi="仿宋" w:eastAsia="仿宋" w:cs="仿宋"/>
          <w:color w:val="000000" w:themeColor="text1"/>
          <w14:textFill>
            <w14:solidFill>
              <w14:schemeClr w14:val="tx1"/>
            </w14:solidFill>
          </w14:textFill>
        </w:rPr>
      </w:pPr>
    </w:p>
    <w:p w14:paraId="151C2316">
      <w:pPr>
        <w:pStyle w:val="25"/>
        <w:spacing w:after="120"/>
        <w:rPr>
          <w:rFonts w:hint="eastAsia" w:ascii="仿宋" w:hAnsi="仿宋" w:eastAsia="仿宋" w:cs="仿宋"/>
          <w:color w:val="000000" w:themeColor="text1"/>
          <w14:textFill>
            <w14:solidFill>
              <w14:schemeClr w14:val="tx1"/>
            </w14:solidFill>
          </w14:textFill>
        </w:rPr>
      </w:pPr>
    </w:p>
    <w:p w14:paraId="737AAD2D">
      <w:pPr>
        <w:pStyle w:val="50"/>
        <w:ind w:firstLine="482"/>
        <w:rPr>
          <w:rFonts w:hint="eastAsia" w:ascii="仿宋" w:hAnsi="仿宋" w:eastAsia="仿宋" w:cs="仿宋"/>
          <w:b/>
          <w:bCs/>
          <w:color w:val="000000" w:themeColor="text1"/>
          <w:sz w:val="24"/>
          <w:szCs w:val="24"/>
          <w14:textFill>
            <w14:solidFill>
              <w14:schemeClr w14:val="tx1"/>
            </w14:solidFill>
          </w14:textFill>
        </w:rPr>
      </w:pPr>
    </w:p>
    <w:p w14:paraId="44527B4D">
      <w:pPr>
        <w:rPr>
          <w:rFonts w:hint="eastAsia" w:ascii="仿宋" w:hAnsi="仿宋" w:eastAsia="仿宋" w:cs="仿宋"/>
          <w:color w:val="000000" w:themeColor="text1"/>
          <w:sz w:val="24"/>
          <w:szCs w:val="24"/>
          <w14:textFill>
            <w14:solidFill>
              <w14:schemeClr w14:val="tx1"/>
            </w14:solidFill>
          </w14:textFill>
        </w:rPr>
      </w:pPr>
    </w:p>
    <w:p w14:paraId="2B511ECD">
      <w:pPr>
        <w:pStyle w:val="53"/>
        <w:rPr>
          <w:rFonts w:hint="eastAsia" w:ascii="仿宋" w:hAnsi="仿宋" w:eastAsia="仿宋" w:cs="仿宋"/>
          <w:color w:val="000000" w:themeColor="text1"/>
          <w:sz w:val="24"/>
          <w:szCs w:val="24"/>
          <w14:textFill>
            <w14:solidFill>
              <w14:schemeClr w14:val="tx1"/>
            </w14:solidFill>
          </w14:textFill>
        </w:rPr>
      </w:pPr>
    </w:p>
    <w:p w14:paraId="6217728A">
      <w:pPr>
        <w:jc w:val="center"/>
        <w:rPr>
          <w:rFonts w:hint="eastAsia" w:ascii="仿宋" w:hAnsi="仿宋" w:eastAsia="仿宋" w:cs="仿宋"/>
          <w:b/>
          <w:bCs/>
          <w:color w:val="000000" w:themeColor="text1"/>
          <w:sz w:val="32"/>
          <w:szCs w:val="32"/>
          <w14:textFill>
            <w14:solidFill>
              <w14:schemeClr w14:val="tx1"/>
            </w14:solidFill>
          </w14:textFill>
        </w:rPr>
      </w:pPr>
      <w:bookmarkStart w:id="56" w:name="_Toc19677"/>
      <w:bookmarkStart w:id="57" w:name="_Toc13518"/>
      <w:bookmarkStart w:id="58" w:name="_Toc17428"/>
      <w:r>
        <w:rPr>
          <w:rFonts w:hint="eastAsia" w:ascii="仿宋" w:hAnsi="仿宋" w:eastAsia="仿宋" w:cs="仿宋"/>
          <w:b/>
          <w:bCs/>
          <w:color w:val="000000" w:themeColor="text1"/>
          <w:sz w:val="32"/>
          <w:szCs w:val="32"/>
          <w14:textFill>
            <w14:solidFill>
              <w14:schemeClr w14:val="tx1"/>
            </w14:solidFill>
          </w14:textFill>
        </w:rPr>
        <w:t>目  录</w:t>
      </w:r>
      <w:bookmarkEnd w:id="56"/>
      <w:bookmarkEnd w:id="57"/>
      <w:bookmarkEnd w:id="58"/>
    </w:p>
    <w:p w14:paraId="389210B1">
      <w:pPr>
        <w:pStyle w:val="23"/>
        <w:rPr>
          <w:rFonts w:hint="eastAsia" w:ascii="仿宋" w:hAnsi="仿宋" w:eastAsia="仿宋" w:cs="仿宋"/>
          <w:color w:val="000000" w:themeColor="text1"/>
          <w:sz w:val="24"/>
          <w14:textFill>
            <w14:solidFill>
              <w14:schemeClr w14:val="tx1"/>
            </w14:solidFill>
          </w14:textFill>
        </w:rPr>
      </w:pPr>
    </w:p>
    <w:p w14:paraId="56973A1B">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（1）竞争性磋商响应函.....................................（页码）</w:t>
      </w:r>
    </w:p>
    <w:p w14:paraId="029CF58E">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（2）开标一览表...........................................（页码）</w:t>
      </w:r>
    </w:p>
    <w:p w14:paraId="5A84F099">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（3）法定代表人身份证明书、法定代表人授权书...............（页码）</w:t>
      </w:r>
    </w:p>
    <w:p w14:paraId="390EF746">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（4）磋商保证金交纳凭证...................................（页码）</w:t>
      </w:r>
    </w:p>
    <w:p w14:paraId="0E31132C">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（5）承诺书...............................................（页码）</w:t>
      </w:r>
    </w:p>
    <w:p w14:paraId="0BB93131">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（6）商务和技术偏差表.....................................（页码）</w:t>
      </w:r>
    </w:p>
    <w:p w14:paraId="5AA0CCBC">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（7）响应供应商概况.......................................（页码）</w:t>
      </w:r>
    </w:p>
    <w:p w14:paraId="65DB4161">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（8）服务管理团队.........................................（页码）</w:t>
      </w:r>
    </w:p>
    <w:p w14:paraId="27681476">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（9）响应截止时间前三年类似项目业绩表.....................（页码）</w:t>
      </w:r>
    </w:p>
    <w:p w14:paraId="5EE5ADC2">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（10）技术文件............................................（页码）</w:t>
      </w:r>
    </w:p>
    <w:p w14:paraId="2C47E2D7">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（11）其他资料............................................（页码）</w:t>
      </w:r>
    </w:p>
    <w:p w14:paraId="5CD61324">
      <w:pPr>
        <w:adjustRightInd w:val="0"/>
        <w:snapToGrid w:val="0"/>
        <w:spacing w:before="120" w:beforeLines="50"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p>
    <w:p w14:paraId="1BA93F65">
      <w:pPr>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（注：响应供应商编制响应文件目录时应编制页码，可做详细目录；但目录顺序应与本表一致。）</w:t>
      </w:r>
      <w:r>
        <w:rPr>
          <w:rFonts w:hint="eastAsia" w:ascii="仿宋" w:hAnsi="仿宋" w:eastAsia="仿宋" w:cs="仿宋"/>
          <w:bCs/>
          <w:color w:val="000000" w:themeColor="text1"/>
          <w:sz w:val="24"/>
          <w:szCs w:val="24"/>
          <w14:textFill>
            <w14:solidFill>
              <w14:schemeClr w14:val="tx1"/>
            </w14:solidFill>
          </w14:textFill>
        </w:rPr>
        <w:br w:type="page"/>
      </w:r>
      <w:r>
        <w:rPr>
          <w:rFonts w:hint="eastAsia" w:ascii="仿宋" w:hAnsi="仿宋" w:eastAsia="仿宋" w:cs="仿宋"/>
          <w:b/>
          <w:bCs/>
          <w:color w:val="000000" w:themeColor="text1"/>
          <w:sz w:val="32"/>
          <w:szCs w:val="32"/>
          <w14:textFill>
            <w14:solidFill>
              <w14:schemeClr w14:val="tx1"/>
            </w14:solidFill>
          </w14:textFill>
        </w:rPr>
        <w:t>一、竞争性磋商响应函</w:t>
      </w:r>
    </w:p>
    <w:p w14:paraId="46F1CE12">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采购人（名称）</w:t>
      </w:r>
      <w:r>
        <w:rPr>
          <w:rFonts w:hint="eastAsia" w:ascii="仿宋" w:hAnsi="仿宋" w:eastAsia="仿宋" w:cs="仿宋"/>
          <w:color w:val="000000" w:themeColor="text1"/>
          <w:sz w:val="24"/>
          <w:szCs w:val="24"/>
          <w14:textFill>
            <w14:solidFill>
              <w14:schemeClr w14:val="tx1"/>
            </w14:solidFill>
          </w14:textFill>
        </w:rPr>
        <w:t>：</w:t>
      </w:r>
    </w:p>
    <w:p w14:paraId="457B7436">
      <w:pPr>
        <w:spacing w:line="360" w:lineRule="auto"/>
        <w:ind w:firstLine="480" w:firstLineChars="200"/>
        <w:jc w:val="lef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根据贵单位对</w:t>
      </w:r>
      <w:r>
        <w:rPr>
          <w:rFonts w:hint="eastAsia" w:ascii="仿宋" w:hAnsi="仿宋" w:eastAsia="仿宋" w:cs="仿宋"/>
          <w:color w:val="000000" w:themeColor="text1"/>
          <w:sz w:val="24"/>
          <w:szCs w:val="24"/>
          <w:u w:val="single"/>
          <w14:textFill>
            <w14:solidFill>
              <w14:schemeClr w14:val="tx1"/>
            </w14:solidFill>
          </w14:textFill>
        </w:rPr>
        <w:t xml:space="preserve">   （项目名称） </w:t>
      </w:r>
      <w:r>
        <w:rPr>
          <w:rFonts w:hint="eastAsia" w:ascii="仿宋" w:hAnsi="仿宋" w:eastAsia="仿宋" w:cs="仿宋"/>
          <w:color w:val="000000" w:themeColor="text1"/>
          <w:sz w:val="24"/>
          <w:szCs w:val="24"/>
          <w14:textFill>
            <w14:solidFill>
              <w14:schemeClr w14:val="tx1"/>
            </w14:solidFill>
          </w14:textFill>
        </w:rPr>
        <w:t>的邀请，我公司经研究，决定参与本次竞争性磋商。</w:t>
      </w:r>
    </w:p>
    <w:p w14:paraId="2C26162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据此函，我公司承诺如下：</w:t>
      </w:r>
    </w:p>
    <w:p w14:paraId="4C2BDA0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我公司将按磋商文件的规定履行合同责任和义务。</w:t>
      </w:r>
    </w:p>
    <w:p w14:paraId="49577FC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 我公司已详细审查全部磋商文件，包括修改文件（如有的话）以及全部参考资料和有关附件。我公司完全理解并同意放弃对这方面有不明及误解的权利。 </w:t>
      </w:r>
    </w:p>
    <w:p w14:paraId="3CCCE0B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 我公司同意提供按照贵单位可能 要求的与其竞争性磋商有关的一切数据或资料。</w:t>
      </w:r>
    </w:p>
    <w:p w14:paraId="1AD5788A">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 我公司愿意遵守磋商文件中对供应商的所有规定。响应有效期为</w:t>
      </w:r>
      <w:r>
        <w:rPr>
          <w:rFonts w:hint="eastAsia" w:ascii="仿宋" w:hAnsi="仿宋" w:eastAsia="仿宋" w:cs="仿宋"/>
          <w:b/>
          <w:bCs/>
          <w:color w:val="000000" w:themeColor="text1"/>
          <w:sz w:val="24"/>
          <w:szCs w:val="24"/>
          <w:u w:val="single"/>
          <w14:textFill>
            <w14:solidFill>
              <w14:schemeClr w14:val="tx1"/>
            </w14:solidFill>
          </w14:textFill>
        </w:rPr>
        <w:t xml:space="preserve">     天</w:t>
      </w:r>
      <w:r>
        <w:rPr>
          <w:rFonts w:hint="eastAsia" w:ascii="仿宋" w:hAnsi="仿宋" w:eastAsia="仿宋" w:cs="仿宋"/>
          <w:color w:val="000000" w:themeColor="text1"/>
          <w:sz w:val="24"/>
          <w:szCs w:val="24"/>
          <w14:textFill>
            <w14:solidFill>
              <w14:schemeClr w14:val="tx1"/>
            </w14:solidFill>
          </w14:textFill>
        </w:rPr>
        <w:t>。</w:t>
      </w:r>
    </w:p>
    <w:p w14:paraId="0A7E187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 一旦我公司成交，我公司愿意履行自己在响应文件中的全部承诺和责任。</w:t>
      </w:r>
    </w:p>
    <w:p w14:paraId="227DF21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 我公司知道如用虚假材料或恶意方式向贵单位提出质疑，将承担相应的法律责任。同时承诺：我公司如果有上述行为，将无条件承担贵单位相关的调查论证费用。我公司同意提供按贵单位可能要求的与其竞争性磋商有关的一切数据或资料。</w:t>
      </w:r>
    </w:p>
    <w:p w14:paraId="54BC1F4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 不一定要接受最低报价的磋商或收到的任何磋商。</w:t>
      </w:r>
    </w:p>
    <w:p w14:paraId="500A0F3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 本次竞争性磋商有关的一切正式往来通讯请寄：</w:t>
      </w:r>
    </w:p>
    <w:p w14:paraId="2CF57716">
      <w:pPr>
        <w:spacing w:line="360" w:lineRule="auto"/>
        <w:rPr>
          <w:rFonts w:hint="eastAsia" w:ascii="仿宋" w:hAnsi="仿宋" w:eastAsia="仿宋" w:cs="仿宋"/>
          <w:color w:val="000000" w:themeColor="text1"/>
          <w:sz w:val="24"/>
          <w:szCs w:val="24"/>
          <w14:textFill>
            <w14:solidFill>
              <w14:schemeClr w14:val="tx1"/>
            </w14:solidFill>
          </w14:textFill>
        </w:rPr>
      </w:pPr>
    </w:p>
    <w:p w14:paraId="5FE647E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2060681E">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邮编：</w:t>
      </w:r>
    </w:p>
    <w:p w14:paraId="2D871786">
      <w:pPr>
        <w:spacing w:line="360" w:lineRule="auto"/>
        <w:rPr>
          <w:rFonts w:hint="eastAsia" w:ascii="仿宋" w:hAnsi="仿宋" w:eastAsia="仿宋" w:cs="仿宋"/>
          <w:color w:val="000000" w:themeColor="text1"/>
          <w:sz w:val="24"/>
          <w:szCs w:val="24"/>
          <w14:textFill>
            <w14:solidFill>
              <w14:schemeClr w14:val="tx1"/>
            </w14:solidFill>
          </w14:textFill>
        </w:rPr>
      </w:pPr>
    </w:p>
    <w:p w14:paraId="329E343D">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传真：</w:t>
      </w:r>
    </w:p>
    <w:p w14:paraId="7A46E9B7">
      <w:pPr>
        <w:spacing w:line="360" w:lineRule="auto"/>
        <w:rPr>
          <w:rFonts w:hint="eastAsia" w:ascii="仿宋" w:hAnsi="仿宋" w:eastAsia="仿宋" w:cs="仿宋"/>
          <w:color w:val="000000" w:themeColor="text1"/>
          <w:sz w:val="24"/>
          <w:szCs w:val="24"/>
          <w14:textFill>
            <w14:solidFill>
              <w14:schemeClr w14:val="tx1"/>
            </w14:solidFill>
          </w14:textFill>
        </w:rPr>
      </w:pPr>
    </w:p>
    <w:p w14:paraId="0D80FE5B">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供应商名称（加盖公章）：</w:t>
      </w:r>
    </w:p>
    <w:p w14:paraId="28AA99B0">
      <w:pPr>
        <w:spacing w:line="360" w:lineRule="auto"/>
        <w:rPr>
          <w:rFonts w:hint="eastAsia" w:ascii="仿宋" w:hAnsi="仿宋" w:eastAsia="仿宋" w:cs="仿宋"/>
          <w:color w:val="000000" w:themeColor="text1"/>
          <w:sz w:val="24"/>
          <w:szCs w:val="24"/>
          <w14:textFill>
            <w14:solidFill>
              <w14:schemeClr w14:val="tx1"/>
            </w14:solidFill>
          </w14:textFill>
        </w:rPr>
      </w:pPr>
    </w:p>
    <w:p w14:paraId="33D6CA5B">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法定代表人或授权代表（签字）：</w:t>
      </w:r>
    </w:p>
    <w:p w14:paraId="521DE198">
      <w:pPr>
        <w:spacing w:line="360" w:lineRule="auto"/>
        <w:rPr>
          <w:rFonts w:hint="eastAsia" w:ascii="仿宋" w:hAnsi="仿宋" w:eastAsia="仿宋" w:cs="仿宋"/>
          <w:color w:val="000000" w:themeColor="text1"/>
          <w:sz w:val="24"/>
          <w:szCs w:val="24"/>
          <w14:textFill>
            <w14:solidFill>
              <w14:schemeClr w14:val="tx1"/>
            </w14:solidFill>
          </w14:textFill>
        </w:rPr>
      </w:pPr>
    </w:p>
    <w:p w14:paraId="5F646A92">
      <w:pPr>
        <w:spacing w:line="360" w:lineRule="auto"/>
        <w:rPr>
          <w:rFonts w:hint="eastAsia" w:ascii="仿宋" w:hAnsi="仿宋" w:eastAsia="仿宋" w:cs="仿宋"/>
          <w:b/>
          <w:color w:val="000000" w:themeColor="text1"/>
          <w:spacing w:val="2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    期：   年  月  日</w:t>
      </w:r>
      <w:bookmarkStart w:id="59" w:name="_Toc460703986"/>
      <w:bookmarkStart w:id="60" w:name="_Toc424212008"/>
    </w:p>
    <w:p w14:paraId="2A594186">
      <w:pPr>
        <w:jc w:val="center"/>
        <w:rPr>
          <w:rFonts w:hint="eastAsia" w:ascii="仿宋" w:hAnsi="仿宋" w:eastAsia="仿宋" w:cs="仿宋"/>
          <w:b/>
          <w:bCs/>
          <w:color w:val="000000" w:themeColor="text1"/>
          <w:sz w:val="24"/>
          <w:szCs w:val="24"/>
          <w14:textFill>
            <w14:solidFill>
              <w14:schemeClr w14:val="tx1"/>
            </w14:solidFill>
          </w14:textFill>
        </w:rPr>
      </w:pPr>
      <w:bookmarkStart w:id="61" w:name="_Toc20503_WPSOffice_Level1"/>
      <w:bookmarkStart w:id="62" w:name="_Toc7382_WPSOffice_Level1"/>
      <w:bookmarkStart w:id="63" w:name="_Toc4006_WPSOffice_Level1"/>
      <w:bookmarkStart w:id="64" w:name="_Toc6834_WPSOffice_Level1"/>
      <w:bookmarkStart w:id="65" w:name="_Toc18009_WPSOffice_Level1"/>
      <w:bookmarkStart w:id="66" w:name="_Toc24737_WPSOffice_Level1"/>
      <w:bookmarkStart w:id="67" w:name="_Toc13204_WPSOffice_Level1"/>
      <w:bookmarkStart w:id="68" w:name="_Toc2545_WPSOffice_Level1"/>
      <w:bookmarkStart w:id="69" w:name="_Toc8623"/>
    </w:p>
    <w:p w14:paraId="28DF7B2A">
      <w:pPr>
        <w:pStyle w:val="27"/>
        <w:rPr>
          <w:rFonts w:hint="eastAsia" w:ascii="仿宋" w:hAnsi="仿宋" w:eastAsia="仿宋" w:cs="仿宋"/>
          <w:color w:val="000000" w:themeColor="text1"/>
          <w:szCs w:val="24"/>
          <w14:textFill>
            <w14:solidFill>
              <w14:schemeClr w14:val="tx1"/>
            </w14:solidFill>
          </w14:textFill>
        </w:rPr>
        <w:sectPr>
          <w:pgSz w:w="11907" w:h="16840"/>
          <w:pgMar w:top="1440" w:right="1474" w:bottom="1440" w:left="1474" w:header="851" w:footer="992" w:gutter="0"/>
          <w:cols w:space="720" w:num="1"/>
          <w:docGrid w:linePitch="312" w:charSpace="0"/>
        </w:sectPr>
      </w:pPr>
    </w:p>
    <w:p w14:paraId="7DC41BC0">
      <w:pPr>
        <w:pStyle w:val="27"/>
        <w:rPr>
          <w:rFonts w:hint="eastAsia" w:ascii="仿宋" w:hAnsi="仿宋" w:eastAsia="仿宋" w:cs="仿宋"/>
          <w:color w:val="000000" w:themeColor="text1"/>
          <w:szCs w:val="24"/>
          <w14:textFill>
            <w14:solidFill>
              <w14:schemeClr w14:val="tx1"/>
            </w14:solidFill>
          </w14:textFill>
        </w:rPr>
      </w:pPr>
    </w:p>
    <w:p w14:paraId="6769A090">
      <w:pPr>
        <w:jc w:val="center"/>
        <w:rPr>
          <w:rFonts w:hint="eastAsia" w:ascii="仿宋" w:hAnsi="仿宋" w:eastAsia="仿宋" w:cs="仿宋"/>
          <w:b/>
          <w:color w:val="000000" w:themeColor="text1"/>
          <w:spacing w:val="20"/>
          <w:sz w:val="24"/>
          <w:szCs w:val="24"/>
          <w14:textFill>
            <w14:solidFill>
              <w14:schemeClr w14:val="tx1"/>
            </w14:solidFill>
          </w14:textFill>
        </w:rPr>
      </w:pPr>
      <w:bookmarkStart w:id="70" w:name="_Toc5891"/>
      <w:bookmarkStart w:id="71" w:name="_Toc30515"/>
      <w:r>
        <w:rPr>
          <w:rFonts w:hint="eastAsia" w:ascii="仿宋" w:hAnsi="仿宋" w:eastAsia="仿宋" w:cs="仿宋"/>
          <w:b/>
          <w:bCs/>
          <w:color w:val="000000" w:themeColor="text1"/>
          <w:sz w:val="32"/>
          <w:szCs w:val="32"/>
          <w14:textFill>
            <w14:solidFill>
              <w14:schemeClr w14:val="tx1"/>
            </w14:solidFill>
          </w14:textFill>
        </w:rPr>
        <w:t>二、</w:t>
      </w:r>
      <w:bookmarkEnd w:id="61"/>
      <w:bookmarkEnd w:id="62"/>
      <w:bookmarkEnd w:id="63"/>
      <w:bookmarkEnd w:id="64"/>
      <w:bookmarkEnd w:id="65"/>
      <w:bookmarkEnd w:id="66"/>
      <w:bookmarkEnd w:id="67"/>
      <w:bookmarkEnd w:id="68"/>
      <w:bookmarkEnd w:id="69"/>
      <w:bookmarkEnd w:id="70"/>
      <w:bookmarkEnd w:id="71"/>
      <w:r>
        <w:rPr>
          <w:rFonts w:hint="eastAsia" w:ascii="仿宋" w:hAnsi="仿宋" w:eastAsia="仿宋" w:cs="仿宋"/>
          <w:b/>
          <w:bCs/>
          <w:color w:val="000000" w:themeColor="text1"/>
          <w:sz w:val="32"/>
          <w:szCs w:val="32"/>
          <w14:textFill>
            <w14:solidFill>
              <w14:schemeClr w14:val="tx1"/>
            </w14:solidFill>
          </w14:textFill>
        </w:rPr>
        <w:t>开标一览表</w:t>
      </w:r>
    </w:p>
    <w:p w14:paraId="5A41B26A">
      <w:pPr>
        <w:spacing w:line="450" w:lineRule="atLeast"/>
        <w:rPr>
          <w:rFonts w:hint="eastAsia" w:ascii="仿宋" w:hAnsi="仿宋" w:eastAsia="仿宋" w:cs="仿宋"/>
          <w:color w:val="000000" w:themeColor="text1"/>
          <w:sz w:val="24"/>
          <w:szCs w:val="24"/>
          <w14:textFill>
            <w14:solidFill>
              <w14:schemeClr w14:val="tx1"/>
            </w14:solidFill>
          </w14:textFill>
        </w:rPr>
      </w:pPr>
    </w:p>
    <w:tbl>
      <w:tblPr>
        <w:tblStyle w:val="33"/>
        <w:tblW w:w="14685" w:type="dxa"/>
        <w:jc w:val="center"/>
        <w:tblLayout w:type="fixed"/>
        <w:tblCellMar>
          <w:top w:w="0" w:type="dxa"/>
          <w:left w:w="108" w:type="dxa"/>
          <w:bottom w:w="0" w:type="dxa"/>
          <w:right w:w="108" w:type="dxa"/>
        </w:tblCellMar>
      </w:tblPr>
      <w:tblGrid>
        <w:gridCol w:w="1078"/>
        <w:gridCol w:w="3010"/>
        <w:gridCol w:w="1830"/>
        <w:gridCol w:w="1670"/>
        <w:gridCol w:w="822"/>
        <w:gridCol w:w="1722"/>
        <w:gridCol w:w="1801"/>
        <w:gridCol w:w="1425"/>
        <w:gridCol w:w="1327"/>
      </w:tblGrid>
      <w:tr w14:paraId="7749B1D3">
        <w:tblPrEx>
          <w:tblCellMar>
            <w:top w:w="0" w:type="dxa"/>
            <w:left w:w="108" w:type="dxa"/>
            <w:bottom w:w="0" w:type="dxa"/>
            <w:right w:w="108" w:type="dxa"/>
          </w:tblCellMar>
        </w:tblPrEx>
        <w:trPr>
          <w:trHeight w:val="685" w:hRule="atLeast"/>
          <w:jc w:val="center"/>
        </w:trPr>
        <w:tc>
          <w:tcPr>
            <w:tcW w:w="4088" w:type="dxa"/>
            <w:gridSpan w:val="2"/>
            <w:tcBorders>
              <w:top w:val="single" w:color="000000" w:sz="4" w:space="0"/>
              <w:left w:val="single" w:color="000000" w:sz="4" w:space="0"/>
              <w:bottom w:val="single" w:color="000000" w:sz="4" w:space="0"/>
              <w:right w:val="single" w:color="000000" w:sz="4" w:space="0"/>
            </w:tcBorders>
            <w:vAlign w:val="center"/>
          </w:tcPr>
          <w:p w14:paraId="2566813F">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项目编号</w:t>
            </w:r>
          </w:p>
        </w:tc>
        <w:tc>
          <w:tcPr>
            <w:tcW w:w="3500" w:type="dxa"/>
            <w:gridSpan w:val="2"/>
            <w:tcBorders>
              <w:top w:val="single" w:color="000000" w:sz="4" w:space="0"/>
              <w:left w:val="single" w:color="000000" w:sz="4" w:space="0"/>
              <w:bottom w:val="single" w:color="000000" w:sz="4" w:space="0"/>
              <w:right w:val="single" w:color="000000" w:sz="4" w:space="0"/>
            </w:tcBorders>
            <w:vAlign w:val="center"/>
          </w:tcPr>
          <w:p w14:paraId="68792793">
            <w:pPr>
              <w:jc w:val="center"/>
              <w:rPr>
                <w:rFonts w:hint="eastAsia" w:ascii="仿宋" w:hAnsi="仿宋" w:eastAsia="仿宋" w:cs="仿宋"/>
                <w:color w:val="000000" w:themeColor="text1"/>
                <w:sz w:val="24"/>
                <w:szCs w:val="24"/>
                <w14:textFill>
                  <w14:solidFill>
                    <w14:schemeClr w14:val="tx1"/>
                  </w14:solidFill>
                </w14:textFill>
              </w:rPr>
            </w:pPr>
          </w:p>
        </w:tc>
        <w:tc>
          <w:tcPr>
            <w:tcW w:w="2544" w:type="dxa"/>
            <w:gridSpan w:val="2"/>
            <w:tcBorders>
              <w:top w:val="single" w:color="000000" w:sz="4" w:space="0"/>
              <w:left w:val="single" w:color="000000" w:sz="4" w:space="0"/>
              <w:bottom w:val="single" w:color="000000" w:sz="4" w:space="0"/>
              <w:right w:val="single" w:color="000000" w:sz="4" w:space="0"/>
            </w:tcBorders>
            <w:vAlign w:val="center"/>
          </w:tcPr>
          <w:p w14:paraId="0AF01C81">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项目名称</w:t>
            </w:r>
          </w:p>
        </w:tc>
        <w:tc>
          <w:tcPr>
            <w:tcW w:w="4553" w:type="dxa"/>
            <w:gridSpan w:val="3"/>
            <w:tcBorders>
              <w:top w:val="single" w:color="000000" w:sz="4" w:space="0"/>
              <w:left w:val="single" w:color="000000" w:sz="4" w:space="0"/>
              <w:bottom w:val="single" w:color="000000" w:sz="4" w:space="0"/>
              <w:right w:val="single" w:color="000000" w:sz="4" w:space="0"/>
            </w:tcBorders>
            <w:vAlign w:val="center"/>
          </w:tcPr>
          <w:p w14:paraId="38823C22">
            <w:pPr>
              <w:jc w:val="center"/>
              <w:rPr>
                <w:rFonts w:hint="eastAsia" w:ascii="仿宋" w:hAnsi="仿宋" w:eastAsia="仿宋" w:cs="仿宋"/>
                <w:color w:val="000000" w:themeColor="text1"/>
                <w:sz w:val="24"/>
                <w:szCs w:val="24"/>
                <w14:textFill>
                  <w14:solidFill>
                    <w14:schemeClr w14:val="tx1"/>
                  </w14:solidFill>
                </w14:textFill>
              </w:rPr>
            </w:pPr>
          </w:p>
        </w:tc>
      </w:tr>
      <w:tr w14:paraId="03FE3503">
        <w:tblPrEx>
          <w:tblCellMar>
            <w:top w:w="0" w:type="dxa"/>
            <w:left w:w="108" w:type="dxa"/>
            <w:bottom w:w="0" w:type="dxa"/>
            <w:right w:w="108" w:type="dxa"/>
          </w:tblCellMar>
        </w:tblPrEx>
        <w:trPr>
          <w:trHeight w:val="705" w:hRule="atLeast"/>
          <w:jc w:val="center"/>
        </w:trPr>
        <w:tc>
          <w:tcPr>
            <w:tcW w:w="4088" w:type="dxa"/>
            <w:gridSpan w:val="2"/>
            <w:tcBorders>
              <w:top w:val="single" w:color="000000" w:sz="4" w:space="0"/>
              <w:left w:val="single" w:color="000000" w:sz="4" w:space="0"/>
              <w:bottom w:val="single" w:color="000000" w:sz="4" w:space="0"/>
              <w:right w:val="single" w:color="000000" w:sz="4" w:space="0"/>
            </w:tcBorders>
            <w:vAlign w:val="center"/>
          </w:tcPr>
          <w:p w14:paraId="6137E4CF">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采购方式</w:t>
            </w:r>
          </w:p>
        </w:tc>
        <w:tc>
          <w:tcPr>
            <w:tcW w:w="3500" w:type="dxa"/>
            <w:gridSpan w:val="2"/>
            <w:tcBorders>
              <w:top w:val="single" w:color="000000" w:sz="4" w:space="0"/>
              <w:left w:val="single" w:color="000000" w:sz="4" w:space="0"/>
              <w:bottom w:val="single" w:color="000000" w:sz="4" w:space="0"/>
              <w:right w:val="single" w:color="000000" w:sz="4" w:space="0"/>
            </w:tcBorders>
            <w:vAlign w:val="center"/>
          </w:tcPr>
          <w:p w14:paraId="3851CE76">
            <w:pPr>
              <w:jc w:val="center"/>
              <w:rPr>
                <w:rFonts w:hint="eastAsia" w:ascii="仿宋" w:hAnsi="仿宋" w:eastAsia="仿宋" w:cs="仿宋"/>
                <w:color w:val="000000" w:themeColor="text1"/>
                <w:sz w:val="24"/>
                <w:szCs w:val="24"/>
                <w14:textFill>
                  <w14:solidFill>
                    <w14:schemeClr w14:val="tx1"/>
                  </w14:solidFill>
                </w14:textFill>
              </w:rPr>
            </w:pPr>
          </w:p>
        </w:tc>
        <w:tc>
          <w:tcPr>
            <w:tcW w:w="2544" w:type="dxa"/>
            <w:gridSpan w:val="2"/>
            <w:tcBorders>
              <w:top w:val="single" w:color="000000" w:sz="4" w:space="0"/>
              <w:left w:val="single" w:color="000000" w:sz="4" w:space="0"/>
              <w:bottom w:val="single" w:color="000000" w:sz="4" w:space="0"/>
              <w:right w:val="single" w:color="000000" w:sz="4" w:space="0"/>
            </w:tcBorders>
            <w:vAlign w:val="center"/>
          </w:tcPr>
          <w:p w14:paraId="356A68F9">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开标时间</w:t>
            </w:r>
          </w:p>
        </w:tc>
        <w:tc>
          <w:tcPr>
            <w:tcW w:w="4553" w:type="dxa"/>
            <w:gridSpan w:val="3"/>
            <w:tcBorders>
              <w:top w:val="single" w:color="000000" w:sz="4" w:space="0"/>
              <w:left w:val="single" w:color="000000" w:sz="4" w:space="0"/>
              <w:bottom w:val="single" w:color="000000" w:sz="4" w:space="0"/>
              <w:right w:val="single" w:color="000000" w:sz="4" w:space="0"/>
            </w:tcBorders>
            <w:vAlign w:val="center"/>
          </w:tcPr>
          <w:p w14:paraId="4E49E5B5">
            <w:pPr>
              <w:jc w:val="center"/>
              <w:rPr>
                <w:rFonts w:hint="eastAsia" w:ascii="仿宋" w:hAnsi="仿宋" w:eastAsia="仿宋" w:cs="仿宋"/>
                <w:color w:val="000000" w:themeColor="text1"/>
                <w:sz w:val="24"/>
                <w:szCs w:val="24"/>
                <w14:textFill>
                  <w14:solidFill>
                    <w14:schemeClr w14:val="tx1"/>
                  </w14:solidFill>
                </w14:textFill>
              </w:rPr>
            </w:pPr>
          </w:p>
        </w:tc>
      </w:tr>
      <w:tr w14:paraId="5BA57E1A">
        <w:tblPrEx>
          <w:tblCellMar>
            <w:top w:w="0" w:type="dxa"/>
            <w:left w:w="108" w:type="dxa"/>
            <w:bottom w:w="0" w:type="dxa"/>
            <w:right w:w="108" w:type="dxa"/>
          </w:tblCellMar>
        </w:tblPrEx>
        <w:trPr>
          <w:trHeight w:val="1668" w:hRule="atLeast"/>
          <w:jc w:val="center"/>
        </w:trPr>
        <w:tc>
          <w:tcPr>
            <w:tcW w:w="1078" w:type="dxa"/>
            <w:tcBorders>
              <w:top w:val="single" w:color="000000" w:sz="4" w:space="0"/>
              <w:left w:val="single" w:color="000000" w:sz="4" w:space="0"/>
              <w:bottom w:val="single" w:color="000000" w:sz="4" w:space="0"/>
              <w:right w:val="single" w:color="000000" w:sz="4" w:space="0"/>
            </w:tcBorders>
            <w:vAlign w:val="center"/>
          </w:tcPr>
          <w:p w14:paraId="4A4468EA">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序号</w:t>
            </w:r>
          </w:p>
        </w:tc>
        <w:tc>
          <w:tcPr>
            <w:tcW w:w="3010" w:type="dxa"/>
            <w:tcBorders>
              <w:top w:val="single" w:color="000000" w:sz="4" w:space="0"/>
              <w:left w:val="single" w:color="000000" w:sz="4" w:space="0"/>
              <w:bottom w:val="single" w:color="000000" w:sz="4" w:space="0"/>
              <w:right w:val="single" w:color="000000" w:sz="4" w:space="0"/>
            </w:tcBorders>
            <w:vAlign w:val="center"/>
          </w:tcPr>
          <w:p w14:paraId="3D79B505">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供应商名称</w:t>
            </w:r>
          </w:p>
        </w:tc>
        <w:tc>
          <w:tcPr>
            <w:tcW w:w="1830" w:type="dxa"/>
            <w:tcBorders>
              <w:top w:val="single" w:color="000000" w:sz="4" w:space="0"/>
              <w:left w:val="single" w:color="000000" w:sz="4" w:space="0"/>
              <w:bottom w:val="single" w:color="000000" w:sz="4" w:space="0"/>
              <w:right w:val="single" w:color="000000" w:sz="4" w:space="0"/>
            </w:tcBorders>
            <w:vAlign w:val="center"/>
          </w:tcPr>
          <w:p w14:paraId="01225CC2">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报价(元)</w:t>
            </w:r>
          </w:p>
        </w:tc>
        <w:tc>
          <w:tcPr>
            <w:tcW w:w="2492" w:type="dxa"/>
            <w:gridSpan w:val="2"/>
            <w:tcBorders>
              <w:top w:val="single" w:color="000000" w:sz="4" w:space="0"/>
              <w:left w:val="single" w:color="000000" w:sz="4" w:space="0"/>
              <w:bottom w:val="single" w:color="000000" w:sz="4" w:space="0"/>
              <w:right w:val="single" w:color="000000" w:sz="4" w:space="0"/>
            </w:tcBorders>
            <w:vAlign w:val="center"/>
          </w:tcPr>
          <w:p w14:paraId="1E4D2D16">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响应范围（采购范围）</w:t>
            </w:r>
          </w:p>
        </w:tc>
        <w:tc>
          <w:tcPr>
            <w:tcW w:w="1722" w:type="dxa"/>
            <w:tcBorders>
              <w:top w:val="single" w:color="000000" w:sz="4" w:space="0"/>
              <w:left w:val="single" w:color="000000" w:sz="4" w:space="0"/>
              <w:bottom w:val="single" w:color="000000" w:sz="4" w:space="0"/>
              <w:right w:val="single" w:color="000000" w:sz="4" w:space="0"/>
            </w:tcBorders>
            <w:vAlign w:val="center"/>
          </w:tcPr>
          <w:p w14:paraId="11C757B9">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服务期限</w:t>
            </w:r>
          </w:p>
        </w:tc>
        <w:tc>
          <w:tcPr>
            <w:tcW w:w="1801" w:type="dxa"/>
            <w:tcBorders>
              <w:top w:val="single" w:color="000000" w:sz="4" w:space="0"/>
              <w:left w:val="single" w:color="000000" w:sz="4" w:space="0"/>
              <w:bottom w:val="single" w:color="000000" w:sz="4" w:space="0"/>
              <w:right w:val="single" w:color="000000" w:sz="4" w:space="0"/>
            </w:tcBorders>
            <w:vAlign w:val="center"/>
          </w:tcPr>
          <w:p w14:paraId="277D1210">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服务标准</w:t>
            </w:r>
          </w:p>
        </w:tc>
        <w:tc>
          <w:tcPr>
            <w:tcW w:w="1425" w:type="dxa"/>
            <w:tcBorders>
              <w:top w:val="single" w:color="000000" w:sz="4" w:space="0"/>
              <w:left w:val="single" w:color="000000" w:sz="4" w:space="0"/>
              <w:bottom w:val="single" w:color="000000" w:sz="4" w:space="0"/>
              <w:right w:val="single" w:color="000000" w:sz="4" w:space="0"/>
            </w:tcBorders>
            <w:vAlign w:val="center"/>
          </w:tcPr>
          <w:p w14:paraId="042AB457">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响应有效期</w:t>
            </w:r>
          </w:p>
        </w:tc>
        <w:tc>
          <w:tcPr>
            <w:tcW w:w="1327" w:type="dxa"/>
            <w:tcBorders>
              <w:top w:val="single" w:color="000000" w:sz="4" w:space="0"/>
              <w:left w:val="single" w:color="000000" w:sz="4" w:space="0"/>
              <w:bottom w:val="single" w:color="000000" w:sz="4" w:space="0"/>
              <w:right w:val="single" w:color="000000" w:sz="4" w:space="0"/>
            </w:tcBorders>
            <w:vAlign w:val="center"/>
          </w:tcPr>
          <w:p w14:paraId="75551221">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14:paraId="009DC7BC">
        <w:tblPrEx>
          <w:tblCellMar>
            <w:top w:w="0" w:type="dxa"/>
            <w:left w:w="108" w:type="dxa"/>
            <w:bottom w:w="0" w:type="dxa"/>
            <w:right w:w="108" w:type="dxa"/>
          </w:tblCellMar>
        </w:tblPrEx>
        <w:trPr>
          <w:trHeight w:val="1010" w:hRule="atLeast"/>
          <w:jc w:val="center"/>
        </w:trPr>
        <w:tc>
          <w:tcPr>
            <w:tcW w:w="1078" w:type="dxa"/>
            <w:tcBorders>
              <w:top w:val="single" w:color="000000" w:sz="4" w:space="0"/>
              <w:left w:val="single" w:color="000000" w:sz="4" w:space="0"/>
              <w:bottom w:val="single" w:color="000000" w:sz="4" w:space="0"/>
              <w:right w:val="single" w:color="000000" w:sz="4" w:space="0"/>
            </w:tcBorders>
            <w:vAlign w:val="center"/>
          </w:tcPr>
          <w:p w14:paraId="76E38249">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w:t>
            </w:r>
          </w:p>
        </w:tc>
        <w:tc>
          <w:tcPr>
            <w:tcW w:w="3010" w:type="dxa"/>
            <w:tcBorders>
              <w:top w:val="single" w:color="000000" w:sz="4" w:space="0"/>
              <w:left w:val="single" w:color="000000" w:sz="4" w:space="0"/>
              <w:bottom w:val="single" w:color="000000" w:sz="4" w:space="0"/>
              <w:right w:val="single" w:color="000000" w:sz="4" w:space="0"/>
            </w:tcBorders>
            <w:vAlign w:val="center"/>
          </w:tcPr>
          <w:p w14:paraId="110A185E">
            <w:pPr>
              <w:jc w:val="left"/>
              <w:rPr>
                <w:rFonts w:hint="eastAsia" w:ascii="仿宋" w:hAnsi="仿宋" w:eastAsia="仿宋" w:cs="仿宋"/>
                <w:color w:val="000000" w:themeColor="text1"/>
                <w:sz w:val="24"/>
                <w:szCs w:val="24"/>
                <w14:textFill>
                  <w14:solidFill>
                    <w14:schemeClr w14:val="tx1"/>
                  </w14:solidFill>
                </w14:textFill>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4B558CB7">
            <w:pPr>
              <w:jc w:val="center"/>
              <w:rPr>
                <w:rFonts w:hint="eastAsia" w:ascii="仿宋" w:hAnsi="仿宋" w:eastAsia="仿宋" w:cs="仿宋"/>
                <w:color w:val="000000" w:themeColor="text1"/>
                <w:sz w:val="24"/>
                <w:szCs w:val="24"/>
                <w14:textFill>
                  <w14:solidFill>
                    <w14:schemeClr w14:val="tx1"/>
                  </w14:solidFill>
                </w14:textFill>
              </w:rPr>
            </w:pPr>
          </w:p>
        </w:tc>
        <w:tc>
          <w:tcPr>
            <w:tcW w:w="2492" w:type="dxa"/>
            <w:gridSpan w:val="2"/>
            <w:tcBorders>
              <w:top w:val="single" w:color="000000" w:sz="4" w:space="0"/>
              <w:left w:val="single" w:color="000000" w:sz="4" w:space="0"/>
              <w:bottom w:val="single" w:color="000000" w:sz="4" w:space="0"/>
              <w:right w:val="single" w:color="000000" w:sz="4" w:space="0"/>
            </w:tcBorders>
            <w:vAlign w:val="center"/>
          </w:tcPr>
          <w:p w14:paraId="2C0415A8">
            <w:pPr>
              <w:jc w:val="center"/>
              <w:rPr>
                <w:rFonts w:hint="eastAsia" w:ascii="仿宋" w:hAnsi="仿宋" w:eastAsia="仿宋" w:cs="仿宋"/>
                <w:color w:val="000000" w:themeColor="text1"/>
                <w:sz w:val="24"/>
                <w:szCs w:val="24"/>
                <w14:textFill>
                  <w14:solidFill>
                    <w14:schemeClr w14:val="tx1"/>
                  </w14:solidFill>
                </w14:textFill>
              </w:rPr>
            </w:pPr>
          </w:p>
        </w:tc>
        <w:tc>
          <w:tcPr>
            <w:tcW w:w="1722" w:type="dxa"/>
            <w:tcBorders>
              <w:top w:val="single" w:color="000000" w:sz="4" w:space="0"/>
              <w:left w:val="single" w:color="000000" w:sz="4" w:space="0"/>
              <w:bottom w:val="single" w:color="000000" w:sz="4" w:space="0"/>
              <w:right w:val="single" w:color="000000" w:sz="4" w:space="0"/>
            </w:tcBorders>
            <w:vAlign w:val="center"/>
          </w:tcPr>
          <w:p w14:paraId="33BFAB51">
            <w:pPr>
              <w:jc w:val="center"/>
              <w:rPr>
                <w:rFonts w:hint="eastAsia" w:ascii="仿宋" w:hAnsi="仿宋" w:eastAsia="仿宋" w:cs="仿宋"/>
                <w:color w:val="000000" w:themeColor="text1"/>
                <w:sz w:val="24"/>
                <w:szCs w:val="24"/>
                <w14:textFill>
                  <w14:solidFill>
                    <w14:schemeClr w14:val="tx1"/>
                  </w14:solidFill>
                </w14:textFill>
              </w:rPr>
            </w:pPr>
          </w:p>
        </w:tc>
        <w:tc>
          <w:tcPr>
            <w:tcW w:w="1801" w:type="dxa"/>
            <w:tcBorders>
              <w:top w:val="single" w:color="000000" w:sz="4" w:space="0"/>
              <w:left w:val="single" w:color="000000" w:sz="4" w:space="0"/>
              <w:bottom w:val="single" w:color="000000" w:sz="4" w:space="0"/>
              <w:right w:val="single" w:color="000000" w:sz="4" w:space="0"/>
            </w:tcBorders>
            <w:vAlign w:val="center"/>
          </w:tcPr>
          <w:p w14:paraId="5B1C21BC">
            <w:pPr>
              <w:jc w:val="center"/>
              <w:rPr>
                <w:rFonts w:hint="eastAsia" w:ascii="仿宋" w:hAnsi="仿宋" w:eastAsia="仿宋" w:cs="仿宋"/>
                <w:color w:val="000000" w:themeColor="text1"/>
                <w:sz w:val="24"/>
                <w:szCs w:val="24"/>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14704EF">
            <w:pPr>
              <w:jc w:val="center"/>
              <w:rPr>
                <w:rFonts w:hint="eastAsia" w:ascii="仿宋" w:hAnsi="仿宋" w:eastAsia="仿宋" w:cs="仿宋"/>
                <w:color w:val="000000" w:themeColor="text1"/>
                <w:sz w:val="24"/>
                <w:szCs w:val="24"/>
                <w14:textFill>
                  <w14:solidFill>
                    <w14:schemeClr w14:val="tx1"/>
                  </w14:solidFill>
                </w14:textFill>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7C952448">
            <w:pPr>
              <w:jc w:val="center"/>
              <w:rPr>
                <w:rFonts w:hint="eastAsia" w:ascii="仿宋" w:hAnsi="仿宋" w:eastAsia="仿宋" w:cs="仿宋"/>
                <w:color w:val="000000" w:themeColor="text1"/>
                <w:sz w:val="24"/>
                <w:szCs w:val="24"/>
                <w14:textFill>
                  <w14:solidFill>
                    <w14:schemeClr w14:val="tx1"/>
                  </w14:solidFill>
                </w14:textFill>
              </w:rPr>
            </w:pPr>
          </w:p>
        </w:tc>
      </w:tr>
      <w:tr w14:paraId="7A8803FF">
        <w:tblPrEx>
          <w:tblCellMar>
            <w:top w:w="0" w:type="dxa"/>
            <w:left w:w="108" w:type="dxa"/>
            <w:bottom w:w="0" w:type="dxa"/>
            <w:right w:w="108" w:type="dxa"/>
          </w:tblCellMar>
        </w:tblPrEx>
        <w:trPr>
          <w:trHeight w:val="315" w:hRule="atLeast"/>
          <w:jc w:val="center"/>
        </w:trPr>
        <w:tc>
          <w:tcPr>
            <w:tcW w:w="14685" w:type="dxa"/>
            <w:gridSpan w:val="9"/>
            <w:tcBorders>
              <w:top w:val="single" w:color="000000" w:sz="4" w:space="0"/>
              <w:left w:val="single" w:color="000000" w:sz="4" w:space="0"/>
              <w:bottom w:val="single" w:color="000000" w:sz="4" w:space="0"/>
              <w:right w:val="single" w:color="000000" w:sz="4" w:space="0"/>
            </w:tcBorders>
            <w:vAlign w:val="center"/>
          </w:tcPr>
          <w:p w14:paraId="4004283A">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★开标声明 :本表格填写内容应与政采云平台开标一览表填写内容一致；在政采云开标过程中报价确认签字时段为30分钟，未在规定时间内签字确认的视为不响应磋商文件要求。</w:t>
            </w:r>
          </w:p>
        </w:tc>
      </w:tr>
    </w:tbl>
    <w:p w14:paraId="4F0E4B84">
      <w:pPr>
        <w:adjustRightInd w:val="0"/>
        <w:snapToGrid w:val="0"/>
        <w:spacing w:line="372" w:lineRule="auto"/>
        <w:rPr>
          <w:rFonts w:hint="eastAsia" w:ascii="仿宋" w:hAnsi="仿宋" w:eastAsia="仿宋" w:cs="仿宋"/>
          <w:color w:val="000000" w:themeColor="text1"/>
          <w:sz w:val="24"/>
          <w:szCs w:val="24"/>
          <w14:textFill>
            <w14:solidFill>
              <w14:schemeClr w14:val="tx1"/>
            </w14:solidFill>
          </w14:textFill>
        </w:rPr>
      </w:pPr>
    </w:p>
    <w:p w14:paraId="415D0E8F">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供应商名称（加盖公章）：</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7273E6C9">
      <w:pPr>
        <w:adjustRightInd w:val="0"/>
        <w:snapToGrid w:val="0"/>
        <w:spacing w:line="372" w:lineRule="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响应方授权代表签字：</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43C02A9">
      <w:pPr>
        <w:spacing w:line="450" w:lineRule="atLeas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B22C927">
      <w:pPr>
        <w:pStyle w:val="139"/>
        <w:widowControl/>
        <w:wordWrap w:val="0"/>
        <w:spacing w:before="100" w:beforeAutospacing="1" w:after="100" w:afterAutospacing="1" w:line="315" w:lineRule="atLeast"/>
        <w:ind w:firstLine="0" w:firstLineChars="0"/>
        <w:jc w:val="left"/>
        <w:rPr>
          <w:rFonts w:hint="eastAsia" w:ascii="仿宋" w:hAnsi="仿宋" w:eastAsia="仿宋" w:cs="仿宋"/>
          <w:b/>
          <w:bCs/>
          <w:color w:val="000000" w:themeColor="text1"/>
          <w:kern w:val="0"/>
          <w:sz w:val="24"/>
          <w:szCs w:val="24"/>
          <w14:textFill>
            <w14:solidFill>
              <w14:schemeClr w14:val="tx1"/>
            </w14:solidFill>
          </w14:textFill>
        </w:rPr>
        <w:sectPr>
          <w:pgSz w:w="16840" w:h="11907" w:orient="landscape"/>
          <w:pgMar w:top="1474" w:right="1440" w:bottom="1474" w:left="1440" w:header="851" w:footer="992" w:gutter="0"/>
          <w:cols w:space="720" w:num="1"/>
          <w:docGrid w:linePitch="312" w:charSpace="0"/>
        </w:sectPr>
      </w:pPr>
    </w:p>
    <w:p w14:paraId="7D492378">
      <w:pPr>
        <w:pStyle w:val="139"/>
        <w:widowControl/>
        <w:wordWrap w:val="0"/>
        <w:spacing w:before="100" w:beforeAutospacing="1" w:after="100" w:afterAutospacing="1" w:line="315" w:lineRule="atLeast"/>
        <w:ind w:firstLine="0" w:firstLineChars="0"/>
        <w:jc w:val="left"/>
        <w:rPr>
          <w:rFonts w:hint="eastAsia" w:ascii="仿宋" w:hAnsi="仿宋" w:eastAsia="仿宋" w:cs="仿宋"/>
          <w:b/>
          <w:bCs/>
          <w:color w:val="000000" w:themeColor="text1"/>
          <w:kern w:val="0"/>
          <w:sz w:val="24"/>
          <w:szCs w:val="24"/>
          <w14:textFill>
            <w14:solidFill>
              <w14:schemeClr w14:val="tx1"/>
            </w14:solidFill>
          </w14:textFill>
        </w:rPr>
      </w:pPr>
    </w:p>
    <w:p w14:paraId="79E2A142">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bookmarkStart w:id="72" w:name="_Toc9631_WPSOffice_Level2"/>
      <w:bookmarkStart w:id="73" w:name="_Toc2668_WPSOffice_Level2"/>
      <w:bookmarkStart w:id="74" w:name="_Toc24535"/>
      <w:bookmarkStart w:id="75" w:name="_Toc24080_WPSOffice_Level2"/>
      <w:bookmarkStart w:id="76" w:name="_Toc22667"/>
      <w:bookmarkStart w:id="77" w:name="_Toc25232_WPSOffice_Level2"/>
      <w:bookmarkStart w:id="78" w:name="_Toc10199"/>
      <w:r>
        <w:rPr>
          <w:rFonts w:hint="eastAsia" w:ascii="仿宋" w:hAnsi="仿宋" w:eastAsia="仿宋" w:cs="仿宋"/>
          <w:b/>
          <w:bCs/>
          <w:color w:val="000000" w:themeColor="text1"/>
          <w:sz w:val="32"/>
          <w:szCs w:val="32"/>
          <w14:textFill>
            <w14:solidFill>
              <w14:schemeClr w14:val="tx1"/>
            </w14:solidFill>
          </w14:textFill>
        </w:rPr>
        <w:t>三、法定代表人身份证明书</w:t>
      </w:r>
      <w:bookmarkEnd w:id="72"/>
      <w:bookmarkEnd w:id="73"/>
      <w:bookmarkEnd w:id="74"/>
      <w:bookmarkEnd w:id="75"/>
      <w:bookmarkEnd w:id="76"/>
      <w:bookmarkEnd w:id="77"/>
      <w:bookmarkEnd w:id="78"/>
      <w:r>
        <w:rPr>
          <w:rFonts w:hint="eastAsia" w:ascii="仿宋" w:hAnsi="仿宋" w:eastAsia="仿宋" w:cs="仿宋"/>
          <w:b/>
          <w:bCs/>
          <w:color w:val="000000" w:themeColor="text1"/>
          <w:sz w:val="24"/>
          <w:szCs w:val="24"/>
          <w14:textFill>
            <w14:solidFill>
              <w14:schemeClr w14:val="tx1"/>
            </w14:solidFill>
          </w14:textFill>
        </w:rPr>
        <w:t xml:space="preserve"> </w:t>
      </w:r>
    </w:p>
    <w:p w14:paraId="06516C1F">
      <w:pPr>
        <w:spacing w:line="360" w:lineRule="auto"/>
        <w:jc w:val="center"/>
        <w:rPr>
          <w:rFonts w:hint="eastAsia" w:ascii="仿宋" w:hAnsi="仿宋" w:eastAsia="仿宋" w:cs="仿宋"/>
          <w:bCs/>
          <w:color w:val="000000" w:themeColor="text1"/>
          <w:sz w:val="24"/>
          <w:szCs w:val="24"/>
          <w14:textFill>
            <w14:solidFill>
              <w14:schemeClr w14:val="tx1"/>
            </w14:solidFill>
          </w14:textFill>
        </w:rPr>
      </w:pPr>
    </w:p>
    <w:p w14:paraId="7CADA093">
      <w:pPr>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       </w:t>
      </w: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是</w:t>
      </w: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（投标单位名称）的法定代表人。</w:t>
      </w:r>
    </w:p>
    <w:p w14:paraId="2BF613E6">
      <w:pPr>
        <w:spacing w:line="360" w:lineRule="auto"/>
        <w:ind w:firstLine="7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其身份证号码为：</w:t>
      </w: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 xml:space="preserve"> 。</w:t>
      </w:r>
    </w:p>
    <w:p w14:paraId="1A6638FF">
      <w:pPr>
        <w:spacing w:line="360" w:lineRule="auto"/>
        <w:ind w:firstLine="7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特此证明。</w:t>
      </w:r>
    </w:p>
    <w:p w14:paraId="5EA54B54">
      <w:pPr>
        <w:spacing w:line="360" w:lineRule="auto"/>
        <w:ind w:firstLine="720"/>
        <w:rPr>
          <w:rFonts w:hint="eastAsia" w:ascii="仿宋" w:hAnsi="仿宋" w:eastAsia="仿宋" w:cs="仿宋"/>
          <w:bCs/>
          <w:color w:val="000000" w:themeColor="text1"/>
          <w:sz w:val="24"/>
          <w:szCs w:val="24"/>
          <w14:textFill>
            <w14:solidFill>
              <w14:schemeClr w14:val="tx1"/>
            </w14:solidFill>
          </w14:textFill>
        </w:rPr>
      </w:pPr>
    </w:p>
    <w:p w14:paraId="0647B44E">
      <w:pPr>
        <w:spacing w:line="360" w:lineRule="auto"/>
        <w:ind w:firstLine="720"/>
        <w:rPr>
          <w:rFonts w:hint="eastAsia" w:ascii="仿宋" w:hAnsi="仿宋" w:eastAsia="仿宋" w:cs="仿宋"/>
          <w:bCs/>
          <w:color w:val="000000" w:themeColor="text1"/>
          <w:sz w:val="24"/>
          <w:szCs w:val="24"/>
          <w14:textFill>
            <w14:solidFill>
              <w14:schemeClr w14:val="tx1"/>
            </w14:solidFill>
          </w14:textFill>
        </w:rPr>
      </w:pPr>
    </w:p>
    <w:p w14:paraId="07DCBF33">
      <w:pPr>
        <w:spacing w:line="360" w:lineRule="auto"/>
        <w:ind w:firstLine="720"/>
        <w:rPr>
          <w:rFonts w:hint="eastAsia" w:ascii="仿宋" w:hAnsi="仿宋" w:eastAsia="仿宋" w:cs="仿宋"/>
          <w:bCs/>
          <w:color w:val="000000" w:themeColor="text1"/>
          <w:sz w:val="24"/>
          <w:szCs w:val="24"/>
          <w14:textFill>
            <w14:solidFill>
              <w14:schemeClr w14:val="tx1"/>
            </w14:solidFill>
          </w14:textFill>
        </w:rPr>
      </w:pPr>
    </w:p>
    <w:p w14:paraId="3A9FB71C">
      <w:pPr>
        <w:spacing w:line="360" w:lineRule="auto"/>
        <w:ind w:firstLine="720"/>
        <w:rPr>
          <w:rFonts w:hint="eastAsia" w:ascii="仿宋" w:hAnsi="仿宋" w:eastAsia="仿宋" w:cs="仿宋"/>
          <w:bCs/>
          <w:color w:val="000000" w:themeColor="text1"/>
          <w:sz w:val="24"/>
          <w:szCs w:val="24"/>
          <w14:textFill>
            <w14:solidFill>
              <w14:schemeClr w14:val="tx1"/>
            </w14:solidFill>
          </w14:textFill>
        </w:rPr>
      </w:pPr>
    </w:p>
    <w:p w14:paraId="1C406DC3">
      <w:pPr>
        <w:spacing w:line="360" w:lineRule="auto"/>
        <w:ind w:firstLine="7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   供 应 商  ：</w:t>
      </w: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（公章）</w:t>
      </w:r>
    </w:p>
    <w:p w14:paraId="6EBF9B58">
      <w:pPr>
        <w:spacing w:line="360" w:lineRule="auto"/>
        <w:ind w:firstLine="7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   法定代表人：</w:t>
      </w: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（签字或盖章）</w:t>
      </w:r>
    </w:p>
    <w:p w14:paraId="47B76013">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p>
    <w:p w14:paraId="60EDA253">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    </w:t>
      </w:r>
    </w:p>
    <w:p w14:paraId="177939CC">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     年    月    日</w:t>
      </w:r>
    </w:p>
    <w:p w14:paraId="20AB1350">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p>
    <w:p w14:paraId="5E10B37C">
      <w:pPr>
        <w:spacing w:line="360" w:lineRule="auto"/>
        <w:rPr>
          <w:rFonts w:hint="eastAsia" w:ascii="仿宋" w:hAnsi="仿宋" w:eastAsia="仿宋" w:cs="仿宋"/>
          <w:b/>
          <w:bCs/>
          <w:color w:val="000000" w:themeColor="text1"/>
          <w:sz w:val="24"/>
          <w:szCs w:val="24"/>
          <w14:textFill>
            <w14:solidFill>
              <w14:schemeClr w14:val="tx1"/>
            </w14:solidFill>
          </w14:textFill>
        </w:rPr>
      </w:pPr>
    </w:p>
    <w:p w14:paraId="41C28A91">
      <w:pPr>
        <w:spacing w:line="360" w:lineRule="auto"/>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（附法人身份证正反面加盖公章）</w:t>
      </w:r>
    </w:p>
    <w:p w14:paraId="5F4AB371">
      <w:pPr>
        <w:spacing w:line="360" w:lineRule="auto"/>
        <w:textAlignment w:val="baseline"/>
        <w:rPr>
          <w:rFonts w:hint="eastAsia" w:ascii="仿宋" w:hAnsi="仿宋" w:eastAsia="仿宋" w:cs="仿宋"/>
          <w:color w:val="000000" w:themeColor="text1"/>
          <w:sz w:val="24"/>
          <w:szCs w:val="24"/>
          <w14:textFill>
            <w14:solidFill>
              <w14:schemeClr w14:val="tx1"/>
            </w14:solidFill>
          </w14:textFill>
        </w:rPr>
      </w:pPr>
    </w:p>
    <w:p w14:paraId="4FD2DCED">
      <w:pPr>
        <w:spacing w:line="360" w:lineRule="auto"/>
        <w:textAlignment w:val="baseline"/>
        <w:rPr>
          <w:rFonts w:hint="eastAsia" w:ascii="仿宋" w:hAnsi="仿宋" w:eastAsia="仿宋" w:cs="仿宋"/>
          <w:color w:val="000000" w:themeColor="text1"/>
          <w:sz w:val="24"/>
          <w:szCs w:val="24"/>
          <w14:textFill>
            <w14:solidFill>
              <w14:schemeClr w14:val="tx1"/>
            </w14:solidFill>
          </w14:textFill>
        </w:rPr>
      </w:pPr>
    </w:p>
    <w:p w14:paraId="677258FF">
      <w:pPr>
        <w:spacing w:line="360" w:lineRule="auto"/>
        <w:textAlignment w:val="baseline"/>
        <w:rPr>
          <w:rFonts w:hint="eastAsia" w:ascii="仿宋" w:hAnsi="仿宋" w:eastAsia="仿宋" w:cs="仿宋"/>
          <w:color w:val="000000" w:themeColor="text1"/>
          <w:sz w:val="24"/>
          <w:szCs w:val="24"/>
          <w14:textFill>
            <w14:solidFill>
              <w14:schemeClr w14:val="tx1"/>
            </w14:solidFill>
          </w14:textFill>
        </w:rPr>
      </w:pPr>
    </w:p>
    <w:p w14:paraId="28CD13DE">
      <w:pPr>
        <w:spacing w:line="360" w:lineRule="auto"/>
        <w:textAlignment w:val="baseline"/>
        <w:rPr>
          <w:rFonts w:hint="eastAsia" w:ascii="仿宋" w:hAnsi="仿宋" w:eastAsia="仿宋" w:cs="仿宋"/>
          <w:color w:val="000000" w:themeColor="text1"/>
          <w:sz w:val="24"/>
          <w:szCs w:val="24"/>
          <w14:textFill>
            <w14:solidFill>
              <w14:schemeClr w14:val="tx1"/>
            </w14:solidFill>
          </w14:textFill>
        </w:rPr>
      </w:pPr>
    </w:p>
    <w:p w14:paraId="5E7FEE55">
      <w:pPr>
        <w:pStyle w:val="16"/>
        <w:spacing w:line="450" w:lineRule="atLeast"/>
        <w:rPr>
          <w:rFonts w:hint="eastAsia" w:ascii="仿宋" w:hAnsi="仿宋" w:eastAsia="仿宋" w:cs="仿宋"/>
          <w:b/>
          <w:color w:val="000000" w:themeColor="text1"/>
          <w:spacing w:val="20"/>
          <w:sz w:val="24"/>
          <w:szCs w:val="24"/>
          <w14:textFill>
            <w14:solidFill>
              <w14:schemeClr w14:val="tx1"/>
            </w14:solidFill>
          </w14:textFill>
        </w:rPr>
      </w:pPr>
    </w:p>
    <w:p w14:paraId="6CE7260B">
      <w:pPr>
        <w:pStyle w:val="16"/>
        <w:spacing w:line="450" w:lineRule="atLeast"/>
        <w:rPr>
          <w:rFonts w:hint="eastAsia" w:ascii="仿宋" w:hAnsi="仿宋" w:eastAsia="仿宋" w:cs="仿宋"/>
          <w:b/>
          <w:color w:val="000000" w:themeColor="text1"/>
          <w:spacing w:val="20"/>
          <w:sz w:val="24"/>
          <w:szCs w:val="24"/>
          <w14:textFill>
            <w14:solidFill>
              <w14:schemeClr w14:val="tx1"/>
            </w14:solidFill>
          </w14:textFill>
        </w:rPr>
      </w:pPr>
    </w:p>
    <w:p w14:paraId="7AAB54CD">
      <w:pPr>
        <w:pStyle w:val="16"/>
        <w:spacing w:line="450" w:lineRule="atLeast"/>
        <w:rPr>
          <w:rFonts w:hint="eastAsia" w:ascii="仿宋" w:hAnsi="仿宋" w:eastAsia="仿宋" w:cs="仿宋"/>
          <w:b/>
          <w:color w:val="000000" w:themeColor="text1"/>
          <w:spacing w:val="20"/>
          <w:sz w:val="24"/>
          <w:szCs w:val="24"/>
          <w14:textFill>
            <w14:solidFill>
              <w14:schemeClr w14:val="tx1"/>
            </w14:solidFill>
          </w14:textFill>
        </w:rPr>
      </w:pPr>
    </w:p>
    <w:p w14:paraId="19E13064">
      <w:pPr>
        <w:pStyle w:val="16"/>
        <w:spacing w:line="450" w:lineRule="atLeast"/>
        <w:rPr>
          <w:rFonts w:hint="eastAsia" w:ascii="仿宋" w:hAnsi="仿宋" w:eastAsia="仿宋" w:cs="仿宋"/>
          <w:b/>
          <w:color w:val="000000" w:themeColor="text1"/>
          <w:spacing w:val="20"/>
          <w:sz w:val="24"/>
          <w:szCs w:val="24"/>
          <w14:textFill>
            <w14:solidFill>
              <w14:schemeClr w14:val="tx1"/>
            </w14:solidFill>
          </w14:textFill>
        </w:rPr>
      </w:pPr>
    </w:p>
    <w:p w14:paraId="6F0A1FCD">
      <w:pPr>
        <w:pStyle w:val="16"/>
        <w:spacing w:line="450" w:lineRule="atLeast"/>
        <w:rPr>
          <w:rFonts w:hint="eastAsia" w:ascii="仿宋" w:hAnsi="仿宋" w:eastAsia="仿宋" w:cs="仿宋"/>
          <w:b/>
          <w:color w:val="000000" w:themeColor="text1"/>
          <w:spacing w:val="20"/>
          <w:sz w:val="24"/>
          <w:szCs w:val="24"/>
          <w14:textFill>
            <w14:solidFill>
              <w14:schemeClr w14:val="tx1"/>
            </w14:solidFill>
          </w14:textFill>
        </w:rPr>
      </w:pPr>
    </w:p>
    <w:p w14:paraId="7272F381">
      <w:pPr>
        <w:pStyle w:val="16"/>
        <w:spacing w:line="450" w:lineRule="atLeast"/>
        <w:rPr>
          <w:rFonts w:hint="eastAsia" w:ascii="仿宋" w:hAnsi="仿宋" w:eastAsia="仿宋" w:cs="仿宋"/>
          <w:b/>
          <w:color w:val="000000" w:themeColor="text1"/>
          <w:spacing w:val="20"/>
          <w:sz w:val="24"/>
          <w:szCs w:val="24"/>
          <w14:textFill>
            <w14:solidFill>
              <w14:schemeClr w14:val="tx1"/>
            </w14:solidFill>
          </w14:textFill>
        </w:rPr>
      </w:pPr>
    </w:p>
    <w:p w14:paraId="3EF49BC4">
      <w:pPr>
        <w:pStyle w:val="16"/>
        <w:spacing w:line="450" w:lineRule="atLeast"/>
        <w:rPr>
          <w:rFonts w:hint="eastAsia" w:ascii="仿宋" w:hAnsi="仿宋" w:eastAsia="仿宋" w:cs="仿宋"/>
          <w:b/>
          <w:color w:val="000000" w:themeColor="text1"/>
          <w:spacing w:val="20"/>
          <w:sz w:val="24"/>
          <w:szCs w:val="24"/>
          <w14:textFill>
            <w14:solidFill>
              <w14:schemeClr w14:val="tx1"/>
            </w14:solidFill>
          </w14:textFill>
        </w:rPr>
      </w:pPr>
    </w:p>
    <w:p w14:paraId="49088A71">
      <w:pPr>
        <w:pStyle w:val="16"/>
        <w:spacing w:line="450" w:lineRule="atLeast"/>
        <w:jc w:val="center"/>
        <w:rPr>
          <w:rFonts w:hint="eastAsia" w:ascii="仿宋" w:hAnsi="仿宋" w:eastAsia="仿宋" w:cs="仿宋"/>
          <w:b/>
          <w:color w:val="000000" w:themeColor="text1"/>
          <w:spacing w:val="20"/>
          <w:sz w:val="24"/>
          <w:szCs w:val="24"/>
          <w14:textFill>
            <w14:solidFill>
              <w14:schemeClr w14:val="tx1"/>
            </w14:solidFill>
          </w14:textFill>
        </w:rPr>
      </w:pPr>
      <w:bookmarkStart w:id="79" w:name="_Toc19487_WPSOffice_Level1"/>
      <w:bookmarkStart w:id="80" w:name="_Toc22428_WPSOffice_Level1"/>
      <w:bookmarkStart w:id="81" w:name="_Toc3476_WPSOffice_Level1"/>
      <w:bookmarkStart w:id="82" w:name="_Toc20394_WPSOffice_Level1"/>
      <w:bookmarkStart w:id="83" w:name="_Toc2827_WPSOffice_Level1"/>
      <w:bookmarkStart w:id="84" w:name="_Toc10350_WPSOffice_Level1"/>
      <w:bookmarkStart w:id="85" w:name="_Toc18903_WPSOffice_Level1"/>
      <w:bookmarkStart w:id="86" w:name="_Toc30163_WPSOffice_Level1"/>
      <w:r>
        <w:rPr>
          <w:rFonts w:hint="eastAsia" w:ascii="仿宋" w:hAnsi="仿宋" w:eastAsia="仿宋" w:cs="仿宋"/>
          <w:b/>
          <w:bCs/>
          <w:color w:val="000000" w:themeColor="text1"/>
          <w:kern w:val="2"/>
          <w:sz w:val="32"/>
          <w:szCs w:val="32"/>
          <w14:textFill>
            <w14:solidFill>
              <w14:schemeClr w14:val="tx1"/>
            </w14:solidFill>
          </w14:textFill>
        </w:rPr>
        <w:t>法定代表人授权书</w:t>
      </w:r>
      <w:bookmarkEnd w:id="79"/>
      <w:bookmarkEnd w:id="80"/>
      <w:bookmarkEnd w:id="81"/>
      <w:bookmarkEnd w:id="82"/>
      <w:bookmarkEnd w:id="83"/>
      <w:bookmarkEnd w:id="84"/>
      <w:bookmarkEnd w:id="85"/>
      <w:bookmarkEnd w:id="86"/>
    </w:p>
    <w:p w14:paraId="67B3DB87">
      <w:pPr>
        <w:pStyle w:val="16"/>
        <w:spacing w:line="360" w:lineRule="auto"/>
        <w:jc w:val="left"/>
        <w:rPr>
          <w:rFonts w:hint="eastAsia" w:ascii="仿宋" w:hAnsi="仿宋" w:eastAsia="仿宋" w:cs="仿宋"/>
          <w:color w:val="000000" w:themeColor="text1"/>
          <w:sz w:val="24"/>
          <w:szCs w:val="24"/>
          <w14:textFill>
            <w14:solidFill>
              <w14:schemeClr w14:val="tx1"/>
            </w14:solidFill>
          </w14:textFill>
        </w:rPr>
      </w:pPr>
    </w:p>
    <w:p w14:paraId="79F9B902">
      <w:pPr>
        <w:spacing w:line="360" w:lineRule="auto"/>
        <w:ind w:firstLine="63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本授权委托书声明：我  </w:t>
      </w:r>
      <w:r>
        <w:rPr>
          <w:rFonts w:hint="eastAsia" w:ascii="仿宋" w:hAnsi="仿宋" w:eastAsia="仿宋" w:cs="仿宋"/>
          <w:bCs/>
          <w:color w:val="000000" w:themeColor="text1"/>
          <w:kern w:val="0"/>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val="zh-CN"/>
          <w14:textFill>
            <w14:solidFill>
              <w14:schemeClr w14:val="tx1"/>
            </w14:solidFill>
          </w14:textFill>
        </w:rPr>
        <w:t xml:space="preserve">      </w:t>
      </w:r>
      <w:r>
        <w:rPr>
          <w:rFonts w:hint="eastAsia" w:ascii="仿宋" w:hAnsi="仿宋" w:eastAsia="仿宋" w:cs="仿宋"/>
          <w:bCs/>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系</w:t>
      </w: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的法定代表人，现授权委托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为我单位的代理人，以本单位的名义参加</w:t>
      </w: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kern w:val="0"/>
          <w:sz w:val="24"/>
          <w:szCs w:val="24"/>
          <w14:textFill>
            <w14:solidFill>
              <w14:schemeClr w14:val="tx1"/>
            </w14:solidFill>
          </w14:textFill>
        </w:rPr>
        <w:t>招投标工</w:t>
      </w:r>
      <w:r>
        <w:rPr>
          <w:rFonts w:hint="eastAsia" w:ascii="仿宋" w:hAnsi="仿宋" w:eastAsia="仿宋" w:cs="仿宋"/>
          <w:color w:val="000000" w:themeColor="text1"/>
          <w:sz w:val="24"/>
          <w:szCs w:val="24"/>
          <w14:textFill>
            <w14:solidFill>
              <w14:schemeClr w14:val="tx1"/>
            </w14:solidFill>
          </w14:textFill>
        </w:rPr>
        <w:t>作。代理人签署的文件和参加整个招标中所签署的一切文件和处理与之有关的一切事务，我均予以承认。</w:t>
      </w:r>
    </w:p>
    <w:p w14:paraId="7C3B824D">
      <w:pPr>
        <w:pStyle w:val="16"/>
        <w:spacing w:line="360" w:lineRule="auto"/>
        <w:rPr>
          <w:rFonts w:hint="eastAsia" w:ascii="仿宋" w:hAnsi="仿宋" w:eastAsia="仿宋" w:cs="仿宋"/>
          <w:color w:val="000000" w:themeColor="text1"/>
          <w:spacing w:val="20"/>
          <w:sz w:val="24"/>
          <w:szCs w:val="24"/>
          <w14:textFill>
            <w14:solidFill>
              <w14:schemeClr w14:val="tx1"/>
            </w14:solidFill>
          </w14:textFill>
        </w:rPr>
      </w:pPr>
    </w:p>
    <w:p w14:paraId="1202B87D">
      <w:pPr>
        <w:pStyle w:val="16"/>
        <w:spacing w:line="360" w:lineRule="auto"/>
        <w:rPr>
          <w:rFonts w:hint="eastAsia" w:ascii="仿宋" w:hAnsi="仿宋" w:eastAsia="仿宋" w:cs="仿宋"/>
          <w:color w:val="000000" w:themeColor="text1"/>
          <w:spacing w:val="20"/>
          <w:sz w:val="24"/>
          <w:szCs w:val="24"/>
          <w14:textFill>
            <w14:solidFill>
              <w14:schemeClr w14:val="tx1"/>
            </w14:solidFill>
          </w14:textFill>
        </w:rPr>
      </w:pPr>
    </w:p>
    <w:p w14:paraId="0D6C5846">
      <w:pPr>
        <w:pStyle w:val="16"/>
        <w:spacing w:line="360" w:lineRule="auto"/>
        <w:rPr>
          <w:rFonts w:hint="eastAsia" w:ascii="仿宋" w:hAnsi="仿宋" w:eastAsia="仿宋" w:cs="仿宋"/>
          <w:color w:val="000000" w:themeColor="text1"/>
          <w:spacing w:val="20"/>
          <w:sz w:val="24"/>
          <w:szCs w:val="24"/>
          <w:u w:val="single"/>
          <w14:textFill>
            <w14:solidFill>
              <w14:schemeClr w14:val="tx1"/>
            </w14:solidFill>
          </w14:textFill>
        </w:rPr>
      </w:pPr>
      <w:r>
        <w:rPr>
          <w:rFonts w:hint="eastAsia" w:ascii="仿宋" w:hAnsi="仿宋" w:eastAsia="仿宋" w:cs="仿宋"/>
          <w:color w:val="000000" w:themeColor="text1"/>
          <w:spacing w:val="20"/>
          <w:sz w:val="24"/>
          <w:szCs w:val="24"/>
          <w14:textFill>
            <w14:solidFill>
              <w14:schemeClr w14:val="tx1"/>
            </w14:solidFill>
          </w14:textFill>
        </w:rPr>
        <w:t>供应商（公章）：</w:t>
      </w:r>
      <w:r>
        <w:rPr>
          <w:rFonts w:hint="eastAsia" w:ascii="仿宋" w:hAnsi="仿宋" w:eastAsia="仿宋" w:cs="仿宋"/>
          <w:color w:val="000000" w:themeColor="text1"/>
          <w:spacing w:val="20"/>
          <w:sz w:val="24"/>
          <w:szCs w:val="24"/>
          <w:u w:val="single"/>
          <w14:textFill>
            <w14:solidFill>
              <w14:schemeClr w14:val="tx1"/>
            </w14:solidFill>
          </w14:textFill>
        </w:rPr>
        <w:t xml:space="preserve">                           </w:t>
      </w:r>
    </w:p>
    <w:p w14:paraId="10832623">
      <w:pPr>
        <w:pStyle w:val="16"/>
        <w:spacing w:line="360" w:lineRule="auto"/>
        <w:rPr>
          <w:rFonts w:hint="eastAsia" w:ascii="仿宋" w:hAnsi="仿宋" w:eastAsia="仿宋" w:cs="仿宋"/>
          <w:color w:val="000000" w:themeColor="text1"/>
          <w:spacing w:val="20"/>
          <w:sz w:val="24"/>
          <w:szCs w:val="24"/>
          <w14:textFill>
            <w14:solidFill>
              <w14:schemeClr w14:val="tx1"/>
            </w14:solidFill>
          </w14:textFill>
        </w:rPr>
      </w:pPr>
      <w:r>
        <w:rPr>
          <w:rFonts w:hint="eastAsia" w:ascii="仿宋" w:hAnsi="仿宋" w:eastAsia="仿宋" w:cs="仿宋"/>
          <w:color w:val="000000" w:themeColor="text1"/>
          <w:spacing w:val="20"/>
          <w:sz w:val="24"/>
          <w:szCs w:val="24"/>
          <w14:textFill>
            <w14:solidFill>
              <w14:schemeClr w14:val="tx1"/>
            </w14:solidFill>
          </w14:textFill>
        </w:rPr>
        <w:t>法定代表人（公章）：　</w:t>
      </w:r>
      <w:r>
        <w:rPr>
          <w:rFonts w:hint="eastAsia" w:ascii="仿宋" w:hAnsi="仿宋" w:eastAsia="仿宋" w:cs="仿宋"/>
          <w:color w:val="000000" w:themeColor="text1"/>
          <w:spacing w:val="20"/>
          <w:sz w:val="24"/>
          <w:szCs w:val="24"/>
          <w:u w:val="single"/>
          <w14:textFill>
            <w14:solidFill>
              <w14:schemeClr w14:val="tx1"/>
            </w14:solidFill>
          </w14:textFill>
        </w:rPr>
        <w:t xml:space="preserve">                        </w:t>
      </w:r>
      <w:r>
        <w:rPr>
          <w:rFonts w:hint="eastAsia" w:ascii="仿宋" w:hAnsi="仿宋" w:eastAsia="仿宋" w:cs="仿宋"/>
          <w:color w:val="000000" w:themeColor="text1"/>
          <w:spacing w:val="20"/>
          <w:sz w:val="24"/>
          <w:szCs w:val="24"/>
          <w14:textFill>
            <w14:solidFill>
              <w14:schemeClr w14:val="tx1"/>
            </w14:solidFill>
          </w14:textFill>
        </w:rPr>
        <w:t xml:space="preserve"> </w:t>
      </w:r>
    </w:p>
    <w:p w14:paraId="125AC2BE">
      <w:pPr>
        <w:pStyle w:val="16"/>
        <w:spacing w:line="360" w:lineRule="auto"/>
        <w:rPr>
          <w:rFonts w:hint="eastAsia" w:ascii="仿宋" w:hAnsi="仿宋" w:eastAsia="仿宋" w:cs="仿宋"/>
          <w:color w:val="000000" w:themeColor="text1"/>
          <w:spacing w:val="20"/>
          <w:sz w:val="24"/>
          <w:szCs w:val="24"/>
          <w14:textFill>
            <w14:solidFill>
              <w14:schemeClr w14:val="tx1"/>
            </w14:solidFill>
          </w14:textFill>
        </w:rPr>
      </w:pPr>
      <w:r>
        <w:rPr>
          <w:rFonts w:hint="eastAsia" w:ascii="仿宋" w:hAnsi="仿宋" w:eastAsia="仿宋" w:cs="仿宋"/>
          <w:color w:val="000000" w:themeColor="text1"/>
          <w:spacing w:val="20"/>
          <w:sz w:val="24"/>
          <w:szCs w:val="24"/>
          <w14:textFill>
            <w14:solidFill>
              <w14:schemeClr w14:val="tx1"/>
            </w14:solidFill>
          </w14:textFill>
        </w:rPr>
        <w:t>地     点：  　</w:t>
      </w:r>
      <w:r>
        <w:rPr>
          <w:rFonts w:hint="eastAsia" w:ascii="仿宋" w:hAnsi="仿宋" w:eastAsia="仿宋" w:cs="仿宋"/>
          <w:color w:val="000000" w:themeColor="text1"/>
          <w:spacing w:val="20"/>
          <w:sz w:val="24"/>
          <w:szCs w:val="24"/>
          <w:u w:val="single"/>
          <w14:textFill>
            <w14:solidFill>
              <w14:schemeClr w14:val="tx1"/>
            </w14:solidFill>
          </w14:textFill>
        </w:rPr>
        <w:t xml:space="preserve">　　　　　　　　　           </w:t>
      </w:r>
      <w:r>
        <w:rPr>
          <w:rFonts w:hint="eastAsia" w:ascii="仿宋" w:hAnsi="仿宋" w:eastAsia="仿宋" w:cs="仿宋"/>
          <w:color w:val="000000" w:themeColor="text1"/>
          <w:spacing w:val="20"/>
          <w:sz w:val="24"/>
          <w:szCs w:val="24"/>
          <w14:textFill>
            <w14:solidFill>
              <w14:schemeClr w14:val="tx1"/>
            </w14:solidFill>
          </w14:textFill>
        </w:rPr>
        <w:t xml:space="preserve"> </w:t>
      </w:r>
    </w:p>
    <w:p w14:paraId="3EEDA513">
      <w:pPr>
        <w:spacing w:line="360" w:lineRule="auto"/>
        <w:rPr>
          <w:rFonts w:hint="eastAsia" w:ascii="仿宋" w:hAnsi="仿宋" w:eastAsia="仿宋" w:cs="仿宋"/>
          <w:color w:val="000000" w:themeColor="text1"/>
          <w:spacing w:val="20"/>
          <w:sz w:val="24"/>
          <w:szCs w:val="24"/>
          <w14:textFill>
            <w14:solidFill>
              <w14:schemeClr w14:val="tx1"/>
            </w14:solidFill>
          </w14:textFill>
        </w:rPr>
      </w:pPr>
      <w:r>
        <w:rPr>
          <w:rFonts w:hint="eastAsia" w:ascii="仿宋" w:hAnsi="仿宋" w:eastAsia="仿宋" w:cs="仿宋"/>
          <w:color w:val="000000" w:themeColor="text1"/>
          <w:spacing w:val="20"/>
          <w:sz w:val="24"/>
          <w:szCs w:val="24"/>
          <w14:textFill>
            <w14:solidFill>
              <w14:schemeClr w14:val="tx1"/>
            </w14:solidFill>
          </w14:textFill>
        </w:rPr>
        <w:t>时     间：  　</w:t>
      </w:r>
      <w:r>
        <w:rPr>
          <w:rFonts w:hint="eastAsia" w:ascii="仿宋" w:hAnsi="仿宋" w:eastAsia="仿宋" w:cs="仿宋"/>
          <w:color w:val="000000" w:themeColor="text1"/>
          <w:spacing w:val="20"/>
          <w:sz w:val="24"/>
          <w:szCs w:val="24"/>
          <w:u w:val="single"/>
          <w14:textFill>
            <w14:solidFill>
              <w14:schemeClr w14:val="tx1"/>
            </w14:solidFill>
          </w14:textFill>
        </w:rPr>
        <w:t xml:space="preserve">            　　　　　　　　 </w:t>
      </w:r>
      <w:r>
        <w:rPr>
          <w:rFonts w:hint="eastAsia" w:ascii="仿宋" w:hAnsi="仿宋" w:eastAsia="仿宋" w:cs="仿宋"/>
          <w:color w:val="000000" w:themeColor="text1"/>
          <w:spacing w:val="20"/>
          <w:sz w:val="24"/>
          <w:szCs w:val="24"/>
          <w14:textFill>
            <w14:solidFill>
              <w14:schemeClr w14:val="tx1"/>
            </w14:solidFill>
          </w14:textFill>
        </w:rPr>
        <w:t xml:space="preserve">   </w:t>
      </w:r>
    </w:p>
    <w:p w14:paraId="3DE2B0A1">
      <w:pPr>
        <w:spacing w:line="360" w:lineRule="auto"/>
        <w:rPr>
          <w:rFonts w:hint="eastAsia" w:ascii="仿宋" w:hAnsi="仿宋" w:eastAsia="仿宋" w:cs="仿宋"/>
          <w:color w:val="000000" w:themeColor="text1"/>
          <w:spacing w:val="20"/>
          <w:sz w:val="24"/>
          <w:szCs w:val="24"/>
          <w14:textFill>
            <w14:solidFill>
              <w14:schemeClr w14:val="tx1"/>
            </w14:solidFill>
          </w14:textFill>
        </w:rPr>
      </w:pPr>
    </w:p>
    <w:p w14:paraId="3C9EEB74">
      <w:pPr>
        <w:tabs>
          <w:tab w:val="left" w:pos="5805"/>
        </w:tabs>
        <w:spacing w:line="360" w:lineRule="auto"/>
        <w:ind w:left="560" w:hanging="56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0"/>
          <w:sz w:val="24"/>
          <w:szCs w:val="24"/>
          <w14:textFill>
            <w14:solidFill>
              <w14:schemeClr w14:val="tx1"/>
            </w14:solidFill>
          </w14:textFill>
        </w:rPr>
        <w:t>注：</w:t>
      </w:r>
      <w:r>
        <w:rPr>
          <w:rFonts w:hint="eastAsia" w:ascii="仿宋" w:hAnsi="仿宋" w:eastAsia="仿宋" w:cs="仿宋"/>
          <w:color w:val="000000" w:themeColor="text1"/>
          <w:spacing w:val="20"/>
          <w:sz w:val="24"/>
          <w:szCs w:val="24"/>
          <w:u w:val="single"/>
          <w14:textFill>
            <w14:solidFill>
              <w14:schemeClr w14:val="tx1"/>
            </w14:solidFill>
          </w14:textFill>
        </w:rPr>
        <w:t>请在响应文件中附上法人以及委托人身份证复印件正反两面（加盖公章和法人印章）</w:t>
      </w:r>
      <w:r>
        <w:rPr>
          <w:rFonts w:hint="eastAsia" w:ascii="仿宋" w:hAnsi="仿宋" w:eastAsia="仿宋" w:cs="仿宋"/>
          <w:color w:val="000000" w:themeColor="text1"/>
          <w:spacing w:val="20"/>
          <w:sz w:val="24"/>
          <w:szCs w:val="24"/>
          <w14:textFill>
            <w14:solidFill>
              <w14:schemeClr w14:val="tx1"/>
            </w14:solidFill>
          </w14:textFill>
        </w:rPr>
        <w:t>。</w:t>
      </w:r>
    </w:p>
    <w:p w14:paraId="37BB8840">
      <w:pPr>
        <w:pStyle w:val="16"/>
        <w:adjustRightInd w:val="0"/>
        <w:snapToGrid w:val="0"/>
        <w:rPr>
          <w:rFonts w:hint="eastAsia" w:ascii="仿宋" w:hAnsi="仿宋" w:eastAsia="仿宋" w:cs="仿宋"/>
          <w:color w:val="000000" w:themeColor="text1"/>
          <w:sz w:val="24"/>
          <w:szCs w:val="24"/>
          <w14:textFill>
            <w14:solidFill>
              <w14:schemeClr w14:val="tx1"/>
            </w14:solidFill>
          </w14:textFill>
        </w:rPr>
      </w:pPr>
    </w:p>
    <w:p w14:paraId="3066C130">
      <w:pPr>
        <w:pStyle w:val="16"/>
        <w:adjustRightInd w:val="0"/>
        <w:snapToGrid w:val="0"/>
        <w:rPr>
          <w:rFonts w:hint="eastAsia" w:ascii="仿宋" w:hAnsi="仿宋" w:eastAsia="仿宋" w:cs="仿宋"/>
          <w:color w:val="000000" w:themeColor="text1"/>
          <w:sz w:val="24"/>
          <w:szCs w:val="24"/>
          <w14:textFill>
            <w14:solidFill>
              <w14:schemeClr w14:val="tx1"/>
            </w14:solidFill>
          </w14:textFill>
        </w:rPr>
      </w:pPr>
    </w:p>
    <w:p w14:paraId="710E2248">
      <w:pPr>
        <w:ind w:firstLine="2640" w:firstLineChars="1100"/>
        <w:rPr>
          <w:rFonts w:hint="eastAsia" w:ascii="仿宋" w:hAnsi="仿宋" w:eastAsia="仿宋" w:cs="仿宋"/>
          <w:color w:val="000000" w:themeColor="text1"/>
          <w:sz w:val="24"/>
          <w:szCs w:val="24"/>
          <w14:textFill>
            <w14:solidFill>
              <w14:schemeClr w14:val="tx1"/>
            </w14:solidFill>
          </w14:textFill>
        </w:rPr>
      </w:pPr>
    </w:p>
    <w:p w14:paraId="464607D0">
      <w:pPr>
        <w:ind w:firstLine="2640" w:firstLineChars="1100"/>
        <w:rPr>
          <w:rFonts w:hint="eastAsia" w:ascii="仿宋" w:hAnsi="仿宋" w:eastAsia="仿宋" w:cs="仿宋"/>
          <w:color w:val="000000" w:themeColor="text1"/>
          <w:sz w:val="24"/>
          <w:szCs w:val="24"/>
          <w14:textFill>
            <w14:solidFill>
              <w14:schemeClr w14:val="tx1"/>
            </w14:solidFill>
          </w14:textFill>
        </w:rPr>
      </w:pPr>
    </w:p>
    <w:p w14:paraId="07A68085">
      <w:pPr>
        <w:rPr>
          <w:rFonts w:hint="eastAsia" w:ascii="仿宋" w:hAnsi="仿宋" w:eastAsia="仿宋" w:cs="仿宋"/>
          <w:color w:val="000000" w:themeColor="text1"/>
          <w:sz w:val="24"/>
          <w:szCs w:val="24"/>
          <w14:textFill>
            <w14:solidFill>
              <w14:schemeClr w14:val="tx1"/>
            </w14:solidFill>
          </w14:textFill>
        </w:rPr>
      </w:pPr>
    </w:p>
    <w:p w14:paraId="199D2C82">
      <w:pPr>
        <w:rPr>
          <w:rFonts w:hint="eastAsia" w:ascii="仿宋" w:hAnsi="仿宋" w:eastAsia="仿宋" w:cs="仿宋"/>
          <w:color w:val="000000" w:themeColor="text1"/>
          <w:sz w:val="24"/>
          <w:szCs w:val="24"/>
          <w14:textFill>
            <w14:solidFill>
              <w14:schemeClr w14:val="tx1"/>
            </w14:solidFill>
          </w14:textFill>
        </w:rPr>
      </w:pPr>
    </w:p>
    <w:p w14:paraId="3DC147ED">
      <w:pPr>
        <w:rPr>
          <w:rFonts w:hint="eastAsia" w:ascii="仿宋" w:hAnsi="仿宋" w:eastAsia="仿宋" w:cs="仿宋"/>
          <w:color w:val="000000" w:themeColor="text1"/>
          <w:sz w:val="24"/>
          <w:szCs w:val="24"/>
          <w14:textFill>
            <w14:solidFill>
              <w14:schemeClr w14:val="tx1"/>
            </w14:solidFill>
          </w14:textFill>
        </w:rPr>
      </w:pPr>
    </w:p>
    <w:p w14:paraId="3AF11AA0">
      <w:pPr>
        <w:rPr>
          <w:rFonts w:hint="eastAsia" w:ascii="仿宋" w:hAnsi="仿宋" w:eastAsia="仿宋" w:cs="仿宋"/>
          <w:color w:val="000000" w:themeColor="text1"/>
          <w:sz w:val="24"/>
          <w:szCs w:val="24"/>
          <w14:textFill>
            <w14:solidFill>
              <w14:schemeClr w14:val="tx1"/>
            </w14:solidFill>
          </w14:textFill>
        </w:rPr>
      </w:pPr>
    </w:p>
    <w:p w14:paraId="4E97498F">
      <w:pPr>
        <w:rPr>
          <w:rFonts w:hint="eastAsia" w:ascii="仿宋" w:hAnsi="仿宋" w:eastAsia="仿宋" w:cs="仿宋"/>
          <w:color w:val="000000" w:themeColor="text1"/>
          <w:sz w:val="24"/>
          <w:szCs w:val="24"/>
          <w14:textFill>
            <w14:solidFill>
              <w14:schemeClr w14:val="tx1"/>
            </w14:solidFill>
          </w14:textFill>
        </w:rPr>
      </w:pPr>
    </w:p>
    <w:p w14:paraId="1CEDE032">
      <w:pPr>
        <w:rPr>
          <w:rFonts w:hint="eastAsia" w:ascii="仿宋" w:hAnsi="仿宋" w:eastAsia="仿宋" w:cs="仿宋"/>
          <w:color w:val="000000" w:themeColor="text1"/>
          <w:sz w:val="24"/>
          <w:szCs w:val="24"/>
          <w14:textFill>
            <w14:solidFill>
              <w14:schemeClr w14:val="tx1"/>
            </w14:solidFill>
          </w14:textFill>
        </w:rPr>
      </w:pPr>
    </w:p>
    <w:p w14:paraId="6CBEB18F">
      <w:pPr>
        <w:rPr>
          <w:rFonts w:hint="eastAsia" w:ascii="仿宋" w:hAnsi="仿宋" w:eastAsia="仿宋" w:cs="仿宋"/>
          <w:color w:val="000000" w:themeColor="text1"/>
          <w:sz w:val="24"/>
          <w:szCs w:val="24"/>
          <w14:textFill>
            <w14:solidFill>
              <w14:schemeClr w14:val="tx1"/>
            </w14:solidFill>
          </w14:textFill>
        </w:rPr>
      </w:pPr>
    </w:p>
    <w:p w14:paraId="6AAE9B28">
      <w:pPr>
        <w:rPr>
          <w:rFonts w:hint="eastAsia" w:ascii="仿宋" w:hAnsi="仿宋" w:eastAsia="仿宋" w:cs="仿宋"/>
          <w:color w:val="000000" w:themeColor="text1"/>
          <w:sz w:val="24"/>
          <w:szCs w:val="24"/>
          <w14:textFill>
            <w14:solidFill>
              <w14:schemeClr w14:val="tx1"/>
            </w14:solidFill>
          </w14:textFill>
        </w:rPr>
      </w:pPr>
    </w:p>
    <w:p w14:paraId="47833010">
      <w:pPr>
        <w:rPr>
          <w:rFonts w:hint="eastAsia" w:ascii="仿宋" w:hAnsi="仿宋" w:eastAsia="仿宋" w:cs="仿宋"/>
          <w:color w:val="000000" w:themeColor="text1"/>
          <w:sz w:val="24"/>
          <w:szCs w:val="24"/>
          <w14:textFill>
            <w14:solidFill>
              <w14:schemeClr w14:val="tx1"/>
            </w14:solidFill>
          </w14:textFill>
        </w:rPr>
      </w:pPr>
    </w:p>
    <w:p w14:paraId="0ED7AA2F">
      <w:pPr>
        <w:pStyle w:val="25"/>
        <w:spacing w:after="120"/>
        <w:rPr>
          <w:rFonts w:hint="eastAsia" w:ascii="仿宋" w:hAnsi="仿宋" w:eastAsia="仿宋" w:cs="仿宋"/>
          <w:color w:val="000000" w:themeColor="text1"/>
          <w14:textFill>
            <w14:solidFill>
              <w14:schemeClr w14:val="tx1"/>
            </w14:solidFill>
          </w14:textFill>
        </w:rPr>
      </w:pPr>
    </w:p>
    <w:p w14:paraId="02A894C9">
      <w:pPr>
        <w:pStyle w:val="25"/>
        <w:spacing w:after="120"/>
        <w:rPr>
          <w:rFonts w:hint="eastAsia" w:ascii="仿宋" w:hAnsi="仿宋" w:eastAsia="仿宋" w:cs="仿宋"/>
          <w:color w:val="000000" w:themeColor="text1"/>
          <w14:textFill>
            <w14:solidFill>
              <w14:schemeClr w14:val="tx1"/>
            </w14:solidFill>
          </w14:textFill>
        </w:rPr>
      </w:pPr>
    </w:p>
    <w:p w14:paraId="18608FFB">
      <w:pPr>
        <w:pStyle w:val="25"/>
        <w:spacing w:after="120"/>
        <w:rPr>
          <w:rFonts w:hint="eastAsia" w:ascii="仿宋" w:hAnsi="仿宋" w:eastAsia="仿宋" w:cs="仿宋"/>
          <w:color w:val="000000" w:themeColor="text1"/>
          <w14:textFill>
            <w14:solidFill>
              <w14:schemeClr w14:val="tx1"/>
            </w14:solidFill>
          </w14:textFill>
        </w:rPr>
      </w:pPr>
    </w:p>
    <w:p w14:paraId="4B804310">
      <w:pPr>
        <w:pStyle w:val="25"/>
        <w:spacing w:after="120"/>
        <w:rPr>
          <w:rFonts w:hint="eastAsia" w:ascii="仿宋" w:hAnsi="仿宋" w:eastAsia="仿宋" w:cs="仿宋"/>
          <w:color w:val="000000" w:themeColor="text1"/>
          <w14:textFill>
            <w14:solidFill>
              <w14:schemeClr w14:val="tx1"/>
            </w14:solidFill>
          </w14:textFill>
        </w:rPr>
      </w:pPr>
    </w:p>
    <w:p w14:paraId="1299941B">
      <w:pPr>
        <w:pStyle w:val="25"/>
        <w:spacing w:after="120"/>
        <w:rPr>
          <w:rFonts w:hint="eastAsia" w:ascii="仿宋" w:hAnsi="仿宋" w:eastAsia="仿宋" w:cs="仿宋"/>
          <w:color w:val="000000" w:themeColor="text1"/>
          <w14:textFill>
            <w14:solidFill>
              <w14:schemeClr w14:val="tx1"/>
            </w14:solidFill>
          </w14:textFill>
        </w:rPr>
      </w:pPr>
    </w:p>
    <w:p w14:paraId="28D39ABD">
      <w:pPr>
        <w:tabs>
          <w:tab w:val="left" w:pos="576"/>
        </w:tabs>
        <w:rPr>
          <w:rFonts w:hint="eastAsia" w:ascii="仿宋" w:hAnsi="仿宋" w:eastAsia="仿宋" w:cs="仿宋"/>
          <w:color w:val="000000" w:themeColor="text1"/>
          <w:sz w:val="24"/>
          <w:szCs w:val="24"/>
          <w14:textFill>
            <w14:solidFill>
              <w14:schemeClr w14:val="tx1"/>
            </w14:solidFill>
          </w14:textFill>
        </w:rPr>
      </w:pPr>
      <w:bookmarkStart w:id="87" w:name="_Toc424212009"/>
      <w:bookmarkStart w:id="88" w:name="_Toc460703987"/>
    </w:p>
    <w:p w14:paraId="58E410B6">
      <w:pPr>
        <w:spacing w:line="450" w:lineRule="atLeast"/>
        <w:jc w:val="center"/>
        <w:rPr>
          <w:rFonts w:hint="eastAsia" w:ascii="仿宋" w:hAnsi="仿宋" w:eastAsia="仿宋" w:cs="仿宋"/>
          <w:b/>
          <w:color w:val="000000" w:themeColor="text1"/>
          <w:spacing w:val="20"/>
          <w:sz w:val="32"/>
          <w:szCs w:val="32"/>
          <w14:textFill>
            <w14:solidFill>
              <w14:schemeClr w14:val="tx1"/>
            </w14:solidFill>
          </w14:textFill>
        </w:rPr>
      </w:pPr>
      <w:bookmarkStart w:id="89" w:name="_Toc467"/>
      <w:bookmarkStart w:id="90" w:name="_Toc9315"/>
      <w:bookmarkStart w:id="91" w:name="_Toc25948"/>
      <w:r>
        <w:rPr>
          <w:rFonts w:hint="eastAsia" w:ascii="仿宋" w:hAnsi="仿宋" w:eastAsia="仿宋" w:cs="仿宋"/>
          <w:b/>
          <w:bCs/>
          <w:color w:val="000000" w:themeColor="text1"/>
          <w:sz w:val="32"/>
          <w:szCs w:val="32"/>
          <w14:textFill>
            <w14:solidFill>
              <w14:schemeClr w14:val="tx1"/>
            </w14:solidFill>
          </w14:textFill>
        </w:rPr>
        <w:t>四、磋商保证金交纳凭证</w:t>
      </w:r>
      <w:bookmarkEnd w:id="87"/>
      <w:bookmarkEnd w:id="88"/>
      <w:bookmarkEnd w:id="89"/>
      <w:bookmarkEnd w:id="90"/>
      <w:bookmarkEnd w:id="91"/>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0F1C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2" w:hRule="atLeast"/>
        </w:trPr>
        <w:tc>
          <w:tcPr>
            <w:tcW w:w="8840" w:type="dxa"/>
            <w:vAlign w:val="center"/>
          </w:tcPr>
          <w:p w14:paraId="4061FDF8">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本项目不收取磋商保证金</w:t>
            </w:r>
          </w:p>
          <w:p w14:paraId="0A58E37F">
            <w:pPr>
              <w:spacing w:after="96" w:afterLines="4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（本项可空）</w:t>
            </w:r>
          </w:p>
        </w:tc>
      </w:tr>
    </w:tbl>
    <w:p w14:paraId="473BE94D">
      <w:pPr>
        <w:tabs>
          <w:tab w:val="left" w:pos="576"/>
        </w:tabs>
        <w:rPr>
          <w:rFonts w:hint="eastAsia" w:ascii="仿宋" w:hAnsi="仿宋" w:eastAsia="仿宋" w:cs="仿宋"/>
          <w:i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60721AB8">
      <w:pPr>
        <w:numPr>
          <w:ilvl w:val="0"/>
          <w:numId w:val="4"/>
        </w:numPr>
        <w:spacing w:line="450" w:lineRule="atLeast"/>
        <w:jc w:val="center"/>
        <w:rPr>
          <w:rFonts w:hint="eastAsia" w:ascii="仿宋" w:hAnsi="仿宋" w:eastAsia="仿宋" w:cs="仿宋"/>
          <w:b/>
          <w:bCs/>
          <w:color w:val="000000" w:themeColor="text1"/>
          <w:sz w:val="36"/>
          <w:szCs w:val="36"/>
          <w14:textFill>
            <w14:solidFill>
              <w14:schemeClr w14:val="tx1"/>
            </w14:solidFill>
          </w14:textFill>
        </w:rPr>
      </w:pPr>
      <w:bookmarkStart w:id="92" w:name="_Toc27918"/>
      <w:bookmarkStart w:id="93" w:name="_Toc11445"/>
      <w:bookmarkStart w:id="94" w:name="_Toc32213"/>
      <w:r>
        <w:rPr>
          <w:rFonts w:hint="eastAsia" w:ascii="仿宋" w:hAnsi="仿宋" w:eastAsia="仿宋" w:cs="仿宋"/>
          <w:b/>
          <w:bCs/>
          <w:color w:val="000000" w:themeColor="text1"/>
          <w:sz w:val="36"/>
          <w:szCs w:val="36"/>
          <w14:textFill>
            <w14:solidFill>
              <w14:schemeClr w14:val="tx1"/>
            </w14:solidFill>
          </w14:textFill>
        </w:rPr>
        <w:t>承诺书</w:t>
      </w:r>
      <w:bookmarkEnd w:id="92"/>
      <w:bookmarkEnd w:id="93"/>
      <w:bookmarkEnd w:id="94"/>
    </w:p>
    <w:p w14:paraId="1477E654">
      <w:pPr>
        <w:pStyle w:val="7"/>
        <w:ind w:firstLine="0"/>
        <w:jc w:val="center"/>
        <w:rPr>
          <w:rFonts w:hint="eastAsia" w:ascii="仿宋" w:hAnsi="仿宋" w:eastAsia="仿宋" w:cs="仿宋"/>
          <w:b/>
          <w:bCs/>
          <w:color w:val="000000" w:themeColor="text1"/>
          <w:sz w:val="32"/>
          <w:szCs w:val="32"/>
          <w14:textFill>
            <w14:solidFill>
              <w14:schemeClr w14:val="tx1"/>
            </w14:solidFill>
          </w14:textFill>
        </w:rPr>
      </w:pPr>
    </w:p>
    <w:p w14:paraId="56CBE40E">
      <w:pPr>
        <w:pStyle w:val="7"/>
        <w:ind w:firstLine="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反商业贿赂承诺书</w:t>
      </w:r>
    </w:p>
    <w:p w14:paraId="66F8C81F">
      <w:pPr>
        <w:spacing w:line="360" w:lineRule="auto"/>
        <w:rPr>
          <w:rFonts w:hint="eastAsia" w:ascii="仿宋" w:hAnsi="仿宋" w:eastAsia="仿宋" w:cs="仿宋"/>
          <w:color w:val="000000" w:themeColor="text1"/>
          <w:sz w:val="24"/>
          <w:szCs w:val="24"/>
          <w14:textFill>
            <w14:solidFill>
              <w14:schemeClr w14:val="tx1"/>
            </w14:solidFill>
          </w14:textFill>
        </w:rPr>
      </w:pPr>
    </w:p>
    <w:p w14:paraId="712241B3">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我公司承诺：</w:t>
      </w:r>
    </w:p>
    <w:p w14:paraId="4A3F543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在本次磋商活动中，我公司保证做到：</w:t>
      </w:r>
    </w:p>
    <w:p w14:paraId="7A8E498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一、公平竞争参加本次采购活动。</w:t>
      </w:r>
    </w:p>
    <w:p w14:paraId="3FA866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14:paraId="3A82C2C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三、若出现上述行为，我公司及参与磋商的工作人员愿意接受按照国家法律法规等有关规定给予的处罚。</w:t>
      </w:r>
    </w:p>
    <w:p w14:paraId="45785810">
      <w:pPr>
        <w:spacing w:line="360" w:lineRule="auto"/>
        <w:rPr>
          <w:rFonts w:hint="eastAsia" w:ascii="仿宋" w:hAnsi="仿宋" w:eastAsia="仿宋" w:cs="仿宋"/>
          <w:color w:val="000000" w:themeColor="text1"/>
          <w:sz w:val="24"/>
          <w:szCs w:val="24"/>
          <w14:textFill>
            <w14:solidFill>
              <w14:schemeClr w14:val="tx1"/>
            </w14:solidFill>
          </w14:textFill>
        </w:rPr>
      </w:pPr>
    </w:p>
    <w:p w14:paraId="34D747FD">
      <w:pPr>
        <w:spacing w:line="360" w:lineRule="auto"/>
        <w:rPr>
          <w:rFonts w:hint="eastAsia" w:ascii="仿宋" w:hAnsi="仿宋" w:eastAsia="仿宋" w:cs="仿宋"/>
          <w:color w:val="000000" w:themeColor="text1"/>
          <w:sz w:val="24"/>
          <w:szCs w:val="24"/>
          <w14:textFill>
            <w14:solidFill>
              <w14:schemeClr w14:val="tx1"/>
            </w14:solidFill>
          </w14:textFill>
        </w:rPr>
      </w:pPr>
    </w:p>
    <w:p w14:paraId="41F17726">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供应商名称（加盖公章）：</w:t>
      </w:r>
    </w:p>
    <w:p w14:paraId="6774B628">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法定代表人（盖章）：</w:t>
      </w:r>
    </w:p>
    <w:p w14:paraId="037D1612">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授权代表（签字）：</w:t>
      </w:r>
    </w:p>
    <w:p w14:paraId="70C4557A">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    期：   年  月  日</w:t>
      </w:r>
    </w:p>
    <w:p w14:paraId="0CC84912">
      <w:pPr>
        <w:spacing w:line="360" w:lineRule="auto"/>
        <w:rPr>
          <w:rFonts w:hint="eastAsia" w:ascii="仿宋" w:hAnsi="仿宋" w:eastAsia="仿宋" w:cs="仿宋"/>
          <w:color w:val="000000" w:themeColor="text1"/>
          <w:sz w:val="24"/>
          <w:szCs w:val="24"/>
          <w14:textFill>
            <w14:solidFill>
              <w14:schemeClr w14:val="tx1"/>
            </w14:solidFill>
          </w14:textFill>
        </w:rPr>
        <w:sectPr>
          <w:pgSz w:w="11907" w:h="16840"/>
          <w:pgMar w:top="1440" w:right="1474" w:bottom="1440" w:left="1474" w:header="851" w:footer="992" w:gutter="0"/>
          <w:cols w:space="720" w:num="1"/>
          <w:docGrid w:linePitch="312" w:charSpace="0"/>
        </w:sectPr>
      </w:pPr>
    </w:p>
    <w:p w14:paraId="7F7DC939">
      <w:pPr>
        <w:spacing w:line="560" w:lineRule="exact"/>
        <w:jc w:val="center"/>
        <w:rPr>
          <w:rFonts w:hint="eastAsia" w:ascii="仿宋" w:hAnsi="仿宋" w:eastAsia="仿宋" w:cs="仿宋"/>
          <w:b/>
          <w:bCs/>
          <w:color w:val="000000" w:themeColor="text1"/>
          <w:sz w:val="40"/>
          <w:szCs w:val="40"/>
          <w14:textFill>
            <w14:solidFill>
              <w14:schemeClr w14:val="tx1"/>
            </w14:solidFill>
          </w14:textFill>
        </w:rPr>
      </w:pPr>
      <w:r>
        <w:rPr>
          <w:rFonts w:hint="eastAsia" w:ascii="仿宋" w:hAnsi="仿宋" w:eastAsia="仿宋" w:cs="仿宋"/>
          <w:b/>
          <w:bCs/>
          <w:color w:val="000000" w:themeColor="text1"/>
          <w:sz w:val="40"/>
          <w:szCs w:val="40"/>
          <w14:textFill>
            <w14:solidFill>
              <w14:schemeClr w14:val="tx1"/>
            </w14:solidFill>
          </w14:textFill>
        </w:rPr>
        <w:t>中标承诺书</w:t>
      </w:r>
    </w:p>
    <w:p w14:paraId="179D8858">
      <w:pPr>
        <w:spacing w:line="560" w:lineRule="exact"/>
        <w:rPr>
          <w:rFonts w:hint="eastAsia" w:ascii="仿宋" w:hAnsi="仿宋" w:eastAsia="仿宋" w:cs="仿宋"/>
          <w:color w:val="000000" w:themeColor="text1"/>
          <w:sz w:val="32"/>
          <w:szCs w:val="32"/>
          <w14:textFill>
            <w14:solidFill>
              <w14:schemeClr w14:val="tx1"/>
            </w14:solidFill>
          </w14:textFill>
        </w:rPr>
      </w:pPr>
    </w:p>
    <w:p w14:paraId="11845C88">
      <w:pPr>
        <w:spacing w:line="56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XXX（采购单位）：</w:t>
      </w:r>
    </w:p>
    <w:p w14:paraId="1DDE889A">
      <w:pPr>
        <w:spacing w:line="56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我公司积极参加_______________________项目投标，现将有关事项向贵单位郑重承诺如下:</w:t>
      </w:r>
    </w:p>
    <w:p w14:paraId="7D2B4273">
      <w:pPr>
        <w:spacing w:line="56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b/>
          <w:bCs/>
          <w:color w:val="000000" w:themeColor="text1"/>
          <w:sz w:val="30"/>
          <w:szCs w:val="30"/>
          <w14:textFill>
            <w14:solidFill>
              <w14:schemeClr w14:val="tx1"/>
            </w14:solidFill>
          </w14:textFill>
        </w:rPr>
        <w:t>不行贿： </w:t>
      </w:r>
      <w:r>
        <w:rPr>
          <w:rFonts w:hint="eastAsia" w:ascii="仿宋" w:hAnsi="仿宋" w:eastAsia="仿宋" w:cs="仿宋"/>
          <w:color w:val="000000" w:themeColor="text1"/>
          <w:sz w:val="30"/>
          <w:szCs w:val="30"/>
          <w14:textFill>
            <w14:solidFill>
              <w14:schemeClr w14:val="tx1"/>
            </w14:solidFill>
          </w14:textFill>
        </w:rPr>
        <w:t>在项目建设过程中，我们将严格遵守国家法律法规，坚决杜绝任何形式的行贿行为。我们将秉持公正、公平、公开的原则，与各方合作伙伴保持良好的合作关系。</w:t>
      </w:r>
      <w:r>
        <w:rPr>
          <w:rFonts w:hint="eastAsia" w:ascii="仿宋" w:hAnsi="仿宋" w:eastAsia="仿宋" w:cs="仿宋"/>
          <w:color w:val="000000" w:themeColor="text1"/>
          <w:sz w:val="30"/>
          <w:szCs w:val="30"/>
          <w14:textFill>
            <w14:solidFill>
              <w14:schemeClr w14:val="tx1"/>
            </w14:solidFill>
          </w14:textFill>
        </w:rPr>
        <w:br w:type="textWrapping"/>
      </w:r>
      <w:r>
        <w:rPr>
          <w:rFonts w:hint="eastAsia" w:ascii="仿宋" w:hAnsi="仿宋" w:eastAsia="仿宋" w:cs="仿宋"/>
          <w:color w:val="000000" w:themeColor="text1"/>
          <w:sz w:val="30"/>
          <w:szCs w:val="30"/>
          <w14:textFill>
            <w14:solidFill>
              <w14:schemeClr w14:val="tx1"/>
            </w14:solidFill>
          </w14:textFill>
        </w:rPr>
        <w:t xml:space="preserve">   2. </w:t>
      </w:r>
      <w:r>
        <w:rPr>
          <w:rFonts w:hint="eastAsia" w:ascii="仿宋" w:hAnsi="仿宋" w:eastAsia="仿宋" w:cs="仿宋"/>
          <w:b/>
          <w:bCs/>
          <w:color w:val="000000" w:themeColor="text1"/>
          <w:sz w:val="30"/>
          <w:szCs w:val="30"/>
          <w14:textFill>
            <w14:solidFill>
              <w14:schemeClr w14:val="tx1"/>
            </w14:solidFill>
          </w14:textFill>
        </w:rPr>
        <w:t>不出现“双拖欠”：</w:t>
      </w:r>
      <w:r>
        <w:rPr>
          <w:rFonts w:hint="eastAsia" w:ascii="仿宋" w:hAnsi="仿宋" w:eastAsia="仿宋" w:cs="仿宋"/>
          <w:color w:val="000000" w:themeColor="text1"/>
          <w:sz w:val="30"/>
          <w:szCs w:val="30"/>
          <w14:textFill>
            <w14:solidFill>
              <w14:schemeClr w14:val="tx1"/>
            </w14:solidFill>
          </w14:textFill>
        </w:rPr>
        <w:t>我公司将建立健全的财务管理制度，确保资金的合理使用和及时支付，保证按照合同约定，按时足额支付工人工资和供应商款项，绝不出现拖欠工资和工程款的现象。</w:t>
      </w:r>
      <w:r>
        <w:rPr>
          <w:rFonts w:hint="eastAsia" w:ascii="仿宋" w:hAnsi="仿宋" w:eastAsia="仿宋" w:cs="仿宋"/>
          <w:color w:val="000000" w:themeColor="text1"/>
          <w:sz w:val="30"/>
          <w:szCs w:val="30"/>
          <w14:textFill>
            <w14:solidFill>
              <w14:schemeClr w14:val="tx1"/>
            </w14:solidFill>
          </w14:textFill>
        </w:rPr>
        <w:br w:type="textWrapping"/>
      </w:r>
      <w:r>
        <w:rPr>
          <w:rFonts w:hint="eastAsia" w:ascii="仿宋" w:hAnsi="仿宋" w:eastAsia="仿宋" w:cs="仿宋"/>
          <w:color w:val="000000" w:themeColor="text1"/>
          <w:sz w:val="30"/>
          <w:szCs w:val="30"/>
          <w14:textFill>
            <w14:solidFill>
              <w14:schemeClr w14:val="tx1"/>
            </w14:solidFill>
          </w14:textFill>
        </w:rPr>
        <w:t xml:space="preserve">   3. </w:t>
      </w:r>
      <w:r>
        <w:rPr>
          <w:rFonts w:hint="eastAsia" w:ascii="仿宋" w:hAnsi="仿宋" w:eastAsia="仿宋" w:cs="仿宋"/>
          <w:b/>
          <w:bCs/>
          <w:color w:val="000000" w:themeColor="text1"/>
          <w:sz w:val="30"/>
          <w:szCs w:val="30"/>
          <w14:textFill>
            <w14:solidFill>
              <w14:schemeClr w14:val="tx1"/>
            </w14:solidFill>
          </w14:textFill>
        </w:rPr>
        <w:t>不违法转包、非法分包： </w:t>
      </w:r>
      <w:r>
        <w:rPr>
          <w:rFonts w:hint="eastAsia" w:ascii="仿宋" w:hAnsi="仿宋" w:eastAsia="仿宋" w:cs="仿宋"/>
          <w:color w:val="000000" w:themeColor="text1"/>
          <w:sz w:val="30"/>
          <w:szCs w:val="30"/>
          <w14:textFill>
            <w14:solidFill>
              <w14:schemeClr w14:val="tx1"/>
            </w14:solidFill>
          </w14:textFill>
        </w:rPr>
        <w:t>我们将严格遵守合同约定，保证按照响应文件约定的班组成员进驻施工现场，绝不违法转包、非法分包，确保工程质量和进度。</w:t>
      </w:r>
      <w:r>
        <w:rPr>
          <w:rFonts w:hint="eastAsia" w:ascii="仿宋" w:hAnsi="仿宋" w:eastAsia="仿宋" w:cs="仿宋"/>
          <w:color w:val="000000" w:themeColor="text1"/>
          <w:sz w:val="30"/>
          <w:szCs w:val="30"/>
          <w14:textFill>
            <w14:solidFill>
              <w14:schemeClr w14:val="tx1"/>
            </w14:solidFill>
          </w14:textFill>
        </w:rPr>
        <w:br w:type="textWrapping"/>
      </w:r>
      <w:r>
        <w:rPr>
          <w:rFonts w:hint="eastAsia" w:ascii="仿宋" w:hAnsi="仿宋" w:eastAsia="仿宋" w:cs="仿宋"/>
          <w:color w:val="000000" w:themeColor="text1"/>
          <w:sz w:val="30"/>
          <w:szCs w:val="30"/>
          <w14:textFill>
            <w14:solidFill>
              <w14:schemeClr w14:val="tx1"/>
            </w14:solidFill>
          </w14:textFill>
        </w:rPr>
        <w:t xml:space="preserve">   4. </w:t>
      </w:r>
      <w:r>
        <w:rPr>
          <w:rFonts w:hint="eastAsia" w:ascii="仿宋" w:hAnsi="仿宋" w:eastAsia="仿宋" w:cs="仿宋"/>
          <w:b/>
          <w:bCs/>
          <w:color w:val="000000" w:themeColor="text1"/>
          <w:sz w:val="30"/>
          <w:szCs w:val="30"/>
          <w14:textFill>
            <w14:solidFill>
              <w14:schemeClr w14:val="tx1"/>
            </w14:solidFill>
          </w14:textFill>
        </w:rPr>
        <w:t>良好工程建设信誉：</w:t>
      </w:r>
      <w:r>
        <w:rPr>
          <w:rFonts w:hint="eastAsia" w:ascii="仿宋" w:hAnsi="仿宋" w:eastAsia="仿宋" w:cs="仿宋"/>
          <w:color w:val="000000" w:themeColor="text1"/>
          <w:sz w:val="30"/>
          <w:szCs w:val="30"/>
          <w14:textFill>
            <w14:solidFill>
              <w14:schemeClr w14:val="tx1"/>
            </w14:solidFill>
          </w14:textFill>
        </w:rPr>
        <w:t>我们郑重承诺，在本地区具有良好的工程建设信誉，承诺安全文明施工并提供高质量的工程建设。致力于建立良好的工程建设信誉，信守承诺，为地区经济建设和社会事业发展贡献力量。</w:t>
      </w:r>
      <w:r>
        <w:rPr>
          <w:rFonts w:hint="eastAsia" w:ascii="仿宋" w:hAnsi="仿宋" w:eastAsia="仿宋" w:cs="仿宋"/>
          <w:color w:val="000000" w:themeColor="text1"/>
          <w:sz w:val="30"/>
          <w:szCs w:val="30"/>
          <w14:textFill>
            <w14:solidFill>
              <w14:schemeClr w14:val="tx1"/>
            </w14:solidFill>
          </w14:textFill>
        </w:rPr>
        <w:br w:type="textWrapping"/>
      </w:r>
      <w:r>
        <w:rPr>
          <w:rFonts w:hint="eastAsia" w:ascii="仿宋" w:hAnsi="仿宋" w:eastAsia="仿宋" w:cs="仿宋"/>
          <w:color w:val="000000" w:themeColor="text1"/>
          <w:sz w:val="30"/>
          <w:szCs w:val="30"/>
          <w14:textFill>
            <w14:solidFill>
              <w14:schemeClr w14:val="tx1"/>
            </w14:solidFill>
          </w14:textFill>
        </w:rPr>
        <w:t xml:space="preserve">   如有违反上述承诺，我们愿意承担相应的法律责任和经济赔偿责任，同时，积极配合有关部门的调查和处理，接受社会监督。</w:t>
      </w:r>
      <w:r>
        <w:rPr>
          <w:rFonts w:hint="eastAsia" w:ascii="仿宋" w:hAnsi="仿宋" w:eastAsia="仿宋" w:cs="仿宋"/>
          <w:color w:val="000000" w:themeColor="text1"/>
          <w:sz w:val="30"/>
          <w:szCs w:val="30"/>
          <w14:textFill>
            <w14:solidFill>
              <w14:schemeClr w14:val="tx1"/>
            </w14:solidFill>
          </w14:textFill>
        </w:rPr>
        <w:br w:type="textWrapping"/>
      </w:r>
      <w:r>
        <w:rPr>
          <w:rFonts w:hint="eastAsia" w:ascii="仿宋" w:hAnsi="仿宋" w:eastAsia="仿宋" w:cs="仿宋"/>
          <w:color w:val="000000" w:themeColor="text1"/>
          <w:sz w:val="30"/>
          <w:szCs w:val="30"/>
          <w14:textFill>
            <w14:solidFill>
              <w14:schemeClr w14:val="tx1"/>
            </w14:solidFill>
          </w14:textFill>
        </w:rPr>
        <w:t xml:space="preserve">    承诺单位： </w:t>
      </w:r>
    </w:p>
    <w:p w14:paraId="7FA1330E">
      <w:pPr>
        <w:spacing w:line="56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法定代表人：</w:t>
      </w:r>
    </w:p>
    <w:p w14:paraId="663094E6">
      <w:pPr>
        <w:spacing w:line="56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日期：</w:t>
      </w:r>
    </w:p>
    <w:p w14:paraId="0F052E80">
      <w:pPr>
        <w:spacing w:line="360" w:lineRule="auto"/>
        <w:rPr>
          <w:rFonts w:hint="eastAsia" w:ascii="仿宋" w:hAnsi="仿宋" w:eastAsia="仿宋" w:cs="仿宋"/>
          <w:color w:val="000000" w:themeColor="text1"/>
          <w:sz w:val="24"/>
          <w:szCs w:val="24"/>
          <w14:textFill>
            <w14:solidFill>
              <w14:schemeClr w14:val="tx1"/>
            </w14:solidFill>
          </w14:textFill>
        </w:rPr>
        <w:sectPr>
          <w:pgSz w:w="11907" w:h="16840"/>
          <w:pgMar w:top="1440" w:right="1474" w:bottom="1440" w:left="1474" w:header="851" w:footer="992" w:gutter="0"/>
          <w:cols w:space="720" w:num="1"/>
          <w:docGrid w:linePitch="312" w:charSpace="0"/>
        </w:sectPr>
      </w:pPr>
    </w:p>
    <w:p w14:paraId="07C30978">
      <w:pPr>
        <w:pStyle w:val="140"/>
        <w:jc w:val="center"/>
        <w:outlineLvl w:val="9"/>
        <w:rPr>
          <w:rFonts w:hint="eastAsia" w:ascii="仿宋" w:hAnsi="仿宋" w:eastAsia="仿宋" w:cs="仿宋"/>
          <w:color w:val="000000" w:themeColor="text1"/>
          <w:sz w:val="28"/>
          <w:szCs w:val="28"/>
          <w14:textFill>
            <w14:solidFill>
              <w14:schemeClr w14:val="tx1"/>
            </w14:solidFill>
          </w14:textFill>
        </w:rPr>
      </w:pPr>
      <w:bookmarkStart w:id="95" w:name="_Toc7599"/>
      <w:r>
        <w:rPr>
          <w:rFonts w:hint="eastAsia" w:ascii="仿宋" w:hAnsi="仿宋" w:eastAsia="仿宋" w:cs="仿宋"/>
          <w:color w:val="000000" w:themeColor="text1"/>
          <w:sz w:val="28"/>
          <w:szCs w:val="28"/>
          <w14:textFill>
            <w14:solidFill>
              <w14:schemeClr w14:val="tx1"/>
            </w14:solidFill>
          </w14:textFill>
        </w:rPr>
        <w:t>承诺书</w:t>
      </w:r>
      <w:bookmarkEnd w:id="95"/>
    </w:p>
    <w:p w14:paraId="604EF844">
      <w:pPr>
        <w:spacing w:line="360" w:lineRule="auto"/>
        <w:ind w:right="-153" w:rightChars="-73"/>
        <w:rPr>
          <w:rFonts w:hint="eastAsia" w:ascii="仿宋" w:hAnsi="仿宋" w:eastAsia="仿宋" w:cs="仿宋"/>
          <w:color w:val="000000" w:themeColor="text1"/>
          <w:sz w:val="28"/>
          <w:szCs w:val="28"/>
          <w14:textFill>
            <w14:solidFill>
              <w14:schemeClr w14:val="tx1"/>
            </w14:solidFill>
          </w14:textFill>
        </w:rPr>
      </w:pPr>
    </w:p>
    <w:p w14:paraId="509720F8">
      <w:pPr>
        <w:spacing w:line="360" w:lineRule="auto"/>
        <w:ind w:right="-153" w:rightChars="-7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（采购人）：</w:t>
      </w:r>
    </w:p>
    <w:p w14:paraId="50D8A2E2">
      <w:pPr>
        <w:spacing w:line="360" w:lineRule="auto"/>
        <w:ind w:right="-153" w:rightChars="-73"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我公司参与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（项目名称、编号）投标，本公司郑重承诺：</w:t>
      </w:r>
    </w:p>
    <w:p w14:paraId="21ED9B4F">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1、我公司对竞争性磋商文件规定的采购内容全部作出实质性响应；</w:t>
      </w:r>
    </w:p>
    <w:p w14:paraId="336BEC0F">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2、响应文件未附有采购人不能接受的附加条件的；</w:t>
      </w:r>
    </w:p>
    <w:p w14:paraId="4E4BC46E">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3、满足竞争性磋商文件其他符合性要求。</w:t>
      </w:r>
    </w:p>
    <w:p w14:paraId="4BBB86A7">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4、不存在竞争性磋商文件和法律法规规定的禁止投标的情形</w:t>
      </w:r>
    </w:p>
    <w:p w14:paraId="74299493">
      <w:pPr>
        <w:snapToGrid w:val="0"/>
        <w:spacing w:line="360" w:lineRule="auto"/>
        <w:rPr>
          <w:rFonts w:hint="eastAsia" w:ascii="仿宋" w:hAnsi="仿宋" w:eastAsia="仿宋" w:cs="仿宋"/>
          <w:color w:val="000000" w:themeColor="text1"/>
          <w:sz w:val="28"/>
          <w:szCs w:val="28"/>
          <w14:textFill>
            <w14:solidFill>
              <w14:schemeClr w14:val="tx1"/>
            </w14:solidFill>
          </w14:textFill>
        </w:rPr>
      </w:pPr>
    </w:p>
    <w:p w14:paraId="7A35B86B">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响应供应商全称（公章）：</w:t>
      </w:r>
    </w:p>
    <w:p w14:paraId="79F0EC29">
      <w:pPr>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2AA0D483">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法定代表人或授权代表（签名或签章）：</w:t>
      </w:r>
    </w:p>
    <w:p w14:paraId="7374C6BD">
      <w:pPr>
        <w:spacing w:line="360" w:lineRule="auto"/>
        <w:jc w:val="left"/>
        <w:rPr>
          <w:rFonts w:hint="eastAsia" w:ascii="仿宋" w:hAnsi="仿宋" w:eastAsia="仿宋" w:cs="仿宋"/>
          <w:color w:val="000000" w:themeColor="text1"/>
          <w:sz w:val="24"/>
          <w:szCs w:val="24"/>
          <w14:textFill>
            <w14:solidFill>
              <w14:schemeClr w14:val="tx1"/>
            </w14:solidFill>
          </w14:textFill>
        </w:rPr>
        <w:sectPr>
          <w:pgSz w:w="11907" w:h="16840"/>
          <w:pgMar w:top="1440" w:right="1474" w:bottom="1440" w:left="1474" w:header="851" w:footer="992" w:gutter="0"/>
          <w:cols w:space="720" w:num="1"/>
          <w:docGrid w:linePitch="312" w:charSpace="0"/>
        </w:sectPr>
      </w:pPr>
      <w:r>
        <w:rPr>
          <w:rFonts w:hint="eastAsia" w:ascii="仿宋" w:hAnsi="仿宋" w:eastAsia="仿宋" w:cs="仿宋"/>
          <w:color w:val="000000" w:themeColor="text1"/>
          <w:sz w:val="28"/>
          <w:szCs w:val="28"/>
          <w14:textFill>
            <w14:solidFill>
              <w14:schemeClr w14:val="tx1"/>
            </w14:solidFill>
          </w14:textFill>
        </w:rPr>
        <w:t>日 期：  年  月  日</w:t>
      </w:r>
    </w:p>
    <w:bookmarkEnd w:id="59"/>
    <w:bookmarkEnd w:id="60"/>
    <w:p w14:paraId="24C920BE">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bookmarkStart w:id="96" w:name="_Toc15770"/>
      <w:bookmarkStart w:id="97" w:name="_Toc18177"/>
      <w:r>
        <w:rPr>
          <w:rFonts w:hint="eastAsia" w:ascii="仿宋" w:hAnsi="仿宋" w:eastAsia="仿宋" w:cs="仿宋"/>
          <w:b/>
          <w:bCs/>
          <w:color w:val="000000" w:themeColor="text1"/>
          <w:sz w:val="32"/>
          <w:szCs w:val="32"/>
          <w14:textFill>
            <w14:solidFill>
              <w14:schemeClr w14:val="tx1"/>
            </w14:solidFill>
          </w14:textFill>
        </w:rPr>
        <w:t>六、商务和技术偏差表</w:t>
      </w:r>
      <w:bookmarkEnd w:id="96"/>
      <w:bookmarkEnd w:id="97"/>
    </w:p>
    <w:tbl>
      <w:tblPr>
        <w:tblStyle w:val="34"/>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938"/>
        <w:gridCol w:w="3120"/>
        <w:gridCol w:w="1591"/>
      </w:tblGrid>
      <w:tr w14:paraId="5226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52F9F110">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938" w:type="dxa"/>
            <w:vAlign w:val="center"/>
          </w:tcPr>
          <w:p w14:paraId="59A1DD0F">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磋商文件章节及条款号</w:t>
            </w:r>
          </w:p>
        </w:tc>
        <w:tc>
          <w:tcPr>
            <w:tcW w:w="3120" w:type="dxa"/>
            <w:vAlign w:val="center"/>
          </w:tcPr>
          <w:p w14:paraId="31AA7805">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响应文件章节及条款号</w:t>
            </w:r>
          </w:p>
        </w:tc>
        <w:tc>
          <w:tcPr>
            <w:tcW w:w="1591" w:type="dxa"/>
            <w:vAlign w:val="center"/>
          </w:tcPr>
          <w:p w14:paraId="73CB1D0C">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偏差说明</w:t>
            </w:r>
          </w:p>
        </w:tc>
      </w:tr>
      <w:tr w14:paraId="0EA1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22BBD1ED">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w:t>
            </w:r>
          </w:p>
        </w:tc>
        <w:tc>
          <w:tcPr>
            <w:tcW w:w="2938" w:type="dxa"/>
            <w:vAlign w:val="center"/>
          </w:tcPr>
          <w:p w14:paraId="1A712BFE">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3120" w:type="dxa"/>
            <w:vAlign w:val="center"/>
          </w:tcPr>
          <w:p w14:paraId="02B18046">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1591" w:type="dxa"/>
            <w:vAlign w:val="center"/>
          </w:tcPr>
          <w:p w14:paraId="6E92BE77">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r>
      <w:tr w14:paraId="68F8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707DB03E">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w:t>
            </w:r>
          </w:p>
        </w:tc>
        <w:tc>
          <w:tcPr>
            <w:tcW w:w="2938" w:type="dxa"/>
            <w:vAlign w:val="center"/>
          </w:tcPr>
          <w:p w14:paraId="20DF1D22">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3120" w:type="dxa"/>
            <w:vAlign w:val="center"/>
          </w:tcPr>
          <w:p w14:paraId="2A6D5654">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1591" w:type="dxa"/>
            <w:vAlign w:val="center"/>
          </w:tcPr>
          <w:p w14:paraId="3F95981A">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r>
      <w:tr w14:paraId="4D4F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3147C7CC">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w:t>
            </w:r>
          </w:p>
        </w:tc>
        <w:tc>
          <w:tcPr>
            <w:tcW w:w="2938" w:type="dxa"/>
            <w:vAlign w:val="center"/>
          </w:tcPr>
          <w:p w14:paraId="29C8AF28">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3120" w:type="dxa"/>
            <w:vAlign w:val="center"/>
          </w:tcPr>
          <w:p w14:paraId="12F46767">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1591" w:type="dxa"/>
            <w:vAlign w:val="center"/>
          </w:tcPr>
          <w:p w14:paraId="452F940A">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r>
      <w:tr w14:paraId="0DED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6D55F1B5">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w:t>
            </w:r>
          </w:p>
        </w:tc>
        <w:tc>
          <w:tcPr>
            <w:tcW w:w="2938" w:type="dxa"/>
            <w:vAlign w:val="center"/>
          </w:tcPr>
          <w:p w14:paraId="152699B4">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3120" w:type="dxa"/>
            <w:vAlign w:val="center"/>
          </w:tcPr>
          <w:p w14:paraId="04E34611">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1591" w:type="dxa"/>
            <w:vAlign w:val="center"/>
          </w:tcPr>
          <w:p w14:paraId="1E03AC15">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r>
      <w:tr w14:paraId="4A5B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64BE804A">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w:t>
            </w:r>
          </w:p>
        </w:tc>
        <w:tc>
          <w:tcPr>
            <w:tcW w:w="2938" w:type="dxa"/>
            <w:vAlign w:val="center"/>
          </w:tcPr>
          <w:p w14:paraId="7B4C839A">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3120" w:type="dxa"/>
            <w:vAlign w:val="center"/>
          </w:tcPr>
          <w:p w14:paraId="41619A4A">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1591" w:type="dxa"/>
            <w:vAlign w:val="center"/>
          </w:tcPr>
          <w:p w14:paraId="5868DFB9">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r>
      <w:tr w14:paraId="0126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1" w:type="dxa"/>
            <w:vAlign w:val="center"/>
          </w:tcPr>
          <w:p w14:paraId="39979980">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w:t>
            </w:r>
          </w:p>
        </w:tc>
        <w:tc>
          <w:tcPr>
            <w:tcW w:w="2938" w:type="dxa"/>
            <w:vAlign w:val="center"/>
          </w:tcPr>
          <w:p w14:paraId="07E8A91B">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3120" w:type="dxa"/>
            <w:vAlign w:val="center"/>
          </w:tcPr>
          <w:p w14:paraId="03AC2FFA">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c>
          <w:tcPr>
            <w:tcW w:w="1591" w:type="dxa"/>
            <w:vAlign w:val="center"/>
          </w:tcPr>
          <w:p w14:paraId="7FB94203">
            <w:pPr>
              <w:spacing w:after="96" w:afterLines="40"/>
              <w:jc w:val="center"/>
              <w:rPr>
                <w:rFonts w:hint="eastAsia" w:ascii="仿宋" w:hAnsi="仿宋" w:eastAsia="仿宋" w:cs="仿宋"/>
                <w:b/>
                <w:bCs/>
                <w:color w:val="000000" w:themeColor="text1"/>
                <w:sz w:val="24"/>
                <w:szCs w:val="24"/>
                <w14:textFill>
                  <w14:solidFill>
                    <w14:schemeClr w14:val="tx1"/>
                  </w14:solidFill>
                </w14:textFill>
              </w:rPr>
            </w:pPr>
          </w:p>
        </w:tc>
      </w:tr>
    </w:tbl>
    <w:p w14:paraId="3B8ED8BC">
      <w:pPr>
        <w:spacing w:after="96" w:afterLines="4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凡响应文件中所投服务内容、技术参数及质量标准必须在此表中列出，响应供应商应对照招标文件要求逐条列出并在偏差内容“偏离情况”栏注明“正偏离”、“负偏离”或“无偏离”；未填写本表视为无偏离。</w:t>
      </w:r>
    </w:p>
    <w:p w14:paraId="721D6ABA">
      <w:pPr>
        <w:spacing w:after="96" w:afterLines="40"/>
        <w:jc w:val="left"/>
        <w:rPr>
          <w:rFonts w:hint="eastAsia" w:ascii="仿宋" w:hAnsi="仿宋" w:eastAsia="仿宋" w:cs="仿宋"/>
          <w:color w:val="000000" w:themeColor="text1"/>
          <w:sz w:val="24"/>
          <w:szCs w:val="24"/>
          <w14:textFill>
            <w14:solidFill>
              <w14:schemeClr w14:val="tx1"/>
            </w14:solidFill>
          </w14:textFill>
        </w:rPr>
      </w:pPr>
    </w:p>
    <w:p w14:paraId="6D946358">
      <w:pPr>
        <w:spacing w:after="96" w:afterLines="40"/>
        <w:jc w:val="left"/>
        <w:rPr>
          <w:rFonts w:hint="eastAsia" w:ascii="仿宋" w:hAnsi="仿宋" w:eastAsia="仿宋" w:cs="仿宋"/>
          <w:color w:val="000000" w:themeColor="text1"/>
          <w:sz w:val="24"/>
          <w:szCs w:val="24"/>
          <w14:textFill>
            <w14:solidFill>
              <w14:schemeClr w14:val="tx1"/>
            </w14:solidFill>
          </w14:textFill>
        </w:rPr>
      </w:pPr>
    </w:p>
    <w:p w14:paraId="70B417E2">
      <w:pPr>
        <w:spacing w:after="96" w:afterLines="4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响应供应商保证：除商务和技术偏差表列出的偏差外，响应供应商响应磋商文件的全部要求。</w:t>
      </w:r>
    </w:p>
    <w:p w14:paraId="48052F1D">
      <w:pPr>
        <w:pStyle w:val="24"/>
        <w:rPr>
          <w:rFonts w:hint="eastAsia" w:ascii="仿宋" w:hAnsi="仿宋" w:eastAsia="仿宋" w:cs="仿宋"/>
          <w:color w:val="000000" w:themeColor="text1"/>
          <w14:textFill>
            <w14:solidFill>
              <w14:schemeClr w14:val="tx1"/>
            </w14:solidFill>
          </w14:textFill>
        </w:rPr>
      </w:pPr>
    </w:p>
    <w:p w14:paraId="09ED48AD">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响应供应商全称（公章）：</w:t>
      </w:r>
    </w:p>
    <w:p w14:paraId="6F09BFDB">
      <w:pPr>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64121870">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法定代表人或授权代表（签名或签章）：</w:t>
      </w:r>
    </w:p>
    <w:p w14:paraId="3D92A644">
      <w:pPr>
        <w:spacing w:line="360" w:lineRule="auto"/>
        <w:jc w:val="left"/>
        <w:rPr>
          <w:rFonts w:hint="eastAsia" w:ascii="仿宋" w:hAnsi="仿宋" w:eastAsia="仿宋" w:cs="仿宋"/>
          <w:b/>
          <w:color w:val="000000" w:themeColor="text1"/>
          <w:sz w:val="24"/>
          <w:szCs w:val="24"/>
          <w14:textFill>
            <w14:solidFill>
              <w14:schemeClr w14:val="tx1"/>
            </w14:solidFill>
          </w14:textFill>
        </w:rPr>
        <w:sectPr>
          <w:headerReference r:id="rId5" w:type="default"/>
          <w:footerReference r:id="rId6" w:type="default"/>
          <w:type w:val="continuous"/>
          <w:pgSz w:w="11906" w:h="16838"/>
          <w:pgMar w:top="1440" w:right="1800" w:bottom="1440" w:left="1800" w:header="851" w:footer="992" w:gutter="0"/>
          <w:cols w:space="720" w:num="1"/>
          <w:docGrid w:linePitch="315" w:charSpace="0"/>
        </w:sectPr>
      </w:pPr>
      <w:r>
        <w:rPr>
          <w:rFonts w:hint="eastAsia" w:ascii="仿宋" w:hAnsi="仿宋" w:eastAsia="仿宋" w:cs="仿宋"/>
          <w:color w:val="000000" w:themeColor="text1"/>
          <w:sz w:val="28"/>
          <w:szCs w:val="28"/>
          <w14:textFill>
            <w14:solidFill>
              <w14:schemeClr w14:val="tx1"/>
            </w14:solidFill>
          </w14:textFill>
        </w:rPr>
        <w:t>日 期：  年  月  日</w:t>
      </w:r>
    </w:p>
    <w:p w14:paraId="319B762E">
      <w:pPr>
        <w:spacing w:after="96" w:afterLines="40"/>
        <w:jc w:val="center"/>
        <w:rPr>
          <w:rFonts w:hint="eastAsia" w:ascii="仿宋" w:hAnsi="仿宋" w:eastAsia="仿宋" w:cs="仿宋"/>
          <w:b/>
          <w:bCs/>
          <w:color w:val="000000" w:themeColor="text1"/>
          <w:sz w:val="32"/>
          <w:szCs w:val="32"/>
          <w14:textFill>
            <w14:solidFill>
              <w14:schemeClr w14:val="tx1"/>
            </w14:solidFill>
          </w14:textFill>
        </w:rPr>
      </w:pPr>
      <w:bookmarkStart w:id="98" w:name="_Toc763_WPSOffice_Level1"/>
      <w:bookmarkStart w:id="99" w:name="_Toc3812_WPSOffice_Level1"/>
      <w:bookmarkStart w:id="100" w:name="_Toc32531_WPSOffice_Level1"/>
      <w:bookmarkStart w:id="101" w:name="_Toc7948_WPSOffice_Level1"/>
      <w:bookmarkStart w:id="102" w:name="_Toc21836_WPSOffice_Level1"/>
      <w:bookmarkStart w:id="103" w:name="_Toc13993_WPSOffice_Level1"/>
      <w:bookmarkStart w:id="104" w:name="_Toc10416_WPSOffice_Level1"/>
      <w:bookmarkStart w:id="105" w:name="_Toc5095_WPSOffice_Level1"/>
      <w:bookmarkStart w:id="106" w:name="_Toc32501"/>
      <w:r>
        <w:rPr>
          <w:rFonts w:hint="eastAsia" w:ascii="仿宋" w:hAnsi="仿宋" w:eastAsia="仿宋" w:cs="仿宋"/>
          <w:b/>
          <w:bCs/>
          <w:color w:val="000000" w:themeColor="text1"/>
          <w:sz w:val="32"/>
          <w:szCs w:val="32"/>
          <w14:textFill>
            <w14:solidFill>
              <w14:schemeClr w14:val="tx1"/>
            </w14:solidFill>
          </w14:textFill>
        </w:rPr>
        <w:t>七、响应供应商概况</w:t>
      </w:r>
      <w:bookmarkEnd w:id="98"/>
      <w:bookmarkEnd w:id="99"/>
      <w:bookmarkEnd w:id="100"/>
      <w:bookmarkEnd w:id="101"/>
      <w:bookmarkEnd w:id="102"/>
      <w:bookmarkEnd w:id="103"/>
      <w:bookmarkEnd w:id="104"/>
      <w:bookmarkEnd w:id="105"/>
      <w:bookmarkEnd w:id="106"/>
    </w:p>
    <w:p w14:paraId="341198A8">
      <w:pPr>
        <w:spacing w:after="48" w:afterLines="20"/>
        <w:jc w:val="center"/>
        <w:rPr>
          <w:rFonts w:hint="eastAsia" w:ascii="仿宋" w:hAnsi="仿宋" w:eastAsia="仿宋" w:cs="仿宋"/>
          <w:b/>
          <w:color w:val="000000" w:themeColor="text1"/>
          <w:spacing w:val="20"/>
          <w:sz w:val="24"/>
          <w:szCs w:val="24"/>
          <w14:textFill>
            <w14:solidFill>
              <w14:schemeClr w14:val="tx1"/>
            </w14:solidFill>
          </w14:textFill>
        </w:rPr>
      </w:pPr>
      <w:bookmarkStart w:id="107" w:name="_Toc11095"/>
      <w:r>
        <w:rPr>
          <w:rFonts w:hint="eastAsia" w:ascii="仿宋" w:hAnsi="仿宋" w:eastAsia="仿宋" w:cs="仿宋"/>
          <w:b/>
          <w:bCs/>
          <w:color w:val="000000" w:themeColor="text1"/>
          <w:sz w:val="24"/>
          <w:szCs w:val="24"/>
          <w14:textFill>
            <w14:solidFill>
              <w14:schemeClr w14:val="tx1"/>
            </w14:solidFill>
          </w14:textFill>
        </w:rPr>
        <w:t>基本情况表</w:t>
      </w:r>
      <w:bookmarkEnd w:id="107"/>
    </w:p>
    <w:tbl>
      <w:tblPr>
        <w:tblStyle w:val="34"/>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893"/>
        <w:gridCol w:w="2128"/>
        <w:gridCol w:w="1156"/>
        <w:gridCol w:w="2046"/>
      </w:tblGrid>
      <w:tr w14:paraId="158A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221A259F">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p>
        </w:tc>
        <w:tc>
          <w:tcPr>
            <w:tcW w:w="6223" w:type="dxa"/>
            <w:gridSpan w:val="4"/>
            <w:vAlign w:val="center"/>
          </w:tcPr>
          <w:p w14:paraId="60220E44">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72E8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7026199F">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注册资金</w:t>
            </w:r>
          </w:p>
        </w:tc>
        <w:tc>
          <w:tcPr>
            <w:tcW w:w="3021" w:type="dxa"/>
            <w:gridSpan w:val="2"/>
            <w:vAlign w:val="center"/>
          </w:tcPr>
          <w:p w14:paraId="00B1D869">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c>
          <w:tcPr>
            <w:tcW w:w="1156" w:type="dxa"/>
            <w:vAlign w:val="center"/>
          </w:tcPr>
          <w:p w14:paraId="41C7DA22">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成立时间</w:t>
            </w:r>
          </w:p>
        </w:tc>
        <w:tc>
          <w:tcPr>
            <w:tcW w:w="2046" w:type="dxa"/>
            <w:vAlign w:val="center"/>
          </w:tcPr>
          <w:p w14:paraId="2B0827B7">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6F4F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5825616B">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注册地址</w:t>
            </w:r>
          </w:p>
        </w:tc>
        <w:tc>
          <w:tcPr>
            <w:tcW w:w="6223" w:type="dxa"/>
            <w:gridSpan w:val="4"/>
            <w:vAlign w:val="center"/>
          </w:tcPr>
          <w:p w14:paraId="2D173B6F">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45B1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97" w:type="dxa"/>
            <w:vAlign w:val="center"/>
          </w:tcPr>
          <w:p w14:paraId="67F4DC51">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邮政编码</w:t>
            </w:r>
          </w:p>
        </w:tc>
        <w:tc>
          <w:tcPr>
            <w:tcW w:w="3021" w:type="dxa"/>
            <w:gridSpan w:val="2"/>
            <w:vAlign w:val="center"/>
          </w:tcPr>
          <w:p w14:paraId="37B4F541">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c>
          <w:tcPr>
            <w:tcW w:w="1156" w:type="dxa"/>
            <w:vAlign w:val="center"/>
          </w:tcPr>
          <w:p w14:paraId="343192AF">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员工总数</w:t>
            </w:r>
          </w:p>
        </w:tc>
        <w:tc>
          <w:tcPr>
            <w:tcW w:w="2046" w:type="dxa"/>
            <w:vAlign w:val="center"/>
          </w:tcPr>
          <w:p w14:paraId="6CD515C5">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5240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Merge w:val="restart"/>
            <w:vAlign w:val="center"/>
          </w:tcPr>
          <w:p w14:paraId="33E7B641">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w:t>
            </w:r>
          </w:p>
        </w:tc>
        <w:tc>
          <w:tcPr>
            <w:tcW w:w="893" w:type="dxa"/>
            <w:vMerge w:val="restart"/>
            <w:vAlign w:val="center"/>
          </w:tcPr>
          <w:p w14:paraId="5B47A9FD">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p>
        </w:tc>
        <w:tc>
          <w:tcPr>
            <w:tcW w:w="2128" w:type="dxa"/>
            <w:vMerge w:val="restart"/>
            <w:vAlign w:val="center"/>
          </w:tcPr>
          <w:p w14:paraId="67512899">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c>
          <w:tcPr>
            <w:tcW w:w="1156" w:type="dxa"/>
            <w:vAlign w:val="center"/>
          </w:tcPr>
          <w:p w14:paraId="2F8F5FAF">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w:t>
            </w:r>
          </w:p>
        </w:tc>
        <w:tc>
          <w:tcPr>
            <w:tcW w:w="2046" w:type="dxa"/>
            <w:vAlign w:val="center"/>
          </w:tcPr>
          <w:p w14:paraId="2A5677D8">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07C0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97" w:type="dxa"/>
            <w:vMerge w:val="continue"/>
            <w:vAlign w:val="center"/>
          </w:tcPr>
          <w:p w14:paraId="0BBA24B7">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c>
          <w:tcPr>
            <w:tcW w:w="893" w:type="dxa"/>
            <w:vMerge w:val="continue"/>
            <w:vAlign w:val="center"/>
          </w:tcPr>
          <w:p w14:paraId="7F1F28F0">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c>
          <w:tcPr>
            <w:tcW w:w="2128" w:type="dxa"/>
            <w:vMerge w:val="continue"/>
            <w:vAlign w:val="center"/>
          </w:tcPr>
          <w:p w14:paraId="697282AF">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c>
          <w:tcPr>
            <w:tcW w:w="1156" w:type="dxa"/>
            <w:vAlign w:val="center"/>
          </w:tcPr>
          <w:p w14:paraId="690C6B62">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传真</w:t>
            </w:r>
          </w:p>
        </w:tc>
        <w:tc>
          <w:tcPr>
            <w:tcW w:w="2046" w:type="dxa"/>
            <w:vAlign w:val="center"/>
          </w:tcPr>
          <w:p w14:paraId="1C807974">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5238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197" w:type="dxa"/>
            <w:vAlign w:val="center"/>
          </w:tcPr>
          <w:p w14:paraId="6D80DFC6">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p>
          <w:p w14:paraId="0415ABD7">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（单位负责人）</w:t>
            </w:r>
          </w:p>
        </w:tc>
        <w:tc>
          <w:tcPr>
            <w:tcW w:w="893" w:type="dxa"/>
            <w:vAlign w:val="center"/>
          </w:tcPr>
          <w:p w14:paraId="4E6E02CA">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姓名</w:t>
            </w:r>
          </w:p>
        </w:tc>
        <w:tc>
          <w:tcPr>
            <w:tcW w:w="2128" w:type="dxa"/>
            <w:vAlign w:val="center"/>
          </w:tcPr>
          <w:p w14:paraId="6D6DD540">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c>
          <w:tcPr>
            <w:tcW w:w="1156" w:type="dxa"/>
            <w:vAlign w:val="center"/>
          </w:tcPr>
          <w:p w14:paraId="299AD83C">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w:t>
            </w:r>
          </w:p>
        </w:tc>
        <w:tc>
          <w:tcPr>
            <w:tcW w:w="2046" w:type="dxa"/>
            <w:vAlign w:val="center"/>
          </w:tcPr>
          <w:p w14:paraId="34664380">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6DFD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54026891">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基本账户开户银行</w:t>
            </w:r>
          </w:p>
        </w:tc>
        <w:tc>
          <w:tcPr>
            <w:tcW w:w="6223" w:type="dxa"/>
            <w:gridSpan w:val="4"/>
            <w:vAlign w:val="center"/>
          </w:tcPr>
          <w:p w14:paraId="7B7260EF">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13C5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35A30C24">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基本账户银行帐号</w:t>
            </w:r>
          </w:p>
        </w:tc>
        <w:tc>
          <w:tcPr>
            <w:tcW w:w="6223" w:type="dxa"/>
            <w:gridSpan w:val="4"/>
            <w:vAlign w:val="center"/>
          </w:tcPr>
          <w:p w14:paraId="4B158616">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4682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2197" w:type="dxa"/>
            <w:vAlign w:val="center"/>
          </w:tcPr>
          <w:p w14:paraId="2908B0C8">
            <w:pPr>
              <w:spacing w:after="48" w:afterLines="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响应供应商关联企业情况（包括但不限于与响应供应商法定代表人（单位负责人）为同一人或者存在控股、管理关系的不同单位）</w:t>
            </w:r>
          </w:p>
        </w:tc>
        <w:tc>
          <w:tcPr>
            <w:tcW w:w="6223" w:type="dxa"/>
            <w:gridSpan w:val="4"/>
            <w:vAlign w:val="center"/>
          </w:tcPr>
          <w:p w14:paraId="4D72C1D2">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r w14:paraId="42FE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97" w:type="dxa"/>
            <w:vAlign w:val="center"/>
          </w:tcPr>
          <w:p w14:paraId="15CE4C93">
            <w:pPr>
              <w:spacing w:after="48" w:afterLines="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c>
          <w:tcPr>
            <w:tcW w:w="6223" w:type="dxa"/>
            <w:gridSpan w:val="4"/>
            <w:vAlign w:val="center"/>
          </w:tcPr>
          <w:p w14:paraId="265C6E42">
            <w:pPr>
              <w:spacing w:after="48" w:afterLines="20"/>
              <w:jc w:val="center"/>
              <w:rPr>
                <w:rFonts w:hint="eastAsia" w:ascii="仿宋" w:hAnsi="仿宋" w:eastAsia="仿宋" w:cs="仿宋"/>
                <w:color w:val="000000" w:themeColor="text1"/>
                <w:sz w:val="24"/>
                <w:szCs w:val="24"/>
                <w14:textFill>
                  <w14:solidFill>
                    <w14:schemeClr w14:val="tx1"/>
                  </w14:solidFill>
                </w14:textFill>
              </w:rPr>
            </w:pPr>
          </w:p>
        </w:tc>
      </w:tr>
    </w:tbl>
    <w:p w14:paraId="2C1EDFD2">
      <w:pPr>
        <w:widowControl/>
        <w:ind w:firstLine="4560" w:firstLineChars="1900"/>
        <w:jc w:val="left"/>
        <w:rPr>
          <w:rFonts w:hint="eastAsia" w:ascii="仿宋" w:hAnsi="仿宋" w:eastAsia="仿宋" w:cs="仿宋"/>
          <w:color w:val="000000" w:themeColor="text1"/>
          <w:kern w:val="0"/>
          <w:sz w:val="24"/>
          <w:szCs w:val="24"/>
          <w:lang w:bidi="ar"/>
          <w14:textFill>
            <w14:solidFill>
              <w14:schemeClr w14:val="tx1"/>
            </w14:solidFill>
          </w14:textFill>
        </w:rPr>
      </w:pPr>
    </w:p>
    <w:p w14:paraId="665CB5E2">
      <w:pPr>
        <w:widowControl/>
        <w:ind w:firstLine="4560" w:firstLineChars="1900"/>
        <w:jc w:val="left"/>
        <w:rPr>
          <w:rFonts w:hint="eastAsia" w:ascii="仿宋" w:hAnsi="仿宋" w:eastAsia="仿宋" w:cs="仿宋"/>
          <w:color w:val="000000" w:themeColor="text1"/>
          <w:kern w:val="0"/>
          <w:sz w:val="24"/>
          <w:szCs w:val="24"/>
          <w:lang w:bidi="ar"/>
          <w14:textFill>
            <w14:solidFill>
              <w14:schemeClr w14:val="tx1"/>
            </w14:solidFill>
          </w14:textFill>
        </w:rPr>
      </w:pPr>
    </w:p>
    <w:p w14:paraId="7D8D1BDF">
      <w:pPr>
        <w:widowControl/>
        <w:ind w:firstLine="4560" w:firstLineChars="1900"/>
        <w:jc w:val="left"/>
        <w:rPr>
          <w:rFonts w:hint="eastAsia" w:ascii="仿宋" w:hAnsi="仿宋" w:eastAsia="仿宋" w:cs="仿宋"/>
          <w:color w:val="000000" w:themeColor="text1"/>
          <w:kern w:val="0"/>
          <w:sz w:val="24"/>
          <w:szCs w:val="24"/>
          <w:lang w:bidi="ar"/>
          <w14:textFill>
            <w14:solidFill>
              <w14:schemeClr w14:val="tx1"/>
            </w14:solidFill>
          </w14:textFill>
        </w:rPr>
      </w:pPr>
    </w:p>
    <w:p w14:paraId="436FE8E4">
      <w:pPr>
        <w:widowControl/>
        <w:ind w:firstLine="4560" w:firstLineChars="1900"/>
        <w:jc w:val="left"/>
        <w:rPr>
          <w:rFonts w:hint="eastAsia" w:ascii="仿宋" w:hAnsi="仿宋" w:eastAsia="仿宋" w:cs="仿宋"/>
          <w:color w:val="000000" w:themeColor="text1"/>
          <w:kern w:val="0"/>
          <w:sz w:val="24"/>
          <w:szCs w:val="24"/>
          <w:u w:val="single"/>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响应供应商（盖章）：</w:t>
      </w:r>
      <w:r>
        <w:rPr>
          <w:rFonts w:hint="eastAsia" w:ascii="仿宋" w:hAnsi="仿宋" w:eastAsia="仿宋" w:cs="仿宋"/>
          <w:color w:val="000000" w:themeColor="text1"/>
          <w:kern w:val="0"/>
          <w:sz w:val="24"/>
          <w:szCs w:val="24"/>
          <w:u w:val="single"/>
          <w:lang w:bidi="ar"/>
          <w14:textFill>
            <w14:solidFill>
              <w14:schemeClr w14:val="tx1"/>
            </w14:solidFill>
          </w14:textFill>
        </w:rPr>
        <w:t xml:space="preserve">           </w:t>
      </w:r>
    </w:p>
    <w:p w14:paraId="367BE2F7">
      <w:pPr>
        <w:widowControl/>
        <w:ind w:firstLine="4560" w:firstLineChars="19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 </w:t>
      </w:r>
    </w:p>
    <w:p w14:paraId="063AFFE6">
      <w:pPr>
        <w:widowControl/>
        <w:ind w:firstLine="4080" w:firstLineChars="1700"/>
        <w:jc w:val="left"/>
        <w:rPr>
          <w:rFonts w:hint="eastAsia" w:ascii="仿宋" w:hAnsi="仿宋" w:eastAsia="仿宋" w:cs="仿宋"/>
          <w:color w:val="000000" w:themeColor="text1"/>
          <w:kern w:val="0"/>
          <w:sz w:val="24"/>
          <w:szCs w:val="24"/>
          <w:u w:val="single"/>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法人或被授权人签字或盖章：</w:t>
      </w:r>
      <w:r>
        <w:rPr>
          <w:rFonts w:hint="eastAsia" w:ascii="仿宋" w:hAnsi="仿宋" w:eastAsia="仿宋" w:cs="仿宋"/>
          <w:color w:val="000000" w:themeColor="text1"/>
          <w:kern w:val="0"/>
          <w:sz w:val="24"/>
          <w:szCs w:val="24"/>
          <w:u w:val="single"/>
          <w:lang w:bidi="ar"/>
          <w14:textFill>
            <w14:solidFill>
              <w14:schemeClr w14:val="tx1"/>
            </w14:solidFill>
          </w14:textFill>
        </w:rPr>
        <w:t xml:space="preserve">         </w:t>
      </w:r>
    </w:p>
    <w:p w14:paraId="2BF9C941">
      <w:pPr>
        <w:widowControl/>
        <w:ind w:firstLine="4080" w:firstLineChars="17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 </w:t>
      </w:r>
    </w:p>
    <w:p w14:paraId="5F5DADA7">
      <w:pPr>
        <w:widowControl/>
        <w:ind w:firstLine="4800" w:firstLineChars="2000"/>
        <w:jc w:val="left"/>
        <w:rPr>
          <w:rFonts w:hint="eastAsia" w:ascii="仿宋" w:hAnsi="仿宋" w:eastAsia="仿宋" w:cs="仿宋"/>
          <w:b/>
          <w:color w:val="000000" w:themeColor="text1"/>
          <w:spacing w:val="2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日 期：</w:t>
      </w:r>
    </w:p>
    <w:p w14:paraId="72ED7CDE">
      <w:pPr>
        <w:spacing w:line="450" w:lineRule="atLeast"/>
        <w:rPr>
          <w:rFonts w:hint="eastAsia" w:ascii="仿宋" w:hAnsi="仿宋" w:eastAsia="仿宋" w:cs="仿宋"/>
          <w:b/>
          <w:color w:val="000000" w:themeColor="text1"/>
          <w:sz w:val="24"/>
          <w:szCs w:val="24"/>
          <w14:textFill>
            <w14:solidFill>
              <w14:schemeClr w14:val="tx1"/>
            </w14:solidFill>
          </w14:textFill>
        </w:rPr>
      </w:pPr>
    </w:p>
    <w:p w14:paraId="68FC60D5">
      <w:pPr>
        <w:pStyle w:val="25"/>
        <w:spacing w:after="120"/>
        <w:rPr>
          <w:rFonts w:hint="eastAsia" w:ascii="仿宋" w:hAnsi="仿宋" w:eastAsia="仿宋" w:cs="仿宋"/>
          <w:color w:val="000000" w:themeColor="text1"/>
          <w:sz w:val="24"/>
          <w:szCs w:val="24"/>
          <w14:textFill>
            <w14:solidFill>
              <w14:schemeClr w14:val="tx1"/>
            </w14:solidFill>
          </w14:textFill>
        </w:rPr>
        <w:sectPr>
          <w:pgSz w:w="11906" w:h="16838"/>
          <w:pgMar w:top="1440" w:right="1800" w:bottom="1440" w:left="1800" w:header="851" w:footer="992" w:gutter="0"/>
          <w:cols w:space="720" w:num="1"/>
          <w:docGrid w:linePitch="315" w:charSpace="0"/>
        </w:sectPr>
      </w:pPr>
    </w:p>
    <w:p w14:paraId="6E168CF1">
      <w:pPr>
        <w:spacing w:line="360" w:lineRule="auto"/>
        <w:jc w:val="center"/>
        <w:rPr>
          <w:rFonts w:hint="eastAsia" w:ascii="仿宋" w:hAnsi="仿宋" w:eastAsia="仿宋" w:cs="仿宋"/>
          <w:color w:val="000000" w:themeColor="text1"/>
          <w:kern w:val="10"/>
          <w14:textFill>
            <w14:solidFill>
              <w14:schemeClr w14:val="tx1"/>
            </w14:solidFill>
          </w14:textFill>
        </w:rPr>
      </w:pPr>
      <w:r>
        <w:rPr>
          <w:rFonts w:hint="eastAsia" w:ascii="仿宋" w:hAnsi="仿宋" w:eastAsia="仿宋" w:cs="仿宋"/>
          <w:color w:val="000000" w:themeColor="text1"/>
          <w:kern w:val="10"/>
          <w:sz w:val="44"/>
          <w:szCs w:val="44"/>
          <w14:textFill>
            <w14:solidFill>
              <w14:schemeClr w14:val="tx1"/>
            </w14:solidFill>
          </w14:textFill>
        </w:rPr>
        <w:t>（一）响应供应商资格声明书</w:t>
      </w:r>
    </w:p>
    <w:p w14:paraId="7229D9E8">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致:</w:t>
      </w:r>
      <w:r>
        <w:rPr>
          <w:rFonts w:hint="eastAsia" w:ascii="仿宋" w:hAnsi="仿宋" w:eastAsia="仿宋" w:cs="仿宋"/>
          <w:color w:val="000000" w:themeColor="text1"/>
          <w:kern w:val="10"/>
          <w:sz w:val="24"/>
          <w:szCs w:val="24"/>
          <w:u w:val="single"/>
          <w14:textFill>
            <w14:solidFill>
              <w14:schemeClr w14:val="tx1"/>
            </w14:solidFill>
          </w14:textFill>
        </w:rPr>
        <w:t xml:space="preserve">采购人 </w:t>
      </w:r>
    </w:p>
    <w:p w14:paraId="4A9989E6">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在参与本次项目投标中，我单位承诺:</w:t>
      </w:r>
    </w:p>
    <w:p w14:paraId="7F4C16B1">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(一)具有良好的商业信誉和健全的财务会计制度；</w:t>
      </w:r>
    </w:p>
    <w:p w14:paraId="250F71D9">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(二)具有履行合同所必需的设备和专业技术能力；</w:t>
      </w:r>
    </w:p>
    <w:p w14:paraId="5C8F5AE3">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(三)有依法缴纳税收和社会保障资金的良好记录；</w:t>
      </w:r>
    </w:p>
    <w:p w14:paraId="029E9421">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A56B6A">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(五)我单位不属于政府采购法律、行政法规规定的公益一类事业单位、或使用事业编制且由财政拨款保障的群团组织(仅适用于政府购买服务项目)；</w:t>
      </w:r>
    </w:p>
    <w:p w14:paraId="1D16888B">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04810E79">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(七)与我单位存在“单位负责人为同一人或者存在直接控股、管理关系”的其他法人单位信息如下(如有，不论其是否参加同一合同项下的政府采购活动均须填写):</w:t>
      </w:r>
    </w:p>
    <w:tbl>
      <w:tblPr>
        <w:tblStyle w:val="33"/>
        <w:tblW w:w="7500" w:type="dxa"/>
        <w:jc w:val="center"/>
        <w:tblLayout w:type="autofit"/>
        <w:tblCellMar>
          <w:top w:w="0" w:type="dxa"/>
          <w:left w:w="108" w:type="dxa"/>
          <w:bottom w:w="0" w:type="dxa"/>
          <w:right w:w="108" w:type="dxa"/>
        </w:tblCellMar>
      </w:tblPr>
      <w:tblGrid>
        <w:gridCol w:w="1080"/>
        <w:gridCol w:w="3450"/>
        <w:gridCol w:w="2970"/>
      </w:tblGrid>
      <w:tr w14:paraId="0B7BCF2B">
        <w:tblPrEx>
          <w:tblCellMar>
            <w:top w:w="0" w:type="dxa"/>
            <w:left w:w="108" w:type="dxa"/>
            <w:bottom w:w="0" w:type="dxa"/>
            <w:right w:w="108" w:type="dxa"/>
          </w:tblCellMar>
        </w:tblPrEx>
        <w:trPr>
          <w:trHeight w:val="660"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614E07E">
            <w:pPr>
              <w:widowControl/>
              <w:spacing w:line="48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序号</w:t>
            </w:r>
          </w:p>
        </w:tc>
        <w:tc>
          <w:tcPr>
            <w:tcW w:w="3450" w:type="dxa"/>
            <w:tcBorders>
              <w:top w:val="single" w:color="000000" w:sz="4" w:space="0"/>
              <w:left w:val="single" w:color="000000" w:sz="4" w:space="0"/>
              <w:bottom w:val="single" w:color="000000" w:sz="4" w:space="0"/>
              <w:right w:val="single" w:color="000000" w:sz="4" w:space="0"/>
            </w:tcBorders>
            <w:noWrap/>
            <w:vAlign w:val="center"/>
          </w:tcPr>
          <w:p w14:paraId="49F525E1">
            <w:pPr>
              <w:widowControl/>
              <w:spacing w:line="48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单位名称</w:t>
            </w:r>
          </w:p>
        </w:tc>
        <w:tc>
          <w:tcPr>
            <w:tcW w:w="2970" w:type="dxa"/>
            <w:tcBorders>
              <w:top w:val="single" w:color="000000" w:sz="4" w:space="0"/>
              <w:left w:val="single" w:color="000000" w:sz="4" w:space="0"/>
              <w:bottom w:val="single" w:color="000000" w:sz="4" w:space="0"/>
              <w:right w:val="single" w:color="000000" w:sz="4" w:space="0"/>
            </w:tcBorders>
            <w:noWrap/>
            <w:vAlign w:val="center"/>
          </w:tcPr>
          <w:p w14:paraId="5CBAF5FD">
            <w:pPr>
              <w:widowControl/>
              <w:spacing w:line="48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相互关系</w:t>
            </w:r>
          </w:p>
        </w:tc>
      </w:tr>
      <w:tr w14:paraId="5DDE1FBD">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C75973">
            <w:pPr>
              <w:widowControl/>
              <w:spacing w:line="48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F466E">
            <w:pPr>
              <w:spacing w:line="480" w:lineRule="auto"/>
              <w:jc w:val="center"/>
              <w:rPr>
                <w:rFonts w:hint="eastAsia" w:ascii="仿宋" w:hAnsi="仿宋" w:eastAsia="仿宋" w:cs="仿宋"/>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D9F89">
            <w:pPr>
              <w:spacing w:line="480" w:lineRule="auto"/>
              <w:jc w:val="center"/>
              <w:rPr>
                <w:rFonts w:hint="eastAsia" w:ascii="仿宋" w:hAnsi="仿宋" w:eastAsia="仿宋" w:cs="仿宋"/>
                <w:color w:val="000000" w:themeColor="text1"/>
                <w:sz w:val="24"/>
                <w:szCs w:val="24"/>
                <w14:textFill>
                  <w14:solidFill>
                    <w14:schemeClr w14:val="tx1"/>
                  </w14:solidFill>
                </w14:textFill>
              </w:rPr>
            </w:pPr>
          </w:p>
        </w:tc>
      </w:tr>
      <w:tr w14:paraId="76144712">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746EC0">
            <w:pPr>
              <w:widowControl/>
              <w:spacing w:line="48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99477">
            <w:pPr>
              <w:spacing w:line="480" w:lineRule="auto"/>
              <w:jc w:val="center"/>
              <w:rPr>
                <w:rFonts w:hint="eastAsia" w:ascii="仿宋" w:hAnsi="仿宋" w:eastAsia="仿宋" w:cs="仿宋"/>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517577">
            <w:pPr>
              <w:spacing w:line="480" w:lineRule="auto"/>
              <w:jc w:val="center"/>
              <w:rPr>
                <w:rFonts w:hint="eastAsia" w:ascii="仿宋" w:hAnsi="仿宋" w:eastAsia="仿宋" w:cs="仿宋"/>
                <w:color w:val="000000" w:themeColor="text1"/>
                <w:sz w:val="24"/>
                <w:szCs w:val="24"/>
                <w14:textFill>
                  <w14:solidFill>
                    <w14:schemeClr w14:val="tx1"/>
                  </w14:solidFill>
                </w14:textFill>
              </w:rPr>
            </w:pPr>
          </w:p>
        </w:tc>
      </w:tr>
      <w:tr w14:paraId="428F9292">
        <w:tblPrEx>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F76C83">
            <w:pPr>
              <w:widowControl/>
              <w:spacing w:line="48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A9183">
            <w:pPr>
              <w:spacing w:line="480" w:lineRule="auto"/>
              <w:jc w:val="center"/>
              <w:rPr>
                <w:rFonts w:hint="eastAsia" w:ascii="仿宋" w:hAnsi="仿宋" w:eastAsia="仿宋" w:cs="仿宋"/>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D4A13">
            <w:pPr>
              <w:spacing w:line="480" w:lineRule="auto"/>
              <w:jc w:val="center"/>
              <w:rPr>
                <w:rFonts w:hint="eastAsia" w:ascii="仿宋" w:hAnsi="仿宋" w:eastAsia="仿宋" w:cs="仿宋"/>
                <w:color w:val="000000" w:themeColor="text1"/>
                <w:sz w:val="24"/>
                <w:szCs w:val="24"/>
                <w14:textFill>
                  <w14:solidFill>
                    <w14:schemeClr w14:val="tx1"/>
                  </w14:solidFill>
                </w14:textFill>
              </w:rPr>
            </w:pPr>
          </w:p>
        </w:tc>
      </w:tr>
    </w:tbl>
    <w:p w14:paraId="18F6B273">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上述声明真实有效，否则我方负全部责任。</w:t>
      </w:r>
    </w:p>
    <w:p w14:paraId="4B289D39">
      <w:pPr>
        <w:spacing w:line="480" w:lineRule="auto"/>
        <w:rPr>
          <w:rFonts w:hint="eastAsia" w:ascii="仿宋" w:hAnsi="仿宋" w:eastAsia="仿宋" w:cs="仿宋"/>
          <w:color w:val="000000" w:themeColor="text1"/>
          <w:kern w:val="10"/>
          <w:sz w:val="24"/>
          <w:szCs w:val="24"/>
          <w:u w:val="single"/>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响应供应商名称：</w:t>
      </w:r>
      <w:r>
        <w:rPr>
          <w:rFonts w:hint="eastAsia" w:ascii="仿宋" w:hAnsi="仿宋" w:eastAsia="仿宋" w:cs="仿宋"/>
          <w:color w:val="000000" w:themeColor="text1"/>
          <w:kern w:val="10"/>
          <w:sz w:val="24"/>
          <w:szCs w:val="24"/>
          <w:u w:val="single"/>
          <w14:textFill>
            <w14:solidFill>
              <w14:schemeClr w14:val="tx1"/>
            </w14:solidFill>
          </w14:textFill>
        </w:rPr>
        <w:t xml:space="preserve">                               (加盖公章)</w:t>
      </w:r>
    </w:p>
    <w:p w14:paraId="70247D6E">
      <w:pPr>
        <w:spacing w:line="480" w:lineRule="auto"/>
        <w:rPr>
          <w:rFonts w:hint="eastAsia" w:ascii="仿宋" w:hAnsi="仿宋" w:eastAsia="仿宋" w:cs="仿宋"/>
          <w:color w:val="000000" w:themeColor="text1"/>
          <w:kern w:val="10"/>
          <w:sz w:val="24"/>
          <w:szCs w:val="24"/>
          <w:u w:val="single"/>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法定代表人或其授权代理人：</w:t>
      </w:r>
      <w:r>
        <w:rPr>
          <w:rFonts w:hint="eastAsia" w:ascii="仿宋" w:hAnsi="仿宋" w:eastAsia="仿宋" w:cs="仿宋"/>
          <w:color w:val="000000" w:themeColor="text1"/>
          <w:kern w:val="10"/>
          <w:sz w:val="24"/>
          <w:szCs w:val="24"/>
          <w:u w:val="single"/>
          <w14:textFill>
            <w14:solidFill>
              <w14:schemeClr w14:val="tx1"/>
            </w14:solidFill>
          </w14:textFill>
        </w:rPr>
        <w:t xml:space="preserve">                (签字或印鉴)</w:t>
      </w:r>
    </w:p>
    <w:p w14:paraId="42ECCA1D">
      <w:pPr>
        <w:spacing w:line="480" w:lineRule="auto"/>
        <w:rPr>
          <w:rFonts w:hint="eastAsia" w:ascii="仿宋" w:hAnsi="仿宋" w:eastAsia="仿宋" w:cs="仿宋"/>
          <w:color w:val="000000" w:themeColor="text1"/>
          <w:kern w:val="10"/>
          <w:sz w:val="24"/>
          <w:szCs w:val="24"/>
          <w:u w:val="single"/>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 xml:space="preserve">日期: </w:t>
      </w:r>
      <w:r>
        <w:rPr>
          <w:rFonts w:hint="eastAsia" w:ascii="仿宋" w:hAnsi="仿宋" w:eastAsia="仿宋" w:cs="仿宋"/>
          <w:color w:val="000000" w:themeColor="text1"/>
          <w:kern w:val="10"/>
          <w:sz w:val="24"/>
          <w:szCs w:val="24"/>
          <w:u w:val="single"/>
          <w14:textFill>
            <w14:solidFill>
              <w14:schemeClr w14:val="tx1"/>
            </w14:solidFill>
          </w14:textFill>
        </w:rPr>
        <w:t xml:space="preserve">    年   月   日</w:t>
      </w:r>
    </w:p>
    <w:p w14:paraId="11129CC5">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说明:(1)单位负责人为同一人或者存在直接控股、管理关系的不同供应商不得参加同一合同项下的政府采购活动。</w:t>
      </w:r>
    </w:p>
    <w:p w14:paraId="1214EA11">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(2)本条所指单位负责人为同一人指单位法定代表人或者法律、行政法规规定代表单位行使职权的主要负责人。</w:t>
      </w:r>
    </w:p>
    <w:p w14:paraId="47644001">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(3)本条所指控股关系指单位或股东的控股关系。控股股东指:</w:t>
      </w:r>
    </w:p>
    <w:p w14:paraId="6BF8382F">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a. 出资额占有限责任公司资本总额百分之五十以上或者其持有的股份占股份有限公司股本总额百分之五十以上的股东；</w:t>
      </w:r>
    </w:p>
    <w:p w14:paraId="2C904A67">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b.出资额或者持有股份的比例不足百分之五十，但其出资额或者持有的股份所享有的表决权已足以对股东会、股东大会的决议产生重大影响的股东。</w:t>
      </w:r>
    </w:p>
    <w:p w14:paraId="3683177A">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(4)本条所指管理关系指不具有出资持股关系的其他单位之间存在的管理与被管理关系。</w:t>
      </w:r>
    </w:p>
    <w:p w14:paraId="5E2876CA">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(5)本条所指的控股、管理关系仅限于直接控股、直接管理关系，不包括间接控股或管理关系。</w:t>
      </w:r>
    </w:p>
    <w:p w14:paraId="51620A8F">
      <w:pPr>
        <w:spacing w:line="480" w:lineRule="auto"/>
        <w:rPr>
          <w:rFonts w:hint="eastAsia"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(6)如无相关情况，请在相应栏填写“无”。</w:t>
      </w:r>
    </w:p>
    <w:p w14:paraId="7A81BA73">
      <w:pPr>
        <w:pStyle w:val="25"/>
        <w:spacing w:after="120"/>
        <w:rPr>
          <w:rFonts w:hint="eastAsia" w:ascii="仿宋" w:hAnsi="仿宋" w:eastAsia="仿宋" w:cs="仿宋"/>
          <w:color w:val="000000" w:themeColor="text1"/>
          <w:sz w:val="24"/>
          <w:szCs w:val="24"/>
          <w14:textFill>
            <w14:solidFill>
              <w14:schemeClr w14:val="tx1"/>
            </w14:solidFill>
          </w14:textFill>
        </w:rPr>
        <w:sectPr>
          <w:pgSz w:w="11906" w:h="16838"/>
          <w:pgMar w:top="1440" w:right="1800" w:bottom="1440" w:left="1800" w:header="851" w:footer="992" w:gutter="0"/>
          <w:cols w:space="720" w:num="1"/>
          <w:docGrid w:linePitch="315" w:charSpace="0"/>
        </w:sectPr>
      </w:pPr>
    </w:p>
    <w:p w14:paraId="4B34142A">
      <w:pPr>
        <w:spacing w:line="360" w:lineRule="auto"/>
        <w:jc w:val="center"/>
        <w:rPr>
          <w:rFonts w:hint="eastAsia" w:ascii="仿宋" w:hAnsi="仿宋" w:eastAsia="仿宋" w:cs="仿宋"/>
          <w:color w:val="000000" w:themeColor="text1"/>
          <w:kern w:val="10"/>
          <w:sz w:val="44"/>
          <w:szCs w:val="44"/>
          <w14:textFill>
            <w14:solidFill>
              <w14:schemeClr w14:val="tx1"/>
            </w14:solidFill>
          </w14:textFill>
        </w:rPr>
      </w:pPr>
      <w:r>
        <w:rPr>
          <w:rFonts w:hint="eastAsia" w:ascii="仿宋" w:hAnsi="仿宋" w:eastAsia="仿宋" w:cs="仿宋"/>
          <w:color w:val="000000" w:themeColor="text1"/>
          <w:kern w:val="10"/>
          <w:sz w:val="44"/>
          <w:szCs w:val="44"/>
          <w14:textFill>
            <w14:solidFill>
              <w14:schemeClr w14:val="tx1"/>
            </w14:solidFill>
          </w14:textFill>
        </w:rPr>
        <w:t>（二）财务报告</w:t>
      </w:r>
    </w:p>
    <w:p w14:paraId="27F679CF">
      <w:pPr>
        <w:pStyle w:val="25"/>
        <w:spacing w:after="120"/>
        <w:jc w:val="both"/>
        <w:rPr>
          <w:rFonts w:hint="eastAsia" w:ascii="仿宋" w:hAnsi="仿宋" w:eastAsia="仿宋" w:cs="仿宋"/>
          <w:color w:val="000000" w:themeColor="text1"/>
          <w:sz w:val="24"/>
          <w:szCs w:val="24"/>
          <w14:textFill>
            <w14:solidFill>
              <w14:schemeClr w14:val="tx1"/>
            </w14:solidFill>
          </w14:textFill>
        </w:rPr>
      </w:pPr>
    </w:p>
    <w:p w14:paraId="1FFC0CA1">
      <w:pPr>
        <w:pStyle w:val="25"/>
        <w:spacing w:after="120" w:line="240" w:lineRule="auto"/>
        <w:jc w:val="left"/>
        <w:rPr>
          <w:rFonts w:hint="eastAsia" w:ascii="仿宋" w:hAnsi="仿宋" w:eastAsia="仿宋" w:cs="仿宋"/>
          <w:color w:val="000000" w:themeColor="text1"/>
          <w:kern w:val="2"/>
          <w:sz w:val="22"/>
          <w:szCs w:val="22"/>
          <w14:textFill>
            <w14:solidFill>
              <w14:schemeClr w14:val="tx1"/>
            </w14:solidFill>
          </w14:textFill>
        </w:rPr>
        <w:sectPr>
          <w:pgSz w:w="11906" w:h="16838"/>
          <w:pgMar w:top="1440" w:right="1800" w:bottom="1440" w:left="1800" w:header="851" w:footer="992" w:gutter="0"/>
          <w:cols w:space="720" w:num="1"/>
          <w:docGrid w:linePitch="315" w:charSpace="0"/>
        </w:sectPr>
      </w:pPr>
      <w:r>
        <w:rPr>
          <w:rFonts w:hint="eastAsia" w:ascii="仿宋" w:hAnsi="仿宋" w:eastAsia="仿宋" w:cs="仿宋"/>
          <w:color w:val="000000" w:themeColor="text1"/>
          <w:kern w:val="2"/>
          <w:sz w:val="22"/>
          <w:szCs w:val="22"/>
          <w14:textFill>
            <w14:solidFill>
              <w14:schemeClr w14:val="tx1"/>
            </w14:solidFill>
          </w14:textFill>
        </w:rPr>
        <w:t>注：须提供本单位202</w:t>
      </w:r>
      <w:r>
        <w:rPr>
          <w:rFonts w:hint="eastAsia" w:ascii="仿宋" w:hAnsi="仿宋" w:eastAsia="仿宋" w:cs="仿宋"/>
          <w:color w:val="000000" w:themeColor="text1"/>
          <w:kern w:val="2"/>
          <w:sz w:val="22"/>
          <w:szCs w:val="22"/>
          <w:lang w:val="en-US" w:eastAsia="zh-CN"/>
          <w14:textFill>
            <w14:solidFill>
              <w14:schemeClr w14:val="tx1"/>
            </w14:solidFill>
          </w14:textFill>
        </w:rPr>
        <w:t>5</w:t>
      </w:r>
      <w:r>
        <w:rPr>
          <w:rFonts w:hint="eastAsia" w:ascii="仿宋" w:hAnsi="仿宋" w:eastAsia="仿宋" w:cs="仿宋"/>
          <w:color w:val="000000" w:themeColor="text1"/>
          <w:kern w:val="2"/>
          <w:sz w:val="22"/>
          <w:szCs w:val="22"/>
          <w14:textFill>
            <w14:solidFill>
              <w14:schemeClr w14:val="tx1"/>
            </w14:solidFill>
          </w14:textFill>
        </w:rPr>
        <w:t>年度由会计师事务所出具的财务审计报告，审计报告须包括资产负债表、利润表、现金流量表、所有者权益变动(如有)及其附注(复印件并加盖本单位公章)。如响应供应商注册成立不一年的的则提供成立至今的财务报表（须包括资产负债表、利润表、现金流量表）</w:t>
      </w:r>
    </w:p>
    <w:p w14:paraId="17E1C420">
      <w:pPr>
        <w:spacing w:line="360" w:lineRule="auto"/>
        <w:jc w:val="center"/>
        <w:rPr>
          <w:rFonts w:hint="eastAsia" w:ascii="仿宋" w:hAnsi="仿宋" w:eastAsia="仿宋" w:cs="仿宋"/>
          <w:color w:val="000000" w:themeColor="text1"/>
          <w:kern w:val="10"/>
          <w:sz w:val="44"/>
          <w:szCs w:val="44"/>
          <w14:textFill>
            <w14:solidFill>
              <w14:schemeClr w14:val="tx1"/>
            </w14:solidFill>
          </w14:textFill>
        </w:rPr>
      </w:pPr>
      <w:r>
        <w:rPr>
          <w:rFonts w:hint="eastAsia" w:ascii="仿宋" w:hAnsi="仿宋" w:eastAsia="仿宋" w:cs="仿宋"/>
          <w:color w:val="000000" w:themeColor="text1"/>
          <w:kern w:val="10"/>
          <w:sz w:val="44"/>
          <w:szCs w:val="44"/>
          <w14:textFill>
            <w14:solidFill>
              <w14:schemeClr w14:val="tx1"/>
            </w14:solidFill>
          </w14:textFill>
        </w:rPr>
        <w:t>（三）完税证明及社保证明</w:t>
      </w:r>
    </w:p>
    <w:p w14:paraId="6DC19359">
      <w:pPr>
        <w:jc w:val="left"/>
        <w:rPr>
          <w:rFonts w:hint="eastAsia" w:ascii="仿宋" w:hAnsi="仿宋" w:eastAsia="仿宋" w:cs="仿宋"/>
          <w:color w:val="000000" w:themeColor="text1"/>
          <w:sz w:val="22"/>
          <w14:textFill>
            <w14:solidFill>
              <w14:schemeClr w14:val="tx1"/>
            </w14:solidFill>
          </w14:textFill>
        </w:rPr>
        <w:sectPr>
          <w:pgSz w:w="11906" w:h="16838"/>
          <w:pgMar w:top="1440" w:right="1800" w:bottom="1440" w:left="1800" w:header="851" w:footer="992" w:gutter="0"/>
          <w:cols w:space="720" w:num="1"/>
          <w:docGrid w:linePitch="315" w:charSpace="0"/>
        </w:sectPr>
      </w:pPr>
      <w:r>
        <w:rPr>
          <w:rFonts w:hint="eastAsia" w:ascii="仿宋" w:hAnsi="仿宋" w:eastAsia="仿宋" w:cs="仿宋"/>
          <w:color w:val="000000" w:themeColor="text1"/>
          <w:sz w:val="22"/>
          <w14:textFill>
            <w14:solidFill>
              <w14:schemeClr w14:val="tx1"/>
            </w14:solidFill>
          </w14:textFill>
        </w:rPr>
        <w:t>注：1.须提供响应文件递交截止日期之前六个月内任何一个月的纳税记录(如响应供应商缴纳的增值税、所得税、印花税等我国现行税种中任意一项即可)或证明文件原件扫描件(依法免税的应提供相应文件说明)；2.须提供响应文件递交截止日期之前六个月内任意三个月为员工缴纳社会保障资金的证明材料原件扫描件。</w:t>
      </w:r>
    </w:p>
    <w:p w14:paraId="3284C665">
      <w:pPr>
        <w:numPr>
          <w:ilvl w:val="0"/>
          <w:numId w:val="5"/>
        </w:num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服务管理团队</w:t>
      </w:r>
    </w:p>
    <w:tbl>
      <w:tblPr>
        <w:tblStyle w:val="34"/>
        <w:tblpPr w:leftFromText="180" w:rightFromText="180" w:vertAnchor="text" w:horzAnchor="page" w:tblpX="882" w:tblpY="415"/>
        <w:tblOverlap w:val="never"/>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1566"/>
        <w:gridCol w:w="1566"/>
        <w:gridCol w:w="1566"/>
        <w:gridCol w:w="1567"/>
        <w:gridCol w:w="1567"/>
      </w:tblGrid>
      <w:tr w14:paraId="750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566" w:type="dxa"/>
            <w:vAlign w:val="center"/>
          </w:tcPr>
          <w:p w14:paraId="0EFB4AAD">
            <w:pPr>
              <w:widowControl/>
              <w:ind w:firstLine="720" w:firstLineChars="3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-5080</wp:posOffset>
                      </wp:positionV>
                      <wp:extent cx="1041400" cy="572135"/>
                      <wp:effectExtent l="2540" t="4445" r="3810" b="13970"/>
                      <wp:wrapNone/>
                      <wp:docPr id="3" name="直接连接符 3"/>
                      <wp:cNvGraphicFramePr/>
                      <a:graphic xmlns:a="http://schemas.openxmlformats.org/drawingml/2006/main">
                        <a:graphicData uri="http://schemas.microsoft.com/office/word/2010/wordprocessingShape">
                          <wps:wsp>
                            <wps:cNvCnPr/>
                            <wps:spPr>
                              <a:xfrm>
                                <a:off x="1080770" y="1146810"/>
                                <a:ext cx="1041400" cy="57213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45pt;margin-top:-0.4pt;height:45.05pt;width:82pt;z-index:251659264;mso-width-relative:page;mso-height-relative:page;" filled="f" stroked="t" coordsize="21600,21600" o:gfxdata="UEsDBAoAAAAAAIdO4kAAAAAAAAAAAAAAAAAEAAAAZHJzL1BLAwQUAAAACACHTuJARxiM1NkAAAAI&#10;AQAADwAAAGRycy9kb3ducmV2LnhtbE2PwU7DMBBE70j8g7VI3Fo7VFRtGqdSIjj0ABItEvTmxksS&#10;Ea9D7LTl79meym1HM5p9k63PrhNHHELrSUMyVSCQKm9bqjW8754nCxAhGrKm84QafjHAOr+9yUxq&#10;/Yne8LiNteASCqnR0MTYp1KGqkFnwtT3SOx9+cGZyHKopR3MictdJx+UmktnWuIPjemxbLD63o5O&#10;Qwwfn69x3PwU8+KlxF2xL5/kRuv7u0StQEQ8x2sYLviMDjkzHfxINohOwyRRS47ywQsu/uMsAXHQ&#10;sFjOQOaZ/D8g/wNQSwMEFAAAAAgAh07iQBBZ3a7mAQAAqwMAAA4AAABkcnMvZTJvRG9jLnhtbK1T&#10;S47UMBDdI3EHy3s6SX+mW1GnZzGtYYNgJOAAbsdOLPknl6fTfQkugMQOVizZcxuGY1B2wgwMm1mQ&#10;hVMuP7+q91LZXp6MJkcRQDnb0GpWUiIsd62yXUPfv7t+saEEIrMt086Khp4F0Mvd82fbwddi7nqn&#10;WxEIklioB9/QPkZfFwXwXhgGM+eFxUPpgmERt6Er2sAGZDe6mJflRTG40PrguADA7H48pBNjeAqh&#10;k1JxsXf81ggbR9YgNIsoCXrlge5yt1IKHt9ICSIS3VBUGvOKRTA+pLXYbVndBeZ7xacW2FNaeKTJ&#10;MGWx6D3VnkVGboP6h8ooHhw4GWfcmWIUkh1BFVX5yJu3PfMia0Grwd+bDv+Plr8+3gSi2oYuKLHM&#10;4Ae/+/jtx4fPP79/wvXu6xeySCYNHmrEXtmbMO3A34Sk+CSDSW/UQk44UOWmXK/R3jPG1fJiU00m&#10;i1MkPAOW1bJEAEfEaj2vFqtUoHhg8gHiS+EMSUFDtbLJBFaz4yuII/Q3JKWtu1ZaY57V2pIBlVTr&#10;FdIzHE6JQ4Gh8SgQbEcJ0x1OPY8hM4LTqk2302UI3eFKB3JkaVbyMzX2FyyV3jPoR1w+mmDaooxk&#10;1GhNig6uPWfHch6/YRY6zVsakj/3+fbDP7b7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cYjNTZ&#10;AAAACAEAAA8AAAAAAAAAAQAgAAAAIgAAAGRycy9kb3ducmV2LnhtbFBLAQIUABQAAAAIAIdO4kAQ&#10;Wd2u5gEAAKsDAAAOAAAAAAAAAAEAIAAAACgBAABkcnMvZTJvRG9jLnhtbFBLBQYAAAAABgAGAFkB&#10;AACABQAAAAA=&#10;">
                      <v:fill on="f" focussize="0,0"/>
                      <v:stroke weight="0.25pt" color="#000000 [3213]" joinstyle="round"/>
                      <v:imagedata o:title=""/>
                      <o:lock v:ext="edit" aspectratio="f"/>
                    </v:line>
                  </w:pict>
                </mc:Fallback>
              </mc:AlternateContent>
            </w:r>
            <w:r>
              <w:rPr>
                <w:rFonts w:hint="eastAsia" w:ascii="仿宋" w:hAnsi="仿宋" w:eastAsia="仿宋" w:cs="仿宋"/>
                <w:color w:val="000000" w:themeColor="text1"/>
                <w:kern w:val="0"/>
                <w:sz w:val="24"/>
                <w:szCs w:val="24"/>
                <w:lang w:bidi="ar"/>
                <w14:textFill>
                  <w14:solidFill>
                    <w14:schemeClr w14:val="tx1"/>
                  </w14:solidFill>
                </w14:textFill>
              </w:rPr>
              <w:t>资历</w:t>
            </w:r>
          </w:p>
          <w:p w14:paraId="7CEEA247">
            <w:pPr>
              <w:widowControl/>
              <w:jc w:val="center"/>
              <w:rPr>
                <w:rFonts w:hint="eastAsia" w:ascii="仿宋" w:hAnsi="仿宋" w:eastAsia="仿宋" w:cs="仿宋"/>
                <w:color w:val="000000" w:themeColor="text1"/>
                <w:kern w:val="0"/>
                <w:sz w:val="24"/>
                <w:szCs w:val="24"/>
                <w:lang w:bidi="ar"/>
                <w14:textFill>
                  <w14:solidFill>
                    <w14:schemeClr w14:val="tx1"/>
                  </w14:solidFill>
                </w14:textFill>
              </w:rPr>
            </w:pPr>
          </w:p>
          <w:p w14:paraId="7FEDB411">
            <w:pPr>
              <w:widowControl/>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拟任职务</w:t>
            </w:r>
          </w:p>
        </w:tc>
        <w:tc>
          <w:tcPr>
            <w:tcW w:w="1566" w:type="dxa"/>
            <w:vAlign w:val="center"/>
          </w:tcPr>
          <w:p w14:paraId="1367DFE6">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姓名</w:t>
            </w:r>
          </w:p>
        </w:tc>
        <w:tc>
          <w:tcPr>
            <w:tcW w:w="1566" w:type="dxa"/>
            <w:vAlign w:val="center"/>
          </w:tcPr>
          <w:p w14:paraId="0B309C30">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职称</w:t>
            </w:r>
          </w:p>
        </w:tc>
        <w:tc>
          <w:tcPr>
            <w:tcW w:w="1566" w:type="dxa"/>
            <w:vAlign w:val="center"/>
          </w:tcPr>
          <w:p w14:paraId="4DA39838">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专业</w:t>
            </w:r>
          </w:p>
        </w:tc>
        <w:tc>
          <w:tcPr>
            <w:tcW w:w="1567" w:type="dxa"/>
            <w:vAlign w:val="center"/>
          </w:tcPr>
          <w:p w14:paraId="1575A8DD">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工作年限</w:t>
            </w:r>
          </w:p>
        </w:tc>
        <w:tc>
          <w:tcPr>
            <w:tcW w:w="1567" w:type="dxa"/>
            <w:vAlign w:val="center"/>
          </w:tcPr>
          <w:p w14:paraId="74C1CA85">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备注</w:t>
            </w:r>
          </w:p>
        </w:tc>
      </w:tr>
      <w:tr w14:paraId="5D86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66" w:type="dxa"/>
            <w:vAlign w:val="center"/>
          </w:tcPr>
          <w:p w14:paraId="586135AC">
            <w:pPr>
              <w:pStyle w:val="2"/>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项目负责人</w:t>
            </w:r>
          </w:p>
        </w:tc>
        <w:tc>
          <w:tcPr>
            <w:tcW w:w="1566" w:type="dxa"/>
            <w:vAlign w:val="center"/>
          </w:tcPr>
          <w:p w14:paraId="4DCD2626">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73F710F8">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798A5F78">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69DC2D1B">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6EA46716">
            <w:pPr>
              <w:pStyle w:val="2"/>
              <w:jc w:val="center"/>
              <w:rPr>
                <w:rFonts w:hint="eastAsia" w:ascii="仿宋" w:hAnsi="仿宋" w:eastAsia="仿宋" w:cs="仿宋"/>
                <w:color w:val="000000" w:themeColor="text1"/>
                <w:sz w:val="24"/>
                <w14:textFill>
                  <w14:solidFill>
                    <w14:schemeClr w14:val="tx1"/>
                  </w14:solidFill>
                </w14:textFill>
              </w:rPr>
            </w:pPr>
          </w:p>
        </w:tc>
      </w:tr>
      <w:tr w14:paraId="2AD5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66" w:type="dxa"/>
            <w:vAlign w:val="center"/>
          </w:tcPr>
          <w:p w14:paraId="5E5AFF0E">
            <w:pPr>
              <w:pStyle w:val="2"/>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566" w:type="dxa"/>
            <w:vAlign w:val="center"/>
          </w:tcPr>
          <w:p w14:paraId="0E10C77B">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025D2CB2">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674019F8">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1449C96C">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3DF0A0C0">
            <w:pPr>
              <w:pStyle w:val="2"/>
              <w:jc w:val="center"/>
              <w:rPr>
                <w:rFonts w:hint="eastAsia" w:ascii="仿宋" w:hAnsi="仿宋" w:eastAsia="仿宋" w:cs="仿宋"/>
                <w:color w:val="000000" w:themeColor="text1"/>
                <w:sz w:val="24"/>
                <w14:textFill>
                  <w14:solidFill>
                    <w14:schemeClr w14:val="tx1"/>
                  </w14:solidFill>
                </w14:textFill>
              </w:rPr>
            </w:pPr>
          </w:p>
        </w:tc>
      </w:tr>
      <w:tr w14:paraId="69AD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66" w:type="dxa"/>
            <w:vAlign w:val="center"/>
          </w:tcPr>
          <w:p w14:paraId="2E7E7618">
            <w:pPr>
              <w:pStyle w:val="2"/>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566" w:type="dxa"/>
            <w:vAlign w:val="center"/>
          </w:tcPr>
          <w:p w14:paraId="5B7C0684">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7F38A781">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1355CCA9">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13D3F1DB">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61EB2152">
            <w:pPr>
              <w:pStyle w:val="2"/>
              <w:jc w:val="center"/>
              <w:rPr>
                <w:rFonts w:hint="eastAsia" w:ascii="仿宋" w:hAnsi="仿宋" w:eastAsia="仿宋" w:cs="仿宋"/>
                <w:color w:val="000000" w:themeColor="text1"/>
                <w:sz w:val="24"/>
                <w14:textFill>
                  <w14:solidFill>
                    <w14:schemeClr w14:val="tx1"/>
                  </w14:solidFill>
                </w14:textFill>
              </w:rPr>
            </w:pPr>
          </w:p>
        </w:tc>
      </w:tr>
      <w:tr w14:paraId="5CC7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66" w:type="dxa"/>
            <w:vAlign w:val="center"/>
          </w:tcPr>
          <w:p w14:paraId="6F58003D">
            <w:pPr>
              <w:pStyle w:val="2"/>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566" w:type="dxa"/>
            <w:vAlign w:val="center"/>
          </w:tcPr>
          <w:p w14:paraId="3F98F9FC">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4544C0E2">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3D7E9927">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72BB1FBF">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629B81E4">
            <w:pPr>
              <w:pStyle w:val="2"/>
              <w:jc w:val="center"/>
              <w:rPr>
                <w:rFonts w:hint="eastAsia" w:ascii="仿宋" w:hAnsi="仿宋" w:eastAsia="仿宋" w:cs="仿宋"/>
                <w:color w:val="000000" w:themeColor="text1"/>
                <w:sz w:val="24"/>
                <w14:textFill>
                  <w14:solidFill>
                    <w14:schemeClr w14:val="tx1"/>
                  </w14:solidFill>
                </w14:textFill>
              </w:rPr>
            </w:pPr>
          </w:p>
        </w:tc>
      </w:tr>
      <w:tr w14:paraId="67A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66" w:type="dxa"/>
            <w:vAlign w:val="center"/>
          </w:tcPr>
          <w:p w14:paraId="72EFF0E1">
            <w:pPr>
              <w:pStyle w:val="2"/>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566" w:type="dxa"/>
            <w:vAlign w:val="center"/>
          </w:tcPr>
          <w:p w14:paraId="39700563">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0772D236">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5B9C6394">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3518B54C">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4AB1D7BF">
            <w:pPr>
              <w:pStyle w:val="2"/>
              <w:jc w:val="center"/>
              <w:rPr>
                <w:rFonts w:hint="eastAsia" w:ascii="仿宋" w:hAnsi="仿宋" w:eastAsia="仿宋" w:cs="仿宋"/>
                <w:color w:val="000000" w:themeColor="text1"/>
                <w:sz w:val="24"/>
                <w14:textFill>
                  <w14:solidFill>
                    <w14:schemeClr w14:val="tx1"/>
                  </w14:solidFill>
                </w14:textFill>
              </w:rPr>
            </w:pPr>
          </w:p>
        </w:tc>
      </w:tr>
      <w:tr w14:paraId="211F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66" w:type="dxa"/>
            <w:vAlign w:val="center"/>
          </w:tcPr>
          <w:p w14:paraId="7ADEAA3E">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480ECD73">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0E4E2030">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128A8E07">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693BF103">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53817ADB">
            <w:pPr>
              <w:pStyle w:val="2"/>
              <w:jc w:val="center"/>
              <w:rPr>
                <w:rFonts w:hint="eastAsia" w:ascii="仿宋" w:hAnsi="仿宋" w:eastAsia="仿宋" w:cs="仿宋"/>
                <w:color w:val="000000" w:themeColor="text1"/>
                <w:sz w:val="24"/>
                <w14:textFill>
                  <w14:solidFill>
                    <w14:schemeClr w14:val="tx1"/>
                  </w14:solidFill>
                </w14:textFill>
              </w:rPr>
            </w:pPr>
          </w:p>
        </w:tc>
      </w:tr>
      <w:tr w14:paraId="23E5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66" w:type="dxa"/>
            <w:vAlign w:val="center"/>
          </w:tcPr>
          <w:p w14:paraId="21BC20A0">
            <w:pPr>
              <w:jc w:val="center"/>
              <w:rPr>
                <w:rFonts w:hint="eastAsia" w:ascii="仿宋" w:hAnsi="仿宋" w:eastAsia="仿宋" w:cs="仿宋"/>
                <w:color w:val="000000" w:themeColor="text1"/>
                <w:sz w:val="24"/>
                <w:szCs w:val="24"/>
                <w14:textFill>
                  <w14:solidFill>
                    <w14:schemeClr w14:val="tx1"/>
                  </w14:solidFill>
                </w14:textFill>
              </w:rPr>
            </w:pPr>
          </w:p>
        </w:tc>
        <w:tc>
          <w:tcPr>
            <w:tcW w:w="1566" w:type="dxa"/>
            <w:vAlign w:val="center"/>
          </w:tcPr>
          <w:p w14:paraId="75972136">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35D77FEC">
            <w:pPr>
              <w:pStyle w:val="2"/>
              <w:jc w:val="center"/>
              <w:rPr>
                <w:rFonts w:hint="eastAsia" w:ascii="仿宋" w:hAnsi="仿宋" w:eastAsia="仿宋" w:cs="仿宋"/>
                <w:color w:val="000000" w:themeColor="text1"/>
                <w:sz w:val="24"/>
                <w14:textFill>
                  <w14:solidFill>
                    <w14:schemeClr w14:val="tx1"/>
                  </w14:solidFill>
                </w14:textFill>
              </w:rPr>
            </w:pPr>
          </w:p>
        </w:tc>
        <w:tc>
          <w:tcPr>
            <w:tcW w:w="1566" w:type="dxa"/>
            <w:vAlign w:val="center"/>
          </w:tcPr>
          <w:p w14:paraId="298C6236">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50D2512C">
            <w:pPr>
              <w:pStyle w:val="2"/>
              <w:jc w:val="center"/>
              <w:rPr>
                <w:rFonts w:hint="eastAsia" w:ascii="仿宋" w:hAnsi="仿宋" w:eastAsia="仿宋" w:cs="仿宋"/>
                <w:color w:val="000000" w:themeColor="text1"/>
                <w:sz w:val="24"/>
                <w14:textFill>
                  <w14:solidFill>
                    <w14:schemeClr w14:val="tx1"/>
                  </w14:solidFill>
                </w14:textFill>
              </w:rPr>
            </w:pPr>
          </w:p>
        </w:tc>
        <w:tc>
          <w:tcPr>
            <w:tcW w:w="1567" w:type="dxa"/>
            <w:vAlign w:val="center"/>
          </w:tcPr>
          <w:p w14:paraId="02582247">
            <w:pPr>
              <w:pStyle w:val="2"/>
              <w:jc w:val="center"/>
              <w:rPr>
                <w:rFonts w:hint="eastAsia" w:ascii="仿宋" w:hAnsi="仿宋" w:eastAsia="仿宋" w:cs="仿宋"/>
                <w:color w:val="000000" w:themeColor="text1"/>
                <w:sz w:val="24"/>
                <w14:textFill>
                  <w14:solidFill>
                    <w14:schemeClr w14:val="tx1"/>
                  </w14:solidFill>
                </w14:textFill>
              </w:rPr>
            </w:pPr>
          </w:p>
        </w:tc>
      </w:tr>
    </w:tbl>
    <w:p w14:paraId="0E556B94">
      <w:pPr>
        <w:jc w:val="center"/>
        <w:rPr>
          <w:rFonts w:hint="eastAsia" w:ascii="仿宋" w:hAnsi="仿宋" w:eastAsia="仿宋" w:cs="仿宋"/>
          <w:b/>
          <w:bCs/>
          <w:color w:val="000000" w:themeColor="text1"/>
          <w:sz w:val="32"/>
          <w:szCs w:val="32"/>
          <w14:textFill>
            <w14:solidFill>
              <w14:schemeClr w14:val="tx1"/>
            </w14:solidFill>
          </w14:textFill>
        </w:rPr>
      </w:pPr>
    </w:p>
    <w:p w14:paraId="21EF0E0F">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注：后附相关证件、证明材料。</w:t>
      </w:r>
    </w:p>
    <w:p w14:paraId="6AFB1A02">
      <w:pPr>
        <w:pStyle w:val="2"/>
        <w:rPr>
          <w:rFonts w:hint="eastAsia" w:ascii="仿宋" w:hAnsi="仿宋" w:eastAsia="仿宋" w:cs="仿宋"/>
          <w:color w:val="000000" w:themeColor="text1"/>
          <w:sz w:val="24"/>
          <w14:textFill>
            <w14:solidFill>
              <w14:schemeClr w14:val="tx1"/>
            </w14:solidFill>
          </w14:textFill>
        </w:rPr>
      </w:pPr>
    </w:p>
    <w:p w14:paraId="3E21A049">
      <w:pPr>
        <w:pStyle w:val="50"/>
        <w:ind w:firstLine="480"/>
        <w:rPr>
          <w:rFonts w:hint="eastAsia" w:ascii="仿宋" w:hAnsi="仿宋" w:eastAsia="仿宋" w:cs="仿宋"/>
          <w:color w:val="000000" w:themeColor="text1"/>
          <w:sz w:val="24"/>
          <w:szCs w:val="24"/>
          <w14:textFill>
            <w14:solidFill>
              <w14:schemeClr w14:val="tx1"/>
            </w14:solidFill>
          </w14:textFill>
        </w:rPr>
      </w:pPr>
    </w:p>
    <w:p w14:paraId="2B0ED72E">
      <w:pPr>
        <w:rPr>
          <w:rFonts w:hint="eastAsia" w:ascii="仿宋" w:hAnsi="仿宋" w:eastAsia="仿宋" w:cs="仿宋"/>
          <w:color w:val="000000" w:themeColor="text1"/>
          <w:sz w:val="24"/>
          <w:szCs w:val="24"/>
          <w14:textFill>
            <w14:solidFill>
              <w14:schemeClr w14:val="tx1"/>
            </w14:solidFill>
          </w14:textFill>
        </w:rPr>
      </w:pPr>
    </w:p>
    <w:p w14:paraId="7361BE33">
      <w:pPr>
        <w:widowControl/>
        <w:ind w:firstLine="4560" w:firstLineChars="1900"/>
        <w:jc w:val="left"/>
        <w:rPr>
          <w:rFonts w:hint="eastAsia" w:ascii="仿宋" w:hAnsi="仿宋" w:eastAsia="仿宋" w:cs="仿宋"/>
          <w:color w:val="000000" w:themeColor="text1"/>
          <w:kern w:val="0"/>
          <w:sz w:val="24"/>
          <w:szCs w:val="24"/>
          <w:u w:val="single"/>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响应供应商（盖章）：</w:t>
      </w:r>
      <w:r>
        <w:rPr>
          <w:rFonts w:hint="eastAsia" w:ascii="仿宋" w:hAnsi="仿宋" w:eastAsia="仿宋" w:cs="仿宋"/>
          <w:color w:val="000000" w:themeColor="text1"/>
          <w:kern w:val="0"/>
          <w:sz w:val="24"/>
          <w:szCs w:val="24"/>
          <w:u w:val="single"/>
          <w:lang w:bidi="ar"/>
          <w14:textFill>
            <w14:solidFill>
              <w14:schemeClr w14:val="tx1"/>
            </w14:solidFill>
          </w14:textFill>
        </w:rPr>
        <w:t xml:space="preserve">           </w:t>
      </w:r>
    </w:p>
    <w:p w14:paraId="07CA971A">
      <w:pPr>
        <w:widowControl/>
        <w:ind w:firstLine="4560" w:firstLineChars="19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 </w:t>
      </w:r>
    </w:p>
    <w:p w14:paraId="02137B91">
      <w:pPr>
        <w:widowControl/>
        <w:ind w:firstLine="4080" w:firstLineChars="1700"/>
        <w:jc w:val="left"/>
        <w:rPr>
          <w:rFonts w:hint="eastAsia" w:ascii="仿宋" w:hAnsi="仿宋" w:eastAsia="仿宋" w:cs="仿宋"/>
          <w:color w:val="000000" w:themeColor="text1"/>
          <w:kern w:val="0"/>
          <w:sz w:val="24"/>
          <w:szCs w:val="24"/>
          <w:u w:val="single"/>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法人或被授权人签字或盖章：</w:t>
      </w:r>
      <w:r>
        <w:rPr>
          <w:rFonts w:hint="eastAsia" w:ascii="仿宋" w:hAnsi="仿宋" w:eastAsia="仿宋" w:cs="仿宋"/>
          <w:color w:val="000000" w:themeColor="text1"/>
          <w:kern w:val="0"/>
          <w:sz w:val="24"/>
          <w:szCs w:val="24"/>
          <w:u w:val="single"/>
          <w:lang w:bidi="ar"/>
          <w14:textFill>
            <w14:solidFill>
              <w14:schemeClr w14:val="tx1"/>
            </w14:solidFill>
          </w14:textFill>
        </w:rPr>
        <w:t xml:space="preserve">         </w:t>
      </w:r>
    </w:p>
    <w:p w14:paraId="40782937">
      <w:pPr>
        <w:widowControl/>
        <w:ind w:firstLine="4080" w:firstLineChars="17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 </w:t>
      </w:r>
    </w:p>
    <w:p w14:paraId="47364793">
      <w:pPr>
        <w:widowControl/>
        <w:ind w:firstLine="4800" w:firstLineChars="2000"/>
        <w:jc w:val="left"/>
        <w:rPr>
          <w:rFonts w:hint="eastAsia" w:ascii="仿宋" w:hAnsi="仿宋" w:eastAsia="仿宋" w:cs="仿宋"/>
          <w:color w:val="000000" w:themeColor="text1"/>
          <w:sz w:val="22"/>
          <w14:textFill>
            <w14:solidFill>
              <w14:schemeClr w14:val="tx1"/>
            </w14:solidFill>
          </w14:textFill>
        </w:rPr>
        <w:sectPr>
          <w:pgSz w:w="11906" w:h="16838"/>
          <w:pgMar w:top="1440" w:right="1800" w:bottom="1440" w:left="1800" w:header="851" w:footer="992" w:gutter="0"/>
          <w:cols w:space="720" w:num="1"/>
          <w:docGrid w:linePitch="315" w:charSpace="0"/>
        </w:sectPr>
      </w:pPr>
      <w:r>
        <w:rPr>
          <w:rFonts w:hint="eastAsia" w:ascii="仿宋" w:hAnsi="仿宋" w:eastAsia="仿宋" w:cs="仿宋"/>
          <w:color w:val="000000" w:themeColor="text1"/>
          <w:kern w:val="0"/>
          <w:sz w:val="24"/>
          <w:szCs w:val="24"/>
          <w:lang w:bidi="ar"/>
          <w14:textFill>
            <w14:solidFill>
              <w14:schemeClr w14:val="tx1"/>
            </w14:solidFill>
          </w14:textFill>
        </w:rPr>
        <w:t>日 期：</w:t>
      </w:r>
    </w:p>
    <w:p w14:paraId="7F0AEAE4">
      <w:pPr>
        <w:widowControl/>
        <w:jc w:val="center"/>
        <w:rPr>
          <w:rFonts w:hint="eastAsia" w:ascii="仿宋" w:hAnsi="仿宋" w:eastAsia="仿宋" w:cs="仿宋"/>
          <w:b/>
          <w:bCs/>
          <w:color w:val="000000" w:themeColor="text1"/>
          <w:kern w:val="0"/>
          <w:sz w:val="32"/>
          <w:szCs w:val="32"/>
          <w:lang w:bidi="ar"/>
          <w14:textFill>
            <w14:solidFill>
              <w14:schemeClr w14:val="tx1"/>
            </w14:solidFill>
          </w14:textFill>
        </w:rPr>
      </w:pPr>
      <w:bookmarkStart w:id="108" w:name="_Toc20159_WPSOffice_Level1"/>
      <w:bookmarkStart w:id="109" w:name="_Toc16014_WPSOffice_Level1"/>
      <w:bookmarkStart w:id="110" w:name="_Toc15909_WPSOffice_Level1"/>
      <w:bookmarkStart w:id="111" w:name="_Toc22272_WPSOffice_Level1"/>
      <w:bookmarkStart w:id="112" w:name="_Toc17925_WPSOffice_Level1"/>
      <w:bookmarkStart w:id="113" w:name="_Toc17147_WPSOffice_Level1"/>
      <w:bookmarkStart w:id="114" w:name="_Toc324_WPSOffice_Level1"/>
      <w:bookmarkStart w:id="115" w:name="_Toc26386_WPSOffice_Level1"/>
      <w:r>
        <w:rPr>
          <w:rFonts w:hint="eastAsia" w:ascii="仿宋" w:hAnsi="仿宋" w:eastAsia="仿宋" w:cs="仿宋"/>
          <w:b/>
          <w:bCs/>
          <w:color w:val="000000" w:themeColor="text1"/>
          <w:kern w:val="0"/>
          <w:sz w:val="32"/>
          <w:szCs w:val="32"/>
          <w:lang w:bidi="ar"/>
          <w14:textFill>
            <w14:solidFill>
              <w14:schemeClr w14:val="tx1"/>
            </w14:solidFill>
          </w14:textFill>
        </w:rPr>
        <w:t>九、响应截止时间前三年类似项目业绩表（如有）</w:t>
      </w:r>
    </w:p>
    <w:p w14:paraId="60E22E4D">
      <w:pPr>
        <w:pStyle w:val="2"/>
        <w:rPr>
          <w:rFonts w:hint="eastAsia" w:ascii="仿宋" w:hAnsi="仿宋" w:eastAsia="仿宋" w:cs="仿宋"/>
          <w:color w:val="000000" w:themeColor="text1"/>
          <w:sz w:val="24"/>
          <w14:textFill>
            <w14:solidFill>
              <w14:schemeClr w14:val="tx1"/>
            </w14:solidFill>
          </w14:textFill>
        </w:rPr>
      </w:pPr>
    </w:p>
    <w:tbl>
      <w:tblPr>
        <w:tblStyle w:val="34"/>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795"/>
        <w:gridCol w:w="1795"/>
        <w:gridCol w:w="1796"/>
        <w:gridCol w:w="1796"/>
      </w:tblGrid>
      <w:tr w14:paraId="464F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95" w:type="dxa"/>
            <w:vAlign w:val="center"/>
          </w:tcPr>
          <w:p w14:paraId="60173B61">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序号</w:t>
            </w:r>
          </w:p>
        </w:tc>
        <w:tc>
          <w:tcPr>
            <w:tcW w:w="1795" w:type="dxa"/>
            <w:vAlign w:val="center"/>
          </w:tcPr>
          <w:p w14:paraId="764DD84B">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项目名称</w:t>
            </w:r>
          </w:p>
        </w:tc>
        <w:tc>
          <w:tcPr>
            <w:tcW w:w="1795" w:type="dxa"/>
            <w:vAlign w:val="center"/>
          </w:tcPr>
          <w:p w14:paraId="236FB035">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服务内容</w:t>
            </w:r>
          </w:p>
        </w:tc>
        <w:tc>
          <w:tcPr>
            <w:tcW w:w="1796" w:type="dxa"/>
            <w:vAlign w:val="center"/>
          </w:tcPr>
          <w:p w14:paraId="0EC79795">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项目实施单位</w:t>
            </w:r>
          </w:p>
        </w:tc>
        <w:tc>
          <w:tcPr>
            <w:tcW w:w="1796" w:type="dxa"/>
            <w:vAlign w:val="center"/>
          </w:tcPr>
          <w:p w14:paraId="1A0ED6B2">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备注</w:t>
            </w:r>
          </w:p>
        </w:tc>
      </w:tr>
      <w:tr w14:paraId="16DD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63BA22F5">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76DBF062">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6EA1E891">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54640460">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1C08C0E7">
            <w:pPr>
              <w:pStyle w:val="25"/>
              <w:spacing w:after="156"/>
              <w:rPr>
                <w:rFonts w:hint="eastAsia" w:ascii="仿宋" w:hAnsi="仿宋" w:eastAsia="仿宋" w:cs="仿宋"/>
                <w:color w:val="000000" w:themeColor="text1"/>
                <w:sz w:val="24"/>
                <w:szCs w:val="24"/>
                <w14:textFill>
                  <w14:solidFill>
                    <w14:schemeClr w14:val="tx1"/>
                  </w14:solidFill>
                </w14:textFill>
              </w:rPr>
            </w:pPr>
          </w:p>
        </w:tc>
      </w:tr>
      <w:tr w14:paraId="54E9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3A10BFF1">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2FA052F9">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349BECCE">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5CD86636">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74D61B7A">
            <w:pPr>
              <w:pStyle w:val="25"/>
              <w:spacing w:after="156"/>
              <w:rPr>
                <w:rFonts w:hint="eastAsia" w:ascii="仿宋" w:hAnsi="仿宋" w:eastAsia="仿宋" w:cs="仿宋"/>
                <w:color w:val="000000" w:themeColor="text1"/>
                <w:sz w:val="24"/>
                <w:szCs w:val="24"/>
                <w14:textFill>
                  <w14:solidFill>
                    <w14:schemeClr w14:val="tx1"/>
                  </w14:solidFill>
                </w14:textFill>
              </w:rPr>
            </w:pPr>
          </w:p>
        </w:tc>
      </w:tr>
      <w:tr w14:paraId="19B9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0B9D33D9">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28DACCB9">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6CEC9438">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4AFF1F54">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3861C470">
            <w:pPr>
              <w:pStyle w:val="25"/>
              <w:spacing w:after="156"/>
              <w:rPr>
                <w:rFonts w:hint="eastAsia" w:ascii="仿宋" w:hAnsi="仿宋" w:eastAsia="仿宋" w:cs="仿宋"/>
                <w:color w:val="000000" w:themeColor="text1"/>
                <w:sz w:val="24"/>
                <w:szCs w:val="24"/>
                <w14:textFill>
                  <w14:solidFill>
                    <w14:schemeClr w14:val="tx1"/>
                  </w14:solidFill>
                </w14:textFill>
              </w:rPr>
            </w:pPr>
          </w:p>
        </w:tc>
      </w:tr>
      <w:tr w14:paraId="3AC8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0A8FDD66">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4C2D429C">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7F61291E">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4D736AEB">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5FD99F7F">
            <w:pPr>
              <w:pStyle w:val="25"/>
              <w:spacing w:after="156"/>
              <w:rPr>
                <w:rFonts w:hint="eastAsia" w:ascii="仿宋" w:hAnsi="仿宋" w:eastAsia="仿宋" w:cs="仿宋"/>
                <w:color w:val="000000" w:themeColor="text1"/>
                <w:sz w:val="24"/>
                <w:szCs w:val="24"/>
                <w14:textFill>
                  <w14:solidFill>
                    <w14:schemeClr w14:val="tx1"/>
                  </w14:solidFill>
                </w14:textFill>
              </w:rPr>
            </w:pPr>
          </w:p>
        </w:tc>
      </w:tr>
      <w:tr w14:paraId="3241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95" w:type="dxa"/>
            <w:vAlign w:val="center"/>
          </w:tcPr>
          <w:p w14:paraId="41BDD657">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2AD4ACE9">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5" w:type="dxa"/>
            <w:vAlign w:val="center"/>
          </w:tcPr>
          <w:p w14:paraId="3BFA304D">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081BC2A8">
            <w:pPr>
              <w:pStyle w:val="25"/>
              <w:spacing w:after="156"/>
              <w:rPr>
                <w:rFonts w:hint="eastAsia" w:ascii="仿宋" w:hAnsi="仿宋" w:eastAsia="仿宋" w:cs="仿宋"/>
                <w:color w:val="000000" w:themeColor="text1"/>
                <w:sz w:val="24"/>
                <w:szCs w:val="24"/>
                <w14:textFill>
                  <w14:solidFill>
                    <w14:schemeClr w14:val="tx1"/>
                  </w14:solidFill>
                </w14:textFill>
              </w:rPr>
            </w:pPr>
          </w:p>
        </w:tc>
        <w:tc>
          <w:tcPr>
            <w:tcW w:w="1796" w:type="dxa"/>
            <w:vAlign w:val="center"/>
          </w:tcPr>
          <w:p w14:paraId="2C0761DA">
            <w:pPr>
              <w:pStyle w:val="25"/>
              <w:spacing w:after="156"/>
              <w:rPr>
                <w:rFonts w:hint="eastAsia" w:ascii="仿宋" w:hAnsi="仿宋" w:eastAsia="仿宋" w:cs="仿宋"/>
                <w:color w:val="000000" w:themeColor="text1"/>
                <w:sz w:val="24"/>
                <w:szCs w:val="24"/>
                <w14:textFill>
                  <w14:solidFill>
                    <w14:schemeClr w14:val="tx1"/>
                  </w14:solidFill>
                </w14:textFill>
              </w:rPr>
            </w:pPr>
          </w:p>
        </w:tc>
      </w:tr>
    </w:tbl>
    <w:p w14:paraId="1D5F203B">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14:paraId="65644402">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注：项目</w:t>
      </w:r>
      <w:r>
        <w:rPr>
          <w:rFonts w:hint="eastAsia" w:ascii="仿宋" w:hAnsi="仿宋" w:eastAsia="仿宋" w:cs="仿宋"/>
          <w:color w:val="000000" w:themeColor="text1"/>
          <w:sz w:val="24"/>
          <w:szCs w:val="24"/>
          <w14:textFill>
            <w14:solidFill>
              <w14:schemeClr w14:val="tx1"/>
            </w14:solidFill>
          </w14:textFill>
        </w:rPr>
        <w:t>业绩证明材料以类似项目中标通知书或合同扫描件为准</w:t>
      </w:r>
      <w:r>
        <w:rPr>
          <w:rFonts w:hint="eastAsia" w:ascii="仿宋" w:hAnsi="仿宋" w:eastAsia="仿宋" w:cs="仿宋"/>
          <w:color w:val="000000" w:themeColor="text1"/>
          <w:kern w:val="0"/>
          <w:sz w:val="24"/>
          <w:szCs w:val="24"/>
          <w:lang w:bidi="ar"/>
          <w14:textFill>
            <w14:solidFill>
              <w14:schemeClr w14:val="tx1"/>
            </w14:solidFill>
          </w14:textFill>
        </w:rPr>
        <w:t xml:space="preserve">，不附证明文件不算业绩。 </w:t>
      </w:r>
    </w:p>
    <w:p w14:paraId="5291F2FE">
      <w:pPr>
        <w:pStyle w:val="2"/>
        <w:rPr>
          <w:rFonts w:hint="eastAsia" w:ascii="仿宋" w:hAnsi="仿宋" w:eastAsia="仿宋" w:cs="仿宋"/>
          <w:color w:val="000000" w:themeColor="text1"/>
          <w:sz w:val="24"/>
          <w14:textFill>
            <w14:solidFill>
              <w14:schemeClr w14:val="tx1"/>
            </w14:solidFill>
          </w14:textFill>
        </w:rPr>
      </w:pPr>
    </w:p>
    <w:p w14:paraId="4423D430">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如无业绩可填无。 </w:t>
      </w:r>
    </w:p>
    <w:p w14:paraId="2D900E14">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14:paraId="0A78EA8A">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14:paraId="5BCA585E">
      <w:pPr>
        <w:widowControl/>
        <w:ind w:firstLine="3360" w:firstLineChars="1400"/>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供应商盖章： </w:t>
      </w:r>
    </w:p>
    <w:p w14:paraId="7CACFCBD">
      <w:pPr>
        <w:pStyle w:val="50"/>
        <w:ind w:firstLine="0" w:firstLineChars="0"/>
        <w:rPr>
          <w:rFonts w:hint="eastAsia" w:ascii="仿宋" w:hAnsi="仿宋" w:eastAsia="仿宋" w:cs="仿宋"/>
          <w:color w:val="000000" w:themeColor="text1"/>
          <w:sz w:val="24"/>
          <w:szCs w:val="24"/>
          <w14:textFill>
            <w14:solidFill>
              <w14:schemeClr w14:val="tx1"/>
            </w14:solidFill>
          </w14:textFill>
        </w:rPr>
      </w:pPr>
    </w:p>
    <w:p w14:paraId="1368E2C3">
      <w:pPr>
        <w:widowControl/>
        <w:ind w:firstLine="3360" w:firstLineChars="1400"/>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供应商法人或代理人（盖章或签字）： </w:t>
      </w:r>
    </w:p>
    <w:p w14:paraId="39D00F4F">
      <w:pPr>
        <w:pStyle w:val="2"/>
        <w:rPr>
          <w:rFonts w:hint="eastAsia" w:ascii="仿宋" w:hAnsi="仿宋" w:eastAsia="仿宋" w:cs="仿宋"/>
          <w:color w:val="000000" w:themeColor="text1"/>
          <w:sz w:val="24"/>
          <w14:textFill>
            <w14:solidFill>
              <w14:schemeClr w14:val="tx1"/>
            </w14:solidFill>
          </w14:textFill>
        </w:rPr>
      </w:pPr>
    </w:p>
    <w:p w14:paraId="7DE81393">
      <w:pPr>
        <w:widowControl/>
        <w:ind w:firstLine="3360" w:firstLineChars="1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年 月 日</w:t>
      </w:r>
    </w:p>
    <w:p w14:paraId="4B43F25A">
      <w:pPr>
        <w:pStyle w:val="25"/>
        <w:spacing w:after="156"/>
        <w:rPr>
          <w:rFonts w:hint="eastAsia" w:ascii="仿宋" w:hAnsi="仿宋" w:eastAsia="仿宋" w:cs="仿宋"/>
          <w:color w:val="000000" w:themeColor="text1"/>
          <w:sz w:val="24"/>
          <w:szCs w:val="24"/>
          <w14:textFill>
            <w14:solidFill>
              <w14:schemeClr w14:val="tx1"/>
            </w14:solidFill>
          </w14:textFill>
        </w:rPr>
      </w:pPr>
    </w:p>
    <w:p w14:paraId="08B53B98">
      <w:pPr>
        <w:pStyle w:val="25"/>
        <w:spacing w:after="156"/>
        <w:rPr>
          <w:rFonts w:hint="eastAsia" w:ascii="仿宋" w:hAnsi="仿宋" w:eastAsia="仿宋" w:cs="仿宋"/>
          <w:color w:val="000000" w:themeColor="text1"/>
          <w:sz w:val="24"/>
          <w:szCs w:val="24"/>
          <w14:textFill>
            <w14:solidFill>
              <w14:schemeClr w14:val="tx1"/>
            </w14:solidFill>
          </w14:textFill>
        </w:rPr>
      </w:pPr>
    </w:p>
    <w:p w14:paraId="2BBBE1FA">
      <w:pPr>
        <w:pStyle w:val="25"/>
        <w:spacing w:after="156"/>
        <w:rPr>
          <w:rFonts w:hint="eastAsia" w:ascii="仿宋" w:hAnsi="仿宋" w:eastAsia="仿宋" w:cs="仿宋"/>
          <w:color w:val="000000" w:themeColor="text1"/>
          <w:sz w:val="24"/>
          <w:szCs w:val="24"/>
          <w14:textFill>
            <w14:solidFill>
              <w14:schemeClr w14:val="tx1"/>
            </w14:solidFill>
          </w14:textFill>
        </w:rPr>
      </w:pPr>
    </w:p>
    <w:p w14:paraId="61D910A8">
      <w:pPr>
        <w:pStyle w:val="25"/>
        <w:spacing w:after="156"/>
        <w:rPr>
          <w:rFonts w:hint="eastAsia" w:ascii="仿宋" w:hAnsi="仿宋" w:eastAsia="仿宋" w:cs="仿宋"/>
          <w:color w:val="000000" w:themeColor="text1"/>
          <w:sz w:val="24"/>
          <w:szCs w:val="24"/>
          <w14:textFill>
            <w14:solidFill>
              <w14:schemeClr w14:val="tx1"/>
            </w14:solidFill>
          </w14:textFill>
        </w:rPr>
      </w:pPr>
    </w:p>
    <w:p w14:paraId="5F60D8E4">
      <w:pPr>
        <w:pStyle w:val="25"/>
        <w:spacing w:after="156"/>
        <w:jc w:val="both"/>
        <w:rPr>
          <w:rFonts w:hint="eastAsia" w:ascii="仿宋" w:hAnsi="仿宋" w:eastAsia="仿宋" w:cs="仿宋"/>
          <w:b/>
          <w:bCs/>
          <w:color w:val="000000" w:themeColor="text1"/>
          <w:sz w:val="24"/>
          <w:szCs w:val="24"/>
          <w:lang w:bidi="ar"/>
          <w14:textFill>
            <w14:solidFill>
              <w14:schemeClr w14:val="tx1"/>
            </w14:solidFill>
          </w14:textFill>
        </w:rPr>
      </w:pPr>
    </w:p>
    <w:p w14:paraId="216D9732">
      <w:pPr>
        <w:pStyle w:val="25"/>
        <w:spacing w:after="156"/>
        <w:jc w:val="both"/>
        <w:rPr>
          <w:rFonts w:hint="eastAsia" w:ascii="仿宋" w:hAnsi="仿宋" w:eastAsia="仿宋" w:cs="仿宋"/>
          <w:b/>
          <w:bCs/>
          <w:color w:val="000000" w:themeColor="text1"/>
          <w:sz w:val="24"/>
          <w:szCs w:val="24"/>
          <w:lang w:bidi="ar"/>
          <w14:textFill>
            <w14:solidFill>
              <w14:schemeClr w14:val="tx1"/>
            </w14:solidFill>
          </w14:textFill>
        </w:rPr>
      </w:pPr>
    </w:p>
    <w:p w14:paraId="044E1004">
      <w:pPr>
        <w:spacing w:after="124" w:afterLines="40"/>
        <w:jc w:val="center"/>
        <w:rPr>
          <w:rFonts w:hint="eastAsia" w:ascii="仿宋" w:hAnsi="仿宋" w:eastAsia="仿宋" w:cs="仿宋"/>
          <w:color w:val="000000" w:themeColor="text1"/>
          <w:sz w:val="32"/>
          <w:szCs w:val="32"/>
          <w14:textFill>
            <w14:solidFill>
              <w14:schemeClr w14:val="tx1"/>
            </w14:solidFill>
          </w14:textFill>
        </w:rPr>
      </w:pPr>
      <w:bookmarkStart w:id="116" w:name="_Toc29000"/>
      <w:bookmarkStart w:id="117" w:name="_Toc20246"/>
      <w:r>
        <w:rPr>
          <w:rFonts w:hint="eastAsia" w:ascii="仿宋" w:hAnsi="仿宋" w:eastAsia="仿宋" w:cs="仿宋"/>
          <w:b/>
          <w:bCs/>
          <w:color w:val="000000" w:themeColor="text1"/>
          <w:sz w:val="32"/>
          <w:szCs w:val="32"/>
          <w14:textFill>
            <w14:solidFill>
              <w14:schemeClr w14:val="tx1"/>
            </w14:solidFill>
          </w14:textFill>
        </w:rPr>
        <w:t>十、技术文件</w:t>
      </w:r>
    </w:p>
    <w:p w14:paraId="41C91B6E">
      <w:pPr>
        <w:pStyle w:val="25"/>
        <w:spacing w:after="156" w:line="360" w:lineRule="auto"/>
        <w:jc w:val="both"/>
        <w:rPr>
          <w:rFonts w:hint="eastAsia" w:ascii="仿宋" w:hAnsi="仿宋" w:eastAsia="仿宋" w:cs="仿宋"/>
          <w:color w:val="000000" w:themeColor="text1"/>
          <w:sz w:val="24"/>
          <w:szCs w:val="24"/>
          <w14:textFill>
            <w14:solidFill>
              <w14:schemeClr w14:val="tx1"/>
            </w14:solidFill>
          </w14:textFill>
        </w:rPr>
      </w:pPr>
    </w:p>
    <w:p w14:paraId="5B2E2AB8">
      <w:pPr>
        <w:pStyle w:val="50"/>
        <w:ind w:firstLine="0" w:firstLineChars="0"/>
        <w:rPr>
          <w:rFonts w:hint="eastAsia" w:ascii="仿宋" w:hAnsi="仿宋" w:eastAsia="仿宋" w:cs="仿宋"/>
          <w:color w:val="000000" w:themeColor="text1"/>
          <w:sz w:val="24"/>
          <w:szCs w:val="24"/>
          <w14:textFill>
            <w14:solidFill>
              <w14:schemeClr w14:val="tx1"/>
            </w14:solidFill>
          </w14:textFill>
        </w:rPr>
      </w:pPr>
    </w:p>
    <w:p w14:paraId="1529B3EE">
      <w:pPr>
        <w:pStyle w:val="25"/>
        <w:spacing w:after="156" w:line="240" w:lineRule="auto"/>
        <w:jc w:val="both"/>
        <w:rPr>
          <w:rFonts w:hint="eastAsia" w:ascii="仿宋" w:hAnsi="仿宋" w:eastAsia="仿宋" w:cs="仿宋"/>
          <w:color w:val="000000" w:themeColor="text1"/>
          <w:sz w:val="24"/>
          <w:szCs w:val="24"/>
          <w14:textFill>
            <w14:solidFill>
              <w14:schemeClr w14:val="tx1"/>
            </w14:solidFill>
          </w14:textFill>
        </w:rPr>
      </w:pPr>
    </w:p>
    <w:p w14:paraId="7BE87831">
      <w:pPr>
        <w:pStyle w:val="25"/>
        <w:spacing w:after="156" w:line="240" w:lineRule="auto"/>
        <w:jc w:val="both"/>
        <w:rPr>
          <w:rFonts w:hint="eastAsia" w:ascii="仿宋" w:hAnsi="仿宋" w:eastAsia="仿宋" w:cs="仿宋"/>
          <w:color w:val="000000" w:themeColor="text1"/>
          <w:sz w:val="24"/>
          <w:szCs w:val="24"/>
          <w14:textFill>
            <w14:solidFill>
              <w14:schemeClr w14:val="tx1"/>
            </w14:solidFill>
          </w14:textFill>
        </w:rPr>
      </w:pPr>
    </w:p>
    <w:p w14:paraId="58F409BF">
      <w:pPr>
        <w:pStyle w:val="25"/>
        <w:spacing w:after="156"/>
        <w:jc w:val="both"/>
        <w:rPr>
          <w:rFonts w:hint="eastAsia" w:ascii="仿宋" w:hAnsi="仿宋" w:eastAsia="仿宋" w:cs="仿宋"/>
          <w:color w:val="000000" w:themeColor="text1"/>
          <w:sz w:val="24"/>
          <w:szCs w:val="24"/>
          <w14:textFill>
            <w14:solidFill>
              <w14:schemeClr w14:val="tx1"/>
            </w14:solidFill>
          </w14:textFill>
        </w:rPr>
        <w:sectPr>
          <w:headerReference r:id="rId7" w:type="default"/>
          <w:footerReference r:id="rId8" w:type="default"/>
          <w:pgSz w:w="11907" w:h="16840"/>
          <w:pgMar w:top="1418" w:right="1134" w:bottom="1418" w:left="1134" w:header="720" w:footer="720" w:gutter="0"/>
          <w:cols w:space="720" w:num="1"/>
          <w:docGrid w:type="lines" w:linePitch="312" w:charSpace="0"/>
        </w:sectPr>
      </w:pPr>
    </w:p>
    <w:p w14:paraId="65914B49">
      <w:pPr>
        <w:pStyle w:val="25"/>
        <w:spacing w:after="156"/>
        <w:jc w:val="both"/>
        <w:rPr>
          <w:rFonts w:hint="eastAsia" w:ascii="仿宋" w:hAnsi="仿宋" w:eastAsia="仿宋" w:cs="仿宋"/>
          <w:color w:val="000000" w:themeColor="text1"/>
          <w:sz w:val="24"/>
          <w:szCs w:val="24"/>
          <w14:textFill>
            <w14:solidFill>
              <w14:schemeClr w14:val="tx1"/>
            </w14:solidFill>
          </w14:textFill>
        </w:rPr>
      </w:pPr>
    </w:p>
    <w:p w14:paraId="12021846">
      <w:pPr>
        <w:pStyle w:val="140"/>
        <w:jc w:val="center"/>
        <w:outlineLvl w:val="9"/>
        <w:rPr>
          <w:rFonts w:hint="eastAsia" w:ascii="仿宋" w:hAnsi="仿宋" w:eastAsia="仿宋" w:cs="仿宋"/>
          <w:color w:val="000000" w:themeColor="text1"/>
          <w:sz w:val="24"/>
          <w:szCs w:val="24"/>
          <w14:textFill>
            <w14:solidFill>
              <w14:schemeClr w14:val="tx1"/>
            </w14:solidFill>
          </w14:textFill>
        </w:rPr>
      </w:pPr>
      <w:bookmarkStart w:id="118" w:name="_Toc12209"/>
      <w:bookmarkStart w:id="119" w:name="_Toc18804"/>
      <w:r>
        <w:rPr>
          <w:rFonts w:hint="eastAsia" w:ascii="仿宋" w:hAnsi="仿宋" w:eastAsia="仿宋" w:cs="仿宋"/>
          <w:color w:val="000000" w:themeColor="text1"/>
          <w:kern w:val="2"/>
          <w:sz w:val="32"/>
          <w:szCs w:val="32"/>
          <w14:textFill>
            <w14:solidFill>
              <w14:schemeClr w14:val="tx1"/>
            </w14:solidFill>
          </w14:textFill>
        </w:rPr>
        <w:t>十一、其他资料</w:t>
      </w:r>
      <w:bookmarkEnd w:id="116"/>
      <w:bookmarkEnd w:id="117"/>
      <w:bookmarkEnd w:id="118"/>
      <w:bookmarkEnd w:id="119"/>
    </w:p>
    <w:p w14:paraId="0591D0F7">
      <w:pPr>
        <w:pStyle w:val="25"/>
        <w:spacing w:after="156"/>
        <w:jc w:val="left"/>
        <w:rPr>
          <w:rFonts w:hint="eastAsia" w:ascii="仿宋" w:hAnsi="仿宋" w:eastAsia="仿宋" w:cs="仿宋"/>
          <w:color w:val="000000" w:themeColor="text1"/>
          <w:sz w:val="24"/>
          <w:szCs w:val="24"/>
          <w14:textFill>
            <w14:solidFill>
              <w14:schemeClr w14:val="tx1"/>
            </w14:solidFill>
          </w14:textFill>
        </w:rPr>
        <w:sectPr>
          <w:pgSz w:w="11907" w:h="16840"/>
          <w:pgMar w:top="1418" w:right="1134" w:bottom="1418" w:left="1134" w:header="720" w:footer="720" w:gutter="0"/>
          <w:cols w:space="720" w:num="1"/>
          <w:docGrid w:type="lines" w:linePitch="312" w:charSpace="0"/>
        </w:sectPr>
      </w:pPr>
      <w:r>
        <w:rPr>
          <w:rFonts w:hint="eastAsia" w:ascii="仿宋" w:hAnsi="仿宋" w:eastAsia="仿宋" w:cs="仿宋"/>
          <w:color w:val="000000" w:themeColor="text1"/>
          <w:sz w:val="24"/>
          <w:szCs w:val="24"/>
          <w14:textFill>
            <w14:solidFill>
              <w14:schemeClr w14:val="tx1"/>
            </w14:solidFill>
          </w14:textFill>
        </w:rPr>
        <w:t>注：供应商认为需要提供的其他证明资料</w:t>
      </w:r>
      <w:bookmarkEnd w:id="108"/>
      <w:bookmarkEnd w:id="109"/>
      <w:bookmarkEnd w:id="110"/>
      <w:bookmarkEnd w:id="111"/>
      <w:bookmarkEnd w:id="112"/>
      <w:bookmarkEnd w:id="113"/>
      <w:bookmarkEnd w:id="114"/>
      <w:bookmarkEnd w:id="115"/>
      <w:r>
        <w:rPr>
          <w:rFonts w:hint="eastAsia" w:ascii="仿宋" w:hAnsi="仿宋" w:eastAsia="仿宋" w:cs="仿宋"/>
          <w:color w:val="000000" w:themeColor="text1"/>
          <w:sz w:val="24"/>
          <w:szCs w:val="24"/>
          <w14:textFill>
            <w14:solidFill>
              <w14:schemeClr w14:val="tx1"/>
            </w14:solidFill>
          </w14:textFill>
        </w:rPr>
        <w:t>或磋商文件要求未提供格式的证明材料、说明、承诺等。</w:t>
      </w:r>
    </w:p>
    <w:p w14:paraId="7AB72259">
      <w:pPr>
        <w:pStyle w:val="7"/>
        <w:rPr>
          <w:rFonts w:hint="eastAsia" w:ascii="仿宋" w:hAnsi="仿宋" w:eastAsia="仿宋" w:cs="仿宋"/>
          <w:color w:val="000000" w:themeColor="text1"/>
          <w:sz w:val="24"/>
          <w:szCs w:val="24"/>
          <w:highlight w:val="whit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w:t>
      </w:r>
    </w:p>
    <w:p w14:paraId="5EADA2BF">
      <w:pPr>
        <w:jc w:val="center"/>
        <w:rPr>
          <w:rFonts w:hint="eastAsia" w:ascii="仿宋" w:hAnsi="仿宋" w:eastAsia="仿宋" w:cs="仿宋"/>
          <w:color w:val="000000" w:themeColor="text1"/>
          <w:sz w:val="24"/>
          <w:szCs w:val="24"/>
          <w14:textFill>
            <w14:solidFill>
              <w14:schemeClr w14:val="tx1"/>
            </w14:solidFill>
          </w14:textFill>
        </w:rPr>
      </w:pPr>
      <w:bookmarkStart w:id="120" w:name="_Toc8193"/>
      <w:bookmarkStart w:id="121" w:name="_Toc657"/>
      <w:r>
        <w:rPr>
          <w:rFonts w:hint="eastAsia" w:ascii="仿宋" w:hAnsi="仿宋" w:eastAsia="仿宋" w:cs="仿宋"/>
          <w:color w:val="000000" w:themeColor="text1"/>
          <w14:textFill>
            <w14:solidFill>
              <w14:schemeClr w14:val="tx1"/>
            </w14:solidFill>
          </w14:textFill>
        </w:rPr>
        <w:t>中小企业声明函（工程、服务）</w:t>
      </w:r>
      <w:bookmarkEnd w:id="120"/>
      <w:bookmarkEnd w:id="121"/>
    </w:p>
    <w:p w14:paraId="4649615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仿宋"/>
          <w:color w:val="000000" w:themeColor="text1"/>
          <w:sz w:val="24"/>
          <w:szCs w:val="24"/>
          <w:u w:val="single"/>
          <w14:textFill>
            <w14:solidFill>
              <w14:schemeClr w14:val="tx1"/>
            </w14:solidFill>
          </w14:textFill>
        </w:rPr>
        <w:t xml:space="preserve">                    （单位名称）</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u w:val="single"/>
          <w14:textFill>
            <w14:solidFill>
              <w14:schemeClr w14:val="tx1"/>
            </w14:solidFill>
          </w14:textFill>
        </w:rPr>
        <w:t xml:space="preserve">                  （项目名称）</w:t>
      </w:r>
      <w:r>
        <w:rPr>
          <w:rFonts w:hint="eastAsia" w:ascii="仿宋" w:hAnsi="仿宋" w:eastAsia="仿宋" w:cs="仿宋"/>
          <w:color w:val="000000" w:themeColor="text1"/>
          <w:sz w:val="24"/>
          <w:szCs w:val="24"/>
          <w14:textFill>
            <w14:solidFill>
              <w14:schemeClr w14:val="tx1"/>
            </w14:solidFill>
          </w14:textFill>
        </w:rPr>
        <w:t>采购活动，工程的施工单位全部为符合政策要求的中小企业（或者：服务全部由符合政策要求的小微企业承接）。相关企业（含联合体中的中小企业、签订分包意向协议的中小企业）的具体情况如下：</w:t>
      </w:r>
    </w:p>
    <w:p w14:paraId="0827116F">
      <w:pPr>
        <w:numPr>
          <w:ilvl w:val="0"/>
          <w:numId w:val="6"/>
        </w:num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 xml:space="preserve">                 （采购文件中明确的所属行业）</w:t>
      </w:r>
      <w:r>
        <w:rPr>
          <w:rFonts w:hint="eastAsia" w:ascii="仿宋" w:hAnsi="仿宋" w:eastAsia="仿宋" w:cs="仿宋"/>
          <w:color w:val="000000" w:themeColor="text1"/>
          <w:sz w:val="24"/>
          <w:szCs w:val="24"/>
          <w14:textFill>
            <w14:solidFill>
              <w14:schemeClr w14:val="tx1"/>
            </w14:solidFill>
          </w14:textFill>
        </w:rPr>
        <w:t>承建（承接）企业为</w:t>
      </w:r>
      <w:r>
        <w:rPr>
          <w:rFonts w:hint="eastAsia" w:ascii="仿宋" w:hAnsi="仿宋" w:eastAsia="仿宋" w:cs="仿宋"/>
          <w:color w:val="000000" w:themeColor="text1"/>
          <w:sz w:val="24"/>
          <w:szCs w:val="24"/>
          <w:u w:val="single"/>
          <w14:textFill>
            <w14:solidFill>
              <w14:schemeClr w14:val="tx1"/>
            </w14:solidFill>
          </w14:textFill>
        </w:rPr>
        <w:t xml:space="preserve">                    （企业名称）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r>
        <w:rPr>
          <w:rFonts w:hint="eastAsia" w:ascii="仿宋" w:hAnsi="仿宋" w:eastAsia="仿宋" w:cs="仿宋"/>
          <w:color w:val="000000" w:themeColor="text1"/>
          <w:sz w:val="24"/>
          <w:szCs w:val="24"/>
          <w14:textFill>
            <w14:solidFill>
              <w14:schemeClr w14:val="tx1"/>
            </w14:solidFill>
          </w14:textFill>
        </w:rPr>
        <w:t>；</w:t>
      </w:r>
    </w:p>
    <w:p w14:paraId="5DD47ADB">
      <w:pPr>
        <w:spacing w:line="360" w:lineRule="auto"/>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（标的名称）</w:t>
      </w:r>
      <w:r>
        <w:rPr>
          <w:rFonts w:hint="eastAsia" w:ascii="仿宋" w:hAnsi="仿宋" w:eastAsia="仿宋" w:cs="仿宋"/>
          <w:color w:val="000000" w:themeColor="text1"/>
          <w:sz w:val="24"/>
          <w:szCs w:val="24"/>
          <w14:textFill>
            <w14:solidFill>
              <w14:schemeClr w14:val="tx1"/>
            </w14:solidFill>
          </w14:textFill>
        </w:rPr>
        <w:t>，属于</w:t>
      </w:r>
      <w:r>
        <w:rPr>
          <w:rFonts w:hint="eastAsia" w:ascii="仿宋" w:hAnsi="仿宋" w:eastAsia="仿宋" w:cs="仿宋"/>
          <w:color w:val="000000" w:themeColor="text1"/>
          <w:sz w:val="24"/>
          <w:szCs w:val="24"/>
          <w:u w:val="single"/>
          <w14:textFill>
            <w14:solidFill>
              <w14:schemeClr w14:val="tx1"/>
            </w14:solidFill>
          </w14:textFill>
        </w:rPr>
        <w:t xml:space="preserve">                 （采购文件中明确的所属行业）</w:t>
      </w:r>
      <w:r>
        <w:rPr>
          <w:rFonts w:hint="eastAsia" w:ascii="仿宋" w:hAnsi="仿宋" w:eastAsia="仿宋" w:cs="仿宋"/>
          <w:color w:val="000000" w:themeColor="text1"/>
          <w:sz w:val="24"/>
          <w:szCs w:val="24"/>
          <w14:textFill>
            <w14:solidFill>
              <w14:schemeClr w14:val="tx1"/>
            </w14:solidFill>
          </w14:textFill>
        </w:rPr>
        <w:t>承建（承接）企业为</w:t>
      </w:r>
      <w:r>
        <w:rPr>
          <w:rFonts w:hint="eastAsia" w:ascii="仿宋" w:hAnsi="仿宋" w:eastAsia="仿宋" w:cs="仿宋"/>
          <w:color w:val="000000" w:themeColor="text1"/>
          <w:sz w:val="24"/>
          <w:szCs w:val="24"/>
          <w:u w:val="single"/>
          <w14:textFill>
            <w14:solidFill>
              <w14:schemeClr w14:val="tx1"/>
            </w14:solidFill>
          </w14:textFill>
        </w:rPr>
        <w:t xml:space="preserve">                    （企业名称）</w:t>
      </w:r>
      <w:r>
        <w:rPr>
          <w:rFonts w:hint="eastAsia" w:ascii="仿宋" w:hAnsi="仿宋" w:eastAsia="仿宋" w:cs="仿宋"/>
          <w:color w:val="000000" w:themeColor="text1"/>
          <w:sz w:val="24"/>
          <w:szCs w:val="24"/>
          <w14:textFill>
            <w14:solidFill>
              <w14:schemeClr w14:val="tx1"/>
            </w14:solidFill>
          </w14:textFill>
        </w:rPr>
        <w:t>，从业人员</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人，营业收入为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万元，资产总额为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万元，属于</w:t>
      </w:r>
      <w:r>
        <w:rPr>
          <w:rFonts w:hint="eastAsia" w:ascii="仿宋" w:hAnsi="仿宋" w:eastAsia="仿宋" w:cs="仿宋"/>
          <w:color w:val="000000" w:themeColor="text1"/>
          <w:sz w:val="24"/>
          <w:szCs w:val="24"/>
          <w:u w:val="single"/>
          <w14:textFill>
            <w14:solidFill>
              <w14:schemeClr w14:val="tx1"/>
            </w14:solidFill>
          </w14:textFill>
        </w:rPr>
        <w:t>（中型企业、小型企业、微型企业）</w:t>
      </w:r>
    </w:p>
    <w:p w14:paraId="3B7A11D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14:paraId="550BC06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以上企业，不属于大企业的分支机构，不存在控股股东为大企业的情形，也不存在于大企业的负责人为同一人的情况。</w:t>
      </w:r>
    </w:p>
    <w:p w14:paraId="3EE1BC1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本企业对上述声明内容的真实性负责。如有虚假，将依法承担相应责任。</w:t>
      </w:r>
    </w:p>
    <w:p w14:paraId="74FA65F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4525E4B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59C3CD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47BE9160">
      <w:pPr>
        <w:spacing w:line="360" w:lineRule="auto"/>
        <w:ind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企业名称（盖章）：</w:t>
      </w:r>
    </w:p>
    <w:p w14:paraId="74DBD8C7">
      <w:pPr>
        <w:spacing w:line="360" w:lineRule="auto"/>
        <w:ind w:firstLine="4800" w:firstLineChars="20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p>
    <w:p w14:paraId="31184062">
      <w:pPr>
        <w:spacing w:line="360" w:lineRule="auto"/>
        <w:rPr>
          <w:rFonts w:hint="eastAsia" w:ascii="仿宋" w:hAnsi="仿宋" w:eastAsia="仿宋" w:cs="仿宋"/>
          <w:color w:val="000000" w:themeColor="text1"/>
          <w:sz w:val="24"/>
          <w:szCs w:val="24"/>
          <w14:textFill>
            <w14:solidFill>
              <w14:schemeClr w14:val="tx1"/>
            </w14:solidFill>
          </w14:textFill>
        </w:rPr>
      </w:pPr>
    </w:p>
    <w:p w14:paraId="0A6AAD45">
      <w:pPr>
        <w:widowControl/>
        <w:jc w:val="left"/>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注：1从业人员、营业收入、资产总额填报上一年度数据，无上一年度数据的新成立企业可不填报。</w:t>
      </w:r>
    </w:p>
    <w:p w14:paraId="58B80899">
      <w:pPr>
        <w:widowControl/>
        <w:ind w:firstLine="420" w:firstLineChars="200"/>
        <w:jc w:val="left"/>
        <w:rPr>
          <w:rFonts w:ascii="仿宋" w:hAnsi="仿宋" w:eastAsia="仿宋" w:cs="仿宋"/>
          <w:color w:val="000000" w:themeColor="text1"/>
          <w:kern w:val="0"/>
          <w:szCs w:val="21"/>
          <w:lang w:bidi="ar"/>
          <w14:textFill>
            <w14:solidFill>
              <w14:schemeClr w14:val="tx1"/>
            </w14:solidFill>
          </w14:textFill>
        </w:rPr>
        <w:sectPr>
          <w:pgSz w:w="11907" w:h="16840"/>
          <w:pgMar w:top="1418" w:right="1134" w:bottom="1418" w:left="1134" w:header="720" w:footer="720" w:gutter="0"/>
          <w:cols w:space="720" w:num="1"/>
          <w:docGrid w:type="lines" w:linePitch="312" w:charSpace="0"/>
        </w:sectPr>
      </w:pPr>
      <w:r>
        <w:rPr>
          <w:rFonts w:ascii="仿宋" w:hAnsi="仿宋" w:eastAsia="仿宋" w:cs="仿宋"/>
          <w:color w:val="000000" w:themeColor="text1"/>
          <w:kern w:val="0"/>
          <w:szCs w:val="21"/>
          <w:lang w:bidi="ar"/>
          <w14:textFill>
            <w14:solidFill>
              <w14:schemeClr w14:val="tx1"/>
            </w14:solidFill>
          </w14:textFill>
        </w:rPr>
        <w:t>2.投标企业按照新疆维吾尔自治区财政厅《关于落实好政府采购支持中小企业发展的通知》（新财购 〔2023〕22号），明确说明企业类型为中型企业或小型企业或微型企业，不得用中小微企业简单概括，否则，后果自负。</w:t>
      </w:r>
    </w:p>
    <w:p w14:paraId="3215AC5F">
      <w:pPr>
        <w:keepNext w:val="0"/>
        <w:keepLines w:val="0"/>
        <w:widowControl/>
        <w:suppressLineNumbers w:val="0"/>
        <w:shd w:val="clear" w:color="auto" w:fill="FFFFFF"/>
        <w:adjustRightInd w:val="0"/>
        <w:snapToGrid w:val="0"/>
        <w:spacing w:beforeAutospacing="1" w:afterAutospacing="1" w:line="360" w:lineRule="auto"/>
        <w:ind w:left="0" w:firstLine="723" w:firstLineChars="200"/>
        <w:jc w:val="center"/>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b/>
          <w:i w:val="0"/>
          <w:iCs w:val="0"/>
          <w:caps w:val="0"/>
          <w:color w:val="auto"/>
          <w:spacing w:val="0"/>
          <w:kern w:val="2"/>
          <w:sz w:val="36"/>
          <w:szCs w:val="36"/>
          <w:highlight w:val="none"/>
          <w:shd w:val="clear" w:color="auto" w:fill="FFFFFF"/>
          <w:lang w:val="en-US" w:eastAsia="zh-CN" w:bidi="ar-SA"/>
        </w:rPr>
        <w:t>中小企业划型标准规定</w:t>
      </w:r>
    </w:p>
    <w:p w14:paraId="2C3749B9">
      <w:pPr>
        <w:spacing w:line="360" w:lineRule="auto"/>
        <w:rPr>
          <w:rFonts w:hint="eastAsia" w:ascii="仿宋" w:hAnsi="仿宋" w:eastAsia="仿宋" w:cs="仿宋"/>
          <w:color w:val="auto"/>
          <w:sz w:val="24"/>
          <w:szCs w:val="24"/>
          <w:highlight w:val="none"/>
          <w:lang w:val="zh-CN"/>
        </w:rPr>
      </w:pPr>
      <w:r>
        <w:rPr>
          <w:rFonts w:hint="eastAsia" w:ascii="宋体" w:hAnsi="宋体" w:eastAsia="宋体" w:cs="宋体"/>
          <w:i w:val="0"/>
          <w:iCs w:val="0"/>
          <w:caps w:val="0"/>
          <w:color w:val="auto"/>
          <w:spacing w:val="0"/>
          <w:sz w:val="24"/>
          <w:szCs w:val="24"/>
          <w:highlight w:val="none"/>
          <w:shd w:val="clear" w:color="auto" w:fill="FFFFFF"/>
        </w:rPr>
        <w:t>　</w:t>
      </w:r>
      <w:r>
        <w:rPr>
          <w:rFonts w:hint="eastAsia" w:ascii="仿宋" w:hAnsi="仿宋" w:eastAsia="仿宋" w:cs="仿宋"/>
          <w:i w:val="0"/>
          <w:iCs w:val="0"/>
          <w:caps w:val="0"/>
          <w:color w:val="auto"/>
          <w:spacing w:val="0"/>
          <w:sz w:val="28"/>
          <w:szCs w:val="28"/>
          <w:highlight w:val="none"/>
          <w:shd w:val="clear" w:color="auto" w:fill="FFFFFF"/>
        </w:rPr>
        <w:t>　行业：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lang w:val="en-US" w:eastAsia="zh-CN"/>
        </w:rPr>
        <w:t xml:space="preserve">    </w:t>
      </w:r>
      <w:r>
        <w:rPr>
          <w:rFonts w:hint="eastAsia" w:ascii="仿宋" w:hAnsi="仿宋" w:eastAsia="仿宋" w:cs="仿宋"/>
          <w:i w:val="0"/>
          <w:iCs w:val="0"/>
          <w:caps w:val="0"/>
          <w:color w:val="auto"/>
          <w:spacing w:val="0"/>
          <w:sz w:val="28"/>
          <w:szCs w:val="28"/>
          <w:highlight w:val="none"/>
          <w:shd w:val="clear" w:color="auto" w:fill="FFFFFF"/>
        </w:rPr>
        <w:t>各行业划型标准为：</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0EB47803">
      <w:pPr>
        <w:pStyle w:val="2"/>
        <w:rPr>
          <w:rFonts w:hint="eastAsia"/>
        </w:rPr>
        <w:sectPr>
          <w:pgSz w:w="11907" w:h="16840"/>
          <w:pgMar w:top="1418" w:right="1134" w:bottom="1418" w:left="1134" w:header="720" w:footer="720" w:gutter="0"/>
          <w:cols w:space="720" w:num="1"/>
          <w:docGrid w:type="lines" w:linePitch="312" w:charSpace="0"/>
        </w:sectPr>
      </w:pPr>
    </w:p>
    <w:p w14:paraId="5D6B43DE">
      <w:pPr>
        <w:kinsoku w:val="0"/>
        <w:autoSpaceDE w:val="0"/>
        <w:autoSpaceDN w:val="0"/>
        <w:adjustRightInd w:val="0"/>
        <w:snapToGrid w:val="0"/>
        <w:spacing w:before="78" w:line="220" w:lineRule="auto"/>
        <w:ind w:left="304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（二）残疾人福利性单位声明函</w:t>
      </w:r>
    </w:p>
    <w:p w14:paraId="7FD45763">
      <w:pPr>
        <w:widowControl/>
        <w:kinsoku w:val="0"/>
        <w:autoSpaceDE w:val="0"/>
        <w:autoSpaceDN w:val="0"/>
        <w:adjustRightInd w:val="0"/>
        <w:snapToGrid w:val="0"/>
        <w:spacing w:line="455" w:lineRule="auto"/>
        <w:jc w:val="left"/>
        <w:textAlignment w:val="baseline"/>
        <w:rPr>
          <w:rFonts w:ascii="Arial" w:hAnsi="Arial" w:eastAsia="Arial" w:cs="Arial"/>
          <w:snapToGrid w:val="0"/>
          <w:color w:val="000000"/>
          <w:kern w:val="0"/>
          <w:sz w:val="21"/>
          <w:szCs w:val="21"/>
          <w:lang w:eastAsia="en-US"/>
        </w:rPr>
      </w:pPr>
    </w:p>
    <w:p w14:paraId="159E39E5">
      <w:pPr>
        <w:tabs>
          <w:tab w:val="left" w:pos="9417"/>
        </w:tabs>
        <w:kinsoku w:val="0"/>
        <w:autoSpaceDE w:val="0"/>
        <w:autoSpaceDN w:val="0"/>
        <w:adjustRightInd w:val="0"/>
        <w:snapToGrid w:val="0"/>
        <w:spacing w:before="78" w:line="452" w:lineRule="auto"/>
        <w:ind w:right="65" w:firstLine="503"/>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本单位郑重声明，根据《财政部民政部中国残疾人联合会关于促进残疾人就业政</w:t>
      </w:r>
      <w:r>
        <w:rPr>
          <w:rFonts w:ascii="仿宋" w:hAnsi="仿宋" w:eastAsia="仿宋" w:cs="仿宋"/>
          <w:snapToGrid w:val="0"/>
          <w:color w:val="000000"/>
          <w:spacing w:val="10"/>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府采购政策的通知》</w:t>
      </w:r>
      <w:r>
        <w:rPr>
          <w:rFonts w:ascii="仿宋" w:hAnsi="仿宋" w:eastAsia="仿宋" w:cs="仿宋"/>
          <w:snapToGrid w:val="0"/>
          <w:color w:val="000000"/>
          <w:spacing w:val="-95"/>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（财库〔2017〕141</w:t>
      </w:r>
      <w:r>
        <w:rPr>
          <w:rFonts w:ascii="仿宋" w:hAnsi="仿宋" w:eastAsia="仿宋" w:cs="仿宋"/>
          <w:snapToGrid w:val="0"/>
          <w:color w:val="000000"/>
          <w:spacing w:val="-38"/>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号）</w:t>
      </w:r>
      <w:r>
        <w:rPr>
          <w:rFonts w:ascii="仿宋" w:hAnsi="仿宋" w:eastAsia="仿宋" w:cs="仿宋"/>
          <w:snapToGrid w:val="0"/>
          <w:color w:val="000000"/>
          <w:spacing w:val="-69"/>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的规定，本单位为符合条件的残疾人福利</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性单位，且本单位参加</w:t>
      </w:r>
      <w:r>
        <w:rPr>
          <w:rFonts w:ascii="仿宋" w:hAnsi="仿宋" w:eastAsia="仿宋" w:cs="仿宋"/>
          <w:snapToGrid w:val="0"/>
          <w:color w:val="000000"/>
          <w:spacing w:val="-106"/>
          <w:kern w:val="0"/>
          <w:sz w:val="24"/>
          <w:szCs w:val="24"/>
          <w:lang w:val="en-US" w:eastAsia="en-US" w:bidi="ar-SA"/>
        </w:rPr>
        <w:t xml:space="preserve"> </w:t>
      </w:r>
      <w:r>
        <w:rPr>
          <w:rFonts w:ascii="仿宋" w:hAnsi="仿宋" w:eastAsia="仿宋" w:cs="仿宋"/>
          <w:snapToGrid w:val="0"/>
          <w:color w:val="000000"/>
          <w:kern w:val="0"/>
          <w:sz w:val="24"/>
          <w:szCs w:val="24"/>
          <w:u w:val="single" w:color="auto"/>
          <w:lang w:val="en-US" w:eastAsia="en-US" w:bidi="ar-SA"/>
        </w:rPr>
        <w:t xml:space="preserve">         </w:t>
      </w:r>
      <w:r>
        <w:rPr>
          <w:rFonts w:ascii="仿宋" w:hAnsi="仿宋" w:eastAsia="仿宋" w:cs="仿宋"/>
          <w:snapToGrid w:val="0"/>
          <w:color w:val="000000"/>
          <w:spacing w:val="-99"/>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单位的</w:t>
      </w:r>
      <w:r>
        <w:rPr>
          <w:rFonts w:ascii="仿宋" w:hAnsi="仿宋" w:eastAsia="仿宋" w:cs="仿宋"/>
          <w:snapToGrid w:val="0"/>
          <w:color w:val="000000"/>
          <w:spacing w:val="24"/>
          <w:kern w:val="0"/>
          <w:sz w:val="24"/>
          <w:szCs w:val="24"/>
          <w:lang w:val="en-US" w:eastAsia="en-US" w:bidi="ar-SA"/>
        </w:rPr>
        <w:t xml:space="preserve">  </w:t>
      </w:r>
      <w:r>
        <w:rPr>
          <w:rFonts w:ascii="仿宋" w:hAnsi="仿宋" w:eastAsia="仿宋" w:cs="仿宋"/>
          <w:snapToGrid w:val="0"/>
          <w:color w:val="000000"/>
          <w:kern w:val="0"/>
          <w:sz w:val="24"/>
          <w:szCs w:val="24"/>
          <w:u w:val="single" w:color="auto"/>
          <w:lang w:val="en-US" w:eastAsia="en-US" w:bidi="ar-SA"/>
        </w:rPr>
        <w:tab/>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项目采购活动提供本单位制造的货物（</w:t>
      </w:r>
      <w:r>
        <w:rPr>
          <w:rFonts w:ascii="仿宋" w:hAnsi="仿宋" w:eastAsia="仿宋" w:cs="仿宋"/>
          <w:snapToGrid w:val="0"/>
          <w:color w:val="000000"/>
          <w:spacing w:val="-28"/>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由本单位承担工程/提供服务</w:t>
      </w:r>
      <w:r>
        <w:rPr>
          <w:rFonts w:ascii="仿宋" w:hAnsi="仿宋" w:eastAsia="仿宋" w:cs="仿宋"/>
          <w:snapToGrid w:val="0"/>
          <w:color w:val="000000"/>
          <w:spacing w:val="4"/>
          <w:kern w:val="0"/>
          <w:sz w:val="24"/>
          <w:szCs w:val="24"/>
          <w:lang w:val="en-US" w:eastAsia="en-US" w:bidi="ar-SA"/>
        </w:rPr>
        <w:t>）</w:t>
      </w:r>
      <w:r>
        <w:rPr>
          <w:rFonts w:ascii="仿宋" w:hAnsi="仿宋" w:eastAsia="仿宋" w:cs="仿宋"/>
          <w:snapToGrid w:val="0"/>
          <w:color w:val="000000"/>
          <w:spacing w:val="-68"/>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w:t>
      </w:r>
      <w:r>
        <w:rPr>
          <w:rFonts w:ascii="仿宋" w:hAnsi="仿宋" w:eastAsia="仿宋" w:cs="仿宋"/>
          <w:snapToGrid w:val="0"/>
          <w:color w:val="000000"/>
          <w:spacing w:val="7"/>
          <w:kern w:val="0"/>
          <w:sz w:val="24"/>
          <w:szCs w:val="24"/>
          <w:lang w:val="en-US" w:eastAsia="en-US" w:bidi="ar-SA"/>
        </w:rPr>
        <w:t>或者提供其他</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1"/>
          <w:kern w:val="0"/>
          <w:sz w:val="24"/>
          <w:szCs w:val="24"/>
          <w:lang w:val="en-US" w:eastAsia="en-US" w:bidi="ar-SA"/>
        </w:rPr>
        <w:t>残疾人福利性单位制造的货物（不包括使用非残疾人福利性单位注册商标的货物）。</w:t>
      </w:r>
    </w:p>
    <w:p w14:paraId="26A9F743">
      <w:pPr>
        <w:kinsoku w:val="0"/>
        <w:autoSpaceDE w:val="0"/>
        <w:autoSpaceDN w:val="0"/>
        <w:adjustRightInd w:val="0"/>
        <w:snapToGrid w:val="0"/>
        <w:spacing w:line="220" w:lineRule="auto"/>
        <w:ind w:left="50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本单位对上述声明的真实性负责。如有虚假，将依法承担相应责任。</w:t>
      </w:r>
    </w:p>
    <w:p w14:paraId="745C3F7F">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79747FF7">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1F3278BF">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14:paraId="6DA447DD">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14:paraId="7AEB7007">
      <w:pPr>
        <w:kinsoku w:val="0"/>
        <w:autoSpaceDE w:val="0"/>
        <w:autoSpaceDN w:val="0"/>
        <w:adjustRightInd w:val="0"/>
        <w:snapToGrid w:val="0"/>
        <w:spacing w:before="78" w:line="221" w:lineRule="auto"/>
        <w:ind w:left="281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供应商名称（盖公章</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u w:val="single" w:color="auto"/>
          <w:lang w:val="en-US" w:eastAsia="en-US" w:bidi="ar-SA"/>
        </w:rPr>
        <w:t xml:space="preserve">                            </w:t>
      </w:r>
    </w:p>
    <w:p w14:paraId="3B52E56B">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2B32C390">
      <w:pPr>
        <w:kinsoku w:val="0"/>
        <w:autoSpaceDE w:val="0"/>
        <w:autoSpaceDN w:val="0"/>
        <w:adjustRightInd w:val="0"/>
        <w:snapToGrid w:val="0"/>
        <w:spacing w:before="78" w:line="222" w:lineRule="auto"/>
        <w:ind w:left="281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法定代表人或其授权委托人(签字或盖章)：</w:t>
      </w:r>
      <w:r>
        <w:rPr>
          <w:rFonts w:ascii="仿宋" w:hAnsi="仿宋" w:eastAsia="仿宋" w:cs="仿宋"/>
          <w:snapToGrid w:val="0"/>
          <w:color w:val="000000"/>
          <w:spacing w:val="1"/>
          <w:kern w:val="0"/>
          <w:sz w:val="24"/>
          <w:szCs w:val="24"/>
          <w:u w:val="single" w:color="auto"/>
          <w:lang w:val="en-US" w:eastAsia="en-US" w:bidi="ar-SA"/>
        </w:rPr>
        <w:t xml:space="preserve">        </w:t>
      </w:r>
    </w:p>
    <w:p w14:paraId="731AC53D">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3DEF4F78">
      <w:pPr>
        <w:kinsoku w:val="0"/>
        <w:autoSpaceDE w:val="0"/>
        <w:autoSpaceDN w:val="0"/>
        <w:adjustRightInd w:val="0"/>
        <w:snapToGrid w:val="0"/>
        <w:spacing w:before="79" w:line="222" w:lineRule="auto"/>
        <w:ind w:left="286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0"/>
          <w:kern w:val="0"/>
          <w:sz w:val="24"/>
          <w:szCs w:val="24"/>
          <w:lang w:val="en-US" w:eastAsia="en-US" w:bidi="ar-SA"/>
        </w:rPr>
        <w:t>日期：</w:t>
      </w:r>
      <w:r>
        <w:rPr>
          <w:rFonts w:ascii="仿宋" w:hAnsi="仿宋" w:eastAsia="仿宋" w:cs="仿宋"/>
          <w:snapToGrid w:val="0"/>
          <w:color w:val="000000"/>
          <w:spacing w:val="13"/>
          <w:kern w:val="0"/>
          <w:sz w:val="24"/>
          <w:szCs w:val="24"/>
          <w:u w:val="single" w:color="auto"/>
          <w:lang w:val="en-US" w:eastAsia="en-US" w:bidi="ar-SA"/>
        </w:rPr>
        <w:t xml:space="preserve">         </w:t>
      </w:r>
      <w:r>
        <w:rPr>
          <w:rFonts w:ascii="仿宋" w:hAnsi="仿宋" w:eastAsia="仿宋" w:cs="仿宋"/>
          <w:snapToGrid w:val="0"/>
          <w:color w:val="000000"/>
          <w:spacing w:val="-92"/>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年</w:t>
      </w:r>
      <w:r>
        <w:rPr>
          <w:rFonts w:ascii="仿宋" w:hAnsi="仿宋" w:eastAsia="仿宋" w:cs="仿宋"/>
          <w:snapToGrid w:val="0"/>
          <w:color w:val="000000"/>
          <w:spacing w:val="23"/>
          <w:kern w:val="0"/>
          <w:sz w:val="24"/>
          <w:szCs w:val="24"/>
          <w:u w:val="single" w:color="auto"/>
          <w:lang w:val="en-US" w:eastAsia="en-US" w:bidi="ar-SA"/>
        </w:rPr>
        <w:t xml:space="preserve">     </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月</w:t>
      </w:r>
      <w:r>
        <w:rPr>
          <w:rFonts w:ascii="仿宋" w:hAnsi="仿宋" w:eastAsia="仿宋" w:cs="仿宋"/>
          <w:snapToGrid w:val="0"/>
          <w:color w:val="000000"/>
          <w:spacing w:val="30"/>
          <w:kern w:val="0"/>
          <w:sz w:val="24"/>
          <w:szCs w:val="24"/>
          <w:u w:val="single" w:color="auto"/>
          <w:lang w:val="en-US" w:eastAsia="en-US" w:bidi="ar-SA"/>
        </w:rPr>
        <w:t xml:space="preserve">    </w:t>
      </w:r>
      <w:r>
        <w:rPr>
          <w:rFonts w:ascii="仿宋" w:hAnsi="仿宋" w:eastAsia="仿宋" w:cs="仿宋"/>
          <w:snapToGrid w:val="0"/>
          <w:color w:val="000000"/>
          <w:spacing w:val="-54"/>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日</w:t>
      </w:r>
    </w:p>
    <w:p w14:paraId="740A6EF8">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28E59494">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540A5660">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3819144F">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3BA902DE">
      <w:pPr>
        <w:kinsoku w:val="0"/>
        <w:autoSpaceDE w:val="0"/>
        <w:autoSpaceDN w:val="0"/>
        <w:adjustRightInd w:val="0"/>
        <w:snapToGrid w:val="0"/>
        <w:spacing w:before="78" w:line="245" w:lineRule="auto"/>
        <w:ind w:left="2" w:firstLine="477"/>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b/>
          <w:bCs/>
          <w:snapToGrid w:val="0"/>
          <w:color w:val="000000"/>
          <w:spacing w:val="-1"/>
          <w:kern w:val="0"/>
          <w:sz w:val="24"/>
          <w:szCs w:val="24"/>
          <w:lang w:val="en-US" w:eastAsia="en-US" w:bidi="ar-SA"/>
        </w:rPr>
        <w:t>说明</w:t>
      </w:r>
      <w:r>
        <w:rPr>
          <w:rFonts w:ascii="仿宋" w:hAnsi="仿宋" w:eastAsia="仿宋" w:cs="仿宋"/>
          <w:snapToGrid w:val="0"/>
          <w:color w:val="000000"/>
          <w:spacing w:val="-1"/>
          <w:kern w:val="0"/>
          <w:sz w:val="24"/>
          <w:szCs w:val="24"/>
          <w:lang w:val="en-US" w:eastAsia="en-US" w:bidi="ar-SA"/>
        </w:rPr>
        <w:t>：填写本声明函时应详细阅读《财政部</w:t>
      </w:r>
      <w:r>
        <w:rPr>
          <w:rFonts w:ascii="仿宋" w:hAnsi="仿宋" w:eastAsia="仿宋" w:cs="仿宋"/>
          <w:snapToGrid w:val="0"/>
          <w:color w:val="000000"/>
          <w:spacing w:val="52"/>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民政部</w:t>
      </w:r>
      <w:r>
        <w:rPr>
          <w:rFonts w:ascii="仿宋" w:hAnsi="仿宋" w:eastAsia="仿宋" w:cs="仿宋"/>
          <w:snapToGrid w:val="0"/>
          <w:color w:val="000000"/>
          <w:spacing w:val="49"/>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中国残疾人联合会关于促进残疾</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人就业政府采购政策的通知》（财库〔2017〕 1</w:t>
      </w:r>
      <w:r>
        <w:rPr>
          <w:rFonts w:ascii="仿宋" w:hAnsi="仿宋" w:eastAsia="仿宋" w:cs="仿宋"/>
          <w:snapToGrid w:val="0"/>
          <w:color w:val="000000"/>
          <w:spacing w:val="-5"/>
          <w:kern w:val="0"/>
          <w:sz w:val="24"/>
          <w:szCs w:val="24"/>
          <w:lang w:val="en-US" w:eastAsia="en-US" w:bidi="ar-SA"/>
        </w:rPr>
        <w:t>41</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号</w:t>
      </w:r>
      <w:r>
        <w:rPr>
          <w:rFonts w:ascii="仿宋" w:hAnsi="仿宋" w:eastAsia="仿宋" w:cs="仿宋"/>
          <w:snapToGrid w:val="0"/>
          <w:color w:val="000000"/>
          <w:spacing w:val="-9"/>
          <w:kern w:val="0"/>
          <w:sz w:val="24"/>
          <w:szCs w:val="24"/>
          <w:lang w:val="en-US" w:eastAsia="en-US" w:bidi="ar-SA"/>
        </w:rPr>
        <w:t>），</w:t>
      </w:r>
      <w:r>
        <w:rPr>
          <w:rFonts w:ascii="仿宋" w:hAnsi="仿宋" w:eastAsia="仿宋" w:cs="仿宋"/>
          <w:snapToGrid w:val="0"/>
          <w:color w:val="000000"/>
          <w:spacing w:val="-5"/>
          <w:kern w:val="0"/>
          <w:sz w:val="24"/>
          <w:szCs w:val="24"/>
          <w:lang w:val="en-US" w:eastAsia="en-US" w:bidi="ar-SA"/>
        </w:rPr>
        <w:t>供应商不满足此要求则无须提供，</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一旦提供将视为满足其要求，如有虚假，将依法承担相应责任。</w:t>
      </w:r>
    </w:p>
    <w:p w14:paraId="74FE5C5B">
      <w:pPr>
        <w:spacing w:line="245" w:lineRule="auto"/>
        <w:rPr>
          <w:sz w:val="24"/>
          <w:szCs w:val="24"/>
        </w:rPr>
        <w:sectPr>
          <w:footerReference r:id="rId9" w:type="default"/>
          <w:pgSz w:w="11906" w:h="16839"/>
          <w:pgMar w:top="400" w:right="1170" w:bottom="1170" w:left="1252" w:header="0" w:footer="956" w:gutter="0"/>
          <w:cols w:space="720" w:num="1"/>
        </w:sectPr>
      </w:pPr>
    </w:p>
    <w:p w14:paraId="5D77AB61">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505F05F7">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7319064C">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01469F60">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72EC18CC">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10295C5C">
      <w:pPr>
        <w:kinsoku w:val="0"/>
        <w:autoSpaceDE w:val="0"/>
        <w:autoSpaceDN w:val="0"/>
        <w:adjustRightInd w:val="0"/>
        <w:snapToGrid w:val="0"/>
        <w:spacing w:before="78" w:line="223" w:lineRule="auto"/>
        <w:ind w:left="266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（三）监狱企业声明函</w:t>
      </w:r>
    </w:p>
    <w:p w14:paraId="64DDCD39">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64D71BD1">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14:paraId="4B555AB2">
      <w:pPr>
        <w:kinsoku w:val="0"/>
        <w:autoSpaceDE w:val="0"/>
        <w:autoSpaceDN w:val="0"/>
        <w:adjustRightInd w:val="0"/>
        <w:snapToGrid w:val="0"/>
        <w:spacing w:before="78" w:line="489" w:lineRule="auto"/>
        <w:ind w:right="11" w:firstLine="52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本单位郑重声明，根据《关于政府采购支持监狱企业发展有关问题的通知》（财库</w:t>
      </w:r>
      <w:r>
        <w:rPr>
          <w:rFonts w:ascii="仿宋" w:hAnsi="仿宋" w:eastAsia="仿宋" w:cs="仿宋"/>
          <w:snapToGrid w:val="0"/>
          <w:color w:val="000000"/>
          <w:spacing w:val="6"/>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〔2014〕 68</w:t>
      </w:r>
      <w:r>
        <w:rPr>
          <w:rFonts w:ascii="仿宋" w:hAnsi="仿宋" w:eastAsia="仿宋" w:cs="仿宋"/>
          <w:snapToGrid w:val="0"/>
          <w:color w:val="000000"/>
          <w:spacing w:val="-39"/>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号）</w:t>
      </w:r>
      <w:r>
        <w:rPr>
          <w:rFonts w:ascii="仿宋" w:hAnsi="仿宋" w:eastAsia="仿宋" w:cs="仿宋"/>
          <w:snapToGrid w:val="0"/>
          <w:color w:val="000000"/>
          <w:spacing w:val="-68"/>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的规定，本单位为符合条件的</w:t>
      </w:r>
      <w:r>
        <w:rPr>
          <w:rFonts w:ascii="仿宋" w:hAnsi="仿宋" w:eastAsia="仿宋" w:cs="仿宋"/>
          <w:snapToGrid w:val="0"/>
          <w:color w:val="000000"/>
          <w:spacing w:val="6"/>
          <w:kern w:val="0"/>
          <w:sz w:val="24"/>
          <w:szCs w:val="24"/>
          <w:lang w:val="en-US" w:eastAsia="en-US" w:bidi="ar-SA"/>
        </w:rPr>
        <w:t>监狱单位，且本单位参加______单位的</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______项目采购活动提供本单位制造的货物（</w:t>
      </w:r>
      <w:r>
        <w:rPr>
          <w:rFonts w:ascii="仿宋" w:hAnsi="仿宋" w:eastAsia="仿宋" w:cs="仿宋"/>
          <w:snapToGrid w:val="0"/>
          <w:color w:val="000000"/>
          <w:spacing w:val="-25"/>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由本单位承担工程/提供服务）。</w:t>
      </w:r>
    </w:p>
    <w:p w14:paraId="2EBA7C3E">
      <w:pPr>
        <w:kinsoku w:val="0"/>
        <w:autoSpaceDE w:val="0"/>
        <w:autoSpaceDN w:val="0"/>
        <w:adjustRightInd w:val="0"/>
        <w:snapToGrid w:val="0"/>
        <w:spacing w:before="4" w:line="220" w:lineRule="auto"/>
        <w:ind w:left="21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本单位对上述声明的真实性负责。如有虚假，将依法承担相应责任。</w:t>
      </w:r>
    </w:p>
    <w:p w14:paraId="1FC82B4C">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4458E77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4F31974B">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2BDBE650">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06740EE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647F4986">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026BF0B5">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240E0585">
      <w:pPr>
        <w:kinsoku w:val="0"/>
        <w:autoSpaceDE w:val="0"/>
        <w:autoSpaceDN w:val="0"/>
        <w:adjustRightInd w:val="0"/>
        <w:snapToGrid w:val="0"/>
        <w:spacing w:before="78" w:line="221" w:lineRule="auto"/>
        <w:ind w:left="282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供应商名称（盖公章</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u w:val="single" w:color="auto"/>
          <w:lang w:val="en-US" w:eastAsia="en-US" w:bidi="ar-SA"/>
        </w:rPr>
        <w:t xml:space="preserve">                            </w:t>
      </w:r>
    </w:p>
    <w:p w14:paraId="46CDDD67">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78DCDF54">
      <w:pPr>
        <w:kinsoku w:val="0"/>
        <w:autoSpaceDE w:val="0"/>
        <w:autoSpaceDN w:val="0"/>
        <w:adjustRightInd w:val="0"/>
        <w:snapToGrid w:val="0"/>
        <w:spacing w:before="78" w:line="222" w:lineRule="auto"/>
        <w:ind w:left="283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法定代表人或其授权委托人(签字或盖章)：</w:t>
      </w:r>
      <w:r>
        <w:rPr>
          <w:rFonts w:ascii="仿宋" w:hAnsi="仿宋" w:eastAsia="仿宋" w:cs="仿宋"/>
          <w:snapToGrid w:val="0"/>
          <w:color w:val="000000"/>
          <w:spacing w:val="1"/>
          <w:kern w:val="0"/>
          <w:sz w:val="24"/>
          <w:szCs w:val="24"/>
          <w:u w:val="single" w:color="auto"/>
          <w:lang w:val="en-US" w:eastAsia="en-US" w:bidi="ar-SA"/>
        </w:rPr>
        <w:t xml:space="preserve">        </w:t>
      </w:r>
    </w:p>
    <w:p w14:paraId="0C666BA5">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024CE120">
      <w:pPr>
        <w:kinsoku w:val="0"/>
        <w:autoSpaceDE w:val="0"/>
        <w:autoSpaceDN w:val="0"/>
        <w:adjustRightInd w:val="0"/>
        <w:snapToGrid w:val="0"/>
        <w:spacing w:before="78" w:line="222" w:lineRule="auto"/>
        <w:ind w:left="287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0"/>
          <w:kern w:val="0"/>
          <w:sz w:val="24"/>
          <w:szCs w:val="24"/>
          <w:lang w:val="en-US" w:eastAsia="en-US" w:bidi="ar-SA"/>
        </w:rPr>
        <w:t>日期：</w:t>
      </w:r>
      <w:r>
        <w:rPr>
          <w:rFonts w:ascii="仿宋" w:hAnsi="仿宋" w:eastAsia="仿宋" w:cs="仿宋"/>
          <w:snapToGrid w:val="0"/>
          <w:color w:val="000000"/>
          <w:spacing w:val="13"/>
          <w:kern w:val="0"/>
          <w:sz w:val="24"/>
          <w:szCs w:val="24"/>
          <w:u w:val="single" w:color="auto"/>
          <w:lang w:val="en-US" w:eastAsia="en-US" w:bidi="ar-SA"/>
        </w:rPr>
        <w:t xml:space="preserve">         </w:t>
      </w:r>
      <w:r>
        <w:rPr>
          <w:rFonts w:ascii="仿宋" w:hAnsi="仿宋" w:eastAsia="仿宋" w:cs="仿宋"/>
          <w:snapToGrid w:val="0"/>
          <w:color w:val="000000"/>
          <w:spacing w:val="-92"/>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年</w:t>
      </w:r>
      <w:r>
        <w:rPr>
          <w:rFonts w:ascii="仿宋" w:hAnsi="仿宋" w:eastAsia="仿宋" w:cs="仿宋"/>
          <w:snapToGrid w:val="0"/>
          <w:color w:val="000000"/>
          <w:spacing w:val="23"/>
          <w:kern w:val="0"/>
          <w:sz w:val="24"/>
          <w:szCs w:val="24"/>
          <w:u w:val="single" w:color="auto"/>
          <w:lang w:val="en-US" w:eastAsia="en-US" w:bidi="ar-SA"/>
        </w:rPr>
        <w:t xml:space="preserve">     </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月</w:t>
      </w:r>
      <w:r>
        <w:rPr>
          <w:rFonts w:ascii="仿宋" w:hAnsi="仿宋" w:eastAsia="仿宋" w:cs="仿宋"/>
          <w:snapToGrid w:val="0"/>
          <w:color w:val="000000"/>
          <w:spacing w:val="30"/>
          <w:kern w:val="0"/>
          <w:sz w:val="24"/>
          <w:szCs w:val="24"/>
          <w:u w:val="single" w:color="auto"/>
          <w:lang w:val="en-US" w:eastAsia="en-US" w:bidi="ar-SA"/>
        </w:rPr>
        <w:t xml:space="preserve">    </w:t>
      </w:r>
      <w:r>
        <w:rPr>
          <w:rFonts w:ascii="仿宋" w:hAnsi="仿宋" w:eastAsia="仿宋" w:cs="仿宋"/>
          <w:snapToGrid w:val="0"/>
          <w:color w:val="000000"/>
          <w:spacing w:val="-54"/>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日</w:t>
      </w:r>
    </w:p>
    <w:p w14:paraId="0FD2A523">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3675FD69">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5A8E879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7A2A6696">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2F03A3BC">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70767574">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74967939">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6F8CC23A">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3D8CC257">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58F50D23">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3A2D534F">
      <w:pPr>
        <w:pStyle w:val="2"/>
        <w:rPr>
          <w:rFonts w:hint="eastAsia"/>
        </w:rPr>
      </w:pPr>
      <w:r>
        <w:rPr>
          <w:rFonts w:ascii="仿宋" w:hAnsi="仿宋" w:eastAsia="仿宋" w:cs="仿宋"/>
          <w:b/>
          <w:bCs/>
          <w:snapToGrid w:val="0"/>
          <w:color w:val="000000"/>
          <w:spacing w:val="-5"/>
          <w:kern w:val="0"/>
          <w:sz w:val="24"/>
          <w:szCs w:val="24"/>
          <w:lang w:val="en-US" w:eastAsia="en-US" w:bidi="ar-SA"/>
        </w:rPr>
        <w:t>说明</w:t>
      </w:r>
      <w:r>
        <w:rPr>
          <w:rFonts w:ascii="仿宋" w:hAnsi="仿宋" w:eastAsia="仿宋" w:cs="仿宋"/>
          <w:snapToGrid w:val="0"/>
          <w:color w:val="000000"/>
          <w:spacing w:val="-5"/>
          <w:kern w:val="0"/>
          <w:sz w:val="24"/>
          <w:szCs w:val="24"/>
          <w:lang w:val="en-US" w:eastAsia="en-US" w:bidi="ar-SA"/>
        </w:rPr>
        <w:t>：填写本声明函时应详细阅读《关于政府采购支持监狱企业发展有关问题的通知》（财</w:t>
      </w:r>
      <w:r>
        <w:rPr>
          <w:rFonts w:ascii="仿宋" w:hAnsi="仿宋" w:eastAsia="仿宋" w:cs="仿宋"/>
          <w:snapToGrid w:val="0"/>
          <w:color w:val="000000"/>
          <w:spacing w:val="11"/>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库〔2014〕 68</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号</w:t>
      </w:r>
      <w:r>
        <w:rPr>
          <w:rFonts w:ascii="仿宋" w:hAnsi="仿宋" w:eastAsia="仿宋" w:cs="仿宋"/>
          <w:snapToGrid w:val="0"/>
          <w:color w:val="000000"/>
          <w:spacing w:val="-10"/>
          <w:kern w:val="0"/>
          <w:sz w:val="24"/>
          <w:szCs w:val="24"/>
          <w:lang w:val="en-US" w:eastAsia="en-US" w:bidi="ar-SA"/>
        </w:rPr>
        <w:t>），</w:t>
      </w:r>
      <w:r>
        <w:rPr>
          <w:rFonts w:ascii="仿宋" w:hAnsi="仿宋" w:eastAsia="仿宋" w:cs="仿宋"/>
          <w:snapToGrid w:val="0"/>
          <w:color w:val="000000"/>
          <w:spacing w:val="-3"/>
          <w:kern w:val="0"/>
          <w:sz w:val="24"/>
          <w:szCs w:val="24"/>
          <w:lang w:val="en-US" w:eastAsia="en-US" w:bidi="ar-SA"/>
        </w:rPr>
        <w:t>供应商不满足此要求则无须提供，一旦提供将视</w:t>
      </w:r>
      <w:r>
        <w:rPr>
          <w:rFonts w:ascii="仿宋" w:hAnsi="仿宋" w:eastAsia="仿宋" w:cs="仿宋"/>
          <w:snapToGrid w:val="0"/>
          <w:color w:val="000000"/>
          <w:spacing w:val="-4"/>
          <w:kern w:val="0"/>
          <w:sz w:val="24"/>
          <w:szCs w:val="24"/>
          <w:lang w:val="en-US" w:eastAsia="en-US" w:bidi="ar-SA"/>
        </w:rPr>
        <w:t>为满足其要求，如有</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虚假，将依法承担相应责任</w:t>
      </w:r>
    </w:p>
    <w:sectPr>
      <w:pgSz w:w="11907" w:h="16840"/>
      <w:pgMar w:top="1418" w:right="1134" w:bottom="1418"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BCFD">
    <w:pPr>
      <w:pStyle w:val="20"/>
    </w:pPr>
    <w:r>
      <mc:AlternateContent>
        <mc:Choice Requires="wps">
          <w:drawing>
            <wp:anchor distT="0" distB="0" distL="114300" distR="114300" simplePos="0" relativeHeight="251660288" behindDoc="0" locked="0" layoutInCell="1" allowOverlap="1">
              <wp:simplePos x="0" y="0"/>
              <wp:positionH relativeFrom="margin">
                <wp:posOffset>2552700</wp:posOffset>
              </wp:positionH>
              <wp:positionV relativeFrom="paragraph">
                <wp:posOffset>-27305</wp:posOffset>
              </wp:positionV>
              <wp:extent cx="167005" cy="147955"/>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67005" cy="147955"/>
                      </a:xfrm>
                      <a:prstGeom prst="rect">
                        <a:avLst/>
                      </a:prstGeom>
                      <a:noFill/>
                      <a:ln>
                        <a:noFill/>
                      </a:ln>
                    </wps:spPr>
                    <wps:txbx>
                      <w:txbxContent>
                        <w:p w14:paraId="17D95DFD">
                          <w:pPr>
                            <w:pStyle w:val="20"/>
                          </w:pPr>
                        </w:p>
                      </w:txbxContent>
                    </wps:txbx>
                    <wps:bodyPr lIns="0" tIns="0" rIns="0" bIns="0"/>
                  </wps:wsp>
                </a:graphicData>
              </a:graphic>
            </wp:anchor>
          </w:drawing>
        </mc:Choice>
        <mc:Fallback>
          <w:pict>
            <v:shape id="文本框 1034" o:spid="_x0000_s1026" o:spt="202" type="#_x0000_t202" style="position:absolute;left:0pt;margin-left:201pt;margin-top:-2.15pt;height:11.65pt;width:13.15pt;mso-position-horizontal-relative:margin;z-index:251660288;mso-width-relative:page;mso-height-relative:page;" filled="f" stroked="f" coordsize="21600,21600" o:gfxdata="UEsDBAoAAAAAAIdO4kAAAAAAAAAAAAAAAAAEAAAAZHJzL1BLAwQUAAAACACHTuJAw3o2gtgAAAAJ&#10;AQAADwAAAGRycy9kb3ducmV2LnhtbE2PTU/DMAyG70j8h8iTuG3JSjVtXdMJITghIbpy4Jg2Xlut&#10;cUqTffDvMSd2s+VHr583313dIM44hd6ThuVCgUBqvO2p1fBZvc7XIEI0ZM3gCTX8YIBdcX+Xm8z6&#10;C5V43sdWcAiFzGjoYhwzKUPToTNh4Uckvh385EzkdWqlncyFw90gE6VW0pme+ENnRnzusDnuT07D&#10;0xeVL/33e/1RHsq+qjaK3lZHrR9mS7UFEfEa/2H402d1KNip9ieyQQwaUpVwl6hhnj6CYCBN1jzU&#10;TG4UyCKXtw2KX1BLAwQUAAAACACHTuJASjoz6rcBAABoAwAADgAAAGRycy9lMm9Eb2MueG1srVPN&#10;jtMwEL4j8Q6W79Tp0u6yUdOVULUICQHSwgO4jtNYsj2Wx9ukLwBvwIkLd56rz8E4SbvLctkDF2c8&#10;P9/M942zuumdZXsd0YCv+HxWcKa9gtr4XcW/frl99YYzTNLX0oLXFT9o5Dfrly9WXSj1BbRgax0Z&#10;gXgsu1DxNqVQCoGq1U7iDIL2FGwgOpnoGneijrIjdGfFRVFcig5iHSIojUjezRjkE2J8DiA0jVF6&#10;A+reaZ9G1KitTEQJWxOQr4dpm0ar9KlpUCdmK05M03BSE7K3+RTrlSx3UYbWqGkE+ZwRnnBy0nhq&#10;eobayCTZfTT/QDmjIiA0aabAiZHIoAixmBdPtLlrZdADF5Iaw1l0/H+w6uP+c2SmrviCMy8dLfz4&#10;4/vx5+/jr29sXrxeZIW6gCUl3gVKTf1b6OndnPxIzky8b6LLX6LEKE76Hs766j4xlYsur4piyZmi&#10;0Hxxdb1cZhTxUBwipncaHMtGxSOtb1BV7j9gGlNPKbmXh1tj7bBC6/9yEGb2iDz5OGG2Ur/tJzpb&#10;qA/Exr73JGZ+GCcjnoztZOS2uZgWMMw6PZa84cf3IevhB1n/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N6NoLYAAAACQEAAA8AAAAAAAAAAQAgAAAAIgAAAGRycy9kb3ducmV2LnhtbFBLAQIUABQA&#10;AAAIAIdO4kBKOjPqtwEAAGgDAAAOAAAAAAAAAAEAIAAAACcBAABkcnMvZTJvRG9jLnhtbFBLBQYA&#10;AAAABgAGAFkBAABQBQAAAAA=&#10;">
              <v:fill on="f" focussize="0,0"/>
              <v:stroke on="f"/>
              <v:imagedata o:title=""/>
              <o:lock v:ext="edit" aspectratio="f"/>
              <v:textbox inset="0mm,0mm,0mm,0mm">
                <w:txbxContent>
                  <w:p w14:paraId="17D95DFD">
                    <w:pPr>
                      <w:pStyle w:val="2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1C11">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9CA63">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719CA63">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6"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87D52C">
                          <w:pPr>
                            <w:pStyle w:val="20"/>
                          </w:pPr>
                        </w:p>
                      </w:txbxContent>
                    </wps:txbx>
                    <wps:bodyPr wrap="none" lIns="0" tIns="0" rIns="0" bIns="0">
                      <a:spAutoFit/>
                    </wps:bodyPr>
                  </wps:wsp>
                </a:graphicData>
              </a:graphic>
            </wp:anchor>
          </w:drawing>
        </mc:Choice>
        <mc:Fallback>
          <w:pict>
            <v:shape id="文本框 1043" o:spid="_x0000_s1026" o:spt="202" type="#_x0000_t202" style="position:absolute;left:0pt;margin-top:-781.3pt;height:144pt;width:144pt;mso-position-horizontal:center;mso-position-horizontal-relative:margin;mso-wrap-style:none;z-index:251661312;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B64cMtxAEAAJADAAAOAAAAZHJzL2Uyb0RvYy54bWytU82O&#10;0zAQviPxDpbv1GlBqypqugJVi5AQIC08gOvYjSX/yeM26QvAG3Diwp3n6nMwdpIuLJc9cHHGM+Nv&#10;5vtmsrkdrCEnGUF719DloqJEOuFb7Q4N/fL57sWaEkjctdx4Jxt6lkBvt8+fbfpQy5XvvGllJAji&#10;oO5DQ7uUQs0YiE5aDgsfpMOg8tHyhNd4YG3kPaJbw1ZVdcN6H9sQvZAA6N2NQTohxqcAeqW0kDsv&#10;jla6NKJGaXhCStDpAHRbulVKivRRKZCJmIYi01ROLIL2Pp9su+H1IfLQaTG1wJ/SwiNOlmuHRa9Q&#10;O544OUb9D5TVInrwKi2Et2wkUhRBFsvqkTb3HQ+ycEGpIVxFh/8HKz6cPkWi24beUOK4xYFfvn+7&#10;/Ph1+fmVLKtXL7NCfYAaE+8DpqbhjR9wb2Y/oDMTH1S0+YuUCMZR3/NVXzkkIvKj9Wq9rjAkMDZf&#10;EJ89PA8R0lvpLclGQyMOsOjKT+8hjalzSq7m/J02pgzRuL8ciJk9LPc+9pitNOyHidDet2fk0+Ps&#10;G+pw1Skx7xxKm9dkNuJs7Ccj14Dw+piwcOkno45QUzEcVGE0LVXehD/vJevhR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BgzBnXAAAADAEAAA8AAAAAAAAAAQAgAAAAIgAAAGRycy9kb3ducmV2&#10;LnhtbFBLAQIUABQAAAAIAIdO4kB64cMtxAEAAJADAAAOAAAAAAAAAAEAIAAAACYBAABkcnMvZTJv&#10;RG9jLnhtbFBLBQYAAAAABgAGAFkBAABcBQAAAAA=&#10;">
              <v:fill on="f" focussize="0,0"/>
              <v:stroke on="f"/>
              <v:imagedata o:title=""/>
              <o:lock v:ext="edit" aspectratio="f"/>
              <v:textbox inset="0mm,0mm,0mm,0mm" style="mso-fit-shape-to-text:t;">
                <w:txbxContent>
                  <w:p w14:paraId="7187D52C">
                    <w:pPr>
                      <w:pStyle w:val="20"/>
                    </w:pP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6C3E">
    <w:pPr>
      <w:pStyle w:val="20"/>
      <w:jc w:val="both"/>
      <w:rPr>
        <w:rStyle w:val="37"/>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12FAB">
                          <w:pPr>
                            <w:pStyle w:val="20"/>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EA12FAB">
                    <w:pPr>
                      <w:pStyle w:val="20"/>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34CF9F">
                          <w:pPr>
                            <w:pStyle w:val="20"/>
                            <w:rPr>
                              <w:rFonts w:eastAsia="宋体"/>
                            </w:rPr>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L/2jvMAQAAmgMAAA4AAABkcnMvZTJvRG9jLnhtbK1TzY7TMBC+&#10;I/EOlu80aaVdoqjpClQtQkKAtPAAruM0lmyP5XGb9AXgDThx4c5z9TkYO2kXLZc9cHHmz9/M93my&#10;vhutYUcVUINr+HJRcqachFa7fcO/frl/VXGGUbhWGHCq4SeF/G7z8sV68LVaQQ+mVYERiMN68A3v&#10;Y/R1UaDslRW4AK8cJTsIVkRyw75ogxgI3ZpiVZa3xQCh9QGkQqTodkryGTE8BxC6Tku1BXmwysUJ&#10;NSgjIlHCXnvkmzxt1ykZP3UdqshMw4lpzCc1IXuXzmKzFvU+CN9rOY8gnjPCE05WaEdNr1BbEQU7&#10;BP0PlNUyAEIXFxJsMRHJihCLZflEm4deeJW5kNTor6Lj/4OVH4+fA9MtbQJnTlh68POP7+efv8+/&#10;vrFlubpNCg0eayp88FQax7cwpuo5jhRMxMcu2PQlSozypO/pqq8aI5PpUrWqqpJSknIXh3CKx+s+&#10;YHynwLJkNDzQA2ZdxfEDxqn0UpK6ObjXxlBc1MaxgVBvqtc3+cY1RejGUZPEYpo2WXHcjTOFHbQn&#10;YjbQFjTc0dJzZt47EjktzMUIF2M3G6kn+jeHSCPkyRLqBDU3oyfL3Ob1Sjvxt5+rHn+pz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Yv/aO8wBAACaAwAADgAAAAAAAAABACAAAAAiAQAAZHJz&#10;L2Uyb0RvYy54bWxQSwUGAAAAAAYABgBZAQAAYAUAAAAA&#10;">
              <v:fill on="f" focussize="0,0"/>
              <v:stroke on="f" weight="1.25pt"/>
              <v:imagedata o:title=""/>
              <o:lock v:ext="edit" aspectratio="f"/>
              <v:textbox inset="0mm,0mm,0mm,0mm" style="mso-fit-shape-to-text:t;">
                <w:txbxContent>
                  <w:p w14:paraId="5A34CF9F">
                    <w:pPr>
                      <w:pStyle w:val="20"/>
                      <w:rPr>
                        <w:rFonts w:eastAsia="宋体"/>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9F11B">
    <w:pPr>
      <w:pStyle w:val="2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C438D">
                          <w:pPr>
                            <w:pStyle w:val="20"/>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A9C438D">
                    <w:pPr>
                      <w:pStyle w:val="20"/>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F831">
    <w:pPr>
      <w:widowControl/>
      <w:kinsoku w:val="0"/>
      <w:autoSpaceDE w:val="0"/>
      <w:autoSpaceDN w:val="0"/>
      <w:adjustRightInd w:val="0"/>
      <w:snapToGrid w:val="0"/>
      <w:spacing w:line="209" w:lineRule="auto"/>
      <w:ind w:left="4346"/>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1"/>
        <w:kern w:val="0"/>
        <w:sz w:val="18"/>
        <w:szCs w:val="18"/>
        <w:lang w:eastAsia="en-US"/>
      </w:rPr>
      <w:t>第</w:t>
    </w:r>
    <w:r>
      <w:rPr>
        <w:rFonts w:hint="eastAsia" w:ascii="宋体" w:hAnsi="宋体" w:eastAsia="宋体" w:cs="宋体"/>
        <w:snapToGrid w:val="0"/>
        <w:color w:val="000000"/>
        <w:spacing w:val="-1"/>
        <w:kern w:val="0"/>
        <w:sz w:val="18"/>
        <w:szCs w:val="18"/>
        <w:lang w:val="en-US" w:eastAsia="zh-CN"/>
      </w:rPr>
      <w:t>68</w:t>
    </w:r>
    <w:r>
      <w:rPr>
        <w:rFonts w:ascii="宋体" w:hAnsi="宋体" w:eastAsia="宋体" w:cs="宋体"/>
        <w:snapToGrid w:val="0"/>
        <w:color w:val="000000"/>
        <w:spacing w:val="-1"/>
        <w:kern w:val="0"/>
        <w:sz w:val="18"/>
        <w:szCs w:val="18"/>
        <w:lang w:eastAsia="en-US"/>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50DC">
    <w:pPr>
      <w:pStyle w:val="21"/>
      <w:pBdr>
        <w:bottom w:val="none" w:color="auto" w:sz="0" w:space="0"/>
      </w:pBdr>
      <w:jc w:val="both"/>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02D2">
    <w:pPr>
      <w:pStyle w:val="21"/>
      <w:jc w:val="both"/>
      <w:rPr>
        <w:rFonts w:ascii="隶书" w:eastAsia="隶书"/>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9885F"/>
    <w:multiLevelType w:val="singleLevel"/>
    <w:tmpl w:val="F9A9885F"/>
    <w:lvl w:ilvl="0" w:tentative="0">
      <w:start w:val="16"/>
      <w:numFmt w:val="decimal"/>
      <w:lvlText w:val="%1."/>
      <w:lvlJc w:val="left"/>
      <w:pPr>
        <w:tabs>
          <w:tab w:val="left" w:pos="312"/>
        </w:tabs>
      </w:pPr>
    </w:lvl>
  </w:abstractNum>
  <w:abstractNum w:abstractNumId="1">
    <w:nsid w:val="0A290D73"/>
    <w:multiLevelType w:val="singleLevel"/>
    <w:tmpl w:val="0A290D73"/>
    <w:lvl w:ilvl="0" w:tentative="0">
      <w:start w:val="5"/>
      <w:numFmt w:val="chineseCounting"/>
      <w:suff w:val="nothing"/>
      <w:lvlText w:val="%1、"/>
      <w:lvlJc w:val="left"/>
      <w:rPr>
        <w:rFonts w:hint="eastAsia"/>
      </w:rPr>
    </w:lvl>
  </w:abstractNum>
  <w:abstractNum w:abstractNumId="2">
    <w:nsid w:val="55CFFBAC"/>
    <w:multiLevelType w:val="singleLevel"/>
    <w:tmpl w:val="55CFFBAC"/>
    <w:lvl w:ilvl="0" w:tentative="0">
      <w:start w:val="1"/>
      <w:numFmt w:val="chineseCounting"/>
      <w:pStyle w:val="94"/>
      <w:suff w:val="nothing"/>
      <w:lvlText w:val="%1、"/>
      <w:lvlJc w:val="left"/>
    </w:lvl>
  </w:abstractNum>
  <w:abstractNum w:abstractNumId="3">
    <w:nsid w:val="5AA41CC7"/>
    <w:multiLevelType w:val="singleLevel"/>
    <w:tmpl w:val="5AA41CC7"/>
    <w:lvl w:ilvl="0" w:tentative="0">
      <w:start w:val="1"/>
      <w:numFmt w:val="decimal"/>
      <w:suff w:val="space"/>
      <w:lvlText w:val="%1."/>
      <w:lvlJc w:val="left"/>
    </w:lvl>
  </w:abstractNum>
  <w:abstractNum w:abstractNumId="4">
    <w:nsid w:val="5C1357BC"/>
    <w:multiLevelType w:val="singleLevel"/>
    <w:tmpl w:val="5C1357BC"/>
    <w:lvl w:ilvl="0" w:tentative="0">
      <w:start w:val="8"/>
      <w:numFmt w:val="chineseCounting"/>
      <w:suff w:val="nothing"/>
      <w:lvlText w:val="%1、"/>
      <w:lvlJc w:val="left"/>
      <w:rPr>
        <w:rFonts w:hint="eastAsia"/>
      </w:rPr>
    </w:lvl>
  </w:abstractNum>
  <w:abstractNum w:abstractNumId="5">
    <w:nsid w:val="634A2DD7"/>
    <w:multiLevelType w:val="singleLevel"/>
    <w:tmpl w:val="634A2DD7"/>
    <w:lvl w:ilvl="0" w:tentative="0">
      <w:start w:val="1"/>
      <w:numFmt w:val="chineseCounting"/>
      <w:suff w:val="space"/>
      <w:lvlText w:val="第%1章"/>
      <w:lvlJc w:val="left"/>
      <w:rPr>
        <w:rFonts w:hint="eastAsia"/>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yMGExODRmODQ5NDA0MWYwZTVkN2Y4MmNlMzM2MmUifQ=="/>
    <w:docVar w:name="KSO_WPS_MARK_KEY" w:val="8c2bc2c6-d0cc-462b-bba0-8f090476c535"/>
  </w:docVars>
  <w:rsids>
    <w:rsidRoot w:val="00921CD7"/>
    <w:rsid w:val="00013A86"/>
    <w:rsid w:val="000170F9"/>
    <w:rsid w:val="00023B0B"/>
    <w:rsid w:val="000945C3"/>
    <w:rsid w:val="000A5C30"/>
    <w:rsid w:val="000C3DF1"/>
    <w:rsid w:val="000D4035"/>
    <w:rsid w:val="000F37EC"/>
    <w:rsid w:val="00101861"/>
    <w:rsid w:val="00111E98"/>
    <w:rsid w:val="001206FA"/>
    <w:rsid w:val="00122C71"/>
    <w:rsid w:val="00153BE3"/>
    <w:rsid w:val="00163DE0"/>
    <w:rsid w:val="0017675F"/>
    <w:rsid w:val="00192225"/>
    <w:rsid w:val="001A3BB3"/>
    <w:rsid w:val="001C6364"/>
    <w:rsid w:val="001D078A"/>
    <w:rsid w:val="001E015E"/>
    <w:rsid w:val="001E377A"/>
    <w:rsid w:val="001F5F14"/>
    <w:rsid w:val="00211345"/>
    <w:rsid w:val="00216E9C"/>
    <w:rsid w:val="002603BF"/>
    <w:rsid w:val="0026128D"/>
    <w:rsid w:val="002732EB"/>
    <w:rsid w:val="002763E5"/>
    <w:rsid w:val="002848C8"/>
    <w:rsid w:val="00290825"/>
    <w:rsid w:val="002D026B"/>
    <w:rsid w:val="0033194D"/>
    <w:rsid w:val="00353357"/>
    <w:rsid w:val="0036614A"/>
    <w:rsid w:val="0037149A"/>
    <w:rsid w:val="0039459E"/>
    <w:rsid w:val="003C21DD"/>
    <w:rsid w:val="003E3071"/>
    <w:rsid w:val="00402BCB"/>
    <w:rsid w:val="0043460E"/>
    <w:rsid w:val="004540E1"/>
    <w:rsid w:val="00464331"/>
    <w:rsid w:val="004657DD"/>
    <w:rsid w:val="004A72F3"/>
    <w:rsid w:val="004C41AF"/>
    <w:rsid w:val="004C4E16"/>
    <w:rsid w:val="004C6237"/>
    <w:rsid w:val="004E3E45"/>
    <w:rsid w:val="004E5081"/>
    <w:rsid w:val="0051774B"/>
    <w:rsid w:val="005574FC"/>
    <w:rsid w:val="00564436"/>
    <w:rsid w:val="00566C5A"/>
    <w:rsid w:val="0058208B"/>
    <w:rsid w:val="005A5631"/>
    <w:rsid w:val="005C477D"/>
    <w:rsid w:val="005D128B"/>
    <w:rsid w:val="005F0C7E"/>
    <w:rsid w:val="005F4718"/>
    <w:rsid w:val="0060184D"/>
    <w:rsid w:val="006053A3"/>
    <w:rsid w:val="00610950"/>
    <w:rsid w:val="00621012"/>
    <w:rsid w:val="006338BE"/>
    <w:rsid w:val="00643BE3"/>
    <w:rsid w:val="00664C2D"/>
    <w:rsid w:val="00670107"/>
    <w:rsid w:val="00673A5F"/>
    <w:rsid w:val="00687F3C"/>
    <w:rsid w:val="00691E91"/>
    <w:rsid w:val="006A0693"/>
    <w:rsid w:val="006A1BD5"/>
    <w:rsid w:val="006B46C7"/>
    <w:rsid w:val="00747555"/>
    <w:rsid w:val="00764CBC"/>
    <w:rsid w:val="007653ED"/>
    <w:rsid w:val="0077682C"/>
    <w:rsid w:val="00780528"/>
    <w:rsid w:val="007A5C86"/>
    <w:rsid w:val="008001D3"/>
    <w:rsid w:val="008435D4"/>
    <w:rsid w:val="00845449"/>
    <w:rsid w:val="00863B99"/>
    <w:rsid w:val="008751AB"/>
    <w:rsid w:val="008B29CB"/>
    <w:rsid w:val="008D6822"/>
    <w:rsid w:val="008F661E"/>
    <w:rsid w:val="00921CD7"/>
    <w:rsid w:val="00942C41"/>
    <w:rsid w:val="00955D07"/>
    <w:rsid w:val="0097685F"/>
    <w:rsid w:val="00976CE4"/>
    <w:rsid w:val="00994FF3"/>
    <w:rsid w:val="009973F4"/>
    <w:rsid w:val="009C6994"/>
    <w:rsid w:val="009D5FA8"/>
    <w:rsid w:val="009E6873"/>
    <w:rsid w:val="009F40E2"/>
    <w:rsid w:val="00A045E3"/>
    <w:rsid w:val="00A04B72"/>
    <w:rsid w:val="00A122CC"/>
    <w:rsid w:val="00A138FF"/>
    <w:rsid w:val="00A3470B"/>
    <w:rsid w:val="00A65289"/>
    <w:rsid w:val="00A65581"/>
    <w:rsid w:val="00A73E21"/>
    <w:rsid w:val="00A77E16"/>
    <w:rsid w:val="00A8237A"/>
    <w:rsid w:val="00A8392E"/>
    <w:rsid w:val="00A947EF"/>
    <w:rsid w:val="00AA3AB4"/>
    <w:rsid w:val="00AA412A"/>
    <w:rsid w:val="00AA4F4F"/>
    <w:rsid w:val="00AB0C04"/>
    <w:rsid w:val="00AE72E1"/>
    <w:rsid w:val="00AF3321"/>
    <w:rsid w:val="00AF7256"/>
    <w:rsid w:val="00B06113"/>
    <w:rsid w:val="00B203DE"/>
    <w:rsid w:val="00B2294D"/>
    <w:rsid w:val="00B31D98"/>
    <w:rsid w:val="00B35865"/>
    <w:rsid w:val="00B439D7"/>
    <w:rsid w:val="00B62DCE"/>
    <w:rsid w:val="00B66443"/>
    <w:rsid w:val="00B759E0"/>
    <w:rsid w:val="00B90F76"/>
    <w:rsid w:val="00B97423"/>
    <w:rsid w:val="00BA5329"/>
    <w:rsid w:val="00BC1B0F"/>
    <w:rsid w:val="00BC1E6D"/>
    <w:rsid w:val="00BF7466"/>
    <w:rsid w:val="00C94169"/>
    <w:rsid w:val="00C960BF"/>
    <w:rsid w:val="00CC7A28"/>
    <w:rsid w:val="00CD3A88"/>
    <w:rsid w:val="00CE31D3"/>
    <w:rsid w:val="00CF3F66"/>
    <w:rsid w:val="00D042BD"/>
    <w:rsid w:val="00D31411"/>
    <w:rsid w:val="00D45511"/>
    <w:rsid w:val="00D47768"/>
    <w:rsid w:val="00D65CE1"/>
    <w:rsid w:val="00D6682E"/>
    <w:rsid w:val="00D8576C"/>
    <w:rsid w:val="00D85EE2"/>
    <w:rsid w:val="00D93E4F"/>
    <w:rsid w:val="00DA5B77"/>
    <w:rsid w:val="00DA7FF2"/>
    <w:rsid w:val="00DF07A0"/>
    <w:rsid w:val="00DF7B52"/>
    <w:rsid w:val="00E02BAA"/>
    <w:rsid w:val="00E634E1"/>
    <w:rsid w:val="00E76F9E"/>
    <w:rsid w:val="00E93CBF"/>
    <w:rsid w:val="00E9783C"/>
    <w:rsid w:val="00EB50C0"/>
    <w:rsid w:val="00EC0BC1"/>
    <w:rsid w:val="00ED3511"/>
    <w:rsid w:val="00ED7BF8"/>
    <w:rsid w:val="00EE59D3"/>
    <w:rsid w:val="00EF3FCF"/>
    <w:rsid w:val="00F02C04"/>
    <w:rsid w:val="00F153A8"/>
    <w:rsid w:val="00F27783"/>
    <w:rsid w:val="00F62595"/>
    <w:rsid w:val="00F62CE2"/>
    <w:rsid w:val="00F63622"/>
    <w:rsid w:val="00F92CCF"/>
    <w:rsid w:val="00FB6FE2"/>
    <w:rsid w:val="00FC7276"/>
    <w:rsid w:val="00FE709F"/>
    <w:rsid w:val="01042CD0"/>
    <w:rsid w:val="012A6BDB"/>
    <w:rsid w:val="0159301C"/>
    <w:rsid w:val="01AF161E"/>
    <w:rsid w:val="01E925F2"/>
    <w:rsid w:val="02063A29"/>
    <w:rsid w:val="020E2058"/>
    <w:rsid w:val="020E3E20"/>
    <w:rsid w:val="02153159"/>
    <w:rsid w:val="02182B34"/>
    <w:rsid w:val="02306473"/>
    <w:rsid w:val="02462D91"/>
    <w:rsid w:val="0252249D"/>
    <w:rsid w:val="02587777"/>
    <w:rsid w:val="02785724"/>
    <w:rsid w:val="027C034F"/>
    <w:rsid w:val="02A209F3"/>
    <w:rsid w:val="02B56978"/>
    <w:rsid w:val="02B96468"/>
    <w:rsid w:val="02D760FC"/>
    <w:rsid w:val="02DE436B"/>
    <w:rsid w:val="02DF7EE5"/>
    <w:rsid w:val="02E35293"/>
    <w:rsid w:val="02ED0052"/>
    <w:rsid w:val="02EE59E6"/>
    <w:rsid w:val="03084CFA"/>
    <w:rsid w:val="0329013B"/>
    <w:rsid w:val="0341645D"/>
    <w:rsid w:val="034A5312"/>
    <w:rsid w:val="034C108A"/>
    <w:rsid w:val="034D31EF"/>
    <w:rsid w:val="03505A0D"/>
    <w:rsid w:val="03563CB7"/>
    <w:rsid w:val="03745576"/>
    <w:rsid w:val="039E69C8"/>
    <w:rsid w:val="03BD0069"/>
    <w:rsid w:val="03E312C3"/>
    <w:rsid w:val="03F62DA4"/>
    <w:rsid w:val="04035C6E"/>
    <w:rsid w:val="041D2A27"/>
    <w:rsid w:val="04553F6E"/>
    <w:rsid w:val="0462668B"/>
    <w:rsid w:val="048E0971"/>
    <w:rsid w:val="04AF49D6"/>
    <w:rsid w:val="04B80B05"/>
    <w:rsid w:val="04C86031"/>
    <w:rsid w:val="050B0AD1"/>
    <w:rsid w:val="052F3201"/>
    <w:rsid w:val="054933A7"/>
    <w:rsid w:val="05505B42"/>
    <w:rsid w:val="05557F9E"/>
    <w:rsid w:val="0558315F"/>
    <w:rsid w:val="057C19CF"/>
    <w:rsid w:val="057C377D"/>
    <w:rsid w:val="05B116D7"/>
    <w:rsid w:val="05B178CA"/>
    <w:rsid w:val="05B71CAA"/>
    <w:rsid w:val="05C02DD8"/>
    <w:rsid w:val="05FD1180"/>
    <w:rsid w:val="06031774"/>
    <w:rsid w:val="0608217B"/>
    <w:rsid w:val="06367DD0"/>
    <w:rsid w:val="064353BC"/>
    <w:rsid w:val="064E6EC7"/>
    <w:rsid w:val="065169B7"/>
    <w:rsid w:val="066047A0"/>
    <w:rsid w:val="06632833"/>
    <w:rsid w:val="066B7D8E"/>
    <w:rsid w:val="066F0A97"/>
    <w:rsid w:val="066F314B"/>
    <w:rsid w:val="067A5F0E"/>
    <w:rsid w:val="068E0F81"/>
    <w:rsid w:val="069A210C"/>
    <w:rsid w:val="06B31420"/>
    <w:rsid w:val="07253423"/>
    <w:rsid w:val="072F4F4B"/>
    <w:rsid w:val="073541E7"/>
    <w:rsid w:val="075C114A"/>
    <w:rsid w:val="076444C8"/>
    <w:rsid w:val="079052BE"/>
    <w:rsid w:val="07AB1C0E"/>
    <w:rsid w:val="07BE1E2B"/>
    <w:rsid w:val="07CB0785"/>
    <w:rsid w:val="07D21D7A"/>
    <w:rsid w:val="07E37D9A"/>
    <w:rsid w:val="07ED2710"/>
    <w:rsid w:val="081C404E"/>
    <w:rsid w:val="08395A9D"/>
    <w:rsid w:val="08493DEA"/>
    <w:rsid w:val="086249D1"/>
    <w:rsid w:val="088B388B"/>
    <w:rsid w:val="089A45ED"/>
    <w:rsid w:val="08B03E69"/>
    <w:rsid w:val="08BC67A7"/>
    <w:rsid w:val="08E1644B"/>
    <w:rsid w:val="08E3082D"/>
    <w:rsid w:val="08EE4992"/>
    <w:rsid w:val="09351D9B"/>
    <w:rsid w:val="0935436E"/>
    <w:rsid w:val="093A3733"/>
    <w:rsid w:val="09615163"/>
    <w:rsid w:val="097768EA"/>
    <w:rsid w:val="097924AD"/>
    <w:rsid w:val="09C53944"/>
    <w:rsid w:val="09D973F0"/>
    <w:rsid w:val="09E0003A"/>
    <w:rsid w:val="09E70F6F"/>
    <w:rsid w:val="0A11035C"/>
    <w:rsid w:val="0A12645E"/>
    <w:rsid w:val="0A407EA9"/>
    <w:rsid w:val="0A4340C7"/>
    <w:rsid w:val="0A4C0379"/>
    <w:rsid w:val="0A58241F"/>
    <w:rsid w:val="0A5C592B"/>
    <w:rsid w:val="0A5F04D2"/>
    <w:rsid w:val="0A6278BE"/>
    <w:rsid w:val="0A736B1F"/>
    <w:rsid w:val="0A73702A"/>
    <w:rsid w:val="0A794548"/>
    <w:rsid w:val="0A83110A"/>
    <w:rsid w:val="0AC51722"/>
    <w:rsid w:val="0AEE04D7"/>
    <w:rsid w:val="0B073AE9"/>
    <w:rsid w:val="0B112BB9"/>
    <w:rsid w:val="0B13248D"/>
    <w:rsid w:val="0B1A4D17"/>
    <w:rsid w:val="0B310B66"/>
    <w:rsid w:val="0B4C0A68"/>
    <w:rsid w:val="0B5703F8"/>
    <w:rsid w:val="0B61144B"/>
    <w:rsid w:val="0B6E6E17"/>
    <w:rsid w:val="0B8C18E5"/>
    <w:rsid w:val="0BF30924"/>
    <w:rsid w:val="0C501C4D"/>
    <w:rsid w:val="0C5C1C12"/>
    <w:rsid w:val="0C5C329C"/>
    <w:rsid w:val="0C903E12"/>
    <w:rsid w:val="0CAD246E"/>
    <w:rsid w:val="0CC73E81"/>
    <w:rsid w:val="0CD810CA"/>
    <w:rsid w:val="0CE802C6"/>
    <w:rsid w:val="0CE95B9C"/>
    <w:rsid w:val="0CF0376C"/>
    <w:rsid w:val="0CF60887"/>
    <w:rsid w:val="0D093F6D"/>
    <w:rsid w:val="0D156991"/>
    <w:rsid w:val="0D173089"/>
    <w:rsid w:val="0D1F7E11"/>
    <w:rsid w:val="0D3C46EF"/>
    <w:rsid w:val="0D553231"/>
    <w:rsid w:val="0D7A6862"/>
    <w:rsid w:val="0D7D0092"/>
    <w:rsid w:val="0D7F205C"/>
    <w:rsid w:val="0D95026F"/>
    <w:rsid w:val="0DA02847"/>
    <w:rsid w:val="0DBA7538"/>
    <w:rsid w:val="0DCF1999"/>
    <w:rsid w:val="0DF6763A"/>
    <w:rsid w:val="0E0F1632"/>
    <w:rsid w:val="0E124C7E"/>
    <w:rsid w:val="0E391CB9"/>
    <w:rsid w:val="0E74171F"/>
    <w:rsid w:val="0E772D33"/>
    <w:rsid w:val="0ECC307F"/>
    <w:rsid w:val="0F5117D6"/>
    <w:rsid w:val="0F673E04"/>
    <w:rsid w:val="0F752787"/>
    <w:rsid w:val="0F980DCA"/>
    <w:rsid w:val="0FA23720"/>
    <w:rsid w:val="0FB76291"/>
    <w:rsid w:val="0FF71CD5"/>
    <w:rsid w:val="1025513D"/>
    <w:rsid w:val="10323F2E"/>
    <w:rsid w:val="10394744"/>
    <w:rsid w:val="105772C0"/>
    <w:rsid w:val="10632C1E"/>
    <w:rsid w:val="10667B54"/>
    <w:rsid w:val="107322DE"/>
    <w:rsid w:val="10B003FB"/>
    <w:rsid w:val="10DE2BA3"/>
    <w:rsid w:val="10E61A7C"/>
    <w:rsid w:val="11480820"/>
    <w:rsid w:val="118E0AC0"/>
    <w:rsid w:val="118E2439"/>
    <w:rsid w:val="1191235E"/>
    <w:rsid w:val="119B31DD"/>
    <w:rsid w:val="11A43DCD"/>
    <w:rsid w:val="11BC6736"/>
    <w:rsid w:val="11ED1C8A"/>
    <w:rsid w:val="1230106A"/>
    <w:rsid w:val="12333415"/>
    <w:rsid w:val="126F0794"/>
    <w:rsid w:val="1299771C"/>
    <w:rsid w:val="12B169D2"/>
    <w:rsid w:val="12BD2313"/>
    <w:rsid w:val="12C80001"/>
    <w:rsid w:val="12CF1390"/>
    <w:rsid w:val="12D149BF"/>
    <w:rsid w:val="12D6271E"/>
    <w:rsid w:val="12EB7145"/>
    <w:rsid w:val="13034356"/>
    <w:rsid w:val="13107532"/>
    <w:rsid w:val="134F3061"/>
    <w:rsid w:val="136A10B9"/>
    <w:rsid w:val="136E4E6B"/>
    <w:rsid w:val="13992BE4"/>
    <w:rsid w:val="13C93C38"/>
    <w:rsid w:val="14001CB6"/>
    <w:rsid w:val="1448243C"/>
    <w:rsid w:val="14757D15"/>
    <w:rsid w:val="147E306D"/>
    <w:rsid w:val="14861F22"/>
    <w:rsid w:val="14905650"/>
    <w:rsid w:val="14952165"/>
    <w:rsid w:val="149F305C"/>
    <w:rsid w:val="14B922F8"/>
    <w:rsid w:val="14C32F3D"/>
    <w:rsid w:val="14C52A4A"/>
    <w:rsid w:val="14C8078D"/>
    <w:rsid w:val="14E920D5"/>
    <w:rsid w:val="1501595F"/>
    <w:rsid w:val="1507602B"/>
    <w:rsid w:val="15164395"/>
    <w:rsid w:val="15455939"/>
    <w:rsid w:val="15562BB2"/>
    <w:rsid w:val="15785DD1"/>
    <w:rsid w:val="158B39FF"/>
    <w:rsid w:val="158F3058"/>
    <w:rsid w:val="15A773A9"/>
    <w:rsid w:val="15CA22E2"/>
    <w:rsid w:val="15F335E7"/>
    <w:rsid w:val="160144DE"/>
    <w:rsid w:val="161A0B74"/>
    <w:rsid w:val="16231C6D"/>
    <w:rsid w:val="16337E88"/>
    <w:rsid w:val="16500A3A"/>
    <w:rsid w:val="16674D4D"/>
    <w:rsid w:val="167F3757"/>
    <w:rsid w:val="16877E1D"/>
    <w:rsid w:val="1689096D"/>
    <w:rsid w:val="16916D33"/>
    <w:rsid w:val="169F551D"/>
    <w:rsid w:val="16BA4105"/>
    <w:rsid w:val="16BF796D"/>
    <w:rsid w:val="16CE7486"/>
    <w:rsid w:val="16EA52F3"/>
    <w:rsid w:val="16F47617"/>
    <w:rsid w:val="16F5513D"/>
    <w:rsid w:val="170548AF"/>
    <w:rsid w:val="171952CF"/>
    <w:rsid w:val="172C22D2"/>
    <w:rsid w:val="17373345"/>
    <w:rsid w:val="174340FA"/>
    <w:rsid w:val="176522C3"/>
    <w:rsid w:val="17716EB9"/>
    <w:rsid w:val="177E7FDA"/>
    <w:rsid w:val="179B5CE4"/>
    <w:rsid w:val="17EC4792"/>
    <w:rsid w:val="17F2759D"/>
    <w:rsid w:val="18297794"/>
    <w:rsid w:val="18381785"/>
    <w:rsid w:val="18550589"/>
    <w:rsid w:val="185575B7"/>
    <w:rsid w:val="18694035"/>
    <w:rsid w:val="187A1D9E"/>
    <w:rsid w:val="1881312C"/>
    <w:rsid w:val="188B28F3"/>
    <w:rsid w:val="18BF5A03"/>
    <w:rsid w:val="18DA0A8E"/>
    <w:rsid w:val="18E67433"/>
    <w:rsid w:val="19017DC9"/>
    <w:rsid w:val="190B6E9A"/>
    <w:rsid w:val="192561AE"/>
    <w:rsid w:val="19262C77"/>
    <w:rsid w:val="192C753C"/>
    <w:rsid w:val="19301650"/>
    <w:rsid w:val="194B0BB5"/>
    <w:rsid w:val="195E478D"/>
    <w:rsid w:val="196547FC"/>
    <w:rsid w:val="19673136"/>
    <w:rsid w:val="19721122"/>
    <w:rsid w:val="198206C5"/>
    <w:rsid w:val="19AC41D9"/>
    <w:rsid w:val="19C9248F"/>
    <w:rsid w:val="1A056699"/>
    <w:rsid w:val="1A07140F"/>
    <w:rsid w:val="1A13438A"/>
    <w:rsid w:val="1A166F21"/>
    <w:rsid w:val="1A5D6FC6"/>
    <w:rsid w:val="1A826FA3"/>
    <w:rsid w:val="1A9544D2"/>
    <w:rsid w:val="1A9609E5"/>
    <w:rsid w:val="1A9A2283"/>
    <w:rsid w:val="1AA41559"/>
    <w:rsid w:val="1AB377E9"/>
    <w:rsid w:val="1AD75285"/>
    <w:rsid w:val="1AEB6F83"/>
    <w:rsid w:val="1B1008B4"/>
    <w:rsid w:val="1B2D759B"/>
    <w:rsid w:val="1B505038"/>
    <w:rsid w:val="1B6F54BE"/>
    <w:rsid w:val="1B943177"/>
    <w:rsid w:val="1BA07D6D"/>
    <w:rsid w:val="1BAC0B26"/>
    <w:rsid w:val="1BAF14BC"/>
    <w:rsid w:val="1BB76E65"/>
    <w:rsid w:val="1BD42832"/>
    <w:rsid w:val="1C042546"/>
    <w:rsid w:val="1C13053F"/>
    <w:rsid w:val="1C202C5C"/>
    <w:rsid w:val="1C415CB4"/>
    <w:rsid w:val="1C420E24"/>
    <w:rsid w:val="1C5D1630"/>
    <w:rsid w:val="1CAB4C1C"/>
    <w:rsid w:val="1CD26377"/>
    <w:rsid w:val="1CD56CF1"/>
    <w:rsid w:val="1CE07154"/>
    <w:rsid w:val="1D1502E7"/>
    <w:rsid w:val="1D181B85"/>
    <w:rsid w:val="1D1A58FD"/>
    <w:rsid w:val="1DA04055"/>
    <w:rsid w:val="1DA63635"/>
    <w:rsid w:val="1DAC109D"/>
    <w:rsid w:val="1DAD687C"/>
    <w:rsid w:val="1E116D00"/>
    <w:rsid w:val="1E5866DD"/>
    <w:rsid w:val="1E7B23CC"/>
    <w:rsid w:val="1EA971C9"/>
    <w:rsid w:val="1EBA1E7C"/>
    <w:rsid w:val="1EC45B21"/>
    <w:rsid w:val="1EDB662C"/>
    <w:rsid w:val="1EDC3A10"/>
    <w:rsid w:val="1EFE3BDC"/>
    <w:rsid w:val="1F15123E"/>
    <w:rsid w:val="1F39456E"/>
    <w:rsid w:val="1F525822"/>
    <w:rsid w:val="1F690978"/>
    <w:rsid w:val="1F9A4AD4"/>
    <w:rsid w:val="1FBF5B37"/>
    <w:rsid w:val="1FC85AE5"/>
    <w:rsid w:val="1FC97167"/>
    <w:rsid w:val="1FD53D5E"/>
    <w:rsid w:val="1FF269E9"/>
    <w:rsid w:val="20154307"/>
    <w:rsid w:val="201605FE"/>
    <w:rsid w:val="201E3957"/>
    <w:rsid w:val="20290075"/>
    <w:rsid w:val="202D4E75"/>
    <w:rsid w:val="203F19EB"/>
    <w:rsid w:val="204F1D62"/>
    <w:rsid w:val="20541126"/>
    <w:rsid w:val="20564E9E"/>
    <w:rsid w:val="2071344C"/>
    <w:rsid w:val="20747B4D"/>
    <w:rsid w:val="207A52F7"/>
    <w:rsid w:val="207D39A8"/>
    <w:rsid w:val="209314E2"/>
    <w:rsid w:val="20B608E8"/>
    <w:rsid w:val="20B6593D"/>
    <w:rsid w:val="20BA224F"/>
    <w:rsid w:val="20BB498C"/>
    <w:rsid w:val="20E97AC1"/>
    <w:rsid w:val="20EC135F"/>
    <w:rsid w:val="21194E10"/>
    <w:rsid w:val="2144679B"/>
    <w:rsid w:val="2146341B"/>
    <w:rsid w:val="216435EB"/>
    <w:rsid w:val="21997739"/>
    <w:rsid w:val="21B225A8"/>
    <w:rsid w:val="22314442"/>
    <w:rsid w:val="22370D00"/>
    <w:rsid w:val="223E5BEA"/>
    <w:rsid w:val="22426757"/>
    <w:rsid w:val="225278E7"/>
    <w:rsid w:val="22634F54"/>
    <w:rsid w:val="22765384"/>
    <w:rsid w:val="2290739E"/>
    <w:rsid w:val="229A6529"/>
    <w:rsid w:val="22A75E85"/>
    <w:rsid w:val="22B3482A"/>
    <w:rsid w:val="2302130E"/>
    <w:rsid w:val="2309444A"/>
    <w:rsid w:val="23273EDB"/>
    <w:rsid w:val="23383F4A"/>
    <w:rsid w:val="2351194D"/>
    <w:rsid w:val="237372D3"/>
    <w:rsid w:val="23A93537"/>
    <w:rsid w:val="23B02AC5"/>
    <w:rsid w:val="23CD36CA"/>
    <w:rsid w:val="23CE7442"/>
    <w:rsid w:val="23E74D01"/>
    <w:rsid w:val="23F85131"/>
    <w:rsid w:val="23F97DC5"/>
    <w:rsid w:val="24027EA4"/>
    <w:rsid w:val="24034ABC"/>
    <w:rsid w:val="240A4F7E"/>
    <w:rsid w:val="245B6F27"/>
    <w:rsid w:val="245D7789"/>
    <w:rsid w:val="24784188"/>
    <w:rsid w:val="248F4E23"/>
    <w:rsid w:val="24B14D99"/>
    <w:rsid w:val="24D64800"/>
    <w:rsid w:val="24DB0068"/>
    <w:rsid w:val="24F274DB"/>
    <w:rsid w:val="250E38DE"/>
    <w:rsid w:val="25162E4E"/>
    <w:rsid w:val="25381975"/>
    <w:rsid w:val="253F604F"/>
    <w:rsid w:val="25453733"/>
    <w:rsid w:val="255317A3"/>
    <w:rsid w:val="255B711D"/>
    <w:rsid w:val="25624044"/>
    <w:rsid w:val="25B568B7"/>
    <w:rsid w:val="25D3353D"/>
    <w:rsid w:val="25D36F91"/>
    <w:rsid w:val="26084E8D"/>
    <w:rsid w:val="26301CEE"/>
    <w:rsid w:val="26347F70"/>
    <w:rsid w:val="26773DC1"/>
    <w:rsid w:val="26802C75"/>
    <w:rsid w:val="268645B8"/>
    <w:rsid w:val="269E6B35"/>
    <w:rsid w:val="26AB5818"/>
    <w:rsid w:val="26B10A57"/>
    <w:rsid w:val="26B24ECD"/>
    <w:rsid w:val="26BD5C77"/>
    <w:rsid w:val="26CA10B6"/>
    <w:rsid w:val="26D11723"/>
    <w:rsid w:val="26F14A70"/>
    <w:rsid w:val="26FB4527"/>
    <w:rsid w:val="270F1F26"/>
    <w:rsid w:val="271708CB"/>
    <w:rsid w:val="274F4E85"/>
    <w:rsid w:val="277E7CBB"/>
    <w:rsid w:val="27840543"/>
    <w:rsid w:val="27962024"/>
    <w:rsid w:val="279B63E0"/>
    <w:rsid w:val="279C283D"/>
    <w:rsid w:val="27A26C1B"/>
    <w:rsid w:val="27C70430"/>
    <w:rsid w:val="27CC6DA0"/>
    <w:rsid w:val="27D72D69"/>
    <w:rsid w:val="27DE34BA"/>
    <w:rsid w:val="27EB05C2"/>
    <w:rsid w:val="28062CFA"/>
    <w:rsid w:val="280D678A"/>
    <w:rsid w:val="28425D08"/>
    <w:rsid w:val="284952E9"/>
    <w:rsid w:val="284D302B"/>
    <w:rsid w:val="28616AD6"/>
    <w:rsid w:val="288D00A8"/>
    <w:rsid w:val="28955786"/>
    <w:rsid w:val="28A736DD"/>
    <w:rsid w:val="28B5297E"/>
    <w:rsid w:val="28C3509B"/>
    <w:rsid w:val="28D948BF"/>
    <w:rsid w:val="28E258CA"/>
    <w:rsid w:val="2905610A"/>
    <w:rsid w:val="293D4E4D"/>
    <w:rsid w:val="2940049A"/>
    <w:rsid w:val="29451F54"/>
    <w:rsid w:val="296D5007"/>
    <w:rsid w:val="29773D99"/>
    <w:rsid w:val="29A053DC"/>
    <w:rsid w:val="29BB5D72"/>
    <w:rsid w:val="29CF181E"/>
    <w:rsid w:val="29F80D74"/>
    <w:rsid w:val="29FF0355"/>
    <w:rsid w:val="2A2D71DA"/>
    <w:rsid w:val="2A3A313B"/>
    <w:rsid w:val="2A447544"/>
    <w:rsid w:val="2A473D75"/>
    <w:rsid w:val="2A68553E"/>
    <w:rsid w:val="2A742AF1"/>
    <w:rsid w:val="2AAF268D"/>
    <w:rsid w:val="2AC50758"/>
    <w:rsid w:val="2AE4263A"/>
    <w:rsid w:val="2B083239"/>
    <w:rsid w:val="2B296F32"/>
    <w:rsid w:val="2B312790"/>
    <w:rsid w:val="2B3D7387"/>
    <w:rsid w:val="2B404781"/>
    <w:rsid w:val="2B6F355D"/>
    <w:rsid w:val="2BAA2542"/>
    <w:rsid w:val="2BC14629"/>
    <w:rsid w:val="2BC9342B"/>
    <w:rsid w:val="2BE912BD"/>
    <w:rsid w:val="2BF03C6C"/>
    <w:rsid w:val="2C0A4D8F"/>
    <w:rsid w:val="2C0D5453"/>
    <w:rsid w:val="2C0F23A5"/>
    <w:rsid w:val="2C3B1021"/>
    <w:rsid w:val="2C433803"/>
    <w:rsid w:val="2C8B2374"/>
    <w:rsid w:val="2CC47634"/>
    <w:rsid w:val="2CFA3055"/>
    <w:rsid w:val="2D1B36F8"/>
    <w:rsid w:val="2D4D13D7"/>
    <w:rsid w:val="2D940467"/>
    <w:rsid w:val="2DA45090"/>
    <w:rsid w:val="2DAF3E40"/>
    <w:rsid w:val="2DBD5B82"/>
    <w:rsid w:val="2DD12008"/>
    <w:rsid w:val="2DD80BB4"/>
    <w:rsid w:val="2DD815E9"/>
    <w:rsid w:val="2DDD6BFF"/>
    <w:rsid w:val="2DE14B3C"/>
    <w:rsid w:val="2E0028ED"/>
    <w:rsid w:val="2E071E2B"/>
    <w:rsid w:val="2E3A7BAD"/>
    <w:rsid w:val="2E3F51C4"/>
    <w:rsid w:val="2E6609A2"/>
    <w:rsid w:val="2E6B37C5"/>
    <w:rsid w:val="2E80240D"/>
    <w:rsid w:val="2E8C4181"/>
    <w:rsid w:val="2ECA0341"/>
    <w:rsid w:val="2ED73B31"/>
    <w:rsid w:val="2EDE37C1"/>
    <w:rsid w:val="2EF27E36"/>
    <w:rsid w:val="2EF50845"/>
    <w:rsid w:val="2F4A02C4"/>
    <w:rsid w:val="2F6D5D61"/>
    <w:rsid w:val="2F77098D"/>
    <w:rsid w:val="2F942728"/>
    <w:rsid w:val="2F963509"/>
    <w:rsid w:val="2F990904"/>
    <w:rsid w:val="2FD14541"/>
    <w:rsid w:val="2FE054C3"/>
    <w:rsid w:val="2FE32757"/>
    <w:rsid w:val="2FFD5337"/>
    <w:rsid w:val="30146FE3"/>
    <w:rsid w:val="30185E7D"/>
    <w:rsid w:val="303D3985"/>
    <w:rsid w:val="308A2D54"/>
    <w:rsid w:val="309158F8"/>
    <w:rsid w:val="30D62BFB"/>
    <w:rsid w:val="30DF4A3C"/>
    <w:rsid w:val="313308E4"/>
    <w:rsid w:val="31434FCB"/>
    <w:rsid w:val="31440D43"/>
    <w:rsid w:val="31873192"/>
    <w:rsid w:val="31901955"/>
    <w:rsid w:val="319677F1"/>
    <w:rsid w:val="319C46DB"/>
    <w:rsid w:val="319D0BD2"/>
    <w:rsid w:val="31AB491E"/>
    <w:rsid w:val="31F15752"/>
    <w:rsid w:val="3253123E"/>
    <w:rsid w:val="327A1FB1"/>
    <w:rsid w:val="328F3799"/>
    <w:rsid w:val="32B1065A"/>
    <w:rsid w:val="32B55A55"/>
    <w:rsid w:val="32BA750F"/>
    <w:rsid w:val="32D34D0A"/>
    <w:rsid w:val="32DB3E3E"/>
    <w:rsid w:val="3307027A"/>
    <w:rsid w:val="331C3EA0"/>
    <w:rsid w:val="33274478"/>
    <w:rsid w:val="333077D1"/>
    <w:rsid w:val="3333106F"/>
    <w:rsid w:val="335E63FA"/>
    <w:rsid w:val="33610C50"/>
    <w:rsid w:val="33686F6B"/>
    <w:rsid w:val="33766B6D"/>
    <w:rsid w:val="337A427D"/>
    <w:rsid w:val="33F23A3C"/>
    <w:rsid w:val="33FE342B"/>
    <w:rsid w:val="34056B80"/>
    <w:rsid w:val="3431735D"/>
    <w:rsid w:val="345474EF"/>
    <w:rsid w:val="345D45F6"/>
    <w:rsid w:val="347656B7"/>
    <w:rsid w:val="347E582B"/>
    <w:rsid w:val="349A13A6"/>
    <w:rsid w:val="34CE72A2"/>
    <w:rsid w:val="350D601C"/>
    <w:rsid w:val="35121A53"/>
    <w:rsid w:val="35537B13"/>
    <w:rsid w:val="356C7D94"/>
    <w:rsid w:val="35904557"/>
    <w:rsid w:val="35961297"/>
    <w:rsid w:val="359F00D9"/>
    <w:rsid w:val="35A3428A"/>
    <w:rsid w:val="35AF7BFD"/>
    <w:rsid w:val="35B51BB9"/>
    <w:rsid w:val="35CA2D8A"/>
    <w:rsid w:val="35EE7EFB"/>
    <w:rsid w:val="362D624A"/>
    <w:rsid w:val="362D7FF8"/>
    <w:rsid w:val="36625EF3"/>
    <w:rsid w:val="366E3EBB"/>
    <w:rsid w:val="36932551"/>
    <w:rsid w:val="36A6565A"/>
    <w:rsid w:val="36AE1139"/>
    <w:rsid w:val="36C25076"/>
    <w:rsid w:val="36D34C93"/>
    <w:rsid w:val="36EF0C24"/>
    <w:rsid w:val="36FA4102"/>
    <w:rsid w:val="37225683"/>
    <w:rsid w:val="37607601"/>
    <w:rsid w:val="37773C20"/>
    <w:rsid w:val="377A726D"/>
    <w:rsid w:val="378105FB"/>
    <w:rsid w:val="378759F2"/>
    <w:rsid w:val="37B3277F"/>
    <w:rsid w:val="37D8447F"/>
    <w:rsid w:val="37E939E8"/>
    <w:rsid w:val="37F12DCE"/>
    <w:rsid w:val="37F314FF"/>
    <w:rsid w:val="37FB3CA2"/>
    <w:rsid w:val="38066D52"/>
    <w:rsid w:val="380F20AB"/>
    <w:rsid w:val="38160F77"/>
    <w:rsid w:val="38262F51"/>
    <w:rsid w:val="382B7AA1"/>
    <w:rsid w:val="38465505"/>
    <w:rsid w:val="385B23AF"/>
    <w:rsid w:val="385C4BC4"/>
    <w:rsid w:val="385E7CB1"/>
    <w:rsid w:val="38D637AC"/>
    <w:rsid w:val="38E56968"/>
    <w:rsid w:val="38EF3C8A"/>
    <w:rsid w:val="39225E0E"/>
    <w:rsid w:val="394C2E8B"/>
    <w:rsid w:val="394D1BF9"/>
    <w:rsid w:val="39590C0B"/>
    <w:rsid w:val="395A04DE"/>
    <w:rsid w:val="39641F82"/>
    <w:rsid w:val="39785A2E"/>
    <w:rsid w:val="39861EF9"/>
    <w:rsid w:val="39AE76A2"/>
    <w:rsid w:val="39C62B5F"/>
    <w:rsid w:val="3A0472C2"/>
    <w:rsid w:val="3A2135E5"/>
    <w:rsid w:val="3A2E277F"/>
    <w:rsid w:val="3A570123"/>
    <w:rsid w:val="3A6164C2"/>
    <w:rsid w:val="3A640C99"/>
    <w:rsid w:val="3A6A7A6C"/>
    <w:rsid w:val="3AA12D62"/>
    <w:rsid w:val="3AD2116E"/>
    <w:rsid w:val="3AD273C0"/>
    <w:rsid w:val="3ADB0022"/>
    <w:rsid w:val="3AE0388B"/>
    <w:rsid w:val="3B0C28D2"/>
    <w:rsid w:val="3B1F0857"/>
    <w:rsid w:val="3B3137EE"/>
    <w:rsid w:val="3B4A4D6D"/>
    <w:rsid w:val="3B630ADC"/>
    <w:rsid w:val="3B6C511E"/>
    <w:rsid w:val="3B783AC3"/>
    <w:rsid w:val="3B84690C"/>
    <w:rsid w:val="3BAE5737"/>
    <w:rsid w:val="3BC62A80"/>
    <w:rsid w:val="3BDA652C"/>
    <w:rsid w:val="3BDD35C8"/>
    <w:rsid w:val="3BFA097C"/>
    <w:rsid w:val="3C081B09"/>
    <w:rsid w:val="3C133BE8"/>
    <w:rsid w:val="3C282F8D"/>
    <w:rsid w:val="3C2C19C7"/>
    <w:rsid w:val="3C2C658B"/>
    <w:rsid w:val="3C335700"/>
    <w:rsid w:val="3C6109FB"/>
    <w:rsid w:val="3C687FDC"/>
    <w:rsid w:val="3C9C72D2"/>
    <w:rsid w:val="3C9D5F43"/>
    <w:rsid w:val="3CA52FDE"/>
    <w:rsid w:val="3CB13731"/>
    <w:rsid w:val="3CBA2358"/>
    <w:rsid w:val="3CE533DA"/>
    <w:rsid w:val="3CF47AC1"/>
    <w:rsid w:val="3D006B03"/>
    <w:rsid w:val="3D112421"/>
    <w:rsid w:val="3D155618"/>
    <w:rsid w:val="3D1B1E00"/>
    <w:rsid w:val="3D31661F"/>
    <w:rsid w:val="3D7D7474"/>
    <w:rsid w:val="3D874491"/>
    <w:rsid w:val="3D9A2417"/>
    <w:rsid w:val="3DA1059A"/>
    <w:rsid w:val="3DA75269"/>
    <w:rsid w:val="3E0E070F"/>
    <w:rsid w:val="3E412892"/>
    <w:rsid w:val="3E595E2E"/>
    <w:rsid w:val="3E6966F9"/>
    <w:rsid w:val="3E86299B"/>
    <w:rsid w:val="3E9A0D9A"/>
    <w:rsid w:val="3EEA4C89"/>
    <w:rsid w:val="3F0006E1"/>
    <w:rsid w:val="3F010A95"/>
    <w:rsid w:val="3F165ACD"/>
    <w:rsid w:val="3F3217C5"/>
    <w:rsid w:val="3F343F8B"/>
    <w:rsid w:val="3F357D32"/>
    <w:rsid w:val="3F3643C1"/>
    <w:rsid w:val="3F3D5750"/>
    <w:rsid w:val="3F6820A1"/>
    <w:rsid w:val="3F6C40C7"/>
    <w:rsid w:val="3F8B7A75"/>
    <w:rsid w:val="3F902B34"/>
    <w:rsid w:val="3FDC1723"/>
    <w:rsid w:val="3FDC68B5"/>
    <w:rsid w:val="3FDD2A8F"/>
    <w:rsid w:val="3FEB76E8"/>
    <w:rsid w:val="3FF014E1"/>
    <w:rsid w:val="400159D5"/>
    <w:rsid w:val="402B1CBF"/>
    <w:rsid w:val="402C2DD4"/>
    <w:rsid w:val="4077259B"/>
    <w:rsid w:val="409E3FA3"/>
    <w:rsid w:val="40AC66A7"/>
    <w:rsid w:val="40B530C4"/>
    <w:rsid w:val="40D2307A"/>
    <w:rsid w:val="40E7086E"/>
    <w:rsid w:val="410518CC"/>
    <w:rsid w:val="410704FD"/>
    <w:rsid w:val="41087E76"/>
    <w:rsid w:val="41137238"/>
    <w:rsid w:val="41366543"/>
    <w:rsid w:val="41393CF5"/>
    <w:rsid w:val="413A424B"/>
    <w:rsid w:val="413C1FD5"/>
    <w:rsid w:val="417C1E33"/>
    <w:rsid w:val="41CE1C03"/>
    <w:rsid w:val="41DD0B24"/>
    <w:rsid w:val="41DF2AEE"/>
    <w:rsid w:val="41EC0D67"/>
    <w:rsid w:val="41FD11C6"/>
    <w:rsid w:val="42097E71"/>
    <w:rsid w:val="42203414"/>
    <w:rsid w:val="42332E3A"/>
    <w:rsid w:val="423826AC"/>
    <w:rsid w:val="42446DF5"/>
    <w:rsid w:val="42553F22"/>
    <w:rsid w:val="42621029"/>
    <w:rsid w:val="4279637A"/>
    <w:rsid w:val="42982C9D"/>
    <w:rsid w:val="429A6A15"/>
    <w:rsid w:val="42A43A7E"/>
    <w:rsid w:val="42AE24C0"/>
    <w:rsid w:val="42BC4BDD"/>
    <w:rsid w:val="42BC78A3"/>
    <w:rsid w:val="42CD0B98"/>
    <w:rsid w:val="42CF2B62"/>
    <w:rsid w:val="42DE6972"/>
    <w:rsid w:val="42E5412D"/>
    <w:rsid w:val="42F500EF"/>
    <w:rsid w:val="42FB3958"/>
    <w:rsid w:val="43056584"/>
    <w:rsid w:val="43572B58"/>
    <w:rsid w:val="435B2648"/>
    <w:rsid w:val="436A4F74"/>
    <w:rsid w:val="43884ABF"/>
    <w:rsid w:val="43885CDB"/>
    <w:rsid w:val="43B0526E"/>
    <w:rsid w:val="43D61CCF"/>
    <w:rsid w:val="43DC6E42"/>
    <w:rsid w:val="43FB3B13"/>
    <w:rsid w:val="441D4560"/>
    <w:rsid w:val="441E71D2"/>
    <w:rsid w:val="443609BF"/>
    <w:rsid w:val="445A46AE"/>
    <w:rsid w:val="446217B4"/>
    <w:rsid w:val="449E163A"/>
    <w:rsid w:val="44B55D88"/>
    <w:rsid w:val="44BC7116"/>
    <w:rsid w:val="44F46F2A"/>
    <w:rsid w:val="44F85C75"/>
    <w:rsid w:val="44FE772F"/>
    <w:rsid w:val="450F2E81"/>
    <w:rsid w:val="45582B8D"/>
    <w:rsid w:val="456B28EB"/>
    <w:rsid w:val="456E3B1B"/>
    <w:rsid w:val="45813803"/>
    <w:rsid w:val="45A2681A"/>
    <w:rsid w:val="45A31698"/>
    <w:rsid w:val="45C97783"/>
    <w:rsid w:val="45F34DBA"/>
    <w:rsid w:val="45F65779"/>
    <w:rsid w:val="45F81B71"/>
    <w:rsid w:val="46184820"/>
    <w:rsid w:val="46192347"/>
    <w:rsid w:val="461F6030"/>
    <w:rsid w:val="462A4554"/>
    <w:rsid w:val="463751C3"/>
    <w:rsid w:val="464A0752"/>
    <w:rsid w:val="46511AD3"/>
    <w:rsid w:val="46565349"/>
    <w:rsid w:val="46912470"/>
    <w:rsid w:val="469519CD"/>
    <w:rsid w:val="46A2058E"/>
    <w:rsid w:val="46C10A14"/>
    <w:rsid w:val="46D149CF"/>
    <w:rsid w:val="46D85D5E"/>
    <w:rsid w:val="47052789"/>
    <w:rsid w:val="47097FE1"/>
    <w:rsid w:val="47225584"/>
    <w:rsid w:val="47356D0C"/>
    <w:rsid w:val="47533C08"/>
    <w:rsid w:val="47615D53"/>
    <w:rsid w:val="47977DAD"/>
    <w:rsid w:val="479B3F18"/>
    <w:rsid w:val="47C06F1E"/>
    <w:rsid w:val="47F646ED"/>
    <w:rsid w:val="480908C5"/>
    <w:rsid w:val="48292C71"/>
    <w:rsid w:val="484B78FD"/>
    <w:rsid w:val="485215F2"/>
    <w:rsid w:val="487B2E45"/>
    <w:rsid w:val="487D6BBD"/>
    <w:rsid w:val="489B1E77"/>
    <w:rsid w:val="48AB4F19"/>
    <w:rsid w:val="48DB38E3"/>
    <w:rsid w:val="48F826E7"/>
    <w:rsid w:val="48FD7CFE"/>
    <w:rsid w:val="4900334A"/>
    <w:rsid w:val="490177EE"/>
    <w:rsid w:val="49064E04"/>
    <w:rsid w:val="49276B29"/>
    <w:rsid w:val="49301E81"/>
    <w:rsid w:val="49612CAC"/>
    <w:rsid w:val="49973CAE"/>
    <w:rsid w:val="49A23E35"/>
    <w:rsid w:val="49A5315F"/>
    <w:rsid w:val="49B56A23"/>
    <w:rsid w:val="49B91E77"/>
    <w:rsid w:val="49C71144"/>
    <w:rsid w:val="4A2B43F6"/>
    <w:rsid w:val="4A5926BA"/>
    <w:rsid w:val="4A67328F"/>
    <w:rsid w:val="4A745D9D"/>
    <w:rsid w:val="4A8C758B"/>
    <w:rsid w:val="4A8E50B1"/>
    <w:rsid w:val="4AC40AD3"/>
    <w:rsid w:val="4AC43EE5"/>
    <w:rsid w:val="4ADF495F"/>
    <w:rsid w:val="4AEF4757"/>
    <w:rsid w:val="4B266C8B"/>
    <w:rsid w:val="4B2F2F7F"/>
    <w:rsid w:val="4B5D55A6"/>
    <w:rsid w:val="4B5E753C"/>
    <w:rsid w:val="4B751DCD"/>
    <w:rsid w:val="4B8135A2"/>
    <w:rsid w:val="4B9009B5"/>
    <w:rsid w:val="4BAB57EF"/>
    <w:rsid w:val="4BCE04A9"/>
    <w:rsid w:val="4BF90C50"/>
    <w:rsid w:val="4C050DBC"/>
    <w:rsid w:val="4C092578"/>
    <w:rsid w:val="4C2C4B82"/>
    <w:rsid w:val="4C4C4513"/>
    <w:rsid w:val="4C5172BA"/>
    <w:rsid w:val="4C567E51"/>
    <w:rsid w:val="4C5B5523"/>
    <w:rsid w:val="4C5E0AB3"/>
    <w:rsid w:val="4CC56D84"/>
    <w:rsid w:val="4CC85D4A"/>
    <w:rsid w:val="4CD15729"/>
    <w:rsid w:val="4D1B69A4"/>
    <w:rsid w:val="4DB43081"/>
    <w:rsid w:val="4DB4492B"/>
    <w:rsid w:val="4DBF5582"/>
    <w:rsid w:val="4DD778F1"/>
    <w:rsid w:val="4DDB460E"/>
    <w:rsid w:val="4DE3713E"/>
    <w:rsid w:val="4E08517B"/>
    <w:rsid w:val="4E1F797E"/>
    <w:rsid w:val="4E3221F7"/>
    <w:rsid w:val="4E3C4E24"/>
    <w:rsid w:val="4E9B1D9D"/>
    <w:rsid w:val="4EB53382"/>
    <w:rsid w:val="4EFD3F05"/>
    <w:rsid w:val="4F251D5C"/>
    <w:rsid w:val="4F3E697A"/>
    <w:rsid w:val="4F5C39D0"/>
    <w:rsid w:val="4F640C8F"/>
    <w:rsid w:val="4F8A396B"/>
    <w:rsid w:val="4F8B0424"/>
    <w:rsid w:val="4FA2515B"/>
    <w:rsid w:val="4FA709C3"/>
    <w:rsid w:val="4FC92043"/>
    <w:rsid w:val="4FF05EC6"/>
    <w:rsid w:val="4FF5172F"/>
    <w:rsid w:val="502560C3"/>
    <w:rsid w:val="503A47CC"/>
    <w:rsid w:val="50613100"/>
    <w:rsid w:val="5062024B"/>
    <w:rsid w:val="50730499"/>
    <w:rsid w:val="507A4C0D"/>
    <w:rsid w:val="50852AB2"/>
    <w:rsid w:val="50F40046"/>
    <w:rsid w:val="50F737BC"/>
    <w:rsid w:val="510C013D"/>
    <w:rsid w:val="51142EED"/>
    <w:rsid w:val="512A0F76"/>
    <w:rsid w:val="514348D9"/>
    <w:rsid w:val="51595CED"/>
    <w:rsid w:val="5180327A"/>
    <w:rsid w:val="518E3324"/>
    <w:rsid w:val="51A72EFC"/>
    <w:rsid w:val="51AE7DE7"/>
    <w:rsid w:val="51E618C3"/>
    <w:rsid w:val="51FF74EE"/>
    <w:rsid w:val="520B4247"/>
    <w:rsid w:val="521560B8"/>
    <w:rsid w:val="52382054"/>
    <w:rsid w:val="52707792"/>
    <w:rsid w:val="52950FA7"/>
    <w:rsid w:val="52C635C9"/>
    <w:rsid w:val="530879CB"/>
    <w:rsid w:val="53093FF7"/>
    <w:rsid w:val="530D4421"/>
    <w:rsid w:val="53195734"/>
    <w:rsid w:val="53346A12"/>
    <w:rsid w:val="53856280"/>
    <w:rsid w:val="53863B29"/>
    <w:rsid w:val="539A4AC7"/>
    <w:rsid w:val="53AB6CD4"/>
    <w:rsid w:val="53C6386B"/>
    <w:rsid w:val="53F341D7"/>
    <w:rsid w:val="540F340F"/>
    <w:rsid w:val="542425E2"/>
    <w:rsid w:val="54395898"/>
    <w:rsid w:val="543C792C"/>
    <w:rsid w:val="54673721"/>
    <w:rsid w:val="54AA6F8B"/>
    <w:rsid w:val="54D64395"/>
    <w:rsid w:val="54E3543B"/>
    <w:rsid w:val="55067F3A"/>
    <w:rsid w:val="55191A1B"/>
    <w:rsid w:val="55472291"/>
    <w:rsid w:val="55562C6F"/>
    <w:rsid w:val="555D5F21"/>
    <w:rsid w:val="556E40A6"/>
    <w:rsid w:val="55BB0D24"/>
    <w:rsid w:val="55C45E2B"/>
    <w:rsid w:val="55FF3307"/>
    <w:rsid w:val="56002BDB"/>
    <w:rsid w:val="56233FDE"/>
    <w:rsid w:val="56462CE4"/>
    <w:rsid w:val="568D26C1"/>
    <w:rsid w:val="5690511C"/>
    <w:rsid w:val="569357FD"/>
    <w:rsid w:val="56C95E36"/>
    <w:rsid w:val="56E36785"/>
    <w:rsid w:val="56E758A3"/>
    <w:rsid w:val="56F3629C"/>
    <w:rsid w:val="571E156B"/>
    <w:rsid w:val="573D040A"/>
    <w:rsid w:val="575905C2"/>
    <w:rsid w:val="577B5727"/>
    <w:rsid w:val="578B1008"/>
    <w:rsid w:val="578B64E0"/>
    <w:rsid w:val="57970663"/>
    <w:rsid w:val="57A203EE"/>
    <w:rsid w:val="57A44166"/>
    <w:rsid w:val="57BA3BCC"/>
    <w:rsid w:val="57DA69E8"/>
    <w:rsid w:val="57F14EF0"/>
    <w:rsid w:val="58145700"/>
    <w:rsid w:val="582C5F09"/>
    <w:rsid w:val="582F43F9"/>
    <w:rsid w:val="587F24DD"/>
    <w:rsid w:val="5898534D"/>
    <w:rsid w:val="589E6E07"/>
    <w:rsid w:val="58A01167"/>
    <w:rsid w:val="58BC54DF"/>
    <w:rsid w:val="58E169D4"/>
    <w:rsid w:val="58E66ADA"/>
    <w:rsid w:val="59094E43"/>
    <w:rsid w:val="59273319"/>
    <w:rsid w:val="592A2449"/>
    <w:rsid w:val="592D4348"/>
    <w:rsid w:val="59345076"/>
    <w:rsid w:val="5941350A"/>
    <w:rsid w:val="59484FC5"/>
    <w:rsid w:val="59642085"/>
    <w:rsid w:val="596522AD"/>
    <w:rsid w:val="59806AB9"/>
    <w:rsid w:val="598307C6"/>
    <w:rsid w:val="599F37D2"/>
    <w:rsid w:val="59A04287"/>
    <w:rsid w:val="59C56114"/>
    <w:rsid w:val="59D22DC1"/>
    <w:rsid w:val="5A2151EA"/>
    <w:rsid w:val="5A6220B6"/>
    <w:rsid w:val="5A7F4A16"/>
    <w:rsid w:val="5A957D96"/>
    <w:rsid w:val="5AA01D3B"/>
    <w:rsid w:val="5AA20705"/>
    <w:rsid w:val="5AAA3B6F"/>
    <w:rsid w:val="5AFA22EF"/>
    <w:rsid w:val="5B101B12"/>
    <w:rsid w:val="5B107FCF"/>
    <w:rsid w:val="5B2630E4"/>
    <w:rsid w:val="5B303F63"/>
    <w:rsid w:val="5B5662CC"/>
    <w:rsid w:val="5B5674EE"/>
    <w:rsid w:val="5B734128"/>
    <w:rsid w:val="5BA04C44"/>
    <w:rsid w:val="5BB27DF8"/>
    <w:rsid w:val="5BD071F3"/>
    <w:rsid w:val="5C1B5528"/>
    <w:rsid w:val="5C2238AB"/>
    <w:rsid w:val="5C2C297C"/>
    <w:rsid w:val="5C4606EF"/>
    <w:rsid w:val="5C4952DC"/>
    <w:rsid w:val="5C6E4D42"/>
    <w:rsid w:val="5C804349"/>
    <w:rsid w:val="5C8C6F77"/>
    <w:rsid w:val="5C9C18B0"/>
    <w:rsid w:val="5CA47CF7"/>
    <w:rsid w:val="5CE62B2B"/>
    <w:rsid w:val="5D0B6EE2"/>
    <w:rsid w:val="5D0D00DE"/>
    <w:rsid w:val="5D174269"/>
    <w:rsid w:val="5D497FBE"/>
    <w:rsid w:val="5D6879E4"/>
    <w:rsid w:val="5D6F713C"/>
    <w:rsid w:val="5D867E6A"/>
    <w:rsid w:val="5DC32E6C"/>
    <w:rsid w:val="5DD5494D"/>
    <w:rsid w:val="5DE76824"/>
    <w:rsid w:val="5DF9673E"/>
    <w:rsid w:val="5E27164D"/>
    <w:rsid w:val="5E4C10B3"/>
    <w:rsid w:val="5E613174"/>
    <w:rsid w:val="5E706136"/>
    <w:rsid w:val="5E7423B8"/>
    <w:rsid w:val="5E914D18"/>
    <w:rsid w:val="5EA52572"/>
    <w:rsid w:val="5EAE0A4B"/>
    <w:rsid w:val="5EB32EE1"/>
    <w:rsid w:val="5EBD5B0D"/>
    <w:rsid w:val="5ED22865"/>
    <w:rsid w:val="5EDD1D0C"/>
    <w:rsid w:val="5EE66E12"/>
    <w:rsid w:val="5EFB232F"/>
    <w:rsid w:val="5F0059FA"/>
    <w:rsid w:val="5F103E8F"/>
    <w:rsid w:val="5F112097"/>
    <w:rsid w:val="5F157DA4"/>
    <w:rsid w:val="5F24793A"/>
    <w:rsid w:val="5F313E05"/>
    <w:rsid w:val="5F4D37A8"/>
    <w:rsid w:val="5F57386C"/>
    <w:rsid w:val="5F5C2B19"/>
    <w:rsid w:val="5F621A53"/>
    <w:rsid w:val="5FCB6008"/>
    <w:rsid w:val="5FF2271B"/>
    <w:rsid w:val="5FFA6842"/>
    <w:rsid w:val="60185828"/>
    <w:rsid w:val="60194FC5"/>
    <w:rsid w:val="602D0CE7"/>
    <w:rsid w:val="6037369D"/>
    <w:rsid w:val="603A6BA7"/>
    <w:rsid w:val="605D6791"/>
    <w:rsid w:val="609F16B0"/>
    <w:rsid w:val="609F6FFF"/>
    <w:rsid w:val="60B30F76"/>
    <w:rsid w:val="60C15DAF"/>
    <w:rsid w:val="60C5514D"/>
    <w:rsid w:val="60CE5DB0"/>
    <w:rsid w:val="60D37F9B"/>
    <w:rsid w:val="60D809DC"/>
    <w:rsid w:val="60DB3D08"/>
    <w:rsid w:val="60E455D3"/>
    <w:rsid w:val="60E47C7F"/>
    <w:rsid w:val="60FA6BA5"/>
    <w:rsid w:val="61023CAB"/>
    <w:rsid w:val="610F523A"/>
    <w:rsid w:val="61271964"/>
    <w:rsid w:val="612D6F23"/>
    <w:rsid w:val="61314591"/>
    <w:rsid w:val="61327E5D"/>
    <w:rsid w:val="61333D55"/>
    <w:rsid w:val="6166248C"/>
    <w:rsid w:val="617F620D"/>
    <w:rsid w:val="61B2015A"/>
    <w:rsid w:val="61D05B58"/>
    <w:rsid w:val="61E27602"/>
    <w:rsid w:val="61E70949"/>
    <w:rsid w:val="62053A53"/>
    <w:rsid w:val="62127632"/>
    <w:rsid w:val="621974FF"/>
    <w:rsid w:val="621B3277"/>
    <w:rsid w:val="62465E1A"/>
    <w:rsid w:val="624C1682"/>
    <w:rsid w:val="625E09B8"/>
    <w:rsid w:val="628E28A0"/>
    <w:rsid w:val="62A81E64"/>
    <w:rsid w:val="62B4795F"/>
    <w:rsid w:val="62C236F2"/>
    <w:rsid w:val="62F95C3C"/>
    <w:rsid w:val="63164234"/>
    <w:rsid w:val="633A597E"/>
    <w:rsid w:val="635D166D"/>
    <w:rsid w:val="63654A1A"/>
    <w:rsid w:val="63787D5F"/>
    <w:rsid w:val="637A221F"/>
    <w:rsid w:val="637E5499"/>
    <w:rsid w:val="63822A47"/>
    <w:rsid w:val="63A23524"/>
    <w:rsid w:val="63C74770"/>
    <w:rsid w:val="63DE27AE"/>
    <w:rsid w:val="64195594"/>
    <w:rsid w:val="642C0428"/>
    <w:rsid w:val="643631E8"/>
    <w:rsid w:val="646A4041"/>
    <w:rsid w:val="64986E00"/>
    <w:rsid w:val="649C788B"/>
    <w:rsid w:val="649E1E6F"/>
    <w:rsid w:val="64B1660C"/>
    <w:rsid w:val="64B90B25"/>
    <w:rsid w:val="64BB18DC"/>
    <w:rsid w:val="64E97686"/>
    <w:rsid w:val="64EF09EB"/>
    <w:rsid w:val="64F46001"/>
    <w:rsid w:val="64FC3D56"/>
    <w:rsid w:val="656C203B"/>
    <w:rsid w:val="65913850"/>
    <w:rsid w:val="65953340"/>
    <w:rsid w:val="659A0956"/>
    <w:rsid w:val="65A15BD1"/>
    <w:rsid w:val="65AF7D19"/>
    <w:rsid w:val="65D83AC0"/>
    <w:rsid w:val="65DF280D"/>
    <w:rsid w:val="65E240AB"/>
    <w:rsid w:val="65E82CA3"/>
    <w:rsid w:val="66094C27"/>
    <w:rsid w:val="662317CB"/>
    <w:rsid w:val="664A237C"/>
    <w:rsid w:val="66522FDF"/>
    <w:rsid w:val="666430EE"/>
    <w:rsid w:val="668D2269"/>
    <w:rsid w:val="669929BC"/>
    <w:rsid w:val="66CC0FE3"/>
    <w:rsid w:val="66D72233"/>
    <w:rsid w:val="66F916AD"/>
    <w:rsid w:val="67075B84"/>
    <w:rsid w:val="672C5C40"/>
    <w:rsid w:val="673B7F17"/>
    <w:rsid w:val="674961B1"/>
    <w:rsid w:val="676A4358"/>
    <w:rsid w:val="677B47B7"/>
    <w:rsid w:val="677F5301"/>
    <w:rsid w:val="67E521C5"/>
    <w:rsid w:val="67FB36BD"/>
    <w:rsid w:val="68040309"/>
    <w:rsid w:val="680967DB"/>
    <w:rsid w:val="682C06EF"/>
    <w:rsid w:val="68493348"/>
    <w:rsid w:val="684B418A"/>
    <w:rsid w:val="686D5EAE"/>
    <w:rsid w:val="68762B34"/>
    <w:rsid w:val="68923B67"/>
    <w:rsid w:val="68A17C9F"/>
    <w:rsid w:val="68F955F3"/>
    <w:rsid w:val="68FC5484"/>
    <w:rsid w:val="692F585A"/>
    <w:rsid w:val="69671717"/>
    <w:rsid w:val="69766FE4"/>
    <w:rsid w:val="697705A1"/>
    <w:rsid w:val="698F1514"/>
    <w:rsid w:val="69A353B1"/>
    <w:rsid w:val="69C064B2"/>
    <w:rsid w:val="69C21DDB"/>
    <w:rsid w:val="69F34AD9"/>
    <w:rsid w:val="6A211646"/>
    <w:rsid w:val="6A31131F"/>
    <w:rsid w:val="6A460C6D"/>
    <w:rsid w:val="6A4A0E43"/>
    <w:rsid w:val="6A667059"/>
    <w:rsid w:val="6A770E80"/>
    <w:rsid w:val="6A927E4E"/>
    <w:rsid w:val="6A99612A"/>
    <w:rsid w:val="6A9C4384"/>
    <w:rsid w:val="6AAE5220"/>
    <w:rsid w:val="6ABB262D"/>
    <w:rsid w:val="6AC81AC2"/>
    <w:rsid w:val="6AE76753"/>
    <w:rsid w:val="6AFD40FF"/>
    <w:rsid w:val="6B046710"/>
    <w:rsid w:val="6B09281B"/>
    <w:rsid w:val="6B0A3E88"/>
    <w:rsid w:val="6B3C10BD"/>
    <w:rsid w:val="6B6C68F1"/>
    <w:rsid w:val="6BE741CA"/>
    <w:rsid w:val="6C060AF4"/>
    <w:rsid w:val="6C2C6080"/>
    <w:rsid w:val="6C2D6AD7"/>
    <w:rsid w:val="6C3B7F92"/>
    <w:rsid w:val="6C3D028D"/>
    <w:rsid w:val="6C4D5BA8"/>
    <w:rsid w:val="6C646318"/>
    <w:rsid w:val="6C663340"/>
    <w:rsid w:val="6C6A1F85"/>
    <w:rsid w:val="6C733CAF"/>
    <w:rsid w:val="6C9D2C7D"/>
    <w:rsid w:val="6CA1499B"/>
    <w:rsid w:val="6CE30EF7"/>
    <w:rsid w:val="6CFA0A9A"/>
    <w:rsid w:val="6D106AE8"/>
    <w:rsid w:val="6D124DDF"/>
    <w:rsid w:val="6D1F1741"/>
    <w:rsid w:val="6D292788"/>
    <w:rsid w:val="6D2A6A64"/>
    <w:rsid w:val="6D5167FA"/>
    <w:rsid w:val="6DDB5FB0"/>
    <w:rsid w:val="6DDD27A1"/>
    <w:rsid w:val="6E0F7A08"/>
    <w:rsid w:val="6E166CBA"/>
    <w:rsid w:val="6E1D04CE"/>
    <w:rsid w:val="6E1D76F1"/>
    <w:rsid w:val="6E1F40EF"/>
    <w:rsid w:val="6E337B9A"/>
    <w:rsid w:val="6E386F5E"/>
    <w:rsid w:val="6E6671BC"/>
    <w:rsid w:val="6E7855AD"/>
    <w:rsid w:val="6E931859"/>
    <w:rsid w:val="6EA75E92"/>
    <w:rsid w:val="6EA80DE4"/>
    <w:rsid w:val="6EAA15EF"/>
    <w:rsid w:val="6ED44ED9"/>
    <w:rsid w:val="6EEB2223"/>
    <w:rsid w:val="6F1277AF"/>
    <w:rsid w:val="6F141FBE"/>
    <w:rsid w:val="6F1435BC"/>
    <w:rsid w:val="6F167776"/>
    <w:rsid w:val="6F313F8D"/>
    <w:rsid w:val="6F56792C"/>
    <w:rsid w:val="6F751AEC"/>
    <w:rsid w:val="6FC2141D"/>
    <w:rsid w:val="6FCA1E38"/>
    <w:rsid w:val="6FCE4D3B"/>
    <w:rsid w:val="701E7B76"/>
    <w:rsid w:val="704F058F"/>
    <w:rsid w:val="70583D21"/>
    <w:rsid w:val="705B5186"/>
    <w:rsid w:val="7081336C"/>
    <w:rsid w:val="70835B61"/>
    <w:rsid w:val="70B34FAB"/>
    <w:rsid w:val="70BE5602"/>
    <w:rsid w:val="710351C2"/>
    <w:rsid w:val="710934E0"/>
    <w:rsid w:val="713003C1"/>
    <w:rsid w:val="714D2D21"/>
    <w:rsid w:val="716B64C8"/>
    <w:rsid w:val="718D136F"/>
    <w:rsid w:val="71951830"/>
    <w:rsid w:val="71A53C09"/>
    <w:rsid w:val="71A943FD"/>
    <w:rsid w:val="71B608C6"/>
    <w:rsid w:val="71E34826"/>
    <w:rsid w:val="7242215A"/>
    <w:rsid w:val="72766203"/>
    <w:rsid w:val="727C14DD"/>
    <w:rsid w:val="729F0B55"/>
    <w:rsid w:val="72BA43E6"/>
    <w:rsid w:val="73090EC9"/>
    <w:rsid w:val="730F7EA5"/>
    <w:rsid w:val="731E2BC7"/>
    <w:rsid w:val="73215E95"/>
    <w:rsid w:val="73633E0E"/>
    <w:rsid w:val="736E6F7E"/>
    <w:rsid w:val="73700F48"/>
    <w:rsid w:val="738A200A"/>
    <w:rsid w:val="739C759D"/>
    <w:rsid w:val="73CB2309"/>
    <w:rsid w:val="73CB7173"/>
    <w:rsid w:val="73CF22B2"/>
    <w:rsid w:val="73E3143B"/>
    <w:rsid w:val="73E3748F"/>
    <w:rsid w:val="7416630F"/>
    <w:rsid w:val="741E6C68"/>
    <w:rsid w:val="74350B1C"/>
    <w:rsid w:val="745645E0"/>
    <w:rsid w:val="7462566D"/>
    <w:rsid w:val="74626AE3"/>
    <w:rsid w:val="74687E72"/>
    <w:rsid w:val="7499726D"/>
    <w:rsid w:val="74A4534E"/>
    <w:rsid w:val="74B17A6A"/>
    <w:rsid w:val="74B86703"/>
    <w:rsid w:val="74BF5CE3"/>
    <w:rsid w:val="74E25E76"/>
    <w:rsid w:val="75270788"/>
    <w:rsid w:val="753F5076"/>
    <w:rsid w:val="75412B9C"/>
    <w:rsid w:val="756E42C9"/>
    <w:rsid w:val="75893DD4"/>
    <w:rsid w:val="759929D8"/>
    <w:rsid w:val="759A405B"/>
    <w:rsid w:val="75B86DA1"/>
    <w:rsid w:val="75BB7964"/>
    <w:rsid w:val="75C277EA"/>
    <w:rsid w:val="75F43667"/>
    <w:rsid w:val="761B163F"/>
    <w:rsid w:val="76326989"/>
    <w:rsid w:val="764F4449"/>
    <w:rsid w:val="765E32DA"/>
    <w:rsid w:val="76646CC1"/>
    <w:rsid w:val="766B55C0"/>
    <w:rsid w:val="76741665"/>
    <w:rsid w:val="767E397C"/>
    <w:rsid w:val="768335C6"/>
    <w:rsid w:val="768B7BBD"/>
    <w:rsid w:val="769116F6"/>
    <w:rsid w:val="76A00A57"/>
    <w:rsid w:val="76AF7FDA"/>
    <w:rsid w:val="76DA32A9"/>
    <w:rsid w:val="76E059EA"/>
    <w:rsid w:val="76FB321F"/>
    <w:rsid w:val="76FE0619"/>
    <w:rsid w:val="77045A35"/>
    <w:rsid w:val="77183DD1"/>
    <w:rsid w:val="77185301"/>
    <w:rsid w:val="7730111A"/>
    <w:rsid w:val="774E4E5E"/>
    <w:rsid w:val="775B283E"/>
    <w:rsid w:val="775C3CBE"/>
    <w:rsid w:val="777041AD"/>
    <w:rsid w:val="779059B6"/>
    <w:rsid w:val="77917249"/>
    <w:rsid w:val="77B77146"/>
    <w:rsid w:val="77C27BE8"/>
    <w:rsid w:val="780A371A"/>
    <w:rsid w:val="781E0F73"/>
    <w:rsid w:val="782065BB"/>
    <w:rsid w:val="78244466"/>
    <w:rsid w:val="78281BF2"/>
    <w:rsid w:val="78553EDA"/>
    <w:rsid w:val="785E564D"/>
    <w:rsid w:val="786D3CA8"/>
    <w:rsid w:val="78767001"/>
    <w:rsid w:val="78895C1C"/>
    <w:rsid w:val="78A66B61"/>
    <w:rsid w:val="78EF4516"/>
    <w:rsid w:val="78F905D0"/>
    <w:rsid w:val="791E50D2"/>
    <w:rsid w:val="79570BE0"/>
    <w:rsid w:val="79584FED"/>
    <w:rsid w:val="79907C4E"/>
    <w:rsid w:val="79AE1AA7"/>
    <w:rsid w:val="79E4293F"/>
    <w:rsid w:val="79EF4F3C"/>
    <w:rsid w:val="7A0F78DD"/>
    <w:rsid w:val="7A1A5E47"/>
    <w:rsid w:val="7A731C3B"/>
    <w:rsid w:val="7AA92817"/>
    <w:rsid w:val="7AD95625"/>
    <w:rsid w:val="7AD973D3"/>
    <w:rsid w:val="7AEE3968"/>
    <w:rsid w:val="7B1D3764"/>
    <w:rsid w:val="7B466425"/>
    <w:rsid w:val="7B79495C"/>
    <w:rsid w:val="7B885580"/>
    <w:rsid w:val="7B963516"/>
    <w:rsid w:val="7BAE6AB2"/>
    <w:rsid w:val="7BFE70BB"/>
    <w:rsid w:val="7C046963"/>
    <w:rsid w:val="7C336FB7"/>
    <w:rsid w:val="7C3D0E5E"/>
    <w:rsid w:val="7C3F1622"/>
    <w:rsid w:val="7C5B09E8"/>
    <w:rsid w:val="7C653614"/>
    <w:rsid w:val="7C66113B"/>
    <w:rsid w:val="7C7B197C"/>
    <w:rsid w:val="7C7E46D6"/>
    <w:rsid w:val="7CF55F23"/>
    <w:rsid w:val="7D0B58BB"/>
    <w:rsid w:val="7D1F7C67"/>
    <w:rsid w:val="7D276B1C"/>
    <w:rsid w:val="7D681975"/>
    <w:rsid w:val="7D8A0E59"/>
    <w:rsid w:val="7DA55C93"/>
    <w:rsid w:val="7DAF0FCC"/>
    <w:rsid w:val="7DD7650B"/>
    <w:rsid w:val="7E010055"/>
    <w:rsid w:val="7E4F6BCE"/>
    <w:rsid w:val="7E775881"/>
    <w:rsid w:val="7EA20784"/>
    <w:rsid w:val="7EBA751C"/>
    <w:rsid w:val="7EC565EC"/>
    <w:rsid w:val="7EE53256"/>
    <w:rsid w:val="7EEE1B36"/>
    <w:rsid w:val="7F6059C2"/>
    <w:rsid w:val="7F942F46"/>
    <w:rsid w:val="7FB41530"/>
    <w:rsid w:val="7FB623D9"/>
    <w:rsid w:val="7FBF303C"/>
    <w:rsid w:val="7FDC5CC9"/>
    <w:rsid w:val="7FE9158E"/>
    <w:rsid w:val="7FEF4A48"/>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autoRedefine/>
    <w:qFormat/>
    <w:uiPriority w:val="0"/>
    <w:pPr>
      <w:keepNext/>
      <w:keepLines/>
      <w:spacing w:before="340" w:after="330" w:line="578" w:lineRule="auto"/>
      <w:outlineLvl w:val="0"/>
    </w:pPr>
    <w:rPr>
      <w:rFonts w:ascii="Times New Roman" w:hAnsi="Times New Roman" w:eastAsia="宋体" w:cs="Times New Roman"/>
      <w:kern w:val="44"/>
      <w:sz w:val="44"/>
      <w:szCs w:val="44"/>
    </w:rPr>
  </w:style>
  <w:style w:type="paragraph" w:styleId="4">
    <w:name w:val="heading 2"/>
    <w:basedOn w:val="1"/>
    <w:next w:val="1"/>
    <w:link w:val="57"/>
    <w:autoRedefine/>
    <w:qFormat/>
    <w:uiPriority w:val="0"/>
    <w:pPr>
      <w:keepNext/>
      <w:keepLines/>
      <w:spacing w:before="260" w:after="260" w:line="416" w:lineRule="auto"/>
      <w:ind w:firstLine="628"/>
      <w:jc w:val="center"/>
      <w:outlineLvl w:val="1"/>
    </w:pPr>
    <w:rPr>
      <w:rFonts w:ascii="Arial" w:hAnsi="Arial" w:eastAsia="黑体" w:cs="Times New Roman"/>
      <w:b/>
      <w:bCs/>
      <w:kern w:val="0"/>
      <w:sz w:val="32"/>
      <w:szCs w:val="32"/>
    </w:rPr>
  </w:style>
  <w:style w:type="paragraph" w:styleId="5">
    <w:name w:val="heading 3"/>
    <w:basedOn w:val="1"/>
    <w:next w:val="1"/>
    <w:link w:val="58"/>
    <w:autoRedefine/>
    <w:qFormat/>
    <w:uiPriority w:val="0"/>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8"/>
    <w:autoRedefine/>
    <w:unhideWhenUsed/>
    <w:qFormat/>
    <w:uiPriority w:val="0"/>
    <w:pPr>
      <w:spacing w:after="120"/>
    </w:pPr>
    <w:rPr>
      <w:rFonts w:ascii="等线" w:hAnsi="等线" w:eastAsia="等线" w:cs="Times New Roman"/>
      <w:szCs w:val="24"/>
    </w:rPr>
  </w:style>
  <w:style w:type="paragraph" w:styleId="7">
    <w:name w:val="Normal Indent"/>
    <w:basedOn w:val="1"/>
    <w:next w:val="1"/>
    <w:autoRedefine/>
    <w:qFormat/>
    <w:uiPriority w:val="99"/>
    <w:pPr>
      <w:ind w:firstLine="420"/>
    </w:pPr>
    <w:rPr>
      <w:rFonts w:ascii="Times New Roman" w:hAnsi="Times New Roman" w:eastAsia="宋体" w:cs="Times New Roman"/>
      <w:szCs w:val="21"/>
    </w:rPr>
  </w:style>
  <w:style w:type="paragraph" w:styleId="8">
    <w:name w:val="Document Map"/>
    <w:basedOn w:val="1"/>
    <w:link w:val="59"/>
    <w:autoRedefine/>
    <w:semiHidden/>
    <w:qFormat/>
    <w:uiPriority w:val="0"/>
    <w:rPr>
      <w:rFonts w:ascii="宋体" w:hAnsi="Times New Roman" w:eastAsia="宋体" w:cs="Times New Roman"/>
      <w:kern w:val="0"/>
      <w:sz w:val="18"/>
      <w:szCs w:val="18"/>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67"/>
    <w:autoRedefine/>
    <w:qFormat/>
    <w:uiPriority w:val="0"/>
    <w:pPr>
      <w:jc w:val="left"/>
    </w:pPr>
    <w:rPr>
      <w:rFonts w:ascii="Times New Roman" w:hAnsi="Times New Roman" w:eastAsia="宋体" w:cs="Times New Roman"/>
      <w:kern w:val="0"/>
      <w:szCs w:val="21"/>
    </w:rPr>
  </w:style>
  <w:style w:type="paragraph" w:styleId="11">
    <w:name w:val="Body Text 3"/>
    <w:basedOn w:val="1"/>
    <w:link w:val="61"/>
    <w:autoRedefine/>
    <w:qFormat/>
    <w:uiPriority w:val="99"/>
    <w:pPr>
      <w:spacing w:beforeLines="50" w:afterLines="50" w:line="460" w:lineRule="exact"/>
      <w:jc w:val="center"/>
    </w:pPr>
    <w:rPr>
      <w:rFonts w:ascii="仿宋_GB2312" w:hAnsi="Arial" w:eastAsia="仿宋_GB2312" w:cs="Times New Roman"/>
      <w:kern w:val="0"/>
      <w:sz w:val="28"/>
      <w:szCs w:val="28"/>
    </w:rPr>
  </w:style>
  <w:style w:type="paragraph" w:styleId="12">
    <w:name w:val="Closing"/>
    <w:basedOn w:val="1"/>
    <w:next w:val="1"/>
    <w:link w:val="86"/>
    <w:autoRedefine/>
    <w:qFormat/>
    <w:uiPriority w:val="0"/>
    <w:pPr>
      <w:widowControl/>
      <w:ind w:left="4320"/>
      <w:jc w:val="left"/>
    </w:pPr>
    <w:rPr>
      <w:rFonts w:ascii="Calibri" w:hAnsi="Calibri" w:eastAsia="等线" w:cs="Times New Roman"/>
    </w:rPr>
  </w:style>
  <w:style w:type="paragraph" w:styleId="13">
    <w:name w:val="Body Text Indent"/>
    <w:basedOn w:val="1"/>
    <w:link w:val="62"/>
    <w:autoRedefine/>
    <w:qFormat/>
    <w:uiPriority w:val="0"/>
    <w:pPr>
      <w:ind w:firstLine="660"/>
    </w:pPr>
    <w:rPr>
      <w:rFonts w:ascii="宋体" w:hAnsi="宋体" w:eastAsia="宋体" w:cs="Times New Roman"/>
      <w:color w:val="000000"/>
      <w:kern w:val="0"/>
      <w:sz w:val="24"/>
      <w:szCs w:val="24"/>
    </w:rPr>
  </w:style>
  <w:style w:type="paragraph" w:styleId="14">
    <w:name w:val="List 2"/>
    <w:basedOn w:val="1"/>
    <w:autoRedefine/>
    <w:qFormat/>
    <w:uiPriority w:val="0"/>
    <w:pPr>
      <w:ind w:left="100" w:leftChars="200" w:hanging="200" w:hangingChars="200"/>
      <w:contextualSpacing/>
    </w:pPr>
  </w:style>
  <w:style w:type="paragraph" w:styleId="15">
    <w:name w:val="toc 3"/>
    <w:basedOn w:val="1"/>
    <w:next w:val="1"/>
    <w:autoRedefine/>
    <w:qFormat/>
    <w:uiPriority w:val="0"/>
    <w:pPr>
      <w:ind w:left="840" w:leftChars="400"/>
    </w:pPr>
    <w:rPr>
      <w:rFonts w:ascii="Times New Roman" w:hAnsi="Times New Roman" w:eastAsia="宋体" w:cs="Times New Roman"/>
      <w:szCs w:val="24"/>
    </w:rPr>
  </w:style>
  <w:style w:type="paragraph" w:styleId="16">
    <w:name w:val="Plain Text"/>
    <w:basedOn w:val="1"/>
    <w:link w:val="63"/>
    <w:autoRedefine/>
    <w:qFormat/>
    <w:uiPriority w:val="0"/>
    <w:rPr>
      <w:rFonts w:ascii="宋体" w:hAnsi="Courier New" w:eastAsia="宋体" w:cs="Times New Roman"/>
      <w:kern w:val="0"/>
      <w:szCs w:val="20"/>
    </w:rPr>
  </w:style>
  <w:style w:type="paragraph" w:styleId="17">
    <w:name w:val="Date"/>
    <w:basedOn w:val="1"/>
    <w:next w:val="1"/>
    <w:link w:val="64"/>
    <w:autoRedefine/>
    <w:qFormat/>
    <w:uiPriority w:val="0"/>
    <w:rPr>
      <w:rFonts w:ascii="Times New Roman" w:hAnsi="Times New Roman" w:eastAsia="宋体" w:cs="Times New Roman"/>
      <w:b/>
      <w:bCs/>
      <w:kern w:val="0"/>
      <w:sz w:val="28"/>
      <w:szCs w:val="28"/>
    </w:rPr>
  </w:style>
  <w:style w:type="paragraph" w:styleId="18">
    <w:name w:val="Body Text Indent 2"/>
    <w:basedOn w:val="1"/>
    <w:link w:val="90"/>
    <w:autoRedefine/>
    <w:qFormat/>
    <w:uiPriority w:val="0"/>
    <w:pPr>
      <w:spacing w:after="120" w:line="480" w:lineRule="auto"/>
      <w:ind w:left="420" w:leftChars="200"/>
    </w:pPr>
    <w:rPr>
      <w:rFonts w:ascii="等线" w:hAnsi="等线" w:eastAsia="等线" w:cs="Times New Roman"/>
      <w:szCs w:val="24"/>
    </w:rPr>
  </w:style>
  <w:style w:type="paragraph" w:styleId="19">
    <w:name w:val="Balloon Text"/>
    <w:basedOn w:val="1"/>
    <w:link w:val="65"/>
    <w:autoRedefine/>
    <w:semiHidden/>
    <w:qFormat/>
    <w:uiPriority w:val="0"/>
    <w:rPr>
      <w:rFonts w:ascii="Times New Roman" w:hAnsi="Times New Roman" w:eastAsia="宋体" w:cs="Times New Roman"/>
      <w:kern w:val="0"/>
      <w:sz w:val="18"/>
      <w:szCs w:val="18"/>
    </w:rPr>
  </w:style>
  <w:style w:type="paragraph" w:styleId="20">
    <w:name w:val="footer"/>
    <w:basedOn w:val="1"/>
    <w:link w:val="55"/>
    <w:autoRedefine/>
    <w:unhideWhenUsed/>
    <w:qFormat/>
    <w:uiPriority w:val="0"/>
    <w:pPr>
      <w:tabs>
        <w:tab w:val="center" w:pos="4153"/>
        <w:tab w:val="right" w:pos="8306"/>
      </w:tabs>
      <w:snapToGrid w:val="0"/>
      <w:jc w:val="left"/>
    </w:pPr>
    <w:rPr>
      <w:sz w:val="18"/>
      <w:szCs w:val="18"/>
    </w:rPr>
  </w:style>
  <w:style w:type="paragraph" w:styleId="21">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0"/>
    <w:rPr>
      <w:rFonts w:ascii="Times New Roman" w:hAnsi="Times New Roman" w:eastAsia="宋体" w:cs="Times New Roman"/>
      <w:sz w:val="24"/>
      <w:szCs w:val="24"/>
    </w:rPr>
  </w:style>
  <w:style w:type="paragraph" w:styleId="23">
    <w:name w:val="Body Text Indent 3"/>
    <w:basedOn w:val="1"/>
    <w:link w:val="92"/>
    <w:autoRedefine/>
    <w:qFormat/>
    <w:uiPriority w:val="0"/>
    <w:pPr>
      <w:spacing w:after="120"/>
      <w:ind w:left="420" w:leftChars="200"/>
    </w:pPr>
    <w:rPr>
      <w:rFonts w:ascii="Calibri" w:hAnsi="Calibri" w:eastAsia="宋体" w:cs="Times New Roman"/>
      <w:sz w:val="16"/>
      <w:szCs w:val="24"/>
    </w:rPr>
  </w:style>
  <w:style w:type="paragraph" w:styleId="24">
    <w:name w:val="toc 2"/>
    <w:basedOn w:val="1"/>
    <w:next w:val="1"/>
    <w:autoRedefine/>
    <w:semiHidden/>
    <w:qFormat/>
    <w:uiPriority w:val="0"/>
    <w:pPr>
      <w:spacing w:before="100" w:beforeAutospacing="1" w:after="100" w:afterAutospacing="1"/>
      <w:ind w:left="420" w:leftChars="200"/>
    </w:pPr>
    <w:rPr>
      <w:rFonts w:ascii="Times New Roman" w:hAnsi="Times New Roman" w:eastAsia="宋体" w:cs="Times New Roman"/>
      <w:sz w:val="24"/>
      <w:szCs w:val="24"/>
    </w:rPr>
  </w:style>
  <w:style w:type="paragraph" w:styleId="25">
    <w:name w:val="Body Text 2"/>
    <w:basedOn w:val="1"/>
    <w:autoRedefine/>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8">
    <w:name w:val="Normal (Web)"/>
    <w:basedOn w:val="1"/>
    <w:autoRedefine/>
    <w:qFormat/>
    <w:uiPriority w:val="0"/>
    <w:pPr>
      <w:widowControl/>
      <w:jc w:val="left"/>
    </w:pPr>
    <w:rPr>
      <w:rFonts w:ascii="宋体" w:hAnsi="宋体" w:eastAsia="宋体" w:cs="宋体"/>
      <w:kern w:val="0"/>
      <w:sz w:val="24"/>
      <w:szCs w:val="24"/>
    </w:rPr>
  </w:style>
  <w:style w:type="paragraph" w:styleId="29">
    <w:name w:val="Title"/>
    <w:basedOn w:val="14"/>
    <w:next w:val="1"/>
    <w:autoRedefine/>
    <w:qFormat/>
    <w:uiPriority w:val="0"/>
    <w:pPr>
      <w:spacing w:before="240" w:after="60" w:line="360" w:lineRule="auto"/>
      <w:jc w:val="center"/>
      <w:outlineLvl w:val="0"/>
    </w:pPr>
    <w:rPr>
      <w:rFonts w:ascii="Cambria" w:hAnsi="Cambria" w:eastAsia="宋体" w:cs="Times New Roman"/>
      <w:b/>
      <w:bCs/>
      <w:sz w:val="36"/>
      <w:szCs w:val="32"/>
    </w:rPr>
  </w:style>
  <w:style w:type="paragraph" w:styleId="30">
    <w:name w:val="annotation subject"/>
    <w:basedOn w:val="10"/>
    <w:next w:val="10"/>
    <w:link w:val="66"/>
    <w:autoRedefine/>
    <w:semiHidden/>
    <w:qFormat/>
    <w:uiPriority w:val="0"/>
    <w:rPr>
      <w:b/>
      <w:bCs/>
    </w:rPr>
  </w:style>
  <w:style w:type="paragraph" w:styleId="31">
    <w:name w:val="Body Text First Indent"/>
    <w:basedOn w:val="2"/>
    <w:link w:val="93"/>
    <w:autoRedefine/>
    <w:qFormat/>
    <w:uiPriority w:val="0"/>
    <w:pPr>
      <w:ind w:firstLine="420" w:firstLineChars="100"/>
    </w:pPr>
    <w:rPr>
      <w:szCs w:val="22"/>
    </w:rPr>
  </w:style>
  <w:style w:type="paragraph" w:styleId="32">
    <w:name w:val="Body Text First Indent 2"/>
    <w:basedOn w:val="13"/>
    <w:autoRedefine/>
    <w:qFormat/>
    <w:uiPriority w:val="0"/>
    <w:pPr>
      <w:ind w:firstLine="210"/>
    </w:pPr>
    <w:rPr>
      <w:szCs w:val="20"/>
    </w:rPr>
  </w:style>
  <w:style w:type="table" w:styleId="34">
    <w:name w:val="Table Grid"/>
    <w:basedOn w:val="33"/>
    <w:autoRedefine/>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rFonts w:cs="Times New Roman"/>
    </w:rPr>
  </w:style>
  <w:style w:type="character" w:styleId="37">
    <w:name w:val="page number"/>
    <w:basedOn w:val="35"/>
    <w:autoRedefine/>
    <w:unhideWhenUsed/>
    <w:qFormat/>
    <w:uiPriority w:val="0"/>
  </w:style>
  <w:style w:type="character" w:styleId="38">
    <w:name w:val="FollowedHyperlink"/>
    <w:autoRedefine/>
    <w:qFormat/>
    <w:uiPriority w:val="99"/>
    <w:rPr>
      <w:rFonts w:cs="Times New Roman"/>
      <w:color w:val="800080"/>
      <w:u w:val="none"/>
    </w:rPr>
  </w:style>
  <w:style w:type="character" w:styleId="39">
    <w:name w:val="Emphasis"/>
    <w:autoRedefine/>
    <w:qFormat/>
    <w:uiPriority w:val="20"/>
    <w:rPr>
      <w:rFonts w:cs="Times New Roman"/>
    </w:rPr>
  </w:style>
  <w:style w:type="character" w:styleId="40">
    <w:name w:val="HTML Definition"/>
    <w:autoRedefine/>
    <w:qFormat/>
    <w:uiPriority w:val="99"/>
    <w:rPr>
      <w:rFonts w:cs="Times New Roman"/>
    </w:rPr>
  </w:style>
  <w:style w:type="character" w:styleId="41">
    <w:name w:val="HTML Typewriter"/>
    <w:autoRedefine/>
    <w:qFormat/>
    <w:uiPriority w:val="99"/>
    <w:rPr>
      <w:rFonts w:ascii="monospace" w:hAnsi="monospace" w:cs="Times New Roman"/>
      <w:sz w:val="20"/>
    </w:rPr>
  </w:style>
  <w:style w:type="character" w:styleId="42">
    <w:name w:val="HTML Acronym"/>
    <w:autoRedefine/>
    <w:qFormat/>
    <w:uiPriority w:val="99"/>
    <w:rPr>
      <w:rFonts w:cs="Times New Roman"/>
    </w:rPr>
  </w:style>
  <w:style w:type="character" w:styleId="43">
    <w:name w:val="HTML Variable"/>
    <w:autoRedefine/>
    <w:qFormat/>
    <w:uiPriority w:val="99"/>
    <w:rPr>
      <w:rFonts w:cs="Times New Roman"/>
    </w:rPr>
  </w:style>
  <w:style w:type="character" w:styleId="44">
    <w:name w:val="Hyperlink"/>
    <w:autoRedefine/>
    <w:qFormat/>
    <w:uiPriority w:val="0"/>
    <w:rPr>
      <w:rFonts w:cs="Times New Roman"/>
      <w:color w:val="0000FF"/>
      <w:u w:val="none"/>
    </w:rPr>
  </w:style>
  <w:style w:type="character" w:styleId="45">
    <w:name w:val="HTML Code"/>
    <w:autoRedefine/>
    <w:qFormat/>
    <w:uiPriority w:val="99"/>
    <w:rPr>
      <w:rFonts w:ascii="monospace" w:hAnsi="monospace" w:cs="Times New Roman"/>
      <w:sz w:val="20"/>
    </w:rPr>
  </w:style>
  <w:style w:type="character" w:styleId="46">
    <w:name w:val="annotation reference"/>
    <w:autoRedefine/>
    <w:semiHidden/>
    <w:qFormat/>
    <w:uiPriority w:val="0"/>
    <w:rPr>
      <w:rFonts w:cs="Times New Roman"/>
      <w:sz w:val="21"/>
    </w:rPr>
  </w:style>
  <w:style w:type="character" w:styleId="47">
    <w:name w:val="HTML Cite"/>
    <w:autoRedefine/>
    <w:qFormat/>
    <w:uiPriority w:val="99"/>
    <w:rPr>
      <w:rFonts w:cs="Times New Roman"/>
    </w:rPr>
  </w:style>
  <w:style w:type="character" w:styleId="48">
    <w:name w:val="HTML Keyboard"/>
    <w:autoRedefine/>
    <w:qFormat/>
    <w:uiPriority w:val="99"/>
    <w:rPr>
      <w:rFonts w:ascii="monospace" w:hAnsi="monospace" w:cs="Times New Roman"/>
      <w:sz w:val="20"/>
    </w:rPr>
  </w:style>
  <w:style w:type="character" w:styleId="49">
    <w:name w:val="HTML Sample"/>
    <w:basedOn w:val="35"/>
    <w:autoRedefine/>
    <w:qFormat/>
    <w:uiPriority w:val="99"/>
    <w:rPr>
      <w:rFonts w:ascii="monospace" w:hAnsi="monospace" w:cs="Times New Roman"/>
    </w:rPr>
  </w:style>
  <w:style w:type="paragraph" w:customStyle="1" w:styleId="50">
    <w:name w:val="_Style 2"/>
    <w:basedOn w:val="1"/>
    <w:next w:val="1"/>
    <w:autoRedefine/>
    <w:qFormat/>
    <w:uiPriority w:val="0"/>
    <w:pPr>
      <w:ind w:firstLine="200" w:firstLineChars="200"/>
    </w:pPr>
    <w:rPr>
      <w:rFonts w:ascii="Calibri" w:hAnsi="Calibri"/>
      <w:sz w:val="28"/>
    </w:rPr>
  </w:style>
  <w:style w:type="paragraph" w:customStyle="1" w:styleId="51">
    <w:name w:val="文本块11"/>
    <w:basedOn w:val="1"/>
    <w:autoRedefine/>
    <w:unhideWhenUsed/>
    <w:qFormat/>
    <w:uiPriority w:val="0"/>
    <w:pPr>
      <w:spacing w:after="120"/>
      <w:ind w:left="1440" w:right="1440"/>
    </w:pPr>
    <w:rPr>
      <w:rFonts w:ascii="Calibri" w:hAnsi="Calibri"/>
    </w:rPr>
  </w:style>
  <w:style w:type="paragraph" w:customStyle="1" w:styleId="52">
    <w:name w:val="引用1"/>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53">
    <w:name w:val="No Spacing"/>
    <w:autoRedefine/>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54">
    <w:name w:val="页眉 字符"/>
    <w:basedOn w:val="35"/>
    <w:link w:val="21"/>
    <w:autoRedefine/>
    <w:semiHidden/>
    <w:qFormat/>
    <w:uiPriority w:val="99"/>
    <w:rPr>
      <w:sz w:val="18"/>
      <w:szCs w:val="18"/>
    </w:rPr>
  </w:style>
  <w:style w:type="character" w:customStyle="1" w:styleId="55">
    <w:name w:val="页脚 字符"/>
    <w:basedOn w:val="35"/>
    <w:link w:val="20"/>
    <w:autoRedefine/>
    <w:qFormat/>
    <w:uiPriority w:val="99"/>
    <w:rPr>
      <w:sz w:val="18"/>
      <w:szCs w:val="18"/>
    </w:rPr>
  </w:style>
  <w:style w:type="character" w:customStyle="1" w:styleId="56">
    <w:name w:val="标题 1 字符"/>
    <w:basedOn w:val="35"/>
    <w:link w:val="3"/>
    <w:autoRedefine/>
    <w:qFormat/>
    <w:uiPriority w:val="0"/>
    <w:rPr>
      <w:rFonts w:ascii="Times New Roman" w:hAnsi="Times New Roman" w:eastAsia="宋体" w:cs="Times New Roman"/>
      <w:b/>
      <w:bCs/>
      <w:kern w:val="44"/>
      <w:sz w:val="44"/>
      <w:szCs w:val="44"/>
    </w:rPr>
  </w:style>
  <w:style w:type="character" w:customStyle="1" w:styleId="57">
    <w:name w:val="标题 2 字符"/>
    <w:basedOn w:val="35"/>
    <w:link w:val="4"/>
    <w:autoRedefine/>
    <w:qFormat/>
    <w:uiPriority w:val="0"/>
    <w:rPr>
      <w:rFonts w:ascii="Arial" w:hAnsi="Arial" w:eastAsia="黑体" w:cs="Times New Roman"/>
      <w:b/>
      <w:bCs/>
      <w:kern w:val="0"/>
      <w:sz w:val="32"/>
      <w:szCs w:val="32"/>
    </w:rPr>
  </w:style>
  <w:style w:type="character" w:customStyle="1" w:styleId="58">
    <w:name w:val="标题 3 字符"/>
    <w:basedOn w:val="35"/>
    <w:link w:val="5"/>
    <w:autoRedefine/>
    <w:qFormat/>
    <w:uiPriority w:val="0"/>
    <w:rPr>
      <w:rFonts w:ascii="Times New Roman" w:hAnsi="Times New Roman" w:eastAsia="宋体" w:cs="Times New Roman"/>
      <w:b/>
      <w:bCs/>
      <w:kern w:val="0"/>
      <w:sz w:val="32"/>
      <w:szCs w:val="32"/>
    </w:rPr>
  </w:style>
  <w:style w:type="character" w:customStyle="1" w:styleId="59">
    <w:name w:val="文档结构图 字符"/>
    <w:basedOn w:val="35"/>
    <w:link w:val="8"/>
    <w:autoRedefine/>
    <w:semiHidden/>
    <w:qFormat/>
    <w:uiPriority w:val="0"/>
    <w:rPr>
      <w:rFonts w:ascii="宋体" w:hAnsi="Times New Roman" w:eastAsia="宋体" w:cs="Times New Roman"/>
      <w:kern w:val="0"/>
      <w:sz w:val="18"/>
      <w:szCs w:val="18"/>
    </w:rPr>
  </w:style>
  <w:style w:type="character" w:customStyle="1" w:styleId="60">
    <w:name w:val="批注文字 Char"/>
    <w:basedOn w:val="35"/>
    <w:autoRedefine/>
    <w:qFormat/>
    <w:uiPriority w:val="0"/>
  </w:style>
  <w:style w:type="character" w:customStyle="1" w:styleId="61">
    <w:name w:val="正文文本 3 字符"/>
    <w:basedOn w:val="35"/>
    <w:link w:val="11"/>
    <w:autoRedefine/>
    <w:qFormat/>
    <w:uiPriority w:val="99"/>
    <w:rPr>
      <w:rFonts w:ascii="仿宋_GB2312" w:hAnsi="Arial" w:eastAsia="仿宋_GB2312" w:cs="Times New Roman"/>
      <w:kern w:val="0"/>
      <w:sz w:val="28"/>
      <w:szCs w:val="28"/>
    </w:rPr>
  </w:style>
  <w:style w:type="character" w:customStyle="1" w:styleId="62">
    <w:name w:val="正文文本缩进 字符"/>
    <w:basedOn w:val="35"/>
    <w:link w:val="13"/>
    <w:autoRedefine/>
    <w:qFormat/>
    <w:uiPriority w:val="0"/>
    <w:rPr>
      <w:rFonts w:ascii="宋体" w:hAnsi="宋体" w:eastAsia="宋体" w:cs="Times New Roman"/>
      <w:color w:val="000000"/>
      <w:kern w:val="0"/>
      <w:sz w:val="24"/>
      <w:szCs w:val="24"/>
    </w:rPr>
  </w:style>
  <w:style w:type="character" w:customStyle="1" w:styleId="63">
    <w:name w:val="纯文本 字符"/>
    <w:basedOn w:val="35"/>
    <w:link w:val="16"/>
    <w:autoRedefine/>
    <w:qFormat/>
    <w:uiPriority w:val="0"/>
    <w:rPr>
      <w:rFonts w:ascii="宋体" w:hAnsi="Courier New" w:eastAsia="宋体" w:cs="Times New Roman"/>
      <w:kern w:val="0"/>
      <w:szCs w:val="20"/>
    </w:rPr>
  </w:style>
  <w:style w:type="character" w:customStyle="1" w:styleId="64">
    <w:name w:val="日期 字符"/>
    <w:basedOn w:val="35"/>
    <w:link w:val="17"/>
    <w:autoRedefine/>
    <w:qFormat/>
    <w:uiPriority w:val="0"/>
    <w:rPr>
      <w:rFonts w:ascii="Times New Roman" w:hAnsi="Times New Roman" w:eastAsia="宋体" w:cs="Times New Roman"/>
      <w:b/>
      <w:bCs/>
      <w:kern w:val="0"/>
      <w:sz w:val="28"/>
      <w:szCs w:val="28"/>
    </w:rPr>
  </w:style>
  <w:style w:type="character" w:customStyle="1" w:styleId="65">
    <w:name w:val="批注框文本 字符"/>
    <w:basedOn w:val="35"/>
    <w:link w:val="19"/>
    <w:autoRedefine/>
    <w:semiHidden/>
    <w:qFormat/>
    <w:uiPriority w:val="0"/>
    <w:rPr>
      <w:rFonts w:ascii="Times New Roman" w:hAnsi="Times New Roman" w:eastAsia="宋体" w:cs="Times New Roman"/>
      <w:kern w:val="0"/>
      <w:sz w:val="18"/>
      <w:szCs w:val="18"/>
    </w:rPr>
  </w:style>
  <w:style w:type="character" w:customStyle="1" w:styleId="66">
    <w:name w:val="批注主题 字符"/>
    <w:basedOn w:val="60"/>
    <w:link w:val="30"/>
    <w:autoRedefine/>
    <w:semiHidden/>
    <w:qFormat/>
    <w:uiPriority w:val="0"/>
    <w:rPr>
      <w:rFonts w:ascii="Times New Roman" w:hAnsi="Times New Roman" w:eastAsia="宋体" w:cs="Times New Roman"/>
      <w:b/>
      <w:bCs/>
      <w:kern w:val="0"/>
      <w:szCs w:val="21"/>
    </w:rPr>
  </w:style>
  <w:style w:type="character" w:customStyle="1" w:styleId="67">
    <w:name w:val="批注文字 字符"/>
    <w:link w:val="10"/>
    <w:autoRedefine/>
    <w:qFormat/>
    <w:locked/>
    <w:uiPriority w:val="0"/>
    <w:rPr>
      <w:rFonts w:ascii="Times New Roman" w:hAnsi="Times New Roman" w:eastAsia="宋体" w:cs="Times New Roman"/>
      <w:kern w:val="0"/>
      <w:szCs w:val="21"/>
    </w:rPr>
  </w:style>
  <w:style w:type="character" w:customStyle="1" w:styleId="68">
    <w:name w:val="Plain Text Char"/>
    <w:autoRedefine/>
    <w:qFormat/>
    <w:locked/>
    <w:uiPriority w:val="99"/>
    <w:rPr>
      <w:rFonts w:ascii="宋体" w:hAnsi="Courier New" w:eastAsia="宋体" w:cs="Times New Roman"/>
      <w:kern w:val="2"/>
      <w:sz w:val="21"/>
    </w:rPr>
  </w:style>
  <w:style w:type="character" w:customStyle="1" w:styleId="69">
    <w:name w:val="Footer Char"/>
    <w:autoRedefine/>
    <w:qFormat/>
    <w:locked/>
    <w:uiPriority w:val="99"/>
    <w:rPr>
      <w:rFonts w:eastAsia="宋体" w:cs="Times New Roman"/>
      <w:sz w:val="18"/>
    </w:rPr>
  </w:style>
  <w:style w:type="character" w:customStyle="1" w:styleId="70">
    <w:name w:val="Header Char"/>
    <w:autoRedefine/>
    <w:qFormat/>
    <w:locked/>
    <w:uiPriority w:val="99"/>
    <w:rPr>
      <w:rFonts w:eastAsia="宋体" w:cs="Times New Roman"/>
      <w:sz w:val="18"/>
    </w:rPr>
  </w:style>
  <w:style w:type="paragraph" w:customStyle="1" w:styleId="71">
    <w:name w:val="样式1"/>
    <w:basedOn w:val="1"/>
    <w:autoRedefine/>
    <w:qFormat/>
    <w:uiPriority w:val="99"/>
    <w:pPr>
      <w:adjustRightInd w:val="0"/>
      <w:textAlignment w:val="baseline"/>
    </w:pPr>
    <w:rPr>
      <w:rFonts w:ascii="宋体" w:hAnsi="宋体" w:eastAsia="宋体" w:cs="宋体"/>
      <w:kern w:val="0"/>
      <w:szCs w:val="21"/>
    </w:rPr>
  </w:style>
  <w:style w:type="character" w:customStyle="1" w:styleId="72">
    <w:name w:val="apple-converted-space"/>
    <w:autoRedefine/>
    <w:qFormat/>
    <w:uiPriority w:val="99"/>
    <w:rPr>
      <w:rFonts w:cs="Times New Roman"/>
    </w:rPr>
  </w:style>
  <w:style w:type="paragraph" w:customStyle="1" w:styleId="73">
    <w:name w:val="Char1 Char Char Char Char Char Char"/>
    <w:basedOn w:val="1"/>
    <w:autoRedefine/>
    <w:qFormat/>
    <w:uiPriority w:val="99"/>
    <w:rPr>
      <w:rFonts w:ascii="Tahoma" w:hAnsi="Tahoma" w:eastAsia="宋体" w:cs="Tahoma"/>
      <w:sz w:val="24"/>
      <w:szCs w:val="24"/>
    </w:rPr>
  </w:style>
  <w:style w:type="paragraph" w:customStyle="1" w:styleId="74">
    <w:name w:val="默认段落字体 Para Char Char Char1 Char Char Char Char Char Char Char"/>
    <w:basedOn w:val="1"/>
    <w:autoRedefine/>
    <w:qFormat/>
    <w:uiPriority w:val="99"/>
    <w:pPr>
      <w:adjustRightInd w:val="0"/>
      <w:spacing w:line="360" w:lineRule="auto"/>
    </w:pPr>
    <w:rPr>
      <w:rFonts w:ascii="Times New Roman" w:hAnsi="Times New Roman" w:eastAsia="宋体" w:cs="Times New Roman"/>
      <w:szCs w:val="21"/>
    </w:rPr>
  </w:style>
  <w:style w:type="character" w:customStyle="1" w:styleId="75">
    <w:name w:val="15"/>
    <w:autoRedefine/>
    <w:qFormat/>
    <w:uiPriority w:val="99"/>
    <w:rPr>
      <w:rFonts w:ascii="Times New Roman" w:hAnsi="Times New Roman"/>
      <w:color w:val="0000FF"/>
      <w:u w:val="single"/>
    </w:rPr>
  </w:style>
  <w:style w:type="paragraph" w:customStyle="1" w:styleId="76">
    <w:name w:val="Char"/>
    <w:basedOn w:val="1"/>
    <w:autoRedefine/>
    <w:qFormat/>
    <w:uiPriority w:val="0"/>
    <w:rPr>
      <w:rFonts w:ascii="Tahoma" w:hAnsi="Tahoma" w:eastAsia="宋体" w:cs="Tahoma"/>
      <w:sz w:val="24"/>
      <w:szCs w:val="24"/>
    </w:rPr>
  </w:style>
  <w:style w:type="paragraph" w:customStyle="1" w:styleId="77">
    <w:name w:val="D&amp;L"/>
    <w:basedOn w:val="21"/>
    <w:autoRedefine/>
    <w:qFormat/>
    <w:uiPriority w:val="99"/>
    <w:pPr>
      <w:pBdr>
        <w:bottom w:val="thinThickSmallGap" w:color="auto" w:sz="12" w:space="1"/>
      </w:pBdr>
      <w:tabs>
        <w:tab w:val="clear" w:pos="4153"/>
        <w:tab w:val="clear" w:pos="8306"/>
      </w:tabs>
      <w:adjustRightInd w:val="0"/>
      <w:snapToGrid/>
      <w:spacing w:line="240" w:lineRule="atLeast"/>
      <w:textAlignment w:val="baseline"/>
    </w:pPr>
    <w:rPr>
      <w:rFonts w:ascii="Times New Roman" w:hAnsi="Times New Roman" w:eastAsia="宋体" w:cs="Times New Roman"/>
      <w:kern w:val="0"/>
      <w:sz w:val="24"/>
      <w:szCs w:val="24"/>
    </w:rPr>
  </w:style>
  <w:style w:type="paragraph" w:customStyle="1" w:styleId="78">
    <w:name w:val="Char Char Char Char Char Char Char1 Char"/>
    <w:basedOn w:val="1"/>
    <w:autoRedefine/>
    <w:qFormat/>
    <w:uiPriority w:val="99"/>
    <w:rPr>
      <w:rFonts w:ascii="Tahoma" w:hAnsi="Tahoma" w:eastAsia="宋体" w:cs="Tahoma"/>
      <w:sz w:val="24"/>
      <w:szCs w:val="24"/>
    </w:rPr>
  </w:style>
  <w:style w:type="paragraph" w:customStyle="1" w:styleId="79">
    <w:name w:val="xl31"/>
    <w:basedOn w:val="1"/>
    <w:autoRedefine/>
    <w:qFormat/>
    <w:uiPriority w:val="99"/>
    <w:pPr>
      <w:widowControl/>
      <w:spacing w:before="100" w:beforeAutospacing="1" w:after="100" w:afterAutospacing="1"/>
      <w:jc w:val="center"/>
    </w:pPr>
    <w:rPr>
      <w:rFonts w:ascii="宋体" w:hAnsi="宋体" w:eastAsia="宋体" w:cs="宋体"/>
      <w:b/>
      <w:bCs/>
      <w:kern w:val="0"/>
      <w:sz w:val="28"/>
      <w:szCs w:val="28"/>
    </w:rPr>
  </w:style>
  <w:style w:type="character" w:customStyle="1" w:styleId="80">
    <w:name w:val="10"/>
    <w:autoRedefine/>
    <w:qFormat/>
    <w:uiPriority w:val="99"/>
    <w:rPr>
      <w:rFonts w:ascii="Times New Roman" w:hAnsi="Times New Roman"/>
    </w:rPr>
  </w:style>
  <w:style w:type="character" w:customStyle="1" w:styleId="81">
    <w:name w:val="16"/>
    <w:autoRedefine/>
    <w:qFormat/>
    <w:uiPriority w:val="99"/>
    <w:rPr>
      <w:rFonts w:ascii="Times New Roman" w:hAnsi="Times New Roman"/>
    </w:rPr>
  </w:style>
  <w:style w:type="paragraph" w:customStyle="1" w:styleId="82">
    <w:name w:val="列出段落1"/>
    <w:basedOn w:val="1"/>
    <w:autoRedefine/>
    <w:qFormat/>
    <w:uiPriority w:val="99"/>
    <w:pPr>
      <w:ind w:firstLine="420" w:firstLineChars="200"/>
    </w:pPr>
    <w:rPr>
      <w:rFonts w:ascii="Times New Roman" w:hAnsi="Times New Roman" w:eastAsia="宋体" w:cs="Times New Roman"/>
      <w:szCs w:val="21"/>
    </w:rPr>
  </w:style>
  <w:style w:type="character" w:customStyle="1" w:styleId="83">
    <w:name w:val="tpc_content1"/>
    <w:autoRedefine/>
    <w:qFormat/>
    <w:uiPriority w:val="99"/>
    <w:rPr>
      <w:sz w:val="13"/>
    </w:rPr>
  </w:style>
  <w:style w:type="paragraph" w:styleId="84">
    <w:name w:val="List Paragraph"/>
    <w:basedOn w:val="1"/>
    <w:autoRedefine/>
    <w:qFormat/>
    <w:uiPriority w:val="99"/>
    <w:pPr>
      <w:ind w:firstLine="420" w:firstLineChars="200"/>
    </w:pPr>
    <w:rPr>
      <w:rFonts w:ascii="Times New Roman" w:hAnsi="Times New Roman" w:eastAsia="宋体" w:cs="Times New Roman"/>
      <w:szCs w:val="21"/>
    </w:rPr>
  </w:style>
  <w:style w:type="paragraph" w:customStyle="1" w:styleId="85">
    <w:name w:val="Table Paragraph"/>
    <w:basedOn w:val="1"/>
    <w:autoRedefine/>
    <w:qFormat/>
    <w:uiPriority w:val="0"/>
    <w:pPr>
      <w:spacing w:before="27" w:line="360" w:lineRule="auto"/>
      <w:ind w:right="102"/>
      <w:jc w:val="left"/>
    </w:pPr>
    <w:rPr>
      <w:rFonts w:ascii="仿宋" w:hAnsi="仿宋" w:eastAsia="仿宋" w:cs="仿宋"/>
      <w:color w:val="FF0000"/>
      <w:sz w:val="24"/>
      <w:szCs w:val="24"/>
    </w:rPr>
  </w:style>
  <w:style w:type="character" w:customStyle="1" w:styleId="86">
    <w:name w:val="结束语 字符1"/>
    <w:basedOn w:val="35"/>
    <w:link w:val="12"/>
    <w:autoRedefine/>
    <w:qFormat/>
    <w:uiPriority w:val="0"/>
    <w:rPr>
      <w:rFonts w:ascii="Calibri" w:hAnsi="Calibri" w:eastAsia="等线" w:cs="Times New Roman"/>
    </w:rPr>
  </w:style>
  <w:style w:type="character" w:customStyle="1" w:styleId="87">
    <w:name w:val="结束语 字符"/>
    <w:autoRedefine/>
    <w:semiHidden/>
    <w:qFormat/>
    <w:uiPriority w:val="99"/>
    <w:rPr>
      <w:kern w:val="2"/>
      <w:sz w:val="21"/>
      <w:szCs w:val="21"/>
    </w:rPr>
  </w:style>
  <w:style w:type="character" w:customStyle="1" w:styleId="88">
    <w:name w:val="正文文本 字符1"/>
    <w:basedOn w:val="35"/>
    <w:link w:val="2"/>
    <w:autoRedefine/>
    <w:qFormat/>
    <w:uiPriority w:val="0"/>
    <w:rPr>
      <w:rFonts w:ascii="等线" w:hAnsi="等线" w:eastAsia="等线" w:cs="Times New Roman"/>
      <w:szCs w:val="24"/>
    </w:rPr>
  </w:style>
  <w:style w:type="character" w:customStyle="1" w:styleId="89">
    <w:name w:val="正文文本 字符"/>
    <w:autoRedefine/>
    <w:semiHidden/>
    <w:qFormat/>
    <w:uiPriority w:val="99"/>
    <w:rPr>
      <w:kern w:val="2"/>
      <w:sz w:val="21"/>
      <w:szCs w:val="21"/>
    </w:rPr>
  </w:style>
  <w:style w:type="character" w:customStyle="1" w:styleId="90">
    <w:name w:val="正文文本缩进 2 字符1"/>
    <w:basedOn w:val="35"/>
    <w:link w:val="18"/>
    <w:autoRedefine/>
    <w:qFormat/>
    <w:uiPriority w:val="0"/>
    <w:rPr>
      <w:rFonts w:ascii="等线" w:hAnsi="等线" w:eastAsia="等线" w:cs="Times New Roman"/>
      <w:szCs w:val="24"/>
    </w:rPr>
  </w:style>
  <w:style w:type="character" w:customStyle="1" w:styleId="91">
    <w:name w:val="正文文本缩进 2 字符"/>
    <w:autoRedefine/>
    <w:semiHidden/>
    <w:qFormat/>
    <w:uiPriority w:val="99"/>
    <w:rPr>
      <w:kern w:val="2"/>
      <w:sz w:val="21"/>
      <w:szCs w:val="21"/>
    </w:rPr>
  </w:style>
  <w:style w:type="character" w:customStyle="1" w:styleId="92">
    <w:name w:val="正文文本缩进 3 字符"/>
    <w:basedOn w:val="35"/>
    <w:link w:val="23"/>
    <w:autoRedefine/>
    <w:qFormat/>
    <w:uiPriority w:val="0"/>
    <w:rPr>
      <w:rFonts w:ascii="Calibri" w:hAnsi="Calibri" w:eastAsia="宋体" w:cs="Times New Roman"/>
      <w:sz w:val="16"/>
      <w:szCs w:val="24"/>
    </w:rPr>
  </w:style>
  <w:style w:type="character" w:customStyle="1" w:styleId="93">
    <w:name w:val="正文文本首行缩进 字符"/>
    <w:basedOn w:val="88"/>
    <w:link w:val="31"/>
    <w:autoRedefine/>
    <w:qFormat/>
    <w:uiPriority w:val="0"/>
    <w:rPr>
      <w:rFonts w:ascii="等线" w:hAnsi="等线" w:eastAsia="等线" w:cs="Times New Roman"/>
      <w:szCs w:val="24"/>
    </w:rPr>
  </w:style>
  <w:style w:type="paragraph" w:customStyle="1" w:styleId="94">
    <w:name w:val="正文 1.1.1"/>
    <w:basedOn w:val="1"/>
    <w:next w:val="1"/>
    <w:autoRedefine/>
    <w:qFormat/>
    <w:uiPriority w:val="0"/>
    <w:pPr>
      <w:numPr>
        <w:ilvl w:val="0"/>
        <w:numId w:val="1"/>
      </w:numPr>
      <w:tabs>
        <w:tab w:val="left" w:pos="851"/>
      </w:tabs>
      <w:outlineLvl w:val="2"/>
    </w:pPr>
    <w:rPr>
      <w:rFonts w:ascii="Times New Roman" w:hAnsi="宋体" w:eastAsia="宋体" w:cs="Times New Roman"/>
      <w:color w:val="FF0000"/>
      <w:szCs w:val="24"/>
    </w:rPr>
  </w:style>
  <w:style w:type="paragraph" w:customStyle="1" w:styleId="95">
    <w:name w:val="正文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
    <w:name w:val="Char Char Char Char"/>
    <w:basedOn w:val="1"/>
    <w:autoRedefine/>
    <w:qFormat/>
    <w:uiPriority w:val="0"/>
    <w:pPr>
      <w:tabs>
        <w:tab w:val="left" w:pos="360"/>
      </w:tabs>
      <w:ind w:firstLine="420" w:firstLineChars="150"/>
    </w:pPr>
    <w:rPr>
      <w:rFonts w:ascii="Arial" w:hAnsi="Arial" w:eastAsia="宋体" w:cs="Arial"/>
      <w:sz w:val="20"/>
      <w:szCs w:val="20"/>
    </w:rPr>
  </w:style>
  <w:style w:type="paragraph" w:customStyle="1" w:styleId="97">
    <w:name w:val="_Style 4"/>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1 Char"/>
    <w:basedOn w:val="1"/>
    <w:autoRedefine/>
    <w:qFormat/>
    <w:uiPriority w:val="0"/>
    <w:pPr>
      <w:spacing w:line="360" w:lineRule="auto"/>
      <w:ind w:firstLine="200" w:firstLineChars="200"/>
    </w:pPr>
    <w:rPr>
      <w:rFonts w:ascii="Times New Roman" w:hAnsi="Times New Roman" w:eastAsia="宋体" w:cs="Times New Roman"/>
      <w:szCs w:val="24"/>
    </w:rPr>
  </w:style>
  <w:style w:type="paragraph" w:customStyle="1" w:styleId="99">
    <w:name w:val="正文1"/>
    <w:autoRedefine/>
    <w:qFormat/>
    <w:uiPriority w:val="0"/>
    <w:rPr>
      <w:rFonts w:ascii="Times New Roman" w:hAnsi="Times New Roman" w:eastAsia="Times New Roman" w:cs="Times New Roman"/>
      <w:sz w:val="24"/>
      <w:szCs w:val="24"/>
      <w:lang w:val="en-US" w:eastAsia="zh-CN" w:bidi="ar-SA"/>
    </w:rPr>
  </w:style>
  <w:style w:type="paragraph" w:customStyle="1" w:styleId="100">
    <w:name w:val="默认段落字体 Para Char Char Char Char Char Char Char Char Char1 Char Char Char Char Char Char Char Char"/>
    <w:basedOn w:val="8"/>
    <w:autoRedefine/>
    <w:qFormat/>
    <w:uiPriority w:val="0"/>
    <w:pPr>
      <w:shd w:val="clear" w:color="auto" w:fill="000080"/>
    </w:pPr>
    <w:rPr>
      <w:rFonts w:ascii="等线" w:hAnsi="等线" w:eastAsia="等线"/>
      <w:kern w:val="2"/>
      <w:sz w:val="21"/>
      <w:szCs w:val="24"/>
    </w:rPr>
  </w:style>
  <w:style w:type="paragraph" w:customStyle="1" w:styleId="101">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102">
    <w:name w:val="Char Char Char Char Char Char Char1 Char Char Char Char Char Char Char"/>
    <w:basedOn w:val="1"/>
    <w:autoRedefine/>
    <w:qFormat/>
    <w:uiPriority w:val="0"/>
    <w:rPr>
      <w:rFonts w:ascii="Tahoma" w:hAnsi="Tahoma" w:eastAsia="宋体" w:cs="Times New Roman"/>
      <w:sz w:val="24"/>
      <w:szCs w:val="20"/>
    </w:rPr>
  </w:style>
  <w:style w:type="paragraph" w:customStyle="1" w:styleId="103">
    <w:name w:val="Char Char Char"/>
    <w:basedOn w:val="1"/>
    <w:autoRedefine/>
    <w:qFormat/>
    <w:uiPriority w:val="0"/>
    <w:rPr>
      <w:rFonts w:ascii="Tahoma" w:hAnsi="Tahoma" w:eastAsia="宋体" w:cs="Times New Roman"/>
      <w:sz w:val="24"/>
      <w:szCs w:val="20"/>
    </w:rPr>
  </w:style>
  <w:style w:type="paragraph" w:customStyle="1" w:styleId="104">
    <w:name w:val="目录"/>
    <w:basedOn w:val="1"/>
    <w:autoRedefine/>
    <w:qFormat/>
    <w:uiPriority w:val="0"/>
    <w:pPr>
      <w:widowControl/>
      <w:jc w:val="center"/>
    </w:pPr>
    <w:rPr>
      <w:rFonts w:ascii="宋体" w:hAnsi="Times New Roman" w:eastAsia="宋体" w:cs="Times New Roman"/>
      <w:b/>
      <w:kern w:val="0"/>
      <w:sz w:val="36"/>
      <w:szCs w:val="24"/>
    </w:rPr>
  </w:style>
  <w:style w:type="paragraph" w:customStyle="1" w:styleId="105">
    <w:name w:val="正文_3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正文空2格  1."/>
    <w:basedOn w:val="1"/>
    <w:autoRedefine/>
    <w:qFormat/>
    <w:uiPriority w:val="0"/>
    <w:pPr>
      <w:ind w:firstLine="480" w:firstLineChars="200"/>
    </w:pPr>
    <w:rPr>
      <w:rFonts w:ascii="Times New Roman" w:hAnsi="Times New Roman" w:eastAsia="宋体" w:cs="宋体"/>
      <w:sz w:val="28"/>
      <w:szCs w:val="20"/>
    </w:rPr>
  </w:style>
  <w:style w:type="paragraph" w:customStyle="1" w:styleId="107">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08">
    <w:name w:val="样式2"/>
    <w:basedOn w:val="1"/>
    <w:link w:val="114"/>
    <w:autoRedefine/>
    <w:qFormat/>
    <w:uiPriority w:val="0"/>
    <w:pPr>
      <w:spacing w:line="600" w:lineRule="exact"/>
    </w:pPr>
    <w:rPr>
      <w:rFonts w:ascii="仿宋_GB2312" w:hAnsi="宋体" w:eastAsia="仿宋_GB2312" w:cs="Times New Roman"/>
      <w:b/>
      <w:sz w:val="32"/>
      <w:szCs w:val="32"/>
    </w:rPr>
  </w:style>
  <w:style w:type="paragraph" w:customStyle="1" w:styleId="109">
    <w:name w:val="_Style 55"/>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10">
    <w:name w:val="日期 字符1"/>
    <w:autoRedefine/>
    <w:qFormat/>
    <w:uiPriority w:val="0"/>
    <w:rPr>
      <w:rFonts w:ascii="黑体" w:hAnsi="宋体" w:eastAsia="黑体"/>
      <w:b/>
      <w:bCs/>
      <w:color w:val="000000"/>
      <w:sz w:val="44"/>
      <w:szCs w:val="36"/>
    </w:rPr>
  </w:style>
  <w:style w:type="character" w:customStyle="1" w:styleId="111">
    <w:name w:val="正文文本缩进 字符1"/>
    <w:autoRedefine/>
    <w:qFormat/>
    <w:uiPriority w:val="0"/>
    <w:rPr>
      <w:rFonts w:ascii="仿宋_GB2312" w:eastAsia="仿宋_GB2312"/>
      <w:sz w:val="24"/>
      <w:szCs w:val="21"/>
    </w:rPr>
  </w:style>
  <w:style w:type="character" w:customStyle="1" w:styleId="112">
    <w:name w:val="纯文本字符"/>
    <w:autoRedefine/>
    <w:qFormat/>
    <w:uiPriority w:val="0"/>
    <w:rPr>
      <w:rFonts w:ascii="宋体" w:hAnsi="Courier New" w:eastAsia="仿宋_GB2312" w:cs="Courier New"/>
      <w:kern w:val="2"/>
      <w:sz w:val="32"/>
      <w:szCs w:val="21"/>
    </w:rPr>
  </w:style>
  <w:style w:type="character" w:customStyle="1" w:styleId="113">
    <w:name w:val="页脚 字符1"/>
    <w:autoRedefine/>
    <w:qFormat/>
    <w:uiPriority w:val="0"/>
    <w:rPr>
      <w:sz w:val="18"/>
      <w:szCs w:val="24"/>
    </w:rPr>
  </w:style>
  <w:style w:type="character" w:customStyle="1" w:styleId="114">
    <w:name w:val="样式2 Char Char"/>
    <w:link w:val="108"/>
    <w:autoRedefine/>
    <w:qFormat/>
    <w:uiPriority w:val="0"/>
    <w:rPr>
      <w:rFonts w:ascii="仿宋_GB2312" w:hAnsi="宋体" w:eastAsia="仿宋_GB2312" w:cs="Times New Roman"/>
      <w:b/>
      <w:sz w:val="32"/>
      <w:szCs w:val="32"/>
    </w:rPr>
  </w:style>
  <w:style w:type="character" w:customStyle="1" w:styleId="115">
    <w:name w:val="标题 1 字符1"/>
    <w:autoRedefine/>
    <w:qFormat/>
    <w:uiPriority w:val="0"/>
    <w:rPr>
      <w:rFonts w:ascii="Times New Roman" w:hAnsi="Times New Roman" w:eastAsia="宋体" w:cs="Times New Roman"/>
      <w:b/>
      <w:bCs/>
      <w:kern w:val="44"/>
      <w:sz w:val="44"/>
      <w:szCs w:val="44"/>
    </w:rPr>
  </w:style>
  <w:style w:type="character" w:customStyle="1" w:styleId="116">
    <w:name w:val="页眉 字符1"/>
    <w:autoRedefine/>
    <w:qFormat/>
    <w:uiPriority w:val="99"/>
    <w:rPr>
      <w:sz w:val="18"/>
      <w:szCs w:val="24"/>
    </w:rPr>
  </w:style>
  <w:style w:type="character" w:customStyle="1" w:styleId="117">
    <w:name w:val="页眉 Char1"/>
    <w:autoRedefine/>
    <w:semiHidden/>
    <w:qFormat/>
    <w:uiPriority w:val="99"/>
    <w:rPr>
      <w:kern w:val="2"/>
      <w:sz w:val="18"/>
      <w:szCs w:val="18"/>
    </w:rPr>
  </w:style>
  <w:style w:type="character" w:customStyle="1" w:styleId="118">
    <w:name w:val="标题 3 字符1"/>
    <w:autoRedefine/>
    <w:qFormat/>
    <w:uiPriority w:val="0"/>
    <w:rPr>
      <w:rFonts w:ascii="Times New Roman" w:hAnsi="Times New Roman" w:eastAsia="宋体" w:cs="Times New Roman"/>
      <w:b/>
      <w:bCs/>
      <w:sz w:val="32"/>
      <w:szCs w:val="32"/>
    </w:rPr>
  </w:style>
  <w:style w:type="character" w:customStyle="1" w:styleId="119">
    <w:name w:val="文档结构图 字符1"/>
    <w:autoRedefine/>
    <w:semiHidden/>
    <w:qFormat/>
    <w:uiPriority w:val="0"/>
    <w:rPr>
      <w:szCs w:val="24"/>
      <w:shd w:val="clear" w:color="auto" w:fill="000080"/>
    </w:rPr>
  </w:style>
  <w:style w:type="character" w:customStyle="1" w:styleId="120">
    <w:name w:val="标题 2 字符1"/>
    <w:autoRedefine/>
    <w:qFormat/>
    <w:uiPriority w:val="0"/>
    <w:rPr>
      <w:rFonts w:ascii="Arial" w:hAnsi="Arial" w:eastAsia="黑体" w:cs="Times New Roman"/>
      <w:b/>
      <w:bCs/>
      <w:sz w:val="32"/>
      <w:szCs w:val="32"/>
    </w:rPr>
  </w:style>
  <w:style w:type="character" w:customStyle="1" w:styleId="121">
    <w:name w:val="批注框文本 字符1"/>
    <w:autoRedefine/>
    <w:semiHidden/>
    <w:qFormat/>
    <w:uiPriority w:val="0"/>
    <w:rPr>
      <w:sz w:val="18"/>
      <w:szCs w:val="18"/>
    </w:rPr>
  </w:style>
  <w:style w:type="character" w:customStyle="1" w:styleId="122">
    <w:name w:val="纯文本 字符1"/>
    <w:autoRedefine/>
    <w:qFormat/>
    <w:uiPriority w:val="0"/>
    <w:rPr>
      <w:rFonts w:ascii="宋体" w:hAnsi="Courier New"/>
    </w:rPr>
  </w:style>
  <w:style w:type="character" w:customStyle="1" w:styleId="123">
    <w:name w:val="正文首行缩进 字符"/>
    <w:autoRedefine/>
    <w:semiHidden/>
    <w:qFormat/>
    <w:uiPriority w:val="99"/>
  </w:style>
  <w:style w:type="character" w:customStyle="1" w:styleId="124">
    <w:name w:val="正文文本缩进 字符2"/>
    <w:autoRedefine/>
    <w:semiHidden/>
    <w:qFormat/>
    <w:uiPriority w:val="99"/>
    <w:rPr>
      <w:rFonts w:ascii="Times New Roman" w:hAnsi="Times New Roman" w:eastAsia="宋体" w:cs="Times New Roman"/>
      <w:szCs w:val="24"/>
    </w:rPr>
  </w:style>
  <w:style w:type="character" w:customStyle="1" w:styleId="125">
    <w:name w:val="批注文字 字符1"/>
    <w:autoRedefine/>
    <w:semiHidden/>
    <w:qFormat/>
    <w:uiPriority w:val="99"/>
    <w:rPr>
      <w:rFonts w:ascii="Times New Roman" w:hAnsi="Times New Roman" w:eastAsia="宋体" w:cs="Times New Roman"/>
      <w:szCs w:val="24"/>
    </w:rPr>
  </w:style>
  <w:style w:type="character" w:customStyle="1" w:styleId="126">
    <w:name w:val="正文文本 字符2"/>
    <w:autoRedefine/>
    <w:semiHidden/>
    <w:qFormat/>
    <w:uiPriority w:val="99"/>
    <w:rPr>
      <w:rFonts w:ascii="Times New Roman" w:hAnsi="Times New Roman" w:eastAsia="宋体" w:cs="Times New Roman"/>
      <w:szCs w:val="24"/>
    </w:rPr>
  </w:style>
  <w:style w:type="character" w:customStyle="1" w:styleId="127">
    <w:name w:val="批注主题 字符1"/>
    <w:autoRedefine/>
    <w:semiHidden/>
    <w:qFormat/>
    <w:uiPriority w:val="99"/>
    <w:rPr>
      <w:rFonts w:ascii="Times New Roman" w:hAnsi="Times New Roman" w:eastAsia="宋体" w:cs="Times New Roman"/>
      <w:b/>
      <w:bCs/>
      <w:szCs w:val="24"/>
    </w:rPr>
  </w:style>
  <w:style w:type="character" w:customStyle="1" w:styleId="128">
    <w:name w:val="结束语 字符2"/>
    <w:autoRedefine/>
    <w:semiHidden/>
    <w:qFormat/>
    <w:uiPriority w:val="99"/>
    <w:rPr>
      <w:rFonts w:ascii="Times New Roman" w:hAnsi="Times New Roman" w:eastAsia="宋体" w:cs="Times New Roman"/>
      <w:szCs w:val="24"/>
    </w:rPr>
  </w:style>
  <w:style w:type="character" w:customStyle="1" w:styleId="129">
    <w:name w:val="页眉 字符2"/>
    <w:autoRedefine/>
    <w:semiHidden/>
    <w:qFormat/>
    <w:uiPriority w:val="99"/>
    <w:rPr>
      <w:rFonts w:ascii="Times New Roman" w:hAnsi="Times New Roman" w:eastAsia="宋体" w:cs="Times New Roman"/>
      <w:sz w:val="18"/>
      <w:szCs w:val="18"/>
    </w:rPr>
  </w:style>
  <w:style w:type="character" w:customStyle="1" w:styleId="130">
    <w:name w:val="批注框文本 字符2"/>
    <w:autoRedefine/>
    <w:semiHidden/>
    <w:qFormat/>
    <w:uiPriority w:val="99"/>
    <w:rPr>
      <w:rFonts w:ascii="Times New Roman" w:hAnsi="Times New Roman" w:eastAsia="宋体" w:cs="Times New Roman"/>
      <w:sz w:val="18"/>
      <w:szCs w:val="18"/>
    </w:rPr>
  </w:style>
  <w:style w:type="character" w:customStyle="1" w:styleId="131">
    <w:name w:val="日期 字符2"/>
    <w:autoRedefine/>
    <w:semiHidden/>
    <w:qFormat/>
    <w:uiPriority w:val="99"/>
    <w:rPr>
      <w:rFonts w:ascii="Times New Roman" w:hAnsi="Times New Roman" w:eastAsia="宋体" w:cs="Times New Roman"/>
      <w:szCs w:val="24"/>
    </w:rPr>
  </w:style>
  <w:style w:type="character" w:customStyle="1" w:styleId="132">
    <w:name w:val="纯文本 字符2"/>
    <w:autoRedefine/>
    <w:semiHidden/>
    <w:qFormat/>
    <w:uiPriority w:val="99"/>
    <w:rPr>
      <w:rFonts w:ascii="等线" w:hAnsi="Courier New" w:cs="Courier New"/>
      <w:szCs w:val="24"/>
    </w:rPr>
  </w:style>
  <w:style w:type="character" w:customStyle="1" w:styleId="133">
    <w:name w:val="文档结构图 字符2"/>
    <w:autoRedefine/>
    <w:semiHidden/>
    <w:qFormat/>
    <w:uiPriority w:val="99"/>
    <w:rPr>
      <w:rFonts w:ascii="Microsoft YaHei UI" w:hAnsi="Times New Roman" w:eastAsia="Microsoft YaHei UI" w:cs="Times New Roman"/>
      <w:sz w:val="18"/>
      <w:szCs w:val="18"/>
    </w:rPr>
  </w:style>
  <w:style w:type="character" w:customStyle="1" w:styleId="134">
    <w:name w:val="正文文本缩进 2 字符2"/>
    <w:autoRedefine/>
    <w:semiHidden/>
    <w:qFormat/>
    <w:uiPriority w:val="99"/>
    <w:rPr>
      <w:rFonts w:ascii="Times New Roman" w:hAnsi="Times New Roman" w:eastAsia="宋体" w:cs="Times New Roman"/>
      <w:szCs w:val="24"/>
    </w:rPr>
  </w:style>
  <w:style w:type="character" w:customStyle="1" w:styleId="135">
    <w:name w:val="正文首行缩进 字符2"/>
    <w:autoRedefine/>
    <w:semiHidden/>
    <w:qFormat/>
    <w:uiPriority w:val="99"/>
  </w:style>
  <w:style w:type="character" w:customStyle="1" w:styleId="136">
    <w:name w:val="页脚 字符2"/>
    <w:autoRedefine/>
    <w:semiHidden/>
    <w:qFormat/>
    <w:uiPriority w:val="99"/>
    <w:rPr>
      <w:rFonts w:ascii="Times New Roman" w:hAnsi="Times New Roman" w:eastAsia="宋体" w:cs="Times New Roman"/>
      <w:sz w:val="18"/>
      <w:szCs w:val="18"/>
    </w:rPr>
  </w:style>
  <w:style w:type="character" w:customStyle="1" w:styleId="137">
    <w:name w:val="正文文本缩进 3 字符1"/>
    <w:autoRedefine/>
    <w:semiHidden/>
    <w:qFormat/>
    <w:uiPriority w:val="99"/>
    <w:rPr>
      <w:rFonts w:ascii="Times New Roman" w:hAnsi="Times New Roman" w:eastAsia="宋体" w:cs="Times New Roman"/>
      <w:sz w:val="16"/>
      <w:szCs w:val="16"/>
    </w:rPr>
  </w:style>
  <w:style w:type="table" w:customStyle="1" w:styleId="138">
    <w:name w:val="网格型1"/>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9">
    <w:name w:val="List Paragraph1"/>
    <w:basedOn w:val="1"/>
    <w:autoRedefine/>
    <w:qFormat/>
    <w:uiPriority w:val="34"/>
    <w:pPr>
      <w:ind w:firstLine="420" w:firstLineChars="200"/>
    </w:pPr>
    <w:rPr>
      <w:rFonts w:ascii="Calibri" w:hAnsi="Calibri"/>
    </w:rPr>
  </w:style>
  <w:style w:type="paragraph" w:customStyle="1" w:styleId="140">
    <w:name w:val="标题3 附件1"/>
    <w:basedOn w:val="1"/>
    <w:autoRedefine/>
    <w:qFormat/>
    <w:uiPriority w:val="99"/>
    <w:pPr>
      <w:keepNext/>
      <w:keepLines/>
      <w:spacing w:before="340" w:after="330" w:line="360" w:lineRule="exact"/>
      <w:jc w:val="left"/>
      <w:outlineLvl w:val="2"/>
    </w:pPr>
    <w:rPr>
      <w:b/>
      <w:bCs/>
      <w:kern w:val="44"/>
      <w:szCs w:val="21"/>
    </w:rPr>
  </w:style>
  <w:style w:type="paragraph" w:customStyle="1" w:styleId="141">
    <w:name w:val="样式 标题 3 + (中文) 黑体 小四 非加粗 段前: 7.8 磅 段后: 0 磅 行距: 固定值 20 磅"/>
    <w:basedOn w:val="5"/>
    <w:autoRedefine/>
    <w:qFormat/>
    <w:uiPriority w:val="0"/>
    <w:pPr>
      <w:spacing w:before="0" w:after="0" w:line="400" w:lineRule="exact"/>
    </w:pPr>
    <w:rPr>
      <w:rFonts w:eastAsia="黑体"/>
      <w:b w:val="0"/>
      <w:bCs w:val="0"/>
      <w:sz w:val="24"/>
      <w:szCs w:val="20"/>
    </w:rPr>
  </w:style>
  <w:style w:type="paragraph" w:customStyle="1" w:styleId="142">
    <w:name w:val="WPSOffice手动目录 1"/>
    <w:autoRedefine/>
    <w:qFormat/>
    <w:uiPriority w:val="0"/>
    <w:rPr>
      <w:rFonts w:asciiTheme="minorHAnsi" w:hAnsiTheme="minorHAnsi" w:eastAsiaTheme="minorEastAsia" w:cstheme="minorBidi"/>
      <w:lang w:val="en-US" w:eastAsia="zh-CN" w:bidi="ar-SA"/>
    </w:rPr>
  </w:style>
  <w:style w:type="character" w:customStyle="1" w:styleId="143">
    <w:name w:val="unit"/>
    <w:autoRedefine/>
    <w:qFormat/>
    <w:uiPriority w:val="0"/>
  </w:style>
  <w:style w:type="paragraph" w:customStyle="1" w:styleId="14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5">
    <w:name w:val="样式 样式 样式 左侧:  2 字符1 + 首行缩进:  2 字符1 + 首行缩进:  2 字符"/>
    <w:basedOn w:val="1"/>
    <w:autoRedefine/>
    <w:qFormat/>
    <w:uiPriority w:val="0"/>
    <w:pPr>
      <w:widowControl/>
      <w:spacing w:before="60" w:after="120" w:line="440" w:lineRule="atLeast"/>
      <w:ind w:firstLine="480"/>
    </w:pPr>
    <w:rPr>
      <w:sz w:val="24"/>
      <w:szCs w:val="20"/>
    </w:rPr>
  </w:style>
  <w:style w:type="paragraph" w:customStyle="1" w:styleId="146">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147">
    <w:name w:val="标题1"/>
    <w:basedOn w:val="3"/>
    <w:autoRedefine/>
    <w:qFormat/>
    <w:uiPriority w:val="99"/>
    <w:pPr>
      <w:spacing w:line="360" w:lineRule="exact"/>
    </w:pPr>
    <w:rPr>
      <w:szCs w:val="36"/>
    </w:rPr>
  </w:style>
  <w:style w:type="paragraph" w:customStyle="1" w:styleId="148">
    <w:name w:val="12、表格内左对齐正文"/>
    <w:basedOn w:val="1"/>
    <w:autoRedefine/>
    <w:qFormat/>
    <w:uiPriority w:val="0"/>
    <w:pPr>
      <w:tabs>
        <w:tab w:val="left" w:pos="0"/>
      </w:tabs>
      <w:wordWrap w:val="0"/>
      <w:topLinePunct/>
      <w:adjustRightInd w:val="0"/>
      <w:snapToGrid w:val="0"/>
      <w:spacing w:line="360" w:lineRule="exact"/>
      <w:ind w:left="48" w:leftChars="20"/>
      <w:jc w:val="left"/>
    </w:pPr>
    <w:rPr>
      <w:rFonts w:ascii="宋体" w:hAnsi="宋体" w:cs="Times New Roman"/>
    </w:rPr>
  </w:style>
  <w:style w:type="table" w:customStyle="1" w:styleId="149">
    <w:name w:val="Table Normal"/>
    <w:autoRedefine/>
    <w:unhideWhenUsed/>
    <w:qFormat/>
    <w:uiPriority w:val="0"/>
    <w:tblPr>
      <w:tblCellMar>
        <w:top w:w="0" w:type="dxa"/>
        <w:left w:w="0" w:type="dxa"/>
        <w:bottom w:w="0" w:type="dxa"/>
        <w:right w:w="0" w:type="dxa"/>
      </w:tblCellMar>
    </w:tblPr>
  </w:style>
  <w:style w:type="character" w:customStyle="1" w:styleId="150">
    <w:name w:val="font11"/>
    <w:basedOn w:val="35"/>
    <w:autoRedefine/>
    <w:qFormat/>
    <w:uiPriority w:val="0"/>
    <w:rPr>
      <w:rFonts w:hint="eastAsia" w:ascii="宋体" w:hAnsi="宋体" w:eastAsia="宋体" w:cs="宋体"/>
      <w:color w:val="000000"/>
      <w:sz w:val="24"/>
      <w:szCs w:val="24"/>
      <w:u w:val="none"/>
    </w:rPr>
  </w:style>
  <w:style w:type="character" w:customStyle="1" w:styleId="151">
    <w:name w:val="layui-layer-tabnow"/>
    <w:basedOn w:val="35"/>
    <w:qFormat/>
    <w:uiPriority w:val="0"/>
    <w:rPr>
      <w:bdr w:val="single" w:color="CCCCCC" w:sz="6" w:space="0"/>
      <w:shd w:val="clear" w:color="auto" w:fill="FFFFFF"/>
    </w:rPr>
  </w:style>
  <w:style w:type="character" w:customStyle="1" w:styleId="152">
    <w:name w:val="first-child"/>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70</Pages>
  <Words>10419</Words>
  <Characters>11117</Characters>
  <Lines>272</Lines>
  <Paragraphs>76</Paragraphs>
  <TotalTime>76</TotalTime>
  <ScaleCrop>false</ScaleCrop>
  <LinksUpToDate>false</LinksUpToDate>
  <CharactersWithSpaces>11985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2025-08-20T03:43:00Z</dcterms:created>
  <dc:creator>刘峰</dc:creator>
  <cp:lastModifiedBy>独忆雨薇</cp:lastModifiedBy>
  <cp:lastPrinted>2025-08-20T02:52:00Z</cp:lastPrinted>
  <dcterms:modified xsi:type="dcterms:W3CDTF">2026-04-21T03:41:34Z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AA32B1E7A6614A4195F812BBF82D83D2_13</vt:lpwstr>
  </property>
  <property fmtid="{D5CDD505-2E9C-101B-9397-08002B2CF9AE}" pid="4" name="KSOTemplateDocerSaveRecord">
    <vt:lpwstr>eyJoZGlkIjoiYzM1NTA1NjY3ZDZkNzc3ZDJkNjM1MjE0YmQwNzljNjgiLCJ1c2VySWQiOiIxMTAwMTEwMDQwIn0=</vt:lpwstr>
  </property>
</Properties>
</file>