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5F80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62" w:firstLine="408" w:firstLineChars="100"/>
        <w:jc w:val="both"/>
        <w:textAlignment w:val="baseline"/>
        <w:rPr>
          <w:rFonts w:hint="eastAsia" w:ascii="宋体" w:hAnsi="宋体" w:eastAsia="宋体" w:cs="宋体"/>
          <w:b w:val="0"/>
          <w:bCs w:val="0"/>
          <w:i w:val="0"/>
          <w:strike w:val="0"/>
          <w:color w:val="auto"/>
          <w:spacing w:val="4"/>
          <w:sz w:val="40"/>
          <w:szCs w:val="52"/>
          <w:u w:val="none"/>
          <w:lang w:val="en-US" w:eastAsia="zh-CN"/>
        </w:rPr>
      </w:pPr>
      <w:r>
        <w:rPr>
          <w:rFonts w:hint="eastAsia" w:ascii="宋体" w:hAnsi="宋体" w:eastAsia="宋体" w:cs="宋体"/>
          <w:b w:val="0"/>
          <w:bCs w:val="0"/>
          <w:i w:val="0"/>
          <w:strike w:val="0"/>
          <w:color w:val="auto"/>
          <w:spacing w:val="4"/>
          <w:sz w:val="40"/>
          <w:szCs w:val="52"/>
          <w:u w:val="none"/>
          <w:lang w:val="en-US" w:eastAsia="zh-CN"/>
        </w:rPr>
        <w:t>莎车县2026年中小学办学条件改善项目-设计服务</w:t>
      </w:r>
    </w:p>
    <w:p w14:paraId="3813EFF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62" w:firstLine="408" w:firstLineChars="100"/>
        <w:jc w:val="both"/>
        <w:textAlignment w:val="baseline"/>
        <w:rPr>
          <w:rFonts w:hint="eastAsia" w:cs="宋体"/>
          <w:b w:val="0"/>
          <w:bCs w:val="0"/>
          <w:i w:val="0"/>
          <w:strike w:val="0"/>
          <w:color w:val="auto"/>
          <w:spacing w:val="4"/>
          <w:sz w:val="40"/>
          <w:szCs w:val="52"/>
          <w:u w:val="none"/>
          <w:lang w:val="en-US" w:eastAsia="zh-CN"/>
        </w:rPr>
      </w:pPr>
    </w:p>
    <w:p w14:paraId="133E30E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62" w:firstLine="2448" w:firstLineChars="600"/>
        <w:jc w:val="both"/>
        <w:textAlignment w:val="baseline"/>
        <w:rPr>
          <w:rFonts w:hint="eastAsia" w:ascii="宋体" w:hAnsi="宋体" w:eastAsia="宋体" w:cs="宋体"/>
          <w:b w:val="0"/>
          <w:bCs w:val="0"/>
          <w:i w:val="0"/>
          <w:strike w:val="0"/>
          <w:color w:val="auto"/>
          <w:spacing w:val="4"/>
          <w:sz w:val="40"/>
          <w:szCs w:val="52"/>
          <w:u w:val="none"/>
          <w:lang w:val="en-US" w:eastAsia="zh-CN"/>
        </w:rPr>
      </w:pPr>
      <w:r>
        <w:rPr>
          <w:rFonts w:hint="eastAsia" w:cs="宋体"/>
          <w:b w:val="0"/>
          <w:bCs w:val="0"/>
          <w:i w:val="0"/>
          <w:strike w:val="0"/>
          <w:color w:val="auto"/>
          <w:spacing w:val="4"/>
          <w:sz w:val="40"/>
          <w:szCs w:val="52"/>
          <w:u w:val="none"/>
          <w:lang w:val="en-US" w:eastAsia="zh-CN"/>
        </w:rPr>
        <w:t>（初步设计、施工图设计）</w:t>
      </w:r>
    </w:p>
    <w:p w14:paraId="1D1DD366">
      <w:pPr>
        <w:pStyle w:val="15"/>
        <w:spacing w:before="153" w:line="365" w:lineRule="auto"/>
        <w:ind w:right="61"/>
        <w:jc w:val="both"/>
        <w:rPr>
          <w:rFonts w:hint="eastAsia"/>
          <w:b/>
          <w:bCs/>
          <w:spacing w:val="4"/>
          <w:sz w:val="48"/>
          <w:szCs w:val="48"/>
          <w:lang w:val="en-US" w:eastAsia="zh-CN"/>
        </w:rPr>
      </w:pPr>
    </w:p>
    <w:p w14:paraId="1A3A0B36">
      <w:pPr>
        <w:pStyle w:val="15"/>
        <w:spacing w:before="153" w:line="365" w:lineRule="auto"/>
        <w:ind w:right="61" w:firstLine="2939" w:firstLineChars="600"/>
        <w:jc w:val="both"/>
        <w:rPr>
          <w:rFonts w:hint="eastAsia"/>
          <w:b w:val="0"/>
          <w:bCs w:val="0"/>
          <w:spacing w:val="4"/>
          <w:sz w:val="32"/>
          <w:szCs w:val="32"/>
          <w:lang w:val="en-US" w:eastAsia="zh-CN"/>
        </w:rPr>
      </w:pPr>
      <w:r>
        <w:rPr>
          <w:rFonts w:hint="eastAsia"/>
          <w:b/>
          <w:bCs/>
          <w:spacing w:val="4"/>
          <w:sz w:val="48"/>
          <w:szCs w:val="48"/>
          <w:lang w:val="en-US" w:eastAsia="zh-CN"/>
        </w:rPr>
        <w:t>竞争性磋商文件</w:t>
      </w:r>
    </w:p>
    <w:p w14:paraId="7605E08F">
      <w:pPr>
        <w:pStyle w:val="15"/>
        <w:spacing w:before="153" w:line="365" w:lineRule="auto"/>
        <w:ind w:right="61" w:firstLine="2624" w:firstLineChars="800"/>
        <w:jc w:val="both"/>
        <w:rPr>
          <w:rFonts w:hint="eastAsia"/>
          <w:b w:val="0"/>
          <w:bCs w:val="0"/>
          <w:spacing w:val="4"/>
          <w:sz w:val="32"/>
          <w:szCs w:val="32"/>
          <w:lang w:val="en-US" w:eastAsia="zh-CN"/>
        </w:rPr>
      </w:pPr>
    </w:p>
    <w:p w14:paraId="3AF93C20">
      <w:pPr>
        <w:pStyle w:val="15"/>
        <w:spacing w:before="153" w:line="365" w:lineRule="auto"/>
        <w:ind w:right="61" w:firstLine="2624" w:firstLineChars="800"/>
        <w:jc w:val="both"/>
        <w:rPr>
          <w:rFonts w:hint="eastAsia"/>
          <w:b w:val="0"/>
          <w:bCs w:val="0"/>
          <w:spacing w:val="4"/>
          <w:sz w:val="32"/>
          <w:szCs w:val="32"/>
          <w:lang w:val="en-US" w:eastAsia="zh-CN"/>
        </w:rPr>
      </w:pPr>
    </w:p>
    <w:p w14:paraId="5C1DD140">
      <w:pPr>
        <w:pStyle w:val="15"/>
        <w:spacing w:before="153" w:line="365" w:lineRule="auto"/>
        <w:ind w:right="61" w:firstLine="2296" w:firstLineChars="700"/>
        <w:jc w:val="both"/>
        <w:rPr>
          <w:rFonts w:hint="default"/>
          <w:b w:val="0"/>
          <w:bCs w:val="0"/>
          <w:spacing w:val="4"/>
          <w:sz w:val="32"/>
          <w:szCs w:val="32"/>
          <w:lang w:val="en-US" w:eastAsia="zh-CN"/>
        </w:rPr>
      </w:pPr>
      <w:r>
        <w:rPr>
          <w:rFonts w:hint="eastAsia"/>
          <w:b w:val="0"/>
          <w:bCs w:val="0"/>
          <w:spacing w:val="4"/>
          <w:sz w:val="32"/>
          <w:szCs w:val="32"/>
          <w:lang w:val="en-US" w:eastAsia="zh-CN"/>
        </w:rPr>
        <w:t>项目编号：XJZHKSCG(2026)009</w:t>
      </w:r>
    </w:p>
    <w:p w14:paraId="52D759FE">
      <w:pPr>
        <w:pStyle w:val="15"/>
        <w:spacing w:before="153" w:line="365" w:lineRule="auto"/>
        <w:ind w:right="61"/>
        <w:jc w:val="both"/>
        <w:rPr>
          <w:rFonts w:hint="eastAsia"/>
          <w:b w:val="0"/>
          <w:bCs w:val="0"/>
          <w:spacing w:val="4"/>
          <w:sz w:val="32"/>
          <w:szCs w:val="32"/>
          <w:lang w:val="en-US" w:eastAsia="zh-CN"/>
        </w:rPr>
      </w:pPr>
    </w:p>
    <w:p w14:paraId="3D806945">
      <w:pPr>
        <w:rPr>
          <w:rFonts w:hint="default"/>
          <w:lang w:val="en-US" w:eastAsia="zh-CN"/>
        </w:rPr>
      </w:pPr>
    </w:p>
    <w:p w14:paraId="7762D6BB">
      <w:pPr>
        <w:pStyle w:val="15"/>
        <w:spacing w:before="153" w:line="365" w:lineRule="auto"/>
        <w:ind w:right="61" w:firstLine="576" w:firstLineChars="200"/>
        <w:jc w:val="both"/>
        <w:rPr>
          <w:rFonts w:hint="default"/>
          <w:b w:val="0"/>
          <w:bCs w:val="0"/>
          <w:spacing w:val="4"/>
          <w:sz w:val="28"/>
          <w:szCs w:val="28"/>
          <w:u w:val="none"/>
          <w:lang w:val="en-US" w:eastAsia="zh-CN"/>
        </w:rPr>
      </w:pPr>
      <w:r>
        <w:rPr>
          <w:rFonts w:hint="eastAsia"/>
          <w:b w:val="0"/>
          <w:bCs w:val="0"/>
          <w:spacing w:val="4"/>
          <w:sz w:val="28"/>
          <w:szCs w:val="28"/>
          <w:u w:val="none"/>
          <w:lang w:val="en-US" w:eastAsia="zh-CN"/>
        </w:rPr>
        <w:t>采 购 人：莎车县教育局</w:t>
      </w:r>
    </w:p>
    <w:p w14:paraId="78887EC9">
      <w:pPr>
        <w:pStyle w:val="15"/>
        <w:spacing w:before="153" w:line="365" w:lineRule="auto"/>
        <w:ind w:right="61" w:firstLine="576" w:firstLineChars="200"/>
        <w:jc w:val="both"/>
        <w:rPr>
          <w:rFonts w:hint="default"/>
          <w:b w:val="0"/>
          <w:bCs w:val="0"/>
          <w:spacing w:val="4"/>
          <w:sz w:val="28"/>
          <w:szCs w:val="28"/>
          <w:u w:val="none"/>
          <w:lang w:val="en-US" w:eastAsia="zh-CN"/>
        </w:rPr>
      </w:pPr>
      <w:r>
        <w:rPr>
          <w:rFonts w:hint="eastAsia"/>
          <w:b w:val="0"/>
          <w:bCs w:val="0"/>
          <w:spacing w:val="4"/>
          <w:sz w:val="28"/>
          <w:szCs w:val="28"/>
          <w:u w:val="none"/>
          <w:lang w:val="en-US" w:eastAsia="zh-CN"/>
        </w:rPr>
        <w:t>联 系 人：李世林</w:t>
      </w:r>
    </w:p>
    <w:p w14:paraId="69B4BCB4">
      <w:pPr>
        <w:pStyle w:val="15"/>
        <w:spacing w:before="153" w:line="365" w:lineRule="auto"/>
        <w:ind w:right="61" w:firstLine="576" w:firstLineChars="200"/>
        <w:jc w:val="both"/>
        <w:rPr>
          <w:rFonts w:hint="default"/>
          <w:b w:val="0"/>
          <w:bCs w:val="0"/>
          <w:spacing w:val="4"/>
          <w:sz w:val="28"/>
          <w:szCs w:val="28"/>
          <w:u w:val="none"/>
          <w:lang w:val="en-US" w:eastAsia="zh-CN"/>
        </w:rPr>
      </w:pPr>
      <w:r>
        <w:rPr>
          <w:rFonts w:hint="eastAsia"/>
          <w:b w:val="0"/>
          <w:bCs w:val="0"/>
          <w:spacing w:val="4"/>
          <w:sz w:val="28"/>
          <w:szCs w:val="28"/>
          <w:u w:val="none"/>
          <w:lang w:val="en-US" w:eastAsia="zh-CN"/>
        </w:rPr>
        <w:t>联系电话：0998-8512598</w:t>
      </w:r>
    </w:p>
    <w:p w14:paraId="07620594">
      <w:pPr>
        <w:pStyle w:val="15"/>
        <w:spacing w:before="153" w:line="365" w:lineRule="auto"/>
        <w:ind w:right="61" w:firstLine="576" w:firstLineChars="200"/>
        <w:jc w:val="both"/>
        <w:rPr>
          <w:rFonts w:hint="default"/>
          <w:b w:val="0"/>
          <w:bCs w:val="0"/>
          <w:spacing w:val="4"/>
          <w:sz w:val="28"/>
          <w:szCs w:val="28"/>
          <w:u w:val="none"/>
          <w:lang w:val="en-US" w:eastAsia="zh-CN"/>
        </w:rPr>
      </w:pPr>
      <w:r>
        <w:rPr>
          <w:rFonts w:hint="eastAsia"/>
          <w:b w:val="0"/>
          <w:bCs w:val="0"/>
          <w:spacing w:val="4"/>
          <w:sz w:val="28"/>
          <w:szCs w:val="28"/>
          <w:u w:val="none"/>
          <w:lang w:val="en-US" w:eastAsia="zh-CN"/>
        </w:rPr>
        <w:t>采购代理机构：新疆正昊建设工程项目管理有限公司</w:t>
      </w:r>
    </w:p>
    <w:p w14:paraId="4938156B">
      <w:pPr>
        <w:pStyle w:val="15"/>
        <w:spacing w:before="153" w:line="365" w:lineRule="auto"/>
        <w:ind w:right="61" w:firstLine="576" w:firstLineChars="200"/>
        <w:jc w:val="both"/>
        <w:rPr>
          <w:rFonts w:hint="default"/>
          <w:b w:val="0"/>
          <w:bCs w:val="0"/>
          <w:spacing w:val="4"/>
          <w:sz w:val="28"/>
          <w:szCs w:val="28"/>
          <w:u w:val="none"/>
          <w:lang w:val="en-US" w:eastAsia="zh-CN"/>
        </w:rPr>
      </w:pPr>
      <w:r>
        <w:rPr>
          <w:rFonts w:hint="eastAsia"/>
          <w:b w:val="0"/>
          <w:bCs w:val="0"/>
          <w:spacing w:val="4"/>
          <w:sz w:val="28"/>
          <w:szCs w:val="28"/>
          <w:u w:val="none"/>
          <w:lang w:val="en-US" w:eastAsia="zh-CN"/>
        </w:rPr>
        <w:t>联 系 人：张俊</w:t>
      </w:r>
    </w:p>
    <w:p w14:paraId="61494DA3">
      <w:pPr>
        <w:pStyle w:val="15"/>
        <w:spacing w:before="153" w:line="365" w:lineRule="auto"/>
        <w:ind w:right="61" w:firstLine="576" w:firstLineChars="200"/>
        <w:jc w:val="both"/>
        <w:rPr>
          <w:rFonts w:hint="default"/>
          <w:b w:val="0"/>
          <w:bCs w:val="0"/>
          <w:spacing w:val="4"/>
          <w:sz w:val="32"/>
          <w:szCs w:val="32"/>
          <w:u w:val="none"/>
          <w:lang w:val="en-US" w:eastAsia="zh-CN"/>
        </w:rPr>
      </w:pPr>
      <w:r>
        <w:rPr>
          <w:rFonts w:hint="eastAsia"/>
          <w:b w:val="0"/>
          <w:bCs w:val="0"/>
          <w:spacing w:val="4"/>
          <w:sz w:val="28"/>
          <w:szCs w:val="28"/>
          <w:u w:val="none"/>
          <w:lang w:val="en-US" w:eastAsia="zh-CN"/>
        </w:rPr>
        <w:t>联系电话：15569403261</w:t>
      </w:r>
    </w:p>
    <w:p w14:paraId="12056A2B"/>
    <w:p w14:paraId="1F4440ED"/>
    <w:p w14:paraId="60A3C85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sz w:val="36"/>
          <w:szCs w:val="36"/>
        </w:rPr>
      </w:pPr>
    </w:p>
    <w:sdt>
      <w:sdtPr>
        <w:rPr>
          <w:rFonts w:ascii="宋体" w:hAnsi="宋体" w:eastAsia="宋体" w:cs="Arial"/>
          <w:snapToGrid w:val="0"/>
          <w:color w:val="000000"/>
          <w:kern w:val="0"/>
          <w:sz w:val="21"/>
          <w:szCs w:val="21"/>
          <w:lang w:val="en-US" w:eastAsia="en-US" w:bidi="ar-SA"/>
        </w:rPr>
        <w:id w:val="147481931"/>
        <w15:color w:val="DBDBDB"/>
        <w:docPartObj>
          <w:docPartGallery w:val="Table of Contents"/>
          <w:docPartUnique/>
        </w:docPartObj>
      </w:sdtPr>
      <w:sdtEndPr>
        <w:rPr>
          <w:rFonts w:hint="eastAsia" w:ascii="宋体" w:hAnsi="宋体" w:eastAsia="宋体" w:cs="宋体"/>
          <w:snapToGrid w:val="0"/>
          <w:color w:val="000000"/>
          <w:kern w:val="0"/>
          <w:sz w:val="21"/>
          <w:szCs w:val="36"/>
          <w:lang w:val="en-US" w:eastAsia="en-US" w:bidi="ar-SA"/>
        </w:rPr>
      </w:sdtEndPr>
      <w:sdtContent>
        <w:p w14:paraId="12FCFE1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14:paraId="56EDA55E">
          <w:pPr>
            <w:pStyle w:val="21"/>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TOC \o "1-3" \h \u </w:instrText>
          </w:r>
          <w:r>
            <w:rPr>
              <w:rFonts w:hint="eastAsia" w:ascii="宋体" w:hAnsi="宋体" w:eastAsia="宋体" w:cs="宋体"/>
              <w:sz w:val="44"/>
              <w:szCs w:val="44"/>
            </w:rPr>
            <w:fldChar w:fldCharType="separate"/>
          </w: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_Toc5298 </w:instrText>
          </w:r>
          <w:r>
            <w:rPr>
              <w:rFonts w:hint="eastAsia" w:ascii="宋体" w:hAnsi="宋体" w:eastAsia="宋体" w:cs="宋体"/>
              <w:sz w:val="24"/>
              <w:szCs w:val="44"/>
            </w:rPr>
            <w:fldChar w:fldCharType="separate"/>
          </w:r>
          <w:r>
            <w:rPr>
              <w:rFonts w:hint="eastAsia" w:ascii="宋体" w:hAnsi="宋体" w:eastAsia="宋体" w:cs="宋体"/>
              <w:sz w:val="24"/>
              <w:szCs w:val="44"/>
              <w:lang w:val="en-US" w:eastAsia="zh-CN"/>
            </w:rPr>
            <w:t>第一册</w:t>
          </w:r>
          <w:r>
            <w:rPr>
              <w:sz w:val="24"/>
              <w:szCs w:val="24"/>
            </w:rPr>
            <w:tab/>
          </w:r>
          <w:r>
            <w:rPr>
              <w:sz w:val="24"/>
              <w:szCs w:val="24"/>
            </w:rPr>
            <w:fldChar w:fldCharType="begin"/>
          </w:r>
          <w:r>
            <w:rPr>
              <w:sz w:val="24"/>
              <w:szCs w:val="24"/>
            </w:rPr>
            <w:instrText xml:space="preserve"> PAGEREF _Toc5298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44"/>
            </w:rPr>
            <w:fldChar w:fldCharType="end"/>
          </w:r>
        </w:p>
        <w:p w14:paraId="02A76820">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_Toc21764 </w:instrText>
          </w:r>
          <w:r>
            <w:rPr>
              <w:rFonts w:hint="eastAsia" w:ascii="宋体" w:hAnsi="宋体" w:eastAsia="宋体" w:cs="宋体"/>
              <w:sz w:val="24"/>
              <w:szCs w:val="44"/>
            </w:rPr>
            <w:fldChar w:fldCharType="separate"/>
          </w:r>
          <w:r>
            <w:rPr>
              <w:rFonts w:hint="eastAsia" w:ascii="宋体" w:hAnsi="宋体" w:eastAsia="宋体" w:cs="宋体"/>
              <w:sz w:val="24"/>
              <w:szCs w:val="44"/>
            </w:rPr>
            <w:t>第</w:t>
          </w:r>
          <w:r>
            <w:rPr>
              <w:rFonts w:hint="eastAsia" w:ascii="宋体" w:hAnsi="宋体" w:eastAsia="宋体" w:cs="宋体"/>
              <w:sz w:val="24"/>
              <w:szCs w:val="44"/>
              <w:lang w:val="en-US" w:eastAsia="zh-CN"/>
            </w:rPr>
            <w:t>一</w:t>
          </w:r>
          <w:r>
            <w:rPr>
              <w:rFonts w:hint="eastAsia" w:ascii="宋体" w:hAnsi="宋体" w:eastAsia="宋体" w:cs="宋体"/>
              <w:sz w:val="24"/>
              <w:szCs w:val="44"/>
            </w:rPr>
            <w:t>章</w:t>
          </w:r>
          <w:r>
            <w:rPr>
              <w:rFonts w:hint="eastAsia" w:ascii="宋体" w:hAnsi="宋体" w:eastAsia="宋体" w:cs="宋体"/>
              <w:sz w:val="24"/>
              <w:szCs w:val="44"/>
              <w:lang w:val="en-US" w:eastAsia="zh-CN"/>
            </w:rPr>
            <w:t xml:space="preserve">  </w:t>
          </w:r>
          <w:r>
            <w:rPr>
              <w:rFonts w:hint="eastAsia" w:ascii="宋体" w:hAnsi="宋体" w:eastAsia="宋体" w:cs="宋体"/>
              <w:sz w:val="24"/>
              <w:szCs w:val="44"/>
              <w:lang w:eastAsia="zh-CN"/>
            </w:rPr>
            <w:t>供应商</w:t>
          </w:r>
          <w:r>
            <w:rPr>
              <w:rFonts w:hint="eastAsia" w:ascii="宋体" w:hAnsi="宋体" w:eastAsia="宋体" w:cs="宋体"/>
              <w:sz w:val="24"/>
              <w:szCs w:val="44"/>
            </w:rPr>
            <w:t>须知</w:t>
          </w:r>
          <w:r>
            <w:rPr>
              <w:sz w:val="24"/>
              <w:szCs w:val="24"/>
            </w:rPr>
            <w:tab/>
          </w:r>
          <w:r>
            <w:rPr>
              <w:sz w:val="24"/>
              <w:szCs w:val="24"/>
            </w:rPr>
            <w:fldChar w:fldCharType="begin"/>
          </w:r>
          <w:r>
            <w:rPr>
              <w:sz w:val="24"/>
              <w:szCs w:val="24"/>
            </w:rPr>
            <w:instrText xml:space="preserve"> PAGEREF _Toc21764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44"/>
            </w:rPr>
            <w:fldChar w:fldCharType="end"/>
          </w:r>
        </w:p>
        <w:p w14:paraId="7FAD0663">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_Toc32090 </w:instrText>
          </w:r>
          <w:r>
            <w:rPr>
              <w:rFonts w:hint="eastAsia" w:ascii="宋体" w:hAnsi="宋体" w:eastAsia="宋体" w:cs="宋体"/>
              <w:sz w:val="24"/>
              <w:szCs w:val="44"/>
            </w:rPr>
            <w:fldChar w:fldCharType="separate"/>
          </w:r>
          <w:r>
            <w:rPr>
              <w:rFonts w:hint="eastAsia" w:ascii="宋体" w:hAnsi="宋体" w:eastAsia="宋体" w:cs="宋体"/>
              <w:sz w:val="24"/>
              <w:szCs w:val="40"/>
            </w:rPr>
            <w:t>一</w:t>
          </w:r>
          <w:r>
            <w:rPr>
              <w:rFonts w:hint="eastAsia" w:ascii="宋体" w:hAnsi="宋体" w:eastAsia="宋体" w:cs="宋体"/>
              <w:sz w:val="24"/>
              <w:szCs w:val="40"/>
              <w:lang w:eastAsia="zh-CN"/>
            </w:rPr>
            <w:t>、</w:t>
          </w:r>
          <w:r>
            <w:rPr>
              <w:rFonts w:hint="eastAsia" w:ascii="宋体" w:hAnsi="宋体" w:eastAsia="宋体" w:cs="宋体"/>
              <w:sz w:val="24"/>
              <w:szCs w:val="40"/>
            </w:rPr>
            <w:t>总则</w:t>
          </w:r>
          <w:r>
            <w:rPr>
              <w:sz w:val="24"/>
              <w:szCs w:val="24"/>
            </w:rPr>
            <w:tab/>
          </w:r>
          <w:r>
            <w:rPr>
              <w:sz w:val="24"/>
              <w:szCs w:val="24"/>
            </w:rPr>
            <w:fldChar w:fldCharType="begin"/>
          </w:r>
          <w:r>
            <w:rPr>
              <w:sz w:val="24"/>
              <w:szCs w:val="24"/>
            </w:rPr>
            <w:instrText xml:space="preserve"> PAGEREF _Toc32090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44"/>
            </w:rPr>
            <w:fldChar w:fldCharType="end"/>
          </w:r>
        </w:p>
        <w:p w14:paraId="554496BB">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_Toc6113 </w:instrText>
          </w:r>
          <w:r>
            <w:rPr>
              <w:rFonts w:hint="eastAsia" w:ascii="宋体" w:hAnsi="宋体" w:eastAsia="宋体" w:cs="宋体"/>
              <w:sz w:val="24"/>
              <w:szCs w:val="44"/>
            </w:rPr>
            <w:fldChar w:fldCharType="separate"/>
          </w:r>
          <w:r>
            <w:rPr>
              <w:rFonts w:hint="eastAsia" w:ascii="宋体" w:hAnsi="宋体" w:eastAsia="宋体" w:cs="宋体"/>
              <w:sz w:val="24"/>
              <w:szCs w:val="40"/>
            </w:rPr>
            <w:t>二</w:t>
          </w:r>
          <w:r>
            <w:rPr>
              <w:rFonts w:hint="eastAsia" w:ascii="宋体" w:hAnsi="宋体" w:eastAsia="宋体" w:cs="宋体"/>
              <w:sz w:val="24"/>
              <w:szCs w:val="40"/>
              <w:lang w:eastAsia="zh-CN"/>
            </w:rPr>
            <w:t>、磋商文件</w:t>
          </w:r>
          <w:r>
            <w:rPr>
              <w:sz w:val="24"/>
              <w:szCs w:val="24"/>
            </w:rPr>
            <w:tab/>
          </w:r>
          <w:r>
            <w:rPr>
              <w:sz w:val="24"/>
              <w:szCs w:val="24"/>
            </w:rPr>
            <w:fldChar w:fldCharType="begin"/>
          </w:r>
          <w:r>
            <w:rPr>
              <w:sz w:val="24"/>
              <w:szCs w:val="24"/>
            </w:rPr>
            <w:instrText xml:space="preserve"> PAGEREF _Toc6113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44"/>
            </w:rPr>
            <w:fldChar w:fldCharType="end"/>
          </w:r>
        </w:p>
        <w:p w14:paraId="39A95360">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_Toc24420 </w:instrText>
          </w:r>
          <w:r>
            <w:rPr>
              <w:rFonts w:hint="eastAsia" w:ascii="宋体" w:hAnsi="宋体" w:eastAsia="宋体" w:cs="宋体"/>
              <w:sz w:val="24"/>
              <w:szCs w:val="44"/>
            </w:rPr>
            <w:fldChar w:fldCharType="separate"/>
          </w:r>
          <w:r>
            <w:rPr>
              <w:rFonts w:hint="eastAsia" w:ascii="宋体" w:hAnsi="宋体" w:eastAsia="宋体" w:cs="宋体"/>
              <w:sz w:val="24"/>
              <w:szCs w:val="40"/>
            </w:rPr>
            <w:t>三</w:t>
          </w:r>
          <w:r>
            <w:rPr>
              <w:rFonts w:hint="eastAsia" w:ascii="宋体" w:hAnsi="宋体" w:eastAsia="宋体" w:cs="宋体"/>
              <w:sz w:val="24"/>
              <w:szCs w:val="40"/>
              <w:lang w:eastAsia="zh-CN"/>
            </w:rPr>
            <w:t>、响应文件</w:t>
          </w:r>
          <w:r>
            <w:rPr>
              <w:rFonts w:hint="eastAsia" w:ascii="宋体" w:hAnsi="宋体" w:eastAsia="宋体" w:cs="宋体"/>
              <w:sz w:val="24"/>
              <w:szCs w:val="40"/>
            </w:rPr>
            <w:t>的编制</w:t>
          </w:r>
          <w:r>
            <w:rPr>
              <w:sz w:val="24"/>
              <w:szCs w:val="24"/>
            </w:rPr>
            <w:tab/>
          </w:r>
          <w:r>
            <w:rPr>
              <w:sz w:val="24"/>
              <w:szCs w:val="24"/>
            </w:rPr>
            <w:fldChar w:fldCharType="begin"/>
          </w:r>
          <w:r>
            <w:rPr>
              <w:sz w:val="24"/>
              <w:szCs w:val="24"/>
            </w:rPr>
            <w:instrText xml:space="preserve"> PAGEREF _Toc24420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44"/>
            </w:rPr>
            <w:fldChar w:fldCharType="end"/>
          </w:r>
        </w:p>
        <w:p w14:paraId="7DDCCC93">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_Toc3722 </w:instrText>
          </w:r>
          <w:r>
            <w:rPr>
              <w:rFonts w:hint="eastAsia" w:ascii="宋体" w:hAnsi="宋体" w:eastAsia="宋体" w:cs="宋体"/>
              <w:sz w:val="24"/>
              <w:szCs w:val="44"/>
            </w:rPr>
            <w:fldChar w:fldCharType="separate"/>
          </w:r>
          <w:r>
            <w:rPr>
              <w:rFonts w:hint="eastAsia" w:ascii="宋体" w:hAnsi="宋体" w:eastAsia="宋体" w:cs="宋体"/>
              <w:sz w:val="24"/>
              <w:szCs w:val="40"/>
            </w:rPr>
            <w:t>四</w:t>
          </w:r>
          <w:r>
            <w:rPr>
              <w:rFonts w:hint="eastAsia" w:ascii="宋体" w:hAnsi="宋体" w:eastAsia="宋体" w:cs="宋体"/>
              <w:sz w:val="24"/>
              <w:szCs w:val="40"/>
              <w:lang w:eastAsia="zh-CN"/>
            </w:rPr>
            <w:t>、响应文件</w:t>
          </w:r>
          <w:r>
            <w:rPr>
              <w:rFonts w:hint="eastAsia" w:ascii="宋体" w:hAnsi="宋体" w:eastAsia="宋体" w:cs="宋体"/>
              <w:sz w:val="24"/>
              <w:szCs w:val="40"/>
            </w:rPr>
            <w:t>的递交</w:t>
          </w:r>
          <w:r>
            <w:rPr>
              <w:sz w:val="24"/>
              <w:szCs w:val="24"/>
            </w:rPr>
            <w:tab/>
          </w:r>
          <w:r>
            <w:rPr>
              <w:sz w:val="24"/>
              <w:szCs w:val="24"/>
            </w:rPr>
            <w:fldChar w:fldCharType="begin"/>
          </w:r>
          <w:r>
            <w:rPr>
              <w:sz w:val="24"/>
              <w:szCs w:val="24"/>
            </w:rPr>
            <w:instrText xml:space="preserve"> PAGEREF _Toc3722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sz w:val="24"/>
              <w:szCs w:val="44"/>
            </w:rPr>
            <w:fldChar w:fldCharType="end"/>
          </w:r>
        </w:p>
        <w:p w14:paraId="2ECE5FC6">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_Toc20285 </w:instrText>
          </w:r>
          <w:r>
            <w:rPr>
              <w:rFonts w:hint="eastAsia" w:ascii="宋体" w:hAnsi="宋体" w:eastAsia="宋体" w:cs="宋体"/>
              <w:sz w:val="24"/>
              <w:szCs w:val="44"/>
            </w:rPr>
            <w:fldChar w:fldCharType="separate"/>
          </w:r>
          <w:r>
            <w:rPr>
              <w:rFonts w:hint="eastAsia" w:ascii="宋体" w:hAnsi="宋体" w:eastAsia="宋体" w:cs="宋体"/>
              <w:sz w:val="24"/>
              <w:szCs w:val="40"/>
            </w:rPr>
            <w:t>五</w:t>
          </w:r>
          <w:r>
            <w:rPr>
              <w:rFonts w:hint="eastAsia" w:ascii="宋体" w:hAnsi="宋体" w:eastAsia="宋体" w:cs="宋体"/>
              <w:sz w:val="24"/>
              <w:szCs w:val="40"/>
              <w:lang w:eastAsia="zh-CN"/>
            </w:rPr>
            <w:t>、</w:t>
          </w:r>
          <w:r>
            <w:rPr>
              <w:rFonts w:hint="eastAsia" w:ascii="宋体" w:hAnsi="宋体" w:eastAsia="宋体" w:cs="宋体"/>
              <w:sz w:val="24"/>
              <w:szCs w:val="40"/>
            </w:rPr>
            <w:t>开标及评标</w:t>
          </w:r>
          <w:r>
            <w:rPr>
              <w:sz w:val="24"/>
              <w:szCs w:val="24"/>
            </w:rPr>
            <w:tab/>
          </w:r>
          <w:r>
            <w:rPr>
              <w:sz w:val="24"/>
              <w:szCs w:val="24"/>
            </w:rPr>
            <w:fldChar w:fldCharType="begin"/>
          </w:r>
          <w:r>
            <w:rPr>
              <w:sz w:val="24"/>
              <w:szCs w:val="24"/>
            </w:rPr>
            <w:instrText xml:space="preserve"> PAGEREF _Toc20285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sz w:val="24"/>
              <w:szCs w:val="44"/>
            </w:rPr>
            <w:fldChar w:fldCharType="end"/>
          </w:r>
        </w:p>
        <w:p w14:paraId="279001B3">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_Toc17698 </w:instrText>
          </w:r>
          <w:r>
            <w:rPr>
              <w:rFonts w:hint="eastAsia" w:ascii="宋体" w:hAnsi="宋体" w:eastAsia="宋体" w:cs="宋体"/>
              <w:sz w:val="24"/>
              <w:szCs w:val="44"/>
            </w:rPr>
            <w:fldChar w:fldCharType="separate"/>
          </w:r>
          <w:r>
            <w:rPr>
              <w:rFonts w:hint="eastAsia" w:ascii="宋体" w:hAnsi="宋体" w:eastAsia="宋体" w:cs="宋体"/>
              <w:sz w:val="24"/>
              <w:szCs w:val="40"/>
            </w:rPr>
            <w:t>六</w:t>
          </w:r>
          <w:r>
            <w:rPr>
              <w:rFonts w:hint="eastAsia" w:ascii="宋体" w:hAnsi="宋体" w:eastAsia="宋体" w:cs="宋体"/>
              <w:sz w:val="24"/>
              <w:szCs w:val="40"/>
              <w:lang w:eastAsia="zh-CN"/>
            </w:rPr>
            <w:t>、</w:t>
          </w:r>
          <w:r>
            <w:rPr>
              <w:rFonts w:hint="eastAsia" w:ascii="宋体" w:hAnsi="宋体" w:eastAsia="宋体" w:cs="宋体"/>
              <w:sz w:val="24"/>
              <w:szCs w:val="40"/>
            </w:rPr>
            <w:t>确定中标</w:t>
          </w:r>
          <w:r>
            <w:rPr>
              <w:sz w:val="24"/>
              <w:szCs w:val="24"/>
            </w:rPr>
            <w:tab/>
          </w:r>
          <w:r>
            <w:rPr>
              <w:sz w:val="24"/>
              <w:szCs w:val="24"/>
            </w:rPr>
            <w:fldChar w:fldCharType="begin"/>
          </w:r>
          <w:r>
            <w:rPr>
              <w:sz w:val="24"/>
              <w:szCs w:val="24"/>
            </w:rPr>
            <w:instrText xml:space="preserve"> PAGEREF _Toc17698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44"/>
            </w:rPr>
            <w:fldChar w:fldCharType="end"/>
          </w:r>
        </w:p>
        <w:p w14:paraId="36400338">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_Toc5160 </w:instrText>
          </w:r>
          <w:r>
            <w:rPr>
              <w:rFonts w:hint="eastAsia" w:ascii="宋体" w:hAnsi="宋体" w:eastAsia="宋体" w:cs="宋体"/>
              <w:sz w:val="24"/>
              <w:szCs w:val="44"/>
            </w:rPr>
            <w:fldChar w:fldCharType="separate"/>
          </w:r>
          <w:r>
            <w:rPr>
              <w:rFonts w:hint="eastAsia" w:ascii="宋体" w:hAnsi="宋体" w:cs="宋体"/>
              <w:sz w:val="24"/>
              <w:szCs w:val="32"/>
              <w:highlight w:val="none"/>
              <w:lang w:val="en-US" w:eastAsia="zh-CN"/>
            </w:rPr>
            <w:t xml:space="preserve">第二章 </w:t>
          </w:r>
          <w:r>
            <w:rPr>
              <w:rFonts w:hint="eastAsia" w:ascii="宋体" w:hAnsi="宋体" w:cs="宋体"/>
              <w:sz w:val="24"/>
              <w:szCs w:val="32"/>
              <w:highlight w:val="none"/>
              <w:lang w:eastAsia="zh-CN"/>
            </w:rPr>
            <w:t>响应文件格式</w:t>
          </w:r>
          <w:r>
            <w:rPr>
              <w:sz w:val="24"/>
              <w:szCs w:val="24"/>
            </w:rPr>
            <w:tab/>
          </w:r>
          <w:r>
            <w:rPr>
              <w:sz w:val="24"/>
              <w:szCs w:val="24"/>
            </w:rPr>
            <w:fldChar w:fldCharType="begin"/>
          </w:r>
          <w:r>
            <w:rPr>
              <w:sz w:val="24"/>
              <w:szCs w:val="24"/>
            </w:rPr>
            <w:instrText xml:space="preserve"> PAGEREF _Toc5160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sz w:val="24"/>
              <w:szCs w:val="44"/>
            </w:rPr>
            <w:fldChar w:fldCharType="end"/>
          </w:r>
        </w:p>
        <w:p w14:paraId="6FCCF806">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_Toc19175 </w:instrText>
          </w:r>
          <w:r>
            <w:rPr>
              <w:rFonts w:hint="eastAsia" w:ascii="宋体" w:hAnsi="宋体" w:eastAsia="宋体" w:cs="宋体"/>
              <w:sz w:val="24"/>
              <w:szCs w:val="44"/>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开标一览表</w:t>
          </w:r>
          <w:r>
            <w:rPr>
              <w:rFonts w:hint="eastAsia" w:ascii="宋体" w:hAnsi="宋体" w:eastAsia="宋体" w:cs="宋体"/>
              <w:sz w:val="24"/>
              <w:szCs w:val="24"/>
              <w:highlight w:val="none"/>
            </w:rPr>
            <w:t>及资格证明文件</w:t>
          </w:r>
          <w:r>
            <w:rPr>
              <w:sz w:val="24"/>
              <w:szCs w:val="24"/>
            </w:rPr>
            <w:tab/>
          </w:r>
          <w:r>
            <w:rPr>
              <w:sz w:val="24"/>
              <w:szCs w:val="24"/>
            </w:rPr>
            <w:fldChar w:fldCharType="begin"/>
          </w:r>
          <w:r>
            <w:rPr>
              <w:sz w:val="24"/>
              <w:szCs w:val="24"/>
            </w:rPr>
            <w:instrText xml:space="preserve"> PAGEREF _Toc19175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sz w:val="24"/>
              <w:szCs w:val="44"/>
            </w:rPr>
            <w:fldChar w:fldCharType="end"/>
          </w:r>
        </w:p>
        <w:p w14:paraId="48ED9F81">
          <w:pPr>
            <w:pStyle w:val="1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_Toc22885 </w:instrText>
          </w:r>
          <w:r>
            <w:rPr>
              <w:rFonts w:hint="eastAsia" w:ascii="宋体" w:hAnsi="宋体" w:eastAsia="宋体" w:cs="宋体"/>
              <w:sz w:val="24"/>
              <w:szCs w:val="4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highlight w:val="none"/>
            </w:rPr>
            <w:t>商务及技术文件</w:t>
          </w:r>
          <w:r>
            <w:rPr>
              <w:sz w:val="24"/>
              <w:szCs w:val="24"/>
            </w:rPr>
            <w:tab/>
          </w:r>
          <w:r>
            <w:rPr>
              <w:sz w:val="24"/>
              <w:szCs w:val="24"/>
            </w:rPr>
            <w:fldChar w:fldCharType="begin"/>
          </w:r>
          <w:r>
            <w:rPr>
              <w:sz w:val="24"/>
              <w:szCs w:val="24"/>
            </w:rPr>
            <w:instrText xml:space="preserve"> PAGEREF _Toc22885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sz w:val="24"/>
              <w:szCs w:val="44"/>
            </w:rPr>
            <w:fldChar w:fldCharType="end"/>
          </w:r>
        </w:p>
        <w:p w14:paraId="54E56607">
          <w:pPr>
            <w:pStyle w:val="21"/>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_Toc31531 </w:instrText>
          </w:r>
          <w:r>
            <w:rPr>
              <w:rFonts w:hint="eastAsia" w:ascii="宋体" w:hAnsi="宋体" w:eastAsia="宋体" w:cs="宋体"/>
              <w:sz w:val="24"/>
              <w:szCs w:val="44"/>
            </w:rPr>
            <w:fldChar w:fldCharType="separate"/>
          </w:r>
          <w:r>
            <w:rPr>
              <w:rFonts w:hint="eastAsia" w:ascii="宋体" w:hAnsi="宋体" w:eastAsia="宋体" w:cs="宋体"/>
              <w:sz w:val="24"/>
              <w:szCs w:val="44"/>
              <w:lang w:val="en-US" w:eastAsia="zh-CN"/>
            </w:rPr>
            <w:t>第二册</w:t>
          </w:r>
          <w:r>
            <w:rPr>
              <w:sz w:val="24"/>
              <w:szCs w:val="24"/>
            </w:rPr>
            <w:tab/>
          </w:r>
          <w:r>
            <w:rPr>
              <w:sz w:val="24"/>
              <w:szCs w:val="24"/>
            </w:rPr>
            <w:fldChar w:fldCharType="begin"/>
          </w:r>
          <w:r>
            <w:rPr>
              <w:sz w:val="24"/>
              <w:szCs w:val="24"/>
            </w:rPr>
            <w:instrText xml:space="preserve"> PAGEREF _Toc31531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44"/>
            </w:rPr>
            <w:fldChar w:fldCharType="end"/>
          </w:r>
        </w:p>
        <w:p w14:paraId="2062D6BD">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_Toc15817 </w:instrText>
          </w:r>
          <w:r>
            <w:rPr>
              <w:rFonts w:hint="eastAsia" w:ascii="宋体" w:hAnsi="宋体" w:eastAsia="宋体" w:cs="宋体"/>
              <w:sz w:val="24"/>
              <w:szCs w:val="44"/>
            </w:rPr>
            <w:fldChar w:fldCharType="separate"/>
          </w:r>
          <w:r>
            <w:rPr>
              <w:rFonts w:hint="eastAsia" w:ascii="宋体" w:hAnsi="宋体" w:eastAsia="宋体" w:cs="宋体"/>
              <w:sz w:val="24"/>
              <w:szCs w:val="40"/>
              <w:lang w:val="en-US" w:eastAsia="zh-CN"/>
            </w:rPr>
            <w:t>第三章 招标公告</w:t>
          </w:r>
          <w:r>
            <w:rPr>
              <w:sz w:val="24"/>
              <w:szCs w:val="24"/>
            </w:rPr>
            <w:tab/>
          </w:r>
          <w:r>
            <w:rPr>
              <w:sz w:val="24"/>
              <w:szCs w:val="24"/>
            </w:rPr>
            <w:fldChar w:fldCharType="begin"/>
          </w:r>
          <w:r>
            <w:rPr>
              <w:sz w:val="24"/>
              <w:szCs w:val="24"/>
            </w:rPr>
            <w:instrText xml:space="preserve"> PAGEREF _Toc15817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44"/>
            </w:rPr>
            <w:fldChar w:fldCharType="end"/>
          </w:r>
        </w:p>
        <w:p w14:paraId="25AFC7A9">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_Toc3857 </w:instrText>
          </w:r>
          <w:r>
            <w:rPr>
              <w:rFonts w:hint="eastAsia" w:ascii="宋体" w:hAnsi="宋体" w:eastAsia="宋体" w:cs="宋体"/>
              <w:sz w:val="24"/>
              <w:szCs w:val="44"/>
            </w:rPr>
            <w:fldChar w:fldCharType="separate"/>
          </w:r>
          <w:r>
            <w:rPr>
              <w:rFonts w:hint="eastAsia" w:ascii="宋体" w:hAnsi="宋体" w:eastAsia="宋体" w:cs="宋体"/>
              <w:sz w:val="24"/>
              <w:szCs w:val="40"/>
            </w:rPr>
            <w:t xml:space="preserve">第四章 </w:t>
          </w:r>
          <w:r>
            <w:rPr>
              <w:rFonts w:hint="eastAsia" w:ascii="宋体" w:hAnsi="宋体" w:eastAsia="宋体" w:cs="宋体"/>
              <w:sz w:val="24"/>
              <w:szCs w:val="40"/>
              <w:lang w:eastAsia="zh-CN"/>
            </w:rPr>
            <w:t>供应商</w:t>
          </w:r>
          <w:r>
            <w:rPr>
              <w:rFonts w:hint="eastAsia" w:ascii="宋体" w:hAnsi="宋体" w:eastAsia="宋体" w:cs="宋体"/>
              <w:sz w:val="24"/>
              <w:szCs w:val="40"/>
            </w:rPr>
            <w:t>须知资料表</w:t>
          </w:r>
          <w:r>
            <w:rPr>
              <w:sz w:val="24"/>
              <w:szCs w:val="24"/>
            </w:rPr>
            <w:tab/>
          </w:r>
          <w:r>
            <w:rPr>
              <w:sz w:val="24"/>
              <w:szCs w:val="24"/>
            </w:rPr>
            <w:fldChar w:fldCharType="begin"/>
          </w:r>
          <w:r>
            <w:rPr>
              <w:sz w:val="24"/>
              <w:szCs w:val="24"/>
            </w:rPr>
            <w:instrText xml:space="preserve"> PAGEREF _Toc3857 \h </w:instrText>
          </w:r>
          <w:r>
            <w:rPr>
              <w:sz w:val="24"/>
              <w:szCs w:val="24"/>
            </w:rPr>
            <w:fldChar w:fldCharType="separate"/>
          </w:r>
          <w:r>
            <w:rPr>
              <w:sz w:val="24"/>
              <w:szCs w:val="24"/>
            </w:rPr>
            <w:t>53</w:t>
          </w:r>
          <w:r>
            <w:rPr>
              <w:sz w:val="24"/>
              <w:szCs w:val="24"/>
            </w:rPr>
            <w:fldChar w:fldCharType="end"/>
          </w:r>
          <w:r>
            <w:rPr>
              <w:rFonts w:hint="eastAsia" w:ascii="宋体" w:hAnsi="宋体" w:eastAsia="宋体" w:cs="宋体"/>
              <w:sz w:val="24"/>
              <w:szCs w:val="44"/>
            </w:rPr>
            <w:fldChar w:fldCharType="end"/>
          </w:r>
        </w:p>
        <w:p w14:paraId="2AADCAF1">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_Toc23812 </w:instrText>
          </w:r>
          <w:r>
            <w:rPr>
              <w:rFonts w:hint="eastAsia" w:ascii="宋体" w:hAnsi="宋体" w:eastAsia="宋体" w:cs="宋体"/>
              <w:sz w:val="24"/>
              <w:szCs w:val="44"/>
            </w:rPr>
            <w:fldChar w:fldCharType="separate"/>
          </w:r>
          <w:r>
            <w:rPr>
              <w:rFonts w:hint="eastAsia" w:ascii="宋体" w:hAnsi="宋体" w:eastAsia="宋体" w:cs="宋体"/>
              <w:sz w:val="24"/>
              <w:szCs w:val="36"/>
            </w:rPr>
            <w:t>第</w:t>
          </w:r>
          <w:r>
            <w:rPr>
              <w:rFonts w:hint="eastAsia" w:ascii="宋体" w:hAnsi="宋体" w:eastAsia="宋体" w:cs="宋体"/>
              <w:sz w:val="24"/>
              <w:szCs w:val="36"/>
              <w:lang w:val="en-US" w:eastAsia="zh-CN"/>
            </w:rPr>
            <w:t>五</w:t>
          </w:r>
          <w:r>
            <w:rPr>
              <w:rFonts w:hint="eastAsia" w:ascii="宋体" w:hAnsi="宋体" w:eastAsia="宋体" w:cs="宋体"/>
              <w:sz w:val="24"/>
              <w:szCs w:val="36"/>
            </w:rPr>
            <w:t>章 服务需求一览表及项目要求</w:t>
          </w:r>
          <w:r>
            <w:rPr>
              <w:sz w:val="24"/>
              <w:szCs w:val="24"/>
            </w:rPr>
            <w:tab/>
          </w:r>
          <w:r>
            <w:rPr>
              <w:sz w:val="24"/>
              <w:szCs w:val="24"/>
            </w:rPr>
            <w:fldChar w:fldCharType="begin"/>
          </w:r>
          <w:r>
            <w:rPr>
              <w:sz w:val="24"/>
              <w:szCs w:val="24"/>
            </w:rPr>
            <w:instrText xml:space="preserve"> PAGEREF _Toc23812 \h </w:instrText>
          </w:r>
          <w:r>
            <w:rPr>
              <w:sz w:val="24"/>
              <w:szCs w:val="24"/>
            </w:rPr>
            <w:fldChar w:fldCharType="separate"/>
          </w:r>
          <w:r>
            <w:rPr>
              <w:sz w:val="24"/>
              <w:szCs w:val="24"/>
            </w:rPr>
            <w:t>57</w:t>
          </w:r>
          <w:r>
            <w:rPr>
              <w:sz w:val="24"/>
              <w:szCs w:val="24"/>
            </w:rPr>
            <w:fldChar w:fldCharType="end"/>
          </w:r>
          <w:r>
            <w:rPr>
              <w:rFonts w:hint="eastAsia" w:ascii="宋体" w:hAnsi="宋体" w:eastAsia="宋体" w:cs="宋体"/>
              <w:sz w:val="24"/>
              <w:szCs w:val="44"/>
            </w:rPr>
            <w:fldChar w:fldCharType="end"/>
          </w:r>
        </w:p>
        <w:p w14:paraId="15238A21">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_Toc17975 </w:instrText>
          </w:r>
          <w:r>
            <w:rPr>
              <w:rFonts w:hint="eastAsia" w:ascii="宋体" w:hAnsi="宋体" w:eastAsia="宋体" w:cs="宋体"/>
              <w:sz w:val="24"/>
              <w:szCs w:val="44"/>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六</w:t>
          </w:r>
          <w:r>
            <w:rPr>
              <w:rFonts w:hint="eastAsia" w:ascii="宋体" w:hAnsi="宋体" w:eastAsia="宋体" w:cs="宋体"/>
              <w:sz w:val="24"/>
              <w:szCs w:val="40"/>
            </w:rPr>
            <w:t>章 评标方法和标准</w:t>
          </w:r>
          <w:r>
            <w:rPr>
              <w:sz w:val="24"/>
              <w:szCs w:val="24"/>
            </w:rPr>
            <w:tab/>
          </w:r>
          <w:r>
            <w:rPr>
              <w:sz w:val="24"/>
              <w:szCs w:val="24"/>
            </w:rPr>
            <w:fldChar w:fldCharType="begin"/>
          </w:r>
          <w:r>
            <w:rPr>
              <w:sz w:val="24"/>
              <w:szCs w:val="24"/>
            </w:rPr>
            <w:instrText xml:space="preserve"> PAGEREF _Toc17975 \h </w:instrText>
          </w:r>
          <w:r>
            <w:rPr>
              <w:sz w:val="24"/>
              <w:szCs w:val="24"/>
            </w:rPr>
            <w:fldChar w:fldCharType="separate"/>
          </w:r>
          <w:r>
            <w:rPr>
              <w:sz w:val="24"/>
              <w:szCs w:val="24"/>
            </w:rPr>
            <w:t>67</w:t>
          </w:r>
          <w:r>
            <w:rPr>
              <w:sz w:val="24"/>
              <w:szCs w:val="24"/>
            </w:rPr>
            <w:fldChar w:fldCharType="end"/>
          </w:r>
          <w:r>
            <w:rPr>
              <w:rFonts w:hint="eastAsia" w:ascii="宋体" w:hAnsi="宋体" w:eastAsia="宋体" w:cs="宋体"/>
              <w:sz w:val="24"/>
              <w:szCs w:val="44"/>
            </w:rPr>
            <w:fldChar w:fldCharType="end"/>
          </w:r>
        </w:p>
        <w:p w14:paraId="2E54CC0A">
          <w:pPr>
            <w:pStyle w:val="21"/>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_Toc6108 </w:instrText>
          </w:r>
          <w:r>
            <w:rPr>
              <w:rFonts w:hint="eastAsia" w:ascii="宋体" w:hAnsi="宋体" w:eastAsia="宋体" w:cs="宋体"/>
              <w:sz w:val="24"/>
              <w:szCs w:val="44"/>
            </w:rPr>
            <w:fldChar w:fldCharType="separate"/>
          </w:r>
          <w:r>
            <w:rPr>
              <w:rFonts w:hint="default" w:ascii="宋体" w:hAnsi="宋体" w:eastAsia="宋体" w:cs="宋体"/>
              <w:sz w:val="24"/>
              <w:szCs w:val="44"/>
              <w:lang w:val="en-US" w:eastAsia="zh-CN"/>
            </w:rPr>
            <w:t>第三册</w:t>
          </w:r>
          <w:r>
            <w:rPr>
              <w:sz w:val="24"/>
              <w:szCs w:val="24"/>
            </w:rPr>
            <w:tab/>
          </w:r>
          <w:r>
            <w:rPr>
              <w:sz w:val="24"/>
              <w:szCs w:val="24"/>
            </w:rPr>
            <w:fldChar w:fldCharType="begin"/>
          </w:r>
          <w:r>
            <w:rPr>
              <w:sz w:val="24"/>
              <w:szCs w:val="24"/>
            </w:rPr>
            <w:instrText xml:space="preserve"> PAGEREF _Toc6108 \h </w:instrText>
          </w:r>
          <w:r>
            <w:rPr>
              <w:sz w:val="24"/>
              <w:szCs w:val="24"/>
            </w:rPr>
            <w:fldChar w:fldCharType="separate"/>
          </w:r>
          <w:r>
            <w:rPr>
              <w:sz w:val="24"/>
              <w:szCs w:val="24"/>
            </w:rPr>
            <w:t>86</w:t>
          </w:r>
          <w:r>
            <w:rPr>
              <w:sz w:val="24"/>
              <w:szCs w:val="24"/>
            </w:rPr>
            <w:fldChar w:fldCharType="end"/>
          </w:r>
          <w:r>
            <w:rPr>
              <w:rFonts w:hint="eastAsia" w:ascii="宋体" w:hAnsi="宋体" w:eastAsia="宋体" w:cs="宋体"/>
              <w:sz w:val="24"/>
              <w:szCs w:val="44"/>
            </w:rPr>
            <w:fldChar w:fldCharType="end"/>
          </w:r>
        </w:p>
        <w:p w14:paraId="6065B1CF">
          <w:pPr>
            <w:pStyle w:val="26"/>
            <w:keepNext w:val="0"/>
            <w:keepLines w:val="0"/>
            <w:pageBreakBefore w:val="0"/>
            <w:widowControl/>
            <w:tabs>
              <w:tab w:val="right" w:leader="dot" w:pos="9680"/>
            </w:tabs>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_Toc22155 </w:instrText>
          </w:r>
          <w:r>
            <w:rPr>
              <w:rFonts w:hint="eastAsia" w:ascii="宋体" w:hAnsi="宋体" w:eastAsia="宋体" w:cs="宋体"/>
              <w:sz w:val="24"/>
              <w:szCs w:val="44"/>
            </w:rPr>
            <w:fldChar w:fldCharType="separate"/>
          </w:r>
          <w:r>
            <w:rPr>
              <w:rFonts w:hint="eastAsia"/>
              <w:bCs w:val="0"/>
              <w:spacing w:val="5"/>
              <w:sz w:val="24"/>
              <w:szCs w:val="36"/>
              <w:lang w:val="en-US" w:eastAsia="zh-CN"/>
            </w:rPr>
            <w:t xml:space="preserve">第七章 </w:t>
          </w:r>
          <w:r>
            <w:rPr>
              <w:bCs w:val="0"/>
              <w:spacing w:val="5"/>
              <w:sz w:val="24"/>
              <w:szCs w:val="36"/>
            </w:rPr>
            <w:t>政府采购合同</w:t>
          </w:r>
          <w:r>
            <w:rPr>
              <w:sz w:val="24"/>
              <w:szCs w:val="24"/>
            </w:rPr>
            <w:tab/>
          </w:r>
          <w:r>
            <w:rPr>
              <w:sz w:val="24"/>
              <w:szCs w:val="24"/>
            </w:rPr>
            <w:fldChar w:fldCharType="begin"/>
          </w:r>
          <w:r>
            <w:rPr>
              <w:sz w:val="24"/>
              <w:szCs w:val="24"/>
            </w:rPr>
            <w:instrText xml:space="preserve"> PAGEREF _Toc22155 \h </w:instrText>
          </w:r>
          <w:r>
            <w:rPr>
              <w:sz w:val="24"/>
              <w:szCs w:val="24"/>
            </w:rPr>
            <w:fldChar w:fldCharType="separate"/>
          </w:r>
          <w:r>
            <w:rPr>
              <w:sz w:val="24"/>
              <w:szCs w:val="24"/>
            </w:rPr>
            <w:t>95</w:t>
          </w:r>
          <w:r>
            <w:rPr>
              <w:sz w:val="24"/>
              <w:szCs w:val="24"/>
            </w:rPr>
            <w:fldChar w:fldCharType="end"/>
          </w:r>
          <w:r>
            <w:rPr>
              <w:rFonts w:hint="eastAsia" w:ascii="宋体" w:hAnsi="宋体" w:eastAsia="宋体" w:cs="宋体"/>
              <w:sz w:val="24"/>
              <w:szCs w:val="44"/>
            </w:rPr>
            <w:fldChar w:fldCharType="end"/>
          </w:r>
        </w:p>
        <w:p w14:paraId="6683D9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36"/>
              <w:szCs w:val="36"/>
            </w:rPr>
          </w:pPr>
          <w:r>
            <w:rPr>
              <w:rFonts w:hint="eastAsia" w:ascii="宋体" w:hAnsi="宋体" w:eastAsia="宋体" w:cs="宋体"/>
              <w:sz w:val="24"/>
              <w:szCs w:val="44"/>
            </w:rPr>
            <w:fldChar w:fldCharType="end"/>
          </w:r>
        </w:p>
      </w:sdtContent>
    </w:sdt>
    <w:p w14:paraId="0057AA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36"/>
          <w:szCs w:val="36"/>
        </w:rPr>
      </w:pPr>
    </w:p>
    <w:p w14:paraId="1291A6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36"/>
          <w:szCs w:val="36"/>
        </w:rPr>
      </w:pPr>
    </w:p>
    <w:p w14:paraId="007DD7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36"/>
          <w:szCs w:val="36"/>
        </w:rPr>
      </w:pPr>
    </w:p>
    <w:p w14:paraId="72A32964">
      <w:pPr>
        <w:pStyle w:val="23"/>
        <w:rPr>
          <w:rFonts w:hint="eastAsia" w:ascii="宋体" w:hAnsi="宋体" w:eastAsia="宋体" w:cs="宋体"/>
          <w:sz w:val="36"/>
          <w:szCs w:val="36"/>
        </w:rPr>
      </w:pPr>
    </w:p>
    <w:p w14:paraId="3B69F3B8">
      <w:pPr>
        <w:pStyle w:val="23"/>
        <w:rPr>
          <w:rFonts w:hint="eastAsia" w:ascii="宋体" w:hAnsi="宋体" w:eastAsia="宋体" w:cs="宋体"/>
          <w:sz w:val="36"/>
          <w:szCs w:val="36"/>
        </w:rPr>
      </w:pPr>
    </w:p>
    <w:p w14:paraId="7C8EE232">
      <w:pPr>
        <w:pStyle w:val="23"/>
        <w:rPr>
          <w:rFonts w:hint="eastAsia" w:ascii="宋体" w:hAnsi="宋体" w:eastAsia="宋体" w:cs="宋体"/>
          <w:sz w:val="36"/>
          <w:szCs w:val="36"/>
        </w:rPr>
      </w:pPr>
    </w:p>
    <w:p w14:paraId="17608BA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szCs w:val="24"/>
        </w:rPr>
      </w:pPr>
      <w:bookmarkStart w:id="0" w:name="_Toc21764"/>
      <w:r>
        <w:rPr>
          <w:rFonts w:hint="eastAsia" w:ascii="宋体" w:hAnsi="宋体" w:eastAsia="宋体" w:cs="宋体"/>
          <w:sz w:val="36"/>
          <w:szCs w:val="36"/>
        </w:rPr>
        <w:t>第</w:t>
      </w:r>
      <w:r>
        <w:rPr>
          <w:rFonts w:hint="eastAsia" w:ascii="宋体" w:hAnsi="宋体" w:eastAsia="宋体" w:cs="宋体"/>
          <w:sz w:val="36"/>
          <w:szCs w:val="36"/>
          <w:lang w:val="en-US" w:eastAsia="zh-CN"/>
        </w:rPr>
        <w:t>一</w:t>
      </w:r>
      <w:r>
        <w:rPr>
          <w:rFonts w:hint="eastAsia" w:ascii="宋体" w:hAnsi="宋体" w:eastAsia="宋体" w:cs="宋体"/>
          <w:sz w:val="36"/>
          <w:szCs w:val="36"/>
        </w:rPr>
        <w:t>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供应商</w:t>
      </w:r>
      <w:r>
        <w:rPr>
          <w:rFonts w:hint="eastAsia" w:ascii="宋体" w:hAnsi="宋体" w:eastAsia="宋体" w:cs="宋体"/>
          <w:sz w:val="36"/>
          <w:szCs w:val="36"/>
        </w:rPr>
        <w:t>须知</w:t>
      </w:r>
      <w:bookmarkEnd w:id="0"/>
    </w:p>
    <w:p w14:paraId="32FB98E2">
      <w:pPr>
        <w:keepNext w:val="0"/>
        <w:keepLines w:val="0"/>
        <w:pageBreakBefore w:val="0"/>
        <w:widowControl/>
        <w:kinsoku w:val="0"/>
        <w:wordWrap/>
        <w:overflowPunct/>
        <w:topLinePunct w:val="0"/>
        <w:autoSpaceDE w:val="0"/>
        <w:autoSpaceDN w:val="0"/>
        <w:bidi w:val="0"/>
        <w:adjustRightInd w:val="0"/>
        <w:snapToGrid w:val="0"/>
        <w:spacing w:line="360" w:lineRule="auto"/>
        <w:ind w:firstLine="4160" w:firstLineChars="1300"/>
        <w:jc w:val="both"/>
        <w:textAlignment w:val="baseline"/>
        <w:outlineLvl w:val="2"/>
        <w:rPr>
          <w:rFonts w:hint="eastAsia" w:ascii="宋体" w:hAnsi="宋体" w:eastAsia="宋体" w:cs="宋体"/>
          <w:sz w:val="24"/>
          <w:szCs w:val="24"/>
        </w:rPr>
      </w:pPr>
      <w:bookmarkStart w:id="1" w:name="_Toc32090"/>
      <w:r>
        <w:rPr>
          <w:rFonts w:hint="eastAsia" w:ascii="宋体" w:hAnsi="宋体" w:eastAsia="宋体" w:cs="宋体"/>
          <w:sz w:val="32"/>
          <w:szCs w:val="32"/>
        </w:rPr>
        <w:t>一</w:t>
      </w:r>
      <w:r>
        <w:rPr>
          <w:rFonts w:hint="eastAsia" w:ascii="宋体" w:hAnsi="宋体" w:eastAsia="宋体" w:cs="宋体"/>
          <w:sz w:val="32"/>
          <w:szCs w:val="32"/>
          <w:lang w:eastAsia="zh-CN"/>
        </w:rPr>
        <w:t>．</w:t>
      </w:r>
      <w:r>
        <w:rPr>
          <w:rFonts w:hint="eastAsia" w:ascii="宋体" w:hAnsi="宋体" w:eastAsia="宋体" w:cs="宋体"/>
          <w:sz w:val="32"/>
          <w:szCs w:val="32"/>
        </w:rPr>
        <w:t>总则</w:t>
      </w:r>
      <w:bookmarkEnd w:id="1"/>
    </w:p>
    <w:p w14:paraId="0AE6BB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rPr>
        <w:t>1.采购人、采购代理机构及</w:t>
      </w:r>
      <w:r>
        <w:rPr>
          <w:rFonts w:hint="eastAsia" w:ascii="宋体" w:hAnsi="宋体" w:eastAsia="宋体" w:cs="宋体"/>
          <w:sz w:val="24"/>
          <w:szCs w:val="24"/>
          <w:lang w:val="en-US" w:eastAsia="zh-CN"/>
        </w:rPr>
        <w:t>供应商</w:t>
      </w:r>
    </w:p>
    <w:p w14:paraId="1A1AB8C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1.1 采购人：是指依法开展政府采购活动的国家机关、事业单位、团体组织。本项目的采购人见</w:t>
      </w:r>
      <w:r>
        <w:rPr>
          <w:rFonts w:hint="eastAsia" w:ascii="宋体" w:hAnsi="宋体" w:eastAsia="宋体" w:cs="宋体"/>
          <w:sz w:val="24"/>
          <w:szCs w:val="24"/>
          <w:u w:val="single"/>
        </w:rPr>
        <w:t>供应商须知资料表</w:t>
      </w:r>
      <w:r>
        <w:rPr>
          <w:rFonts w:hint="eastAsia" w:ascii="宋体" w:hAnsi="宋体" w:eastAsia="宋体" w:cs="宋体"/>
          <w:sz w:val="24"/>
          <w:szCs w:val="24"/>
        </w:rPr>
        <w:t>。</w:t>
      </w:r>
    </w:p>
    <w:p w14:paraId="551565B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1.2 采购代理机构：是指在集中采购机构或从事采购代理业务的社会中介机构。本项目的采购代理机构见</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须知资料表</w:t>
      </w:r>
      <w:r>
        <w:rPr>
          <w:rFonts w:hint="eastAsia" w:ascii="宋体" w:hAnsi="宋体" w:eastAsia="宋体" w:cs="宋体"/>
          <w:sz w:val="24"/>
          <w:szCs w:val="24"/>
        </w:rPr>
        <w:t>。</w:t>
      </w:r>
    </w:p>
    <w:p w14:paraId="1D22C45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sz w:val="24"/>
          <w:szCs w:val="24"/>
          <w:lang w:eastAsia="zh-CN"/>
        </w:rPr>
        <w:t>供应商</w:t>
      </w:r>
      <w:r>
        <w:rPr>
          <w:rFonts w:hint="eastAsia" w:ascii="宋体" w:hAnsi="宋体" w:eastAsia="宋体" w:cs="宋体"/>
          <w:sz w:val="24"/>
          <w:szCs w:val="24"/>
        </w:rPr>
        <w:t>：是指向采购人提供货物、工程或者服务的法人、非法人组织或者自然人。本项目的</w:t>
      </w:r>
      <w:r>
        <w:rPr>
          <w:rFonts w:hint="eastAsia" w:ascii="宋体" w:hAnsi="宋体" w:eastAsia="宋体" w:cs="宋体"/>
          <w:sz w:val="24"/>
          <w:szCs w:val="24"/>
          <w:lang w:eastAsia="zh-CN"/>
        </w:rPr>
        <w:t>供应商</w:t>
      </w:r>
      <w:r>
        <w:rPr>
          <w:rFonts w:hint="eastAsia" w:ascii="宋体" w:hAnsi="宋体" w:eastAsia="宋体" w:cs="宋体"/>
          <w:sz w:val="24"/>
          <w:szCs w:val="24"/>
        </w:rPr>
        <w:t>须满足以下条件：</w:t>
      </w:r>
    </w:p>
    <w:p w14:paraId="3BE1B7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在中华人民共和国境内注册，能够独立承担民事责任，有生产或供应能力的本国供应商。</w:t>
      </w:r>
    </w:p>
    <w:p w14:paraId="2ACB5A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具备《中华人民共和国政府采购法》第二十二条关于供应商条件的规定，遵守本项目采购人本级和上级财政部门政府采购的有关规定。</w:t>
      </w:r>
    </w:p>
    <w:p w14:paraId="6750D4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以采购代理机构认可的方式获得了本项目的</w:t>
      </w:r>
      <w:r>
        <w:rPr>
          <w:rFonts w:hint="eastAsia" w:ascii="宋体" w:hAnsi="宋体" w:eastAsia="宋体" w:cs="宋体"/>
          <w:sz w:val="24"/>
          <w:szCs w:val="24"/>
          <w:lang w:eastAsia="zh-CN"/>
        </w:rPr>
        <w:t>磋商文件</w:t>
      </w:r>
      <w:r>
        <w:rPr>
          <w:rFonts w:hint="eastAsia" w:ascii="宋体" w:hAnsi="宋体" w:eastAsia="宋体" w:cs="宋体"/>
          <w:sz w:val="24"/>
          <w:szCs w:val="24"/>
        </w:rPr>
        <w:t>。</w:t>
      </w:r>
    </w:p>
    <w:p w14:paraId="455E41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符合</w:t>
      </w:r>
      <w:r>
        <w:rPr>
          <w:rFonts w:hint="eastAsia" w:ascii="宋体" w:hAnsi="宋体" w:eastAsia="宋体" w:cs="宋体"/>
          <w:sz w:val="24"/>
          <w:szCs w:val="24"/>
          <w:lang w:eastAsia="zh-CN"/>
        </w:rPr>
        <w:t>供应商</w:t>
      </w:r>
      <w:r>
        <w:rPr>
          <w:rFonts w:hint="eastAsia" w:ascii="宋体" w:hAnsi="宋体" w:eastAsia="宋体" w:cs="宋体"/>
          <w:sz w:val="24"/>
          <w:szCs w:val="24"/>
        </w:rPr>
        <w:t>须知资料表中规定的其他要求。</w:t>
      </w:r>
    </w:p>
    <w:p w14:paraId="0701F3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若</w:t>
      </w:r>
      <w:r>
        <w:rPr>
          <w:rFonts w:hint="eastAsia" w:ascii="宋体" w:hAnsi="宋体" w:eastAsia="宋体" w:cs="宋体"/>
          <w:sz w:val="24"/>
          <w:szCs w:val="24"/>
          <w:lang w:eastAsia="zh-CN"/>
        </w:rPr>
        <w:t>供应商</w:t>
      </w:r>
      <w:r>
        <w:rPr>
          <w:rFonts w:hint="eastAsia" w:ascii="宋体" w:hAnsi="宋体" w:eastAsia="宋体" w:cs="宋体"/>
          <w:sz w:val="24"/>
          <w:szCs w:val="24"/>
        </w:rPr>
        <w:t>须知资料表中写明专门面向中小企业采购的，如</w:t>
      </w:r>
      <w:r>
        <w:rPr>
          <w:rFonts w:hint="eastAsia" w:ascii="宋体" w:hAnsi="宋体" w:eastAsia="宋体" w:cs="宋体"/>
          <w:sz w:val="24"/>
          <w:szCs w:val="24"/>
          <w:lang w:eastAsia="zh-CN"/>
        </w:rPr>
        <w:t>供应商</w:t>
      </w:r>
      <w:r>
        <w:rPr>
          <w:rFonts w:hint="eastAsia" w:ascii="宋体" w:hAnsi="宋体" w:eastAsia="宋体" w:cs="宋体"/>
          <w:sz w:val="24"/>
          <w:szCs w:val="24"/>
        </w:rPr>
        <w:t>为非中小企业，其响应将被认定为</w:t>
      </w:r>
      <w:r>
        <w:rPr>
          <w:rFonts w:hint="eastAsia" w:ascii="宋体" w:hAnsi="宋体" w:eastAsia="宋体" w:cs="宋体"/>
          <w:b/>
          <w:bCs/>
          <w:sz w:val="24"/>
          <w:szCs w:val="24"/>
          <w:u w:val="single"/>
        </w:rPr>
        <w:t>响应无效</w:t>
      </w:r>
      <w:r>
        <w:rPr>
          <w:rFonts w:hint="eastAsia" w:ascii="宋体" w:hAnsi="宋体" w:eastAsia="宋体" w:cs="宋体"/>
          <w:sz w:val="24"/>
          <w:szCs w:val="24"/>
        </w:rPr>
        <w:t>。</w:t>
      </w:r>
    </w:p>
    <w:p w14:paraId="5EC01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本项目不允许联合体投标；</w:t>
      </w:r>
    </w:p>
    <w:p w14:paraId="0682A9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1.5 单位负责人为同一人或者存在直接控股、管理关系的不同供应商，其相关磋商将被认定为</w:t>
      </w:r>
      <w:r>
        <w:rPr>
          <w:rFonts w:hint="eastAsia" w:ascii="宋体" w:hAnsi="宋体" w:eastAsia="宋体" w:cs="宋体"/>
          <w:b/>
          <w:bCs/>
          <w:sz w:val="24"/>
          <w:szCs w:val="24"/>
          <w:u w:val="single"/>
        </w:rPr>
        <w:t>响应无效</w:t>
      </w:r>
      <w:r>
        <w:rPr>
          <w:rFonts w:hint="eastAsia" w:ascii="宋体" w:hAnsi="宋体" w:eastAsia="宋体" w:cs="宋体"/>
          <w:sz w:val="24"/>
          <w:szCs w:val="24"/>
        </w:rPr>
        <w:t>。</w:t>
      </w:r>
    </w:p>
    <w:p w14:paraId="50964A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为本项目提供过整体设计、规范编制或者项目管理、监理、检测等服务的供应商，不得再参加本项目上述服务以外的其他采购活动。否则其磋商将被认定为</w:t>
      </w:r>
      <w:r>
        <w:rPr>
          <w:rFonts w:hint="eastAsia" w:ascii="宋体" w:hAnsi="宋体" w:eastAsia="宋体" w:cs="宋体"/>
          <w:b/>
          <w:bCs/>
          <w:sz w:val="24"/>
          <w:szCs w:val="24"/>
          <w:u w:val="single"/>
        </w:rPr>
        <w:t>响应无效</w:t>
      </w:r>
      <w:r>
        <w:rPr>
          <w:rFonts w:hint="eastAsia" w:ascii="宋体" w:hAnsi="宋体" w:eastAsia="宋体" w:cs="宋体"/>
          <w:sz w:val="24"/>
          <w:szCs w:val="24"/>
        </w:rPr>
        <w:t>。</w:t>
      </w:r>
    </w:p>
    <w:p w14:paraId="0EF4CA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供应商在磋商响应过程中不得向采购人提供或给予影响其正常决策行为的任何有价值物品或服务。一经发现，其磋商将被认定为</w:t>
      </w:r>
      <w:r>
        <w:rPr>
          <w:rFonts w:hint="eastAsia" w:ascii="宋体" w:hAnsi="宋体" w:eastAsia="宋体" w:cs="宋体"/>
          <w:b/>
          <w:bCs/>
          <w:sz w:val="24"/>
          <w:szCs w:val="24"/>
          <w:u w:val="single"/>
        </w:rPr>
        <w:t>响应无效</w:t>
      </w:r>
      <w:r>
        <w:rPr>
          <w:rFonts w:hint="eastAsia" w:ascii="宋体" w:hAnsi="宋体" w:eastAsia="宋体" w:cs="宋体"/>
          <w:sz w:val="24"/>
          <w:szCs w:val="24"/>
        </w:rPr>
        <w:t>。</w:t>
      </w:r>
    </w:p>
    <w:p w14:paraId="64C554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2.资金来源</w:t>
      </w:r>
    </w:p>
    <w:p w14:paraId="5732BE0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2.1 本项目的采购人已获得足以支付本次磋商后所签订的合同项下的资金（包括财政性资金和本项目采购中无法与财政性资金分割的非财政性资金）。</w:t>
      </w:r>
    </w:p>
    <w:p w14:paraId="2EA9CB4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2.2  项目预算金额和分项或分包最高限价见</w:t>
      </w:r>
      <w:r>
        <w:rPr>
          <w:rFonts w:hint="eastAsia" w:ascii="宋体" w:hAnsi="宋体" w:eastAsia="宋体" w:cs="宋体"/>
          <w:sz w:val="24"/>
          <w:szCs w:val="24"/>
          <w:u w:val="single"/>
        </w:rPr>
        <w:t>供应商须知资料表</w:t>
      </w:r>
      <w:r>
        <w:rPr>
          <w:rFonts w:hint="eastAsia" w:ascii="宋体" w:hAnsi="宋体" w:eastAsia="宋体" w:cs="宋体"/>
          <w:sz w:val="24"/>
          <w:szCs w:val="24"/>
        </w:rPr>
        <w:t>。</w:t>
      </w:r>
    </w:p>
    <w:p w14:paraId="6591D2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供应商报价超过磋商文件规定的预算金额或者分项、分包最高限价的，其报价将被认定为</w:t>
      </w:r>
      <w:r>
        <w:rPr>
          <w:rFonts w:hint="eastAsia" w:ascii="宋体" w:hAnsi="宋体" w:eastAsia="宋体" w:cs="宋体"/>
          <w:b/>
          <w:bCs/>
          <w:sz w:val="24"/>
          <w:szCs w:val="24"/>
        </w:rPr>
        <w:t>磋商无效</w:t>
      </w:r>
      <w:r>
        <w:rPr>
          <w:rFonts w:hint="eastAsia" w:ascii="宋体" w:hAnsi="宋体" w:eastAsia="宋体" w:cs="宋体"/>
          <w:sz w:val="24"/>
          <w:szCs w:val="24"/>
        </w:rPr>
        <w:t>。</w:t>
      </w:r>
    </w:p>
    <w:p w14:paraId="36F7EA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3.磋商费用</w:t>
      </w:r>
    </w:p>
    <w:p w14:paraId="42AB80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不论磋商的结果如何，供应商应承担所有与准备和参加磋商有关的费用。</w:t>
      </w:r>
    </w:p>
    <w:p w14:paraId="3A5D52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4.适用法律</w:t>
      </w:r>
    </w:p>
    <w:p w14:paraId="34E7C8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14:paraId="4D67D3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32"/>
          <w:szCs w:val="32"/>
        </w:rPr>
      </w:pPr>
      <w:bookmarkStart w:id="2" w:name="_Toc6113"/>
    </w:p>
    <w:p w14:paraId="3AB0F2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24"/>
          <w:szCs w:val="24"/>
          <w:lang w:eastAsia="zh-CN"/>
        </w:rPr>
      </w:pPr>
      <w:r>
        <w:rPr>
          <w:rFonts w:hint="eastAsia" w:ascii="宋体" w:hAnsi="宋体" w:eastAsia="宋体" w:cs="宋体"/>
          <w:sz w:val="32"/>
          <w:szCs w:val="32"/>
        </w:rPr>
        <w:t>二</w:t>
      </w:r>
      <w:r>
        <w:rPr>
          <w:rFonts w:hint="eastAsia" w:ascii="宋体" w:hAnsi="宋体" w:eastAsia="宋体" w:cs="宋体"/>
          <w:sz w:val="32"/>
          <w:szCs w:val="32"/>
          <w:lang w:eastAsia="zh-CN"/>
        </w:rPr>
        <w:t>．</w:t>
      </w:r>
      <w:bookmarkEnd w:id="2"/>
      <w:r>
        <w:rPr>
          <w:rFonts w:hint="eastAsia" w:ascii="宋体" w:hAnsi="宋体" w:eastAsia="宋体" w:cs="宋体"/>
          <w:sz w:val="32"/>
          <w:szCs w:val="32"/>
          <w:lang w:eastAsia="zh-CN"/>
        </w:rPr>
        <w:t>磋商文件</w:t>
      </w:r>
    </w:p>
    <w:p w14:paraId="36A504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磋商文件</w:t>
      </w:r>
      <w:r>
        <w:rPr>
          <w:rFonts w:hint="eastAsia" w:ascii="宋体" w:hAnsi="宋体" w:eastAsia="宋体" w:cs="宋体"/>
          <w:sz w:val="24"/>
          <w:szCs w:val="24"/>
        </w:rPr>
        <w:t>构成</w:t>
      </w:r>
    </w:p>
    <w:p w14:paraId="45ED2FA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磋商文件</w:t>
      </w:r>
      <w:r>
        <w:rPr>
          <w:rFonts w:hint="eastAsia" w:ascii="宋体" w:hAnsi="宋体" w:eastAsia="宋体" w:cs="宋体"/>
          <w:sz w:val="24"/>
          <w:szCs w:val="24"/>
        </w:rPr>
        <w:t xml:space="preserve">共 7 章，内容如下： </w:t>
      </w:r>
    </w:p>
    <w:p w14:paraId="314520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1 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46F515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2 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格式 </w:t>
      </w:r>
    </w:p>
    <w:p w14:paraId="3EB1E7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3 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磋商邀请</w:t>
      </w:r>
    </w:p>
    <w:p w14:paraId="6E8671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4 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须知资料表</w:t>
      </w:r>
    </w:p>
    <w:p w14:paraId="705A26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5 章 </w:t>
      </w:r>
      <w:r>
        <w:rPr>
          <w:rFonts w:hint="eastAsia" w:ascii="宋体" w:hAnsi="宋体" w:eastAsia="宋体" w:cs="宋体"/>
          <w:sz w:val="24"/>
          <w:szCs w:val="24"/>
          <w:lang w:val="en-US" w:eastAsia="zh-CN"/>
        </w:rPr>
        <w:t xml:space="preserve"> 采购需求</w:t>
      </w:r>
      <w:r>
        <w:rPr>
          <w:rFonts w:hint="eastAsia" w:ascii="宋体" w:hAnsi="宋体" w:eastAsia="宋体" w:cs="宋体"/>
          <w:sz w:val="24"/>
          <w:szCs w:val="24"/>
        </w:rPr>
        <w:t xml:space="preserve"> </w:t>
      </w:r>
    </w:p>
    <w:p w14:paraId="6E5258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6 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评标方法和标准</w:t>
      </w:r>
    </w:p>
    <w:p w14:paraId="4F7B44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7 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政府采购合同格式</w:t>
      </w:r>
    </w:p>
    <w:p w14:paraId="11117A2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如本文件的前后内容不一致，以最后描述为准。</w:t>
      </w:r>
    </w:p>
    <w:p w14:paraId="2037798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5.3 </w:t>
      </w:r>
      <w:r>
        <w:rPr>
          <w:rFonts w:hint="eastAsia" w:ascii="宋体" w:hAnsi="宋体" w:eastAsia="宋体" w:cs="宋体"/>
          <w:sz w:val="24"/>
          <w:szCs w:val="24"/>
          <w:lang w:eastAsia="zh-CN"/>
        </w:rPr>
        <w:t>供应商</w:t>
      </w:r>
      <w:r>
        <w:rPr>
          <w:rFonts w:hint="eastAsia" w:ascii="宋体" w:hAnsi="宋体" w:eastAsia="宋体" w:cs="宋体"/>
          <w:sz w:val="24"/>
          <w:szCs w:val="24"/>
        </w:rPr>
        <w:t>应认真阅读</w:t>
      </w:r>
      <w:r>
        <w:rPr>
          <w:rFonts w:hint="eastAsia" w:ascii="宋体" w:hAnsi="宋体" w:eastAsia="宋体" w:cs="宋体"/>
          <w:sz w:val="24"/>
          <w:szCs w:val="24"/>
          <w:lang w:eastAsia="zh-CN"/>
        </w:rPr>
        <w:t>磋商文件</w:t>
      </w:r>
      <w:r>
        <w:rPr>
          <w:rFonts w:hint="eastAsia" w:ascii="宋体" w:hAnsi="宋体" w:eastAsia="宋体" w:cs="宋体"/>
          <w:sz w:val="24"/>
          <w:szCs w:val="24"/>
        </w:rPr>
        <w:t>所有的事项、格式、条款和技术规范等。如</w:t>
      </w:r>
      <w:r>
        <w:rPr>
          <w:rFonts w:hint="eastAsia" w:ascii="宋体" w:hAnsi="宋体" w:eastAsia="宋体" w:cs="宋体"/>
          <w:sz w:val="24"/>
          <w:szCs w:val="24"/>
          <w:lang w:eastAsia="zh-CN"/>
        </w:rPr>
        <w:t>供应商</w:t>
      </w:r>
      <w:r>
        <w:rPr>
          <w:rFonts w:hint="eastAsia" w:ascii="宋体" w:hAnsi="宋体" w:eastAsia="宋体" w:cs="宋体"/>
          <w:sz w:val="24"/>
          <w:szCs w:val="24"/>
        </w:rPr>
        <w:t>没有按照</w:t>
      </w:r>
      <w:r>
        <w:rPr>
          <w:rFonts w:hint="eastAsia" w:ascii="宋体" w:hAnsi="宋体" w:eastAsia="宋体" w:cs="宋体"/>
          <w:sz w:val="24"/>
          <w:szCs w:val="24"/>
          <w:lang w:eastAsia="zh-CN"/>
        </w:rPr>
        <w:t>磋商文件</w:t>
      </w:r>
      <w:r>
        <w:rPr>
          <w:rFonts w:hint="eastAsia" w:ascii="宋体" w:hAnsi="宋体" w:eastAsia="宋体" w:cs="宋体"/>
          <w:sz w:val="24"/>
          <w:szCs w:val="24"/>
        </w:rPr>
        <w:t>要求提交全部资料，或者</w:t>
      </w:r>
      <w:r>
        <w:rPr>
          <w:rFonts w:hint="eastAsia" w:ascii="宋体" w:hAnsi="宋体" w:eastAsia="宋体" w:cs="宋体"/>
          <w:sz w:val="24"/>
          <w:szCs w:val="24"/>
          <w:lang w:eastAsia="zh-CN"/>
        </w:rPr>
        <w:t>响应文件</w:t>
      </w:r>
      <w:r>
        <w:rPr>
          <w:rFonts w:hint="eastAsia" w:ascii="宋体" w:hAnsi="宋体" w:eastAsia="宋体" w:cs="宋体"/>
          <w:sz w:val="24"/>
          <w:szCs w:val="24"/>
        </w:rPr>
        <w:t>没有对</w:t>
      </w:r>
      <w:r>
        <w:rPr>
          <w:rFonts w:hint="eastAsia" w:ascii="宋体" w:hAnsi="宋体" w:eastAsia="宋体" w:cs="宋体"/>
          <w:sz w:val="24"/>
          <w:szCs w:val="24"/>
          <w:lang w:eastAsia="zh-CN"/>
        </w:rPr>
        <w:t>磋商文件</w:t>
      </w:r>
      <w:r>
        <w:rPr>
          <w:rFonts w:hint="eastAsia" w:ascii="宋体" w:hAnsi="宋体" w:eastAsia="宋体" w:cs="宋体"/>
          <w:sz w:val="24"/>
          <w:szCs w:val="24"/>
        </w:rPr>
        <w:t>在各方面都做出实质性响应，可能导致其响应文件被认定为</w:t>
      </w:r>
      <w:r>
        <w:rPr>
          <w:rFonts w:hint="eastAsia" w:ascii="宋体" w:hAnsi="宋体" w:eastAsia="宋体" w:cs="宋体"/>
          <w:b/>
          <w:bCs/>
          <w:sz w:val="24"/>
          <w:szCs w:val="24"/>
        </w:rPr>
        <w:t>响应无效</w:t>
      </w:r>
      <w:r>
        <w:rPr>
          <w:rFonts w:hint="eastAsia" w:ascii="宋体" w:hAnsi="宋体" w:eastAsia="宋体" w:cs="宋体"/>
          <w:sz w:val="24"/>
          <w:szCs w:val="24"/>
        </w:rPr>
        <w:t>。</w:t>
      </w:r>
    </w:p>
    <w:p w14:paraId="634126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磋商文件</w:t>
      </w:r>
      <w:r>
        <w:rPr>
          <w:rFonts w:hint="eastAsia" w:ascii="宋体" w:hAnsi="宋体" w:eastAsia="宋体" w:cs="宋体"/>
          <w:sz w:val="24"/>
          <w:szCs w:val="24"/>
        </w:rPr>
        <w:t>的澄清与修改</w:t>
      </w:r>
    </w:p>
    <w:p w14:paraId="6477FC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1E6F8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采购人可主动地或在解答供应商提出的澄清问题时对磋商文件澄清或修改。采购代理机构将以发布澄清（更正）公告的方式，澄清或修改磋商文件，澄清或修改内容作为磋商文件的组成部分。</w:t>
      </w:r>
    </w:p>
    <w:p w14:paraId="48BB67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澄清或者修改的内容可能影响响应文件编制的，采购代理机构将以书面形式通知所有购买磋商文件的潜在供应商，并对其具有约束力。供应商在收到上述通知后，应及时向采购代理机构回函确认。</w:t>
      </w:r>
    </w:p>
    <w:p w14:paraId="24B87D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7.投标截止时间的顺延</w:t>
      </w:r>
    </w:p>
    <w:p w14:paraId="604682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为使</w:t>
      </w:r>
      <w:r>
        <w:rPr>
          <w:rFonts w:hint="eastAsia" w:ascii="宋体" w:hAnsi="宋体" w:eastAsia="宋体" w:cs="宋体"/>
          <w:sz w:val="24"/>
          <w:szCs w:val="24"/>
          <w:lang w:eastAsia="zh-CN"/>
        </w:rPr>
        <w:t>供应商</w:t>
      </w:r>
      <w:r>
        <w:rPr>
          <w:rFonts w:hint="eastAsia" w:ascii="宋体" w:hAnsi="宋体" w:eastAsia="宋体" w:cs="宋体"/>
          <w:sz w:val="24"/>
          <w:szCs w:val="24"/>
        </w:rPr>
        <w:t>准备投标时有足够的时间对</w:t>
      </w:r>
      <w:r>
        <w:rPr>
          <w:rFonts w:hint="eastAsia" w:ascii="宋体" w:hAnsi="宋体" w:eastAsia="宋体" w:cs="宋体"/>
          <w:sz w:val="24"/>
          <w:szCs w:val="24"/>
          <w:lang w:eastAsia="zh-CN"/>
        </w:rPr>
        <w:t>磋商文件</w:t>
      </w:r>
      <w:r>
        <w:rPr>
          <w:rFonts w:hint="eastAsia" w:ascii="宋体" w:hAnsi="宋体" w:eastAsia="宋体" w:cs="宋体"/>
          <w:sz w:val="24"/>
          <w:szCs w:val="24"/>
        </w:rPr>
        <w:t>的澄清或者修改部分进行研究，采购人将依法决定是否顺延投标截止时间。</w:t>
      </w:r>
    </w:p>
    <w:p w14:paraId="09197C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32"/>
          <w:szCs w:val="32"/>
        </w:rPr>
      </w:pPr>
      <w:bookmarkStart w:id="3" w:name="_Toc24420"/>
    </w:p>
    <w:p w14:paraId="6CF12A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24"/>
          <w:szCs w:val="24"/>
        </w:rPr>
      </w:pPr>
      <w:r>
        <w:rPr>
          <w:rFonts w:hint="eastAsia" w:ascii="宋体" w:hAnsi="宋体" w:eastAsia="宋体" w:cs="宋体"/>
          <w:sz w:val="32"/>
          <w:szCs w:val="32"/>
        </w:rPr>
        <w:t>三</w:t>
      </w:r>
      <w:r>
        <w:rPr>
          <w:rFonts w:hint="eastAsia" w:ascii="宋体" w:hAnsi="宋体" w:eastAsia="宋体" w:cs="宋体"/>
          <w:sz w:val="32"/>
          <w:szCs w:val="32"/>
          <w:lang w:eastAsia="zh-CN"/>
        </w:rPr>
        <w:t>．响应文件</w:t>
      </w:r>
      <w:r>
        <w:rPr>
          <w:rFonts w:hint="eastAsia" w:ascii="宋体" w:hAnsi="宋体" w:eastAsia="宋体" w:cs="宋体"/>
          <w:sz w:val="32"/>
          <w:szCs w:val="32"/>
        </w:rPr>
        <w:t>的编制</w:t>
      </w:r>
      <w:bookmarkEnd w:id="3"/>
    </w:p>
    <w:p w14:paraId="114FC9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8.投标范围及</w:t>
      </w:r>
      <w:r>
        <w:rPr>
          <w:rFonts w:hint="eastAsia" w:ascii="宋体" w:hAnsi="宋体" w:eastAsia="宋体" w:cs="宋体"/>
          <w:sz w:val="24"/>
          <w:szCs w:val="24"/>
          <w:lang w:eastAsia="zh-CN"/>
        </w:rPr>
        <w:t>响应文件</w:t>
      </w:r>
      <w:r>
        <w:rPr>
          <w:rFonts w:hint="eastAsia" w:ascii="宋体" w:hAnsi="宋体" w:eastAsia="宋体" w:cs="宋体"/>
          <w:sz w:val="24"/>
          <w:szCs w:val="24"/>
        </w:rPr>
        <w:t>中标准和计量单位的使用</w:t>
      </w:r>
    </w:p>
    <w:p w14:paraId="4FBD98C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 xml:space="preserve"> 项目有分包的，供应商可对磋商文件其中一个或几个分包进行响应，除非在</w:t>
      </w:r>
      <w:r>
        <w:rPr>
          <w:rFonts w:hint="eastAsia" w:ascii="宋体" w:hAnsi="宋体" w:eastAsia="宋体" w:cs="宋体"/>
          <w:sz w:val="24"/>
          <w:szCs w:val="24"/>
          <w:u w:val="single"/>
          <w:lang w:val="en-US" w:eastAsia="zh-CN"/>
        </w:rPr>
        <w:t>供应商须知资料表</w:t>
      </w:r>
      <w:r>
        <w:rPr>
          <w:rFonts w:hint="eastAsia" w:ascii="宋体" w:hAnsi="宋体" w:eastAsia="宋体" w:cs="宋体"/>
          <w:sz w:val="24"/>
          <w:szCs w:val="24"/>
          <w:lang w:val="en-US" w:eastAsia="zh-CN"/>
        </w:rPr>
        <w:t>中另有规定。</w:t>
      </w:r>
    </w:p>
    <w:p w14:paraId="620F1A6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8.2 </w:t>
      </w:r>
      <w:r>
        <w:rPr>
          <w:rFonts w:hint="eastAsia" w:ascii="宋体" w:hAnsi="宋体" w:eastAsia="宋体" w:cs="宋体"/>
          <w:sz w:val="24"/>
          <w:szCs w:val="24"/>
          <w:lang w:eastAsia="zh-CN"/>
        </w:rPr>
        <w:t>供应商</w:t>
      </w:r>
      <w:r>
        <w:rPr>
          <w:rFonts w:hint="eastAsia" w:ascii="宋体" w:hAnsi="宋体" w:eastAsia="宋体" w:cs="宋体"/>
          <w:sz w:val="24"/>
          <w:szCs w:val="24"/>
        </w:rPr>
        <w:t>应当对所投分包</w:t>
      </w:r>
      <w:r>
        <w:rPr>
          <w:rFonts w:hint="eastAsia" w:ascii="宋体" w:hAnsi="宋体" w:eastAsia="宋体" w:cs="宋体"/>
          <w:sz w:val="24"/>
          <w:szCs w:val="24"/>
          <w:lang w:eastAsia="zh-CN"/>
        </w:rPr>
        <w:t>磋商文件</w:t>
      </w:r>
      <w:r>
        <w:rPr>
          <w:rFonts w:hint="eastAsia" w:ascii="宋体" w:hAnsi="宋体" w:eastAsia="宋体" w:cs="宋体"/>
          <w:sz w:val="24"/>
          <w:szCs w:val="24"/>
        </w:rPr>
        <w:t>中“采购需求”所列的所有服务内容进行响应。</w:t>
      </w:r>
    </w:p>
    <w:p w14:paraId="1AF17B0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8.3 无论</w:t>
      </w:r>
      <w:r>
        <w:rPr>
          <w:rFonts w:hint="eastAsia" w:ascii="宋体" w:hAnsi="宋体" w:eastAsia="宋体" w:cs="宋体"/>
          <w:sz w:val="24"/>
          <w:szCs w:val="24"/>
          <w:lang w:eastAsia="zh-CN"/>
        </w:rPr>
        <w:t>磋商文件</w:t>
      </w:r>
      <w:r>
        <w:rPr>
          <w:rFonts w:hint="eastAsia" w:ascii="宋体" w:hAnsi="宋体" w:eastAsia="宋体" w:cs="宋体"/>
          <w:sz w:val="24"/>
          <w:szCs w:val="24"/>
        </w:rPr>
        <w:t>第5章采购需求中是否要求，</w:t>
      </w:r>
      <w:r>
        <w:rPr>
          <w:rFonts w:hint="eastAsia" w:ascii="宋体" w:hAnsi="宋体" w:eastAsia="宋体" w:cs="宋体"/>
          <w:sz w:val="24"/>
          <w:szCs w:val="24"/>
          <w:lang w:eastAsia="zh-CN"/>
        </w:rPr>
        <w:t>供应商</w:t>
      </w:r>
      <w:r>
        <w:rPr>
          <w:rFonts w:hint="eastAsia" w:ascii="宋体" w:hAnsi="宋体" w:eastAsia="宋体" w:cs="宋体"/>
          <w:sz w:val="24"/>
          <w:szCs w:val="24"/>
        </w:rPr>
        <w:t>所投服务均应符合国家强制性标准。</w:t>
      </w:r>
    </w:p>
    <w:p w14:paraId="04FBC6B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8.4 除</w:t>
      </w:r>
      <w:r>
        <w:rPr>
          <w:rFonts w:hint="eastAsia" w:ascii="宋体" w:hAnsi="宋体" w:eastAsia="宋体" w:cs="宋体"/>
          <w:sz w:val="24"/>
          <w:szCs w:val="24"/>
          <w:lang w:eastAsia="zh-CN"/>
        </w:rPr>
        <w:t>磋商文件</w:t>
      </w:r>
      <w:r>
        <w:rPr>
          <w:rFonts w:hint="eastAsia" w:ascii="宋体" w:hAnsi="宋体" w:eastAsia="宋体" w:cs="宋体"/>
          <w:sz w:val="24"/>
          <w:szCs w:val="24"/>
        </w:rPr>
        <w:t>中有特殊要求外，</w:t>
      </w:r>
      <w:r>
        <w:rPr>
          <w:rFonts w:hint="eastAsia" w:ascii="宋体" w:hAnsi="宋体" w:eastAsia="宋体" w:cs="宋体"/>
          <w:sz w:val="24"/>
          <w:szCs w:val="24"/>
          <w:lang w:eastAsia="zh-CN"/>
        </w:rPr>
        <w:t>响应文件</w:t>
      </w:r>
      <w:r>
        <w:rPr>
          <w:rFonts w:hint="eastAsia" w:ascii="宋体" w:hAnsi="宋体" w:eastAsia="宋体" w:cs="宋体"/>
          <w:sz w:val="24"/>
          <w:szCs w:val="24"/>
        </w:rPr>
        <w:t>中所使用的计量单位，应采用中华人民共和国法定计量单位。</w:t>
      </w:r>
    </w:p>
    <w:p w14:paraId="42B119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响应文件</w:t>
      </w:r>
      <w:r>
        <w:rPr>
          <w:rFonts w:hint="eastAsia" w:ascii="宋体" w:hAnsi="宋体" w:eastAsia="宋体" w:cs="宋体"/>
          <w:sz w:val="24"/>
          <w:szCs w:val="24"/>
        </w:rPr>
        <w:t>构成</w:t>
      </w:r>
    </w:p>
    <w:p w14:paraId="034B0B1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9.1 </w:t>
      </w:r>
      <w:r>
        <w:rPr>
          <w:rFonts w:hint="eastAsia" w:ascii="宋体" w:hAnsi="宋体" w:eastAsia="宋体" w:cs="宋体"/>
          <w:b/>
          <w:bCs/>
          <w:sz w:val="24"/>
          <w:szCs w:val="24"/>
          <w:u w:val="single"/>
        </w:rPr>
        <w:t>供应商应完整地按</w:t>
      </w:r>
      <w:r>
        <w:rPr>
          <w:rFonts w:hint="eastAsia" w:ascii="宋体" w:hAnsi="宋体" w:eastAsia="宋体" w:cs="宋体"/>
          <w:b/>
          <w:bCs/>
          <w:sz w:val="24"/>
          <w:szCs w:val="24"/>
          <w:u w:val="single"/>
          <w:lang w:eastAsia="zh-CN"/>
        </w:rPr>
        <w:t>磋商文件</w:t>
      </w:r>
      <w:r>
        <w:rPr>
          <w:rFonts w:hint="eastAsia" w:ascii="宋体" w:hAnsi="宋体" w:eastAsia="宋体" w:cs="宋体"/>
          <w:b/>
          <w:bCs/>
          <w:sz w:val="24"/>
          <w:szCs w:val="24"/>
          <w:u w:val="single"/>
        </w:rPr>
        <w:t>提供的</w:t>
      </w:r>
      <w:r>
        <w:rPr>
          <w:rFonts w:hint="eastAsia" w:ascii="宋体" w:hAnsi="宋体" w:eastAsia="宋体" w:cs="宋体"/>
          <w:b/>
          <w:bCs/>
          <w:sz w:val="24"/>
          <w:szCs w:val="24"/>
          <w:u w:val="single"/>
          <w:lang w:eastAsia="zh-CN"/>
        </w:rPr>
        <w:t>响应文件</w:t>
      </w:r>
      <w:r>
        <w:rPr>
          <w:rFonts w:hint="eastAsia" w:ascii="宋体" w:hAnsi="宋体" w:eastAsia="宋体" w:cs="宋体"/>
          <w:b/>
          <w:bCs/>
          <w:sz w:val="24"/>
          <w:szCs w:val="24"/>
          <w:u w:val="single"/>
        </w:rPr>
        <w:t>格式及要求编写</w:t>
      </w:r>
      <w:r>
        <w:rPr>
          <w:rFonts w:hint="eastAsia" w:ascii="宋体" w:hAnsi="宋体" w:eastAsia="宋体" w:cs="宋体"/>
          <w:b/>
          <w:bCs/>
          <w:sz w:val="24"/>
          <w:szCs w:val="24"/>
          <w:u w:val="single"/>
          <w:lang w:eastAsia="zh-CN"/>
        </w:rPr>
        <w:t>响应文件</w:t>
      </w:r>
      <w:r>
        <w:rPr>
          <w:rFonts w:hint="eastAsia" w:ascii="宋体" w:hAnsi="宋体" w:eastAsia="宋体" w:cs="宋体"/>
          <w:b/>
          <w:bCs/>
          <w:sz w:val="24"/>
          <w:szCs w:val="24"/>
          <w:u w:val="single"/>
        </w:rPr>
        <w:t>，</w:t>
      </w:r>
      <w:r>
        <w:rPr>
          <w:rFonts w:hint="eastAsia" w:ascii="宋体" w:hAnsi="宋体" w:eastAsia="宋体" w:cs="宋体"/>
          <w:b/>
          <w:bCs/>
          <w:sz w:val="24"/>
          <w:szCs w:val="24"/>
          <w:u w:val="single"/>
          <w:lang w:eastAsia="zh-CN"/>
        </w:rPr>
        <w:t>供应商</w:t>
      </w:r>
      <w:r>
        <w:rPr>
          <w:rFonts w:hint="eastAsia" w:ascii="宋体" w:hAnsi="宋体" w:eastAsia="宋体" w:cs="宋体"/>
          <w:b/>
          <w:bCs/>
          <w:sz w:val="24"/>
          <w:szCs w:val="24"/>
          <w:u w:val="single"/>
        </w:rPr>
        <w:t>须在投标截止时间前完成在系统上递交电子</w:t>
      </w:r>
      <w:r>
        <w:rPr>
          <w:rFonts w:hint="eastAsia" w:ascii="宋体" w:hAnsi="宋体" w:eastAsia="宋体" w:cs="宋体"/>
          <w:b/>
          <w:bCs/>
          <w:sz w:val="24"/>
          <w:szCs w:val="24"/>
          <w:u w:val="single"/>
          <w:lang w:eastAsia="zh-CN"/>
        </w:rPr>
        <w:t>响应文件</w:t>
      </w:r>
      <w:r>
        <w:rPr>
          <w:rFonts w:hint="eastAsia" w:ascii="宋体" w:hAnsi="宋体" w:eastAsia="宋体" w:cs="宋体"/>
          <w:b/>
          <w:bCs/>
          <w:sz w:val="24"/>
          <w:szCs w:val="24"/>
          <w:u w:val="single"/>
        </w:rPr>
        <w:t>。</w:t>
      </w:r>
      <w:r>
        <w:rPr>
          <w:rFonts w:hint="eastAsia" w:ascii="宋体" w:hAnsi="宋体" w:eastAsia="宋体" w:cs="宋体"/>
          <w:b/>
          <w:bCs/>
          <w:sz w:val="24"/>
          <w:szCs w:val="24"/>
          <w:u w:val="single"/>
          <w:lang w:eastAsia="zh-CN"/>
        </w:rPr>
        <w:t>供应商</w:t>
      </w:r>
      <w:r>
        <w:rPr>
          <w:rFonts w:hint="eastAsia" w:ascii="宋体" w:hAnsi="宋体" w:eastAsia="宋体" w:cs="宋体"/>
          <w:b/>
          <w:bCs/>
          <w:sz w:val="24"/>
          <w:szCs w:val="24"/>
          <w:u w:val="single"/>
        </w:rPr>
        <w:t>的电子</w:t>
      </w:r>
      <w:r>
        <w:rPr>
          <w:rFonts w:hint="eastAsia" w:ascii="宋体" w:hAnsi="宋体" w:eastAsia="宋体" w:cs="宋体"/>
          <w:b/>
          <w:bCs/>
          <w:sz w:val="24"/>
          <w:szCs w:val="24"/>
          <w:u w:val="single"/>
          <w:lang w:eastAsia="zh-CN"/>
        </w:rPr>
        <w:t>响应文件</w:t>
      </w:r>
      <w:r>
        <w:rPr>
          <w:rFonts w:hint="eastAsia" w:ascii="宋体" w:hAnsi="宋体" w:eastAsia="宋体" w:cs="宋体"/>
          <w:b/>
          <w:bCs/>
          <w:sz w:val="24"/>
          <w:szCs w:val="24"/>
          <w:u w:val="single"/>
        </w:rPr>
        <w:t>是经过 CA 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b/>
          <w:bCs/>
          <w:sz w:val="24"/>
          <w:szCs w:val="24"/>
          <w:u w:val="single"/>
          <w:lang w:eastAsia="zh-CN"/>
        </w:rPr>
        <w:t>响应文件</w:t>
      </w:r>
      <w:r>
        <w:rPr>
          <w:rFonts w:hint="eastAsia" w:ascii="宋体" w:hAnsi="宋体" w:eastAsia="宋体" w:cs="宋体"/>
          <w:b/>
          <w:bCs/>
          <w:sz w:val="24"/>
          <w:szCs w:val="24"/>
          <w:u w:val="single"/>
        </w:rPr>
        <w:t>）</w:t>
      </w:r>
    </w:p>
    <w:p w14:paraId="7C068B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上述文件应按照</w:t>
      </w:r>
      <w:r>
        <w:rPr>
          <w:rFonts w:hint="eastAsia" w:ascii="宋体" w:hAnsi="宋体" w:eastAsia="宋体" w:cs="宋体"/>
          <w:sz w:val="24"/>
          <w:szCs w:val="24"/>
          <w:lang w:eastAsia="zh-CN"/>
        </w:rPr>
        <w:t>磋商文件</w:t>
      </w:r>
      <w:r>
        <w:rPr>
          <w:rFonts w:hint="eastAsia" w:ascii="宋体" w:hAnsi="宋体" w:eastAsia="宋体" w:cs="宋体"/>
          <w:sz w:val="24"/>
          <w:szCs w:val="24"/>
        </w:rPr>
        <w:t>规定的格式填写、签署和盖章。</w:t>
      </w:r>
    </w:p>
    <w:p w14:paraId="0B4B94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rPr>
        <w:t>10.证明标的的合格性和符合</w:t>
      </w:r>
      <w:r>
        <w:rPr>
          <w:rFonts w:hint="eastAsia" w:ascii="宋体" w:hAnsi="宋体" w:eastAsia="宋体" w:cs="宋体"/>
          <w:sz w:val="24"/>
          <w:szCs w:val="24"/>
          <w:lang w:eastAsia="zh-CN"/>
        </w:rPr>
        <w:t>磋商文件</w:t>
      </w:r>
      <w:r>
        <w:rPr>
          <w:rFonts w:hint="eastAsia" w:ascii="宋体" w:hAnsi="宋体" w:eastAsia="宋体" w:cs="宋体"/>
          <w:sz w:val="24"/>
          <w:szCs w:val="24"/>
        </w:rPr>
        <w:t>规定的</w:t>
      </w:r>
      <w:r>
        <w:rPr>
          <w:rFonts w:hint="eastAsia" w:ascii="宋体" w:hAnsi="宋体" w:eastAsia="宋体" w:cs="宋体"/>
          <w:sz w:val="24"/>
          <w:szCs w:val="24"/>
          <w:lang w:eastAsia="zh-CN"/>
        </w:rPr>
        <w:t>响应文件</w:t>
      </w:r>
    </w:p>
    <w:p w14:paraId="56CE346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10.1 </w:t>
      </w:r>
      <w:r>
        <w:rPr>
          <w:rFonts w:hint="eastAsia" w:ascii="宋体" w:hAnsi="宋体" w:eastAsia="宋体" w:cs="宋体"/>
          <w:sz w:val="24"/>
          <w:szCs w:val="24"/>
          <w:lang w:eastAsia="zh-CN"/>
        </w:rPr>
        <w:t>供应商</w:t>
      </w:r>
      <w:r>
        <w:rPr>
          <w:rFonts w:hint="eastAsia" w:ascii="宋体" w:hAnsi="宋体" w:eastAsia="宋体" w:cs="宋体"/>
          <w:sz w:val="24"/>
          <w:szCs w:val="24"/>
        </w:rPr>
        <w:t>应提交证明文件，证明其投标内容符合</w:t>
      </w:r>
      <w:r>
        <w:rPr>
          <w:rFonts w:hint="eastAsia" w:ascii="宋体" w:hAnsi="宋体" w:eastAsia="宋体" w:cs="宋体"/>
          <w:sz w:val="24"/>
          <w:szCs w:val="24"/>
          <w:lang w:eastAsia="zh-CN"/>
        </w:rPr>
        <w:t>磋商文件</w:t>
      </w:r>
      <w:r>
        <w:rPr>
          <w:rFonts w:hint="eastAsia" w:ascii="宋体" w:hAnsi="宋体" w:eastAsia="宋体" w:cs="宋体"/>
          <w:sz w:val="24"/>
          <w:szCs w:val="24"/>
        </w:rPr>
        <w:t>规定。该证明文件是</w:t>
      </w:r>
      <w:r>
        <w:rPr>
          <w:rFonts w:hint="eastAsia" w:ascii="宋体" w:hAnsi="宋体" w:eastAsia="宋体" w:cs="宋体"/>
          <w:sz w:val="24"/>
          <w:szCs w:val="24"/>
          <w:lang w:eastAsia="zh-CN"/>
        </w:rPr>
        <w:t>响应文件</w:t>
      </w:r>
      <w:r>
        <w:rPr>
          <w:rFonts w:hint="eastAsia" w:ascii="宋体" w:hAnsi="宋体" w:eastAsia="宋体" w:cs="宋体"/>
          <w:sz w:val="24"/>
          <w:szCs w:val="24"/>
        </w:rPr>
        <w:t>的一部分。</w:t>
      </w:r>
    </w:p>
    <w:p w14:paraId="36DA8A8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10.2 上款所述的证明文件，可以是文字资料、图纸和数据。</w:t>
      </w:r>
    </w:p>
    <w:p w14:paraId="0C7090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11.磋商报价</w:t>
      </w:r>
    </w:p>
    <w:p w14:paraId="1DADB6A1">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 xml:space="preserve"> 所有响应文件均以人民币报价。供应商的磋商报价应遵守《中华人民共和国价格法》。同时，根据《中华人民共和国政府采购法》第二条的规定，为保证公平竞争，如有主体响应标的的赠与行为，其响应将被认定为</w:t>
      </w:r>
      <w:r>
        <w:rPr>
          <w:rFonts w:hint="eastAsia" w:ascii="宋体" w:hAnsi="宋体" w:eastAsia="宋体" w:cs="宋体"/>
          <w:b/>
          <w:bCs/>
          <w:sz w:val="24"/>
          <w:szCs w:val="24"/>
          <w:lang w:val="en-US" w:eastAsia="zh-CN"/>
        </w:rPr>
        <w:t>响应无效</w:t>
      </w:r>
      <w:r>
        <w:rPr>
          <w:rFonts w:hint="eastAsia" w:ascii="宋体" w:hAnsi="宋体" w:eastAsia="宋体" w:cs="宋体"/>
          <w:sz w:val="24"/>
          <w:szCs w:val="24"/>
          <w:lang w:val="en-US" w:eastAsia="zh-CN"/>
        </w:rPr>
        <w:t>。</w:t>
      </w:r>
    </w:p>
    <w:p w14:paraId="2C235EF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11.2 供应商应在标的分项报价表上标明分项服务的价格（如适用）和总价，并由法定代表人或其委托代理人签署。</w:t>
      </w:r>
    </w:p>
    <w:p w14:paraId="0F56381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11.3 采购人不接受具有附加条件的报价。</w:t>
      </w:r>
    </w:p>
    <w:p w14:paraId="506885F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11.4 供应商所报的各分项磋商报价在合同履行过程中是固定不变的，不得以任何理由予以变更。任何包含价格调整要求的响应，将被认定为</w:t>
      </w:r>
      <w:r>
        <w:rPr>
          <w:rFonts w:hint="eastAsia" w:ascii="宋体" w:hAnsi="宋体" w:eastAsia="宋体" w:cs="宋体"/>
          <w:b/>
          <w:bCs/>
          <w:sz w:val="24"/>
          <w:szCs w:val="24"/>
        </w:rPr>
        <w:t>响应无效</w:t>
      </w:r>
      <w:r>
        <w:rPr>
          <w:rFonts w:hint="eastAsia" w:ascii="宋体" w:hAnsi="宋体" w:eastAsia="宋体" w:cs="宋体"/>
          <w:sz w:val="24"/>
          <w:szCs w:val="24"/>
        </w:rPr>
        <w:t>。</w:t>
      </w:r>
    </w:p>
    <w:p w14:paraId="134E2C9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11.5 </w:t>
      </w:r>
      <w:r>
        <w:rPr>
          <w:rFonts w:hint="eastAsia" w:ascii="宋体" w:hAnsi="宋体" w:eastAsia="宋体" w:cs="宋体"/>
          <w:b/>
          <w:bCs/>
          <w:sz w:val="24"/>
          <w:szCs w:val="24"/>
          <w:u w:val="single"/>
          <w:lang w:val="en-US"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82FAC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12.磋商保证金</w:t>
      </w:r>
    </w:p>
    <w:p w14:paraId="5A6EBDF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12.1 供应商应提交</w:t>
      </w:r>
      <w:r>
        <w:rPr>
          <w:rFonts w:hint="eastAsia" w:ascii="宋体" w:hAnsi="宋体" w:eastAsia="宋体" w:cs="宋体"/>
          <w:sz w:val="24"/>
          <w:szCs w:val="24"/>
          <w:u w:val="single"/>
        </w:rPr>
        <w:t>供应商须知资料表</w:t>
      </w:r>
      <w:r>
        <w:rPr>
          <w:rFonts w:hint="eastAsia" w:ascii="宋体" w:hAnsi="宋体" w:eastAsia="宋体" w:cs="宋体"/>
          <w:sz w:val="24"/>
          <w:szCs w:val="24"/>
        </w:rPr>
        <w:t>中规定的磋商保证金，并作为其响应文件的一部分。</w:t>
      </w:r>
    </w:p>
    <w:p w14:paraId="12A2CCF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12.2 供应商存在下列情形的，磋商保证金不予退还：</w:t>
      </w:r>
    </w:p>
    <w:p w14:paraId="3EAE60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（1）在磋商有效期内，撤销响应文件的；</w:t>
      </w:r>
    </w:p>
    <w:p w14:paraId="2DF13A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（2）成交后不按本须知第30条的规定与采购人签订合同的；</w:t>
      </w:r>
    </w:p>
    <w:p w14:paraId="066DE1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（3）成交后不按本须知第31条的规定提交履约保证金的；</w:t>
      </w:r>
    </w:p>
    <w:p w14:paraId="6A48AF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（4）存在其他违法违规行为的。</w:t>
      </w:r>
    </w:p>
    <w:p w14:paraId="4D1B8A7A">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12.3 政府采购信用担保试点范围内的项目，接受符合财政部门规定的政府采购磋商担保函原件。</w:t>
      </w:r>
    </w:p>
    <w:p w14:paraId="1B11AE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z w:val="24"/>
          <w:szCs w:val="24"/>
        </w:rPr>
      </w:pPr>
      <w:r>
        <w:rPr>
          <w:rFonts w:hint="eastAsia" w:ascii="宋体" w:hAnsi="宋体" w:eastAsia="宋体" w:cs="宋体"/>
          <w:sz w:val="24"/>
          <w:szCs w:val="24"/>
        </w:rPr>
        <w:t>12.4 供应商未按本须知第12.1和12.3条规定提交磋商保证金的，其磋商资格将被认定为</w:t>
      </w:r>
      <w:r>
        <w:rPr>
          <w:rFonts w:hint="eastAsia" w:ascii="宋体" w:hAnsi="宋体" w:eastAsia="宋体" w:cs="宋体"/>
          <w:b/>
          <w:bCs/>
          <w:sz w:val="24"/>
          <w:szCs w:val="24"/>
        </w:rPr>
        <w:t>磋商无效。</w:t>
      </w:r>
    </w:p>
    <w:p w14:paraId="0470C4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采用电汇形式的， 一般可以实时入账。</w:t>
      </w:r>
    </w:p>
    <w:p w14:paraId="2FFC65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232E9C3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eastAsia="zh-CN"/>
        </w:rPr>
      </w:pPr>
      <w:r>
        <w:rPr>
          <w:rFonts w:hint="eastAsia" w:ascii="宋体" w:hAnsi="宋体" w:eastAsia="宋体" w:cs="宋体"/>
          <w:sz w:val="24"/>
          <w:szCs w:val="24"/>
        </w:rPr>
        <w:t>12.5 联合体递交响应文件的，可以由联合体中的一方或者共同提交磋商保证金。以一方名义提交磋商保证金的，对联合体各方均具有约束力。</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r>
        <w:rPr>
          <w:rFonts w:hint="eastAsia" w:ascii="宋体" w:hAnsi="宋体" w:eastAsia="宋体" w:cs="宋体"/>
          <w:sz w:val="24"/>
          <w:szCs w:val="24"/>
          <w:lang w:eastAsia="zh-CN"/>
        </w:rPr>
        <w:t>）</w:t>
      </w:r>
    </w:p>
    <w:p w14:paraId="72AEE91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12.6 磋商保证金的退还</w:t>
      </w:r>
    </w:p>
    <w:p w14:paraId="1351DC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12.6.1 成交人应在与采购人签订合同之日起5个工作日内，及时联系保证金收受机构办理磋商保证金无息退还手续。</w:t>
      </w:r>
    </w:p>
    <w:p w14:paraId="61A9D2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12.6.2  未成交供应商的磋商保证金将在成交通知书发出之日暨成交结果公告公布之日起5个工作日内无息退还。供应商及时联系保证金收受机构办理退还磋商保证金手续。</w:t>
      </w:r>
    </w:p>
    <w:p w14:paraId="091AA0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12.6.3  政府采购</w:t>
      </w:r>
      <w:r>
        <w:rPr>
          <w:rFonts w:hint="eastAsia" w:ascii="宋体" w:hAnsi="宋体" w:eastAsia="宋体" w:cs="宋体"/>
          <w:sz w:val="24"/>
          <w:szCs w:val="24"/>
          <w:lang w:val="en-US" w:eastAsia="zh-CN"/>
        </w:rPr>
        <w:t>磋商</w:t>
      </w:r>
      <w:r>
        <w:rPr>
          <w:rFonts w:hint="eastAsia" w:ascii="宋体" w:hAnsi="宋体" w:eastAsia="宋体" w:cs="宋体"/>
          <w:sz w:val="24"/>
          <w:szCs w:val="24"/>
        </w:rPr>
        <w:t>担保函不予退回。</w:t>
      </w:r>
    </w:p>
    <w:p w14:paraId="0399B0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12.7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因供应商自身原因导致无法及时退还的，采购人或采购代理机构将不承担相应责任。</w:t>
      </w:r>
    </w:p>
    <w:p w14:paraId="22F252F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13.磋商有效期</w:t>
      </w:r>
    </w:p>
    <w:p w14:paraId="4DED8FA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rPr>
        <w:tab/>
      </w:r>
      <w:r>
        <w:rPr>
          <w:rFonts w:hint="eastAsia" w:ascii="宋体" w:hAnsi="宋体" w:eastAsia="宋体" w:cs="宋体"/>
          <w:sz w:val="24"/>
          <w:szCs w:val="24"/>
        </w:rPr>
        <w:t>磋商应在供应商须知资料表中规定时间内保持有效。磋商有效期不满足要求的响应，其磋商资格将被认定为无效。</w:t>
      </w:r>
    </w:p>
    <w:p w14:paraId="7F80BB0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rPr>
        <w:tab/>
      </w:r>
      <w:r>
        <w:rPr>
          <w:rFonts w:hint="eastAsia" w:ascii="宋体" w:hAnsi="宋体" w:eastAsia="宋体" w:cs="宋体"/>
          <w:sz w:val="24"/>
          <w:szCs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405D1F44">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14.响应文件的签署及规定</w:t>
      </w:r>
    </w:p>
    <w:p w14:paraId="39E5A124">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rPr>
        <w:tab/>
      </w:r>
      <w:r>
        <w:rPr>
          <w:rFonts w:hint="eastAsia" w:ascii="宋体" w:hAnsi="宋体" w:eastAsia="宋体" w:cs="宋体"/>
          <w:sz w:val="24"/>
          <w:szCs w:val="24"/>
        </w:rPr>
        <w:t>供应商应按供应商须知资料表中的规定，准备和递交（加密上传）电子响应文件。</w:t>
      </w:r>
    </w:p>
    <w:p w14:paraId="5E86412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14.2</w:t>
      </w:r>
      <w:r>
        <w:rPr>
          <w:rFonts w:hint="eastAsia" w:ascii="宋体" w:hAnsi="宋体" w:eastAsia="宋体" w:cs="宋体"/>
          <w:sz w:val="24"/>
          <w:szCs w:val="24"/>
        </w:rPr>
        <w:tab/>
      </w:r>
      <w:r>
        <w:rPr>
          <w:rFonts w:hint="eastAsia" w:ascii="宋体" w:hAnsi="宋体" w:eastAsia="宋体" w:cs="宋体"/>
          <w:sz w:val="24"/>
          <w:szCs w:val="24"/>
        </w:rPr>
        <w:t>所有响应文件应按照磋商文件规定的格式填写、签署和盖章。</w:t>
      </w:r>
    </w:p>
    <w:p w14:paraId="203C9C1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14.3 响应文件因字迹潦草、表达不清或未按照磋商文件规定的格式填写、签署和盖章所引起的后果由供应商负责。</w:t>
      </w:r>
    </w:p>
    <w:p w14:paraId="1D43A3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32"/>
          <w:szCs w:val="32"/>
        </w:rPr>
      </w:pPr>
      <w:bookmarkStart w:id="4" w:name="_Toc3722"/>
      <w:r>
        <w:rPr>
          <w:rFonts w:hint="eastAsia" w:ascii="宋体" w:hAnsi="宋体" w:eastAsia="宋体" w:cs="宋体"/>
          <w:sz w:val="32"/>
          <w:szCs w:val="32"/>
        </w:rPr>
        <w:t>四</w:t>
      </w:r>
      <w:r>
        <w:rPr>
          <w:rFonts w:hint="eastAsia" w:ascii="宋体" w:hAnsi="宋体" w:eastAsia="宋体" w:cs="宋体"/>
          <w:sz w:val="32"/>
          <w:szCs w:val="32"/>
          <w:lang w:eastAsia="zh-CN"/>
        </w:rPr>
        <w:t>、响应文件</w:t>
      </w:r>
      <w:r>
        <w:rPr>
          <w:rFonts w:hint="eastAsia" w:ascii="宋体" w:hAnsi="宋体" w:eastAsia="宋体" w:cs="宋体"/>
          <w:sz w:val="32"/>
          <w:szCs w:val="32"/>
        </w:rPr>
        <w:t>的递交</w:t>
      </w:r>
      <w:bookmarkEnd w:id="4"/>
    </w:p>
    <w:p w14:paraId="78AF5F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eastAsia="zh-CN"/>
        </w:rPr>
        <w:t>响应文件</w:t>
      </w:r>
      <w:r>
        <w:rPr>
          <w:rFonts w:hint="eastAsia" w:ascii="宋体" w:hAnsi="宋体" w:eastAsia="宋体" w:cs="宋体"/>
          <w:sz w:val="24"/>
          <w:szCs w:val="24"/>
        </w:rPr>
        <w:t>的密封和标记</w:t>
      </w:r>
    </w:p>
    <w:p w14:paraId="27B30BC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为方便评审及进行资格审查，</w:t>
      </w:r>
      <w:r>
        <w:rPr>
          <w:rFonts w:hint="eastAsia" w:ascii="宋体" w:hAnsi="宋体" w:eastAsia="宋体" w:cs="宋体"/>
          <w:sz w:val="24"/>
          <w:szCs w:val="24"/>
          <w:lang w:eastAsia="zh-CN"/>
        </w:rPr>
        <w:t>供应商</w:t>
      </w:r>
      <w:r>
        <w:rPr>
          <w:rFonts w:hint="eastAsia" w:ascii="宋体" w:hAnsi="宋体" w:eastAsia="宋体" w:cs="宋体"/>
          <w:sz w:val="24"/>
          <w:szCs w:val="24"/>
        </w:rPr>
        <w:t>应完整地按</w:t>
      </w:r>
      <w:r>
        <w:rPr>
          <w:rFonts w:hint="eastAsia" w:ascii="宋体" w:hAnsi="宋体" w:eastAsia="宋体" w:cs="宋体"/>
          <w:sz w:val="24"/>
          <w:szCs w:val="24"/>
          <w:lang w:eastAsia="zh-CN"/>
        </w:rPr>
        <w:t>磋商文件</w:t>
      </w:r>
      <w:r>
        <w:rPr>
          <w:rFonts w:hint="eastAsia" w:ascii="宋体" w:hAnsi="宋体" w:eastAsia="宋体" w:cs="宋体"/>
          <w:sz w:val="24"/>
          <w:szCs w:val="24"/>
        </w:rPr>
        <w:t>提供的</w:t>
      </w:r>
      <w:r>
        <w:rPr>
          <w:rFonts w:hint="eastAsia" w:ascii="宋体" w:hAnsi="宋体" w:eastAsia="宋体" w:cs="宋体"/>
          <w:sz w:val="24"/>
          <w:szCs w:val="24"/>
          <w:lang w:eastAsia="zh-CN"/>
        </w:rPr>
        <w:t>响应文件</w:t>
      </w:r>
      <w:r>
        <w:rPr>
          <w:rFonts w:hint="eastAsia" w:ascii="宋体" w:hAnsi="宋体" w:eastAsia="宋体" w:cs="宋体"/>
          <w:sz w:val="24"/>
          <w:szCs w:val="24"/>
        </w:rPr>
        <w:t>格式及要求编写</w:t>
      </w:r>
      <w:r>
        <w:rPr>
          <w:rFonts w:hint="eastAsia" w:ascii="宋体" w:hAnsi="宋体" w:eastAsia="宋体" w:cs="宋体"/>
          <w:sz w:val="24"/>
          <w:szCs w:val="24"/>
          <w:lang w:eastAsia="zh-CN"/>
        </w:rPr>
        <w:t>响应文件</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须在投标截止时间前完成在系统上递交电子</w:t>
      </w:r>
      <w:r>
        <w:rPr>
          <w:rFonts w:hint="eastAsia" w:ascii="宋体" w:hAnsi="宋体" w:eastAsia="宋体" w:cs="宋体"/>
          <w:sz w:val="24"/>
          <w:szCs w:val="24"/>
          <w:u w:val="single"/>
          <w:lang w:eastAsia="zh-CN"/>
        </w:rPr>
        <w:t>响应文件</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的电子</w:t>
      </w:r>
      <w:r>
        <w:rPr>
          <w:rFonts w:hint="eastAsia" w:ascii="宋体" w:hAnsi="宋体" w:eastAsia="宋体" w:cs="宋体"/>
          <w:sz w:val="24"/>
          <w:szCs w:val="24"/>
          <w:u w:val="single"/>
          <w:lang w:eastAsia="zh-CN"/>
        </w:rPr>
        <w:t>响应文件</w:t>
      </w:r>
      <w:r>
        <w:rPr>
          <w:rFonts w:hint="eastAsia" w:ascii="宋体" w:hAnsi="宋体" w:eastAsia="宋体" w:cs="宋体"/>
          <w:sz w:val="24"/>
          <w:szCs w:val="24"/>
          <w:u w:val="singl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sz w:val="24"/>
          <w:szCs w:val="24"/>
          <w:u w:val="single"/>
          <w:lang w:eastAsia="zh-CN"/>
        </w:rPr>
        <w:t>响应文件</w:t>
      </w:r>
      <w:r>
        <w:rPr>
          <w:rFonts w:hint="eastAsia" w:ascii="宋体" w:hAnsi="宋体" w:eastAsia="宋体" w:cs="宋体"/>
          <w:sz w:val="24"/>
          <w:szCs w:val="24"/>
          <w:u w:val="single"/>
        </w:rPr>
        <w:t>）</w:t>
      </w:r>
    </w:p>
    <w:p w14:paraId="2C84F4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16.投标截止</w:t>
      </w:r>
    </w:p>
    <w:p w14:paraId="2F60F0E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16.1 </w:t>
      </w:r>
      <w:r>
        <w:rPr>
          <w:rFonts w:hint="eastAsia" w:ascii="宋体" w:hAnsi="宋体" w:eastAsia="宋体" w:cs="宋体"/>
          <w:sz w:val="24"/>
          <w:szCs w:val="24"/>
          <w:lang w:eastAsia="zh-CN"/>
        </w:rPr>
        <w:t>供应商</w:t>
      </w:r>
      <w:r>
        <w:rPr>
          <w:rFonts w:hint="eastAsia" w:ascii="宋体" w:hAnsi="宋体" w:eastAsia="宋体" w:cs="宋体"/>
          <w:sz w:val="24"/>
          <w:szCs w:val="24"/>
        </w:rPr>
        <w:t>应在</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中规定的截止时间前，将电子</w:t>
      </w:r>
      <w:r>
        <w:rPr>
          <w:rFonts w:hint="eastAsia" w:ascii="宋体" w:hAnsi="宋体" w:eastAsia="宋体" w:cs="宋体"/>
          <w:sz w:val="24"/>
          <w:szCs w:val="24"/>
          <w:lang w:eastAsia="zh-CN"/>
        </w:rPr>
        <w:t>响应文件</w:t>
      </w:r>
      <w:r>
        <w:rPr>
          <w:rFonts w:hint="eastAsia" w:ascii="宋体" w:hAnsi="宋体" w:eastAsia="宋体" w:cs="宋体"/>
          <w:sz w:val="24"/>
          <w:szCs w:val="24"/>
        </w:rPr>
        <w:t>上传到政采云平台。解密时间30分钟，逾期未解密的视为</w:t>
      </w:r>
      <w:r>
        <w:rPr>
          <w:rFonts w:hint="eastAsia" w:ascii="宋体" w:hAnsi="宋体" w:eastAsia="宋体" w:cs="宋体"/>
          <w:b/>
          <w:bCs/>
          <w:sz w:val="24"/>
          <w:szCs w:val="24"/>
        </w:rPr>
        <w:t>响应无效</w:t>
      </w:r>
      <w:r>
        <w:rPr>
          <w:rFonts w:hint="eastAsia" w:ascii="宋体" w:hAnsi="宋体" w:eastAsia="宋体" w:cs="宋体"/>
          <w:sz w:val="24"/>
          <w:szCs w:val="24"/>
        </w:rPr>
        <w:t>。</w:t>
      </w:r>
    </w:p>
    <w:p w14:paraId="206EEDB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16.2 采购人和采购代理机构有权按本须知的规定，延迟投标截止时间。在此情况下，采购人、采购代理机构和</w:t>
      </w:r>
      <w:r>
        <w:rPr>
          <w:rFonts w:hint="eastAsia" w:ascii="宋体" w:hAnsi="宋体" w:eastAsia="宋体" w:cs="宋体"/>
          <w:sz w:val="24"/>
          <w:szCs w:val="24"/>
          <w:lang w:eastAsia="zh-CN"/>
        </w:rPr>
        <w:t>供应商</w:t>
      </w:r>
      <w:r>
        <w:rPr>
          <w:rFonts w:hint="eastAsia" w:ascii="宋体" w:hAnsi="宋体" w:eastAsia="宋体" w:cs="宋体"/>
          <w:sz w:val="24"/>
          <w:szCs w:val="24"/>
        </w:rPr>
        <w:t>受投标截止时间制约的所有权利和义务均应延长至新的截止时间。</w:t>
      </w:r>
    </w:p>
    <w:p w14:paraId="7C048EE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16.3 采购人和采购代理机构将拒绝接收在响应截止时间后上传的响应文件。</w:t>
      </w:r>
    </w:p>
    <w:p w14:paraId="72E2AC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响应文件</w:t>
      </w:r>
      <w:r>
        <w:rPr>
          <w:rFonts w:hint="eastAsia" w:ascii="宋体" w:hAnsi="宋体" w:eastAsia="宋体" w:cs="宋体"/>
          <w:sz w:val="24"/>
          <w:szCs w:val="24"/>
        </w:rPr>
        <w:t>的接收、修改、撤回与解密</w:t>
      </w:r>
    </w:p>
    <w:p w14:paraId="52FFFC0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w:t>
      </w:r>
      <w:r>
        <w:rPr>
          <w:rFonts w:hint="eastAsia" w:ascii="宋体" w:hAnsi="宋体" w:eastAsia="宋体" w:cs="宋体"/>
          <w:sz w:val="24"/>
          <w:szCs w:val="24"/>
          <w:lang w:eastAsia="zh-CN"/>
        </w:rPr>
        <w:t>响应文件</w:t>
      </w:r>
      <w:r>
        <w:rPr>
          <w:rFonts w:hint="eastAsia" w:ascii="宋体" w:hAnsi="宋体" w:eastAsia="宋体" w:cs="宋体"/>
          <w:sz w:val="24"/>
          <w:szCs w:val="24"/>
        </w:rPr>
        <w:t>提交截止时间前，</w:t>
      </w:r>
      <w:r>
        <w:rPr>
          <w:rFonts w:hint="eastAsia" w:ascii="宋体" w:hAnsi="宋体" w:eastAsia="宋体" w:cs="宋体"/>
          <w:sz w:val="24"/>
          <w:szCs w:val="24"/>
          <w:lang w:eastAsia="zh-CN"/>
        </w:rPr>
        <w:t>供应商</w:t>
      </w:r>
      <w:r>
        <w:rPr>
          <w:rFonts w:hint="eastAsia" w:ascii="宋体" w:hAnsi="宋体" w:eastAsia="宋体" w:cs="宋体"/>
          <w:sz w:val="24"/>
          <w:szCs w:val="24"/>
        </w:rPr>
        <w:t>须将电子</w:t>
      </w:r>
      <w:r>
        <w:rPr>
          <w:rFonts w:hint="eastAsia" w:ascii="宋体" w:hAnsi="宋体" w:eastAsia="宋体" w:cs="宋体"/>
          <w:sz w:val="24"/>
          <w:szCs w:val="24"/>
          <w:lang w:eastAsia="zh-CN"/>
        </w:rPr>
        <w:t>响应文件</w:t>
      </w:r>
      <w:r>
        <w:rPr>
          <w:rFonts w:hint="eastAsia" w:ascii="宋体" w:hAnsi="宋体" w:eastAsia="宋体" w:cs="宋体"/>
          <w:sz w:val="24"/>
          <w:szCs w:val="24"/>
        </w:rPr>
        <w:t>成功完整上传到政采云平台项目采购系统。时间以政采云平台项目采购系统服务器从中国科学院国家授时中心取得的北京时间为准，投标截止时间结束后，系统将不允许</w:t>
      </w:r>
      <w:r>
        <w:rPr>
          <w:rFonts w:hint="eastAsia" w:ascii="宋体" w:hAnsi="宋体" w:eastAsia="宋体" w:cs="宋体"/>
          <w:sz w:val="24"/>
          <w:szCs w:val="24"/>
          <w:lang w:eastAsia="zh-CN"/>
        </w:rPr>
        <w:t>供应商</w:t>
      </w:r>
      <w:r>
        <w:rPr>
          <w:rFonts w:hint="eastAsia" w:ascii="宋体" w:hAnsi="宋体" w:eastAsia="宋体" w:cs="宋体"/>
          <w:sz w:val="24"/>
          <w:szCs w:val="24"/>
        </w:rPr>
        <w:t>上传</w:t>
      </w:r>
      <w:r>
        <w:rPr>
          <w:rFonts w:hint="eastAsia" w:ascii="宋体" w:hAnsi="宋体" w:eastAsia="宋体" w:cs="宋体"/>
          <w:sz w:val="24"/>
          <w:szCs w:val="24"/>
          <w:lang w:eastAsia="zh-CN"/>
        </w:rPr>
        <w:t>响应文件</w:t>
      </w:r>
      <w:r>
        <w:rPr>
          <w:rFonts w:hint="eastAsia" w:ascii="宋体" w:hAnsi="宋体" w:eastAsia="宋体" w:cs="宋体"/>
          <w:sz w:val="24"/>
          <w:szCs w:val="24"/>
        </w:rPr>
        <w:t>，已上传</w:t>
      </w:r>
      <w:r>
        <w:rPr>
          <w:rFonts w:hint="eastAsia" w:ascii="宋体" w:hAnsi="宋体" w:eastAsia="宋体" w:cs="宋体"/>
          <w:sz w:val="24"/>
          <w:szCs w:val="24"/>
          <w:lang w:eastAsia="zh-CN"/>
        </w:rPr>
        <w:t>响应文件</w:t>
      </w:r>
      <w:r>
        <w:rPr>
          <w:rFonts w:hint="eastAsia" w:ascii="宋体" w:hAnsi="宋体" w:eastAsia="宋体" w:cs="宋体"/>
          <w:sz w:val="24"/>
          <w:szCs w:val="24"/>
        </w:rPr>
        <w:t>但未完成传输的文件系统将拒绝接收。</w:t>
      </w:r>
    </w:p>
    <w:p w14:paraId="60F3279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17.2 代理机构对因不可抗力事件造成的</w:t>
      </w:r>
      <w:r>
        <w:rPr>
          <w:rFonts w:hint="eastAsia" w:ascii="宋体" w:hAnsi="宋体" w:eastAsia="宋体" w:cs="宋体"/>
          <w:sz w:val="24"/>
          <w:szCs w:val="24"/>
          <w:lang w:eastAsia="zh-CN"/>
        </w:rPr>
        <w:t>响应文件</w:t>
      </w:r>
      <w:r>
        <w:rPr>
          <w:rFonts w:hint="eastAsia" w:ascii="宋体" w:hAnsi="宋体" w:eastAsia="宋体" w:cs="宋体"/>
          <w:sz w:val="24"/>
          <w:szCs w:val="24"/>
        </w:rPr>
        <w:t>的损坏、丢失的，不承担责任。</w:t>
      </w:r>
    </w:p>
    <w:p w14:paraId="625B13D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出现下述情形之一，属于未成功提交</w:t>
      </w:r>
      <w:r>
        <w:rPr>
          <w:rFonts w:hint="eastAsia" w:ascii="宋体" w:hAnsi="宋体" w:eastAsia="宋体" w:cs="宋体"/>
          <w:sz w:val="24"/>
          <w:szCs w:val="24"/>
          <w:lang w:eastAsia="zh-CN"/>
        </w:rPr>
        <w:t>响应文件</w:t>
      </w:r>
      <w:r>
        <w:rPr>
          <w:rFonts w:hint="eastAsia" w:ascii="宋体" w:hAnsi="宋体" w:eastAsia="宋体" w:cs="宋体"/>
          <w:sz w:val="24"/>
          <w:szCs w:val="24"/>
        </w:rPr>
        <w:t>，按</w:t>
      </w:r>
      <w:r>
        <w:rPr>
          <w:rFonts w:hint="eastAsia" w:ascii="宋体" w:hAnsi="宋体" w:eastAsia="宋体" w:cs="宋体"/>
          <w:b/>
          <w:bCs/>
          <w:sz w:val="24"/>
          <w:szCs w:val="24"/>
        </w:rPr>
        <w:t>无效投标</w:t>
      </w:r>
      <w:r>
        <w:rPr>
          <w:rFonts w:hint="eastAsia" w:ascii="宋体" w:hAnsi="宋体" w:eastAsia="宋体" w:cs="宋体"/>
          <w:sz w:val="24"/>
          <w:szCs w:val="24"/>
        </w:rPr>
        <w:t>处理：</w:t>
      </w:r>
    </w:p>
    <w:p w14:paraId="5C32EC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（1）至提交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w:t>
      </w:r>
      <w:r>
        <w:rPr>
          <w:rFonts w:hint="eastAsia" w:ascii="宋体" w:hAnsi="宋体" w:eastAsia="宋体" w:cs="宋体"/>
          <w:sz w:val="24"/>
          <w:szCs w:val="24"/>
          <w:lang w:eastAsia="zh-CN"/>
        </w:rPr>
        <w:t>响应文件</w:t>
      </w:r>
      <w:r>
        <w:rPr>
          <w:rFonts w:hint="eastAsia" w:ascii="宋体" w:hAnsi="宋体" w:eastAsia="宋体" w:cs="宋体"/>
          <w:sz w:val="24"/>
          <w:szCs w:val="24"/>
        </w:rPr>
        <w:t>未完整上传的。</w:t>
      </w:r>
    </w:p>
    <w:p w14:paraId="5EFBDD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响应文件</w:t>
      </w:r>
      <w:r>
        <w:rPr>
          <w:rFonts w:hint="eastAsia" w:ascii="宋体" w:hAnsi="宋体" w:eastAsia="宋体" w:cs="宋体"/>
          <w:sz w:val="24"/>
          <w:szCs w:val="24"/>
        </w:rPr>
        <w:t>未按投标格式中注明需签字盖章的要求进行签名（含电子签名）和加盖电子印章，或签名（含电子签名）或电子印章不完整的。</w:t>
      </w:r>
    </w:p>
    <w:p w14:paraId="7389C2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响应文件</w:t>
      </w:r>
      <w:r>
        <w:rPr>
          <w:rFonts w:hint="eastAsia" w:ascii="宋体" w:hAnsi="宋体" w:eastAsia="宋体" w:cs="宋体"/>
          <w:sz w:val="24"/>
          <w:szCs w:val="24"/>
        </w:rPr>
        <w:t>损坏或格式不正确的。</w:t>
      </w:r>
    </w:p>
    <w:p w14:paraId="1455ADA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17.4 在提交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截止时间前，</w:t>
      </w:r>
      <w:r>
        <w:rPr>
          <w:rFonts w:hint="eastAsia" w:ascii="宋体" w:hAnsi="宋体" w:eastAsia="宋体" w:cs="宋体"/>
          <w:sz w:val="24"/>
          <w:szCs w:val="24"/>
          <w:lang w:eastAsia="zh-CN"/>
        </w:rPr>
        <w:t>供应商</w:t>
      </w:r>
      <w:r>
        <w:rPr>
          <w:rFonts w:hint="eastAsia" w:ascii="宋体" w:hAnsi="宋体" w:eastAsia="宋体" w:cs="宋体"/>
          <w:sz w:val="24"/>
          <w:szCs w:val="24"/>
        </w:rPr>
        <w:t>可以修改或撤回未解密的电子</w:t>
      </w:r>
      <w:r>
        <w:rPr>
          <w:rFonts w:hint="eastAsia" w:ascii="宋体" w:hAnsi="宋体" w:eastAsia="宋体" w:cs="宋体"/>
          <w:sz w:val="24"/>
          <w:szCs w:val="24"/>
          <w:lang w:eastAsia="zh-CN"/>
        </w:rPr>
        <w:t>响应文件</w:t>
      </w:r>
      <w:r>
        <w:rPr>
          <w:rFonts w:hint="eastAsia" w:ascii="宋体" w:hAnsi="宋体" w:eastAsia="宋体" w:cs="宋体"/>
          <w:sz w:val="24"/>
          <w:szCs w:val="24"/>
        </w:rPr>
        <w:t>，并于提交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截止时间前将修改后重新生成的电子</w:t>
      </w:r>
      <w:r>
        <w:rPr>
          <w:rFonts w:hint="eastAsia" w:ascii="宋体" w:hAnsi="宋体" w:eastAsia="宋体" w:cs="宋体"/>
          <w:sz w:val="24"/>
          <w:szCs w:val="24"/>
          <w:lang w:eastAsia="zh-CN"/>
        </w:rPr>
        <w:t>响应文件</w:t>
      </w:r>
      <w:r>
        <w:rPr>
          <w:rFonts w:hint="eastAsia" w:ascii="宋体" w:hAnsi="宋体" w:eastAsia="宋体" w:cs="宋体"/>
          <w:sz w:val="24"/>
          <w:szCs w:val="24"/>
        </w:rPr>
        <w:t>上传至政采云平台项目采购系统，到达</w:t>
      </w:r>
      <w:r>
        <w:rPr>
          <w:rFonts w:hint="eastAsia" w:ascii="宋体" w:hAnsi="宋体" w:eastAsia="宋体" w:cs="宋体"/>
          <w:sz w:val="24"/>
          <w:szCs w:val="24"/>
          <w:lang w:eastAsia="zh-CN"/>
        </w:rPr>
        <w:t>响应文件</w:t>
      </w:r>
      <w:r>
        <w:rPr>
          <w:rFonts w:hint="eastAsia" w:ascii="宋体" w:hAnsi="宋体" w:eastAsia="宋体" w:cs="宋体"/>
          <w:sz w:val="24"/>
          <w:szCs w:val="24"/>
        </w:rPr>
        <w:t>提交截止时间后，将不允许修改或撤回。</w:t>
      </w:r>
    </w:p>
    <w:p w14:paraId="053CF37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17.5 在提交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截止时间后，</w:t>
      </w:r>
      <w:r>
        <w:rPr>
          <w:rFonts w:hint="eastAsia" w:ascii="宋体" w:hAnsi="宋体" w:eastAsia="宋体" w:cs="宋体"/>
          <w:sz w:val="24"/>
          <w:szCs w:val="24"/>
          <w:lang w:eastAsia="zh-CN"/>
        </w:rPr>
        <w:t>供应商</w:t>
      </w:r>
      <w:r>
        <w:rPr>
          <w:rFonts w:hint="eastAsia" w:ascii="宋体" w:hAnsi="宋体" w:eastAsia="宋体" w:cs="宋体"/>
          <w:sz w:val="24"/>
          <w:szCs w:val="24"/>
        </w:rPr>
        <w:t>不得补充、修改和更换</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14:paraId="38549794">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17.6 到达开标时间后，</w:t>
      </w:r>
      <w:r>
        <w:rPr>
          <w:rFonts w:hint="eastAsia" w:ascii="宋体" w:hAnsi="宋体" w:eastAsia="宋体" w:cs="宋体"/>
          <w:sz w:val="24"/>
          <w:szCs w:val="24"/>
          <w:lang w:eastAsia="zh-CN"/>
        </w:rPr>
        <w:t>供应商</w:t>
      </w:r>
      <w:r>
        <w:rPr>
          <w:rFonts w:hint="eastAsia" w:ascii="宋体" w:hAnsi="宋体" w:eastAsia="宋体" w:cs="宋体"/>
          <w:sz w:val="24"/>
          <w:szCs w:val="24"/>
        </w:rPr>
        <w:t>需使用上传</w:t>
      </w:r>
      <w:r>
        <w:rPr>
          <w:rFonts w:hint="eastAsia" w:ascii="宋体" w:hAnsi="宋体" w:eastAsia="宋体" w:cs="宋体"/>
          <w:sz w:val="24"/>
          <w:szCs w:val="24"/>
          <w:lang w:eastAsia="zh-CN"/>
        </w:rPr>
        <w:t>响应文件</w:t>
      </w:r>
      <w:r>
        <w:rPr>
          <w:rFonts w:hint="eastAsia" w:ascii="宋体" w:hAnsi="宋体" w:eastAsia="宋体" w:cs="宋体"/>
          <w:sz w:val="24"/>
          <w:szCs w:val="24"/>
        </w:rPr>
        <w:t>的同一数字证书解密，</w:t>
      </w:r>
      <w:r>
        <w:rPr>
          <w:rFonts w:hint="eastAsia" w:ascii="宋体" w:hAnsi="宋体" w:eastAsia="宋体" w:cs="宋体"/>
          <w:sz w:val="24"/>
          <w:szCs w:val="24"/>
          <w:lang w:eastAsia="zh-CN"/>
        </w:rPr>
        <w:t>供应商</w:t>
      </w:r>
      <w:r>
        <w:rPr>
          <w:rFonts w:hint="eastAsia" w:ascii="宋体" w:hAnsi="宋体" w:eastAsia="宋体" w:cs="宋体"/>
          <w:sz w:val="24"/>
          <w:szCs w:val="24"/>
        </w:rPr>
        <w:t>须在采购代理机构规定的时间内完成</w:t>
      </w:r>
      <w:r>
        <w:rPr>
          <w:rFonts w:hint="eastAsia" w:ascii="宋体" w:hAnsi="宋体" w:eastAsia="宋体" w:cs="宋体"/>
          <w:sz w:val="24"/>
          <w:szCs w:val="24"/>
          <w:lang w:eastAsia="zh-CN"/>
        </w:rPr>
        <w:t>响应文件</w:t>
      </w:r>
      <w:r>
        <w:rPr>
          <w:rFonts w:hint="eastAsia" w:ascii="宋体" w:hAnsi="宋体" w:eastAsia="宋体" w:cs="宋体"/>
          <w:sz w:val="24"/>
          <w:szCs w:val="24"/>
        </w:rPr>
        <w:t>解密，</w:t>
      </w:r>
      <w:r>
        <w:rPr>
          <w:rFonts w:hint="eastAsia" w:ascii="宋体" w:hAnsi="宋体" w:eastAsia="宋体" w:cs="宋体"/>
          <w:sz w:val="24"/>
          <w:szCs w:val="24"/>
          <w:lang w:eastAsia="zh-CN"/>
        </w:rPr>
        <w:t>供应商</w:t>
      </w:r>
      <w:r>
        <w:rPr>
          <w:rFonts w:hint="eastAsia" w:ascii="宋体" w:hAnsi="宋体" w:eastAsia="宋体" w:cs="宋体"/>
          <w:sz w:val="24"/>
          <w:szCs w:val="24"/>
        </w:rPr>
        <w:t>因非系统原因导致的逾期未解密</w:t>
      </w:r>
      <w:r>
        <w:rPr>
          <w:rFonts w:hint="eastAsia" w:ascii="宋体" w:hAnsi="宋体" w:eastAsia="宋体" w:cs="宋体"/>
          <w:sz w:val="24"/>
          <w:szCs w:val="24"/>
          <w:lang w:eastAsia="zh-CN"/>
        </w:rPr>
        <w:t>响应文件</w:t>
      </w:r>
      <w:r>
        <w:rPr>
          <w:rFonts w:hint="eastAsia" w:ascii="宋体" w:hAnsi="宋体" w:eastAsia="宋体" w:cs="宋体"/>
          <w:sz w:val="24"/>
          <w:szCs w:val="24"/>
        </w:rPr>
        <w:t>，将作</w:t>
      </w:r>
      <w:r>
        <w:rPr>
          <w:rFonts w:hint="eastAsia" w:ascii="宋体" w:hAnsi="宋体" w:eastAsia="宋体" w:cs="宋体"/>
          <w:b/>
          <w:bCs/>
          <w:sz w:val="24"/>
          <w:szCs w:val="24"/>
        </w:rPr>
        <w:t>无效投标</w:t>
      </w:r>
      <w:r>
        <w:rPr>
          <w:rFonts w:hint="eastAsia" w:ascii="宋体" w:hAnsi="宋体" w:eastAsia="宋体" w:cs="宋体"/>
          <w:sz w:val="24"/>
          <w:szCs w:val="24"/>
        </w:rPr>
        <w:t>处理。</w:t>
      </w:r>
    </w:p>
    <w:p w14:paraId="472FBF7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32"/>
          <w:szCs w:val="32"/>
        </w:rPr>
      </w:pPr>
      <w:r>
        <w:rPr>
          <w:rFonts w:hint="eastAsia" w:ascii="宋体" w:hAnsi="宋体" w:eastAsia="宋体" w:cs="宋体"/>
          <w:sz w:val="32"/>
          <w:szCs w:val="32"/>
        </w:rPr>
        <w:t>五、磋商开启及评审</w:t>
      </w:r>
    </w:p>
    <w:p w14:paraId="7F7DA1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18.磋商开启</w:t>
      </w:r>
    </w:p>
    <w:p w14:paraId="4DC855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采购人和采购代理机构将按供应商须知资料表中规定的磋商开启时间和地点组织公开磋商开启并邀请所有供应商代表参加。</w:t>
      </w:r>
    </w:p>
    <w:p w14:paraId="6D2A7B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供应商不足3家的，不得磋商开启。</w:t>
      </w:r>
    </w:p>
    <w:p w14:paraId="264AF2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18.2 </w:t>
      </w:r>
      <w:r>
        <w:rPr>
          <w:rFonts w:hint="eastAsia" w:ascii="宋体" w:hAnsi="宋体" w:eastAsia="宋体" w:cs="宋体"/>
          <w:sz w:val="24"/>
          <w:szCs w:val="24"/>
          <w:u w:val="single"/>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3ED94F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18.3 </w:t>
      </w:r>
      <w:r>
        <w:rPr>
          <w:rFonts w:hint="eastAsia" w:ascii="宋体" w:hAnsi="宋体" w:eastAsia="宋体" w:cs="宋体"/>
          <w:sz w:val="24"/>
          <w:szCs w:val="24"/>
          <w:u w:val="single"/>
        </w:rPr>
        <w:t xml:space="preserve"> 供应商在规定时间内对响应文件进行解密，时长为30分钟。供应商解密失败或未在规定时间内解密，将无法参加下一阶段的投标，请供应商提前调试CA锁，确保开标过程中正常使用。</w:t>
      </w:r>
    </w:p>
    <w:p w14:paraId="1BA4F9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18.4  </w:t>
      </w:r>
      <w:r>
        <w:rPr>
          <w:rFonts w:hint="eastAsia" w:ascii="宋体" w:hAnsi="宋体" w:eastAsia="宋体" w:cs="宋体"/>
          <w:sz w:val="24"/>
          <w:szCs w:val="24"/>
          <w:u w:val="single"/>
        </w:rPr>
        <w:t>由采购代理机构开启开标记录，供应商须使用CA锁在政采云平台对开标记录进行签章确认。</w:t>
      </w:r>
    </w:p>
    <w:p w14:paraId="448DD4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18.5  采购人登录政采云平台对供应商的资格证明材料进行审查。</w:t>
      </w:r>
    </w:p>
    <w:p w14:paraId="6D8FDA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  供应商代表对磋商开启过程和磋商开启记录有疑义，以及认为采购人、采购代理机构相关工作人员有需要回避的情形的，应当场提出询问或者回避申请。</w:t>
      </w:r>
    </w:p>
    <w:p w14:paraId="19678F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19.资格审查及组建评标委员会</w:t>
      </w:r>
    </w:p>
    <w:p w14:paraId="6D7810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采购人依据法律法规和磋商文件中规定的内容，对供应商的资格进行审查。未按要求提供资格审查资料的供应商或其中一项未通过的供应商，将视为资格审查不合格，未能通过资格审查的供应商不进入下一阶段的详细评审，将被认定为磋商无效。</w:t>
      </w:r>
    </w:p>
    <w:p w14:paraId="6D2D95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19.2 </w:t>
      </w:r>
      <w:r>
        <w:rPr>
          <w:rFonts w:hint="eastAsia" w:ascii="宋体" w:hAnsi="宋体" w:eastAsia="宋体" w:cs="宋体"/>
          <w:sz w:val="24"/>
          <w:szCs w:val="24"/>
        </w:rPr>
        <w:t>采购人或采购代理机构将在开标后 1 个小时内查询</w:t>
      </w:r>
      <w:r>
        <w:rPr>
          <w:rFonts w:hint="eastAsia" w:ascii="宋体" w:hAnsi="宋体" w:eastAsia="宋体" w:cs="宋体"/>
          <w:sz w:val="24"/>
          <w:szCs w:val="24"/>
          <w:lang w:eastAsia="zh-CN"/>
        </w:rPr>
        <w:t>供应商</w:t>
      </w:r>
      <w:r>
        <w:rPr>
          <w:rFonts w:hint="eastAsia" w:ascii="宋体" w:hAnsi="宋体" w:eastAsia="宋体" w:cs="宋体"/>
          <w:sz w:val="24"/>
          <w:szCs w:val="24"/>
        </w:rPr>
        <w:t>的信用记录。投标人存在不良信用记录的，其投标将被认定为投标无效。</w:t>
      </w:r>
    </w:p>
    <w:p w14:paraId="2D5D96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不良信用记录指：</w:t>
      </w:r>
      <w:r>
        <w:rPr>
          <w:rFonts w:hint="eastAsia" w:ascii="宋体" w:hAnsi="宋体" w:eastAsia="宋体" w:cs="宋体"/>
          <w:sz w:val="24"/>
          <w:szCs w:val="24"/>
          <w:lang w:eastAsia="zh-CN"/>
        </w:rPr>
        <w:t>供应商</w:t>
      </w:r>
      <w:r>
        <w:rPr>
          <w:rFonts w:hint="eastAsia" w:ascii="宋体" w:hAnsi="宋体" w:eastAsia="宋体" w:cs="宋体"/>
          <w:sz w:val="24"/>
          <w:szCs w:val="24"/>
        </w:rPr>
        <w:t>被“信用中国”网站列入失信被执行人和重大税收违法案件当事人名单的、被“中国政府采购网”网站列入政府采购严重违法失信行为记录名单（处罚期限尚未届满的）的供应商，以及存在《中华人民共和国政府采购法实施条例》第十九条规定的行政处罚记录。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14:paraId="020595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val="en-US" w:eastAsia="zh-CN"/>
        </w:rPr>
        <w:t>3</w:t>
      </w:r>
      <w:r>
        <w:rPr>
          <w:rFonts w:hint="eastAsia" w:ascii="宋体" w:hAnsi="宋体" w:eastAsia="宋体" w:cs="宋体"/>
          <w:sz w:val="24"/>
          <w:szCs w:val="24"/>
        </w:rPr>
        <w:t>.1 查询及记录方式：采购人或采购代理机构经办人将查询网页打印并存档备查。</w:t>
      </w:r>
      <w:r>
        <w:rPr>
          <w:rFonts w:hint="eastAsia" w:ascii="宋体" w:hAnsi="宋体" w:eastAsia="宋体" w:cs="宋体"/>
          <w:sz w:val="24"/>
          <w:szCs w:val="24"/>
          <w:lang w:eastAsia="zh-CN"/>
        </w:rPr>
        <w:t>供应商</w:t>
      </w:r>
      <w:r>
        <w:rPr>
          <w:rFonts w:hint="eastAsia" w:ascii="宋体" w:hAnsi="宋体" w:eastAsia="宋体" w:cs="宋体"/>
          <w:sz w:val="24"/>
          <w:szCs w:val="24"/>
        </w:rPr>
        <w:t>不良信用记录以采购人或采购代理机构查询结果为准。在本</w:t>
      </w:r>
      <w:r>
        <w:rPr>
          <w:rFonts w:hint="eastAsia" w:ascii="宋体" w:hAnsi="宋体" w:eastAsia="宋体" w:cs="宋体"/>
          <w:sz w:val="24"/>
          <w:szCs w:val="24"/>
          <w:lang w:eastAsia="zh-CN"/>
        </w:rPr>
        <w:t>磋商文件</w:t>
      </w:r>
      <w:r>
        <w:rPr>
          <w:rFonts w:hint="eastAsia" w:ascii="宋体" w:hAnsi="宋体" w:eastAsia="宋体" w:cs="宋体"/>
          <w:sz w:val="24"/>
          <w:szCs w:val="24"/>
        </w:rPr>
        <w:t>规定的查询时间之后，网站信息发生的任何变更均不再作为评标依据。</w:t>
      </w:r>
      <w:r>
        <w:rPr>
          <w:rFonts w:hint="eastAsia" w:ascii="宋体" w:hAnsi="宋体" w:eastAsia="宋体" w:cs="宋体"/>
          <w:sz w:val="24"/>
          <w:szCs w:val="24"/>
          <w:lang w:eastAsia="zh-CN"/>
        </w:rPr>
        <w:t>供应商</w:t>
      </w:r>
      <w:r>
        <w:rPr>
          <w:rFonts w:hint="eastAsia" w:ascii="宋体" w:hAnsi="宋体" w:eastAsia="宋体" w:cs="宋体"/>
          <w:sz w:val="24"/>
          <w:szCs w:val="24"/>
        </w:rPr>
        <w:t>自行提供的与网站信息不一致的其他证明材料亦不作为资格审查依据。</w:t>
      </w:r>
    </w:p>
    <w:p w14:paraId="04FF2F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按照《中华人民共和国政府采购法》、《中华人民共和国政府采购法实施条例》、《政府采购竞争性磋商采购方式管理暂行办法》及本项目本级和上级财政部门的有关规定依法组建的</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，负责评审工作；本项目</w:t>
      </w:r>
      <w:r>
        <w:rPr>
          <w:rFonts w:hint="eastAsia" w:ascii="宋体" w:hAnsi="宋体" w:eastAsia="宋体" w:cs="宋体"/>
          <w:color w:val="auto"/>
          <w:sz w:val="24"/>
          <w:szCs w:val="24"/>
          <w:lang w:val="en-US" w:eastAsia="zh-CN"/>
        </w:rPr>
        <w:t>磋商小组由</w:t>
      </w:r>
      <w:r>
        <w:rPr>
          <w:rFonts w:hint="eastAsia" w:ascii="宋体" w:hAnsi="宋体" w:eastAsia="宋体" w:cs="宋体"/>
          <w:color w:val="auto"/>
          <w:sz w:val="24"/>
          <w:szCs w:val="24"/>
        </w:rPr>
        <w:t>评审专家</w:t>
      </w:r>
      <w:r>
        <w:rPr>
          <w:rFonts w:hint="eastAsia" w:ascii="宋体" w:hAnsi="宋体" w:eastAsia="宋体" w:cs="宋体"/>
          <w:color w:val="auto"/>
          <w:sz w:val="24"/>
          <w:szCs w:val="24"/>
          <w:lang w:val="en-US" w:eastAsia="zh-CN"/>
        </w:rPr>
        <w:t>共</w:t>
      </w:r>
      <w:r>
        <w:rPr>
          <w:rFonts w:hint="eastAsia" w:ascii="宋体" w:hAnsi="宋体" w:eastAsia="宋体" w:cs="宋体"/>
          <w:color w:val="auto"/>
          <w:sz w:val="24"/>
          <w:szCs w:val="24"/>
        </w:rPr>
        <w:t>3人组成。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从政采云随机抽取</w:t>
      </w:r>
      <w:r>
        <w:rPr>
          <w:rFonts w:hint="eastAsia" w:ascii="宋体" w:hAnsi="宋体" w:eastAsia="宋体" w:cs="宋体"/>
          <w:color w:val="auto"/>
          <w:sz w:val="24"/>
          <w:szCs w:val="24"/>
          <w:lang w:eastAsia="zh-CN"/>
        </w:rPr>
        <w:t>）</w:t>
      </w:r>
    </w:p>
    <w:p w14:paraId="5B2EBC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eastAsia="zh-CN"/>
        </w:rPr>
        <w:t>响应文件</w:t>
      </w:r>
      <w:r>
        <w:rPr>
          <w:rFonts w:hint="eastAsia" w:ascii="宋体" w:hAnsi="宋体" w:eastAsia="宋体" w:cs="宋体"/>
          <w:sz w:val="24"/>
          <w:szCs w:val="24"/>
        </w:rPr>
        <w:t>符合性审查与澄清</w:t>
      </w:r>
    </w:p>
    <w:p w14:paraId="45D3730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符合性审查是指依据</w:t>
      </w:r>
      <w:r>
        <w:rPr>
          <w:rFonts w:hint="eastAsia" w:ascii="宋体" w:hAnsi="宋体" w:eastAsia="宋体" w:cs="宋体"/>
          <w:sz w:val="24"/>
          <w:szCs w:val="24"/>
          <w:lang w:eastAsia="zh-CN"/>
        </w:rPr>
        <w:t>磋商文件</w:t>
      </w:r>
      <w:r>
        <w:rPr>
          <w:rFonts w:hint="eastAsia" w:ascii="宋体" w:hAnsi="宋体" w:eastAsia="宋体" w:cs="宋体"/>
          <w:sz w:val="24"/>
          <w:szCs w:val="24"/>
        </w:rPr>
        <w:t>的规定，从</w:t>
      </w:r>
      <w:r>
        <w:rPr>
          <w:rFonts w:hint="eastAsia" w:ascii="宋体" w:hAnsi="宋体" w:eastAsia="宋体" w:cs="宋体"/>
          <w:sz w:val="24"/>
          <w:szCs w:val="24"/>
          <w:lang w:eastAsia="zh-CN"/>
        </w:rPr>
        <w:t>响应文件</w:t>
      </w:r>
      <w:r>
        <w:rPr>
          <w:rFonts w:hint="eastAsia" w:ascii="宋体" w:hAnsi="宋体" w:eastAsia="宋体" w:cs="宋体"/>
          <w:sz w:val="24"/>
          <w:szCs w:val="24"/>
        </w:rPr>
        <w:t>的有效性和完整性对</w:t>
      </w:r>
      <w:r>
        <w:rPr>
          <w:rFonts w:hint="eastAsia" w:ascii="宋体" w:hAnsi="宋体" w:eastAsia="宋体" w:cs="宋体"/>
          <w:sz w:val="24"/>
          <w:szCs w:val="24"/>
          <w:lang w:eastAsia="zh-CN"/>
        </w:rPr>
        <w:t>磋商文件</w:t>
      </w:r>
      <w:r>
        <w:rPr>
          <w:rFonts w:hint="eastAsia" w:ascii="宋体" w:hAnsi="宋体" w:eastAsia="宋体" w:cs="宋体"/>
          <w:sz w:val="24"/>
          <w:szCs w:val="24"/>
        </w:rPr>
        <w:t>的响应程度进行审查，以确定是否对</w:t>
      </w:r>
      <w:r>
        <w:rPr>
          <w:rFonts w:hint="eastAsia" w:ascii="宋体" w:hAnsi="宋体" w:eastAsia="宋体" w:cs="宋体"/>
          <w:sz w:val="24"/>
          <w:szCs w:val="24"/>
          <w:lang w:eastAsia="zh-CN"/>
        </w:rPr>
        <w:t>磋商文件</w:t>
      </w:r>
      <w:r>
        <w:rPr>
          <w:rFonts w:hint="eastAsia" w:ascii="宋体" w:hAnsi="宋体" w:eastAsia="宋体" w:cs="宋体"/>
          <w:sz w:val="24"/>
          <w:szCs w:val="24"/>
        </w:rPr>
        <w:t>的实质性要求做出响应。</w:t>
      </w:r>
    </w:p>
    <w:p w14:paraId="0F16A49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20.2 </w:t>
      </w:r>
      <w:r>
        <w:rPr>
          <w:rFonts w:hint="eastAsia" w:ascii="宋体" w:hAnsi="宋体" w:eastAsia="宋体" w:cs="宋体"/>
          <w:sz w:val="24"/>
          <w:szCs w:val="24"/>
          <w:lang w:eastAsia="zh-CN"/>
        </w:rPr>
        <w:t>响应文件</w:t>
      </w:r>
      <w:r>
        <w:rPr>
          <w:rFonts w:hint="eastAsia" w:ascii="宋体" w:hAnsi="宋体" w:eastAsia="宋体" w:cs="宋体"/>
          <w:sz w:val="24"/>
          <w:szCs w:val="24"/>
        </w:rPr>
        <w:t>的澄清</w:t>
      </w:r>
    </w:p>
    <w:p w14:paraId="3C6335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20.2.1 在评标期间，评标委员会将以书面方式要求</w:t>
      </w:r>
      <w:r>
        <w:rPr>
          <w:rFonts w:hint="eastAsia" w:ascii="宋体" w:hAnsi="宋体" w:eastAsia="宋体" w:cs="宋体"/>
          <w:sz w:val="24"/>
          <w:szCs w:val="24"/>
          <w:lang w:eastAsia="zh-CN"/>
        </w:rPr>
        <w:t>供应商</w:t>
      </w:r>
      <w:r>
        <w:rPr>
          <w:rFonts w:hint="eastAsia" w:ascii="宋体" w:hAnsi="宋体" w:eastAsia="宋体" w:cs="宋体"/>
          <w:sz w:val="24"/>
          <w:szCs w:val="24"/>
        </w:rPr>
        <w:t>对其</w:t>
      </w:r>
      <w:r>
        <w:rPr>
          <w:rFonts w:hint="eastAsia" w:ascii="宋体" w:hAnsi="宋体" w:eastAsia="宋体" w:cs="宋体"/>
          <w:sz w:val="24"/>
          <w:szCs w:val="24"/>
          <w:lang w:eastAsia="zh-CN"/>
        </w:rPr>
        <w:t>响应文件</w:t>
      </w:r>
      <w:r>
        <w:rPr>
          <w:rFonts w:hint="eastAsia" w:ascii="宋体" w:hAnsi="宋体" w:eastAsia="宋体" w:cs="宋体"/>
          <w:sz w:val="24"/>
          <w:szCs w:val="24"/>
        </w:rPr>
        <w:t>中含义不明确、对同类问题表述不一致或者有明显文字和计算错误的内容，以及评标委员会认为</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的报价明显低于其他通过符合性检查</w:t>
      </w:r>
      <w:r>
        <w:rPr>
          <w:rFonts w:hint="eastAsia" w:ascii="宋体" w:hAnsi="宋体" w:eastAsia="宋体" w:cs="宋体"/>
          <w:sz w:val="24"/>
          <w:szCs w:val="24"/>
          <w:lang w:eastAsia="zh-CN"/>
        </w:rPr>
        <w:t>供应商</w:t>
      </w:r>
      <w:r>
        <w:rPr>
          <w:rFonts w:hint="eastAsia" w:ascii="宋体" w:hAnsi="宋体" w:eastAsia="宋体" w:cs="宋体"/>
          <w:sz w:val="24"/>
          <w:szCs w:val="24"/>
        </w:rPr>
        <w:t>的报价，有可能影响履约的情况作必要的澄清、说明或补正。</w:t>
      </w:r>
      <w:r>
        <w:rPr>
          <w:rFonts w:hint="eastAsia" w:ascii="宋体" w:hAnsi="宋体" w:eastAsia="宋体" w:cs="宋体"/>
          <w:sz w:val="24"/>
          <w:szCs w:val="24"/>
          <w:lang w:eastAsia="zh-CN"/>
        </w:rPr>
        <w:t>供应商</w:t>
      </w:r>
      <w:r>
        <w:rPr>
          <w:rFonts w:hint="eastAsia" w:ascii="宋体" w:hAnsi="宋体" w:eastAsia="宋体" w:cs="宋体"/>
          <w:sz w:val="24"/>
          <w:szCs w:val="24"/>
        </w:rPr>
        <w:t>的澄清、说明或补正应在评标委员会规定的时间内以书面方式进行，并不得超出</w:t>
      </w:r>
      <w:r>
        <w:rPr>
          <w:rFonts w:hint="eastAsia" w:ascii="宋体" w:hAnsi="宋体" w:eastAsia="宋体" w:cs="宋体"/>
          <w:sz w:val="24"/>
          <w:szCs w:val="24"/>
          <w:lang w:eastAsia="zh-CN"/>
        </w:rPr>
        <w:t>响应文件</w:t>
      </w:r>
      <w:r>
        <w:rPr>
          <w:rFonts w:hint="eastAsia" w:ascii="宋体" w:hAnsi="宋体" w:eastAsia="宋体" w:cs="宋体"/>
          <w:sz w:val="24"/>
          <w:szCs w:val="24"/>
        </w:rPr>
        <w:t>范围或者改变</w:t>
      </w:r>
      <w:r>
        <w:rPr>
          <w:rFonts w:hint="eastAsia" w:ascii="宋体" w:hAnsi="宋体" w:eastAsia="宋体" w:cs="宋体"/>
          <w:sz w:val="24"/>
          <w:szCs w:val="24"/>
          <w:lang w:eastAsia="zh-CN"/>
        </w:rPr>
        <w:t>响应文件</w:t>
      </w:r>
      <w:r>
        <w:rPr>
          <w:rFonts w:hint="eastAsia" w:ascii="宋体" w:hAnsi="宋体" w:eastAsia="宋体" w:cs="宋体"/>
          <w:sz w:val="24"/>
          <w:szCs w:val="24"/>
        </w:rPr>
        <w:t>的实质性内容。</w:t>
      </w:r>
    </w:p>
    <w:p w14:paraId="610E45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的的澄清、说明或补正将作为</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的一部分。 </w:t>
      </w:r>
    </w:p>
    <w:p w14:paraId="68A2D97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20.3  </w:t>
      </w:r>
      <w:r>
        <w:rPr>
          <w:rFonts w:hint="eastAsia" w:ascii="宋体" w:hAnsi="宋体" w:eastAsia="宋体" w:cs="宋体"/>
          <w:sz w:val="24"/>
          <w:szCs w:val="24"/>
          <w:lang w:eastAsia="zh-CN"/>
        </w:rPr>
        <w:t>响应文件</w:t>
      </w:r>
      <w:r>
        <w:rPr>
          <w:rFonts w:hint="eastAsia" w:ascii="宋体" w:hAnsi="宋体" w:eastAsia="宋体" w:cs="宋体"/>
          <w:sz w:val="24"/>
          <w:szCs w:val="24"/>
        </w:rPr>
        <w:t>报价出现前后不一致的，按照下列规定修正：</w:t>
      </w:r>
    </w:p>
    <w:p w14:paraId="5503481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响应文件</w:t>
      </w:r>
      <w:r>
        <w:rPr>
          <w:rFonts w:hint="eastAsia" w:ascii="宋体" w:hAnsi="宋体" w:eastAsia="宋体" w:cs="宋体"/>
          <w:sz w:val="24"/>
          <w:szCs w:val="24"/>
        </w:rPr>
        <w:t>中报价一览表内容与</w:t>
      </w:r>
      <w:r>
        <w:rPr>
          <w:rFonts w:hint="eastAsia" w:ascii="宋体" w:hAnsi="宋体" w:eastAsia="宋体" w:cs="宋体"/>
          <w:sz w:val="24"/>
          <w:szCs w:val="24"/>
          <w:lang w:eastAsia="zh-CN"/>
        </w:rPr>
        <w:t>响应文件</w:t>
      </w:r>
      <w:r>
        <w:rPr>
          <w:rFonts w:hint="eastAsia" w:ascii="宋体" w:hAnsi="宋体" w:eastAsia="宋体" w:cs="宋体"/>
          <w:sz w:val="24"/>
          <w:szCs w:val="24"/>
        </w:rPr>
        <w:t>中相应内容不一致的，以报价一览表为准；</w:t>
      </w:r>
    </w:p>
    <w:p w14:paraId="31084091">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14:paraId="733DEC1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（三）单价金额小数点或者百分比有明显错位的，以开标一览表的总价为准，并修改单价；</w:t>
      </w:r>
    </w:p>
    <w:p w14:paraId="7C1F768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（四）总价金额与按单价汇总金额不一致的，以单价金额计算结果为准。 </w:t>
      </w:r>
    </w:p>
    <w:p w14:paraId="4CC8D3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同时出现两种以上不一致的，按照前款规定的顺序修正。修正后的报价按照第20.2条的规定经</w:t>
      </w:r>
      <w:r>
        <w:rPr>
          <w:rFonts w:hint="eastAsia" w:ascii="宋体" w:hAnsi="宋体" w:eastAsia="宋体" w:cs="宋体"/>
          <w:sz w:val="24"/>
          <w:szCs w:val="24"/>
          <w:lang w:eastAsia="zh-CN"/>
        </w:rPr>
        <w:t>供应商</w:t>
      </w:r>
      <w:r>
        <w:rPr>
          <w:rFonts w:hint="eastAsia" w:ascii="宋体" w:hAnsi="宋体" w:eastAsia="宋体" w:cs="宋体"/>
          <w:sz w:val="24"/>
          <w:szCs w:val="24"/>
        </w:rPr>
        <w:t>确认后产生约束力，</w:t>
      </w:r>
      <w:r>
        <w:rPr>
          <w:rFonts w:hint="eastAsia" w:ascii="宋体" w:hAnsi="宋体" w:eastAsia="宋体" w:cs="宋体"/>
          <w:sz w:val="24"/>
          <w:szCs w:val="24"/>
          <w:lang w:eastAsia="zh-CN"/>
        </w:rPr>
        <w:t>供应商</w:t>
      </w:r>
      <w:r>
        <w:rPr>
          <w:rFonts w:hint="eastAsia" w:ascii="宋体" w:hAnsi="宋体" w:eastAsia="宋体" w:cs="宋体"/>
          <w:sz w:val="24"/>
          <w:szCs w:val="24"/>
        </w:rPr>
        <w:t>不确认的，其投标将被认定为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14:paraId="137763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对不同文字文本</w:t>
      </w:r>
      <w:r>
        <w:rPr>
          <w:rFonts w:hint="eastAsia" w:ascii="宋体" w:hAnsi="宋体" w:eastAsia="宋体" w:cs="宋体"/>
          <w:sz w:val="24"/>
          <w:szCs w:val="24"/>
          <w:lang w:eastAsia="zh-CN"/>
        </w:rPr>
        <w:t>响应文件</w:t>
      </w:r>
      <w:r>
        <w:rPr>
          <w:rFonts w:hint="eastAsia" w:ascii="宋体" w:hAnsi="宋体" w:eastAsia="宋体" w:cs="宋体"/>
          <w:sz w:val="24"/>
          <w:szCs w:val="24"/>
        </w:rPr>
        <w:t>的解释发生异议的，以中文文本为准。</w:t>
      </w:r>
    </w:p>
    <w:p w14:paraId="688CEF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响应</w:t>
      </w:r>
      <w:r>
        <w:rPr>
          <w:rFonts w:hint="eastAsia" w:ascii="宋体" w:hAnsi="宋体" w:eastAsia="宋体" w:cs="宋体"/>
          <w:sz w:val="24"/>
          <w:szCs w:val="24"/>
        </w:rPr>
        <w:t>偏离</w:t>
      </w:r>
    </w:p>
    <w:p w14:paraId="052BB0C9">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outlineLvl w:val="9"/>
        <w:rPr>
          <w:rFonts w:hint="eastAsia" w:ascii="宋体" w:hAnsi="宋体" w:eastAsia="宋体" w:cs="宋体"/>
          <w:sz w:val="24"/>
          <w:szCs w:val="24"/>
        </w:rPr>
      </w:pPr>
      <w:r>
        <w:rPr>
          <w:rFonts w:hint="eastAsia" w:ascii="宋体" w:hAnsi="宋体" w:eastAsia="宋体" w:cs="宋体"/>
          <w:sz w:val="24"/>
          <w:szCs w:val="24"/>
        </w:rPr>
        <w:t>磋商小组可以接受响应文件中不构成实质性偏离的不正规或不一致。</w:t>
      </w:r>
    </w:p>
    <w:p w14:paraId="5075C6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22.响应无效</w:t>
      </w:r>
    </w:p>
    <w:p w14:paraId="285288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22.1</w:t>
      </w:r>
      <w:r>
        <w:rPr>
          <w:rFonts w:hint="eastAsia" w:ascii="宋体" w:hAnsi="宋体" w:eastAsia="宋体" w:cs="宋体"/>
          <w:sz w:val="24"/>
          <w:szCs w:val="24"/>
          <w:lang w:val="en-US" w:eastAsia="zh-CN"/>
        </w:rPr>
        <w:t xml:space="preserve">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磋商无效。供应商不得通过修正或撤销不符合要求的偏离从而使其响应文件成为实质上响应的磋商。</w:t>
      </w:r>
    </w:p>
    <w:p w14:paraId="251DA2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磋商小组决定磋商的响应性只根据磋商文件要求、响应文件内容及财政主管部门指定相关信息发布媒体。</w:t>
      </w:r>
    </w:p>
    <w:p w14:paraId="66CF77F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22.2</w:t>
      </w:r>
      <w:r>
        <w:rPr>
          <w:rFonts w:hint="eastAsia" w:ascii="宋体" w:hAnsi="宋体" w:eastAsia="宋体" w:cs="宋体"/>
          <w:sz w:val="24"/>
          <w:szCs w:val="24"/>
          <w:lang w:val="en-US" w:eastAsia="zh-CN"/>
        </w:rPr>
        <w:t xml:space="preserve"> 如发现下列情况之一的，其磋商将被认定为无效：（以下情形应当在磋商文件中规定，并以醒目的方式标明）</w:t>
      </w:r>
    </w:p>
    <w:p w14:paraId="49DE4F91">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（1）未按磋商文件规定的形式和金额提交磋商保证金的；</w:t>
      </w:r>
    </w:p>
    <w:p w14:paraId="546484C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（2）未按照磋商文件规定要求签署、盖章的；</w:t>
      </w:r>
    </w:p>
    <w:p w14:paraId="489FBAE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（3）未满足磋商文件中技术条款的实质性要求；</w:t>
      </w:r>
    </w:p>
    <w:p w14:paraId="75C5840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（4）与其他供应商串通参加磋商，或者与采购人串通参加磋商；</w:t>
      </w:r>
    </w:p>
    <w:p w14:paraId="25ECDAE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（5）属于磋商文件规定的其他响应无效情形；</w:t>
      </w:r>
    </w:p>
    <w:p w14:paraId="015742F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（6）评审委员会认为供应商的报价明显低于其他通过符合性检查供应商的报价，有可能影响履约的，且供应商未按照规定证明其报价合理性的；</w:t>
      </w:r>
    </w:p>
    <w:p w14:paraId="32FEC3A7">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（7）响应文件含有采购人不能接受的附加条件的；</w:t>
      </w:r>
    </w:p>
    <w:p w14:paraId="42A525F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（8）不符合法规和磋商文件中规定的其他实质性要求的。</w:t>
      </w:r>
    </w:p>
    <w:p w14:paraId="23A35CA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1339758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（1）供应商直接或者间接从采购人或者采购代理机构处获得其他供应商的相关情况并修改其响应文件或者响应文件；</w:t>
      </w:r>
    </w:p>
    <w:p w14:paraId="379AFBD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（2）供应商按照采购人或者采购代理机构的授意撤换、修改响应文件或者响应文件；</w:t>
      </w:r>
    </w:p>
    <w:p w14:paraId="71ADF14A">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（3）供应商之间协商报价、技术方案等响应文件或者响应文件的实质性内容；</w:t>
      </w:r>
    </w:p>
    <w:p w14:paraId="0A928B3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（4）属于同一集团、协会、商会等组织成员的供应商按照该组织要求协同参加政府采购活动；</w:t>
      </w:r>
    </w:p>
    <w:p w14:paraId="47357B8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（5）供应商之间事先约定由某一特定供应商中标、成交；</w:t>
      </w:r>
    </w:p>
    <w:p w14:paraId="1D91A2E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（6）供应商之间商定部分供应商放弃参加政府采购活动或者放弃中标、成交；</w:t>
      </w:r>
    </w:p>
    <w:p w14:paraId="15695DC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（7）供应商与采购人或者采购代理机构之间、供应商相互之间，为谋求特定供应商中标、成交或者排斥其他供应商的其他串通行为。</w:t>
      </w:r>
    </w:p>
    <w:p w14:paraId="324C5F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23.比较与评价</w:t>
      </w:r>
    </w:p>
    <w:p w14:paraId="565D690D">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23.1 经符合性审查合格的</w:t>
      </w:r>
      <w:r>
        <w:rPr>
          <w:rFonts w:hint="eastAsia" w:ascii="宋体" w:hAnsi="宋体" w:eastAsia="宋体" w:cs="宋体"/>
          <w:sz w:val="24"/>
          <w:szCs w:val="24"/>
          <w:lang w:eastAsia="zh-CN"/>
        </w:rPr>
        <w:t>响应文件</w:t>
      </w:r>
      <w:r>
        <w:rPr>
          <w:rFonts w:hint="eastAsia" w:ascii="宋体" w:hAnsi="宋体" w:eastAsia="宋体" w:cs="宋体"/>
          <w:sz w:val="24"/>
          <w:szCs w:val="24"/>
        </w:rPr>
        <w:t>，评标委员会将根据</w:t>
      </w:r>
      <w:r>
        <w:rPr>
          <w:rFonts w:hint="eastAsia" w:ascii="宋体" w:hAnsi="宋体" w:eastAsia="宋体" w:cs="宋体"/>
          <w:sz w:val="24"/>
          <w:szCs w:val="24"/>
          <w:lang w:eastAsia="zh-CN"/>
        </w:rPr>
        <w:t>磋商文件</w:t>
      </w:r>
      <w:r>
        <w:rPr>
          <w:rFonts w:hint="eastAsia" w:ascii="宋体" w:hAnsi="宋体" w:eastAsia="宋体" w:cs="宋体"/>
          <w:sz w:val="24"/>
          <w:szCs w:val="24"/>
        </w:rPr>
        <w:t>确定的评标方法和标准，对其技术部分和商务部分作进一步的比较和评价。</w:t>
      </w:r>
    </w:p>
    <w:p w14:paraId="5D5BFDA1">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sz w:val="24"/>
          <w:szCs w:val="24"/>
        </w:rPr>
      </w:pPr>
      <w:r>
        <w:rPr>
          <w:rFonts w:hint="eastAsia" w:ascii="微软雅黑" w:hAnsi="微软雅黑" w:eastAsia="微软雅黑" w:cs="微软雅黑"/>
          <w:b/>
          <w:bCs/>
          <w:color w:val="auto"/>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磋商小组采用综合评分法对提交最后报价的供应商的响应文件和最后报价进行综合评分。磋商小组应当从质量和服务均能满足采购文件实质性响应要求的供应商中，按照综合评分由</w:t>
      </w:r>
      <w:r>
        <w:rPr>
          <w:rFonts w:hint="eastAsia" w:ascii="微软雅黑" w:hAnsi="微软雅黑" w:eastAsia="微软雅黑" w:cs="微软雅黑"/>
          <w:b/>
          <w:bCs/>
          <w:color w:val="auto"/>
          <w:sz w:val="24"/>
          <w:highlight w:val="none"/>
          <w:u w:val="single"/>
          <w:lang w:eastAsia="zh-CN"/>
        </w:rPr>
        <w:t>高</w:t>
      </w:r>
      <w:r>
        <w:rPr>
          <w:rFonts w:hint="eastAsia" w:ascii="微软雅黑" w:hAnsi="微软雅黑" w:eastAsia="微软雅黑" w:cs="微软雅黑"/>
          <w:b/>
          <w:bCs/>
          <w:color w:val="auto"/>
          <w:sz w:val="24"/>
          <w:highlight w:val="none"/>
          <w:u w:val="single"/>
        </w:rPr>
        <w:t>到</w:t>
      </w:r>
      <w:r>
        <w:rPr>
          <w:rFonts w:hint="eastAsia" w:ascii="微软雅黑" w:hAnsi="微软雅黑" w:eastAsia="微软雅黑" w:cs="微软雅黑"/>
          <w:b/>
          <w:bCs/>
          <w:color w:val="auto"/>
          <w:sz w:val="24"/>
          <w:highlight w:val="none"/>
          <w:u w:val="single"/>
          <w:lang w:eastAsia="zh-CN"/>
        </w:rPr>
        <w:t>低</w:t>
      </w:r>
      <w:r>
        <w:rPr>
          <w:rFonts w:hint="eastAsia" w:ascii="微软雅黑" w:hAnsi="微软雅黑" w:eastAsia="微软雅黑" w:cs="微软雅黑"/>
          <w:b/>
          <w:bCs/>
          <w:color w:val="auto"/>
          <w:sz w:val="24"/>
          <w:highlight w:val="none"/>
          <w:u w:val="single"/>
        </w:rPr>
        <w:t>的顺序提出成交候选人，并编写评审报告，将结果通知所有参加磋商的未成交的供应商；</w:t>
      </w:r>
    </w:p>
    <w:p w14:paraId="4749EE0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23.2 评标严格按照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的要求和条件进行。根据实际情况，在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须知资料表</w:t>
      </w:r>
      <w:r>
        <w:rPr>
          <w:rFonts w:hint="eastAsia" w:ascii="宋体" w:hAnsi="宋体" w:eastAsia="宋体" w:cs="宋体"/>
          <w:sz w:val="24"/>
          <w:szCs w:val="24"/>
        </w:rPr>
        <w:t>中规定采用下列（2）评标方法，详细评标标准见</w:t>
      </w:r>
      <w:r>
        <w:rPr>
          <w:rFonts w:hint="eastAsia" w:ascii="宋体" w:hAnsi="宋体" w:eastAsia="宋体" w:cs="宋体"/>
          <w:sz w:val="24"/>
          <w:szCs w:val="24"/>
          <w:lang w:eastAsia="zh-CN"/>
        </w:rPr>
        <w:t>磋商文件</w:t>
      </w:r>
      <w:r>
        <w:rPr>
          <w:rFonts w:hint="eastAsia" w:ascii="宋体" w:hAnsi="宋体" w:eastAsia="宋体" w:cs="宋体"/>
          <w:sz w:val="24"/>
          <w:szCs w:val="24"/>
        </w:rPr>
        <w:t>第六章：</w:t>
      </w:r>
    </w:p>
    <w:p w14:paraId="6638AC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（1）最低评标价法，是指</w:t>
      </w:r>
      <w:r>
        <w:rPr>
          <w:rFonts w:hint="eastAsia" w:ascii="宋体" w:hAnsi="宋体" w:eastAsia="宋体" w:cs="宋体"/>
          <w:sz w:val="24"/>
          <w:szCs w:val="24"/>
          <w:lang w:eastAsia="zh-CN"/>
        </w:rPr>
        <w:t>响应文件</w:t>
      </w:r>
      <w:r>
        <w:rPr>
          <w:rFonts w:hint="eastAsia" w:ascii="宋体" w:hAnsi="宋体" w:eastAsia="宋体" w:cs="宋体"/>
          <w:sz w:val="24"/>
          <w:szCs w:val="24"/>
        </w:rPr>
        <w:t>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全部实质性要求，且投标报价最低的</w:t>
      </w:r>
      <w:r>
        <w:rPr>
          <w:rFonts w:hint="eastAsia" w:ascii="宋体" w:hAnsi="宋体" w:eastAsia="宋体" w:cs="宋体"/>
          <w:sz w:val="24"/>
          <w:szCs w:val="24"/>
          <w:lang w:eastAsia="zh-CN"/>
        </w:rPr>
        <w:t>供应商</w:t>
      </w:r>
      <w:r>
        <w:rPr>
          <w:rFonts w:hint="eastAsia" w:ascii="宋体" w:hAnsi="宋体" w:eastAsia="宋体" w:cs="宋体"/>
          <w:sz w:val="24"/>
          <w:szCs w:val="24"/>
        </w:rPr>
        <w:t>为中标候选人的评标方法。</w:t>
      </w:r>
    </w:p>
    <w:p w14:paraId="584033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（2）综合评分法，是指</w:t>
      </w:r>
      <w:r>
        <w:rPr>
          <w:rFonts w:hint="eastAsia" w:ascii="宋体" w:hAnsi="宋体" w:eastAsia="宋体" w:cs="宋体"/>
          <w:sz w:val="24"/>
          <w:szCs w:val="24"/>
          <w:lang w:eastAsia="zh-CN"/>
        </w:rPr>
        <w:t>响应文件</w:t>
      </w:r>
      <w:r>
        <w:rPr>
          <w:rFonts w:hint="eastAsia" w:ascii="宋体" w:hAnsi="宋体" w:eastAsia="宋体" w:cs="宋体"/>
          <w:sz w:val="24"/>
          <w:szCs w:val="24"/>
        </w:rPr>
        <w:t>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全部实质性要求，且按照评审因素的量化指标评审得分最高的</w:t>
      </w:r>
      <w:r>
        <w:rPr>
          <w:rFonts w:hint="eastAsia" w:ascii="宋体" w:hAnsi="宋体" w:eastAsia="宋体" w:cs="宋体"/>
          <w:sz w:val="24"/>
          <w:szCs w:val="24"/>
          <w:lang w:eastAsia="zh-CN"/>
        </w:rPr>
        <w:t>供应商</w:t>
      </w:r>
      <w:r>
        <w:rPr>
          <w:rFonts w:hint="eastAsia" w:ascii="宋体" w:hAnsi="宋体" w:eastAsia="宋体" w:cs="宋体"/>
          <w:sz w:val="24"/>
          <w:szCs w:val="24"/>
        </w:rPr>
        <w:t>为中标候选人的评标方法。</w:t>
      </w:r>
    </w:p>
    <w:p w14:paraId="0A11BC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23.3 对于未预留份额的项目，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5" w:name="sendNo"/>
      <w:r>
        <w:rPr>
          <w:rFonts w:hint="eastAsia" w:ascii="宋体" w:hAnsi="宋体" w:eastAsia="宋体" w:cs="宋体"/>
          <w:sz w:val="24"/>
          <w:szCs w:val="24"/>
        </w:rPr>
        <w:t>财库〔</w:t>
      </w:r>
      <w:bookmarkEnd w:id="5"/>
      <w:r>
        <w:rPr>
          <w:rFonts w:hint="eastAsia" w:ascii="宋体" w:hAnsi="宋体" w:eastAsia="宋体" w:cs="宋体"/>
          <w:sz w:val="24"/>
          <w:szCs w:val="24"/>
        </w:rPr>
        <w:t>2017〕141号）的规定，对满足价格扣除条件且在</w:t>
      </w:r>
      <w:r>
        <w:rPr>
          <w:rFonts w:hint="eastAsia" w:ascii="宋体" w:hAnsi="宋体" w:eastAsia="宋体" w:cs="宋体"/>
          <w:sz w:val="24"/>
          <w:szCs w:val="24"/>
          <w:lang w:eastAsia="zh-CN"/>
        </w:rPr>
        <w:t>响应文件</w:t>
      </w:r>
      <w:r>
        <w:rPr>
          <w:rFonts w:hint="eastAsia" w:ascii="宋体" w:hAnsi="宋体" w:eastAsia="宋体" w:cs="宋体"/>
          <w:sz w:val="24"/>
          <w:szCs w:val="24"/>
        </w:rPr>
        <w:t>中提交了《</w:t>
      </w:r>
      <w:r>
        <w:rPr>
          <w:rFonts w:hint="eastAsia" w:ascii="宋体" w:hAnsi="宋体" w:eastAsia="宋体" w:cs="宋体"/>
          <w:sz w:val="24"/>
          <w:szCs w:val="24"/>
          <w:lang w:val="en-US" w:eastAsia="zh-CN"/>
        </w:rPr>
        <w:t>中小企业申明函</w:t>
      </w:r>
      <w:r>
        <w:rPr>
          <w:rFonts w:hint="eastAsia" w:ascii="宋体" w:hAnsi="宋体" w:eastAsia="宋体" w:cs="宋体"/>
          <w:sz w:val="24"/>
          <w:szCs w:val="24"/>
        </w:rPr>
        <w:t>》或省级以上监狱管理局、戒毒管理局（含新疆生产建设兵团）出具的属于监狱企业的证明文件的</w:t>
      </w:r>
      <w:r>
        <w:rPr>
          <w:rFonts w:hint="eastAsia" w:ascii="宋体" w:hAnsi="宋体" w:eastAsia="宋体" w:cs="宋体"/>
          <w:sz w:val="24"/>
          <w:szCs w:val="24"/>
          <w:lang w:eastAsia="zh-CN"/>
        </w:rPr>
        <w:t>供应商</w:t>
      </w:r>
      <w:r>
        <w:rPr>
          <w:rFonts w:hint="eastAsia" w:ascii="宋体" w:hAnsi="宋体" w:eastAsia="宋体" w:cs="宋体"/>
          <w:sz w:val="24"/>
          <w:szCs w:val="24"/>
        </w:rPr>
        <w:t>，其投标报价扣</w:t>
      </w:r>
      <w:r>
        <w:rPr>
          <w:rFonts w:hint="eastAsia" w:ascii="宋体" w:hAnsi="宋体" w:eastAsia="宋体" w:cs="宋体"/>
          <w:sz w:val="24"/>
          <w:szCs w:val="24"/>
          <w:highlight w:val="none"/>
        </w:rPr>
        <w:t>除</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后</w:t>
      </w:r>
      <w:r>
        <w:rPr>
          <w:rFonts w:hint="eastAsia" w:ascii="宋体" w:hAnsi="宋体" w:eastAsia="宋体" w:cs="宋体"/>
          <w:sz w:val="24"/>
          <w:szCs w:val="24"/>
        </w:rPr>
        <w:t>参与评审。具体办法详见</w:t>
      </w:r>
      <w:r>
        <w:rPr>
          <w:rFonts w:hint="eastAsia" w:ascii="宋体" w:hAnsi="宋体" w:eastAsia="宋体" w:cs="宋体"/>
          <w:sz w:val="24"/>
          <w:szCs w:val="24"/>
          <w:lang w:eastAsia="zh-CN"/>
        </w:rPr>
        <w:t>磋商文件</w:t>
      </w:r>
      <w:r>
        <w:rPr>
          <w:rFonts w:hint="eastAsia" w:ascii="宋体" w:hAnsi="宋体" w:eastAsia="宋体" w:cs="宋体"/>
          <w:sz w:val="24"/>
          <w:szCs w:val="24"/>
        </w:rPr>
        <w:t>第6章。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本项目不适用</w:t>
      </w:r>
      <w:r>
        <w:rPr>
          <w:rFonts w:hint="eastAsia" w:ascii="宋体" w:hAnsi="宋体" w:eastAsia="宋体" w:cs="宋体"/>
          <w:sz w:val="24"/>
          <w:szCs w:val="24"/>
          <w:lang w:eastAsia="zh-CN"/>
        </w:rPr>
        <w:t>）</w:t>
      </w:r>
    </w:p>
    <w:p w14:paraId="6A2347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24.废标</w:t>
      </w:r>
    </w:p>
    <w:p w14:paraId="5856CA8A">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出现下列情形之一，将导致项目废标：</w:t>
      </w:r>
    </w:p>
    <w:p w14:paraId="75E48B6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（1）符合专业条件的供应商或者对</w:t>
      </w:r>
      <w:r>
        <w:rPr>
          <w:rFonts w:hint="eastAsia" w:ascii="宋体" w:hAnsi="宋体" w:eastAsia="宋体" w:cs="宋体"/>
          <w:sz w:val="24"/>
          <w:szCs w:val="24"/>
          <w:lang w:eastAsia="zh-CN"/>
        </w:rPr>
        <w:t>磋商文件</w:t>
      </w:r>
      <w:r>
        <w:rPr>
          <w:rFonts w:hint="eastAsia" w:ascii="宋体" w:hAnsi="宋体" w:eastAsia="宋体" w:cs="宋体"/>
          <w:sz w:val="24"/>
          <w:szCs w:val="24"/>
        </w:rPr>
        <w:t>做实质性响应的供应商不足三家；</w:t>
      </w:r>
    </w:p>
    <w:p w14:paraId="6602C1C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7A7792B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供应商</w:t>
      </w:r>
      <w:r>
        <w:rPr>
          <w:rFonts w:hint="eastAsia" w:ascii="宋体" w:hAnsi="宋体" w:eastAsia="宋体" w:cs="宋体"/>
          <w:sz w:val="24"/>
          <w:szCs w:val="24"/>
        </w:rPr>
        <w:t>的报价均超过了采购预算，采购人不能支付的；</w:t>
      </w:r>
    </w:p>
    <w:p w14:paraId="2F7B359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5BB20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25.保密原则</w:t>
      </w:r>
    </w:p>
    <w:p w14:paraId="5D83A08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14:paraId="285F1207">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25.2 政府采购评审专家应当遵守评审工作纪律，不得泄露评审文件、评审情况和评审中获悉的商业秘密。</w:t>
      </w:r>
    </w:p>
    <w:p w14:paraId="0F1C5F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z w:val="24"/>
          <w:szCs w:val="24"/>
        </w:rPr>
      </w:pPr>
      <w:bookmarkStart w:id="6" w:name="_Toc17698"/>
      <w:r>
        <w:rPr>
          <w:rFonts w:hint="eastAsia" w:ascii="宋体" w:hAnsi="宋体" w:eastAsia="宋体" w:cs="宋体"/>
          <w:sz w:val="32"/>
          <w:szCs w:val="32"/>
        </w:rPr>
        <w:t>六</w:t>
      </w:r>
      <w:r>
        <w:rPr>
          <w:rFonts w:hint="eastAsia" w:ascii="宋体" w:hAnsi="宋体" w:eastAsia="宋体" w:cs="宋体"/>
          <w:sz w:val="32"/>
          <w:szCs w:val="32"/>
          <w:lang w:eastAsia="zh-CN"/>
        </w:rPr>
        <w:t>、</w:t>
      </w:r>
      <w:r>
        <w:rPr>
          <w:rFonts w:hint="eastAsia" w:ascii="宋体" w:hAnsi="宋体" w:eastAsia="宋体" w:cs="宋体"/>
          <w:sz w:val="32"/>
          <w:szCs w:val="32"/>
        </w:rPr>
        <w:t>确定中标</w:t>
      </w:r>
      <w:bookmarkEnd w:id="6"/>
    </w:p>
    <w:p w14:paraId="3C701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26.中标候选人的确定原则及标准</w:t>
      </w:r>
    </w:p>
    <w:p w14:paraId="02109A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对实质上响应磋商文件的供应商按下列方法进行排序，确定投标候选人：</w:t>
      </w:r>
    </w:p>
    <w:p w14:paraId="3ABB01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14:paraId="156562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27.确定中标候选人和中标人</w:t>
      </w:r>
    </w:p>
    <w:p w14:paraId="013099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评审委员会将根据评审标准，按供应商须知资料表中规定数量推荐成交候选人；磋商小组应当根据综合评分情况，按照评审得分由高到低顺序推荐3名以上成交候选供应商或根据采购人的委托，直接确定成交人。</w:t>
      </w:r>
    </w:p>
    <w:p w14:paraId="13FBA3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28.采购任务取消</w:t>
      </w:r>
    </w:p>
    <w:p w14:paraId="1732DE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因重大变故采购任务取消时，采购人有权拒绝任何</w:t>
      </w:r>
      <w:r>
        <w:rPr>
          <w:rFonts w:hint="eastAsia" w:ascii="宋体" w:hAnsi="宋体" w:eastAsia="宋体" w:cs="宋体"/>
          <w:sz w:val="24"/>
          <w:szCs w:val="24"/>
          <w:lang w:eastAsia="zh-CN"/>
        </w:rPr>
        <w:t>供应商</w:t>
      </w:r>
      <w:r>
        <w:rPr>
          <w:rFonts w:hint="eastAsia" w:ascii="宋体" w:hAnsi="宋体" w:eastAsia="宋体" w:cs="宋体"/>
          <w:sz w:val="24"/>
          <w:szCs w:val="24"/>
        </w:rPr>
        <w:t>中标，且对受影响的</w:t>
      </w:r>
      <w:r>
        <w:rPr>
          <w:rFonts w:hint="eastAsia" w:ascii="宋体" w:hAnsi="宋体" w:eastAsia="宋体" w:cs="宋体"/>
          <w:sz w:val="24"/>
          <w:szCs w:val="24"/>
          <w:lang w:eastAsia="zh-CN"/>
        </w:rPr>
        <w:t>供应商</w:t>
      </w:r>
      <w:r>
        <w:rPr>
          <w:rFonts w:hint="eastAsia" w:ascii="宋体" w:hAnsi="宋体" w:eastAsia="宋体" w:cs="宋体"/>
          <w:sz w:val="24"/>
          <w:szCs w:val="24"/>
        </w:rPr>
        <w:t>不承担任何责任。</w:t>
      </w:r>
    </w:p>
    <w:p w14:paraId="238EBB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29.成交通知书和采购结果通知书</w:t>
      </w:r>
    </w:p>
    <w:p w14:paraId="2CB99B29">
      <w:pPr>
        <w:keepNext w:val="0"/>
        <w:keepLines w:val="0"/>
        <w:pageBreakBefore w:val="0"/>
        <w:widowControl/>
        <w:kinsoku w:val="0"/>
        <w:wordWrap/>
        <w:overflowPunct/>
        <w:topLinePunct w:val="0"/>
        <w:autoSpaceDE w:val="0"/>
        <w:autoSpaceDN w:val="0"/>
        <w:bidi w:val="0"/>
        <w:adjustRightInd w:val="0"/>
        <w:snapToGrid w:val="0"/>
        <w:spacing w:line="360" w:lineRule="auto"/>
        <w:ind w:left="1199" w:leftChars="228" w:hanging="720" w:hangingChars="300"/>
        <w:textAlignment w:val="baseline"/>
        <w:outlineLvl w:val="9"/>
        <w:rPr>
          <w:rFonts w:hint="eastAsia" w:ascii="宋体" w:hAnsi="宋体" w:eastAsia="宋体" w:cs="宋体"/>
          <w:sz w:val="24"/>
          <w:szCs w:val="24"/>
        </w:rPr>
      </w:pPr>
      <w:r>
        <w:rPr>
          <w:rFonts w:hint="eastAsia" w:ascii="宋体" w:hAnsi="宋体" w:eastAsia="宋体" w:cs="宋体"/>
          <w:sz w:val="24"/>
          <w:szCs w:val="24"/>
        </w:rPr>
        <w:t>29.1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在磋商有效期内，成交人确定后，采购人或者采购代理机构发布成交公告，同时以书面形式向成交人发出成交通知书；</w:t>
      </w:r>
    </w:p>
    <w:p w14:paraId="53027F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29.2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成交通知书是合同的组成部分；</w:t>
      </w:r>
    </w:p>
    <w:p w14:paraId="77568445">
      <w:pPr>
        <w:keepNext w:val="0"/>
        <w:keepLines w:val="0"/>
        <w:pageBreakBefore w:val="0"/>
        <w:widowControl/>
        <w:kinsoku w:val="0"/>
        <w:wordWrap/>
        <w:overflowPunct/>
        <w:topLinePunct w:val="0"/>
        <w:autoSpaceDE w:val="0"/>
        <w:autoSpaceDN w:val="0"/>
        <w:bidi w:val="0"/>
        <w:adjustRightInd w:val="0"/>
        <w:snapToGrid w:val="0"/>
        <w:spacing w:line="360" w:lineRule="auto"/>
        <w:ind w:left="1199" w:leftChars="228" w:hanging="720" w:hangingChars="300"/>
        <w:textAlignment w:val="baseline"/>
        <w:outlineLvl w:val="9"/>
        <w:rPr>
          <w:rFonts w:hint="eastAsia" w:ascii="宋体" w:hAnsi="宋体" w:eastAsia="宋体" w:cs="宋体"/>
          <w:sz w:val="24"/>
          <w:szCs w:val="24"/>
        </w:rPr>
      </w:pPr>
      <w:r>
        <w:rPr>
          <w:rFonts w:hint="eastAsia" w:ascii="宋体" w:hAnsi="宋体" w:eastAsia="宋体" w:cs="宋体"/>
          <w:sz w:val="24"/>
          <w:szCs w:val="24"/>
        </w:rPr>
        <w:t>29.3 采购结果通知书和成交通知书同时发出。采购结果通知书中将告知未通过资格审查的供应商未通过的原因；采用综合评分法评审的，还将告知未成交人本人的评审得分和排序。</w:t>
      </w:r>
    </w:p>
    <w:p w14:paraId="2EF7A4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30.签订合同</w:t>
      </w:r>
    </w:p>
    <w:p w14:paraId="411229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30.1</w:t>
      </w:r>
      <w:r>
        <w:rPr>
          <w:rFonts w:hint="eastAsia" w:ascii="宋体" w:hAnsi="宋体" w:eastAsia="宋体" w:cs="宋体"/>
          <w:sz w:val="24"/>
          <w:szCs w:val="24"/>
          <w:lang w:val="en-US" w:eastAsia="zh-CN"/>
        </w:rPr>
        <w:t xml:space="preserve"> 成交人应当自发出成交通知书之日起30日内，与采购人签订合同。</w:t>
      </w:r>
    </w:p>
    <w:p w14:paraId="2A33E4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磋商文件、成交人的响应文件及其澄清文件等，均为签订合同的依据。</w:t>
      </w:r>
    </w:p>
    <w:p w14:paraId="1EB5F0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30.3 成交人拒绝与采购人签订合同的，采购人可以按照评审报告推荐的成交候选人名单排序，确定下一成交候选人为成交人，也可以重新开展政府采购活动。</w:t>
      </w:r>
    </w:p>
    <w:p w14:paraId="5CBACE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30.4 当出现法规规定的成交无效或成交结果无效情形时，采购人可与排名下一位的成交候选人另行签订合同，或依法重新开展采购活动。</w:t>
      </w:r>
    </w:p>
    <w:p w14:paraId="7B6FAD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31.履约保证金</w:t>
      </w:r>
    </w:p>
    <w:p w14:paraId="6A8C96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lang w:val="en-US" w:eastAsia="zh-CN"/>
        </w:rPr>
        <w:t xml:space="preserve"> 成交人应按照供应商须知资料表规定向采购人缴纳履约保证金（如采用保函形式，格式见本章附件1）</w:t>
      </w:r>
      <w:r>
        <w:rPr>
          <w:rFonts w:hint="eastAsia" w:ascii="宋体" w:hAnsi="宋体" w:eastAsia="宋体" w:cs="宋体"/>
          <w:sz w:val="24"/>
          <w:szCs w:val="24"/>
        </w:rPr>
        <w:t>。</w:t>
      </w:r>
    </w:p>
    <w:p w14:paraId="433D7D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政府采购利用担保试点范围内的项目，除31.1规定的情形外，成交人也可以按照财政部门的规定，向采购人提供合格的履约担保函（格式见本章附件2）。</w:t>
      </w:r>
    </w:p>
    <w:p w14:paraId="1A0374E5">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114" w:hanging="240" w:hangingChars="100"/>
        <w:textAlignment w:val="baseline"/>
        <w:outlineLvl w:val="9"/>
        <w:rPr>
          <w:rFonts w:hint="eastAsia" w:ascii="宋体" w:hAnsi="宋体" w:eastAsia="宋体" w:cs="宋体"/>
          <w:sz w:val="24"/>
          <w:szCs w:val="24"/>
        </w:rPr>
      </w:pPr>
      <w:r>
        <w:rPr>
          <w:rFonts w:hint="eastAsia" w:ascii="宋体" w:hAnsi="宋体" w:eastAsia="宋体" w:cs="宋体"/>
          <w:sz w:val="24"/>
          <w:szCs w:val="24"/>
        </w:rPr>
        <w:t>31.3 如果成交人没有按照上述履约保证金的规定执行，将视为放弃成交资格，成交人的磋商保证金将不予退还。在此情况下，采购人可确定下一候选人为成交人，也可以重新开展采购活动。</w:t>
      </w:r>
    </w:p>
    <w:p w14:paraId="7F44F2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32.成交服务费</w:t>
      </w:r>
    </w:p>
    <w:p w14:paraId="4B9FF9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供应商须按照供应商须知资料表规定，向采购代理机构支付成交服务费。</w:t>
      </w:r>
    </w:p>
    <w:p w14:paraId="34C10D45">
      <w:pPr>
        <w:pageBreakBefore w:val="0"/>
        <w:widowControl w:val="0"/>
        <w:kinsoku/>
        <w:wordWrap/>
        <w:overflowPunct/>
        <w:topLinePunct w:val="0"/>
        <w:bidi w:val="0"/>
        <w:spacing w:line="360" w:lineRule="auto"/>
        <w:textAlignment w:val="auto"/>
        <w:outlineLvl w:val="9"/>
        <w:rPr>
          <w:rFonts w:hint="eastAsia" w:ascii="宋体" w:hAnsi="宋体" w:eastAsia="宋体" w:cs="宋体"/>
          <w:sz w:val="24"/>
          <w:szCs w:val="24"/>
          <w:highlight w:val="none"/>
        </w:rPr>
      </w:pPr>
      <w:bookmarkStart w:id="7" w:name="_Toc24818"/>
      <w:bookmarkStart w:id="8" w:name="_Toc25154"/>
      <w:bookmarkStart w:id="9" w:name="_Toc15964"/>
      <w:bookmarkStart w:id="10" w:name="_Toc7049"/>
      <w:bookmarkStart w:id="11" w:name="_Toc6923"/>
      <w:bookmarkStart w:id="12" w:name="_Toc17936"/>
      <w:bookmarkStart w:id="13" w:name="_Toc515647795"/>
      <w:bookmarkStart w:id="14" w:name="_Toc20041"/>
      <w:r>
        <w:rPr>
          <w:rFonts w:hint="eastAsia" w:ascii="宋体" w:hAnsi="宋体" w:eastAsia="宋体" w:cs="宋体"/>
          <w:sz w:val="24"/>
          <w:szCs w:val="24"/>
          <w:highlight w:val="none"/>
        </w:rPr>
        <w:t>33.政府采购信用担保</w:t>
      </w:r>
      <w:bookmarkEnd w:id="7"/>
      <w:bookmarkEnd w:id="8"/>
      <w:bookmarkEnd w:id="9"/>
      <w:bookmarkEnd w:id="10"/>
      <w:bookmarkEnd w:id="11"/>
      <w:bookmarkEnd w:id="12"/>
      <w:bookmarkEnd w:id="13"/>
      <w:bookmarkEnd w:id="14"/>
    </w:p>
    <w:p w14:paraId="6D907C5D">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本项目是否属于信用担保试点范围见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14:paraId="04A11EBA">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如属于政府采购信用担保试点范围内，中小型企业供应商可以自由按照财政部门的规定，采用谈判担保、履约担保和融资担保。</w:t>
      </w:r>
    </w:p>
    <w:p w14:paraId="78D1CE5F">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33.2.1 供应商递交的谈判担保函（格式参照【附件1】）和履约担保函（格式参照【附件2-2】）应符合本谈判文件的规定。</w:t>
      </w:r>
    </w:p>
    <w:p w14:paraId="478154CD">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33.2.2 成交人可以采取融资担保的形式为政府采购项目履约进行融资。</w:t>
      </w:r>
    </w:p>
    <w:p w14:paraId="604D97C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33.2.3 合格的政府采购专业信用担保机构名单见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14:paraId="5F9007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34.廉洁自律规定</w:t>
      </w:r>
    </w:p>
    <w:p w14:paraId="525DDB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采购代理机构工作人员不得以不正当手段获取政府采购代理业务，不得与采购人、供应商恶意串通操纵政府采购活动。</w:t>
      </w:r>
    </w:p>
    <w:p w14:paraId="2FFC48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采购代理机构工作人员不得接受采购人或者供应商组织的宴请、旅游、娱乐，不得收受礼品、现金、有价证券等，不得向采购人或者供应商报销应当由个人承担的费用。</w:t>
      </w:r>
    </w:p>
    <w:p w14:paraId="425211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为强化采购代理机构内部监督机制，供应商可按</w:t>
      </w:r>
      <w:r>
        <w:rPr>
          <w:rFonts w:hint="eastAsia" w:ascii="宋体" w:hAnsi="宋体" w:eastAsia="宋体" w:cs="宋体"/>
          <w:sz w:val="24"/>
          <w:szCs w:val="24"/>
          <w:lang w:eastAsia="zh-CN"/>
        </w:rPr>
        <w:t>供应商</w:t>
      </w:r>
      <w:r>
        <w:rPr>
          <w:rFonts w:hint="eastAsia" w:ascii="宋体" w:hAnsi="宋体" w:eastAsia="宋体" w:cs="宋体"/>
          <w:sz w:val="24"/>
          <w:szCs w:val="24"/>
        </w:rPr>
        <w:t>须知资料表中的监督电话和信箱，反映采购代理机构的廉洁自律等问题。</w:t>
      </w:r>
    </w:p>
    <w:p w14:paraId="424456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35.人员回避</w:t>
      </w:r>
    </w:p>
    <w:p w14:paraId="67CB92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认为采购人员及其相关人员有法律法规所列与其他供应商有利害关系的，可以向采购人或采购代理机构书面提出回避申请，并说明理由。</w:t>
      </w:r>
    </w:p>
    <w:p w14:paraId="582EE5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36.质疑与接收</w:t>
      </w:r>
    </w:p>
    <w:p w14:paraId="5484DA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3A4682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 毁或与事实不符等现象，我公司将该企业的行为上报相应主管部门。</w:t>
      </w:r>
    </w:p>
    <w:p w14:paraId="45EFEC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 投诉人无法证明其取得方式合法的，视为以非法手段取得证明材料。</w:t>
      </w:r>
    </w:p>
    <w:p w14:paraId="13696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36.4 质疑供应商应按照财政部制定的《政府采购质疑函范本》格式（可从财政部官方网站下载）和《政府采购质疑和投诉办法》的要求，在法定质疑期内 以纸质形式提出质疑，针对同一采购程序环节的质疑应一次性提出。超出法定质疑期的、重复提出的、分次提出的或内容、形式不符合《政府采购质疑和投诉办法》的，质疑供应商将依法承担不利后果。</w:t>
      </w:r>
    </w:p>
    <w:p w14:paraId="510601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36.5 采购代理机构质疑函接收部门、联系电话和通讯地址, 见</w:t>
      </w:r>
      <w:r>
        <w:rPr>
          <w:rFonts w:hint="eastAsia" w:ascii="宋体" w:hAnsi="宋体" w:eastAsia="宋体" w:cs="宋体"/>
          <w:sz w:val="24"/>
          <w:szCs w:val="24"/>
          <w:u w:val="single"/>
        </w:rPr>
        <w:t>供应商须知资料表</w:t>
      </w:r>
      <w:r>
        <w:rPr>
          <w:rFonts w:hint="eastAsia" w:ascii="宋体" w:hAnsi="宋体" w:eastAsia="宋体" w:cs="宋体"/>
          <w:sz w:val="24"/>
          <w:szCs w:val="24"/>
        </w:rPr>
        <w:t>。</w:t>
      </w:r>
    </w:p>
    <w:p w14:paraId="2A36FB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5B35EF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（一）对可以质疑的采购文件提出质疑的，为收到采购文件之日或者采购文件公告期限届满之日；</w:t>
      </w:r>
    </w:p>
    <w:p w14:paraId="1D01A7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14:paraId="4B5DC1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（三）对中标结果提出质疑的，为中标结果公告期限届满之日。 </w:t>
      </w:r>
    </w:p>
    <w:p w14:paraId="2E7F9104">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36.7 供应商有权提出一次质疑，不能多次提出。</w:t>
      </w:r>
    </w:p>
    <w:p w14:paraId="23216D9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36.8 对可以质疑的采购文件提出质疑的，质疑人为参与本项目的报价方或潜在报价方。可质疑的文件为采购公告以及采购文件（包括属于其组成部分的澄清、修改、补充文件和评审标准、合同文本等）。</w:t>
      </w:r>
    </w:p>
    <w:p w14:paraId="6192E28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36.9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sz w:val="24"/>
          <w:szCs w:val="24"/>
          <w:lang w:eastAsia="zh-CN"/>
        </w:rPr>
        <w:t>响应文件</w:t>
      </w:r>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开启、评审等各个采购程序环节。 </w:t>
      </w:r>
    </w:p>
    <w:p w14:paraId="7FD5175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36.10  提出质疑应当符合下列条件：</w:t>
      </w:r>
    </w:p>
    <w:p w14:paraId="581B0DA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（一）质疑主体应当符合有关规定；</w:t>
      </w:r>
    </w:p>
    <w:p w14:paraId="2873EDC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（二）在质疑法定期限内提出；</w:t>
      </w:r>
    </w:p>
    <w:p w14:paraId="646A1F2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（三）属于可以提出质疑的政府采购事项受理范围和本项目采购人的管辖权范围；</w:t>
      </w:r>
    </w:p>
    <w:p w14:paraId="44AB5EC5">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（四）政府采购法律、法规、规章规定的其他条件。</w:t>
      </w:r>
    </w:p>
    <w:p w14:paraId="176639C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8F9619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36.12 质疑人所提供的证明材料应当具有真实性、合法性以及与质疑事项的关联性和证明力，否则不能作为认定该质疑事项成立的依据。</w:t>
      </w:r>
    </w:p>
    <w:p w14:paraId="3E70EDA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36.13 质疑人提出质疑时应当提交质疑函。质疑函包括下列内容：</w:t>
      </w:r>
    </w:p>
    <w:p w14:paraId="0C5EED3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（一）提出质疑的质疑人的名称、地址、邮编、联系人及联系电话等；</w:t>
      </w:r>
    </w:p>
    <w:p w14:paraId="3E22FC8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（二）质疑项目的名称、编号；</w:t>
      </w:r>
    </w:p>
    <w:p w14:paraId="3EB9F45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（三）质疑事项；</w:t>
      </w:r>
    </w:p>
    <w:p w14:paraId="5DC80B0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（四）事实依据和证明材料；</w:t>
      </w:r>
    </w:p>
    <w:p w14:paraId="5C5A312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（五）法律依据；</w:t>
      </w:r>
    </w:p>
    <w:p w14:paraId="3E53598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（六）提出质疑的日期。</w:t>
      </w:r>
    </w:p>
    <w:p w14:paraId="7A5464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质疑函采用实名制。质疑人为自然人的应当由本人签字，并附有效身份证明文件；质疑人为法人或者非法人组织的应当由法定代表人或者负责人签字并加盖公章，并附有效身份证明文件。</w:t>
      </w:r>
    </w:p>
    <w:p w14:paraId="6FB03203">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36.14 质疑人可以委托代理人进行质疑。代理人应当提交授权委托书。授权委托书应当载明委托代理的具体权限、期限和相关事项。</w:t>
      </w:r>
    </w:p>
    <w:p w14:paraId="6D62EDD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36.15  质疑的审查和受理</w:t>
      </w:r>
    </w:p>
    <w:p w14:paraId="5B08E1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采购方在收到质疑函后应当及时审查是否符合质疑受理条件，对符合质疑受理条件的，及时予以受理。</w:t>
      </w:r>
    </w:p>
    <w:p w14:paraId="50A4C600">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36.16  对不符合质疑受理条件的，分别按照下列不同情形予以处理：</w:t>
      </w:r>
    </w:p>
    <w:p w14:paraId="0950BF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（一）质疑函内容不符合规定的，告知质疑人进行修改并重新提出质疑。修改后质疑事项仍不具体、不明确或者最终递交质疑函的时间超过质疑法定期限的，不予受理；</w:t>
      </w:r>
    </w:p>
    <w:p w14:paraId="3AF251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（二）质疑主体不符合有关规定的，告知质疑人不予受理；</w:t>
      </w:r>
    </w:p>
    <w:p w14:paraId="731653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（三）超过质疑法定期限提出质疑的，告知质疑人不予受理；</w:t>
      </w:r>
    </w:p>
    <w:p w14:paraId="6168B4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（四）对不属于可以提出质疑的政府采购事项提出质疑的，告知质疑人不予受理；</w:t>
      </w:r>
    </w:p>
    <w:p w14:paraId="6319C5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（五）质疑不属于本项目采购方管辖的，告知质疑人向有管辖权的采购人提出质疑；</w:t>
      </w:r>
    </w:p>
    <w:p w14:paraId="4B8810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（六）质疑不符合其他条件的，告知质疑人不予受理。 </w:t>
      </w:r>
    </w:p>
    <w:p w14:paraId="6665A252">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36.17 质疑的处理和答复</w:t>
      </w:r>
    </w:p>
    <w:p w14:paraId="1622512E">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36.18 采购方受理质疑后，将及时把质疑函发送给被质疑人，并要求其在一定限期内提交书面答复，同时提供有关证据、依据和相关材料。</w:t>
      </w:r>
    </w:p>
    <w:p w14:paraId="2591DDC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36.19 对于质疑事项中涉及的问题较多、情况比较复杂的，为了全面查清事实、取得充分的证据，采购方认为有必要时，可以进行调查取证或者组织质证。</w:t>
      </w:r>
    </w:p>
    <w:p w14:paraId="74D50A1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36.20 对评审过程、中标结果提出质疑的，采购方可以组织原评审委员会协助答复质疑。</w:t>
      </w:r>
    </w:p>
    <w:p w14:paraId="7BB96D5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36.21 质疑处理过程中，质疑人书面申请撤回质疑的，将终止质疑处理程序。</w:t>
      </w:r>
    </w:p>
    <w:p w14:paraId="711EB3D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36.22 质疑人拒绝配合采购方依法对质疑进行调查处理的，采购方将按质疑人自动撤回质疑处理；被质疑人拒绝配合采购方依法对质疑进行调查处理的， 采购方将视同其认可质疑事项。</w:t>
      </w:r>
    </w:p>
    <w:p w14:paraId="18B0403A">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36.23 质疑人拒绝配合采购方依法对质疑进行调查处理的，采购方将按质疑人自动撤回质疑处理；被质疑人拒绝配合采购方依法对质疑进行调查处理的</w:t>
      </w:r>
      <w:r>
        <w:rPr>
          <w:rFonts w:hint="eastAsia" w:ascii="宋体" w:hAnsi="宋体" w:eastAsia="宋体" w:cs="宋体"/>
          <w:sz w:val="24"/>
          <w:szCs w:val="24"/>
          <w:lang w:eastAsia="zh-CN"/>
        </w:rPr>
        <w:t>，</w:t>
      </w:r>
      <w:r>
        <w:rPr>
          <w:rFonts w:hint="eastAsia" w:ascii="宋体" w:hAnsi="宋体" w:eastAsia="宋体" w:cs="宋体"/>
          <w:sz w:val="24"/>
          <w:szCs w:val="24"/>
        </w:rPr>
        <w:t>采购方将视同其认可质疑事项。</w:t>
      </w:r>
    </w:p>
    <w:p w14:paraId="183E82C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采购方将在正式受理质疑后 7 个工作日内作出答复。 </w:t>
      </w:r>
    </w:p>
    <w:p w14:paraId="3BD9143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36.25 质疑答复应当包括下列内容：</w:t>
      </w:r>
    </w:p>
    <w:p w14:paraId="787757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（一）质疑人的姓名或者名称；</w:t>
      </w:r>
    </w:p>
    <w:p w14:paraId="6D7846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（二）收到质疑函的日期、质疑项目名称及编号；</w:t>
      </w:r>
    </w:p>
    <w:p w14:paraId="4AAEBF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（三）质疑事项、质疑答复的具体内容、事实依据和法律依据；</w:t>
      </w:r>
    </w:p>
    <w:p w14:paraId="79FE4D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（四）告知质疑供应商依法投诉的权利；</w:t>
      </w:r>
    </w:p>
    <w:p w14:paraId="1ADE58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（五）质疑答复人名称；</w:t>
      </w:r>
    </w:p>
    <w:p w14:paraId="1D2480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（六）答复质疑的日期。</w:t>
      </w:r>
    </w:p>
    <w:p w14:paraId="1192884F">
      <w:pPr>
        <w:bidi w:val="0"/>
        <w:jc w:val="center"/>
        <w:outlineLvl w:val="9"/>
        <w:rPr>
          <w:rFonts w:hint="eastAsia"/>
          <w:sz w:val="28"/>
          <w:szCs w:val="24"/>
        </w:rPr>
      </w:pPr>
    </w:p>
    <w:p w14:paraId="00C2C405">
      <w:pPr>
        <w:bidi w:val="0"/>
        <w:jc w:val="center"/>
        <w:outlineLvl w:val="9"/>
        <w:rPr>
          <w:rFonts w:hint="eastAsia"/>
          <w:sz w:val="28"/>
          <w:szCs w:val="24"/>
        </w:rPr>
      </w:pPr>
    </w:p>
    <w:p w14:paraId="6357348C">
      <w:pPr>
        <w:bidi w:val="0"/>
        <w:jc w:val="center"/>
        <w:outlineLvl w:val="9"/>
        <w:rPr>
          <w:rFonts w:hint="eastAsia"/>
          <w:sz w:val="28"/>
          <w:szCs w:val="24"/>
        </w:rPr>
      </w:pPr>
    </w:p>
    <w:p w14:paraId="2DA8C27B">
      <w:pPr>
        <w:bidi w:val="0"/>
        <w:jc w:val="center"/>
        <w:outlineLvl w:val="9"/>
        <w:rPr>
          <w:rFonts w:hint="eastAsia"/>
          <w:sz w:val="28"/>
          <w:szCs w:val="24"/>
        </w:rPr>
      </w:pPr>
    </w:p>
    <w:p w14:paraId="74CA238E">
      <w:pPr>
        <w:bidi w:val="0"/>
        <w:jc w:val="center"/>
        <w:outlineLvl w:val="9"/>
        <w:rPr>
          <w:rFonts w:hint="eastAsia"/>
          <w:sz w:val="28"/>
          <w:szCs w:val="24"/>
        </w:rPr>
      </w:pPr>
    </w:p>
    <w:p w14:paraId="66A454A7">
      <w:pPr>
        <w:bidi w:val="0"/>
        <w:jc w:val="center"/>
        <w:outlineLvl w:val="9"/>
        <w:rPr>
          <w:rFonts w:hint="eastAsia"/>
          <w:sz w:val="28"/>
          <w:szCs w:val="24"/>
        </w:rPr>
      </w:pPr>
    </w:p>
    <w:p w14:paraId="6E7FCFB7">
      <w:pPr>
        <w:bidi w:val="0"/>
        <w:jc w:val="center"/>
        <w:outlineLvl w:val="9"/>
        <w:rPr>
          <w:rFonts w:hint="eastAsia"/>
          <w:sz w:val="28"/>
          <w:szCs w:val="24"/>
        </w:rPr>
      </w:pPr>
    </w:p>
    <w:p w14:paraId="7DA92168">
      <w:pPr>
        <w:bidi w:val="0"/>
        <w:jc w:val="center"/>
        <w:outlineLvl w:val="9"/>
        <w:rPr>
          <w:rFonts w:hint="eastAsia"/>
          <w:sz w:val="28"/>
          <w:szCs w:val="24"/>
        </w:rPr>
      </w:pPr>
    </w:p>
    <w:p w14:paraId="4D8E0913">
      <w:pPr>
        <w:bidi w:val="0"/>
        <w:jc w:val="center"/>
        <w:outlineLvl w:val="9"/>
        <w:rPr>
          <w:rFonts w:hint="eastAsia"/>
          <w:sz w:val="28"/>
          <w:szCs w:val="24"/>
        </w:rPr>
      </w:pPr>
    </w:p>
    <w:p w14:paraId="279ECA15">
      <w:pPr>
        <w:bidi w:val="0"/>
        <w:jc w:val="center"/>
        <w:outlineLvl w:val="9"/>
        <w:rPr>
          <w:rFonts w:hint="eastAsia"/>
          <w:sz w:val="28"/>
          <w:szCs w:val="24"/>
        </w:rPr>
      </w:pPr>
    </w:p>
    <w:p w14:paraId="21E1A902">
      <w:pPr>
        <w:bidi w:val="0"/>
        <w:jc w:val="center"/>
        <w:outlineLvl w:val="9"/>
        <w:rPr>
          <w:rFonts w:hint="eastAsia"/>
          <w:sz w:val="28"/>
          <w:szCs w:val="24"/>
        </w:rPr>
      </w:pPr>
    </w:p>
    <w:p w14:paraId="267D6228">
      <w:pPr>
        <w:bidi w:val="0"/>
        <w:jc w:val="center"/>
        <w:outlineLvl w:val="9"/>
        <w:rPr>
          <w:rFonts w:hint="eastAsia"/>
          <w:sz w:val="28"/>
          <w:szCs w:val="24"/>
        </w:rPr>
      </w:pPr>
    </w:p>
    <w:p w14:paraId="7C78A750">
      <w:pPr>
        <w:bidi w:val="0"/>
        <w:jc w:val="center"/>
        <w:outlineLvl w:val="9"/>
        <w:rPr>
          <w:rFonts w:hint="eastAsia"/>
          <w:sz w:val="28"/>
          <w:szCs w:val="24"/>
        </w:rPr>
      </w:pPr>
    </w:p>
    <w:p w14:paraId="5502F458">
      <w:pPr>
        <w:bidi w:val="0"/>
        <w:jc w:val="center"/>
        <w:outlineLvl w:val="9"/>
        <w:rPr>
          <w:rFonts w:hint="eastAsia"/>
          <w:sz w:val="28"/>
          <w:szCs w:val="24"/>
        </w:rPr>
      </w:pPr>
    </w:p>
    <w:p w14:paraId="23A6FEBF">
      <w:pPr>
        <w:bidi w:val="0"/>
        <w:jc w:val="center"/>
        <w:outlineLvl w:val="9"/>
        <w:rPr>
          <w:rFonts w:hint="eastAsia"/>
          <w:sz w:val="28"/>
          <w:szCs w:val="24"/>
        </w:rPr>
      </w:pPr>
    </w:p>
    <w:p w14:paraId="57A5E4D9">
      <w:pPr>
        <w:bidi w:val="0"/>
        <w:jc w:val="center"/>
        <w:outlineLvl w:val="9"/>
        <w:rPr>
          <w:rFonts w:hint="eastAsia"/>
          <w:sz w:val="28"/>
          <w:szCs w:val="24"/>
        </w:rPr>
      </w:pPr>
    </w:p>
    <w:p w14:paraId="1F5C60B5">
      <w:pPr>
        <w:bidi w:val="0"/>
        <w:jc w:val="center"/>
        <w:outlineLvl w:val="9"/>
        <w:rPr>
          <w:rFonts w:hint="eastAsia"/>
          <w:sz w:val="28"/>
          <w:szCs w:val="24"/>
        </w:rPr>
      </w:pPr>
    </w:p>
    <w:p w14:paraId="21E13F48">
      <w:pPr>
        <w:bidi w:val="0"/>
        <w:jc w:val="center"/>
        <w:outlineLvl w:val="9"/>
        <w:rPr>
          <w:rFonts w:hint="eastAsia"/>
          <w:sz w:val="28"/>
          <w:szCs w:val="24"/>
        </w:rPr>
      </w:pPr>
    </w:p>
    <w:p w14:paraId="7EAF9470">
      <w:pPr>
        <w:bidi w:val="0"/>
        <w:jc w:val="center"/>
        <w:outlineLvl w:val="9"/>
        <w:rPr>
          <w:rFonts w:hint="eastAsia"/>
          <w:sz w:val="28"/>
          <w:szCs w:val="24"/>
        </w:rPr>
      </w:pPr>
    </w:p>
    <w:p w14:paraId="67DDCB1F">
      <w:pPr>
        <w:bidi w:val="0"/>
        <w:jc w:val="center"/>
        <w:outlineLvl w:val="9"/>
        <w:rPr>
          <w:rFonts w:hint="eastAsia"/>
          <w:sz w:val="28"/>
          <w:szCs w:val="24"/>
        </w:rPr>
      </w:pPr>
    </w:p>
    <w:p w14:paraId="1C96AD37">
      <w:pPr>
        <w:bidi w:val="0"/>
        <w:jc w:val="center"/>
        <w:outlineLvl w:val="9"/>
        <w:rPr>
          <w:rFonts w:hint="eastAsia"/>
          <w:sz w:val="28"/>
          <w:szCs w:val="24"/>
        </w:rPr>
      </w:pPr>
    </w:p>
    <w:p w14:paraId="22E401B6">
      <w:pPr>
        <w:bidi w:val="0"/>
        <w:jc w:val="center"/>
        <w:outlineLvl w:val="9"/>
        <w:rPr>
          <w:rFonts w:hint="eastAsia"/>
          <w:sz w:val="28"/>
          <w:szCs w:val="24"/>
        </w:rPr>
      </w:pPr>
    </w:p>
    <w:p w14:paraId="1D9AFB1E">
      <w:pPr>
        <w:bidi w:val="0"/>
        <w:jc w:val="center"/>
        <w:outlineLvl w:val="9"/>
        <w:rPr>
          <w:rFonts w:hint="eastAsia"/>
          <w:sz w:val="28"/>
          <w:szCs w:val="24"/>
        </w:rPr>
      </w:pPr>
    </w:p>
    <w:p w14:paraId="2EC39C75">
      <w:pPr>
        <w:bidi w:val="0"/>
        <w:jc w:val="center"/>
        <w:outlineLvl w:val="9"/>
        <w:rPr>
          <w:rFonts w:hint="eastAsia"/>
          <w:sz w:val="28"/>
          <w:szCs w:val="24"/>
        </w:rPr>
      </w:pPr>
    </w:p>
    <w:p w14:paraId="687EF18D">
      <w:pPr>
        <w:bidi w:val="0"/>
        <w:jc w:val="both"/>
        <w:outlineLvl w:val="9"/>
        <w:rPr>
          <w:rFonts w:hint="eastAsia" w:eastAsia="宋体"/>
          <w:sz w:val="28"/>
          <w:szCs w:val="24"/>
          <w:lang w:eastAsia="zh-CN"/>
        </w:rPr>
      </w:pPr>
    </w:p>
    <w:p w14:paraId="604D5907">
      <w:pPr>
        <w:bidi w:val="0"/>
        <w:jc w:val="both"/>
        <w:outlineLvl w:val="9"/>
        <w:rPr>
          <w:rFonts w:hint="eastAsia" w:eastAsia="宋体"/>
          <w:sz w:val="28"/>
          <w:szCs w:val="24"/>
          <w:lang w:eastAsia="zh-CN"/>
        </w:rPr>
      </w:pPr>
    </w:p>
    <w:p w14:paraId="1EACA3DA">
      <w:pPr>
        <w:bidi w:val="0"/>
        <w:jc w:val="center"/>
        <w:outlineLvl w:val="9"/>
        <w:rPr>
          <w:rFonts w:hint="eastAsia"/>
          <w:sz w:val="24"/>
          <w:szCs w:val="22"/>
        </w:rPr>
      </w:pPr>
      <w:r>
        <w:rPr>
          <w:rFonts w:hint="eastAsia"/>
          <w:sz w:val="28"/>
          <w:szCs w:val="24"/>
        </w:rPr>
        <w:t>质疑函范本</w:t>
      </w:r>
    </w:p>
    <w:p w14:paraId="461E2886">
      <w:pPr>
        <w:bidi w:val="0"/>
        <w:jc w:val="center"/>
        <w:outlineLvl w:val="9"/>
        <w:rPr>
          <w:rFonts w:hint="eastAsia"/>
          <w:sz w:val="24"/>
          <w:szCs w:val="22"/>
        </w:rPr>
      </w:pPr>
    </w:p>
    <w:p w14:paraId="216FEEF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4"/>
          <w:szCs w:val="32"/>
        </w:rPr>
      </w:pPr>
      <w:r>
        <w:rPr>
          <w:rFonts w:hint="eastAsia" w:ascii="宋体" w:hAnsi="宋体" w:eastAsia="宋体" w:cs="宋体"/>
          <w:sz w:val="24"/>
          <w:szCs w:val="32"/>
        </w:rPr>
        <w:t>一、质疑供应商基本信息</w:t>
      </w:r>
    </w:p>
    <w:p w14:paraId="5287DC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质疑供应商：</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 xml:space="preserve">                  </w:t>
      </w:r>
    </w:p>
    <w:p w14:paraId="5CDAF3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地址：</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邮编：</w:t>
      </w:r>
      <w:r>
        <w:rPr>
          <w:rFonts w:hint="eastAsia" w:ascii="宋体" w:hAnsi="宋体" w:eastAsia="宋体" w:cs="宋体"/>
          <w:sz w:val="24"/>
          <w:szCs w:val="32"/>
          <w:u w:val="single"/>
        </w:rPr>
        <w:t xml:space="preserve">             </w:t>
      </w:r>
    </w:p>
    <w:p w14:paraId="617F05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联系人：</w:t>
      </w:r>
      <w:r>
        <w:rPr>
          <w:rFonts w:hint="eastAsia" w:ascii="宋体" w:hAnsi="宋体" w:eastAsia="宋体" w:cs="宋体"/>
          <w:i/>
          <w:iCs/>
          <w:sz w:val="24"/>
          <w:szCs w:val="32"/>
          <w:u w:val="single"/>
        </w:rPr>
        <w:t xml:space="preserve">                </w:t>
      </w:r>
      <w:r>
        <w:rPr>
          <w:rFonts w:hint="eastAsia" w:ascii="宋体" w:hAnsi="宋体" w:eastAsia="宋体" w:cs="宋体"/>
          <w:sz w:val="24"/>
          <w:szCs w:val="32"/>
        </w:rPr>
        <w:t xml:space="preserve"> 联系电话：</w:t>
      </w:r>
      <w:r>
        <w:rPr>
          <w:rFonts w:hint="eastAsia" w:ascii="宋体" w:hAnsi="宋体" w:eastAsia="宋体" w:cs="宋体"/>
          <w:sz w:val="24"/>
          <w:szCs w:val="32"/>
          <w:u w:val="single"/>
        </w:rPr>
        <w:t xml:space="preserve">              </w:t>
      </w:r>
    </w:p>
    <w:p w14:paraId="3E3F26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授权代表：</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联系电话：</w:t>
      </w:r>
      <w:r>
        <w:rPr>
          <w:rFonts w:hint="eastAsia" w:ascii="宋体" w:hAnsi="宋体" w:eastAsia="宋体" w:cs="宋体"/>
          <w:sz w:val="24"/>
          <w:szCs w:val="32"/>
          <w:u w:val="single"/>
        </w:rPr>
        <w:t xml:space="preserve">             </w:t>
      </w:r>
    </w:p>
    <w:p w14:paraId="19B1CC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地址：</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邮编：</w:t>
      </w:r>
      <w:r>
        <w:rPr>
          <w:rFonts w:hint="eastAsia" w:ascii="宋体" w:hAnsi="宋体" w:eastAsia="宋体" w:cs="宋体"/>
          <w:sz w:val="24"/>
          <w:szCs w:val="32"/>
          <w:u w:val="single"/>
        </w:rPr>
        <w:t xml:space="preserve">              </w:t>
      </w:r>
    </w:p>
    <w:p w14:paraId="6DBA54B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4"/>
          <w:szCs w:val="32"/>
        </w:rPr>
      </w:pPr>
      <w:r>
        <w:rPr>
          <w:rFonts w:hint="eastAsia" w:ascii="宋体" w:hAnsi="宋体" w:eastAsia="宋体" w:cs="宋体"/>
          <w:sz w:val="24"/>
          <w:szCs w:val="32"/>
        </w:rPr>
        <w:t>二、质疑项目基本情况</w:t>
      </w:r>
    </w:p>
    <w:p w14:paraId="50E15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质疑项目的名称：</w:t>
      </w:r>
      <w:r>
        <w:rPr>
          <w:rFonts w:hint="eastAsia" w:ascii="宋体" w:hAnsi="宋体" w:eastAsia="宋体" w:cs="宋体"/>
          <w:sz w:val="24"/>
          <w:szCs w:val="32"/>
          <w:u w:val="single"/>
        </w:rPr>
        <w:t xml:space="preserve">                               </w:t>
      </w:r>
    </w:p>
    <w:p w14:paraId="33BD85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质疑项目的编号：</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包号：</w:t>
      </w:r>
      <w:r>
        <w:rPr>
          <w:rFonts w:hint="eastAsia" w:ascii="宋体" w:hAnsi="宋体" w:eastAsia="宋体" w:cs="宋体"/>
          <w:sz w:val="24"/>
          <w:szCs w:val="32"/>
          <w:u w:val="single"/>
        </w:rPr>
        <w:t xml:space="preserve">           </w:t>
      </w:r>
    </w:p>
    <w:p w14:paraId="2DE7BF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采购人名称：</w:t>
      </w:r>
      <w:r>
        <w:rPr>
          <w:rFonts w:hint="eastAsia" w:ascii="宋体" w:hAnsi="宋体" w:eastAsia="宋体" w:cs="宋体"/>
          <w:sz w:val="24"/>
          <w:szCs w:val="32"/>
          <w:u w:val="single"/>
        </w:rPr>
        <w:t xml:space="preserve">                          </w:t>
      </w:r>
    </w:p>
    <w:p w14:paraId="14CD7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u w:val="single"/>
        </w:rPr>
      </w:pPr>
      <w:r>
        <w:rPr>
          <w:rFonts w:hint="eastAsia" w:ascii="宋体" w:hAnsi="宋体" w:eastAsia="宋体" w:cs="宋体"/>
          <w:sz w:val="24"/>
          <w:szCs w:val="32"/>
        </w:rPr>
        <w:t>采购文件获取日期：</w:t>
      </w:r>
      <w:r>
        <w:rPr>
          <w:rFonts w:hint="eastAsia" w:ascii="宋体" w:hAnsi="宋体" w:eastAsia="宋体" w:cs="宋体"/>
          <w:sz w:val="24"/>
          <w:szCs w:val="32"/>
          <w:u w:val="single"/>
        </w:rPr>
        <w:t xml:space="preserve">                      </w:t>
      </w:r>
    </w:p>
    <w:p w14:paraId="7E805CE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4"/>
          <w:szCs w:val="32"/>
        </w:rPr>
      </w:pPr>
      <w:r>
        <w:rPr>
          <w:rFonts w:hint="eastAsia" w:ascii="宋体" w:hAnsi="宋体" w:eastAsia="宋体" w:cs="宋体"/>
          <w:sz w:val="24"/>
          <w:szCs w:val="32"/>
        </w:rPr>
        <w:t>三、质疑事项具体内容</w:t>
      </w:r>
    </w:p>
    <w:p w14:paraId="7C7307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质疑事项 1：</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w:t>
      </w:r>
    </w:p>
    <w:p w14:paraId="5CFE56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事实依据：</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w:t>
      </w:r>
    </w:p>
    <w:p w14:paraId="7A945A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法律依据：</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w:t>
      </w:r>
    </w:p>
    <w:p w14:paraId="0A3DCC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质疑事项 2：</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w:t>
      </w:r>
    </w:p>
    <w:p w14:paraId="3AC6FA1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4"/>
          <w:szCs w:val="32"/>
        </w:rPr>
      </w:pPr>
      <w:r>
        <w:rPr>
          <w:rFonts w:hint="eastAsia" w:ascii="宋体" w:hAnsi="宋体" w:eastAsia="宋体" w:cs="宋体"/>
          <w:sz w:val="24"/>
          <w:szCs w:val="32"/>
        </w:rPr>
        <w:t>四、与质疑事项相关的质疑请求</w:t>
      </w:r>
    </w:p>
    <w:p w14:paraId="31A045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2"/>
        </w:rPr>
      </w:pPr>
      <w:r>
        <w:rPr>
          <w:rFonts w:hint="eastAsia" w:ascii="宋体" w:hAnsi="宋体" w:eastAsia="宋体" w:cs="宋体"/>
          <w:sz w:val="24"/>
          <w:szCs w:val="32"/>
        </w:rPr>
        <w:t>请求：</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w:t>
      </w:r>
    </w:p>
    <w:p w14:paraId="7ABDDA02">
      <w:pPr>
        <w:pStyle w:val="37"/>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hAnsi="宋体" w:cs="宋体"/>
          <w:highlight w:val="none"/>
          <w:lang w:val="en-US" w:eastAsia="zh-CN"/>
        </w:rPr>
      </w:pPr>
      <w:r>
        <w:rPr>
          <w:rFonts w:hint="eastAsia" w:hAnsi="宋体" w:cs="宋体"/>
          <w:highlight w:val="none"/>
          <w:lang w:val="en-US" w:eastAsia="zh-CN"/>
        </w:rPr>
        <w:t xml:space="preserve">                              </w:t>
      </w:r>
    </w:p>
    <w:p w14:paraId="6AA0D599">
      <w:pPr>
        <w:pStyle w:val="37"/>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 xml:space="preserve">签字(签章)：                       </w:t>
      </w:r>
    </w:p>
    <w:p w14:paraId="44E297F5">
      <w:pPr>
        <w:pStyle w:val="37"/>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公</w:t>
      </w:r>
      <w:r>
        <w:rPr>
          <w:rFonts w:hint="eastAsia" w:hAnsi="宋体" w:cs="宋体"/>
          <w:highlight w:val="none"/>
          <w:lang w:val="en-US" w:eastAsia="zh-CN"/>
        </w:rPr>
        <w:t xml:space="preserve">    </w:t>
      </w:r>
      <w:r>
        <w:rPr>
          <w:rFonts w:hint="eastAsia" w:ascii="宋体" w:hAnsi="宋体" w:eastAsia="宋体" w:cs="宋体"/>
          <w:highlight w:val="none"/>
        </w:rPr>
        <w:t>章：</w:t>
      </w:r>
    </w:p>
    <w:p w14:paraId="0522F3EA">
      <w:pPr>
        <w:pStyle w:val="37"/>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日</w:t>
      </w:r>
      <w:r>
        <w:rPr>
          <w:rFonts w:hint="eastAsia" w:hAnsi="宋体" w:cs="宋体"/>
          <w:highlight w:val="none"/>
          <w:lang w:val="en-US" w:eastAsia="zh-CN"/>
        </w:rPr>
        <w:t xml:space="preserve">    </w:t>
      </w:r>
      <w:r>
        <w:rPr>
          <w:rFonts w:hint="eastAsia" w:ascii="宋体" w:hAnsi="宋体" w:eastAsia="宋体" w:cs="宋体"/>
          <w:highlight w:val="none"/>
        </w:rPr>
        <w:t>期：</w:t>
      </w:r>
    </w:p>
    <w:p w14:paraId="63E5A1F5">
      <w:pPr>
        <w:pStyle w:val="37"/>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质疑函制作说明：</w:t>
      </w:r>
    </w:p>
    <w:p w14:paraId="62998B34">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1.供应商提出质疑时，应提交质疑函和必要的证明材料。</w:t>
      </w:r>
    </w:p>
    <w:p w14:paraId="353D974A">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2.质疑供应商若委托代理人进行质疑的，质疑函应按要求列明“授权代表”</w:t>
      </w:r>
    </w:p>
    <w:p w14:paraId="51009B10">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的有关内容，并在附件中提交由质疑供应商签署的授权委托书。授权委托书应</w:t>
      </w:r>
    </w:p>
    <w:p w14:paraId="673C2CAA">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载明代理人的姓名或者名称、代理事项、具体权限、期限和相关事项。</w:t>
      </w:r>
    </w:p>
    <w:p w14:paraId="2C9EC752">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3.质疑供应商若对项目的某一分包进行质疑，质疑函中应列明具体分包号。</w:t>
      </w:r>
    </w:p>
    <w:p w14:paraId="35E719D8">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4.质疑函的质疑事项应具体、明确，并有必要的事实依据和法律依据。</w:t>
      </w:r>
    </w:p>
    <w:p w14:paraId="0E35ECE7">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5.质疑函的质疑请求应与质疑事项相关。</w:t>
      </w:r>
    </w:p>
    <w:p w14:paraId="57C22E48">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6.质疑供应商为自然人的，质疑函应由本人签字；质疑供应商为法人或者</w:t>
      </w:r>
    </w:p>
    <w:p w14:paraId="7C1D21DB">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其他组织的，质疑函应由法定代表人、主要负责人，或者其授权代表签字或者盖章，并加盖公章。</w:t>
      </w:r>
    </w:p>
    <w:p w14:paraId="5A0921EE">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outlineLvl w:val="9"/>
        <w:rPr>
          <w:rFonts w:hint="eastAsia"/>
          <w:b w:val="0"/>
          <w:bCs/>
          <w:sz w:val="24"/>
          <w:szCs w:val="22"/>
          <w:u w:val="none"/>
          <w:lang w:val="en-US" w:eastAsia="zh-CN"/>
        </w:rPr>
      </w:pPr>
      <w:r>
        <w:rPr>
          <w:rFonts w:hint="eastAsia"/>
          <w:b w:val="0"/>
          <w:bCs/>
          <w:sz w:val="24"/>
          <w:szCs w:val="22"/>
          <w:u w:val="none"/>
          <w:lang w:val="en-US" w:eastAsia="zh-CN"/>
        </w:rPr>
        <w:t xml:space="preserve">37.投诉 </w:t>
      </w:r>
    </w:p>
    <w:p w14:paraId="1C944FCF">
      <w:pPr>
        <w:keepNext w:val="0"/>
        <w:keepLines w:val="0"/>
        <w:pageBreakBefore w:val="0"/>
        <w:widowControl w:val="0"/>
        <w:kinsoku/>
        <w:wordWrap/>
        <w:overflowPunct/>
        <w:topLinePunct w:val="0"/>
        <w:autoSpaceDE/>
        <w:autoSpaceDN/>
        <w:bidi w:val="0"/>
        <w:adjustRightInd/>
        <w:snapToGrid w:val="0"/>
        <w:spacing w:line="360" w:lineRule="auto"/>
        <w:ind w:left="1199" w:leftChars="228" w:hanging="720" w:hangingChars="300"/>
        <w:textAlignment w:val="auto"/>
        <w:rPr>
          <w:rFonts w:ascii="宋体" w:hAnsi="宋体" w:eastAsia="宋体" w:cs="宋体"/>
          <w:sz w:val="24"/>
          <w:szCs w:val="24"/>
        </w:rPr>
      </w:pPr>
      <w:r>
        <w:rPr>
          <w:rFonts w:hint="eastAsia" w:ascii="宋体" w:hAnsi="宋体" w:cs="宋体"/>
          <w:sz w:val="24"/>
          <w:szCs w:val="24"/>
          <w:lang w:val="en-US" w:eastAsia="zh-CN"/>
        </w:rPr>
        <w:t>37</w:t>
      </w:r>
      <w:r>
        <w:rPr>
          <w:rFonts w:hint="eastAsia" w:ascii="宋体" w:hAnsi="宋体" w:eastAsia="宋体" w:cs="宋体"/>
          <w:sz w:val="24"/>
          <w:szCs w:val="24"/>
          <w:lang w:val="en-US" w:eastAsia="zh-CN"/>
        </w:rPr>
        <w:t>.1</w:t>
      </w:r>
      <w:r>
        <w:rPr>
          <w:rFonts w:ascii="宋体" w:hAnsi="宋体" w:eastAsia="宋体" w:cs="宋体"/>
          <w:sz w:val="24"/>
          <w:szCs w:val="24"/>
        </w:rPr>
        <w:t xml:space="preserve"> 质疑供应商对采购人、采购代理机构的质疑答复不满意，或者采购人、采购代理机构未在规定期限内作出答复的，可以在答复期满后15个工作日内向有关财政部门相关部门提起投诉。 </w:t>
      </w:r>
    </w:p>
    <w:p w14:paraId="55A0C30D">
      <w:pPr>
        <w:keepNext w:val="0"/>
        <w:keepLines w:val="0"/>
        <w:pageBreakBefore w:val="0"/>
        <w:widowControl w:val="0"/>
        <w:kinsoku/>
        <w:wordWrap/>
        <w:overflowPunct/>
        <w:topLinePunct w:val="0"/>
        <w:autoSpaceDE/>
        <w:autoSpaceDN/>
        <w:bidi w:val="0"/>
        <w:adjustRightInd/>
        <w:snapToGrid w:val="0"/>
        <w:spacing w:line="360" w:lineRule="auto"/>
        <w:ind w:left="1199" w:leftChars="228" w:hanging="720" w:hangingChars="300"/>
        <w:textAlignment w:val="auto"/>
        <w:rPr>
          <w:rFonts w:ascii="宋体" w:hAnsi="宋体" w:eastAsia="宋体" w:cs="宋体"/>
          <w:sz w:val="24"/>
          <w:szCs w:val="24"/>
        </w:rPr>
      </w:pPr>
      <w:r>
        <w:rPr>
          <w:rFonts w:hint="eastAsia" w:ascii="宋体" w:hAnsi="宋体" w:cs="宋体"/>
          <w:sz w:val="24"/>
          <w:szCs w:val="24"/>
          <w:lang w:val="en-US" w:eastAsia="zh-CN"/>
        </w:rPr>
        <w:t>37</w:t>
      </w:r>
      <w:r>
        <w:rPr>
          <w:rFonts w:hint="eastAsia" w:ascii="宋体" w:hAnsi="宋体" w:eastAsia="宋体" w:cs="宋体"/>
          <w:sz w:val="24"/>
          <w:szCs w:val="24"/>
          <w:lang w:val="en-US" w:eastAsia="zh-CN"/>
        </w:rPr>
        <w:t>.2</w:t>
      </w:r>
      <w:r>
        <w:rPr>
          <w:rFonts w:ascii="宋体" w:hAnsi="宋体" w:eastAsia="宋体" w:cs="宋体"/>
          <w:sz w:val="24"/>
          <w:szCs w:val="24"/>
        </w:rPr>
        <w:t xml:space="preserve"> 投诉人投诉时,应当提交投诉书和必要的证明材料，并按照被投诉采购人、采购代理机构（以下简称被投诉人）和与投诉事项有关的供应商数量提供投诉书的副本。投诉书应当包括下列内容： </w:t>
      </w:r>
    </w:p>
    <w:p w14:paraId="45AFBB39">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（1）投诉人和被投诉人的姓名或者名称、通讯地址、邮编、联系人及联系电话； </w:t>
      </w:r>
    </w:p>
    <w:p w14:paraId="3D1D14A4">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（2）质疑和质疑答复情况说明及相关证明材料； </w:t>
      </w:r>
    </w:p>
    <w:p w14:paraId="48993454">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（3）具体、明确的投诉事项和与投诉事项相关的投诉请求； </w:t>
      </w:r>
    </w:p>
    <w:p w14:paraId="1253074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（4）事实依据； </w:t>
      </w:r>
    </w:p>
    <w:p w14:paraId="200B14D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（5）法律依据； </w:t>
      </w:r>
    </w:p>
    <w:p w14:paraId="53AC4FF5">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（6）提起投诉的日期。 </w:t>
      </w:r>
    </w:p>
    <w:p w14:paraId="57C1037B">
      <w:pPr>
        <w:keepNext w:val="0"/>
        <w:keepLines w:val="0"/>
        <w:pageBreakBefore w:val="0"/>
        <w:widowControl w:val="0"/>
        <w:kinsoku/>
        <w:wordWrap/>
        <w:overflowPunct/>
        <w:topLinePunct w:val="0"/>
        <w:autoSpaceDE/>
        <w:autoSpaceDN/>
        <w:bidi w:val="0"/>
        <w:adjustRightInd/>
        <w:snapToGrid w:val="0"/>
        <w:spacing w:line="360" w:lineRule="auto"/>
        <w:ind w:left="479" w:leftChars="228" w:firstLine="480" w:firstLineChars="200"/>
        <w:textAlignment w:val="auto"/>
        <w:rPr>
          <w:rFonts w:ascii="宋体" w:hAnsi="宋体" w:eastAsia="宋体" w:cs="宋体"/>
          <w:sz w:val="24"/>
          <w:szCs w:val="24"/>
        </w:rPr>
      </w:pPr>
      <w:r>
        <w:rPr>
          <w:rFonts w:ascii="宋体" w:hAnsi="宋体" w:eastAsia="宋体" w:cs="宋体"/>
          <w:sz w:val="24"/>
          <w:szCs w:val="24"/>
        </w:rPr>
        <w:t xml:space="preserve">投诉人为自然人的，应当由本人签字；投诉人为法人或者其他组织的，应当由法定代表人、主要负责人，或者其授权代表签字或者盖章，并加盖公章。 </w:t>
      </w:r>
    </w:p>
    <w:p w14:paraId="29329CB5">
      <w:pPr>
        <w:keepNext w:val="0"/>
        <w:keepLines w:val="0"/>
        <w:pageBreakBefore w:val="0"/>
        <w:widowControl w:val="0"/>
        <w:kinsoku/>
        <w:wordWrap/>
        <w:overflowPunct/>
        <w:topLinePunct w:val="0"/>
        <w:autoSpaceDE/>
        <w:autoSpaceDN/>
        <w:bidi w:val="0"/>
        <w:adjustRightInd/>
        <w:snapToGrid w:val="0"/>
        <w:spacing w:line="360" w:lineRule="auto"/>
        <w:ind w:left="1199" w:leftChars="228" w:hanging="720" w:hangingChars="300"/>
        <w:textAlignment w:val="auto"/>
        <w:rPr>
          <w:rFonts w:ascii="宋体" w:hAnsi="宋体" w:eastAsia="宋体" w:cs="宋体"/>
          <w:sz w:val="24"/>
          <w:szCs w:val="24"/>
        </w:rPr>
      </w:pPr>
      <w:r>
        <w:rPr>
          <w:rFonts w:hint="eastAsia" w:ascii="宋体" w:hAnsi="宋体" w:cs="宋体"/>
          <w:sz w:val="24"/>
          <w:szCs w:val="24"/>
          <w:lang w:val="en-US" w:eastAsia="zh-CN"/>
        </w:rPr>
        <w:t>37.3</w:t>
      </w:r>
      <w:r>
        <w:rPr>
          <w:rFonts w:ascii="宋体" w:hAnsi="宋体" w:eastAsia="宋体" w:cs="宋体"/>
          <w:sz w:val="24"/>
          <w:szCs w:val="24"/>
        </w:rPr>
        <w:t xml:space="preserve"> 投诉人在全国范围 12 个月内三次以上投诉查无实据的，由财政部门列入不良行为记录名单。 </w:t>
      </w:r>
    </w:p>
    <w:p w14:paraId="27CBB63A">
      <w:pPr>
        <w:keepNext w:val="0"/>
        <w:keepLines w:val="0"/>
        <w:pageBreakBefore w:val="0"/>
        <w:widowControl w:val="0"/>
        <w:kinsoku/>
        <w:wordWrap/>
        <w:overflowPunct/>
        <w:topLinePunct w:val="0"/>
        <w:autoSpaceDE/>
        <w:autoSpaceDN/>
        <w:bidi w:val="0"/>
        <w:adjustRightInd/>
        <w:snapToGrid w:val="0"/>
        <w:spacing w:line="360" w:lineRule="auto"/>
        <w:ind w:left="1199" w:leftChars="228" w:hanging="720" w:hangingChars="300"/>
        <w:textAlignment w:val="auto"/>
        <w:rPr>
          <w:rFonts w:ascii="宋体" w:hAnsi="宋体" w:eastAsia="宋体" w:cs="宋体"/>
          <w:sz w:val="24"/>
          <w:szCs w:val="24"/>
        </w:rPr>
      </w:pPr>
      <w:r>
        <w:rPr>
          <w:rFonts w:hint="eastAsia" w:ascii="宋体" w:hAnsi="宋体" w:cs="宋体"/>
          <w:sz w:val="24"/>
          <w:szCs w:val="24"/>
          <w:lang w:val="en-US" w:eastAsia="zh-CN"/>
        </w:rPr>
        <w:t>37.4</w:t>
      </w:r>
      <w:r>
        <w:rPr>
          <w:rFonts w:ascii="宋体" w:hAnsi="宋体" w:eastAsia="宋体" w:cs="宋体"/>
          <w:sz w:val="24"/>
          <w:szCs w:val="24"/>
        </w:rPr>
        <w:t xml:space="preserve"> 投诉人有下列行为之一的，属于虚假、恶意投诉，由财政部门列入不良行为记录名单，禁止其1至3年内参加政府采购活动： </w:t>
      </w:r>
    </w:p>
    <w:p w14:paraId="06DE2524">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（1）捏造事实； </w:t>
      </w:r>
    </w:p>
    <w:p w14:paraId="6DB74F5C">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ascii="宋体" w:hAnsi="宋体" w:eastAsia="宋体" w:cs="宋体"/>
          <w:sz w:val="24"/>
          <w:szCs w:val="24"/>
        </w:rPr>
      </w:pPr>
      <w:r>
        <w:rPr>
          <w:rFonts w:ascii="宋体" w:hAnsi="宋体" w:eastAsia="宋体" w:cs="宋体"/>
          <w:sz w:val="24"/>
          <w:szCs w:val="24"/>
        </w:rPr>
        <w:t xml:space="preserve">（2）提供虚假材料； </w:t>
      </w:r>
    </w:p>
    <w:p w14:paraId="3DDCB160">
      <w:pPr>
        <w:pStyle w:val="15"/>
        <w:keepNext w:val="0"/>
        <w:keepLines w:val="0"/>
        <w:pageBreakBefore w:val="0"/>
        <w:widowControl w:val="0"/>
        <w:numPr>
          <w:ilvl w:val="0"/>
          <w:numId w:val="0"/>
        </w:numPr>
        <w:tabs>
          <w:tab w:val="left" w:pos="567"/>
        </w:tabs>
        <w:kinsoku/>
        <w:wordWrap/>
        <w:overflowPunct/>
        <w:topLinePunct w:val="0"/>
        <w:autoSpaceDE/>
        <w:autoSpaceDN/>
        <w:bidi w:val="0"/>
        <w:adjustRightInd/>
        <w:spacing w:before="3" w:line="360" w:lineRule="auto"/>
        <w:ind w:left="1198" w:leftChars="342" w:right="0" w:rightChars="0" w:hanging="480" w:hangingChars="200"/>
        <w:textAlignment w:val="auto"/>
        <w:rPr>
          <w:rFonts w:hint="eastAsia" w:ascii="宋体" w:hAnsi="宋体" w:eastAsia="宋体" w:cs="宋体"/>
          <w:b/>
          <w:bCs/>
          <w:color w:val="000000"/>
          <w:sz w:val="24"/>
          <w:szCs w:val="24"/>
          <w:lang w:eastAsia="zh-CN"/>
        </w:rPr>
        <w:sectPr>
          <w:headerReference r:id="rId5" w:type="default"/>
          <w:footerReference r:id="rId6" w:type="default"/>
          <w:pgSz w:w="11910" w:h="16840"/>
          <w:pgMar w:top="1900" w:right="1110" w:bottom="1180" w:left="1120" w:header="852" w:footer="1000" w:gutter="0"/>
          <w:pgNumType w:fmt="decimal"/>
          <w:cols w:space="720" w:num="1"/>
        </w:sectPr>
      </w:pPr>
      <w:r>
        <w:rPr>
          <w:rFonts w:ascii="宋体" w:hAnsi="宋体" w:eastAsia="宋体" w:cs="宋体"/>
          <w:sz w:val="24"/>
          <w:szCs w:val="24"/>
        </w:rPr>
        <w:t>（3）以非法手段取得证明材料。证据来源的合法性存在明显疑问，投诉人无法证明其取得方式合法的，视为以非法手段取得证明材料。</w:t>
      </w:r>
    </w:p>
    <w:p w14:paraId="53733A06">
      <w:pPr>
        <w:spacing w:before="0" w:line="240" w:lineRule="atLeast"/>
        <w:jc w:val="both"/>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履约保证金保函（格式）</w:t>
      </w:r>
    </w:p>
    <w:p w14:paraId="285BB455">
      <w:pPr>
        <w:pStyle w:val="17"/>
        <w:spacing w:line="240" w:lineRule="atLeast"/>
        <w:ind w:left="1079" w:leftChars="257" w:hanging="540"/>
        <w:rPr>
          <w:rFonts w:hint="eastAsia" w:hAnsi="宋体" w:cs="宋体"/>
          <w:b/>
          <w:color w:val="auto"/>
          <w:sz w:val="24"/>
          <w:highlight w:val="none"/>
        </w:rPr>
      </w:pPr>
      <w:r>
        <w:rPr>
          <w:rFonts w:hint="eastAsia" w:hAnsi="宋体" w:cs="宋体"/>
          <w:b/>
          <w:color w:val="auto"/>
          <w:sz w:val="24"/>
          <w:highlight w:val="none"/>
        </w:rPr>
        <w:t xml:space="preserve">                        </w:t>
      </w:r>
    </w:p>
    <w:p w14:paraId="518B26A2">
      <w:pPr>
        <w:pStyle w:val="17"/>
        <w:spacing w:line="240" w:lineRule="atLeast"/>
        <w:rPr>
          <w:rFonts w:hint="eastAsia" w:hAnsi="宋体" w:cs="宋体"/>
          <w:color w:val="auto"/>
          <w:sz w:val="24"/>
          <w:highlight w:val="none"/>
        </w:rPr>
      </w:pPr>
    </w:p>
    <w:p w14:paraId="202095E9">
      <w:pPr>
        <w:pStyle w:val="17"/>
        <w:spacing w:line="240" w:lineRule="atLeast"/>
        <w:rPr>
          <w:rFonts w:hint="eastAsia" w:hAnsi="宋体" w:cs="宋体"/>
          <w:color w:val="auto"/>
          <w:sz w:val="24"/>
          <w:highlight w:val="none"/>
        </w:rPr>
      </w:pPr>
      <w:r>
        <w:rPr>
          <w:rFonts w:hint="eastAsia" w:hAnsi="宋体" w:cs="宋体"/>
          <w:color w:val="auto"/>
          <w:sz w:val="24"/>
          <w:highlight w:val="none"/>
        </w:rPr>
        <w:t>致: (</w:t>
      </w:r>
      <w:r>
        <w:rPr>
          <w:rFonts w:hint="eastAsia" w:hAnsi="宋体" w:cs="宋体"/>
          <w:color w:val="auto"/>
          <w:sz w:val="24"/>
          <w:highlight w:val="none"/>
          <w:u w:val="single"/>
        </w:rPr>
        <w:t>买方名称</w:t>
      </w:r>
      <w:r>
        <w:rPr>
          <w:rFonts w:hint="eastAsia" w:hAnsi="宋体" w:cs="宋体"/>
          <w:color w:val="auto"/>
          <w:sz w:val="24"/>
          <w:highlight w:val="none"/>
        </w:rPr>
        <w:t>)</w:t>
      </w:r>
    </w:p>
    <w:p w14:paraId="25633BB7">
      <w:pPr>
        <w:pStyle w:val="17"/>
        <w:spacing w:line="240" w:lineRule="atLeast"/>
        <w:ind w:left="1079" w:leftChars="257" w:hanging="540"/>
        <w:jc w:val="center"/>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14:paraId="0B4B3554">
      <w:pPr>
        <w:pStyle w:val="17"/>
        <w:spacing w:line="240" w:lineRule="atLeast"/>
        <w:ind w:left="1079" w:leftChars="257" w:hanging="540"/>
        <w:jc w:val="center"/>
        <w:rPr>
          <w:rFonts w:hint="eastAsia" w:hAnsi="宋体" w:cs="宋体"/>
          <w:color w:val="auto"/>
          <w:sz w:val="24"/>
          <w:highlight w:val="none"/>
        </w:rPr>
      </w:pPr>
    </w:p>
    <w:p w14:paraId="0FB703D9">
      <w:pPr>
        <w:pStyle w:val="17"/>
        <w:spacing w:line="240" w:lineRule="atLeast"/>
        <w:ind w:firstLine="600" w:firstLineChars="250"/>
        <w:rPr>
          <w:rFonts w:hint="eastAsia" w:hAnsi="宋体" w:cs="宋体"/>
          <w:color w:val="auto"/>
          <w:sz w:val="24"/>
          <w:highlight w:val="none"/>
          <w:u w:val="single"/>
          <w:lang w:val="en-US" w:eastAsia="zh-CN"/>
        </w:rPr>
      </w:pPr>
      <w:r>
        <w:rPr>
          <w:rFonts w:hint="eastAsia" w:hAnsi="宋体" w:cs="宋体"/>
          <w:color w:val="auto"/>
          <w:sz w:val="24"/>
          <w:highlight w:val="none"/>
        </w:rPr>
        <w:t>本保函作为贵方与</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(卖方名称)</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w:t>
      </w:r>
      <w:r>
        <w:rPr>
          <w:rFonts w:hint="eastAsia" w:hAnsi="宋体" w:cs="宋体"/>
          <w:color w:val="auto"/>
          <w:sz w:val="24"/>
          <w:highlight w:val="none"/>
          <w:u w:val="single"/>
          <w:lang w:eastAsia="zh-CN"/>
        </w:rPr>
        <w:t>服务</w:t>
      </w:r>
      <w:r>
        <w:rPr>
          <w:rFonts w:hint="eastAsia" w:hAnsi="宋体" w:cs="宋体"/>
          <w:color w:val="auto"/>
          <w:sz w:val="24"/>
          <w:highlight w:val="none"/>
          <w:u w:val="single"/>
        </w:rPr>
        <w:t>名称)</w:t>
      </w:r>
      <w:r>
        <w:rPr>
          <w:rFonts w:hint="eastAsia" w:hAnsi="宋体" w:cs="宋体"/>
          <w:color w:val="auto"/>
          <w:sz w:val="24"/>
          <w:highlight w:val="none"/>
          <w:u w:val="single"/>
          <w:lang w:val="en-US" w:eastAsia="zh-CN"/>
        </w:rPr>
        <w:t xml:space="preserve"> </w:t>
      </w:r>
    </w:p>
    <w:p w14:paraId="747725ED">
      <w:pPr>
        <w:pStyle w:val="17"/>
        <w:spacing w:line="240" w:lineRule="atLeast"/>
        <w:rPr>
          <w:rFonts w:hint="eastAsia" w:hAnsi="宋体" w:cs="宋体"/>
          <w:color w:val="auto"/>
          <w:sz w:val="24"/>
          <w:highlight w:val="none"/>
        </w:rPr>
      </w:pP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(以下简称</w:t>
      </w:r>
      <w:r>
        <w:rPr>
          <w:rFonts w:hint="eastAsia" w:hAnsi="宋体" w:cs="宋体"/>
          <w:color w:val="auto"/>
          <w:sz w:val="24"/>
          <w:highlight w:val="none"/>
          <w:lang w:eastAsia="zh-CN"/>
        </w:rPr>
        <w:t>服务</w:t>
      </w:r>
      <w:r>
        <w:rPr>
          <w:rFonts w:hint="eastAsia" w:hAnsi="宋体" w:cs="宋体"/>
          <w:color w:val="auto"/>
          <w:sz w:val="24"/>
          <w:highlight w:val="none"/>
        </w:rPr>
        <w:t>)签订的</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(合同号)</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号合同的履约保函。</w:t>
      </w:r>
    </w:p>
    <w:p w14:paraId="662CE5FC">
      <w:pPr>
        <w:pStyle w:val="17"/>
        <w:spacing w:line="240" w:lineRule="atLeast"/>
        <w:ind w:firstLine="480" w:firstLineChars="200"/>
        <w:rPr>
          <w:rFonts w:hint="eastAsia" w:hAnsi="宋体" w:cs="宋体"/>
          <w:color w:val="auto"/>
          <w:sz w:val="24"/>
          <w:highlight w:val="none"/>
        </w:rPr>
      </w:pPr>
      <w:r>
        <w:rPr>
          <w:rFonts w:hint="eastAsia" w:hAnsi="宋体" w:cs="宋体"/>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color w:val="auto"/>
          <w:sz w:val="24"/>
          <w:highlight w:val="none"/>
          <w:u w:val="single"/>
        </w:rPr>
        <w:t>货币名称</w:t>
      </w:r>
      <w:r>
        <w:rPr>
          <w:rFonts w:hint="eastAsia" w:hAnsi="宋体" w:cs="宋体"/>
          <w:color w:val="auto"/>
          <w:sz w:val="24"/>
          <w:highlight w:val="none"/>
        </w:rPr>
        <w:t>)支付总额不超过(</w:t>
      </w:r>
      <w:r>
        <w:rPr>
          <w:rFonts w:hint="eastAsia" w:hAnsi="宋体" w:cs="宋体"/>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14:paraId="476D147A">
      <w:pPr>
        <w:pStyle w:val="17"/>
        <w:spacing w:line="240" w:lineRule="atLeast"/>
        <w:ind w:left="539" w:leftChars="257"/>
        <w:rPr>
          <w:rFonts w:hint="eastAsia"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w:t>
      </w:r>
      <w:r>
        <w:rPr>
          <w:rFonts w:hint="eastAsia" w:hAnsi="宋体" w:cs="宋体"/>
          <w:color w:val="auto"/>
          <w:sz w:val="24"/>
          <w:highlight w:val="none"/>
          <w:lang w:eastAsia="zh-CN"/>
        </w:rPr>
        <w:t>服务</w:t>
      </w:r>
      <w:r>
        <w:rPr>
          <w:rFonts w:hint="eastAsia" w:hAnsi="宋体" w:cs="宋体"/>
          <w:color w:val="auto"/>
          <w:sz w:val="24"/>
          <w:highlight w:val="none"/>
        </w:rPr>
        <w:t>(以下简称违约),无论卖方有任何反对,本行将凭贵方关于卖方违约说明的书面通知,立即按贵方提出的累计总额不超过上述金额的款项和按贵方通知规定的方式付给贵方。</w:t>
      </w:r>
    </w:p>
    <w:p w14:paraId="159B268B">
      <w:pPr>
        <w:pStyle w:val="17"/>
        <w:spacing w:line="240" w:lineRule="atLeast"/>
        <w:ind w:left="540"/>
        <w:rPr>
          <w:rFonts w:hint="eastAsia"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614698A4">
      <w:pPr>
        <w:pStyle w:val="17"/>
        <w:spacing w:line="240" w:lineRule="atLeast"/>
        <w:ind w:left="540"/>
        <w:rPr>
          <w:rFonts w:hint="eastAsia"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0435BF9">
      <w:pPr>
        <w:pStyle w:val="17"/>
        <w:spacing w:line="240" w:lineRule="atLeast"/>
        <w:ind w:left="1079" w:leftChars="257" w:hanging="540"/>
        <w:outlineLvl w:val="9"/>
        <w:rPr>
          <w:rFonts w:hint="eastAsia" w:hAnsi="宋体" w:cs="宋体"/>
          <w:color w:val="auto"/>
          <w:sz w:val="24"/>
          <w:highlight w:val="none"/>
        </w:rPr>
      </w:pPr>
      <w:bookmarkStart w:id="15" w:name="_Toc30323"/>
      <w:bookmarkStart w:id="16" w:name="_Toc13049"/>
      <w:bookmarkStart w:id="17" w:name="_Toc17120"/>
      <w:r>
        <w:rPr>
          <w:rFonts w:hint="eastAsia" w:hAnsi="宋体" w:cs="宋体"/>
          <w:color w:val="auto"/>
          <w:sz w:val="24"/>
          <w:highlight w:val="none"/>
        </w:rPr>
        <w:t>4.本保函在本合同规定的保证期期满前完全有效。</w:t>
      </w:r>
      <w:bookmarkEnd w:id="15"/>
      <w:bookmarkEnd w:id="16"/>
      <w:bookmarkEnd w:id="17"/>
    </w:p>
    <w:p w14:paraId="2BA8130D">
      <w:pPr>
        <w:pStyle w:val="17"/>
        <w:spacing w:line="240" w:lineRule="atLeast"/>
        <w:ind w:left="1079" w:leftChars="257" w:hanging="540"/>
        <w:rPr>
          <w:rFonts w:hint="eastAsia" w:hAnsi="宋体" w:cs="宋体"/>
          <w:color w:val="auto"/>
          <w:sz w:val="24"/>
          <w:highlight w:val="none"/>
        </w:rPr>
      </w:pPr>
    </w:p>
    <w:p w14:paraId="07BDF7E0">
      <w:pPr>
        <w:pStyle w:val="17"/>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谨启</w:t>
      </w:r>
    </w:p>
    <w:p w14:paraId="0770B928">
      <w:pPr>
        <w:pStyle w:val="17"/>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14:paraId="6B968896">
      <w:pPr>
        <w:pStyle w:val="17"/>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14:paraId="4B368FE5">
      <w:pPr>
        <w:pStyle w:val="17"/>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14:paraId="0D94D57A">
      <w:pPr>
        <w:pStyle w:val="17"/>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398BEC48">
      <w:pPr>
        <w:spacing w:before="0" w:line="240" w:lineRule="atLeast"/>
        <w:outlineLvl w:val="9"/>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18" w:name="_Toc3020"/>
      <w:bookmarkStart w:id="19" w:name="_Toc23090"/>
      <w:bookmarkStart w:id="20" w:name="_Toc6548"/>
      <w:bookmarkStart w:id="21" w:name="_Toc10951"/>
      <w:bookmarkStart w:id="22" w:name="_Toc29770"/>
      <w:bookmarkStart w:id="23" w:name="_Toc13022"/>
      <w:bookmarkStart w:id="24" w:name="_Toc515647800"/>
      <w:bookmarkStart w:id="25" w:name="_Toc11423"/>
      <w:r>
        <w:rPr>
          <w:rFonts w:hint="eastAsia" w:ascii="宋体" w:hAnsi="宋体" w:eastAsia="宋体" w:cs="宋体"/>
          <w:color w:val="auto"/>
          <w:sz w:val="28"/>
          <w:szCs w:val="28"/>
          <w:highlight w:val="none"/>
        </w:rPr>
        <w:t>附件2：履约担保函格式</w:t>
      </w:r>
      <w:bookmarkEnd w:id="18"/>
      <w:bookmarkEnd w:id="19"/>
      <w:bookmarkEnd w:id="20"/>
      <w:bookmarkEnd w:id="21"/>
      <w:bookmarkEnd w:id="22"/>
      <w:bookmarkEnd w:id="23"/>
      <w:bookmarkEnd w:id="24"/>
      <w:bookmarkEnd w:id="25"/>
    </w:p>
    <w:p w14:paraId="55DE5375">
      <w:pPr>
        <w:spacing w:before="0" w:line="240" w:lineRule="atLeast"/>
        <w:ind w:left="1079" w:leftChars="257" w:hanging="540"/>
        <w:outlineLvl w:val="9"/>
        <w:rPr>
          <w:rFonts w:hint="eastAsia" w:ascii="宋体" w:hAnsi="宋体" w:eastAsia="宋体" w:cs="宋体"/>
          <w:b w:val="0"/>
          <w:color w:val="auto"/>
          <w:sz w:val="24"/>
          <w:szCs w:val="24"/>
          <w:highlight w:val="none"/>
        </w:rPr>
      </w:pPr>
      <w:bookmarkStart w:id="26" w:name="_Toc162"/>
      <w:bookmarkStart w:id="27" w:name="_Toc13962"/>
      <w:bookmarkStart w:id="28" w:name="_Toc29506"/>
      <w:bookmarkStart w:id="29" w:name="_Toc8038"/>
      <w:bookmarkStart w:id="30" w:name="_Toc22000"/>
      <w:bookmarkStart w:id="31" w:name="_Toc515647801"/>
      <w:bookmarkStart w:id="32" w:name="_Toc543"/>
      <w:bookmarkStart w:id="33" w:name="_Toc15552"/>
      <w:r>
        <w:rPr>
          <w:rFonts w:hint="eastAsia" w:ascii="宋体" w:hAnsi="宋体" w:eastAsia="宋体" w:cs="宋体"/>
          <w:color w:val="auto"/>
          <w:sz w:val="24"/>
          <w:szCs w:val="24"/>
          <w:highlight w:val="none"/>
        </w:rPr>
        <w:t>（采用政府采购信用担保形式时使用）</w:t>
      </w:r>
      <w:bookmarkEnd w:id="26"/>
      <w:bookmarkEnd w:id="27"/>
      <w:bookmarkEnd w:id="28"/>
      <w:bookmarkEnd w:id="29"/>
      <w:bookmarkEnd w:id="30"/>
      <w:bookmarkEnd w:id="31"/>
      <w:bookmarkEnd w:id="32"/>
      <w:bookmarkEnd w:id="33"/>
    </w:p>
    <w:p w14:paraId="63A1CED4">
      <w:pPr>
        <w:spacing w:line="240" w:lineRule="atLeast"/>
        <w:ind w:left="1079" w:leftChars="257" w:hanging="540"/>
        <w:rPr>
          <w:rFonts w:hint="eastAsia" w:ascii="宋体" w:hAnsi="宋体" w:cs="宋体"/>
          <w:b/>
          <w:color w:val="auto"/>
          <w:kern w:val="0"/>
          <w:sz w:val="24"/>
          <w:szCs w:val="20"/>
          <w:highlight w:val="none"/>
        </w:rPr>
      </w:pPr>
    </w:p>
    <w:p w14:paraId="4753AA25">
      <w:pP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政府采购履约担保函（项目用）</w:t>
      </w:r>
    </w:p>
    <w:p w14:paraId="3D5CF36D">
      <w:pPr>
        <w:rPr>
          <w:rFonts w:hint="eastAsia" w:ascii="宋体" w:hAnsi="宋体" w:cs="宋体"/>
          <w:color w:val="auto"/>
          <w:sz w:val="24"/>
          <w:highlight w:val="none"/>
        </w:rPr>
      </w:pPr>
      <w:r>
        <w:rPr>
          <w:rFonts w:hint="eastAsia" w:ascii="宋体" w:hAnsi="宋体" w:cs="宋体"/>
          <w:color w:val="auto"/>
          <w:sz w:val="24"/>
          <w:highlight w:val="none"/>
        </w:rPr>
        <w:t xml:space="preserve">                                                   编号：</w:t>
      </w:r>
    </w:p>
    <w:p w14:paraId="6F535A39">
      <w:pPr>
        <w:rPr>
          <w:rFonts w:hint="eastAsia" w:ascii="宋体" w:hAnsi="宋体" w:cs="宋体"/>
          <w:color w:val="auto"/>
          <w:sz w:val="24"/>
          <w:highlight w:val="none"/>
        </w:rPr>
      </w:pPr>
    </w:p>
    <w:p w14:paraId="5266131E">
      <w:pP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1D156B96">
      <w:pPr>
        <w:rPr>
          <w:rFonts w:hint="eastAsia" w:ascii="宋体" w:hAnsi="宋体" w:cs="宋体"/>
          <w:color w:val="auto"/>
          <w:sz w:val="24"/>
          <w:highlight w:val="none"/>
        </w:rPr>
      </w:pPr>
    </w:p>
    <w:p w14:paraId="1DFE3EA8">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14:paraId="1B978437">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14:paraId="152A8D90">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14:paraId="5DD7D70E">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1．将中标项目转让给他人，或者在</w:t>
      </w:r>
      <w:r>
        <w:rPr>
          <w:rFonts w:hint="eastAsia" w:ascii="宋体" w:hAnsi="宋体" w:eastAsia="宋体" w:cs="宋体"/>
          <w:color w:val="auto"/>
          <w:sz w:val="24"/>
          <w:highlight w:val="none"/>
          <w:lang w:eastAsia="zh-CN"/>
        </w:rPr>
        <w:t>响应文件</w:t>
      </w:r>
      <w:r>
        <w:rPr>
          <w:rFonts w:hint="eastAsia" w:ascii="宋体" w:hAnsi="宋体" w:cs="宋体"/>
          <w:color w:val="auto"/>
          <w:sz w:val="24"/>
          <w:highlight w:val="none"/>
        </w:rPr>
        <w:t>中未说明，且未经采购招标机构人同意，将中标项目分包给他人的；</w:t>
      </w:r>
    </w:p>
    <w:p w14:paraId="6FE766DA">
      <w:pPr>
        <w:outlineLvl w:val="9"/>
        <w:rPr>
          <w:rFonts w:hint="eastAsia" w:ascii="宋体" w:hAnsi="宋体" w:cs="宋体"/>
          <w:color w:val="auto"/>
          <w:sz w:val="24"/>
          <w:highlight w:val="none"/>
        </w:rPr>
      </w:pPr>
      <w:r>
        <w:rPr>
          <w:rFonts w:hint="eastAsia" w:ascii="宋体" w:hAnsi="宋体" w:cs="宋体"/>
          <w:color w:val="auto"/>
          <w:sz w:val="24"/>
          <w:highlight w:val="none"/>
        </w:rPr>
        <w:t>　　</w:t>
      </w:r>
      <w:bookmarkStart w:id="34" w:name="_Toc16222"/>
      <w:bookmarkStart w:id="35" w:name="_Toc4550"/>
      <w:bookmarkStart w:id="36" w:name="_Toc1748"/>
      <w:r>
        <w:rPr>
          <w:rFonts w:hint="eastAsia" w:ascii="宋体" w:hAnsi="宋体" w:cs="宋体"/>
          <w:color w:val="auto"/>
          <w:sz w:val="24"/>
          <w:highlight w:val="none"/>
        </w:rPr>
        <w:t>2．主合同约定的应当缴纳履约保证金的情形:</w:t>
      </w:r>
      <w:bookmarkEnd w:id="34"/>
      <w:bookmarkEnd w:id="35"/>
      <w:bookmarkEnd w:id="36"/>
      <w:r>
        <w:rPr>
          <w:rFonts w:hint="eastAsia" w:ascii="宋体" w:hAnsi="宋体" w:cs="宋体"/>
          <w:color w:val="auto"/>
          <w:sz w:val="24"/>
          <w:highlight w:val="none"/>
        </w:rPr>
        <w:t xml:space="preserve"> </w:t>
      </w:r>
    </w:p>
    <w:p w14:paraId="40B9A7BB">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14:paraId="458E5FF5">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A1806F">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14:paraId="1733D23E">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14:paraId="72DAB492">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14:paraId="380987BC">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14:paraId="60E84B76">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14:paraId="67BDDC4F">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14:paraId="054BC70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77756F7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如果你方与供应商因</w:t>
      </w:r>
      <w:r>
        <w:rPr>
          <w:rFonts w:hint="eastAsia" w:ascii="宋体" w:hAnsi="宋体" w:cs="宋体"/>
          <w:color w:val="auto"/>
          <w:sz w:val="24"/>
          <w:highlight w:val="none"/>
          <w:lang w:eastAsia="zh-CN"/>
        </w:rPr>
        <w:t>服务</w:t>
      </w:r>
      <w:r>
        <w:rPr>
          <w:rFonts w:hint="eastAsia" w:ascii="宋体" w:hAnsi="宋体" w:cs="宋体"/>
          <w:color w:val="auto"/>
          <w:sz w:val="24"/>
          <w:highlight w:val="none"/>
        </w:rPr>
        <w:t>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14:paraId="714FA086">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14:paraId="7D2B11D2">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四、保证责任的终止</w:t>
      </w:r>
    </w:p>
    <w:p w14:paraId="2E8ED7E2">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0AFB2B9">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14:paraId="6A3C3471">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3．按照法律法规的规定或出现应终止我方保证责任的其它情形的，我方在本保函项下的保证责任亦终止。</w:t>
      </w:r>
    </w:p>
    <w:p w14:paraId="4F45FD9C">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1AA9AFF">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五、免责条款</w:t>
      </w:r>
    </w:p>
    <w:p w14:paraId="25EF9AEF">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14:paraId="7B0B8EE0">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14:paraId="1942A902">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14:paraId="47CBE73F">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六、争议的解决</w:t>
      </w:r>
    </w:p>
    <w:p w14:paraId="0A48C8DE">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14:paraId="2130AC47">
      <w:pPr>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七、保函的生效</w:t>
      </w:r>
    </w:p>
    <w:p w14:paraId="52894399">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14:paraId="2EF0078A">
      <w:pPr>
        <w:rPr>
          <w:rFonts w:hint="eastAsia" w:ascii="宋体" w:hAnsi="宋体" w:cs="宋体"/>
          <w:color w:val="auto"/>
          <w:sz w:val="24"/>
          <w:highlight w:val="none"/>
        </w:rPr>
      </w:pPr>
    </w:p>
    <w:p w14:paraId="05239F55">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E5CDDA">
      <w:pPr>
        <w:ind w:firstLine="5400" w:firstLineChars="2250"/>
        <w:rPr>
          <w:rFonts w:hint="eastAsia" w:ascii="宋体" w:hAnsi="宋体" w:cs="宋体"/>
          <w:color w:val="auto"/>
          <w:sz w:val="24"/>
          <w:highlight w:val="none"/>
        </w:rPr>
      </w:pPr>
      <w:r>
        <w:rPr>
          <w:rFonts w:hint="eastAsia" w:ascii="宋体" w:hAnsi="宋体" w:cs="宋体"/>
          <w:color w:val="auto"/>
          <w:sz w:val="24"/>
          <w:highlight w:val="none"/>
        </w:rPr>
        <w:t>保证人：（公章）</w:t>
      </w:r>
    </w:p>
    <w:p w14:paraId="436F2940">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46442F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2B699DD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7124706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4F2CA74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4E97CA0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0FF41A1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47FE455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6179D15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rPr>
      </w:pPr>
    </w:p>
    <w:p w14:paraId="59FE5DB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4F911DE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7741B6F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62EFC90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68492D2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32FBA17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cs="宋体"/>
          <w:color w:val="auto"/>
          <w:sz w:val="24"/>
          <w:highlight w:val="none"/>
          <w:lang w:eastAsia="zh-CN"/>
        </w:rPr>
      </w:pPr>
    </w:p>
    <w:p w14:paraId="3D181D87">
      <w:pPr>
        <w:pStyle w:val="2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cs="宋体"/>
          <w:color w:val="auto"/>
          <w:sz w:val="32"/>
          <w:szCs w:val="24"/>
          <w:highlight w:val="none"/>
          <w:lang w:eastAsia="zh-CN"/>
        </w:rPr>
      </w:pPr>
      <w:bookmarkStart w:id="37" w:name="_Toc5160"/>
      <w:bookmarkStart w:id="38" w:name="_Toc27395"/>
      <w:r>
        <w:rPr>
          <w:rFonts w:hint="eastAsia" w:ascii="宋体" w:hAnsi="宋体" w:cs="宋体"/>
          <w:color w:val="auto"/>
          <w:sz w:val="32"/>
          <w:szCs w:val="24"/>
          <w:highlight w:val="none"/>
          <w:lang w:eastAsia="zh-CN"/>
        </w:rPr>
        <w:t>响应文件格式</w:t>
      </w:r>
      <w:bookmarkEnd w:id="37"/>
      <w:bookmarkEnd w:id="38"/>
      <w:bookmarkStart w:id="39" w:name="_Toc30554"/>
    </w:p>
    <w:p w14:paraId="558F4987">
      <w:pPr>
        <w:keepNext w:val="0"/>
        <w:keepLines w:val="0"/>
        <w:pageBreakBefore w:val="0"/>
        <w:numPr>
          <w:ilvl w:val="0"/>
          <w:numId w:val="2"/>
        </w:numPr>
        <w:wordWrap/>
        <w:overflowPunct/>
        <w:topLinePunct w:val="0"/>
        <w:bidi w:val="0"/>
        <w:spacing w:before="0" w:line="360" w:lineRule="auto"/>
        <w:jc w:val="center"/>
        <w:outlineLvl w:val="2"/>
        <w:rPr>
          <w:rFonts w:hint="eastAsia" w:ascii="宋体" w:hAnsi="宋体" w:eastAsia="宋体" w:cs="宋体"/>
          <w:color w:val="000000"/>
          <w:sz w:val="28"/>
          <w:szCs w:val="22"/>
          <w:highlight w:val="none"/>
        </w:rPr>
      </w:pPr>
      <w:bookmarkStart w:id="40" w:name="_Toc19175"/>
      <w:r>
        <w:rPr>
          <w:rFonts w:hint="eastAsia" w:ascii="宋体" w:hAnsi="宋体" w:eastAsia="宋体" w:cs="宋体"/>
          <w:color w:val="000000"/>
          <w:sz w:val="28"/>
          <w:szCs w:val="22"/>
          <w:highlight w:val="none"/>
          <w:lang w:val="en-US" w:eastAsia="zh-CN"/>
        </w:rPr>
        <w:t xml:space="preserve"> </w:t>
      </w:r>
      <w:bookmarkEnd w:id="39"/>
      <w:bookmarkEnd w:id="40"/>
      <w:r>
        <w:rPr>
          <w:rFonts w:hint="eastAsia" w:ascii="宋体" w:hAnsi="宋体" w:eastAsia="宋体" w:cs="宋体"/>
          <w:color w:val="000000"/>
          <w:sz w:val="28"/>
          <w:szCs w:val="22"/>
          <w:highlight w:val="none"/>
          <w:lang w:val="en-US" w:eastAsia="zh-CN"/>
        </w:rPr>
        <w:t>报价一览表及资格证明文件</w:t>
      </w:r>
    </w:p>
    <w:p w14:paraId="381D004D">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（1）报价一览表；</w:t>
      </w:r>
    </w:p>
    <w:p w14:paraId="58E981D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rPr>
        <w:t>法人或者其他组织的营业执照等证明文件；</w:t>
      </w:r>
      <w:r>
        <w:rPr>
          <w:rFonts w:hint="eastAsia" w:ascii="宋体" w:hAnsi="宋体"/>
          <w:color w:val="000000"/>
          <w:sz w:val="24"/>
          <w:szCs w:val="24"/>
          <w:highlight w:val="none"/>
          <w:lang w:val="en-US" w:eastAsia="zh-CN"/>
        </w:rPr>
        <w:t xml:space="preserve"> </w:t>
      </w:r>
    </w:p>
    <w:p w14:paraId="583F103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480" w:hanging="480" w:hangingChars="200"/>
        <w:textAlignment w:val="auto"/>
        <w:rPr>
          <w:rFonts w:hint="eastAsia" w:ascii="宋体" w:hAnsi="宋体"/>
          <w:color w:val="000000"/>
          <w:sz w:val="24"/>
          <w:szCs w:val="24"/>
          <w:highlight w:val="none"/>
        </w:rPr>
      </w:pP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rPr>
        <w:t>授权委托人参加的提供法定代表人授权书及被授权人身份证，法人本人参与投标提供法人身份证及法人资格证明；</w:t>
      </w:r>
    </w:p>
    <w:p w14:paraId="6A11272A">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）具有良好的商业信誉和健全的财务会计制度（2024年或2025年的财务审计报告；新成立公司不足一年的提供近三个月内有效的银行资信证明）；</w:t>
      </w:r>
    </w:p>
    <w:p w14:paraId="7F557F0E">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5</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rPr>
        <w:t>具有履行合同所必需的设备和专业技术能力的承诺书</w:t>
      </w:r>
    </w:p>
    <w:p w14:paraId="2E19293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eastAsia="Arial" w:cs="Arial"/>
          <w:snapToGrid w:val="0"/>
          <w:color w:val="000000"/>
          <w:kern w:val="0"/>
          <w:sz w:val="24"/>
          <w:szCs w:val="24"/>
          <w:lang w:val="en-US" w:eastAsia="en-US" w:bidi="ar-SA"/>
        </w:rPr>
        <w:t>（</w:t>
      </w:r>
      <w:r>
        <w:rPr>
          <w:rFonts w:hint="eastAsia" w:ascii="宋体" w:hAnsi="宋体" w:eastAsia="宋体" w:cs="Arial"/>
          <w:snapToGrid w:val="0"/>
          <w:color w:val="000000"/>
          <w:kern w:val="0"/>
          <w:sz w:val="24"/>
          <w:szCs w:val="24"/>
          <w:lang w:val="en-US" w:eastAsia="zh-CN" w:bidi="ar-SA"/>
        </w:rPr>
        <w:t>6</w:t>
      </w:r>
      <w:r>
        <w:rPr>
          <w:rFonts w:hint="eastAsia" w:ascii="宋体" w:hAnsi="宋体" w:eastAsia="Arial" w:cs="Arial"/>
          <w:snapToGrid w:val="0"/>
          <w:color w:val="000000"/>
          <w:kern w:val="0"/>
          <w:sz w:val="24"/>
          <w:szCs w:val="24"/>
          <w:lang w:val="en-US" w:eastAsia="en-US" w:bidi="ar-SA"/>
        </w:rPr>
        <w:t>）提供近6个月任意一个月的由社保部门或税务局出具的投标单位缴纳的社保证明。</w:t>
      </w:r>
    </w:p>
    <w:p w14:paraId="11661E69">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lang w:eastAsia="zh-CN"/>
        </w:rPr>
        <w:t>）</w:t>
      </w:r>
      <w:r>
        <w:rPr>
          <w:rFonts w:hint="eastAsia" w:ascii="宋体" w:hAnsi="宋体" w:eastAsia="宋体" w:cs="宋体"/>
          <w:sz w:val="24"/>
          <w:szCs w:val="24"/>
          <w:lang w:val="en-US" w:eastAsia="zh-CN"/>
        </w:rPr>
        <w:t>缴纳税收近6个月任意一个月的完税证明（零申报请出具税务部门加盖公章的证明材料或无欠款税收证明）</w:t>
      </w:r>
    </w:p>
    <w:p w14:paraId="0BABFBBF">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eastAsia="宋体" w:cs="宋体"/>
          <w:sz w:val="24"/>
          <w:szCs w:val="24"/>
          <w:lang w:val="en-US" w:eastAsia="zh-CN"/>
        </w:rPr>
        <w:t>（8）</w:t>
      </w:r>
      <w:r>
        <w:rPr>
          <w:rFonts w:hint="eastAsia" w:ascii="宋体" w:hAnsi="宋体"/>
          <w:color w:val="000000"/>
          <w:sz w:val="24"/>
          <w:szCs w:val="24"/>
          <w:highlight w:val="none"/>
        </w:rPr>
        <w:t>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以招标代理机构或采购人查询为准）</w:t>
      </w:r>
    </w:p>
    <w:p w14:paraId="47DB2231">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eastAsia="宋体"/>
          <w:color w:val="000000"/>
          <w:sz w:val="24"/>
          <w:szCs w:val="24"/>
          <w:highlight w:val="none"/>
          <w:lang w:val="en-US" w:eastAsia="zh-CN"/>
        </w:rPr>
        <w:t>9</w:t>
      </w:r>
      <w:r>
        <w:rPr>
          <w:rFonts w:hint="eastAsia" w:ascii="宋体" w:hAnsi="宋体"/>
          <w:color w:val="000000"/>
          <w:sz w:val="24"/>
          <w:szCs w:val="24"/>
          <w:highlight w:val="none"/>
        </w:rPr>
        <w:t>）供应商提供针对本次项目《反商业贿赂承诺书》；</w:t>
      </w:r>
    </w:p>
    <w:p w14:paraId="14F08DD6">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）参加政府采购活动前三年内在经营活动中没有重大违法记录的书面声明；</w:t>
      </w:r>
    </w:p>
    <w:p w14:paraId="0143AC9C">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中小企业声明函</w:t>
      </w:r>
    </w:p>
    <w:p w14:paraId="480B4C9F">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eastAsia="宋体"/>
          <w:color w:val="000000"/>
          <w:sz w:val="24"/>
          <w:szCs w:val="24"/>
          <w:highlight w:val="none"/>
          <w:lang w:val="en-US" w:eastAsia="zh-CN"/>
        </w:rPr>
        <w:t>12</w:t>
      </w:r>
      <w:r>
        <w:rPr>
          <w:rFonts w:hint="eastAsia" w:ascii="宋体" w:hAnsi="宋体"/>
          <w:color w:val="000000"/>
          <w:sz w:val="24"/>
          <w:szCs w:val="24"/>
          <w:highlight w:val="none"/>
        </w:rPr>
        <w:t>）磋商保证金缴纳凭证</w:t>
      </w:r>
    </w:p>
    <w:p w14:paraId="5104F63C">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13</w:t>
      </w:r>
      <w:r>
        <w:rPr>
          <w:rFonts w:hint="eastAsia" w:ascii="宋体" w:hAnsi="宋体"/>
          <w:color w:val="000000"/>
          <w:sz w:val="24"/>
          <w:szCs w:val="24"/>
          <w:highlight w:val="none"/>
          <w:lang w:eastAsia="zh-CN"/>
        </w:rPr>
        <w:t>）</w:t>
      </w:r>
      <w:r>
        <w:rPr>
          <w:rFonts w:hint="eastAsia" w:ascii="宋体" w:hAnsi="宋体" w:eastAsia="宋体" w:cs="宋体"/>
          <w:sz w:val="24"/>
          <w:szCs w:val="24"/>
          <w:lang w:val="en-US" w:eastAsia="zh-CN"/>
        </w:rPr>
        <w:t>供应商须具备工程设计【建筑行业（建筑工程）专业】乙级(含)以上资质</w:t>
      </w:r>
      <w:r>
        <w:rPr>
          <w:rFonts w:ascii="宋体" w:hAnsi="宋体" w:eastAsia="宋体" w:cs="宋体"/>
          <w:sz w:val="24"/>
          <w:szCs w:val="24"/>
        </w:rPr>
        <w:t>；</w:t>
      </w:r>
      <w:r>
        <w:rPr>
          <w:rFonts w:hint="eastAsia" w:ascii="宋体" w:hAnsi="宋体" w:eastAsia="宋体" w:cs="宋体"/>
          <w:sz w:val="24"/>
          <w:szCs w:val="24"/>
        </w:rPr>
        <w:t>项目负责人具备</w:t>
      </w:r>
      <w:r>
        <w:rPr>
          <w:rFonts w:hint="eastAsia" w:ascii="宋体" w:hAnsi="宋体" w:eastAsia="宋体" w:cs="宋体"/>
          <w:sz w:val="24"/>
          <w:szCs w:val="24"/>
          <w:lang w:val="en-US" w:eastAsia="zh-CN"/>
        </w:rPr>
        <w:t>一</w:t>
      </w:r>
      <w:r>
        <w:rPr>
          <w:rFonts w:hint="eastAsia" w:ascii="宋体" w:hAnsi="宋体" w:eastAsia="宋体" w:cs="宋体"/>
          <w:sz w:val="24"/>
          <w:szCs w:val="24"/>
        </w:rPr>
        <w:t>级注册建筑工程师或相关专业</w:t>
      </w:r>
      <w:r>
        <w:rPr>
          <w:rFonts w:hint="eastAsia" w:ascii="宋体" w:hAnsi="宋体" w:eastAsia="宋体" w:cs="宋体"/>
          <w:sz w:val="24"/>
          <w:szCs w:val="24"/>
          <w:lang w:val="en-US" w:eastAsia="zh-CN"/>
        </w:rPr>
        <w:t>高</w:t>
      </w:r>
      <w:r>
        <w:rPr>
          <w:rFonts w:hint="eastAsia" w:ascii="宋体" w:hAnsi="宋体" w:eastAsia="宋体" w:cs="宋体"/>
          <w:sz w:val="24"/>
          <w:szCs w:val="24"/>
        </w:rPr>
        <w:t>级（含）以上职称</w:t>
      </w:r>
      <w:r>
        <w:rPr>
          <w:rFonts w:ascii="宋体" w:hAnsi="宋体" w:eastAsia="宋体" w:cs="宋体"/>
          <w:sz w:val="24"/>
          <w:szCs w:val="24"/>
        </w:rPr>
        <w:t>；</w:t>
      </w:r>
    </w:p>
    <w:p w14:paraId="4D71A69A">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color w:val="000000"/>
          <w:sz w:val="24"/>
          <w:szCs w:val="24"/>
          <w:highlight w:val="none"/>
        </w:rPr>
        <w:t>（</w:t>
      </w:r>
      <w:r>
        <w:rPr>
          <w:rFonts w:hint="eastAsia" w:ascii="宋体" w:hAnsi="宋体" w:eastAsia="宋体" w:cs="宋体"/>
          <w:sz w:val="24"/>
          <w:szCs w:val="24"/>
          <w:lang w:val="en-US" w:eastAsia="zh-CN"/>
        </w:rPr>
        <w:t>14）</w:t>
      </w:r>
      <w:r>
        <w:rPr>
          <w:rFonts w:hint="eastAsia" w:ascii="宋体" w:hAnsi="宋体"/>
          <w:color w:val="000000"/>
          <w:sz w:val="24"/>
          <w:szCs w:val="24"/>
          <w:highlight w:val="none"/>
          <w:lang w:eastAsia="zh-CN"/>
        </w:rPr>
        <w:t>供应商须知</w:t>
      </w:r>
      <w:r>
        <w:rPr>
          <w:rFonts w:hint="eastAsia" w:ascii="宋体" w:hAnsi="宋体"/>
          <w:color w:val="000000"/>
          <w:sz w:val="24"/>
          <w:szCs w:val="24"/>
          <w:highlight w:val="none"/>
          <w:lang w:val="en-US" w:eastAsia="zh-CN"/>
        </w:rPr>
        <w:t>前附表</w:t>
      </w:r>
      <w:r>
        <w:rPr>
          <w:rFonts w:hint="eastAsia" w:ascii="宋体" w:hAnsi="宋体"/>
          <w:color w:val="000000"/>
          <w:sz w:val="24"/>
          <w:szCs w:val="24"/>
          <w:highlight w:val="none"/>
          <w:lang w:eastAsia="zh-CN"/>
        </w:rPr>
        <w:t>要求的其他资格证明文件</w:t>
      </w:r>
    </w:p>
    <w:p w14:paraId="26D2686A">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4" w:firstLineChars="235"/>
        <w:textAlignment w:val="auto"/>
        <w:rPr>
          <w:rFonts w:hint="eastAsia" w:ascii="宋体" w:hAnsi="宋体" w:cs="宋体"/>
          <w:color w:val="auto"/>
          <w:sz w:val="32"/>
          <w:szCs w:val="24"/>
          <w:highlight w:val="none"/>
          <w:lang w:eastAsia="zh-CN"/>
        </w:rPr>
      </w:pPr>
      <w:r>
        <w:rPr>
          <w:rFonts w:hint="eastAsia" w:ascii="宋体" w:hAnsi="宋体"/>
          <w:color w:val="000000"/>
          <w:sz w:val="24"/>
          <w:szCs w:val="24"/>
          <w:highlight w:val="none"/>
        </w:rPr>
        <w:t>注；若为零申报企业，需提供国家税务总局电子税务局“申报结果查询截图”，税务局代收的社保缴费证明不可作为本项目的完税证明（“税种”不可为养老保险、医疗保险、失业保险、工伤保险和生育保险）</w:t>
      </w:r>
    </w:p>
    <w:p w14:paraId="04FDB457">
      <w:pPr>
        <w:rPr>
          <w:rFonts w:hint="eastAsia" w:eastAsia="宋体"/>
          <w:lang w:eastAsia="zh-CN"/>
        </w:rPr>
      </w:pPr>
      <w:bookmarkStart w:id="41" w:name="_Toc14309"/>
      <w:bookmarkStart w:id="42" w:name="_Toc30524"/>
      <w:bookmarkStart w:id="43" w:name="_Toc13350"/>
      <w:bookmarkStart w:id="44" w:name="_Toc16568"/>
      <w:bookmarkStart w:id="45" w:name="_Toc515647804"/>
    </w:p>
    <w:p w14:paraId="55200639">
      <w:pPr>
        <w:pStyle w:val="7"/>
        <w:spacing w:before="0" w:line="240" w:lineRule="atLeast"/>
        <w:jc w:val="both"/>
        <w:outlineLvl w:val="3"/>
        <w:rPr>
          <w:rFonts w:hint="eastAsia" w:ascii="宋体" w:hAnsi="宋体" w:eastAsia="宋体" w:cs="宋体"/>
          <w:color w:val="000000"/>
          <w:sz w:val="24"/>
          <w:highlight w:val="none"/>
          <w:u w:val="none"/>
        </w:rPr>
      </w:pPr>
    </w:p>
    <w:p w14:paraId="2E90EDD4">
      <w:pPr>
        <w:pStyle w:val="7"/>
        <w:spacing w:before="0" w:line="240" w:lineRule="atLeast"/>
        <w:jc w:val="both"/>
        <w:outlineLvl w:val="3"/>
        <w:rPr>
          <w:rFonts w:hint="eastAsia" w:ascii="宋体" w:hAnsi="宋体" w:eastAsia="宋体" w:cs="宋体"/>
          <w:color w:val="000000"/>
          <w:sz w:val="24"/>
          <w:highlight w:val="none"/>
          <w:u w:val="none"/>
        </w:rPr>
      </w:pPr>
    </w:p>
    <w:p w14:paraId="27A2627D">
      <w:pPr>
        <w:pStyle w:val="7"/>
        <w:spacing w:before="0" w:line="240" w:lineRule="atLeast"/>
        <w:jc w:val="both"/>
        <w:outlineLvl w:val="3"/>
        <w:rPr>
          <w:rFonts w:hint="eastAsia" w:ascii="宋体" w:hAnsi="宋体" w:eastAsia="宋体" w:cs="宋体"/>
          <w:color w:val="000000"/>
          <w:sz w:val="24"/>
          <w:highlight w:val="none"/>
          <w:u w:val="none"/>
        </w:rPr>
      </w:pPr>
    </w:p>
    <w:p w14:paraId="753CC618">
      <w:pPr>
        <w:pStyle w:val="7"/>
        <w:spacing w:before="0" w:line="240" w:lineRule="atLeast"/>
        <w:jc w:val="both"/>
        <w:outlineLvl w:val="3"/>
        <w:rPr>
          <w:rFonts w:hint="eastAsia" w:ascii="宋体" w:hAnsi="宋体" w:eastAsia="宋体" w:cs="宋体"/>
          <w:color w:val="000000"/>
          <w:sz w:val="24"/>
          <w:highlight w:val="none"/>
          <w:u w:val="none"/>
        </w:rPr>
      </w:pPr>
    </w:p>
    <w:p w14:paraId="3B20A954">
      <w:pPr>
        <w:pStyle w:val="7"/>
        <w:spacing w:before="0" w:line="240" w:lineRule="atLeast"/>
        <w:jc w:val="both"/>
        <w:outlineLvl w:val="3"/>
        <w:rPr>
          <w:rFonts w:hint="eastAsia" w:ascii="宋体" w:hAnsi="宋体" w:eastAsia="宋体" w:cs="宋体"/>
          <w:color w:val="000000"/>
          <w:sz w:val="24"/>
          <w:highlight w:val="none"/>
          <w:u w:val="none"/>
        </w:rPr>
      </w:pPr>
    </w:p>
    <w:p w14:paraId="0AADCBC5">
      <w:pPr>
        <w:pStyle w:val="7"/>
        <w:spacing w:before="0" w:line="240" w:lineRule="atLeast"/>
        <w:jc w:val="both"/>
        <w:outlineLvl w:val="3"/>
        <w:rPr>
          <w:rFonts w:hint="eastAsia" w:ascii="宋体" w:hAnsi="宋体" w:eastAsia="宋体" w:cs="宋体"/>
          <w:color w:val="000000"/>
          <w:sz w:val="24"/>
          <w:highlight w:val="none"/>
          <w:u w:val="none"/>
        </w:rPr>
      </w:pPr>
    </w:p>
    <w:p w14:paraId="099DF525">
      <w:pPr>
        <w:pStyle w:val="7"/>
        <w:spacing w:before="0" w:line="240" w:lineRule="atLeast"/>
        <w:jc w:val="both"/>
        <w:outlineLvl w:val="3"/>
        <w:rPr>
          <w:rFonts w:hint="eastAsia" w:ascii="宋体" w:hAnsi="宋体" w:eastAsia="宋体" w:cs="宋体"/>
          <w:color w:val="000000"/>
          <w:sz w:val="24"/>
          <w:highlight w:val="none"/>
          <w:u w:val="none"/>
        </w:rPr>
      </w:pPr>
    </w:p>
    <w:p w14:paraId="0AF291A4">
      <w:pPr>
        <w:pStyle w:val="7"/>
        <w:spacing w:before="0" w:line="240" w:lineRule="atLeast"/>
        <w:jc w:val="both"/>
        <w:outlineLvl w:val="3"/>
        <w:rPr>
          <w:rFonts w:hint="eastAsia" w:ascii="宋体" w:hAnsi="宋体" w:eastAsia="宋体" w:cs="宋体"/>
          <w:color w:val="000000"/>
          <w:sz w:val="24"/>
          <w:highlight w:val="none"/>
          <w:u w:val="none"/>
        </w:rPr>
      </w:pPr>
    </w:p>
    <w:p w14:paraId="7D1003DD">
      <w:pPr>
        <w:pStyle w:val="7"/>
        <w:spacing w:before="0" w:line="240" w:lineRule="atLeast"/>
        <w:jc w:val="both"/>
        <w:outlineLvl w:val="3"/>
        <w:rPr>
          <w:rFonts w:hint="eastAsia" w:ascii="宋体" w:hAnsi="宋体" w:eastAsia="宋体" w:cs="宋体"/>
          <w:color w:val="000000"/>
          <w:sz w:val="24"/>
          <w:highlight w:val="none"/>
          <w:u w:val="none"/>
        </w:rPr>
      </w:pPr>
    </w:p>
    <w:p w14:paraId="7953E70D">
      <w:pPr>
        <w:pStyle w:val="7"/>
        <w:spacing w:before="0" w:line="240" w:lineRule="atLeast"/>
        <w:jc w:val="both"/>
        <w:outlineLvl w:val="3"/>
        <w:rPr>
          <w:rFonts w:hint="eastAsia" w:ascii="宋体" w:hAnsi="宋体" w:eastAsia="宋体" w:cs="宋体"/>
          <w:color w:val="000000"/>
          <w:sz w:val="24"/>
          <w:highlight w:val="none"/>
          <w:u w:val="none"/>
        </w:rPr>
      </w:pPr>
    </w:p>
    <w:p w14:paraId="150EFA26">
      <w:pPr>
        <w:pStyle w:val="7"/>
        <w:spacing w:before="0" w:line="240" w:lineRule="atLeast"/>
        <w:jc w:val="both"/>
        <w:outlineLvl w:val="3"/>
        <w:rPr>
          <w:rFonts w:hint="eastAsia" w:ascii="宋体" w:hAnsi="宋体" w:eastAsia="宋体" w:cs="宋体"/>
          <w:color w:val="000000"/>
          <w:sz w:val="24"/>
          <w:highlight w:val="none"/>
          <w:u w:val="none"/>
        </w:rPr>
      </w:pPr>
    </w:p>
    <w:p w14:paraId="212640C5">
      <w:pPr>
        <w:pStyle w:val="7"/>
        <w:spacing w:before="0" w:line="240" w:lineRule="atLeast"/>
        <w:jc w:val="both"/>
        <w:outlineLvl w:val="3"/>
        <w:rPr>
          <w:rFonts w:hint="eastAsia" w:ascii="宋体" w:hAnsi="宋体" w:eastAsia="宋体" w:cs="宋体"/>
          <w:color w:val="000000"/>
          <w:sz w:val="24"/>
          <w:highlight w:val="none"/>
          <w:u w:val="none"/>
        </w:rPr>
      </w:pPr>
    </w:p>
    <w:p w14:paraId="1BA16464">
      <w:pPr>
        <w:pStyle w:val="7"/>
        <w:spacing w:before="0" w:line="240" w:lineRule="atLeast"/>
        <w:jc w:val="both"/>
        <w:outlineLvl w:val="3"/>
        <w:rPr>
          <w:rFonts w:hint="eastAsia" w:ascii="宋体" w:hAnsi="宋体" w:eastAsia="宋体" w:cs="宋体"/>
          <w:color w:val="000000"/>
          <w:sz w:val="24"/>
          <w:highlight w:val="none"/>
          <w:u w:val="none"/>
        </w:rPr>
      </w:pPr>
    </w:p>
    <w:p w14:paraId="30B9DDB5">
      <w:pPr>
        <w:pStyle w:val="7"/>
        <w:spacing w:before="0" w:line="240" w:lineRule="atLeast"/>
        <w:jc w:val="both"/>
        <w:outlineLvl w:val="3"/>
        <w:rPr>
          <w:rFonts w:hint="eastAsia" w:ascii="宋体" w:hAnsi="宋体" w:eastAsia="宋体" w:cs="宋体"/>
          <w:color w:val="000000"/>
          <w:sz w:val="24"/>
          <w:highlight w:val="none"/>
          <w:u w:val="none"/>
        </w:rPr>
      </w:pPr>
    </w:p>
    <w:p w14:paraId="55F95D53">
      <w:pPr>
        <w:pStyle w:val="7"/>
        <w:spacing w:before="0" w:line="240" w:lineRule="atLeast"/>
        <w:jc w:val="both"/>
        <w:outlineLvl w:val="3"/>
        <w:rPr>
          <w:rFonts w:hint="eastAsia" w:ascii="宋体" w:hAnsi="宋体" w:eastAsia="宋体" w:cs="宋体"/>
          <w:color w:val="000000"/>
          <w:sz w:val="24"/>
          <w:highlight w:val="none"/>
          <w:u w:val="none"/>
        </w:rPr>
      </w:pPr>
    </w:p>
    <w:p w14:paraId="33AD5DAE">
      <w:pPr>
        <w:pStyle w:val="7"/>
        <w:spacing w:before="0" w:line="240" w:lineRule="atLeast"/>
        <w:jc w:val="both"/>
        <w:outlineLvl w:val="3"/>
        <w:rPr>
          <w:rFonts w:hint="eastAsia" w:ascii="宋体" w:hAnsi="宋体" w:eastAsia="宋体" w:cs="宋体"/>
          <w:color w:val="000000"/>
          <w:sz w:val="24"/>
          <w:highlight w:val="none"/>
          <w:u w:val="none"/>
        </w:rPr>
      </w:pPr>
    </w:p>
    <w:p w14:paraId="4DE3C282">
      <w:pPr>
        <w:pStyle w:val="7"/>
        <w:spacing w:before="0" w:line="240" w:lineRule="atLeast"/>
        <w:jc w:val="both"/>
        <w:outlineLvl w:val="3"/>
        <w:rPr>
          <w:rFonts w:hint="eastAsia" w:ascii="宋体" w:hAnsi="宋体" w:eastAsia="宋体" w:cs="宋体"/>
          <w:color w:val="000000"/>
          <w:sz w:val="24"/>
          <w:highlight w:val="none"/>
          <w:u w:val="none"/>
        </w:rPr>
      </w:pPr>
    </w:p>
    <w:p w14:paraId="71A1317F">
      <w:pPr>
        <w:pStyle w:val="7"/>
        <w:spacing w:before="0" w:line="240" w:lineRule="atLeast"/>
        <w:jc w:val="both"/>
        <w:outlineLvl w:val="3"/>
        <w:rPr>
          <w:rFonts w:hint="eastAsia" w:ascii="宋体" w:hAnsi="宋体" w:eastAsia="宋体" w:cs="宋体"/>
          <w:color w:val="000000"/>
          <w:sz w:val="24"/>
          <w:highlight w:val="none"/>
          <w:u w:val="none"/>
        </w:rPr>
      </w:pPr>
    </w:p>
    <w:p w14:paraId="7993DDC8">
      <w:pPr>
        <w:pStyle w:val="7"/>
        <w:spacing w:before="0" w:line="240" w:lineRule="atLeast"/>
        <w:jc w:val="both"/>
        <w:outlineLvl w:val="3"/>
        <w:rPr>
          <w:rFonts w:hint="eastAsia" w:ascii="宋体" w:hAnsi="宋体" w:eastAsia="宋体" w:cs="宋体"/>
          <w:color w:val="000000"/>
          <w:sz w:val="24"/>
          <w:highlight w:val="none"/>
          <w:u w:val="none"/>
        </w:rPr>
      </w:pPr>
    </w:p>
    <w:p w14:paraId="26B112ED">
      <w:pPr>
        <w:pStyle w:val="7"/>
        <w:spacing w:before="0" w:line="240" w:lineRule="atLeast"/>
        <w:jc w:val="both"/>
        <w:outlineLvl w:val="3"/>
        <w:rPr>
          <w:rFonts w:hint="eastAsia" w:ascii="宋体" w:hAnsi="宋体" w:eastAsia="宋体" w:cs="宋体"/>
          <w:color w:val="000000"/>
          <w:sz w:val="24"/>
          <w:highlight w:val="none"/>
          <w:u w:val="none"/>
        </w:rPr>
      </w:pPr>
    </w:p>
    <w:p w14:paraId="148631B0">
      <w:pPr>
        <w:pStyle w:val="7"/>
        <w:spacing w:before="0" w:line="240" w:lineRule="atLeast"/>
        <w:jc w:val="both"/>
        <w:outlineLvl w:val="3"/>
        <w:rPr>
          <w:rFonts w:hint="eastAsia" w:ascii="宋体" w:hAnsi="宋体" w:eastAsia="宋体" w:cs="宋体"/>
          <w:color w:val="000000"/>
          <w:sz w:val="24"/>
          <w:highlight w:val="none"/>
          <w:u w:val="none"/>
        </w:rPr>
      </w:pPr>
    </w:p>
    <w:p w14:paraId="3044666A">
      <w:pPr>
        <w:pStyle w:val="7"/>
        <w:spacing w:before="0" w:line="240" w:lineRule="atLeast"/>
        <w:jc w:val="both"/>
        <w:outlineLvl w:val="3"/>
        <w:rPr>
          <w:rFonts w:hint="eastAsia" w:ascii="宋体" w:hAnsi="宋体" w:eastAsia="宋体" w:cs="宋体"/>
          <w:color w:val="000000"/>
          <w:sz w:val="24"/>
          <w:highlight w:val="none"/>
          <w:u w:val="none"/>
        </w:rPr>
      </w:pPr>
    </w:p>
    <w:p w14:paraId="6D3B64A6">
      <w:pPr>
        <w:pStyle w:val="7"/>
        <w:spacing w:before="0" w:line="240" w:lineRule="atLeast"/>
        <w:jc w:val="both"/>
        <w:outlineLvl w:val="3"/>
        <w:rPr>
          <w:rFonts w:hint="eastAsia" w:ascii="宋体" w:hAnsi="宋体" w:eastAsia="宋体" w:cs="宋体"/>
          <w:color w:val="000000"/>
          <w:sz w:val="24"/>
          <w:highlight w:val="none"/>
          <w:u w:val="none"/>
        </w:rPr>
      </w:pPr>
    </w:p>
    <w:p w14:paraId="17CCAADA">
      <w:pPr>
        <w:pStyle w:val="7"/>
        <w:spacing w:before="0" w:line="240" w:lineRule="atLeast"/>
        <w:jc w:val="both"/>
        <w:outlineLvl w:val="3"/>
        <w:rPr>
          <w:rFonts w:hint="eastAsia" w:ascii="宋体" w:hAnsi="宋体" w:eastAsia="宋体" w:cs="宋体"/>
          <w:color w:val="000000"/>
          <w:sz w:val="24"/>
          <w:highlight w:val="none"/>
          <w:u w:val="none"/>
        </w:rPr>
      </w:pPr>
    </w:p>
    <w:p w14:paraId="4B7F4C38">
      <w:pPr>
        <w:pStyle w:val="7"/>
        <w:spacing w:before="0" w:line="240" w:lineRule="atLeast"/>
        <w:jc w:val="both"/>
        <w:outlineLvl w:val="3"/>
        <w:rPr>
          <w:rFonts w:hint="eastAsia" w:ascii="宋体" w:hAnsi="宋体" w:eastAsia="宋体" w:cs="宋体"/>
          <w:color w:val="000000"/>
          <w:sz w:val="24"/>
          <w:highlight w:val="none"/>
          <w:u w:val="none"/>
        </w:rPr>
      </w:pPr>
    </w:p>
    <w:p w14:paraId="4C017483">
      <w:pPr>
        <w:pStyle w:val="7"/>
        <w:spacing w:before="0" w:line="240" w:lineRule="atLeast"/>
        <w:jc w:val="both"/>
        <w:outlineLvl w:val="3"/>
        <w:rPr>
          <w:rFonts w:hint="eastAsia" w:ascii="宋体" w:hAnsi="宋体" w:eastAsia="宋体" w:cs="宋体"/>
          <w:color w:val="000000"/>
          <w:sz w:val="24"/>
          <w:highlight w:val="none"/>
          <w:u w:val="none"/>
        </w:rPr>
      </w:pPr>
    </w:p>
    <w:p w14:paraId="7F5DF08A">
      <w:pPr>
        <w:pStyle w:val="7"/>
        <w:spacing w:before="0" w:line="240" w:lineRule="atLeast"/>
        <w:jc w:val="both"/>
        <w:outlineLvl w:val="3"/>
        <w:rPr>
          <w:rFonts w:hint="eastAsia" w:ascii="宋体" w:hAnsi="宋体" w:eastAsia="宋体" w:cs="宋体"/>
          <w:color w:val="000000"/>
          <w:sz w:val="24"/>
          <w:highlight w:val="none"/>
          <w:u w:val="none"/>
        </w:rPr>
      </w:pPr>
    </w:p>
    <w:p w14:paraId="2E7B0FB0">
      <w:pPr>
        <w:pStyle w:val="7"/>
        <w:spacing w:before="0" w:line="240" w:lineRule="atLeast"/>
        <w:jc w:val="both"/>
        <w:outlineLvl w:val="3"/>
        <w:rPr>
          <w:rFonts w:hint="eastAsia" w:ascii="宋体" w:hAnsi="宋体" w:eastAsia="宋体" w:cs="宋体"/>
          <w:color w:val="000000"/>
          <w:sz w:val="24"/>
          <w:highlight w:val="none"/>
          <w:u w:val="none"/>
        </w:rPr>
      </w:pPr>
    </w:p>
    <w:p w14:paraId="3AB02231">
      <w:pPr>
        <w:pStyle w:val="7"/>
        <w:spacing w:before="0" w:line="240" w:lineRule="atLeast"/>
        <w:jc w:val="both"/>
        <w:outlineLvl w:val="3"/>
        <w:rPr>
          <w:rFonts w:hint="eastAsia" w:ascii="宋体" w:hAnsi="宋体" w:eastAsia="宋体" w:cs="宋体"/>
          <w:color w:val="000000"/>
          <w:sz w:val="24"/>
          <w:highlight w:val="none"/>
          <w:u w:val="none"/>
        </w:rPr>
      </w:pPr>
    </w:p>
    <w:p w14:paraId="7E7A0854">
      <w:pPr>
        <w:pStyle w:val="7"/>
        <w:spacing w:before="0" w:line="240" w:lineRule="atLeast"/>
        <w:jc w:val="both"/>
        <w:outlineLvl w:val="3"/>
        <w:rPr>
          <w:rFonts w:hint="eastAsia" w:ascii="宋体" w:hAnsi="宋体" w:eastAsia="宋体" w:cs="宋体"/>
          <w:color w:val="000000"/>
          <w:sz w:val="24"/>
          <w:highlight w:val="none"/>
          <w:u w:val="none"/>
        </w:rPr>
      </w:pPr>
    </w:p>
    <w:p w14:paraId="7D259148">
      <w:pPr>
        <w:pStyle w:val="7"/>
        <w:spacing w:before="0" w:line="240" w:lineRule="atLeast"/>
        <w:jc w:val="both"/>
        <w:outlineLvl w:val="3"/>
        <w:rPr>
          <w:rFonts w:hint="eastAsia" w:ascii="宋体" w:hAnsi="宋体" w:eastAsia="宋体" w:cs="宋体"/>
          <w:color w:val="000000"/>
          <w:sz w:val="24"/>
          <w:highlight w:val="none"/>
          <w:u w:val="none"/>
        </w:rPr>
      </w:pPr>
    </w:p>
    <w:p w14:paraId="18AAC1F9">
      <w:pPr>
        <w:pStyle w:val="7"/>
        <w:spacing w:before="0" w:line="240" w:lineRule="atLeast"/>
        <w:jc w:val="both"/>
        <w:outlineLvl w:val="3"/>
        <w:rPr>
          <w:rFonts w:hint="eastAsia" w:ascii="宋体" w:hAnsi="宋体" w:eastAsia="宋体" w:cs="宋体"/>
          <w:color w:val="000000"/>
          <w:sz w:val="24"/>
          <w:highlight w:val="none"/>
          <w:u w:val="none"/>
        </w:rPr>
      </w:pPr>
    </w:p>
    <w:p w14:paraId="7DB37A85">
      <w:pPr>
        <w:pStyle w:val="7"/>
        <w:spacing w:before="0" w:line="240" w:lineRule="atLeast"/>
        <w:jc w:val="both"/>
        <w:outlineLvl w:val="3"/>
        <w:rPr>
          <w:rFonts w:hint="eastAsia" w:ascii="宋体" w:hAnsi="宋体" w:eastAsia="宋体" w:cs="宋体"/>
          <w:color w:val="000000"/>
          <w:sz w:val="24"/>
          <w:highlight w:val="none"/>
          <w:u w:val="none"/>
        </w:rPr>
      </w:pPr>
    </w:p>
    <w:p w14:paraId="7059820A">
      <w:pPr>
        <w:pStyle w:val="7"/>
        <w:spacing w:before="0" w:line="240" w:lineRule="atLeast"/>
        <w:jc w:val="both"/>
        <w:outlineLvl w:val="3"/>
        <w:rPr>
          <w:rFonts w:hint="eastAsia" w:ascii="宋体" w:hAnsi="宋体" w:eastAsia="宋体" w:cs="宋体"/>
          <w:color w:val="000000"/>
          <w:sz w:val="24"/>
          <w:highlight w:val="none"/>
          <w:u w:val="none"/>
        </w:rPr>
      </w:pPr>
    </w:p>
    <w:p w14:paraId="200603E2">
      <w:pPr>
        <w:pStyle w:val="7"/>
        <w:spacing w:before="0" w:line="240" w:lineRule="atLeast"/>
        <w:jc w:val="both"/>
        <w:outlineLvl w:val="3"/>
        <w:rPr>
          <w:rFonts w:hint="eastAsia" w:ascii="宋体" w:hAnsi="宋体" w:eastAsia="宋体" w:cs="宋体"/>
          <w:color w:val="000000"/>
          <w:sz w:val="24"/>
          <w:highlight w:val="none"/>
          <w:u w:val="none"/>
        </w:rPr>
      </w:pPr>
    </w:p>
    <w:p w14:paraId="2138345B">
      <w:pPr>
        <w:pStyle w:val="7"/>
        <w:spacing w:before="0" w:line="240" w:lineRule="atLeast"/>
        <w:jc w:val="both"/>
        <w:outlineLvl w:val="3"/>
        <w:rPr>
          <w:rFonts w:hint="eastAsia" w:ascii="宋体" w:hAnsi="宋体" w:eastAsia="宋体" w:cs="宋体"/>
          <w:color w:val="000000"/>
          <w:sz w:val="24"/>
          <w:highlight w:val="none"/>
          <w:u w:val="none"/>
        </w:rPr>
      </w:pPr>
    </w:p>
    <w:p w14:paraId="5B393D25">
      <w:pPr>
        <w:pStyle w:val="7"/>
        <w:spacing w:before="0" w:line="240" w:lineRule="atLeast"/>
        <w:jc w:val="both"/>
        <w:outlineLvl w:val="3"/>
        <w:rPr>
          <w:rFonts w:hint="eastAsia" w:ascii="宋体" w:hAnsi="宋体" w:eastAsia="宋体" w:cs="宋体"/>
          <w:color w:val="000000"/>
          <w:sz w:val="24"/>
          <w:highlight w:val="none"/>
          <w:u w:val="none"/>
        </w:rPr>
      </w:pPr>
    </w:p>
    <w:p w14:paraId="1E316A2A">
      <w:pPr>
        <w:pStyle w:val="7"/>
        <w:spacing w:before="0" w:line="240" w:lineRule="atLeast"/>
        <w:jc w:val="both"/>
        <w:outlineLvl w:val="3"/>
        <w:rPr>
          <w:rFonts w:hint="eastAsia" w:ascii="宋体" w:hAnsi="宋体" w:eastAsia="宋体" w:cs="宋体"/>
          <w:color w:val="000000"/>
          <w:sz w:val="24"/>
          <w:highlight w:val="none"/>
          <w:u w:val="none"/>
        </w:rPr>
      </w:pPr>
    </w:p>
    <w:p w14:paraId="4A603807">
      <w:pPr>
        <w:pStyle w:val="7"/>
        <w:spacing w:before="0" w:line="240" w:lineRule="atLeast"/>
        <w:jc w:val="both"/>
        <w:outlineLvl w:val="3"/>
        <w:rPr>
          <w:rFonts w:hint="eastAsia" w:ascii="宋体" w:hAnsi="宋体" w:eastAsia="宋体" w:cs="宋体"/>
          <w:color w:val="000000"/>
          <w:sz w:val="24"/>
          <w:highlight w:val="none"/>
          <w:u w:val="none"/>
        </w:rPr>
      </w:pPr>
    </w:p>
    <w:p w14:paraId="38B5917D">
      <w:pPr>
        <w:pStyle w:val="7"/>
        <w:spacing w:before="0" w:line="240" w:lineRule="atLeast"/>
        <w:jc w:val="both"/>
        <w:outlineLvl w:val="3"/>
        <w:rPr>
          <w:rFonts w:hint="eastAsia" w:ascii="宋体" w:hAnsi="宋体" w:eastAsia="宋体" w:cs="宋体"/>
          <w:color w:val="000000"/>
          <w:sz w:val="24"/>
          <w:highlight w:val="none"/>
          <w:u w:val="none"/>
        </w:rPr>
      </w:pPr>
    </w:p>
    <w:p w14:paraId="51060A5A">
      <w:pPr>
        <w:pStyle w:val="7"/>
        <w:spacing w:before="0" w:line="240" w:lineRule="atLeast"/>
        <w:jc w:val="both"/>
        <w:outlineLvl w:val="3"/>
        <w:rPr>
          <w:rFonts w:hint="eastAsia" w:ascii="宋体" w:hAnsi="宋体" w:eastAsia="宋体" w:cs="宋体"/>
          <w:color w:val="000000"/>
          <w:sz w:val="24"/>
          <w:highlight w:val="none"/>
          <w:u w:val="none"/>
        </w:rPr>
      </w:pPr>
    </w:p>
    <w:p w14:paraId="56BE96EE">
      <w:pPr>
        <w:pStyle w:val="7"/>
        <w:spacing w:before="0" w:line="240" w:lineRule="atLeast"/>
        <w:jc w:val="both"/>
        <w:outlineLvl w:val="3"/>
        <w:rPr>
          <w:rFonts w:hint="eastAsia" w:ascii="宋体" w:hAnsi="宋体" w:eastAsia="宋体" w:cs="宋体"/>
          <w:color w:val="000000"/>
          <w:sz w:val="28"/>
          <w:szCs w:val="36"/>
          <w:highlight w:val="none"/>
          <w:u w:val="none"/>
        </w:rPr>
      </w:pPr>
      <w:r>
        <w:rPr>
          <w:rFonts w:hint="eastAsia" w:ascii="宋体" w:hAnsi="宋体" w:eastAsia="宋体" w:cs="宋体"/>
          <w:color w:val="000000"/>
          <w:sz w:val="28"/>
          <w:szCs w:val="36"/>
          <w:highlight w:val="none"/>
          <w:u w:val="none"/>
        </w:rPr>
        <w:t>1</w:t>
      </w:r>
      <w:r>
        <w:rPr>
          <w:rFonts w:hint="eastAsia" w:ascii="宋体" w:hAnsi="宋体" w:eastAsia="宋体" w:cs="宋体"/>
          <w:color w:val="000000"/>
          <w:sz w:val="28"/>
          <w:szCs w:val="36"/>
          <w:highlight w:val="none"/>
          <w:u w:val="none"/>
          <w:lang w:eastAsia="zh-CN"/>
        </w:rPr>
        <w:t>、</w:t>
      </w:r>
      <w:bookmarkEnd w:id="41"/>
      <w:bookmarkEnd w:id="42"/>
      <w:bookmarkEnd w:id="43"/>
      <w:bookmarkEnd w:id="44"/>
      <w:bookmarkEnd w:id="45"/>
      <w:r>
        <w:rPr>
          <w:rFonts w:hint="eastAsia" w:ascii="宋体" w:hAnsi="宋体" w:eastAsia="宋体" w:cs="宋体"/>
          <w:color w:val="000000"/>
          <w:sz w:val="28"/>
          <w:szCs w:val="36"/>
          <w:highlight w:val="none"/>
          <w:u w:val="none"/>
          <w:lang w:eastAsia="zh-CN"/>
        </w:rPr>
        <w:t>报价一览表</w:t>
      </w:r>
    </w:p>
    <w:p w14:paraId="71E0ABC2">
      <w:pPr>
        <w:pStyle w:val="17"/>
        <w:tabs>
          <w:tab w:val="left" w:pos="5580"/>
        </w:tabs>
        <w:spacing w:line="240" w:lineRule="atLeast"/>
        <w:rPr>
          <w:rFonts w:hint="eastAsia" w:hAnsi="宋体" w:cs="宋体"/>
          <w:color w:val="000000"/>
          <w:sz w:val="24"/>
          <w:szCs w:val="24"/>
          <w:highlight w:val="none"/>
        </w:rPr>
      </w:pPr>
    </w:p>
    <w:tbl>
      <w:tblPr>
        <w:tblStyle w:val="30"/>
        <w:tblpPr w:leftFromText="180" w:rightFromText="180" w:vertAnchor="text" w:horzAnchor="page" w:tblpX="696" w:tblpY="2129"/>
        <w:tblOverlap w:val="never"/>
        <w:tblW w:w="9933" w:type="dxa"/>
        <w:tblInd w:w="0" w:type="dxa"/>
        <w:tblLayout w:type="fixed"/>
        <w:tblCellMar>
          <w:top w:w="0" w:type="dxa"/>
          <w:left w:w="0" w:type="dxa"/>
          <w:bottom w:w="0" w:type="dxa"/>
          <w:right w:w="0" w:type="dxa"/>
        </w:tblCellMar>
      </w:tblPr>
      <w:tblGrid>
        <w:gridCol w:w="1637"/>
        <w:gridCol w:w="1952"/>
        <w:gridCol w:w="1953"/>
        <w:gridCol w:w="1491"/>
        <w:gridCol w:w="1756"/>
        <w:gridCol w:w="1144"/>
      </w:tblGrid>
      <w:tr w14:paraId="39FB9DA4">
        <w:tblPrEx>
          <w:tblCellMar>
            <w:top w:w="0" w:type="dxa"/>
            <w:left w:w="0" w:type="dxa"/>
            <w:bottom w:w="0" w:type="dxa"/>
            <w:right w:w="0" w:type="dxa"/>
          </w:tblCellMar>
        </w:tblPrEx>
        <w:trPr>
          <w:trHeight w:val="643" w:hRule="atLeast"/>
        </w:trPr>
        <w:tc>
          <w:tcPr>
            <w:tcW w:w="1637" w:type="dxa"/>
            <w:tcBorders>
              <w:top w:val="single" w:color="auto" w:sz="4" w:space="0"/>
              <w:left w:val="single" w:color="auto" w:sz="4" w:space="0"/>
              <w:bottom w:val="single" w:color="auto" w:sz="8" w:space="0"/>
              <w:right w:val="single" w:color="auto" w:sz="4" w:space="0"/>
            </w:tcBorders>
            <w:noWrap w:val="0"/>
            <w:vAlign w:val="center"/>
          </w:tcPr>
          <w:p w14:paraId="0F78D39D">
            <w:pPr>
              <w:spacing w:line="240" w:lineRule="atLeast"/>
              <w:ind w:right="-199" w:firstLine="240" w:firstLineChars="100"/>
              <w:jc w:val="both"/>
              <w:rPr>
                <w:rFonts w:hint="eastAsia" w:ascii="宋体" w:hAnsi="宋体"/>
                <w:color w:val="000000"/>
                <w:sz w:val="24"/>
                <w:highlight w:val="none"/>
              </w:rPr>
            </w:pPr>
            <w:bookmarkStart w:id="46" w:name="_Hlt520356241"/>
            <w:bookmarkEnd w:id="46"/>
            <w:bookmarkStart w:id="47" w:name="_Toc494296984"/>
            <w:bookmarkStart w:id="48" w:name="_Toc480942349"/>
            <w:bookmarkStart w:id="49" w:name="_Toc520356217"/>
            <w:bookmarkStart w:id="50" w:name="_Ref467988698"/>
            <w:bookmarkStart w:id="51" w:name="_Toc216582813"/>
            <w:r>
              <w:rPr>
                <w:rFonts w:hint="eastAsia" w:ascii="宋体" w:hAnsi="宋体"/>
                <w:color w:val="000000"/>
                <w:sz w:val="24"/>
                <w:highlight w:val="none"/>
                <w:lang w:val="en-US" w:eastAsia="zh-CN"/>
              </w:rPr>
              <w:t>标项</w:t>
            </w:r>
            <w:r>
              <w:rPr>
                <w:rFonts w:hint="eastAsia" w:ascii="宋体" w:hAnsi="宋体"/>
                <w:color w:val="000000"/>
                <w:sz w:val="24"/>
                <w:highlight w:val="none"/>
              </w:rPr>
              <w:t>名称</w:t>
            </w:r>
          </w:p>
        </w:tc>
        <w:tc>
          <w:tcPr>
            <w:tcW w:w="1952" w:type="dxa"/>
            <w:tcBorders>
              <w:top w:val="single" w:color="auto" w:sz="4" w:space="0"/>
              <w:left w:val="single" w:color="auto" w:sz="8" w:space="0"/>
              <w:bottom w:val="single" w:color="auto" w:sz="8" w:space="0"/>
              <w:right w:val="single" w:color="auto" w:sz="4" w:space="0"/>
            </w:tcBorders>
            <w:noWrap w:val="0"/>
            <w:vAlign w:val="center"/>
          </w:tcPr>
          <w:p w14:paraId="3F8A073A">
            <w:pPr>
              <w:spacing w:line="240" w:lineRule="atLeast"/>
              <w:jc w:val="center"/>
              <w:rPr>
                <w:rFonts w:hint="eastAsia" w:ascii="宋体" w:hAnsi="宋体"/>
                <w:color w:val="000000"/>
                <w:sz w:val="24"/>
                <w:highlight w:val="none"/>
              </w:rPr>
            </w:pPr>
            <w:r>
              <w:rPr>
                <w:rFonts w:hint="eastAsia" w:ascii="宋体" w:hAnsi="宋体" w:eastAsia="宋体"/>
                <w:color w:val="000000"/>
                <w:sz w:val="24"/>
                <w:highlight w:val="none"/>
                <w:lang w:val="en-US" w:eastAsia="zh-CN"/>
              </w:rPr>
              <w:t>总报</w:t>
            </w:r>
            <w:r>
              <w:rPr>
                <w:rFonts w:hint="eastAsia" w:ascii="宋体" w:hAnsi="宋体"/>
                <w:color w:val="000000"/>
                <w:sz w:val="24"/>
                <w:highlight w:val="none"/>
              </w:rPr>
              <w:t>价</w:t>
            </w:r>
          </w:p>
        </w:tc>
        <w:tc>
          <w:tcPr>
            <w:tcW w:w="1953" w:type="dxa"/>
            <w:tcBorders>
              <w:top w:val="single" w:color="auto" w:sz="8" w:space="0"/>
              <w:left w:val="nil"/>
              <w:bottom w:val="single" w:color="auto" w:sz="8" w:space="0"/>
              <w:right w:val="single" w:color="auto" w:sz="4" w:space="0"/>
            </w:tcBorders>
            <w:noWrap w:val="0"/>
            <w:vAlign w:val="center"/>
          </w:tcPr>
          <w:p w14:paraId="1E6DD01E">
            <w:pPr>
              <w:spacing w:line="240" w:lineRule="atLeast"/>
              <w:jc w:val="center"/>
              <w:rPr>
                <w:rFonts w:hint="default"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磋商</w:t>
            </w:r>
            <w:r>
              <w:rPr>
                <w:rFonts w:hint="eastAsia" w:ascii="宋体" w:hAnsi="宋体"/>
                <w:color w:val="000000"/>
                <w:sz w:val="24"/>
                <w:highlight w:val="none"/>
              </w:rPr>
              <w:t>保证金</w:t>
            </w:r>
            <w:r>
              <w:rPr>
                <w:rFonts w:hint="eastAsia" w:ascii="宋体" w:hAnsi="宋体" w:eastAsia="宋体"/>
                <w:color w:val="000000"/>
                <w:sz w:val="24"/>
                <w:highlight w:val="none"/>
                <w:lang w:val="en-US" w:eastAsia="zh-CN"/>
              </w:rPr>
              <w:t>及缴纳方式</w:t>
            </w:r>
          </w:p>
        </w:tc>
        <w:tc>
          <w:tcPr>
            <w:tcW w:w="1491" w:type="dxa"/>
            <w:tcBorders>
              <w:top w:val="single" w:color="auto" w:sz="8" w:space="0"/>
              <w:left w:val="nil"/>
              <w:bottom w:val="single" w:color="auto" w:sz="8" w:space="0"/>
              <w:right w:val="single" w:color="auto" w:sz="4" w:space="0"/>
            </w:tcBorders>
            <w:noWrap w:val="0"/>
            <w:vAlign w:val="center"/>
          </w:tcPr>
          <w:p w14:paraId="555998D5">
            <w:pPr>
              <w:spacing w:line="240" w:lineRule="atLeast"/>
              <w:jc w:val="center"/>
              <w:rPr>
                <w:rFonts w:hint="default"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服务期限</w:t>
            </w:r>
          </w:p>
        </w:tc>
        <w:tc>
          <w:tcPr>
            <w:tcW w:w="1756" w:type="dxa"/>
            <w:tcBorders>
              <w:top w:val="single" w:color="auto" w:sz="8" w:space="0"/>
              <w:left w:val="nil"/>
              <w:bottom w:val="single" w:color="auto" w:sz="8" w:space="0"/>
              <w:right w:val="single" w:color="auto" w:sz="4" w:space="0"/>
            </w:tcBorders>
            <w:noWrap w:val="0"/>
            <w:vAlign w:val="center"/>
          </w:tcPr>
          <w:p w14:paraId="3E507D8D">
            <w:pPr>
              <w:spacing w:line="240" w:lineRule="atLeast"/>
              <w:jc w:val="center"/>
              <w:rPr>
                <w:rFonts w:hint="default"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项目负责人</w:t>
            </w:r>
          </w:p>
        </w:tc>
        <w:tc>
          <w:tcPr>
            <w:tcW w:w="1144" w:type="dxa"/>
            <w:tcBorders>
              <w:top w:val="single" w:color="auto" w:sz="8" w:space="0"/>
              <w:left w:val="single" w:color="auto" w:sz="4" w:space="0"/>
              <w:bottom w:val="single" w:color="auto" w:sz="8" w:space="0"/>
              <w:right w:val="single" w:color="auto" w:sz="8" w:space="0"/>
            </w:tcBorders>
            <w:noWrap w:val="0"/>
            <w:vAlign w:val="center"/>
          </w:tcPr>
          <w:p w14:paraId="2E5715D2">
            <w:pPr>
              <w:spacing w:line="240" w:lineRule="atLeast"/>
              <w:jc w:val="center"/>
              <w:rPr>
                <w:rFonts w:hint="eastAsia" w:ascii="宋体" w:hAnsi="宋体"/>
                <w:color w:val="000000"/>
                <w:sz w:val="24"/>
                <w:highlight w:val="none"/>
              </w:rPr>
            </w:pPr>
            <w:r>
              <w:rPr>
                <w:rFonts w:hint="eastAsia" w:ascii="宋体" w:hAnsi="宋体"/>
                <w:color w:val="000000"/>
                <w:sz w:val="24"/>
                <w:highlight w:val="none"/>
              </w:rPr>
              <w:t>备注</w:t>
            </w:r>
          </w:p>
        </w:tc>
      </w:tr>
      <w:tr w14:paraId="42651A5F">
        <w:tblPrEx>
          <w:tblCellMar>
            <w:top w:w="0" w:type="dxa"/>
            <w:left w:w="0" w:type="dxa"/>
            <w:bottom w:w="0" w:type="dxa"/>
            <w:right w:w="0" w:type="dxa"/>
          </w:tblCellMar>
        </w:tblPrEx>
        <w:trPr>
          <w:cantSplit/>
          <w:trHeight w:val="1773" w:hRule="atLeast"/>
        </w:trPr>
        <w:tc>
          <w:tcPr>
            <w:tcW w:w="1637" w:type="dxa"/>
            <w:tcBorders>
              <w:top w:val="single" w:color="auto" w:sz="8" w:space="0"/>
              <w:left w:val="single" w:color="auto" w:sz="4" w:space="0"/>
              <w:bottom w:val="single" w:color="auto" w:sz="8" w:space="0"/>
              <w:right w:val="single" w:color="auto" w:sz="4" w:space="0"/>
            </w:tcBorders>
            <w:noWrap w:val="0"/>
            <w:vAlign w:val="center"/>
          </w:tcPr>
          <w:p w14:paraId="6A731EE6">
            <w:pPr>
              <w:keepNext w:val="0"/>
              <w:keepLines w:val="0"/>
              <w:widowControl/>
              <w:suppressLineNumbers w:val="0"/>
              <w:jc w:val="center"/>
              <w:textAlignment w:val="center"/>
              <w:rPr>
                <w:rFonts w:hint="eastAsia" w:ascii="宋体" w:hAnsi="宋体"/>
                <w:color w:val="000000"/>
                <w:sz w:val="24"/>
                <w:highlight w:val="none"/>
              </w:rPr>
            </w:pPr>
          </w:p>
          <w:p w14:paraId="6B73CCB0">
            <w:pPr>
              <w:pStyle w:val="6"/>
              <w:outlineLvl w:val="9"/>
              <w:rPr>
                <w:rFonts w:hint="eastAsia" w:ascii="宋体" w:hAnsi="宋体"/>
                <w:color w:val="000000"/>
                <w:sz w:val="24"/>
                <w:highlight w:val="none"/>
              </w:rPr>
            </w:pPr>
          </w:p>
          <w:p w14:paraId="66F3BB74">
            <w:pPr>
              <w:pStyle w:val="11"/>
              <w:rPr>
                <w:rFonts w:hint="eastAsia" w:ascii="宋体" w:hAnsi="宋体"/>
                <w:color w:val="000000"/>
                <w:sz w:val="24"/>
                <w:highlight w:val="none"/>
              </w:rPr>
            </w:pPr>
          </w:p>
          <w:p w14:paraId="7A2DC099">
            <w:pPr>
              <w:pStyle w:val="13"/>
              <w:rPr>
                <w:rFonts w:hint="eastAsia" w:ascii="宋体" w:hAnsi="宋体"/>
                <w:color w:val="000000"/>
                <w:sz w:val="24"/>
                <w:highlight w:val="none"/>
              </w:rPr>
            </w:pPr>
          </w:p>
          <w:p w14:paraId="27A51E0F">
            <w:pPr>
              <w:rPr>
                <w:rFonts w:hint="eastAsia" w:ascii="宋体" w:hAnsi="宋体"/>
                <w:color w:val="000000"/>
                <w:sz w:val="24"/>
                <w:highlight w:val="none"/>
              </w:rPr>
            </w:pPr>
          </w:p>
          <w:p w14:paraId="54A2D8F5">
            <w:pPr>
              <w:pStyle w:val="6"/>
              <w:outlineLvl w:val="9"/>
              <w:rPr>
                <w:rFonts w:hint="eastAsia"/>
              </w:rPr>
            </w:pPr>
          </w:p>
        </w:tc>
        <w:tc>
          <w:tcPr>
            <w:tcW w:w="1952" w:type="dxa"/>
            <w:tcBorders>
              <w:top w:val="single" w:color="auto" w:sz="8" w:space="0"/>
              <w:left w:val="single" w:color="auto" w:sz="8" w:space="0"/>
              <w:bottom w:val="single" w:color="auto" w:sz="8" w:space="0"/>
              <w:right w:val="single" w:color="auto" w:sz="4" w:space="0"/>
            </w:tcBorders>
            <w:noWrap w:val="0"/>
            <w:vAlign w:val="center"/>
          </w:tcPr>
          <w:p w14:paraId="4D9E269C">
            <w:pPr>
              <w:spacing w:line="240" w:lineRule="atLeast"/>
              <w:ind w:firstLine="240" w:firstLineChars="100"/>
              <w:jc w:val="left"/>
              <w:rPr>
                <w:rFonts w:hint="eastAsia" w:ascii="宋体" w:hAnsi="宋体"/>
                <w:color w:val="000000"/>
                <w:sz w:val="24"/>
                <w:highlight w:val="none"/>
              </w:rPr>
            </w:pPr>
            <w:r>
              <w:rPr>
                <w:rFonts w:hint="eastAsia" w:ascii="宋体" w:hAnsi="宋体"/>
                <w:color w:val="000000"/>
                <w:sz w:val="24"/>
                <w:highlight w:val="none"/>
              </w:rPr>
              <w:t>大写：</w:t>
            </w:r>
          </w:p>
          <w:p w14:paraId="2383404E">
            <w:pPr>
              <w:spacing w:line="240" w:lineRule="atLeast"/>
              <w:jc w:val="left"/>
              <w:rPr>
                <w:rFonts w:hint="eastAsia" w:ascii="宋体" w:hAnsi="宋体"/>
                <w:color w:val="000000"/>
                <w:sz w:val="24"/>
                <w:highlight w:val="none"/>
              </w:rPr>
            </w:pPr>
          </w:p>
          <w:p w14:paraId="5C7E4118">
            <w:pPr>
              <w:spacing w:line="240" w:lineRule="atLeast"/>
              <w:ind w:firstLine="240" w:firstLineChars="100"/>
              <w:jc w:val="left"/>
              <w:rPr>
                <w:rFonts w:hint="eastAsia" w:ascii="宋体" w:hAnsi="宋体"/>
                <w:color w:val="000000"/>
                <w:sz w:val="24"/>
                <w:highlight w:val="none"/>
              </w:rPr>
            </w:pPr>
            <w:r>
              <w:rPr>
                <w:rFonts w:hint="eastAsia" w:ascii="宋体" w:hAnsi="宋体"/>
                <w:color w:val="000000"/>
                <w:sz w:val="24"/>
                <w:highlight w:val="none"/>
              </w:rPr>
              <w:t>小写：</w:t>
            </w:r>
          </w:p>
        </w:tc>
        <w:tc>
          <w:tcPr>
            <w:tcW w:w="1953" w:type="dxa"/>
            <w:tcBorders>
              <w:top w:val="single" w:color="auto" w:sz="8" w:space="0"/>
              <w:left w:val="nil"/>
              <w:bottom w:val="single" w:color="auto" w:sz="4" w:space="0"/>
              <w:right w:val="single" w:color="auto" w:sz="4" w:space="0"/>
            </w:tcBorders>
            <w:noWrap w:val="0"/>
            <w:vAlign w:val="center"/>
          </w:tcPr>
          <w:p w14:paraId="7628DB95">
            <w:pPr>
              <w:spacing w:line="240" w:lineRule="atLeast"/>
              <w:ind w:firstLine="720" w:firstLineChars="300"/>
              <w:jc w:val="both"/>
              <w:rPr>
                <w:rFonts w:hint="eastAsia" w:ascii="宋体" w:hAnsi="宋体" w:eastAsia="宋体"/>
                <w:color w:val="000000"/>
                <w:sz w:val="24"/>
                <w:highlight w:val="none"/>
                <w:lang w:val="en-US" w:eastAsia="zh-CN"/>
              </w:rPr>
            </w:pPr>
          </w:p>
        </w:tc>
        <w:tc>
          <w:tcPr>
            <w:tcW w:w="1491" w:type="dxa"/>
            <w:tcBorders>
              <w:top w:val="single" w:color="auto" w:sz="8" w:space="0"/>
              <w:left w:val="nil"/>
              <w:bottom w:val="single" w:color="auto" w:sz="4" w:space="0"/>
              <w:right w:val="single" w:color="auto" w:sz="4" w:space="0"/>
            </w:tcBorders>
            <w:noWrap w:val="0"/>
            <w:vAlign w:val="center"/>
          </w:tcPr>
          <w:p w14:paraId="1E7C52AE">
            <w:pPr>
              <w:spacing w:line="240" w:lineRule="atLeast"/>
              <w:ind w:left="1079" w:leftChars="257" w:hanging="540"/>
              <w:jc w:val="center"/>
              <w:rPr>
                <w:rFonts w:hint="eastAsia" w:ascii="宋体" w:hAnsi="宋体"/>
                <w:color w:val="000000"/>
                <w:sz w:val="24"/>
                <w:highlight w:val="none"/>
              </w:rPr>
            </w:pPr>
          </w:p>
        </w:tc>
        <w:tc>
          <w:tcPr>
            <w:tcW w:w="1756" w:type="dxa"/>
            <w:tcBorders>
              <w:top w:val="single" w:color="auto" w:sz="8" w:space="0"/>
              <w:left w:val="nil"/>
              <w:bottom w:val="single" w:color="auto" w:sz="4" w:space="0"/>
              <w:right w:val="single" w:color="auto" w:sz="4" w:space="0"/>
            </w:tcBorders>
            <w:noWrap w:val="0"/>
            <w:vAlign w:val="center"/>
          </w:tcPr>
          <w:p w14:paraId="083CE460">
            <w:pPr>
              <w:spacing w:line="240" w:lineRule="atLeast"/>
              <w:ind w:left="1079" w:leftChars="257" w:hanging="540"/>
              <w:jc w:val="center"/>
              <w:rPr>
                <w:rFonts w:hint="eastAsia" w:ascii="宋体" w:hAnsi="宋体"/>
                <w:color w:val="000000"/>
                <w:sz w:val="24"/>
                <w:highlight w:val="none"/>
              </w:rPr>
            </w:pPr>
          </w:p>
        </w:tc>
        <w:tc>
          <w:tcPr>
            <w:tcW w:w="1144" w:type="dxa"/>
            <w:tcBorders>
              <w:top w:val="single" w:color="auto" w:sz="8" w:space="0"/>
              <w:left w:val="single" w:color="auto" w:sz="4" w:space="0"/>
              <w:bottom w:val="single" w:color="auto" w:sz="4" w:space="0"/>
              <w:right w:val="single" w:color="auto" w:sz="8" w:space="0"/>
            </w:tcBorders>
            <w:noWrap w:val="0"/>
            <w:vAlign w:val="center"/>
          </w:tcPr>
          <w:p w14:paraId="3C22F2E9">
            <w:pPr>
              <w:spacing w:line="240" w:lineRule="atLeast"/>
              <w:ind w:left="1079" w:leftChars="257" w:hanging="540"/>
              <w:jc w:val="center"/>
              <w:rPr>
                <w:rFonts w:hint="eastAsia" w:ascii="宋体" w:hAnsi="宋体"/>
                <w:color w:val="000000"/>
                <w:sz w:val="24"/>
                <w:highlight w:val="none"/>
              </w:rPr>
            </w:pPr>
          </w:p>
        </w:tc>
      </w:tr>
    </w:tbl>
    <w:p w14:paraId="4AC347D8">
      <w:pPr>
        <w:pStyle w:val="11"/>
        <w:tabs>
          <w:tab w:val="left" w:pos="5580"/>
        </w:tabs>
        <w:spacing w:line="240" w:lineRule="atLeast"/>
        <w:ind w:left="0" w:leftChars="0" w:firstLine="3120" w:firstLineChars="1300"/>
        <w:jc w:val="both"/>
        <w:rPr>
          <w:rFonts w:hint="eastAsia" w:hAnsi="宋体"/>
          <w:b/>
          <w:color w:val="000000"/>
          <w:highlight w:val="none"/>
        </w:rPr>
      </w:pPr>
      <w:r>
        <w:rPr>
          <w:rFonts w:hint="eastAsia" w:hAnsi="宋体"/>
          <w:b w:val="0"/>
          <w:bCs/>
          <w:color w:val="000000"/>
          <w:highlight w:val="none"/>
          <w:lang w:val="en-US" w:eastAsia="zh-CN"/>
        </w:rPr>
        <w:t>报价一览</w:t>
      </w:r>
      <w:r>
        <w:rPr>
          <w:rFonts w:hint="eastAsia" w:hAnsi="宋体"/>
          <w:b w:val="0"/>
          <w:bCs/>
          <w:color w:val="000000"/>
          <w:highlight w:val="none"/>
        </w:rPr>
        <w:t>表</w:t>
      </w:r>
      <w:bookmarkEnd w:id="47"/>
    </w:p>
    <w:p w14:paraId="105F3814">
      <w:pPr>
        <w:pStyle w:val="11"/>
        <w:tabs>
          <w:tab w:val="left" w:pos="5580"/>
        </w:tabs>
        <w:spacing w:line="240" w:lineRule="atLeast"/>
        <w:ind w:left="1079" w:leftChars="257" w:hanging="540"/>
        <w:rPr>
          <w:rFonts w:hint="eastAsia" w:hAnsi="宋体"/>
          <w:color w:val="000000"/>
          <w:highlight w:val="none"/>
        </w:rPr>
      </w:pPr>
    </w:p>
    <w:p w14:paraId="1855A5F1">
      <w:pPr>
        <w:tabs>
          <w:tab w:val="left" w:pos="1800"/>
          <w:tab w:val="left" w:pos="5580"/>
        </w:tabs>
        <w:spacing w:line="240" w:lineRule="atLeast"/>
        <w:ind w:left="1079" w:leftChars="257" w:right="-867" w:rightChars="-413" w:hanging="540"/>
        <w:rPr>
          <w:rFonts w:hint="eastAsia" w:ascii="宋体" w:hAnsi="宋体"/>
          <w:color w:val="000000"/>
          <w:sz w:val="24"/>
          <w:highlight w:val="none"/>
        </w:rPr>
      </w:pPr>
      <w:r>
        <w:rPr>
          <w:rFonts w:hint="eastAsia" w:ascii="宋体" w:hAnsi="宋体"/>
          <w:color w:val="000000"/>
          <w:sz w:val="24"/>
          <w:highlight w:val="none"/>
        </w:rPr>
        <w:t xml:space="preserve">项目名称：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hint="eastAsia" w:ascii="宋体" w:hAnsi="宋体"/>
          <w:color w:val="000000"/>
          <w:sz w:val="24"/>
          <w:highlight w:val="none"/>
          <w:lang w:val="en-US" w:eastAsia="zh-CN"/>
        </w:rPr>
        <w:t>项目</w:t>
      </w:r>
      <w:r>
        <w:rPr>
          <w:rFonts w:hint="eastAsia" w:ascii="宋体" w:hAnsi="宋体"/>
          <w:color w:val="000000"/>
          <w:sz w:val="24"/>
          <w:highlight w:val="none"/>
        </w:rPr>
        <w:t xml:space="preserve">编号：                     </w:t>
      </w:r>
    </w:p>
    <w:p w14:paraId="1791FF34">
      <w:pPr>
        <w:tabs>
          <w:tab w:val="left" w:pos="1800"/>
          <w:tab w:val="left" w:pos="5580"/>
        </w:tabs>
        <w:spacing w:line="240" w:lineRule="atLeast"/>
        <w:ind w:left="1079" w:leftChars="257" w:right="-867" w:rightChars="-413" w:hanging="540"/>
        <w:rPr>
          <w:rFonts w:hint="eastAsia" w:ascii="宋体" w:hAnsi="宋体"/>
          <w:color w:val="000000"/>
          <w:sz w:val="24"/>
          <w:highlight w:val="none"/>
        </w:rPr>
      </w:pPr>
    </w:p>
    <w:p w14:paraId="4130125E">
      <w:pPr>
        <w:tabs>
          <w:tab w:val="left" w:pos="1800"/>
          <w:tab w:val="left" w:pos="5580"/>
        </w:tabs>
        <w:spacing w:line="240" w:lineRule="atLeast"/>
        <w:ind w:left="1079" w:leftChars="257" w:right="-867" w:rightChars="-413" w:hanging="540"/>
        <w:rPr>
          <w:rFonts w:hint="default" w:ascii="宋体" w:hAnsi="宋体" w:eastAsia="宋体"/>
          <w:color w:val="000000"/>
          <w:sz w:val="24"/>
          <w:highlight w:val="none"/>
          <w:lang w:val="en-US" w:eastAsia="zh-CN"/>
        </w:rPr>
      </w:pPr>
      <w:r>
        <w:rPr>
          <w:rFonts w:hint="eastAsia" w:ascii="宋体" w:hAnsi="宋体"/>
          <w:color w:val="000000"/>
          <w:sz w:val="24"/>
          <w:highlight w:val="none"/>
        </w:rPr>
        <w:t>报价单位：人民币</w:t>
      </w:r>
      <w:r>
        <w:rPr>
          <w:rFonts w:hint="eastAsia" w:ascii="宋体" w:hAnsi="宋体"/>
          <w:color w:val="000000"/>
          <w:sz w:val="24"/>
          <w:highlight w:val="none"/>
          <w:lang w:val="en-US" w:eastAsia="zh-CN"/>
        </w:rPr>
        <w:t xml:space="preserve"> </w:t>
      </w:r>
      <w:r>
        <w:rPr>
          <w:rFonts w:hint="eastAsia" w:ascii="宋体" w:hAnsi="宋体"/>
          <w:b/>
          <w:color w:val="000000"/>
          <w:sz w:val="24"/>
          <w:highlight w:val="none"/>
        </w:rPr>
        <w:t>元</w:t>
      </w:r>
      <w:r>
        <w:rPr>
          <w:rFonts w:hint="eastAsia" w:ascii="宋体" w:hAnsi="宋体" w:eastAsia="宋体"/>
          <w:b/>
          <w:color w:val="000000"/>
          <w:sz w:val="24"/>
          <w:highlight w:val="none"/>
          <w:lang w:val="en-US" w:eastAsia="zh-CN"/>
        </w:rPr>
        <w:t xml:space="preserve">              </w:t>
      </w:r>
      <w:r>
        <w:rPr>
          <w:rFonts w:hint="eastAsia" w:ascii="宋体" w:hAnsi="宋体" w:eastAsia="宋体"/>
          <w:color w:val="000000"/>
          <w:sz w:val="24"/>
          <w:highlight w:val="none"/>
          <w:lang w:val="en-US" w:eastAsia="zh-CN"/>
        </w:rPr>
        <w:t xml:space="preserve">  </w:t>
      </w:r>
    </w:p>
    <w:p w14:paraId="776F4D9D">
      <w:pPr>
        <w:pStyle w:val="17"/>
        <w:tabs>
          <w:tab w:val="left" w:pos="5580"/>
        </w:tabs>
        <w:spacing w:line="240" w:lineRule="atLeast"/>
        <w:rPr>
          <w:rFonts w:hint="eastAsia" w:hAnsi="宋体" w:cs="宋体"/>
          <w:color w:val="000000"/>
          <w:sz w:val="24"/>
          <w:highlight w:val="none"/>
        </w:rPr>
      </w:pPr>
    </w:p>
    <w:p w14:paraId="113AF203">
      <w:pPr>
        <w:pStyle w:val="22"/>
        <w:rPr>
          <w:rFonts w:hint="eastAsia"/>
        </w:rPr>
      </w:pPr>
    </w:p>
    <w:p w14:paraId="377F61C1">
      <w:pPr>
        <w:pStyle w:val="17"/>
        <w:tabs>
          <w:tab w:val="left" w:pos="5580"/>
        </w:tabs>
        <w:spacing w:line="360" w:lineRule="auto"/>
        <w:ind w:left="1257" w:leftChars="599" w:firstLine="2020" w:firstLineChars="842"/>
        <w:rPr>
          <w:rFonts w:hint="eastAsia" w:hAnsi="宋体" w:cs="宋体"/>
          <w:color w:val="000000"/>
          <w:sz w:val="24"/>
          <w:highlight w:val="none"/>
        </w:rPr>
      </w:pPr>
      <w:r>
        <w:rPr>
          <w:rFonts w:hint="eastAsia" w:hAnsi="宋体" w:cs="宋体"/>
          <w:color w:val="000000"/>
          <w:sz w:val="24"/>
          <w:highlight w:val="none"/>
          <w:lang w:eastAsia="zh-CN"/>
        </w:rPr>
        <w:t>供应商</w:t>
      </w:r>
      <w:r>
        <w:rPr>
          <w:rFonts w:hint="eastAsia" w:hAnsi="宋体" w:cs="宋体"/>
          <w:color w:val="000000"/>
          <w:sz w:val="24"/>
          <w:highlight w:val="none"/>
        </w:rPr>
        <w:t>名称（单位盖章）：</w:t>
      </w:r>
      <w:r>
        <w:rPr>
          <w:rFonts w:hint="eastAsia" w:hAnsi="宋体" w:cs="宋体"/>
          <w:color w:val="000000"/>
          <w:sz w:val="24"/>
          <w:highlight w:val="none"/>
          <w:u w:val="single"/>
        </w:rPr>
        <w:t xml:space="preserve">                       </w:t>
      </w:r>
    </w:p>
    <w:p w14:paraId="1B2E5BC5">
      <w:pPr>
        <w:pStyle w:val="17"/>
        <w:tabs>
          <w:tab w:val="left" w:pos="5580"/>
        </w:tabs>
        <w:spacing w:line="360" w:lineRule="auto"/>
        <w:ind w:left="1257" w:leftChars="599" w:firstLine="2020" w:firstLineChars="842"/>
        <w:rPr>
          <w:rFonts w:hint="eastAsia" w:hAnsi="宋体" w:cs="宋体"/>
          <w:color w:val="000000"/>
          <w:sz w:val="24"/>
          <w:highlight w:val="none"/>
        </w:rPr>
      </w:pPr>
    </w:p>
    <w:p w14:paraId="1F7B2350">
      <w:pPr>
        <w:pStyle w:val="17"/>
        <w:tabs>
          <w:tab w:val="left" w:pos="5580"/>
        </w:tabs>
        <w:spacing w:line="360" w:lineRule="auto"/>
        <w:ind w:left="1257" w:leftChars="599" w:firstLine="2020" w:firstLineChars="842"/>
        <w:rPr>
          <w:rFonts w:hint="default" w:hAnsi="宋体" w:eastAsia="宋体" w:cs="宋体"/>
          <w:color w:val="000000"/>
          <w:sz w:val="24"/>
          <w:highlight w:val="none"/>
          <w:u w:val="single"/>
          <w:lang w:val="en-US" w:eastAsia="zh-CN"/>
        </w:rPr>
      </w:pPr>
      <w:r>
        <w:rPr>
          <w:rFonts w:hint="eastAsia" w:hAnsi="宋体" w:cs="宋体"/>
          <w:color w:val="000000"/>
          <w:sz w:val="24"/>
          <w:highlight w:val="none"/>
        </w:rPr>
        <w:t>法定代表人或委托代理(签字</w:t>
      </w:r>
      <w:r>
        <w:rPr>
          <w:rFonts w:hint="eastAsia" w:hAnsi="宋体" w:cs="宋体"/>
          <w:color w:val="000000"/>
          <w:sz w:val="24"/>
          <w:highlight w:val="none"/>
          <w:lang w:val="en-US" w:eastAsia="zh-CN"/>
        </w:rPr>
        <w:t>或盖章</w:t>
      </w:r>
      <w:r>
        <w:rPr>
          <w:rFonts w:hint="eastAsia" w:hAnsi="宋体" w:cs="宋体"/>
          <w:color w:val="000000"/>
          <w:sz w:val="24"/>
          <w:highlight w:val="none"/>
        </w:rPr>
        <w:t>):</w:t>
      </w:r>
      <w:r>
        <w:rPr>
          <w:rFonts w:hint="eastAsia" w:hAnsi="宋体" w:cs="宋体"/>
          <w:color w:val="000000"/>
          <w:sz w:val="24"/>
          <w:highlight w:val="none"/>
          <w:u w:val="single"/>
        </w:rPr>
        <w:tab/>
      </w:r>
      <w:r>
        <w:rPr>
          <w:rFonts w:hint="eastAsia" w:hAnsi="宋体" w:cs="宋体"/>
          <w:color w:val="000000"/>
          <w:sz w:val="24"/>
          <w:highlight w:val="none"/>
          <w:u w:val="single"/>
          <w:lang w:val="en-US" w:eastAsia="zh-CN"/>
        </w:rPr>
        <w:t xml:space="preserve">             </w:t>
      </w:r>
    </w:p>
    <w:p w14:paraId="5ACFF138">
      <w:pPr>
        <w:pStyle w:val="17"/>
        <w:tabs>
          <w:tab w:val="left" w:pos="5580"/>
        </w:tabs>
        <w:spacing w:line="240" w:lineRule="atLeast"/>
        <w:ind w:left="1079" w:leftChars="257" w:hanging="540"/>
        <w:rPr>
          <w:rFonts w:hint="eastAsia" w:hAnsi="宋体" w:cs="宋体"/>
          <w:color w:val="000000"/>
          <w:sz w:val="24"/>
          <w:highlight w:val="none"/>
        </w:rPr>
      </w:pPr>
    </w:p>
    <w:p w14:paraId="429F768C">
      <w:pPr>
        <w:pStyle w:val="17"/>
        <w:tabs>
          <w:tab w:val="left" w:pos="5580"/>
        </w:tabs>
        <w:spacing w:line="360" w:lineRule="auto"/>
        <w:ind w:left="1395" w:leftChars="257" w:hanging="856" w:hangingChars="357"/>
        <w:rPr>
          <w:rFonts w:hint="eastAsia" w:hAnsi="宋体" w:cs="宋体"/>
          <w:color w:val="000000"/>
          <w:sz w:val="24"/>
          <w:highlight w:val="none"/>
        </w:rPr>
      </w:pPr>
    </w:p>
    <w:p w14:paraId="19E803D6">
      <w:pPr>
        <w:pStyle w:val="17"/>
        <w:tabs>
          <w:tab w:val="left" w:pos="5580"/>
        </w:tabs>
        <w:spacing w:line="360" w:lineRule="auto"/>
        <w:ind w:left="1395" w:leftChars="257" w:hanging="856" w:hangingChars="357"/>
        <w:rPr>
          <w:rFonts w:hint="eastAsia" w:ascii="宋体" w:hAnsi="宋体" w:eastAsia="宋体" w:cs="宋体"/>
          <w:color w:val="auto"/>
          <w:sz w:val="24"/>
          <w:szCs w:val="24"/>
          <w:lang w:val="en-US" w:eastAsia="zh-CN"/>
        </w:rPr>
      </w:pPr>
      <w:r>
        <w:rPr>
          <w:rFonts w:hint="eastAsia" w:hAnsi="宋体" w:cs="宋体"/>
          <w:color w:val="000000"/>
          <w:sz w:val="24"/>
          <w:highlight w:val="none"/>
        </w:rPr>
        <w:t>注:</w:t>
      </w:r>
      <w:r>
        <w:rPr>
          <w:rFonts w:hint="eastAsia" w:hAnsi="宋体" w:cs="宋体"/>
          <w:color w:val="000000"/>
          <w:sz w:val="24"/>
          <w:szCs w:val="24"/>
          <w:highlight w:val="none"/>
        </w:rPr>
        <w:t>1</w:t>
      </w:r>
      <w:r>
        <w:rPr>
          <w:rFonts w:hint="eastAsia" w:ascii="宋体" w:hAnsi="宋体" w:eastAsia="宋体" w:cs="宋体"/>
          <w:color w:val="000000"/>
          <w:sz w:val="24"/>
          <w:szCs w:val="24"/>
          <w:highlight w:val="none"/>
        </w:rPr>
        <w:t>、</w:t>
      </w:r>
      <w:r>
        <w:rPr>
          <w:rFonts w:ascii="宋体" w:hAnsi="宋体" w:eastAsia="宋体" w:cs="宋体"/>
          <w:sz w:val="24"/>
          <w:szCs w:val="24"/>
        </w:rPr>
        <w:t>此表中，</w:t>
      </w:r>
      <w:r>
        <w:rPr>
          <w:rFonts w:hint="eastAsia" w:ascii="宋体" w:hAnsi="宋体" w:eastAsia="宋体"/>
          <w:color w:val="000000"/>
          <w:sz w:val="24"/>
          <w:highlight w:val="none"/>
          <w:lang w:val="en-US" w:eastAsia="zh-CN"/>
        </w:rPr>
        <w:t>总</w:t>
      </w:r>
      <w:r>
        <w:rPr>
          <w:rFonts w:hint="eastAsia" w:hAnsi="宋体" w:eastAsia="宋体"/>
          <w:color w:val="000000"/>
          <w:sz w:val="24"/>
          <w:highlight w:val="none"/>
          <w:lang w:val="en-US" w:eastAsia="zh-CN"/>
        </w:rPr>
        <w:t>报</w:t>
      </w:r>
      <w:r>
        <w:rPr>
          <w:rFonts w:hint="eastAsia" w:ascii="宋体" w:hAnsi="宋体"/>
          <w:color w:val="000000"/>
          <w:sz w:val="24"/>
          <w:highlight w:val="none"/>
        </w:rPr>
        <w:t>价</w:t>
      </w:r>
      <w:r>
        <w:rPr>
          <w:rFonts w:ascii="宋体" w:hAnsi="宋体" w:eastAsia="宋体" w:cs="宋体"/>
          <w:sz w:val="24"/>
          <w:szCs w:val="24"/>
        </w:rPr>
        <w:t>为单价的合计，</w:t>
      </w:r>
      <w:r>
        <w:rPr>
          <w:rFonts w:hint="eastAsia" w:ascii="宋体" w:hAnsi="宋体" w:eastAsia="宋体"/>
          <w:color w:val="000000"/>
          <w:sz w:val="24"/>
          <w:highlight w:val="none"/>
          <w:lang w:val="en-US" w:eastAsia="zh-CN"/>
        </w:rPr>
        <w:t>总</w:t>
      </w:r>
      <w:r>
        <w:rPr>
          <w:rFonts w:hint="eastAsia" w:hAnsi="宋体" w:eastAsia="宋体"/>
          <w:color w:val="000000"/>
          <w:sz w:val="24"/>
          <w:highlight w:val="none"/>
          <w:lang w:val="en-US" w:eastAsia="zh-CN"/>
        </w:rPr>
        <w:t>报</w:t>
      </w:r>
      <w:r>
        <w:rPr>
          <w:rFonts w:hint="eastAsia" w:ascii="宋体" w:hAnsi="宋体"/>
          <w:color w:val="000000"/>
          <w:sz w:val="24"/>
          <w:highlight w:val="none"/>
        </w:rPr>
        <w:t>价</w:t>
      </w:r>
      <w:r>
        <w:rPr>
          <w:rFonts w:ascii="宋体" w:hAnsi="宋体" w:eastAsia="宋体" w:cs="宋体"/>
          <w:sz w:val="24"/>
          <w:szCs w:val="24"/>
        </w:rPr>
        <w:t>应和分项报价表的总价相一致</w:t>
      </w:r>
      <w:r>
        <w:rPr>
          <w:rFonts w:hint="eastAsia" w:ascii="宋体" w:hAnsi="宋体" w:eastAsia="宋体" w:cs="宋体"/>
          <w:color w:val="auto"/>
          <w:sz w:val="24"/>
          <w:szCs w:val="24"/>
          <w:lang w:val="en-US" w:eastAsia="zh-CN"/>
        </w:rPr>
        <w:t>。</w:t>
      </w:r>
    </w:p>
    <w:p w14:paraId="6EBA1503">
      <w:pPr>
        <w:pStyle w:val="17"/>
        <w:tabs>
          <w:tab w:val="left" w:pos="5580"/>
        </w:tabs>
        <w:spacing w:line="360" w:lineRule="auto"/>
        <w:ind w:left="1390" w:leftChars="485" w:hanging="372" w:hangingChars="15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供应</w:t>
      </w:r>
      <w:r>
        <w:rPr>
          <w:rFonts w:ascii="宋体" w:hAnsi="宋体" w:eastAsia="宋体" w:cs="宋体"/>
          <w:sz w:val="24"/>
          <w:szCs w:val="24"/>
        </w:rPr>
        <w:t>商报价时</w:t>
      </w:r>
      <w:r>
        <w:rPr>
          <w:rFonts w:hint="eastAsia" w:ascii="宋体" w:hAnsi="宋体" w:eastAsia="宋体" w:cs="宋体"/>
          <w:sz w:val="24"/>
          <w:szCs w:val="24"/>
          <w:lang w:val="en-US" w:eastAsia="zh-CN"/>
        </w:rPr>
        <w:t>应</w:t>
      </w:r>
      <w:r>
        <w:rPr>
          <w:rFonts w:ascii="宋体" w:hAnsi="宋体" w:eastAsia="宋体" w:cs="宋体"/>
          <w:sz w:val="24"/>
          <w:szCs w:val="24"/>
        </w:rPr>
        <w:t>包含税费等一切与本次项目相关的费用</w:t>
      </w:r>
      <w:r>
        <w:rPr>
          <w:rFonts w:hint="eastAsia" w:hAnsi="宋体" w:eastAsia="宋体" w:cs="宋体"/>
          <w:sz w:val="24"/>
          <w:szCs w:val="24"/>
          <w:lang w:eastAsia="zh-CN"/>
        </w:rPr>
        <w:t>。</w:t>
      </w:r>
    </w:p>
    <w:p w14:paraId="285CB83D">
      <w:pPr>
        <w:pStyle w:val="17"/>
        <w:numPr>
          <w:ilvl w:val="0"/>
          <w:numId w:val="0"/>
        </w:numPr>
        <w:tabs>
          <w:tab w:val="left" w:pos="5580"/>
        </w:tabs>
        <w:spacing w:line="360" w:lineRule="auto"/>
        <w:ind w:left="630" w:leftChars="0"/>
        <w:rPr>
          <w:rFonts w:hint="eastAsia" w:ascii="宋体" w:hAnsi="宋体" w:eastAsia="宋体" w:cs="宋体"/>
          <w:color w:val="000000"/>
          <w:sz w:val="24"/>
          <w:highlight w:val="none"/>
        </w:rPr>
      </w:pPr>
    </w:p>
    <w:p w14:paraId="2BDE6F15">
      <w:pPr>
        <w:pStyle w:val="2"/>
        <w:rPr>
          <w:rFonts w:hint="eastAsia" w:hAnsi="宋体" w:cs="宋体"/>
          <w:b/>
          <w:color w:val="000000"/>
          <w:sz w:val="24"/>
          <w:highlight w:val="none"/>
        </w:rPr>
      </w:pPr>
    </w:p>
    <w:p w14:paraId="74AEA437">
      <w:pPr>
        <w:rPr>
          <w:rFonts w:hint="eastAsia" w:hAnsi="宋体" w:cs="宋体"/>
          <w:b/>
          <w:color w:val="000000"/>
          <w:sz w:val="24"/>
          <w:highlight w:val="none"/>
        </w:rPr>
      </w:pPr>
    </w:p>
    <w:p w14:paraId="53502EBB">
      <w:pPr>
        <w:rPr>
          <w:rFonts w:hint="eastAsia" w:hAnsi="宋体" w:cs="宋体"/>
          <w:b/>
          <w:color w:val="000000"/>
          <w:sz w:val="24"/>
          <w:highlight w:val="none"/>
        </w:rPr>
      </w:pPr>
    </w:p>
    <w:p w14:paraId="1AED31AD">
      <w:pPr>
        <w:pStyle w:val="2"/>
        <w:rPr>
          <w:rFonts w:hint="eastAsia" w:hAnsi="宋体" w:cs="宋体"/>
          <w:b/>
          <w:color w:val="000000"/>
          <w:sz w:val="24"/>
          <w:highlight w:val="none"/>
        </w:rPr>
      </w:pPr>
    </w:p>
    <w:p w14:paraId="100776D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法人或者其他组织的营业执照等证明文件；</w:t>
      </w:r>
      <w:r>
        <w:rPr>
          <w:rFonts w:hint="eastAsia" w:ascii="宋体" w:hAnsi="宋体"/>
          <w:color w:val="000000"/>
          <w:sz w:val="24"/>
          <w:szCs w:val="24"/>
          <w:highlight w:val="none"/>
          <w:lang w:val="en-US" w:eastAsia="zh-CN"/>
        </w:rPr>
        <w:t xml:space="preserve"> </w:t>
      </w:r>
    </w:p>
    <w:p w14:paraId="1D396765">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highlight w:val="none"/>
          <w:lang w:val="en-US" w:eastAsia="zh-CN"/>
        </w:rPr>
      </w:pPr>
    </w:p>
    <w:p w14:paraId="36CE4106">
      <w:pPr>
        <w:pStyle w:val="17"/>
        <w:tabs>
          <w:tab w:val="left" w:pos="5580"/>
        </w:tabs>
        <w:spacing w:line="360" w:lineRule="auto"/>
        <w:rPr>
          <w:rFonts w:hint="eastAsia" w:hAnsi="宋体" w:cs="宋体"/>
          <w:b/>
          <w:bCs/>
          <w:color w:val="000000"/>
          <w:sz w:val="24"/>
          <w:szCs w:val="20"/>
          <w:highlight w:val="none"/>
          <w:lang w:val="en-US" w:eastAsia="zh-CN"/>
        </w:rPr>
      </w:pPr>
      <w:bookmarkStart w:id="52" w:name="_Toc21689"/>
    </w:p>
    <w:bookmarkEnd w:id="52"/>
    <w:p w14:paraId="2AA7D6F1">
      <w:pPr>
        <w:pStyle w:val="17"/>
        <w:tabs>
          <w:tab w:val="left" w:pos="5580"/>
        </w:tabs>
        <w:spacing w:line="360" w:lineRule="auto"/>
        <w:rPr>
          <w:rFonts w:hint="eastAsia" w:ascii="宋体" w:hAnsi="宋体" w:eastAsia="宋体" w:cs="宋体"/>
          <w:b w:val="0"/>
          <w:bCs w:val="0"/>
          <w:color w:val="000000"/>
          <w:kern w:val="0"/>
          <w:sz w:val="28"/>
          <w:szCs w:val="28"/>
          <w:highlight w:val="none"/>
          <w:lang w:val="en-US" w:eastAsia="zh-CN" w:bidi="ar-SA"/>
        </w:rPr>
      </w:pPr>
      <w:r>
        <w:rPr>
          <w:rFonts w:hint="eastAsia" w:hAnsi="宋体" w:cs="宋体"/>
          <w:b w:val="0"/>
          <w:bCs w:val="0"/>
          <w:color w:val="000000"/>
          <w:sz w:val="24"/>
          <w:szCs w:val="20"/>
          <w:highlight w:val="none"/>
          <w:lang w:val="en-US" w:eastAsia="zh-CN"/>
        </w:rPr>
        <w:t>3.</w:t>
      </w:r>
      <w:r>
        <w:rPr>
          <w:rFonts w:hint="eastAsia" w:ascii="宋体" w:hAnsi="宋体"/>
          <w:color w:val="000000"/>
          <w:sz w:val="24"/>
          <w:szCs w:val="24"/>
          <w:highlight w:val="none"/>
        </w:rPr>
        <w:t>授权委托人参加的提供法定代表人授权书及被授权人身份证，法人本人参与投标提供法人身份证及法人资格证明；</w:t>
      </w:r>
    </w:p>
    <w:p w14:paraId="397BAA5F">
      <w:pPr>
        <w:pStyle w:val="24"/>
        <w:numPr>
          <w:ilvl w:val="0"/>
          <w:numId w:val="0"/>
        </w:numPr>
        <w:ind w:firstLine="2800" w:firstLineChars="1000"/>
        <w:rPr>
          <w:rFonts w:hint="eastAsia"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 xml:space="preserve">法定代表人身份证明 </w:t>
      </w:r>
    </w:p>
    <w:p w14:paraId="7F6F6A0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3575B287">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同志，现任我单位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14:paraId="1B0962B7">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签发日期：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单位：</w:t>
      </w:r>
      <w:r>
        <w:rPr>
          <w:rFonts w:hint="eastAsia" w:ascii="宋体" w:hAnsi="宋体" w:eastAsia="宋体" w:cs="宋体"/>
          <w:b w:val="0"/>
          <w:bCs w:val="0"/>
          <w:sz w:val="24"/>
          <w:szCs w:val="24"/>
          <w:u w:val="single"/>
        </w:rPr>
        <w:t xml:space="preserve">           </w:t>
      </w:r>
    </w:p>
    <w:p w14:paraId="76E6B646">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附：</w:t>
      </w:r>
    </w:p>
    <w:p w14:paraId="4081F96D">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性别：</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年龄：</w:t>
      </w:r>
      <w:r>
        <w:rPr>
          <w:rFonts w:hint="eastAsia" w:ascii="宋体" w:hAnsi="宋体" w:eastAsia="宋体" w:cs="宋体"/>
          <w:b w:val="0"/>
          <w:bCs w:val="0"/>
          <w:sz w:val="24"/>
          <w:szCs w:val="24"/>
          <w:u w:val="single"/>
        </w:rPr>
        <w:t xml:space="preserve">        </w:t>
      </w:r>
    </w:p>
    <w:p w14:paraId="2555D8B2">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p>
    <w:p w14:paraId="1A5B47EB">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营业执照号码：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经济性质：</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p>
    <w:p w14:paraId="6EEED9CC">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14:paraId="0D55AB09">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附法定代表人身份证复印件</w:t>
      </w:r>
    </w:p>
    <w:p w14:paraId="3F7F29D3">
      <w:pPr>
        <w:spacing w:line="360" w:lineRule="auto"/>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242887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428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AF6A0ED">
                            <w:pPr>
                              <w:jc w:val="center"/>
                              <w:rPr>
                                <w:rFonts w:hAnsi="宋体"/>
                                <w:szCs w:val="21"/>
                              </w:rPr>
                            </w:pPr>
                          </w:p>
                          <w:p w14:paraId="11F1BAFD">
                            <w:pPr>
                              <w:jc w:val="center"/>
                              <w:rPr>
                                <w:rFonts w:hAnsi="宋体"/>
                                <w:szCs w:val="21"/>
                              </w:rPr>
                            </w:pPr>
                          </w:p>
                          <w:p w14:paraId="62B6997B">
                            <w:pPr>
                              <w:jc w:val="center"/>
                              <w:rPr>
                                <w:rFonts w:hAnsi="宋体"/>
                                <w:szCs w:val="21"/>
                              </w:rPr>
                            </w:pPr>
                          </w:p>
                          <w:p w14:paraId="3469CF6E">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91.25pt;z-index:251662336;mso-width-relative:page;mso-height-relative:page;" fillcolor="#FFFFFF" filled="t" stroked="t" coordsize="21600,21600" o:gfxdata="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3/SvWAAAACAEAAA8AAAAAAAAAAQAgAAAAIgAAAGRycy9kb3ducmV2LnhtbFBLAQIU&#10;ABQAAAAIAIdO4kDEeVofLgIAAF4EAAAOAAAAAAAAAAEAIAAAACUBAABkcnMvZTJvRG9jLnhtbFBL&#10;BQYAAAAABgAGAFkBAADFBQAAAAA=&#10;">
                <v:fill on="t" focussize="0,0"/>
                <v:stroke color="#000000" joinstyle="miter"/>
                <v:imagedata o:title=""/>
                <o:lock v:ext="edit" aspectratio="f"/>
                <v:textbox>
                  <w:txbxContent>
                    <w:p w14:paraId="0AF6A0ED">
                      <w:pPr>
                        <w:jc w:val="center"/>
                        <w:rPr>
                          <w:rFonts w:hAnsi="宋体"/>
                          <w:szCs w:val="21"/>
                        </w:rPr>
                      </w:pPr>
                    </w:p>
                    <w:p w14:paraId="11F1BAFD">
                      <w:pPr>
                        <w:jc w:val="center"/>
                        <w:rPr>
                          <w:rFonts w:hAnsi="宋体"/>
                          <w:szCs w:val="21"/>
                        </w:rPr>
                      </w:pPr>
                    </w:p>
                    <w:p w14:paraId="62B6997B">
                      <w:pPr>
                        <w:jc w:val="center"/>
                        <w:rPr>
                          <w:rFonts w:hAnsi="宋体"/>
                          <w:szCs w:val="21"/>
                        </w:rPr>
                      </w:pPr>
                    </w:p>
                    <w:p w14:paraId="3469CF6E">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sz w:val="24"/>
          <w:szCs w:val="20"/>
        </w:rPr>
        <mc:AlternateContent>
          <mc:Choice Requires="wps">
            <w:drawing>
              <wp:anchor distT="0" distB="0" distL="114300" distR="114300" simplePos="0" relativeHeight="251663360" behindDoc="0" locked="0" layoutInCell="1" allowOverlap="1">
                <wp:simplePos x="0" y="0"/>
                <wp:positionH relativeFrom="column">
                  <wp:posOffset>2918460</wp:posOffset>
                </wp:positionH>
                <wp:positionV relativeFrom="paragraph">
                  <wp:posOffset>28575</wp:posOffset>
                </wp:positionV>
                <wp:extent cx="2609850" cy="1557020"/>
                <wp:effectExtent l="7620" t="7620" r="11430" b="1016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9BA66DE">
                            <w:pPr>
                              <w:jc w:val="center"/>
                              <w:rPr>
                                <w:rFonts w:hAnsi="宋体"/>
                                <w:szCs w:val="21"/>
                              </w:rPr>
                            </w:pPr>
                            <w:r>
                              <w:rPr>
                                <w:rFonts w:hint="eastAsia" w:hAnsi="宋体"/>
                                <w:szCs w:val="21"/>
                              </w:rPr>
                              <w:t xml:space="preserve">  </w:t>
                            </w:r>
                          </w:p>
                          <w:p w14:paraId="04E3AEB2">
                            <w:pPr>
                              <w:jc w:val="center"/>
                              <w:rPr>
                                <w:rFonts w:hAnsi="宋体"/>
                                <w:szCs w:val="21"/>
                              </w:rPr>
                            </w:pPr>
                          </w:p>
                          <w:p w14:paraId="733C7351">
                            <w:pPr>
                              <w:jc w:val="center"/>
                              <w:rPr>
                                <w:rFonts w:hAnsi="宋体"/>
                                <w:szCs w:val="21"/>
                              </w:rPr>
                            </w:pPr>
                          </w:p>
                          <w:p w14:paraId="191B2267">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4CBDCFE5"/>
                          <w:p w14:paraId="35F112D7">
                            <w:pPr>
                              <w:pStyle w:val="11"/>
                            </w:pPr>
                          </w:p>
                          <w:p w14:paraId="53A61DEF">
                            <w:pPr>
                              <w:pStyle w:val="11"/>
                            </w:pPr>
                          </w:p>
                          <w:p w14:paraId="3CF8C7C9">
                            <w:pPr>
                              <w:pStyle w:val="11"/>
                            </w:pPr>
                          </w:p>
                          <w:p w14:paraId="153CA94D">
                            <w:pPr>
                              <w:pStyle w:val="11"/>
                            </w:pPr>
                          </w:p>
                        </w:txbxContent>
                      </wps:txbx>
                      <wps:bodyPr upright="1"/>
                    </wps:wsp>
                  </a:graphicData>
                </a:graphic>
              </wp:anchor>
            </w:drawing>
          </mc:Choice>
          <mc:Fallback>
            <w:pict>
              <v:roundrect id="_x0000_s1026" o:spid="_x0000_s1026" o:spt="2" style="position:absolute;left:0pt;margin-left:229.8pt;margin-top:2.25pt;height:122.6pt;width:205.5pt;z-index:25166336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L2Nf2gAAAAkBAAAPAAAAAAAAAAEAIAAAACIAAABkcnMvZG93bnJldi54bWxQSwEC&#10;FAAUAAAACACHTuJAdeljPCsCAABmBAAADgAAAAAAAAABACAAAAApAQAAZHJzL2Uyb0RvYy54bWxQ&#10;SwUGAAAAAAYABgBZAQAAxgUAAAAA&#10;">
                <v:fill on="t" focussize="0,0"/>
                <v:stroke weight="1.25pt" color="#808080" joinstyle="round"/>
                <v:imagedata o:title=""/>
                <o:lock v:ext="edit" aspectratio="f"/>
                <v:textbox>
                  <w:txbxContent>
                    <w:p w14:paraId="59BA66DE">
                      <w:pPr>
                        <w:jc w:val="center"/>
                        <w:rPr>
                          <w:rFonts w:hAnsi="宋体"/>
                          <w:szCs w:val="21"/>
                        </w:rPr>
                      </w:pPr>
                      <w:r>
                        <w:rPr>
                          <w:rFonts w:hint="eastAsia" w:hAnsi="宋体"/>
                          <w:szCs w:val="21"/>
                        </w:rPr>
                        <w:t xml:space="preserve">  </w:t>
                      </w:r>
                    </w:p>
                    <w:p w14:paraId="04E3AEB2">
                      <w:pPr>
                        <w:jc w:val="center"/>
                        <w:rPr>
                          <w:rFonts w:hAnsi="宋体"/>
                          <w:szCs w:val="21"/>
                        </w:rPr>
                      </w:pPr>
                    </w:p>
                    <w:p w14:paraId="733C7351">
                      <w:pPr>
                        <w:jc w:val="center"/>
                        <w:rPr>
                          <w:rFonts w:hAnsi="宋体"/>
                          <w:szCs w:val="21"/>
                        </w:rPr>
                      </w:pPr>
                    </w:p>
                    <w:p w14:paraId="191B2267">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4CBDCFE5"/>
                    <w:p w14:paraId="35F112D7">
                      <w:pPr>
                        <w:pStyle w:val="11"/>
                      </w:pPr>
                    </w:p>
                    <w:p w14:paraId="53A61DEF">
                      <w:pPr>
                        <w:pStyle w:val="11"/>
                      </w:pPr>
                    </w:p>
                    <w:p w14:paraId="3CF8C7C9">
                      <w:pPr>
                        <w:pStyle w:val="11"/>
                      </w:pPr>
                    </w:p>
                    <w:p w14:paraId="153CA94D">
                      <w:pPr>
                        <w:pStyle w:val="11"/>
                      </w:pPr>
                    </w:p>
                  </w:txbxContent>
                </v:textbox>
              </v:roundrect>
            </w:pict>
          </mc:Fallback>
        </mc:AlternateContent>
      </w:r>
    </w:p>
    <w:p w14:paraId="4644AD14">
      <w:pPr>
        <w:spacing w:line="360" w:lineRule="auto"/>
        <w:rPr>
          <w:rFonts w:hint="eastAsia" w:ascii="宋体" w:hAnsi="宋体" w:cs="宋体"/>
          <w:sz w:val="24"/>
          <w:szCs w:val="20"/>
        </w:rPr>
      </w:pPr>
    </w:p>
    <w:p w14:paraId="6F95D32A">
      <w:pPr>
        <w:spacing w:line="360" w:lineRule="auto"/>
        <w:rPr>
          <w:rFonts w:hint="eastAsia" w:ascii="宋体" w:hAnsi="宋体" w:cs="宋体"/>
          <w:sz w:val="24"/>
          <w:szCs w:val="20"/>
        </w:rPr>
      </w:pPr>
    </w:p>
    <w:p w14:paraId="713DF20C">
      <w:pPr>
        <w:autoSpaceDE w:val="0"/>
        <w:autoSpaceDN w:val="0"/>
        <w:adjustRightInd w:val="0"/>
        <w:spacing w:line="360" w:lineRule="auto"/>
        <w:ind w:right="246"/>
        <w:rPr>
          <w:rFonts w:hint="eastAsia" w:ascii="宋体" w:hAnsi="宋体" w:cs="宋体"/>
          <w:sz w:val="24"/>
          <w:szCs w:val="20"/>
        </w:rPr>
      </w:pPr>
    </w:p>
    <w:p w14:paraId="32446D6D">
      <w:pPr>
        <w:autoSpaceDE w:val="0"/>
        <w:autoSpaceDN w:val="0"/>
        <w:adjustRightInd w:val="0"/>
        <w:spacing w:line="360" w:lineRule="auto"/>
        <w:ind w:right="246" w:firstLine="784" w:firstLineChars="327"/>
        <w:rPr>
          <w:rFonts w:hint="eastAsia" w:ascii="宋体" w:hAnsi="宋体" w:cs="宋体"/>
          <w:sz w:val="24"/>
          <w:szCs w:val="20"/>
        </w:rPr>
      </w:pPr>
      <w:r>
        <w:rPr>
          <w:rFonts w:hint="eastAsia" w:ascii="宋体" w:hAnsi="宋体" w:cs="宋体"/>
          <w:sz w:val="24"/>
          <w:szCs w:val="20"/>
        </w:rPr>
        <w:t xml:space="preserve">供应商（盖章）：                              </w:t>
      </w:r>
    </w:p>
    <w:p w14:paraId="29C20500">
      <w:pPr>
        <w:adjustRightInd w:val="0"/>
        <w:snapToGrid w:val="0"/>
        <w:spacing w:line="360" w:lineRule="auto"/>
        <w:ind w:firstLine="784" w:firstLineChars="327"/>
        <w:rPr>
          <w:rFonts w:hint="eastAsia" w:ascii="宋体" w:hAnsi="宋体" w:cs="宋体"/>
          <w:sz w:val="24"/>
          <w:szCs w:val="20"/>
        </w:rPr>
      </w:pPr>
    </w:p>
    <w:p w14:paraId="435EA4A2">
      <w:pPr>
        <w:pStyle w:val="11"/>
        <w:rPr>
          <w:rFonts w:hint="eastAsia" w:hAnsi="宋体" w:cs="宋体"/>
        </w:rPr>
      </w:pPr>
    </w:p>
    <w:p w14:paraId="23D62328">
      <w:pPr>
        <w:adjustRightInd w:val="0"/>
        <w:snapToGrid w:val="0"/>
        <w:spacing w:line="360" w:lineRule="auto"/>
        <w:ind w:firstLine="5582" w:firstLineChars="2326"/>
        <w:rPr>
          <w:rFonts w:hint="eastAsia" w:ascii="宋体" w:hAnsi="宋体" w:cs="宋体"/>
          <w:sz w:val="24"/>
          <w:szCs w:val="20"/>
        </w:rPr>
      </w:pPr>
      <w:r>
        <w:rPr>
          <w:rFonts w:hint="eastAsia" w:ascii="宋体" w:hAnsi="宋体" w:cs="宋体"/>
          <w:sz w:val="24"/>
          <w:szCs w:val="20"/>
        </w:rPr>
        <w:t xml:space="preserve">供应商（盖章）：                              </w:t>
      </w:r>
    </w:p>
    <w:p w14:paraId="4765EAD4">
      <w:pPr>
        <w:adjustRightInd w:val="0"/>
        <w:snapToGrid w:val="0"/>
        <w:spacing w:line="360" w:lineRule="auto"/>
        <w:ind w:firstLine="784" w:firstLineChars="327"/>
        <w:rPr>
          <w:rFonts w:hint="eastAsia" w:ascii="宋体" w:hAnsi="宋体" w:cs="宋体"/>
          <w:sz w:val="24"/>
          <w:szCs w:val="20"/>
        </w:rPr>
      </w:pPr>
    </w:p>
    <w:p w14:paraId="1F89ED19">
      <w:pPr>
        <w:adjustRightInd w:val="0"/>
        <w:snapToGrid w:val="0"/>
        <w:spacing w:line="360" w:lineRule="auto"/>
        <w:ind w:firstLine="4862" w:firstLineChars="2026"/>
        <w:rPr>
          <w:rFonts w:hint="eastAsia"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lang w:eastAsia="zh-CN"/>
        </w:rPr>
        <w:t>（</w:t>
      </w:r>
      <w:r>
        <w:rPr>
          <w:rFonts w:hint="eastAsia" w:ascii="宋体" w:hAnsi="宋体" w:cs="宋体"/>
          <w:sz w:val="24"/>
          <w:szCs w:val="20"/>
        </w:rPr>
        <w:t>签字或盖章</w:t>
      </w:r>
      <w:r>
        <w:rPr>
          <w:rFonts w:hint="eastAsia" w:ascii="宋体" w:hAnsi="宋体" w:cs="宋体"/>
          <w:sz w:val="24"/>
          <w:szCs w:val="20"/>
          <w:lang w:eastAsia="zh-CN"/>
        </w:rPr>
        <w:t>）</w:t>
      </w:r>
      <w:r>
        <w:rPr>
          <w:rFonts w:hint="eastAsia" w:ascii="宋体" w:hAnsi="宋体" w:cs="宋体"/>
          <w:sz w:val="24"/>
          <w:szCs w:val="20"/>
        </w:rPr>
        <w:t xml:space="preserve">：                    </w:t>
      </w:r>
    </w:p>
    <w:p w14:paraId="755F6ADF">
      <w:pPr>
        <w:adjustRightInd w:val="0"/>
        <w:snapToGrid w:val="0"/>
        <w:spacing w:line="360" w:lineRule="auto"/>
        <w:ind w:firstLine="784" w:firstLineChars="327"/>
        <w:rPr>
          <w:rFonts w:hint="eastAsia" w:ascii="宋体" w:hAnsi="宋体" w:cs="宋体"/>
          <w:sz w:val="24"/>
          <w:szCs w:val="20"/>
        </w:rPr>
      </w:pPr>
      <w:r>
        <w:rPr>
          <w:rFonts w:hint="eastAsia" w:ascii="宋体" w:hAnsi="宋体" w:cs="宋体"/>
          <w:sz w:val="24"/>
          <w:szCs w:val="20"/>
        </w:rPr>
        <w:t xml:space="preserve">                                                 </w:t>
      </w:r>
    </w:p>
    <w:p w14:paraId="249A4032">
      <w:pPr>
        <w:pStyle w:val="24"/>
        <w:numPr>
          <w:ilvl w:val="0"/>
          <w:numId w:val="0"/>
        </w:numPr>
        <w:ind w:firstLine="5520" w:firstLineChars="2300"/>
        <w:rPr>
          <w:rFonts w:hint="default" w:ascii="宋体" w:hAnsi="宋体" w:eastAsia="宋体" w:cs="宋体"/>
          <w:b w:val="0"/>
          <w:bCs w:val="0"/>
          <w:color w:val="000000"/>
          <w:kern w:val="0"/>
          <w:sz w:val="24"/>
          <w:szCs w:val="24"/>
          <w:highlight w:val="none"/>
          <w:lang w:val="en-US" w:eastAsia="zh-CN" w:bidi="ar-SA"/>
        </w:rPr>
      </w:pPr>
      <w:r>
        <w:rPr>
          <w:rFonts w:hint="eastAsia" w:ascii="宋体" w:hAnsi="宋体" w:cs="宋体"/>
          <w:sz w:val="24"/>
          <w:szCs w:val="20"/>
        </w:rPr>
        <w:t xml:space="preserve">日期：  年   月   日  </w:t>
      </w:r>
    </w:p>
    <w:p w14:paraId="5A0017B1">
      <w:pPr>
        <w:pStyle w:val="17"/>
        <w:tabs>
          <w:tab w:val="left" w:pos="5580"/>
        </w:tabs>
        <w:spacing w:line="240" w:lineRule="atLeast"/>
        <w:ind w:left="1079" w:leftChars="257" w:hanging="540"/>
        <w:rPr>
          <w:rFonts w:hint="eastAsia" w:hAnsi="宋体" w:cs="宋体"/>
          <w:b/>
          <w:color w:val="000000"/>
          <w:sz w:val="24"/>
        </w:rPr>
      </w:pPr>
    </w:p>
    <w:p w14:paraId="2F8118BB">
      <w:pPr>
        <w:pStyle w:val="17"/>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000000"/>
          <w:sz w:val="24"/>
          <w:highlight w:val="none"/>
          <w:lang w:val="en-US" w:eastAsia="zh-CN"/>
        </w:rPr>
      </w:pPr>
      <w:r>
        <w:rPr>
          <w:rFonts w:hint="eastAsia" w:hAnsi="宋体" w:cs="宋体"/>
          <w:color w:val="000000"/>
          <w:sz w:val="24"/>
          <w:highlight w:val="none"/>
          <w:lang w:val="en-US" w:eastAsia="zh-CN"/>
        </w:rPr>
        <w:t>说明：</w:t>
      </w:r>
    </w:p>
    <w:p w14:paraId="33D1F149">
      <w:pPr>
        <w:pStyle w:val="17"/>
        <w:keepNext w:val="0"/>
        <w:keepLines w:val="0"/>
        <w:pageBreakBefore w:val="0"/>
        <w:widowControl w:val="0"/>
        <w:numPr>
          <w:ilvl w:val="0"/>
          <w:numId w:val="3"/>
        </w:numPr>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000000"/>
          <w:sz w:val="22"/>
          <w:szCs w:val="18"/>
          <w:highlight w:val="none"/>
        </w:rPr>
      </w:pPr>
      <w:r>
        <w:rPr>
          <w:rFonts w:hint="eastAsia" w:hAnsi="宋体" w:cs="宋体"/>
          <w:color w:val="000000"/>
          <w:sz w:val="22"/>
          <w:szCs w:val="18"/>
          <w:highlight w:val="none"/>
        </w:rPr>
        <w:t>法定代表人为企业或事业单位、或国家机关、或社会团体的主要行政负责人。</w:t>
      </w:r>
    </w:p>
    <w:p w14:paraId="147B3DC4">
      <w:pPr>
        <w:pStyle w:val="17"/>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olor w:val="000000"/>
          <w:kern w:val="0"/>
          <w:sz w:val="32"/>
          <w:szCs w:val="32"/>
          <w:highlight w:val="none"/>
          <w:lang w:val="en-US" w:eastAsia="zh-CN" w:bidi="ar-SA"/>
        </w:rPr>
      </w:pPr>
      <w:r>
        <w:rPr>
          <w:rFonts w:hint="eastAsia" w:hAnsi="宋体" w:cs="宋体"/>
          <w:color w:val="000000"/>
          <w:sz w:val="22"/>
          <w:szCs w:val="18"/>
          <w:highlight w:val="none"/>
        </w:rPr>
        <w:t>2、内容必须填写真实、清楚、涂改无效，不得转让</w:t>
      </w:r>
    </w:p>
    <w:p w14:paraId="13CAE621">
      <w:pPr>
        <w:jc w:val="center"/>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32"/>
          <w:szCs w:val="32"/>
          <w:highlight w:val="none"/>
          <w:lang w:val="en-US" w:eastAsia="zh-CN" w:bidi="ar-SA"/>
        </w:rPr>
        <w:t>法人授权委托书</w:t>
      </w:r>
    </w:p>
    <w:p w14:paraId="4548AC35">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000000"/>
          <w:kern w:val="0"/>
          <w:sz w:val="24"/>
          <w:szCs w:val="24"/>
          <w:highlight w:val="none"/>
          <w:lang w:val="en-US" w:eastAsia="zh-CN" w:bidi="ar-SA"/>
        </w:rPr>
      </w:pPr>
      <w:bookmarkStart w:id="53" w:name="_Toc22472"/>
      <w:bookmarkStart w:id="54" w:name="_Toc23503"/>
      <w:bookmarkStart w:id="55" w:name="_Toc515647807"/>
      <w:bookmarkStart w:id="56" w:name="_Toc1083"/>
    </w:p>
    <w:p w14:paraId="7EC2FE18">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本授权书声明：注册于</w:t>
      </w:r>
      <w:r>
        <w:rPr>
          <w:rFonts w:hint="eastAsia" w:ascii="宋体" w:hAnsi="宋体" w:eastAsia="宋体" w:cs="宋体"/>
          <w:b w:val="0"/>
          <w:bCs w:val="0"/>
          <w:color w:val="000000"/>
          <w:kern w:val="0"/>
          <w:sz w:val="24"/>
          <w:szCs w:val="24"/>
          <w:highlight w:val="none"/>
          <w:u w:val="single"/>
          <w:lang w:val="en-US" w:eastAsia="zh-CN" w:bidi="ar-SA"/>
        </w:rPr>
        <w:t xml:space="preserve"> （国家或地区的名称） </w:t>
      </w:r>
      <w:r>
        <w:rPr>
          <w:rFonts w:hint="eastAsia" w:ascii="宋体" w:hAnsi="宋体" w:eastAsia="宋体" w:cs="宋体"/>
          <w:b w:val="0"/>
          <w:bCs w:val="0"/>
          <w:color w:val="000000"/>
          <w:kern w:val="0"/>
          <w:sz w:val="24"/>
          <w:szCs w:val="24"/>
          <w:highlight w:val="none"/>
          <w:lang w:val="en-US" w:eastAsia="zh-CN" w:bidi="ar-SA"/>
        </w:rPr>
        <w:t>的</w:t>
      </w:r>
      <w:r>
        <w:rPr>
          <w:rFonts w:hint="eastAsia" w:ascii="宋体" w:hAnsi="宋体" w:eastAsia="宋体" w:cs="宋体"/>
          <w:b w:val="0"/>
          <w:bCs w:val="0"/>
          <w:color w:val="000000"/>
          <w:kern w:val="0"/>
          <w:sz w:val="24"/>
          <w:szCs w:val="24"/>
          <w:highlight w:val="none"/>
          <w:u w:val="single"/>
          <w:lang w:val="en-US" w:eastAsia="zh-CN" w:bidi="ar-SA"/>
        </w:rPr>
        <w:t xml:space="preserve">  （供应商） </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（法人代表姓名、职务）</w:t>
      </w:r>
      <w:r>
        <w:rPr>
          <w:rFonts w:hint="eastAsia" w:ascii="宋体" w:hAnsi="宋体" w:eastAsia="宋体" w:cs="宋体"/>
          <w:b w:val="0"/>
          <w:bCs w:val="0"/>
          <w:color w:val="000000"/>
          <w:kern w:val="0"/>
          <w:sz w:val="24"/>
          <w:szCs w:val="24"/>
          <w:highlight w:val="none"/>
          <w:lang w:val="en-US" w:eastAsia="zh-CN" w:bidi="ar-SA"/>
        </w:rPr>
        <w:t>代表我单位授权</w:t>
      </w:r>
      <w:r>
        <w:rPr>
          <w:rFonts w:hint="eastAsia" w:ascii="宋体" w:hAnsi="宋体" w:eastAsia="宋体" w:cs="宋体"/>
          <w:b w:val="0"/>
          <w:bCs w:val="0"/>
          <w:color w:val="000000"/>
          <w:kern w:val="0"/>
          <w:sz w:val="24"/>
          <w:szCs w:val="24"/>
          <w:highlight w:val="none"/>
          <w:u w:val="single"/>
          <w:lang w:val="en-US" w:eastAsia="zh-CN" w:bidi="ar-SA"/>
        </w:rPr>
        <w:t>（单位名称）</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（被授权人的姓名、职务）</w:t>
      </w:r>
      <w:r>
        <w:rPr>
          <w:rFonts w:hint="eastAsia" w:ascii="宋体" w:hAnsi="宋体" w:eastAsia="宋体" w:cs="宋体"/>
          <w:b w:val="0"/>
          <w:bCs w:val="0"/>
          <w:color w:val="000000"/>
          <w:kern w:val="0"/>
          <w:sz w:val="24"/>
          <w:szCs w:val="24"/>
          <w:highlight w:val="none"/>
          <w:lang w:val="en-US" w:eastAsia="zh-CN" w:bidi="ar-SA"/>
        </w:rPr>
        <w:t>为我单位的合法代理人，就</w:t>
      </w:r>
      <w:r>
        <w:rPr>
          <w:rFonts w:hint="eastAsia" w:ascii="宋体" w:hAnsi="宋体" w:eastAsia="宋体" w:cs="宋体"/>
          <w:b w:val="0"/>
          <w:bCs w:val="0"/>
          <w:color w:val="000000"/>
          <w:kern w:val="0"/>
          <w:sz w:val="24"/>
          <w:szCs w:val="24"/>
          <w:highlight w:val="none"/>
          <w:u w:val="single"/>
          <w:lang w:val="en-US" w:eastAsia="zh-CN" w:bidi="ar-SA"/>
        </w:rPr>
        <w:t>（项目名称及项目编号）</w:t>
      </w:r>
      <w:r>
        <w:rPr>
          <w:rFonts w:hint="eastAsia" w:ascii="宋体" w:hAnsi="宋体" w:cs="宋体"/>
          <w:b w:val="0"/>
          <w:bCs w:val="0"/>
          <w:color w:val="000000"/>
          <w:kern w:val="0"/>
          <w:sz w:val="24"/>
          <w:szCs w:val="24"/>
          <w:highlight w:val="none"/>
          <w:u w:val="none"/>
          <w:lang w:val="en-US" w:eastAsia="zh-CN" w:bidi="ar-SA"/>
        </w:rPr>
        <w:t>磋商</w:t>
      </w:r>
      <w:r>
        <w:rPr>
          <w:rFonts w:hint="eastAsia" w:ascii="宋体" w:hAnsi="宋体" w:eastAsia="宋体" w:cs="宋体"/>
          <w:b w:val="0"/>
          <w:bCs w:val="0"/>
          <w:color w:val="000000"/>
          <w:kern w:val="0"/>
          <w:sz w:val="24"/>
          <w:szCs w:val="24"/>
          <w:highlight w:val="none"/>
          <w:lang w:val="en-US" w:eastAsia="zh-CN" w:bidi="ar-SA"/>
        </w:rPr>
        <w:t>，以我单位名义处理一切与之有关的事务。</w:t>
      </w:r>
    </w:p>
    <w:p w14:paraId="4291F274">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本授权书于</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年</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月</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日签字生效,特此声明。</w:t>
      </w:r>
    </w:p>
    <w:p w14:paraId="14F5A20F">
      <w:pPr>
        <w:pStyle w:val="17"/>
        <w:tabs>
          <w:tab w:val="left" w:pos="5580"/>
        </w:tabs>
        <w:spacing w:line="240" w:lineRule="atLeast"/>
        <w:ind w:firstLine="480" w:firstLineChars="200"/>
        <w:rPr>
          <w:rFonts w:hint="eastAsia" w:ascii="宋体" w:hAnsi="宋体" w:eastAsia="宋体" w:cs="宋体"/>
          <w:sz w:val="24"/>
          <w:highlight w:val="none"/>
          <w:lang w:val="en-US" w:eastAsia="zh-CN"/>
        </w:rPr>
      </w:pPr>
      <w:r>
        <w:rPr>
          <w:rFonts w:hint="default" w:ascii="宋体" w:hAnsi="宋体" w:eastAsia="宋体" w:cs="宋体"/>
          <w:sz w:val="24"/>
          <w:highlight w:val="none"/>
          <w:lang w:val="en-US"/>
        </w:rPr>
        <mc:AlternateContent>
          <mc:Choice Requires="wps">
            <w:drawing>
              <wp:anchor distT="0" distB="0" distL="114300" distR="114300" simplePos="0" relativeHeight="251665408" behindDoc="0" locked="0" layoutInCell="1" allowOverlap="1">
                <wp:simplePos x="0" y="0"/>
                <wp:positionH relativeFrom="column">
                  <wp:posOffset>2655570</wp:posOffset>
                </wp:positionH>
                <wp:positionV relativeFrom="paragraph">
                  <wp:posOffset>57150</wp:posOffset>
                </wp:positionV>
                <wp:extent cx="2668905" cy="1271905"/>
                <wp:effectExtent l="7620" t="7620" r="1587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043E8A8">
                            <w:pPr>
                              <w:jc w:val="both"/>
                              <w:rPr>
                                <w:rFonts w:hint="eastAsia" w:hAnsi="宋体"/>
                              </w:rPr>
                            </w:pPr>
                          </w:p>
                          <w:p w14:paraId="4A5723EE">
                            <w:pPr>
                              <w:jc w:val="both"/>
                              <w:rPr>
                                <w:rFonts w:hint="eastAsia" w:hAnsi="宋体"/>
                              </w:rPr>
                            </w:pPr>
                          </w:p>
                          <w:p w14:paraId="1D263344">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7AA99FCC"/>
                        </w:txbxContent>
                      </wps:txbx>
                      <wps:bodyPr upright="1"/>
                    </wps:wsp>
                  </a:graphicData>
                </a:graphic>
              </wp:anchor>
            </w:drawing>
          </mc:Choice>
          <mc:Fallback>
            <w:pict>
              <v:roundrect id="_x0000_s1026" o:spid="_x0000_s1026" o:spt="2" style="position:absolute;left:0pt;margin-left:209.1pt;margin-top:4.5pt;height:100.15pt;width:210.15pt;z-index:251665408;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14:paraId="2043E8A8">
                      <w:pPr>
                        <w:jc w:val="both"/>
                        <w:rPr>
                          <w:rFonts w:hint="eastAsia" w:hAnsi="宋体"/>
                        </w:rPr>
                      </w:pPr>
                    </w:p>
                    <w:p w14:paraId="4A5723EE">
                      <w:pPr>
                        <w:jc w:val="both"/>
                        <w:rPr>
                          <w:rFonts w:hint="eastAsia" w:hAnsi="宋体"/>
                        </w:rPr>
                      </w:pPr>
                    </w:p>
                    <w:p w14:paraId="1D263344">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7AA99FCC"/>
                  </w:txbxContent>
                </v:textbox>
              </v:roundrect>
            </w:pict>
          </mc:Fallback>
        </mc:AlternateContent>
      </w:r>
      <w:r>
        <w:rPr>
          <w:rFonts w:hint="default" w:ascii="宋体" w:hAnsi="宋体" w:eastAsia="宋体" w:cs="宋体"/>
          <w:sz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45720</wp:posOffset>
                </wp:positionV>
                <wp:extent cx="2586355" cy="1280795"/>
                <wp:effectExtent l="5080" t="4445" r="1206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E237232">
                            <w:pPr>
                              <w:jc w:val="center"/>
                              <w:rPr>
                                <w:rFonts w:hint="eastAsia" w:hAnsi="宋体"/>
                              </w:rPr>
                            </w:pPr>
                          </w:p>
                          <w:p w14:paraId="47500888">
                            <w:pPr>
                              <w:jc w:val="center"/>
                              <w:rPr>
                                <w:rFonts w:hint="eastAsia" w:hAnsi="宋体"/>
                              </w:rPr>
                            </w:pPr>
                          </w:p>
                          <w:p w14:paraId="6BCDEAE3">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4384;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7E237232">
                      <w:pPr>
                        <w:jc w:val="center"/>
                        <w:rPr>
                          <w:rFonts w:hint="eastAsia" w:hAnsi="宋体"/>
                        </w:rPr>
                      </w:pPr>
                    </w:p>
                    <w:p w14:paraId="47500888">
                      <w:pPr>
                        <w:jc w:val="center"/>
                        <w:rPr>
                          <w:rFonts w:hint="eastAsia" w:hAnsi="宋体"/>
                        </w:rPr>
                      </w:pPr>
                    </w:p>
                    <w:p w14:paraId="6BCDEAE3">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sz w:val="24"/>
          <w:highlight w:val="none"/>
          <w:lang w:val="en-US" w:eastAsia="zh-CN"/>
        </w:rPr>
        <w:t xml:space="preserve">  </w:t>
      </w:r>
    </w:p>
    <w:p w14:paraId="14F8589A">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2BC8F243">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1BCEEAFB">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19B0CDE2">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6F771320">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429C4048">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0EA5E6CD">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0D814F75">
      <w:pPr>
        <w:pStyle w:val="17"/>
        <w:tabs>
          <w:tab w:val="left" w:pos="5580"/>
        </w:tabs>
        <w:spacing w:line="240" w:lineRule="atLeast"/>
        <w:ind w:firstLine="420" w:firstLineChars="200"/>
        <w:rPr>
          <w:rFonts w:hint="eastAsia" w:ascii="宋体" w:hAnsi="宋体" w:eastAsia="宋体" w:cs="宋体"/>
          <w:sz w:val="24"/>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2720975</wp:posOffset>
                </wp:positionH>
                <wp:positionV relativeFrom="paragraph">
                  <wp:posOffset>46990</wp:posOffset>
                </wp:positionV>
                <wp:extent cx="2674620" cy="1283335"/>
                <wp:effectExtent l="7620" t="7620" r="10160" b="1714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81C14AD">
                            <w:pPr>
                              <w:jc w:val="center"/>
                              <w:rPr>
                                <w:rFonts w:hint="eastAsia" w:hAnsi="宋体"/>
                              </w:rPr>
                            </w:pPr>
                          </w:p>
                          <w:p w14:paraId="2C576674">
                            <w:pPr>
                              <w:jc w:val="center"/>
                              <w:rPr>
                                <w:rFonts w:hint="eastAsia" w:hAnsi="宋体"/>
                              </w:rPr>
                            </w:pPr>
                          </w:p>
                          <w:p w14:paraId="07BE16D3">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63ACA900"/>
                        </w:txbxContent>
                      </wps:txbx>
                      <wps:bodyPr upright="1"/>
                    </wps:wsp>
                  </a:graphicData>
                </a:graphic>
              </wp:anchor>
            </w:drawing>
          </mc:Choice>
          <mc:Fallback>
            <w:pict>
              <v:roundrect id="_x0000_s1026" o:spid="_x0000_s1026" o:spt="2" style="position:absolute;left:0pt;margin-left:214.25pt;margin-top:3.7pt;height:101.05pt;width:210.6pt;z-index:251667456;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14:paraId="781C14AD">
                      <w:pPr>
                        <w:jc w:val="center"/>
                        <w:rPr>
                          <w:rFonts w:hint="eastAsia" w:hAnsi="宋体"/>
                        </w:rPr>
                      </w:pPr>
                    </w:p>
                    <w:p w14:paraId="2C576674">
                      <w:pPr>
                        <w:jc w:val="center"/>
                        <w:rPr>
                          <w:rFonts w:hint="eastAsia" w:hAnsi="宋体"/>
                        </w:rPr>
                      </w:pPr>
                    </w:p>
                    <w:p w14:paraId="07BE16D3">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63ACA900"/>
                  </w:txbxContent>
                </v:textbox>
              </v:roundrect>
            </w:pict>
          </mc:Fallback>
        </mc:AlternateContent>
      </w:r>
      <w:r>
        <w:rPr>
          <w:rFonts w:hint="eastAsia" w:ascii="宋体" w:hAnsi="宋体" w:eastAsia="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-130175</wp:posOffset>
                </wp:positionH>
                <wp:positionV relativeFrom="paragraph">
                  <wp:posOffset>53975</wp:posOffset>
                </wp:positionV>
                <wp:extent cx="2593975" cy="1267460"/>
                <wp:effectExtent l="7620" t="7620" r="1460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9B7B0BE">
                            <w:pPr>
                              <w:jc w:val="both"/>
                              <w:rPr>
                                <w:rFonts w:hint="eastAsia" w:hAnsi="宋体"/>
                              </w:rPr>
                            </w:pPr>
                          </w:p>
                          <w:p w14:paraId="29737AFA">
                            <w:pPr>
                              <w:jc w:val="both"/>
                              <w:rPr>
                                <w:rFonts w:hint="eastAsia" w:hAnsi="宋体"/>
                              </w:rPr>
                            </w:pPr>
                          </w:p>
                          <w:p w14:paraId="2C9A66BF">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4FA66A90"/>
                        </w:txbxContent>
                      </wps:txbx>
                      <wps:bodyPr upright="1"/>
                    </wps:wsp>
                  </a:graphicData>
                </a:graphic>
              </wp:anchor>
            </w:drawing>
          </mc:Choice>
          <mc:Fallback>
            <w:pict>
              <v:roundrect id="_x0000_s1026" o:spid="_x0000_s1026" o:spt="2" style="position:absolute;left:0pt;margin-left:-10.25pt;margin-top:4.25pt;height:99.8pt;width:204.25pt;z-index:251666432;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39B7B0BE">
                      <w:pPr>
                        <w:jc w:val="both"/>
                        <w:rPr>
                          <w:rFonts w:hint="eastAsia" w:hAnsi="宋体"/>
                        </w:rPr>
                      </w:pPr>
                    </w:p>
                    <w:p w14:paraId="29737AFA">
                      <w:pPr>
                        <w:jc w:val="both"/>
                        <w:rPr>
                          <w:rFonts w:hint="eastAsia" w:hAnsi="宋体"/>
                        </w:rPr>
                      </w:pPr>
                    </w:p>
                    <w:p w14:paraId="2C9A66BF">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4FA66A90"/>
                  </w:txbxContent>
                </v:textbox>
              </v:roundrect>
            </w:pict>
          </mc:Fallback>
        </mc:AlternateContent>
      </w:r>
    </w:p>
    <w:p w14:paraId="64D21354">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6127AD96">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54E716F4">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04AC051C">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7F64CC77">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47DE9809">
      <w:pPr>
        <w:pStyle w:val="17"/>
        <w:tabs>
          <w:tab w:val="left" w:pos="5580"/>
        </w:tabs>
        <w:spacing w:line="240" w:lineRule="atLeast"/>
        <w:ind w:firstLine="480" w:firstLineChars="200"/>
        <w:rPr>
          <w:rFonts w:hint="eastAsia" w:ascii="宋体" w:hAnsi="宋体" w:eastAsia="宋体" w:cs="宋体"/>
          <w:sz w:val="24"/>
          <w:highlight w:val="none"/>
          <w:lang w:val="en-US" w:eastAsia="zh-CN"/>
        </w:rPr>
      </w:pPr>
    </w:p>
    <w:p w14:paraId="59929C22">
      <w:pPr>
        <w:pStyle w:val="17"/>
        <w:tabs>
          <w:tab w:val="left" w:pos="5580"/>
        </w:tabs>
        <w:spacing w:line="240" w:lineRule="atLeast"/>
        <w:rPr>
          <w:rFonts w:hint="eastAsia" w:ascii="宋体" w:hAnsi="宋体" w:eastAsia="宋体" w:cs="宋体"/>
          <w:sz w:val="24"/>
          <w:highlight w:val="none"/>
          <w:lang w:val="en-US" w:eastAsia="zh-CN"/>
        </w:rPr>
      </w:pPr>
    </w:p>
    <w:p w14:paraId="677094CC">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（盖单位章）;</w:t>
      </w:r>
      <w:r>
        <w:rPr>
          <w:rFonts w:hint="eastAsia" w:ascii="宋体" w:hAnsi="宋体" w:eastAsia="宋体" w:cs="宋体"/>
          <w:sz w:val="24"/>
          <w:highlight w:val="none"/>
          <w:u w:val="single"/>
        </w:rPr>
        <w:t xml:space="preserve">                          </w:t>
      </w:r>
    </w:p>
    <w:p w14:paraId="4A6F90BA">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法定代表人（签字或签章）：</w:t>
      </w:r>
      <w:r>
        <w:rPr>
          <w:rFonts w:hint="eastAsia" w:ascii="宋体" w:hAnsi="宋体" w:eastAsia="宋体" w:cs="宋体"/>
          <w:sz w:val="24"/>
          <w:highlight w:val="none"/>
          <w:u w:val="single"/>
        </w:rPr>
        <w:t xml:space="preserve">                    </w:t>
      </w:r>
    </w:p>
    <w:p w14:paraId="23ECFF2D">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u w:val="single" w:color="EEECE1"/>
        </w:rPr>
        <w:t>身份证号码</w:t>
      </w:r>
      <w:r>
        <w:rPr>
          <w:rFonts w:hint="eastAsia" w:ascii="宋体" w:hAnsi="宋体" w:eastAsia="宋体" w:cs="宋体"/>
          <w:sz w:val="24"/>
          <w:highlight w:val="none"/>
        </w:rPr>
        <w:t>：_________________________________</w:t>
      </w:r>
    </w:p>
    <w:p w14:paraId="0C1AF00F">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委托代理人（签字或签章）：</w:t>
      </w:r>
      <w:r>
        <w:rPr>
          <w:rFonts w:hint="eastAsia" w:ascii="宋体" w:hAnsi="宋体" w:eastAsia="宋体" w:cs="宋体"/>
          <w:sz w:val="24"/>
          <w:highlight w:val="none"/>
          <w:u w:val="single"/>
        </w:rPr>
        <w:t xml:space="preserve">                    </w:t>
      </w:r>
    </w:p>
    <w:p w14:paraId="00272F99">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p>
    <w:p w14:paraId="036C88AD">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详细通讯地址：</w:t>
      </w:r>
      <w:r>
        <w:rPr>
          <w:rFonts w:hint="eastAsia" w:ascii="宋体" w:hAnsi="宋体" w:eastAsia="宋体" w:cs="宋体"/>
          <w:sz w:val="24"/>
          <w:highlight w:val="none"/>
          <w:u w:val="single"/>
        </w:rPr>
        <w:t xml:space="preserve">                               </w:t>
      </w:r>
    </w:p>
    <w:p w14:paraId="0B9F9B39">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邮 政 编 码 ：</w:t>
      </w:r>
      <w:r>
        <w:rPr>
          <w:rFonts w:hint="eastAsia" w:ascii="宋体" w:hAnsi="宋体" w:eastAsia="宋体" w:cs="宋体"/>
          <w:sz w:val="24"/>
          <w:highlight w:val="none"/>
          <w:u w:val="single"/>
        </w:rPr>
        <w:t xml:space="preserve">                               </w:t>
      </w:r>
    </w:p>
    <w:p w14:paraId="02433291">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14:paraId="4D4378BF">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kern w:val="0"/>
          <w:sz w:val="28"/>
          <w:szCs w:val="21"/>
          <w:lang w:val="en-US" w:eastAsia="zh-CN" w:bidi="ar-SA"/>
        </w:rPr>
        <w:sectPr>
          <w:pgSz w:w="11906" w:h="16838"/>
          <w:pgMar w:top="1440" w:right="1797" w:bottom="1440" w:left="1797" w:header="851" w:footer="992" w:gutter="0"/>
          <w:pgNumType w:fmt="decimal"/>
          <w:cols w:space="720" w:num="1"/>
          <w:docGrid w:type="linesAndChars" w:linePitch="312" w:charSpace="0"/>
        </w:sect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bookmarkEnd w:id="53"/>
    <w:bookmarkEnd w:id="54"/>
    <w:bookmarkEnd w:id="55"/>
    <w:bookmarkEnd w:id="56"/>
    <w:p w14:paraId="0EB56AE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rPr>
      </w:pPr>
      <w:bookmarkStart w:id="57" w:name="_Toc30527"/>
      <w:bookmarkStart w:id="58" w:name="_Toc7039"/>
      <w:bookmarkStart w:id="59" w:name="_Toc18130"/>
      <w:bookmarkStart w:id="60" w:name="_Toc515647808"/>
      <w:bookmarkStart w:id="61" w:name="_Toc32520"/>
      <w:r>
        <w:rPr>
          <w:rFonts w:hint="eastAsia" w:ascii="宋体" w:hAnsi="宋体" w:eastAsia="宋体" w:cs="宋体"/>
          <w:b w:val="0"/>
          <w:bCs w:val="0"/>
          <w:color w:val="000000"/>
          <w:sz w:val="24"/>
          <w:szCs w:val="24"/>
          <w:highlight w:val="none"/>
          <w:lang w:val="en-US" w:eastAsia="zh-CN"/>
        </w:rPr>
        <w:t>4.</w:t>
      </w:r>
      <w:r>
        <w:rPr>
          <w:rFonts w:hint="eastAsia" w:ascii="宋体" w:hAnsi="宋体"/>
          <w:color w:val="000000"/>
          <w:sz w:val="24"/>
          <w:szCs w:val="24"/>
          <w:highlight w:val="none"/>
        </w:rPr>
        <w:t>具有良好的商业信誉和健全的财务会计制度（2024年或2025年的财务审计报告；新成立公司不足一年的提供近三个月内有效的银行资信证明）</w:t>
      </w:r>
      <w:r>
        <w:rPr>
          <w:rFonts w:hint="eastAsia" w:ascii="宋体" w:hAnsi="宋体" w:eastAsia="宋体" w:cs="宋体"/>
          <w:b/>
          <w:bCs/>
          <w:color w:val="000000"/>
          <w:sz w:val="24"/>
          <w:szCs w:val="24"/>
          <w:highlight w:val="none"/>
        </w:rPr>
        <w:t>；</w:t>
      </w:r>
      <w:bookmarkEnd w:id="57"/>
    </w:p>
    <w:p w14:paraId="228BF166">
      <w:pPr>
        <w:pStyle w:val="15"/>
        <w:tabs>
          <w:tab w:val="left" w:pos="567"/>
        </w:tabs>
        <w:rPr>
          <w:rFonts w:hint="eastAsia" w:ascii="宋体" w:hAnsi="宋体" w:eastAsia="宋体" w:cs="宋体"/>
          <w:b/>
          <w:bCs/>
          <w:color w:val="000000"/>
          <w:sz w:val="24"/>
          <w:szCs w:val="24"/>
          <w:highlight w:val="none"/>
        </w:rPr>
      </w:pPr>
    </w:p>
    <w:p w14:paraId="6BAFC0D2">
      <w:pPr>
        <w:rPr>
          <w:rFonts w:hint="eastAsia"/>
        </w:rPr>
      </w:pPr>
    </w:p>
    <w:p w14:paraId="2BED2045">
      <w:pPr>
        <w:pStyle w:val="23"/>
        <w:ind w:left="0" w:leftChars="0" w:firstLine="0" w:firstLineChars="0"/>
        <w:rPr>
          <w:rFonts w:hint="eastAsia"/>
        </w:rPr>
      </w:pPr>
    </w:p>
    <w:p w14:paraId="475D0A0C">
      <w:pPr>
        <w:pStyle w:val="23"/>
        <w:ind w:left="0" w:leftChars="0" w:firstLine="0" w:firstLineChars="0"/>
        <w:rPr>
          <w:rFonts w:hint="eastAsia"/>
        </w:rPr>
      </w:pPr>
    </w:p>
    <w:p w14:paraId="3A37844C">
      <w:pPr>
        <w:pStyle w:val="23"/>
        <w:rPr>
          <w:rFonts w:hint="eastAsia"/>
        </w:rPr>
      </w:pPr>
    </w:p>
    <w:p w14:paraId="73C18993">
      <w:pPr>
        <w:pStyle w:val="23"/>
        <w:rPr>
          <w:rFonts w:hint="eastAsia"/>
        </w:rPr>
      </w:pPr>
    </w:p>
    <w:p w14:paraId="2CC90CC6">
      <w:pPr>
        <w:pStyle w:val="23"/>
        <w:rPr>
          <w:rFonts w:hint="eastAsia"/>
        </w:rPr>
      </w:pPr>
    </w:p>
    <w:p w14:paraId="6C456CC9">
      <w:pPr>
        <w:pStyle w:val="23"/>
        <w:rPr>
          <w:rFonts w:hint="eastAsia"/>
        </w:rPr>
      </w:pPr>
    </w:p>
    <w:p w14:paraId="0995B60A">
      <w:pPr>
        <w:pStyle w:val="23"/>
        <w:rPr>
          <w:rFonts w:hint="eastAsia"/>
        </w:rPr>
      </w:pPr>
    </w:p>
    <w:p w14:paraId="17A369AC">
      <w:pPr>
        <w:pStyle w:val="23"/>
        <w:rPr>
          <w:rFonts w:hint="eastAsia"/>
        </w:rPr>
      </w:pPr>
    </w:p>
    <w:p w14:paraId="2EDD2448">
      <w:pPr>
        <w:rPr>
          <w:rFonts w:hint="eastAsia"/>
        </w:rPr>
      </w:pPr>
    </w:p>
    <w:p w14:paraId="18787B94">
      <w:pPr>
        <w:rPr>
          <w:rFonts w:hint="eastAsia"/>
        </w:rPr>
      </w:pPr>
    </w:p>
    <w:p w14:paraId="1733A27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rPr>
      </w:pPr>
      <w:bookmarkStart w:id="62" w:name="_Toc23239"/>
      <w:r>
        <w:rPr>
          <w:rFonts w:hint="eastAsia" w:ascii="宋体" w:hAnsi="宋体" w:eastAsia="宋体" w:cs="宋体"/>
          <w:b/>
          <w:bCs/>
          <w:color w:val="000000"/>
          <w:sz w:val="24"/>
          <w:szCs w:val="24"/>
          <w:highlight w:val="none"/>
          <w:lang w:val="en-US" w:eastAsia="zh-CN"/>
        </w:rPr>
        <w:t>5.</w:t>
      </w:r>
      <w:r>
        <w:rPr>
          <w:rFonts w:hint="eastAsia" w:ascii="宋体" w:hAnsi="宋体"/>
          <w:color w:val="000000"/>
          <w:sz w:val="24"/>
          <w:szCs w:val="24"/>
          <w:highlight w:val="none"/>
        </w:rPr>
        <w:t>具有履行合同所必需的设备和专业技术能力的承诺书</w:t>
      </w:r>
      <w:r>
        <w:rPr>
          <w:rFonts w:hint="eastAsia" w:ascii="宋体" w:hAnsi="宋体" w:eastAsia="宋体" w:cs="宋体"/>
          <w:b/>
          <w:bCs/>
          <w:color w:val="000000"/>
          <w:sz w:val="24"/>
          <w:szCs w:val="24"/>
          <w:highlight w:val="none"/>
        </w:rPr>
        <w:t>；</w:t>
      </w:r>
      <w:bookmarkEnd w:id="62"/>
    </w:p>
    <w:p w14:paraId="6FA8464F">
      <w:pPr>
        <w:keepNext w:val="0"/>
        <w:keepLines w:val="0"/>
        <w:pageBreakBefore w:val="0"/>
        <w:widowControl/>
        <w:kinsoku w:val="0"/>
        <w:wordWrap/>
        <w:overflowPunct/>
        <w:topLinePunct w:val="0"/>
        <w:autoSpaceDE w:val="0"/>
        <w:autoSpaceDN w:val="0"/>
        <w:bidi w:val="0"/>
        <w:adjustRightInd w:val="0"/>
        <w:snapToGrid w:val="0"/>
        <w:spacing w:before="185" w:line="480" w:lineRule="auto"/>
        <w:ind w:right="80"/>
        <w:jc w:val="center"/>
        <w:textAlignment w:val="baseline"/>
        <w:rPr>
          <w:rFonts w:hint="eastAsia" w:ascii="宋体" w:hAnsi="宋体" w:eastAsia="宋体" w:cs="宋体"/>
          <w:color w:val="auto"/>
          <w:sz w:val="24"/>
          <w:szCs w:val="24"/>
          <w:highlight w:val="none"/>
        </w:rPr>
      </w:pPr>
      <w:r>
        <w:rPr>
          <w:rFonts w:hint="eastAsia" w:ascii="宋体" w:hAnsi="宋体"/>
          <w:color w:val="000000"/>
          <w:sz w:val="28"/>
          <w:szCs w:val="28"/>
          <w:highlight w:val="none"/>
        </w:rPr>
        <w:t>承诺书</w:t>
      </w:r>
    </w:p>
    <w:p w14:paraId="5F9856DE">
      <w:pPr>
        <w:keepNext w:val="0"/>
        <w:keepLines w:val="0"/>
        <w:pageBreakBefore w:val="0"/>
        <w:widowControl/>
        <w:kinsoku w:val="0"/>
        <w:wordWrap/>
        <w:overflowPunct/>
        <w:topLinePunct w:val="0"/>
        <w:autoSpaceDE w:val="0"/>
        <w:autoSpaceDN w:val="0"/>
        <w:bidi w:val="0"/>
        <w:adjustRightInd w:val="0"/>
        <w:snapToGrid w:val="0"/>
        <w:spacing w:before="185" w:line="480" w:lineRule="auto"/>
        <w:ind w:right="80"/>
        <w:textAlignment w:val="baseline"/>
        <w:rPr>
          <w:rFonts w:hint="default" w:ascii="宋体" w:hAnsi="宋体" w:eastAsia="宋体" w:cs="宋体"/>
          <w:color w:val="auto"/>
          <w:spacing w:val="9"/>
          <w:sz w:val="24"/>
          <w:szCs w:val="24"/>
          <w:highlight w:val="none"/>
          <w:lang w:val="en-US"/>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lang w:val="en-US" w:eastAsia="zh-CN"/>
        </w:rPr>
        <w:t>名称）</w:t>
      </w:r>
    </w:p>
    <w:p w14:paraId="18E184D0">
      <w:pPr>
        <w:keepNext w:val="0"/>
        <w:keepLines w:val="0"/>
        <w:pageBreakBefore w:val="0"/>
        <w:widowControl/>
        <w:kinsoku w:val="0"/>
        <w:wordWrap/>
        <w:overflowPunct/>
        <w:topLinePunct w:val="0"/>
        <w:autoSpaceDE w:val="0"/>
        <w:autoSpaceDN w:val="0"/>
        <w:bidi w:val="0"/>
        <w:adjustRightInd w:val="0"/>
        <w:snapToGrid w:val="0"/>
        <w:spacing w:before="185" w:line="480" w:lineRule="auto"/>
        <w:ind w:left="9" w:right="8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我公司自愿参加由贵公司组织的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pacing w:val="8"/>
          <w:sz w:val="24"/>
          <w:szCs w:val="24"/>
          <w:highlight w:val="none"/>
        </w:rPr>
        <w:t>采购活动，在</w:t>
      </w:r>
      <w:r>
        <w:rPr>
          <w:rFonts w:hint="eastAsia" w:ascii="宋体" w:hAnsi="宋体" w:eastAsia="宋体" w:cs="宋体"/>
          <w:color w:val="auto"/>
          <w:spacing w:val="-2"/>
          <w:sz w:val="24"/>
          <w:szCs w:val="24"/>
          <w:highlight w:val="none"/>
        </w:rPr>
        <w:t>此郑重承诺：</w:t>
      </w:r>
    </w:p>
    <w:p w14:paraId="14683CD3">
      <w:pPr>
        <w:keepNext w:val="0"/>
        <w:keepLines w:val="0"/>
        <w:pageBreakBefore w:val="0"/>
        <w:widowControl/>
        <w:kinsoku w:val="0"/>
        <w:wordWrap/>
        <w:overflowPunct/>
        <w:topLinePunct w:val="0"/>
        <w:autoSpaceDE w:val="0"/>
        <w:autoSpaceDN w:val="0"/>
        <w:bidi w:val="0"/>
        <w:adjustRightInd w:val="0"/>
        <w:snapToGrid w:val="0"/>
        <w:spacing w:before="36" w:line="480" w:lineRule="auto"/>
        <w:ind w:left="11"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我公司完全理解本项目招标的技术要求、商务条款及其他内容，决定参与该项目的</w:t>
      </w:r>
      <w:r>
        <w:rPr>
          <w:rFonts w:hint="eastAsia" w:ascii="宋体" w:hAnsi="宋体" w:eastAsia="宋体" w:cs="宋体"/>
          <w:color w:val="auto"/>
          <w:spacing w:val="9"/>
          <w:sz w:val="24"/>
          <w:szCs w:val="24"/>
          <w:highlight w:val="none"/>
          <w:lang w:val="en-US" w:eastAsia="zh-CN"/>
        </w:rPr>
        <w:t>磋商</w:t>
      </w:r>
      <w:r>
        <w:rPr>
          <w:rFonts w:hint="eastAsia" w:ascii="宋体" w:hAnsi="宋体" w:eastAsia="宋体" w:cs="宋体"/>
          <w:color w:val="auto"/>
          <w:spacing w:val="9"/>
          <w:sz w:val="24"/>
          <w:szCs w:val="24"/>
          <w:highlight w:val="none"/>
        </w:rPr>
        <w:t>活动。并承诺，如中标我公司将提供足够的产</w:t>
      </w:r>
      <w:r>
        <w:rPr>
          <w:rFonts w:hint="eastAsia" w:ascii="宋体" w:hAnsi="宋体" w:eastAsia="宋体" w:cs="宋体"/>
          <w:color w:val="auto"/>
          <w:spacing w:val="8"/>
          <w:sz w:val="24"/>
          <w:szCs w:val="24"/>
          <w:highlight w:val="none"/>
        </w:rPr>
        <w:t>品和专业技术能力保证本合同履行。</w:t>
      </w:r>
    </w:p>
    <w:p w14:paraId="5F134F59">
      <w:pPr>
        <w:keepNext w:val="0"/>
        <w:keepLines w:val="0"/>
        <w:pageBreakBefore w:val="0"/>
        <w:widowControl/>
        <w:kinsoku w:val="0"/>
        <w:wordWrap/>
        <w:overflowPunct/>
        <w:topLinePunct w:val="0"/>
        <w:autoSpaceDE w:val="0"/>
        <w:autoSpaceDN w:val="0"/>
        <w:bidi w:val="0"/>
        <w:adjustRightInd w:val="0"/>
        <w:snapToGrid w:val="0"/>
        <w:spacing w:before="36" w:line="480" w:lineRule="auto"/>
        <w:ind w:left="10" w:right="8"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本公司对以上承诺的真实性负责。如有虚假，我公司同意按我方合同违约处理，并</w:t>
      </w:r>
      <w:r>
        <w:rPr>
          <w:rFonts w:hint="eastAsia" w:ascii="宋体" w:hAnsi="宋体" w:eastAsia="宋体" w:cs="宋体"/>
          <w:color w:val="auto"/>
          <w:spacing w:val="5"/>
          <w:sz w:val="24"/>
          <w:szCs w:val="24"/>
          <w:highlight w:val="none"/>
        </w:rPr>
        <w:t>依法承担相应的法律责任。</w:t>
      </w:r>
    </w:p>
    <w:p w14:paraId="5D99C280">
      <w:pPr>
        <w:pStyle w:val="15"/>
        <w:tabs>
          <w:tab w:val="left" w:pos="567"/>
        </w:tabs>
        <w:spacing w:line="251" w:lineRule="auto"/>
        <w:rPr>
          <w:rFonts w:hint="eastAsia" w:ascii="宋体" w:hAnsi="宋体" w:eastAsia="宋体" w:cs="宋体"/>
          <w:color w:val="auto"/>
          <w:sz w:val="24"/>
          <w:szCs w:val="24"/>
          <w:highlight w:val="none"/>
        </w:rPr>
      </w:pPr>
    </w:p>
    <w:p w14:paraId="0B2B64E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（单位盖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D998B8">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AB41654">
      <w:pPr>
        <w:keepNext w:val="0"/>
        <w:keepLines w:val="0"/>
        <w:pageBreakBefore w:val="0"/>
        <w:widowControl/>
        <w:kinsoku w:val="0"/>
        <w:wordWrap/>
        <w:overflowPunct/>
        <w:topLinePunct w:val="0"/>
        <w:autoSpaceDE w:val="0"/>
        <w:autoSpaceDN w:val="0"/>
        <w:bidi w:val="0"/>
        <w:adjustRightInd w:val="0"/>
        <w:snapToGrid w:val="0"/>
        <w:spacing w:line="480" w:lineRule="auto"/>
        <w:jc w:val="right"/>
        <w:textAlignment w:val="baseline"/>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rPr>
        <w:t>日期：  年  月  日</w:t>
      </w:r>
    </w:p>
    <w:p w14:paraId="0903AFDF">
      <w:pPr>
        <w:keepNext w:val="0"/>
        <w:keepLines w:val="0"/>
        <w:pageBreakBefore w:val="0"/>
        <w:widowControl/>
        <w:kinsoku w:val="0"/>
        <w:wordWrap/>
        <w:overflowPunct/>
        <w:topLinePunct w:val="0"/>
        <w:autoSpaceDE w:val="0"/>
        <w:autoSpaceDN w:val="0"/>
        <w:bidi w:val="0"/>
        <w:adjustRightInd w:val="0"/>
        <w:snapToGrid w:val="0"/>
        <w:spacing w:line="480" w:lineRule="auto"/>
        <w:jc w:val="right"/>
        <w:textAlignment w:val="baseline"/>
        <w:rPr>
          <w:rFonts w:hint="eastAsia" w:ascii="宋体" w:hAnsi="宋体" w:eastAsia="宋体" w:cs="宋体"/>
          <w:color w:val="auto"/>
          <w:sz w:val="22"/>
          <w:szCs w:val="28"/>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5AD4388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color w:val="000000"/>
          <w:sz w:val="24"/>
          <w:szCs w:val="24"/>
          <w:highlight w:val="none"/>
        </w:rPr>
      </w:pP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lang w:val="en-US" w:eastAsia="en-US"/>
        </w:rPr>
        <w:t>提供近6个月任意一个月的由社保部门或税务局出具的投标单位缴纳的社保证明。</w:t>
      </w:r>
    </w:p>
    <w:p w14:paraId="312E7CB7">
      <w:pPr>
        <w:rPr>
          <w:rFonts w:hint="eastAsia"/>
        </w:rPr>
      </w:pPr>
    </w:p>
    <w:p w14:paraId="5A06F545">
      <w:pPr>
        <w:pStyle w:val="15"/>
        <w:tabs>
          <w:tab w:val="left" w:pos="567"/>
        </w:tabs>
        <w:rPr>
          <w:rFonts w:hint="eastAsia"/>
          <w:lang w:eastAsia="zh-CN"/>
        </w:rPr>
      </w:pPr>
    </w:p>
    <w:p w14:paraId="2C9AC0EC">
      <w:pPr>
        <w:rPr>
          <w:rFonts w:hint="eastAsia"/>
          <w:lang w:eastAsia="zh-CN"/>
        </w:rPr>
      </w:pPr>
    </w:p>
    <w:p w14:paraId="4DE0FFFE">
      <w:pPr>
        <w:pStyle w:val="15"/>
        <w:tabs>
          <w:tab w:val="left" w:pos="567"/>
        </w:tabs>
        <w:rPr>
          <w:rFonts w:hint="eastAsia"/>
          <w:lang w:eastAsia="zh-CN"/>
        </w:rPr>
      </w:pPr>
    </w:p>
    <w:p w14:paraId="5A10E280">
      <w:pPr>
        <w:pStyle w:val="15"/>
        <w:tabs>
          <w:tab w:val="left" w:pos="567"/>
        </w:tabs>
        <w:rPr>
          <w:rFonts w:hint="eastAsia"/>
          <w:lang w:eastAsia="zh-CN"/>
        </w:rPr>
      </w:pPr>
    </w:p>
    <w:p w14:paraId="3D3F116C">
      <w:pPr>
        <w:pStyle w:val="15"/>
        <w:tabs>
          <w:tab w:val="left" w:pos="567"/>
        </w:tabs>
        <w:rPr>
          <w:rFonts w:hint="eastAsia"/>
          <w:lang w:eastAsia="zh-CN"/>
        </w:rPr>
      </w:pPr>
    </w:p>
    <w:p w14:paraId="628E3AB3">
      <w:pPr>
        <w:pStyle w:val="15"/>
        <w:tabs>
          <w:tab w:val="left" w:pos="567"/>
        </w:tabs>
        <w:rPr>
          <w:rFonts w:hint="eastAsia"/>
          <w:lang w:eastAsia="zh-CN"/>
        </w:rPr>
      </w:pPr>
    </w:p>
    <w:p w14:paraId="30257E7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7.</w:t>
      </w:r>
      <w:r>
        <w:rPr>
          <w:rFonts w:hint="eastAsia" w:ascii="宋体" w:hAnsi="宋体" w:eastAsia="宋体" w:cs="宋体"/>
          <w:sz w:val="24"/>
          <w:szCs w:val="24"/>
          <w:lang w:val="en-US" w:eastAsia="zh-CN"/>
        </w:rPr>
        <w:t>缴纳税收近6个月任意一个月的完税证明（零申报请出具税务部门加盖公章的证明材料或无欠款税收证明）</w:t>
      </w:r>
    </w:p>
    <w:p w14:paraId="14E5B646">
      <w:pPr>
        <w:pStyle w:val="15"/>
        <w:keepNext w:val="0"/>
        <w:keepLines w:val="0"/>
        <w:pageBreakBefore w:val="0"/>
        <w:widowControl w:val="0"/>
        <w:numPr>
          <w:ilvl w:val="0"/>
          <w:numId w:val="0"/>
        </w:numPr>
        <w:tabs>
          <w:tab w:val="left" w:pos="567"/>
        </w:tabs>
        <w:wordWrap/>
        <w:overflowPunct/>
        <w:topLinePunct w:val="0"/>
        <w:bidi w:val="0"/>
        <w:spacing w:before="120"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注：若为零申报企业，需提供国家税务总局电子税务局“申报结果查询截图”，税务局代收的社保缴费证明不可作为本项目的完税证明（“税种”不可为养老保险、医疗保险、失业保险、工伤保险和生育保险）</w:t>
      </w:r>
    </w:p>
    <w:p w14:paraId="780348EF">
      <w:pPr>
        <w:rPr>
          <w:rFonts w:hint="eastAsia"/>
        </w:rPr>
      </w:pPr>
    </w:p>
    <w:p w14:paraId="37106A8E">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eastAsia="zh-CN"/>
        </w:rPr>
      </w:pPr>
    </w:p>
    <w:p w14:paraId="67D978E2">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eastAsia="zh-CN"/>
        </w:rPr>
      </w:pPr>
    </w:p>
    <w:p w14:paraId="35D50C3E">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eastAsia="zh-CN"/>
        </w:rPr>
      </w:pPr>
    </w:p>
    <w:p w14:paraId="2C8DB6D1">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eastAsia="zh-CN"/>
        </w:rPr>
      </w:pPr>
    </w:p>
    <w:p w14:paraId="651B065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lang w:val="en-US" w:eastAsia="zh-CN"/>
        </w:rPr>
      </w:pPr>
    </w:p>
    <w:p w14:paraId="4CDA6FE3">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lang w:val="en-US" w:eastAsia="zh-CN"/>
        </w:rPr>
      </w:pPr>
      <w:bookmarkStart w:id="63" w:name="_Toc26556"/>
      <w:r>
        <w:rPr>
          <w:rFonts w:hint="eastAsia" w:ascii="宋体" w:hAnsi="宋体" w:eastAsia="宋体" w:cs="宋体"/>
          <w:sz w:val="24"/>
          <w:szCs w:val="24"/>
          <w:lang w:val="en-US" w:eastAsia="zh-CN"/>
        </w:rPr>
        <w:t>8.凡拟参加本次招标项目的供应商，如在“信用中国”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以招标代理机构或采购人查询为准）</w:t>
      </w:r>
    </w:p>
    <w:p w14:paraId="2F785EC2">
      <w:pPr>
        <w:pStyle w:val="11"/>
        <w:rPr>
          <w:rFonts w:hint="eastAsia"/>
          <w:lang w:val="en-US" w:eastAsia="zh-CN"/>
        </w:rPr>
      </w:pPr>
    </w:p>
    <w:p w14:paraId="0AF15B53">
      <w:pPr>
        <w:rPr>
          <w:rFonts w:hint="eastAsia"/>
          <w:lang w:val="en-US" w:eastAsia="zh-CN"/>
        </w:rPr>
      </w:pPr>
    </w:p>
    <w:p w14:paraId="365DA01B">
      <w:pPr>
        <w:rPr>
          <w:rFonts w:hint="eastAsia"/>
          <w:lang w:val="en-US" w:eastAsia="zh-CN"/>
        </w:rPr>
      </w:pPr>
    </w:p>
    <w:p w14:paraId="0F92937F">
      <w:pPr>
        <w:rPr>
          <w:rFonts w:hint="eastAsia"/>
          <w:lang w:val="en-US" w:eastAsia="zh-CN"/>
        </w:rPr>
      </w:pPr>
    </w:p>
    <w:p w14:paraId="7619D9B7">
      <w:pPr>
        <w:rPr>
          <w:rFonts w:hint="eastAsia"/>
          <w:lang w:val="en-US" w:eastAsia="zh-CN"/>
        </w:rPr>
      </w:pPr>
    </w:p>
    <w:p w14:paraId="4B7E92AD">
      <w:pPr>
        <w:rPr>
          <w:rFonts w:hint="eastAsia"/>
          <w:lang w:val="en-US" w:eastAsia="zh-CN"/>
        </w:rPr>
      </w:pPr>
    </w:p>
    <w:p w14:paraId="24BB49BB">
      <w:pPr>
        <w:rPr>
          <w:rFonts w:hint="eastAsia"/>
          <w:lang w:val="en-US" w:eastAsia="zh-CN"/>
        </w:rPr>
      </w:pPr>
    </w:p>
    <w:p w14:paraId="2570CD68">
      <w:pPr>
        <w:rPr>
          <w:rFonts w:hint="eastAsia"/>
          <w:lang w:val="en-US" w:eastAsia="zh-CN"/>
        </w:rPr>
      </w:pPr>
    </w:p>
    <w:p w14:paraId="5D25F798">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85" w:line="480" w:lineRule="auto"/>
        <w:ind w:right="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供应商提供针对本次项目《反商业贿赂承诺书》</w:t>
      </w:r>
    </w:p>
    <w:p w14:paraId="2AB7E4D8">
      <w:pPr>
        <w:pStyle w:val="24"/>
        <w:jc w:val="center"/>
        <w:rPr>
          <w:rFonts w:hint="eastAsia" w:ascii="宋体" w:hAnsi="宋体" w:eastAsia="Arial" w:cs="Arial"/>
          <w:snapToGrid w:val="0"/>
          <w:color w:val="000000"/>
          <w:kern w:val="0"/>
          <w:sz w:val="24"/>
          <w:szCs w:val="24"/>
          <w:highlight w:val="none"/>
          <w:lang w:val="en-US" w:eastAsia="zh-CN" w:bidi="ar-SA"/>
        </w:rPr>
      </w:pPr>
    </w:p>
    <w:p w14:paraId="25ACA977">
      <w:pPr>
        <w:pStyle w:val="24"/>
        <w:jc w:val="center"/>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反商业贿赂承诺书</w:t>
      </w:r>
    </w:p>
    <w:p w14:paraId="682977F8">
      <w:pPr>
        <w:pStyle w:val="24"/>
        <w:jc w:val="both"/>
        <w:rPr>
          <w:rFonts w:hint="eastAsia" w:ascii="宋体" w:hAnsi="宋体" w:eastAsia="Arial" w:cs="Arial"/>
          <w:snapToGrid w:val="0"/>
          <w:color w:val="000000"/>
          <w:kern w:val="0"/>
          <w:sz w:val="24"/>
          <w:szCs w:val="24"/>
          <w:highlight w:val="none"/>
          <w:lang w:val="en-US" w:eastAsia="zh-CN" w:bidi="ar-SA"/>
        </w:rPr>
      </w:pPr>
    </w:p>
    <w:p w14:paraId="5AFA320D">
      <w:pPr>
        <w:pStyle w:val="24"/>
        <w:jc w:val="left"/>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我单位承诺：</w:t>
      </w:r>
    </w:p>
    <w:p w14:paraId="22E14FCC">
      <w:pPr>
        <w:pStyle w:val="24"/>
        <w:ind w:firstLine="482" w:firstLineChars="200"/>
        <w:jc w:val="left"/>
        <w:rPr>
          <w:rFonts w:hint="eastAsia" w:ascii="宋体" w:hAnsi="宋体" w:eastAsia="Arial" w:cs="Arial"/>
          <w:snapToGrid w:val="0"/>
          <w:color w:val="000000"/>
          <w:kern w:val="0"/>
          <w:sz w:val="24"/>
          <w:szCs w:val="24"/>
          <w:highlight w:val="none"/>
          <w:lang w:val="en-US" w:eastAsia="zh-CN" w:bidi="ar-SA"/>
        </w:rPr>
      </w:pPr>
    </w:p>
    <w:p w14:paraId="62A8ECAA">
      <w:pPr>
        <w:pStyle w:val="24"/>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在参加（项目名称及编号）时，我单位保证做到：</w:t>
      </w:r>
    </w:p>
    <w:p w14:paraId="18F5DE7A">
      <w:pPr>
        <w:pStyle w:val="24"/>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一、公平竞争参加本次招标活动。</w:t>
      </w:r>
    </w:p>
    <w:p w14:paraId="34F38313">
      <w:pPr>
        <w:pStyle w:val="24"/>
        <w:keepNext w:val="0"/>
        <w:keepLines w:val="0"/>
        <w:pageBreakBefore w:val="0"/>
        <w:widowControl w:val="0"/>
        <w:kinsoku/>
        <w:wordWrap/>
        <w:overflowPunct/>
        <w:topLinePunct w:val="0"/>
        <w:autoSpaceDE/>
        <w:autoSpaceDN/>
        <w:bidi w:val="0"/>
        <w:adjustRightInd/>
        <w:snapToGrid w:val="0"/>
        <w:spacing w:line="360" w:lineRule="auto"/>
        <w:ind w:left="280" w:hanging="241" w:hangingChars="100"/>
        <w:jc w:val="left"/>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708EA660">
      <w:pPr>
        <w:pStyle w:val="24"/>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三、若出现上述行为，我单位及参与投标的工作人员愿意接受按照国家法律法规等有关规定给予的处罚。</w:t>
      </w:r>
    </w:p>
    <w:p w14:paraId="1D769A24">
      <w:pPr>
        <w:pStyle w:val="24"/>
        <w:jc w:val="left"/>
        <w:rPr>
          <w:rFonts w:hint="eastAsia" w:ascii="宋体" w:hAnsi="宋体" w:eastAsia="Arial" w:cs="Arial"/>
          <w:snapToGrid w:val="0"/>
          <w:color w:val="000000"/>
          <w:kern w:val="0"/>
          <w:sz w:val="24"/>
          <w:szCs w:val="24"/>
          <w:highlight w:val="none"/>
          <w:lang w:val="en-US" w:eastAsia="zh-CN" w:bidi="ar-SA"/>
        </w:rPr>
      </w:pPr>
    </w:p>
    <w:p w14:paraId="1E7166B2">
      <w:pPr>
        <w:pStyle w:val="24"/>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 xml:space="preserve">                                     </w:t>
      </w:r>
    </w:p>
    <w:p w14:paraId="7071FA1F">
      <w:pPr>
        <w:pStyle w:val="24"/>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cs="Arial"/>
          <w:snapToGrid w:val="0"/>
          <w:color w:val="000000"/>
          <w:kern w:val="0"/>
          <w:sz w:val="24"/>
          <w:szCs w:val="24"/>
          <w:highlight w:val="none"/>
          <w:lang w:val="en-US" w:eastAsia="zh-CN" w:bidi="ar-SA"/>
        </w:rPr>
        <w:t xml:space="preserve">                                 </w:t>
      </w:r>
      <w:r>
        <w:rPr>
          <w:rFonts w:hint="eastAsia" w:ascii="宋体" w:hAnsi="宋体" w:eastAsia="Arial" w:cs="Arial"/>
          <w:snapToGrid w:val="0"/>
          <w:color w:val="000000"/>
          <w:kern w:val="0"/>
          <w:sz w:val="24"/>
          <w:szCs w:val="24"/>
          <w:highlight w:val="none"/>
          <w:lang w:val="en-US" w:eastAsia="zh-CN" w:bidi="ar-SA"/>
        </w:rPr>
        <w:t xml:space="preserve"> 供应商名称： （盖章）</w:t>
      </w:r>
    </w:p>
    <w:p w14:paraId="17A22BB3">
      <w:pPr>
        <w:pStyle w:val="24"/>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Arial" w:cs="Arial"/>
          <w:snapToGrid w:val="0"/>
          <w:color w:val="000000"/>
          <w:kern w:val="0"/>
          <w:sz w:val="24"/>
          <w:szCs w:val="24"/>
          <w:highlight w:val="none"/>
          <w:lang w:val="en-US" w:eastAsia="zh-CN" w:bidi="ar-SA"/>
        </w:rPr>
      </w:pPr>
    </w:p>
    <w:p w14:paraId="29550E6B">
      <w:pPr>
        <w:pStyle w:val="24"/>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法定代表人或授权委托人： （签字或盖章）</w:t>
      </w:r>
    </w:p>
    <w:p w14:paraId="705215AB">
      <w:pPr>
        <w:pStyle w:val="24"/>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Arial" w:cs="Arial"/>
          <w:snapToGrid w:val="0"/>
          <w:color w:val="000000"/>
          <w:kern w:val="0"/>
          <w:sz w:val="24"/>
          <w:szCs w:val="24"/>
          <w:highlight w:val="none"/>
          <w:lang w:val="en-US" w:eastAsia="zh-CN" w:bidi="ar-SA"/>
        </w:rPr>
      </w:pPr>
    </w:p>
    <w:p w14:paraId="7518BC66">
      <w:pPr>
        <w:rPr>
          <w:rFonts w:hint="eastAsia" w:ascii="宋体" w:hAnsi="宋体" w:eastAsia="Arial" w:cs="Arial"/>
          <w:snapToGrid w:val="0"/>
          <w:color w:val="000000"/>
          <w:kern w:val="0"/>
          <w:sz w:val="24"/>
          <w:szCs w:val="24"/>
          <w:highlight w:val="none"/>
          <w:lang w:val="en-US" w:eastAsia="zh-CN" w:bidi="ar-SA"/>
        </w:rPr>
      </w:pPr>
      <w:r>
        <w:rPr>
          <w:rFonts w:hint="eastAsia" w:ascii="宋体" w:hAnsi="宋体" w:eastAsia="Arial" w:cs="Arial"/>
          <w:snapToGrid w:val="0"/>
          <w:color w:val="000000"/>
          <w:kern w:val="0"/>
          <w:sz w:val="24"/>
          <w:szCs w:val="24"/>
          <w:highlight w:val="none"/>
          <w:lang w:val="en-US" w:eastAsia="zh-CN" w:bidi="ar-SA"/>
        </w:rPr>
        <w:t xml:space="preserve">                                            日期：     年   月   日</w:t>
      </w:r>
    </w:p>
    <w:p w14:paraId="03612554">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7BE410E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5B615F0C">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287DA5C9">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1D97755C">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2AD875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p w14:paraId="68827EC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lang w:val="en-US" w:eastAsia="zh-CN"/>
        </w:rPr>
      </w:pPr>
    </w:p>
    <w:bookmarkEnd w:id="63"/>
    <w:p w14:paraId="46DF787E">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lang w:val="en-US" w:eastAsia="zh-CN"/>
        </w:rPr>
      </w:pPr>
      <w:bookmarkStart w:id="64" w:name="_Toc20388"/>
    </w:p>
    <w:p w14:paraId="55267283">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参加政府采购活动前三年内在经营活动中没有重大违法记录的书面声明；</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格式自拟</w:t>
      </w:r>
      <w:r>
        <w:rPr>
          <w:rFonts w:hint="eastAsia" w:ascii="宋体" w:hAnsi="宋体"/>
          <w:color w:val="000000"/>
          <w:sz w:val="24"/>
          <w:szCs w:val="24"/>
          <w:highlight w:val="none"/>
          <w:lang w:eastAsia="zh-CN"/>
        </w:rPr>
        <w:t>）</w:t>
      </w:r>
      <w:bookmarkEnd w:id="64"/>
    </w:p>
    <w:p w14:paraId="25120E3C">
      <w:pPr>
        <w:pStyle w:val="15"/>
        <w:tabs>
          <w:tab w:val="left" w:pos="567"/>
        </w:tabs>
        <w:rPr>
          <w:rFonts w:hint="eastAsia" w:ascii="宋体" w:hAnsi="宋体" w:eastAsia="宋体" w:cs="宋体"/>
          <w:b/>
          <w:bCs/>
          <w:color w:val="000000"/>
          <w:sz w:val="24"/>
          <w:szCs w:val="24"/>
          <w:highlight w:val="none"/>
          <w:lang w:eastAsia="zh-CN"/>
        </w:rPr>
      </w:pPr>
    </w:p>
    <w:p w14:paraId="1B438147">
      <w:pPr>
        <w:rPr>
          <w:rFonts w:hint="eastAsia" w:ascii="宋体" w:hAnsi="宋体" w:eastAsia="宋体" w:cs="宋体"/>
          <w:b/>
          <w:bCs/>
          <w:color w:val="000000"/>
          <w:sz w:val="24"/>
          <w:szCs w:val="24"/>
          <w:highlight w:val="none"/>
          <w:lang w:eastAsia="zh-CN"/>
        </w:rPr>
      </w:pPr>
    </w:p>
    <w:p w14:paraId="6A4F09E4">
      <w:pPr>
        <w:rPr>
          <w:rFonts w:hint="eastAsia" w:ascii="宋体" w:hAnsi="宋体" w:eastAsia="宋体" w:cs="宋体"/>
          <w:b/>
          <w:bCs/>
          <w:color w:val="000000"/>
          <w:sz w:val="24"/>
          <w:szCs w:val="24"/>
          <w:highlight w:val="none"/>
          <w:lang w:eastAsia="zh-CN"/>
        </w:rPr>
      </w:pPr>
    </w:p>
    <w:p w14:paraId="1278C7ED">
      <w:pPr>
        <w:rPr>
          <w:rFonts w:hint="eastAsia" w:ascii="宋体" w:hAnsi="宋体" w:eastAsia="宋体" w:cs="宋体"/>
          <w:b/>
          <w:bCs/>
          <w:color w:val="000000"/>
          <w:sz w:val="24"/>
          <w:szCs w:val="24"/>
          <w:highlight w:val="none"/>
          <w:lang w:eastAsia="zh-CN"/>
        </w:rPr>
      </w:pPr>
    </w:p>
    <w:p w14:paraId="0920E451">
      <w:pPr>
        <w:rPr>
          <w:rFonts w:hint="eastAsia" w:ascii="宋体" w:hAnsi="宋体" w:eastAsia="宋体" w:cs="宋体"/>
          <w:b/>
          <w:bCs/>
          <w:color w:val="000000"/>
          <w:sz w:val="24"/>
          <w:szCs w:val="24"/>
          <w:highlight w:val="none"/>
          <w:lang w:eastAsia="zh-CN"/>
        </w:rPr>
      </w:pPr>
    </w:p>
    <w:p w14:paraId="698A714F">
      <w:pPr>
        <w:rPr>
          <w:rFonts w:hint="eastAsia" w:ascii="宋体" w:hAnsi="宋体" w:eastAsia="宋体" w:cs="宋体"/>
          <w:b/>
          <w:bCs/>
          <w:color w:val="000000"/>
          <w:sz w:val="24"/>
          <w:szCs w:val="24"/>
          <w:highlight w:val="none"/>
          <w:lang w:eastAsia="zh-CN"/>
        </w:rPr>
      </w:pPr>
    </w:p>
    <w:p w14:paraId="7F0F5C2E">
      <w:pPr>
        <w:rPr>
          <w:rFonts w:hint="eastAsia" w:ascii="宋体" w:hAnsi="宋体" w:eastAsia="宋体" w:cs="宋体"/>
          <w:b/>
          <w:bCs/>
          <w:color w:val="000000"/>
          <w:sz w:val="24"/>
          <w:szCs w:val="24"/>
          <w:highlight w:val="none"/>
          <w:lang w:eastAsia="zh-CN"/>
        </w:rPr>
      </w:pPr>
    </w:p>
    <w:p w14:paraId="15DBB83B">
      <w:pPr>
        <w:rPr>
          <w:rFonts w:hint="eastAsia" w:ascii="宋体" w:hAnsi="宋体" w:eastAsia="宋体" w:cs="宋体"/>
          <w:b/>
          <w:bCs/>
          <w:color w:val="000000"/>
          <w:sz w:val="24"/>
          <w:szCs w:val="24"/>
          <w:highlight w:val="none"/>
          <w:lang w:eastAsia="zh-CN"/>
        </w:rPr>
      </w:pPr>
    </w:p>
    <w:p w14:paraId="0AF26602">
      <w:pPr>
        <w:rPr>
          <w:rFonts w:hint="eastAsia" w:ascii="宋体" w:hAnsi="宋体" w:eastAsia="宋体" w:cs="宋体"/>
          <w:b/>
          <w:bCs/>
          <w:color w:val="000000"/>
          <w:sz w:val="24"/>
          <w:szCs w:val="24"/>
          <w:highlight w:val="none"/>
          <w:lang w:eastAsia="zh-CN"/>
        </w:rPr>
      </w:pPr>
    </w:p>
    <w:p w14:paraId="6D5B073C">
      <w:pPr>
        <w:rPr>
          <w:rFonts w:hint="eastAsia" w:ascii="宋体" w:hAnsi="宋体" w:eastAsia="宋体" w:cs="宋体"/>
          <w:b/>
          <w:bCs/>
          <w:color w:val="000000"/>
          <w:sz w:val="24"/>
          <w:szCs w:val="24"/>
          <w:highlight w:val="none"/>
          <w:lang w:eastAsia="zh-CN"/>
        </w:rPr>
      </w:pPr>
    </w:p>
    <w:p w14:paraId="78A51766">
      <w:pPr>
        <w:rPr>
          <w:rFonts w:hint="eastAsia" w:ascii="宋体" w:hAnsi="宋体" w:eastAsia="宋体" w:cs="宋体"/>
          <w:b/>
          <w:bCs/>
          <w:color w:val="000000"/>
          <w:sz w:val="24"/>
          <w:szCs w:val="24"/>
          <w:highlight w:val="none"/>
          <w:lang w:eastAsia="zh-CN"/>
        </w:rPr>
      </w:pPr>
    </w:p>
    <w:p w14:paraId="34F70D3E">
      <w:pPr>
        <w:rPr>
          <w:rFonts w:hint="eastAsia" w:ascii="宋体" w:hAnsi="宋体" w:eastAsia="宋体" w:cs="宋体"/>
          <w:b/>
          <w:bCs/>
          <w:color w:val="000000"/>
          <w:sz w:val="24"/>
          <w:szCs w:val="24"/>
          <w:highlight w:val="none"/>
          <w:lang w:eastAsia="zh-CN"/>
        </w:rPr>
      </w:pPr>
    </w:p>
    <w:p w14:paraId="0256C713">
      <w:pPr>
        <w:rPr>
          <w:rFonts w:hint="eastAsia" w:ascii="宋体" w:hAnsi="宋体" w:eastAsia="宋体" w:cs="宋体"/>
          <w:b/>
          <w:bCs/>
          <w:color w:val="000000"/>
          <w:sz w:val="24"/>
          <w:szCs w:val="24"/>
          <w:highlight w:val="none"/>
          <w:lang w:eastAsia="zh-CN"/>
        </w:rPr>
      </w:pPr>
    </w:p>
    <w:p w14:paraId="0B3C1E27">
      <w:pPr>
        <w:rPr>
          <w:rFonts w:hint="eastAsia" w:ascii="宋体" w:hAnsi="宋体" w:eastAsia="宋体" w:cs="宋体"/>
          <w:b/>
          <w:bCs/>
          <w:color w:val="000000"/>
          <w:sz w:val="24"/>
          <w:szCs w:val="24"/>
          <w:highlight w:val="none"/>
          <w:lang w:eastAsia="zh-CN"/>
        </w:rPr>
      </w:pPr>
    </w:p>
    <w:p w14:paraId="55AB2626">
      <w:pPr>
        <w:rPr>
          <w:rFonts w:hint="eastAsia" w:ascii="宋体" w:hAnsi="宋体" w:eastAsia="宋体" w:cs="宋体"/>
          <w:b/>
          <w:bCs/>
          <w:color w:val="000000"/>
          <w:sz w:val="24"/>
          <w:szCs w:val="24"/>
          <w:highlight w:val="none"/>
          <w:lang w:eastAsia="zh-CN"/>
        </w:rPr>
      </w:pPr>
    </w:p>
    <w:p w14:paraId="6A0B1EC5">
      <w:pPr>
        <w:rPr>
          <w:rFonts w:hint="eastAsia" w:ascii="宋体" w:hAnsi="宋体" w:eastAsia="宋体" w:cs="宋体"/>
          <w:b/>
          <w:bCs/>
          <w:color w:val="000000"/>
          <w:sz w:val="24"/>
          <w:szCs w:val="24"/>
          <w:highlight w:val="none"/>
          <w:lang w:eastAsia="zh-CN"/>
        </w:rPr>
      </w:pPr>
    </w:p>
    <w:p w14:paraId="703208B0">
      <w:pPr>
        <w:rPr>
          <w:rFonts w:hint="eastAsia" w:ascii="宋体" w:hAnsi="宋体" w:eastAsia="宋体" w:cs="宋体"/>
          <w:b/>
          <w:bCs/>
          <w:color w:val="000000"/>
          <w:sz w:val="24"/>
          <w:szCs w:val="24"/>
          <w:highlight w:val="none"/>
          <w:lang w:eastAsia="zh-CN"/>
        </w:rPr>
      </w:pPr>
    </w:p>
    <w:p w14:paraId="1C989D7D">
      <w:pPr>
        <w:rPr>
          <w:rFonts w:hint="eastAsia" w:ascii="宋体" w:hAnsi="宋体" w:eastAsia="宋体" w:cs="宋体"/>
          <w:b/>
          <w:bCs/>
          <w:color w:val="000000"/>
          <w:sz w:val="24"/>
          <w:szCs w:val="24"/>
          <w:highlight w:val="none"/>
          <w:lang w:eastAsia="zh-CN"/>
        </w:rPr>
      </w:pPr>
    </w:p>
    <w:p w14:paraId="49D0AAAC">
      <w:pPr>
        <w:rPr>
          <w:rFonts w:hint="eastAsia" w:ascii="宋体" w:hAnsi="宋体" w:eastAsia="宋体" w:cs="宋体"/>
          <w:b/>
          <w:bCs/>
          <w:color w:val="000000"/>
          <w:sz w:val="24"/>
          <w:szCs w:val="24"/>
          <w:highlight w:val="none"/>
          <w:lang w:eastAsia="zh-CN"/>
        </w:rPr>
      </w:pPr>
    </w:p>
    <w:p w14:paraId="7DF35F69">
      <w:pPr>
        <w:rPr>
          <w:rFonts w:hint="eastAsia" w:ascii="宋体" w:hAnsi="宋体" w:eastAsia="宋体" w:cs="宋体"/>
          <w:b/>
          <w:bCs/>
          <w:color w:val="000000"/>
          <w:sz w:val="24"/>
          <w:szCs w:val="24"/>
          <w:highlight w:val="none"/>
          <w:lang w:eastAsia="zh-CN"/>
        </w:rPr>
      </w:pPr>
    </w:p>
    <w:p w14:paraId="27623488">
      <w:pPr>
        <w:rPr>
          <w:rFonts w:hint="eastAsia" w:ascii="宋体" w:hAnsi="宋体" w:eastAsia="宋体" w:cs="宋体"/>
          <w:b/>
          <w:bCs/>
          <w:color w:val="000000"/>
          <w:sz w:val="24"/>
          <w:szCs w:val="24"/>
          <w:highlight w:val="none"/>
          <w:lang w:eastAsia="zh-CN"/>
        </w:rPr>
      </w:pPr>
    </w:p>
    <w:p w14:paraId="1F8FC553">
      <w:pPr>
        <w:rPr>
          <w:rFonts w:hint="eastAsia" w:ascii="宋体" w:hAnsi="宋体" w:eastAsia="宋体" w:cs="宋体"/>
          <w:b/>
          <w:bCs/>
          <w:color w:val="000000"/>
          <w:sz w:val="24"/>
          <w:szCs w:val="24"/>
          <w:highlight w:val="none"/>
          <w:lang w:eastAsia="zh-CN"/>
        </w:rPr>
      </w:pPr>
    </w:p>
    <w:p w14:paraId="2CF07335">
      <w:pPr>
        <w:rPr>
          <w:rFonts w:hint="eastAsia" w:ascii="宋体" w:hAnsi="宋体" w:eastAsia="宋体" w:cs="宋体"/>
          <w:b/>
          <w:bCs/>
          <w:color w:val="000000"/>
          <w:sz w:val="24"/>
          <w:szCs w:val="24"/>
          <w:highlight w:val="none"/>
          <w:lang w:eastAsia="zh-CN"/>
        </w:rPr>
      </w:pPr>
    </w:p>
    <w:p w14:paraId="2326A04F">
      <w:pPr>
        <w:rPr>
          <w:rFonts w:hint="eastAsia" w:ascii="宋体" w:hAnsi="宋体" w:eastAsia="宋体" w:cs="宋体"/>
          <w:b/>
          <w:bCs/>
          <w:color w:val="000000"/>
          <w:sz w:val="24"/>
          <w:szCs w:val="24"/>
          <w:highlight w:val="none"/>
          <w:lang w:eastAsia="zh-CN"/>
        </w:rPr>
      </w:pPr>
    </w:p>
    <w:p w14:paraId="7C6D33B7">
      <w:pPr>
        <w:rPr>
          <w:rFonts w:hint="eastAsia" w:ascii="宋体" w:hAnsi="宋体" w:eastAsia="宋体" w:cs="宋体"/>
          <w:b/>
          <w:bCs/>
          <w:color w:val="000000"/>
          <w:sz w:val="24"/>
          <w:szCs w:val="24"/>
          <w:highlight w:val="none"/>
          <w:lang w:eastAsia="zh-CN"/>
        </w:rPr>
      </w:pPr>
    </w:p>
    <w:p w14:paraId="396FAB2F">
      <w:pPr>
        <w:rPr>
          <w:rFonts w:hint="eastAsia" w:ascii="宋体" w:hAnsi="宋体" w:eastAsia="宋体" w:cs="宋体"/>
          <w:b/>
          <w:bCs/>
          <w:color w:val="000000"/>
          <w:sz w:val="24"/>
          <w:szCs w:val="24"/>
          <w:highlight w:val="none"/>
          <w:lang w:eastAsia="zh-CN"/>
        </w:rPr>
      </w:pPr>
    </w:p>
    <w:p w14:paraId="22226277">
      <w:pPr>
        <w:rPr>
          <w:rFonts w:hint="eastAsia" w:ascii="宋体" w:hAnsi="宋体" w:eastAsia="宋体" w:cs="宋体"/>
          <w:b/>
          <w:bCs/>
          <w:color w:val="000000"/>
          <w:sz w:val="24"/>
          <w:szCs w:val="24"/>
          <w:highlight w:val="none"/>
          <w:lang w:eastAsia="zh-CN"/>
        </w:rPr>
      </w:pPr>
    </w:p>
    <w:p w14:paraId="1469C250">
      <w:pPr>
        <w:rPr>
          <w:rFonts w:hint="eastAsia" w:ascii="宋体" w:hAnsi="宋体" w:eastAsia="宋体" w:cs="宋体"/>
          <w:b/>
          <w:bCs/>
          <w:color w:val="000000"/>
          <w:sz w:val="24"/>
          <w:szCs w:val="24"/>
          <w:highlight w:val="none"/>
          <w:lang w:eastAsia="zh-CN"/>
        </w:rPr>
      </w:pPr>
    </w:p>
    <w:p w14:paraId="17E0BEAC">
      <w:pPr>
        <w:rPr>
          <w:rFonts w:hint="eastAsia" w:ascii="宋体" w:hAnsi="宋体" w:eastAsia="宋体" w:cs="宋体"/>
          <w:b/>
          <w:bCs/>
          <w:color w:val="000000"/>
          <w:sz w:val="24"/>
          <w:szCs w:val="24"/>
          <w:highlight w:val="none"/>
          <w:lang w:eastAsia="zh-CN"/>
        </w:rPr>
      </w:pPr>
    </w:p>
    <w:p w14:paraId="425D04BA">
      <w:pPr>
        <w:rPr>
          <w:rFonts w:hint="eastAsia" w:ascii="宋体" w:hAnsi="宋体" w:eastAsia="宋体" w:cs="宋体"/>
          <w:b/>
          <w:bCs/>
          <w:color w:val="000000"/>
          <w:sz w:val="24"/>
          <w:szCs w:val="24"/>
          <w:highlight w:val="none"/>
          <w:lang w:eastAsia="zh-CN"/>
        </w:rPr>
      </w:pPr>
    </w:p>
    <w:p w14:paraId="583E7C8C">
      <w:pPr>
        <w:rPr>
          <w:rFonts w:hint="eastAsia" w:ascii="宋体" w:hAnsi="宋体" w:eastAsia="宋体" w:cs="宋体"/>
          <w:b/>
          <w:bCs/>
          <w:color w:val="000000"/>
          <w:sz w:val="24"/>
          <w:szCs w:val="24"/>
          <w:highlight w:val="none"/>
          <w:lang w:eastAsia="zh-CN"/>
        </w:rPr>
      </w:pPr>
    </w:p>
    <w:p w14:paraId="5B08E258">
      <w:pPr>
        <w:rPr>
          <w:rFonts w:hint="eastAsia" w:ascii="宋体" w:hAnsi="宋体" w:eastAsia="宋体" w:cs="宋体"/>
          <w:b/>
          <w:bCs/>
          <w:color w:val="000000"/>
          <w:sz w:val="24"/>
          <w:szCs w:val="24"/>
          <w:highlight w:val="none"/>
          <w:lang w:eastAsia="zh-CN"/>
        </w:rPr>
      </w:pPr>
    </w:p>
    <w:p w14:paraId="5BDDE1BD">
      <w:pPr>
        <w:rPr>
          <w:rFonts w:hint="eastAsia" w:ascii="宋体" w:hAnsi="宋体" w:eastAsia="宋体" w:cs="宋体"/>
          <w:b/>
          <w:bCs/>
          <w:color w:val="000000"/>
          <w:sz w:val="24"/>
          <w:szCs w:val="24"/>
          <w:highlight w:val="none"/>
          <w:lang w:eastAsia="zh-CN"/>
        </w:rPr>
      </w:pPr>
    </w:p>
    <w:p w14:paraId="23EEC87F">
      <w:pPr>
        <w:rPr>
          <w:rFonts w:hint="eastAsia" w:ascii="宋体" w:hAnsi="宋体" w:eastAsia="宋体" w:cs="宋体"/>
          <w:b/>
          <w:bCs/>
          <w:color w:val="000000"/>
          <w:sz w:val="24"/>
          <w:szCs w:val="24"/>
          <w:highlight w:val="none"/>
          <w:lang w:eastAsia="zh-CN"/>
        </w:rPr>
      </w:pPr>
    </w:p>
    <w:p w14:paraId="2768CB4F">
      <w:pPr>
        <w:rPr>
          <w:rFonts w:hint="eastAsia" w:ascii="宋体" w:hAnsi="宋体" w:eastAsia="宋体" w:cs="宋体"/>
          <w:b/>
          <w:bCs/>
          <w:color w:val="000000"/>
          <w:sz w:val="24"/>
          <w:szCs w:val="24"/>
          <w:highlight w:val="none"/>
          <w:lang w:eastAsia="zh-CN"/>
        </w:rPr>
      </w:pPr>
    </w:p>
    <w:p w14:paraId="1B8675EC">
      <w:pPr>
        <w:rPr>
          <w:rFonts w:hint="eastAsia" w:ascii="宋体" w:hAnsi="宋体" w:eastAsia="宋体" w:cs="宋体"/>
          <w:b/>
          <w:bCs/>
          <w:color w:val="000000"/>
          <w:sz w:val="24"/>
          <w:szCs w:val="24"/>
          <w:highlight w:val="none"/>
          <w:lang w:eastAsia="zh-CN"/>
        </w:rPr>
      </w:pPr>
    </w:p>
    <w:p w14:paraId="62253AD8">
      <w:pPr>
        <w:rPr>
          <w:rFonts w:hint="eastAsia" w:ascii="宋体" w:hAnsi="宋体" w:eastAsia="宋体" w:cs="宋体"/>
          <w:b/>
          <w:bCs/>
          <w:color w:val="000000"/>
          <w:sz w:val="24"/>
          <w:szCs w:val="24"/>
          <w:highlight w:val="none"/>
          <w:lang w:eastAsia="zh-CN"/>
        </w:rPr>
      </w:pPr>
    </w:p>
    <w:p w14:paraId="6B1D896F">
      <w:pPr>
        <w:rPr>
          <w:rFonts w:hint="eastAsia" w:ascii="宋体" w:hAnsi="宋体" w:eastAsia="宋体" w:cs="宋体"/>
          <w:b/>
          <w:bCs/>
          <w:color w:val="000000"/>
          <w:sz w:val="24"/>
          <w:szCs w:val="24"/>
          <w:highlight w:val="none"/>
          <w:lang w:eastAsia="zh-CN"/>
        </w:rPr>
      </w:pPr>
    </w:p>
    <w:p w14:paraId="361919F1">
      <w:pPr>
        <w:rPr>
          <w:rFonts w:hint="eastAsia" w:ascii="宋体" w:hAnsi="宋体" w:eastAsia="宋体" w:cs="宋体"/>
          <w:b/>
          <w:bCs/>
          <w:color w:val="000000"/>
          <w:sz w:val="24"/>
          <w:szCs w:val="24"/>
          <w:highlight w:val="none"/>
          <w:lang w:eastAsia="zh-CN"/>
        </w:rPr>
      </w:pPr>
    </w:p>
    <w:p w14:paraId="681EC052">
      <w:pPr>
        <w:rPr>
          <w:rFonts w:hint="eastAsia" w:ascii="宋体" w:hAnsi="宋体" w:eastAsia="宋体" w:cs="宋体"/>
          <w:b/>
          <w:bCs/>
          <w:color w:val="000000"/>
          <w:sz w:val="24"/>
          <w:szCs w:val="24"/>
          <w:highlight w:val="none"/>
          <w:lang w:eastAsia="zh-CN"/>
        </w:rPr>
      </w:pPr>
    </w:p>
    <w:p w14:paraId="59A8E329">
      <w:pPr>
        <w:pStyle w:val="7"/>
        <w:spacing w:before="0" w:line="240" w:lineRule="atLeast"/>
        <w:ind w:left="0" w:leftChars="0" w:firstLine="0" w:firstLineChars="0"/>
        <w:jc w:val="left"/>
        <w:rPr>
          <w:rFonts w:hint="eastAsia" w:ascii="宋体" w:hAnsi="宋体" w:eastAsia="宋体" w:cs="宋体"/>
          <w:b w:val="0"/>
          <w:bCs w:val="0"/>
          <w:color w:val="000000"/>
          <w:kern w:val="0"/>
          <w:sz w:val="24"/>
          <w:szCs w:val="24"/>
          <w:lang w:eastAsia="zh-CN"/>
        </w:rPr>
      </w:pPr>
      <w:bookmarkStart w:id="65" w:name="_Toc127"/>
      <w:r>
        <w:rPr>
          <w:rFonts w:hint="eastAsia" w:ascii="宋体" w:hAnsi="宋体" w:eastAsia="宋体" w:cs="宋体"/>
          <w:b w:val="0"/>
          <w:bCs w:val="0"/>
          <w:color w:val="000000"/>
          <w:sz w:val="24"/>
          <w:szCs w:val="24"/>
          <w:lang w:val="en-US" w:eastAsia="zh-CN"/>
        </w:rPr>
        <w:t>11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中小企业声明函（</w:t>
      </w:r>
      <w:r>
        <w:rPr>
          <w:rFonts w:hint="eastAsia" w:ascii="宋体" w:hAnsi="宋体" w:eastAsia="宋体" w:cs="宋体"/>
          <w:b w:val="0"/>
          <w:bCs w:val="0"/>
          <w:color w:val="000000"/>
          <w:sz w:val="24"/>
          <w:szCs w:val="24"/>
          <w:lang w:val="en-US" w:eastAsia="zh-CN"/>
        </w:rPr>
        <w:t>服务</w:t>
      </w:r>
      <w:r>
        <w:rPr>
          <w:rFonts w:hint="eastAsia" w:ascii="宋体" w:hAnsi="宋体" w:eastAsia="宋体" w:cs="宋体"/>
          <w:b w:val="0"/>
          <w:bCs w:val="0"/>
          <w:color w:val="000000"/>
          <w:sz w:val="24"/>
          <w:szCs w:val="24"/>
        </w:rPr>
        <w:t>）</w:t>
      </w:r>
    </w:p>
    <w:p w14:paraId="5A4E4375">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000000"/>
          <w:spacing w:val="0"/>
          <w:kern w:val="0"/>
          <w:sz w:val="19"/>
          <w:szCs w:val="19"/>
          <w:shd w:val="clear" w:color="auto" w:fill="FFFFFF"/>
          <w:lang w:val="en-US" w:eastAsia="zh-CN" w:bidi="ar"/>
        </w:rPr>
      </w:pPr>
      <w:r>
        <w:rPr>
          <w:rFonts w:hint="eastAsia" w:ascii="宋体" w:hAnsi="宋体" w:eastAsia="宋体" w:cs="宋体"/>
          <w:i w:val="0"/>
          <w:iCs w:val="0"/>
          <w:caps w:val="0"/>
          <w:color w:val="000000"/>
          <w:spacing w:val="0"/>
          <w:kern w:val="0"/>
          <w:sz w:val="19"/>
          <w:szCs w:val="19"/>
          <w:shd w:val="clear" w:color="auto" w:fill="FFFFFF"/>
          <w:lang w:val="en-US" w:eastAsia="zh-CN" w:bidi="ar"/>
        </w:rPr>
        <w:t> </w:t>
      </w:r>
    </w:p>
    <w:p w14:paraId="143047B9">
      <w:pPr>
        <w:keepNext w:val="0"/>
        <w:keepLines w:val="0"/>
        <w:pageBreakBefore w:val="0"/>
        <w:widowControl w:val="0"/>
        <w:kinsoku/>
        <w:wordWrap/>
        <w:overflowPunct/>
        <w:topLinePunct w:val="0"/>
        <w:autoSpaceDE/>
        <w:autoSpaceDN/>
        <w:bidi w:val="0"/>
        <w:adjustRightInd/>
        <w:snapToGrid/>
        <w:spacing w:line="360" w:lineRule="auto"/>
        <w:ind w:firstLine="3133" w:firstLineChars="1300"/>
        <w:textAlignment w:val="auto"/>
        <w:rPr>
          <w:rFonts w:hint="eastAsia" w:ascii="宋体" w:hAnsi="宋体" w:eastAsia="宋体" w:cs="宋体"/>
          <w:i w:val="0"/>
          <w:iCs w:val="0"/>
          <w:caps w:val="0"/>
          <w:color w:val="000000"/>
          <w:spacing w:val="0"/>
          <w:kern w:val="0"/>
          <w:sz w:val="19"/>
          <w:szCs w:val="19"/>
          <w:shd w:val="clear" w:color="auto" w:fill="FFFFFF"/>
          <w:lang w:val="en-US" w:eastAsia="zh-CN" w:bidi="ar"/>
        </w:rPr>
      </w:pPr>
      <w:r>
        <w:rPr>
          <w:rFonts w:hint="eastAsia" w:ascii="宋体" w:hAnsi="宋体" w:eastAsia="宋体" w:cs="宋体"/>
          <w:b w:val="0"/>
          <w:bCs w:val="0"/>
          <w:color w:val="000000"/>
          <w:sz w:val="24"/>
          <w:szCs w:val="24"/>
        </w:rPr>
        <w:t>中小企业声明函（</w:t>
      </w:r>
      <w:r>
        <w:rPr>
          <w:rFonts w:hint="eastAsia" w:ascii="宋体" w:hAnsi="宋体" w:eastAsia="宋体" w:cs="宋体"/>
          <w:b w:val="0"/>
          <w:bCs w:val="0"/>
          <w:color w:val="000000"/>
          <w:sz w:val="24"/>
          <w:szCs w:val="24"/>
          <w:lang w:val="en-US" w:eastAsia="zh-CN"/>
        </w:rPr>
        <w:t>服务</w:t>
      </w:r>
      <w:r>
        <w:rPr>
          <w:rFonts w:hint="eastAsia" w:ascii="宋体" w:hAnsi="宋体" w:eastAsia="宋体" w:cs="宋体"/>
          <w:b w:val="0"/>
          <w:bCs w:val="0"/>
          <w:color w:val="000000"/>
          <w:sz w:val="24"/>
          <w:szCs w:val="24"/>
        </w:rPr>
        <w:t>）</w:t>
      </w:r>
    </w:p>
    <w:p w14:paraId="3D2651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采购活动，服务全部由符合政策要求的中小企业承接。相关企业（含联合体中的中小企业、签订分包意向协议的中小企业）的具体情况如下：</w:t>
      </w:r>
    </w:p>
    <w:p w14:paraId="7D49C1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p>
    <w:p w14:paraId="4C5423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w:t>
      </w:r>
      <w:r>
        <w:rPr>
          <w:rFonts w:ascii="宋体" w:hAnsi="宋体" w:eastAsia="宋体" w:cs="宋体"/>
          <w:sz w:val="24"/>
          <w:szCs w:val="24"/>
        </w:rPr>
        <w:t>承建</w:t>
      </w:r>
      <w:r>
        <w:rPr>
          <w:rFonts w:hint="eastAsia" w:ascii="宋体" w:hAnsi="宋体" w:eastAsia="宋体" w:cs="宋体"/>
          <w:sz w:val="24"/>
          <w:szCs w:val="24"/>
        </w:rPr>
        <w:t>（承接）</w:t>
      </w:r>
      <w:r>
        <w:rPr>
          <w:rFonts w:ascii="宋体" w:hAnsi="宋体" w:eastAsia="宋体" w:cs="宋体"/>
          <w:sz w:val="24"/>
          <w:szCs w:val="24"/>
        </w:rPr>
        <w:t>企业</w:t>
      </w:r>
      <w:r>
        <w:rPr>
          <w:rFonts w:hint="eastAsia" w:ascii="宋体" w:hAnsi="宋体" w:eastAsia="宋体" w:cs="宋体"/>
          <w:sz w:val="24"/>
          <w:szCs w:val="32"/>
          <w:lang w:val="en-US" w:eastAsia="zh-CN"/>
        </w:rPr>
        <w:t>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14:paraId="05C1F2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p>
    <w:p w14:paraId="50BE10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w:t>
      </w:r>
      <w:r>
        <w:rPr>
          <w:rFonts w:ascii="宋体" w:hAnsi="宋体" w:eastAsia="宋体" w:cs="宋体"/>
          <w:sz w:val="24"/>
          <w:szCs w:val="24"/>
        </w:rPr>
        <w:t>承建</w:t>
      </w:r>
      <w:r>
        <w:rPr>
          <w:rFonts w:hint="eastAsia" w:ascii="宋体" w:hAnsi="宋体" w:eastAsia="宋体" w:cs="宋体"/>
          <w:sz w:val="24"/>
          <w:szCs w:val="24"/>
        </w:rPr>
        <w:t>（承接）</w:t>
      </w:r>
      <w:r>
        <w:rPr>
          <w:rFonts w:ascii="宋体" w:hAnsi="宋体" w:eastAsia="宋体" w:cs="宋体"/>
          <w:sz w:val="24"/>
          <w:szCs w:val="24"/>
        </w:rPr>
        <w:t>企业</w:t>
      </w:r>
      <w:r>
        <w:rPr>
          <w:rFonts w:hint="eastAsia" w:ascii="宋体" w:hAnsi="宋体" w:eastAsia="宋体" w:cs="宋体"/>
          <w:sz w:val="24"/>
          <w:szCs w:val="32"/>
          <w:lang w:val="en-US" w:eastAsia="zh-CN"/>
        </w:rPr>
        <w:t>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14:paraId="0F256A50">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14:paraId="500D54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14:paraId="6E0B99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14:paraId="140CF7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14:paraId="39DC8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14:paraId="07389093">
      <w:pPr>
        <w:pStyle w:val="2"/>
        <w:rPr>
          <w:rFonts w:hint="default"/>
          <w:lang w:val="en-US" w:eastAsia="zh-CN"/>
        </w:rPr>
      </w:pPr>
      <w:r>
        <w:rPr>
          <w:rFonts w:hint="eastAsia" w:ascii="宋体" w:hAnsi="宋体" w:eastAsia="宋体" w:cs="宋体"/>
          <w:sz w:val="24"/>
          <w:szCs w:val="32"/>
          <w:lang w:val="en-US" w:eastAsia="zh-CN"/>
        </w:rPr>
        <w:t xml:space="preserve"> </w:t>
      </w:r>
    </w:p>
    <w:p w14:paraId="090CFCC9">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000000"/>
          <w:spacing w:val="0"/>
          <w:sz w:val="24"/>
          <w:szCs w:val="24"/>
        </w:rPr>
      </w:pPr>
      <w:r>
        <w:rPr>
          <w:rFonts w:hint="eastAsia" w:ascii="宋体" w:hAnsi="宋体" w:eastAsia="宋体" w:cs="宋体"/>
          <w:sz w:val="24"/>
          <w:szCs w:val="32"/>
          <w:lang w:val="en-US" w:eastAsia="zh-CN"/>
        </w:rPr>
        <w:t>日期：</w:t>
      </w:r>
    </w:p>
    <w:p w14:paraId="5D1BC988">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000000"/>
          <w:spacing w:val="0"/>
          <w:sz w:val="16"/>
          <w:szCs w:val="16"/>
        </w:rPr>
      </w:pPr>
      <w:r>
        <w:rPr>
          <w:rFonts w:hint="eastAsia" w:ascii="宋体" w:hAnsi="宋体" w:eastAsia="宋体" w:cs="宋体"/>
          <w:i w:val="0"/>
          <w:iCs w:val="0"/>
          <w:caps w:val="0"/>
          <w:color w:val="000000"/>
          <w:spacing w:val="0"/>
          <w:kern w:val="0"/>
          <w:sz w:val="19"/>
          <w:szCs w:val="19"/>
          <w:shd w:val="clear" w:color="auto" w:fill="FFFFFF"/>
          <w:lang w:val="en-US" w:eastAsia="zh-CN" w:bidi="ar"/>
        </w:rPr>
        <w:t> </w:t>
      </w:r>
    </w:p>
    <w:p w14:paraId="51538012">
      <w:pPr>
        <w:widowControl/>
        <w:spacing w:before="100" w:beforeAutospacing="1" w:after="100" w:afterAutospacing="1" w:line="330" w:lineRule="atLeast"/>
        <w:ind w:firstLine="3133" w:firstLineChars="1300"/>
        <w:jc w:val="left"/>
        <w:rPr>
          <w:rFonts w:hint="eastAsia" w:ascii="宋体" w:hAnsi="宋体" w:eastAsia="宋体" w:cs="宋体"/>
          <w:color w:val="000000"/>
          <w:kern w:val="0"/>
          <w:sz w:val="24"/>
          <w:szCs w:val="24"/>
        </w:rPr>
      </w:pPr>
    </w:p>
    <w:p w14:paraId="092F41BD">
      <w:pPr>
        <w:widowControl/>
        <w:spacing w:before="100" w:beforeAutospacing="1" w:after="100" w:afterAutospacing="1" w:line="330" w:lineRule="atLeast"/>
        <w:ind w:firstLine="3133" w:firstLineChars="1300"/>
        <w:jc w:val="left"/>
        <w:rPr>
          <w:rFonts w:hint="eastAsia" w:ascii="宋体" w:hAnsi="宋体" w:eastAsia="宋体" w:cs="宋体"/>
          <w:color w:val="000000"/>
          <w:kern w:val="0"/>
          <w:sz w:val="24"/>
          <w:szCs w:val="24"/>
        </w:rPr>
      </w:pPr>
    </w:p>
    <w:p w14:paraId="134CB694">
      <w:pPr>
        <w:widowControl/>
        <w:spacing w:before="100" w:beforeAutospacing="1" w:after="100" w:afterAutospacing="1" w:line="330" w:lineRule="atLeast"/>
        <w:ind w:firstLine="3133" w:firstLineChars="1300"/>
        <w:jc w:val="left"/>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rPr>
        <w:t xml:space="preserve">    </w:t>
      </w:r>
    </w:p>
    <w:p w14:paraId="2998D06F">
      <w:pPr>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附：</w:t>
      </w:r>
    </w:p>
    <w:p w14:paraId="6A01208B">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中小微企业划型标准</w:t>
      </w:r>
    </w:p>
    <w:p w14:paraId="23B526C9">
      <w:pPr>
        <w:pStyle w:val="15"/>
        <w:tabs>
          <w:tab w:val="left" w:pos="567"/>
        </w:tabs>
        <w:rPr>
          <w:rFonts w:hint="eastAsia"/>
        </w:rPr>
      </w:pP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FF472EF">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E35001C">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2797608">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11C62D27">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1F0444B4">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78DAD679">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35B0E308">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14:paraId="47DC33DB">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C4B11FA">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5C15EC0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E23ACF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33A5DF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3182DDE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6C70958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14:paraId="57BF1DF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C064E94">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416DE3A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F5A262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F3116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40939B5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0210E1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295FEB4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183B0AD">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179B23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DE9739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BBF8AF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3D3065E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A292CA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14:paraId="0714BEF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8B7D5B6">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B2B8A0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14FA09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DCC1F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05D370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0181267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14:paraId="4C32F2D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767E5B">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9F8A7F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3EEACEB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119502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7A997A3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47A6899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14:paraId="1544968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D0AF0D0">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42F4EE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6FDF32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B043C3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10E0DFB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7AD829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14:paraId="5B88F87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00AB3FF">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3AB5C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865D50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0A6F1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5C9A1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39C93EE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14:paraId="7EE652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CCE249D">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1128107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9F1B4B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AD157F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C45B03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4595AF6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78D9BE5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10CFF33">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FF6E08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22C8CD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78A97A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160371B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5EF9055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62B5A43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2E61C84">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4CBACB2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B3D140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B35176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11F27D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AFB804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2357375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07BAB8E">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744A1E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E384AD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19B87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2EF347F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61C52B7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14:paraId="5441E0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05E7A7F">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6A8BA0B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6906E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E340F5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3135EFF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0719F58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3E9F548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71321D">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BE3FE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5CCAAA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10EE5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D998E0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405510C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46E6E7D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799411">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0447535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93E006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C968BC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484570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42D1659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7E73135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F41F114">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A80354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F62B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E153AF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66E3902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4346381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03AC8D4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32336B7">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167B0A2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107E33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C7DA1E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1096B04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9B4795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67CCF4C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15EAFCB">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73896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6E123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B3677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399A46C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1AF5787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5864117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24E977B">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1D529F9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D34D30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90BA77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1627AE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B084B7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75B2890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E0ED680">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B636AA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51CD4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D5B3A2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1EB2C12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AA49B4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6485D69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90962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589A8F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711C3D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C673F6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4188F3F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CCE570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EAD988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D6B0D6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5B828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ACB926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AB7D5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2B79D7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0ACC2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05249128">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2C44C9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1937326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1B3166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CB79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15C691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7F8822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BA304DA">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D5CB0C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B3EFDB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4F9F2D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E5A24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51F97C0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3C57772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1B911C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B5DF9A4">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79A63B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03252F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68486D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0B1126D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3B85675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14:paraId="2DFFAD5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6B1C94">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6D22E5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3881E0A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021C0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6049EF3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746E5C6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14:paraId="6D36E62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8554709">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087075C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66702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952831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9EB52F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565F4AA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14:paraId="7BCCA985">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2FFD9E">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BB07EC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E43F2F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4E7E5F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3BD078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0DD360D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14:paraId="7DA21633">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BE73E31">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745F220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5D57D6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02ABC5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5FB893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DA32A4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08DE5A2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47EE56F">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BBB6D0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5FE558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F2CC8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52D738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2EADBBD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27A2EF57">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17E294EC">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7E21448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36CE63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4FEB8F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1DC427B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127C7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14:paraId="1B77A34F">
      <w:pPr>
        <w:snapToGrid w:val="0"/>
        <w:spacing w:line="336" w:lineRule="auto"/>
        <w:ind w:firstLine="482" w:firstLineChars="200"/>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w:t>
      </w:r>
      <w:r>
        <w:rPr>
          <w:rFonts w:hint="eastAsia" w:ascii="宋体" w:hAnsi="宋体" w:eastAsia="宋体" w:cs="宋体"/>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2C31EF99">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所称中小企业，是指在中华人民共和国境内依法设立，依据国务院批准的</w:t>
      </w:r>
    </w:p>
    <w:p w14:paraId="40DD319F">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规定的中小企业扶持政策：</w:t>
      </w:r>
    </w:p>
    <w:p w14:paraId="76D22222">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6D99068">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14:paraId="3AB3B736">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DCF6CD7">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44BB8AFC">
      <w:pPr>
        <w:snapToGrid w:val="0"/>
        <w:spacing w:line="336" w:lineRule="auto"/>
        <w:ind w:firstLine="482" w:firstLineChars="200"/>
        <w:contextualSpacing/>
        <w:jc w:val="left"/>
        <w:textAlignment w:val="center"/>
        <w:rPr>
          <w:rFonts w:hint="eastAsia"/>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sz w:val="24"/>
          <w:szCs w:val="24"/>
          <w:highlight w:val="none"/>
        </w:rPr>
        <w:t>依据本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规定享受扶持政策获得政府采购合同的，小微企业不得将合同分包给大中型企业，中型企业不得将合同分包给大型企业</w:t>
      </w:r>
    </w:p>
    <w:p w14:paraId="5537896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12.</w:t>
      </w:r>
      <w:r>
        <w:rPr>
          <w:rFonts w:hint="eastAsia" w:ascii="宋体" w:hAnsi="宋体"/>
          <w:color w:val="000000"/>
          <w:sz w:val="24"/>
          <w:szCs w:val="24"/>
          <w:highlight w:val="none"/>
        </w:rPr>
        <w:t>磋商保证金缴纳凭证</w:t>
      </w:r>
      <w:r>
        <w:rPr>
          <w:rFonts w:hint="eastAsia" w:ascii="宋体" w:hAnsi="宋体" w:eastAsia="宋体" w:cs="宋体"/>
          <w:b/>
          <w:bCs/>
          <w:color w:val="000000"/>
          <w:sz w:val="24"/>
          <w:szCs w:val="24"/>
          <w:highlight w:val="none"/>
          <w:lang w:eastAsia="zh-CN"/>
        </w:rPr>
        <w:t>；</w:t>
      </w:r>
      <w:bookmarkEnd w:id="65"/>
    </w:p>
    <w:p w14:paraId="5DE3520E">
      <w:pPr>
        <w:pStyle w:val="15"/>
        <w:tabs>
          <w:tab w:val="left" w:pos="5863"/>
        </w:tabs>
        <w:ind w:firstLine="480" w:firstLineChars="200"/>
        <w:rPr>
          <w:rFonts w:hint="default"/>
          <w:sz w:val="24"/>
          <w:szCs w:val="24"/>
          <w:lang w:val="en-US" w:eastAsia="zh-CN"/>
        </w:rPr>
      </w:pPr>
      <w:r>
        <w:rPr>
          <w:rFonts w:hint="default"/>
          <w:sz w:val="24"/>
          <w:szCs w:val="24"/>
          <w:lang w:val="en-US" w:eastAsia="zh-CN"/>
        </w:rPr>
        <w:t>若采用电汇、转账、支票、汇票、本票等形式，磋商保证金须于投标截止前转入以上指定账户（资格审查以指定账户实际收到为准），磋商保证金付款凭证扫描件制作在响应文件中；若采用政采云电子保函形式：按照政采云电子投标流程制作并将电子保函制作在响应文件中；若采用银行保函或者金融机构、担保机构保函等形式，应将保函扫描件装订在本部分；扫描件上应加盖本单位公章；</w:t>
      </w:r>
    </w:p>
    <w:p w14:paraId="2673E684">
      <w:pPr>
        <w:pStyle w:val="15"/>
        <w:tabs>
          <w:tab w:val="left" w:pos="567"/>
        </w:tabs>
        <w:rPr>
          <w:rFonts w:hint="eastAsia"/>
        </w:rPr>
      </w:pPr>
    </w:p>
    <w:p w14:paraId="4BB276FB">
      <w:pPr>
        <w:pStyle w:val="15"/>
        <w:tabs>
          <w:tab w:val="left" w:pos="567"/>
        </w:tabs>
        <w:rPr>
          <w:rFonts w:hint="eastAsia"/>
        </w:rPr>
      </w:pPr>
    </w:p>
    <w:p w14:paraId="16A6C321">
      <w:pPr>
        <w:pStyle w:val="15"/>
        <w:tabs>
          <w:tab w:val="left" w:pos="567"/>
        </w:tabs>
        <w:rPr>
          <w:rFonts w:hint="eastAsia"/>
        </w:rPr>
      </w:pPr>
    </w:p>
    <w:p w14:paraId="3A978F5E">
      <w:pPr>
        <w:pStyle w:val="15"/>
        <w:tabs>
          <w:tab w:val="left" w:pos="567"/>
        </w:tabs>
        <w:rPr>
          <w:rFonts w:hint="eastAsia"/>
        </w:rPr>
      </w:pPr>
    </w:p>
    <w:p w14:paraId="4C5B85C7">
      <w:pPr>
        <w:pStyle w:val="15"/>
        <w:tabs>
          <w:tab w:val="left" w:pos="567"/>
        </w:tabs>
        <w:rPr>
          <w:rFonts w:hint="eastAsia"/>
        </w:rPr>
      </w:pPr>
    </w:p>
    <w:p w14:paraId="303711E7">
      <w:pPr>
        <w:pStyle w:val="15"/>
        <w:tabs>
          <w:tab w:val="left" w:pos="567"/>
        </w:tabs>
        <w:rPr>
          <w:rFonts w:hint="eastAsia"/>
        </w:rPr>
      </w:pPr>
    </w:p>
    <w:p w14:paraId="3861867E">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000000"/>
          <w:sz w:val="24"/>
          <w:szCs w:val="24"/>
          <w:highlight w:val="none"/>
          <w:lang w:val="en-US" w:eastAsia="zh-CN"/>
        </w:rPr>
      </w:pPr>
    </w:p>
    <w:p w14:paraId="217CB70C">
      <w:pPr>
        <w:pStyle w:val="15"/>
        <w:tabs>
          <w:tab w:val="left" w:pos="567"/>
        </w:tabs>
        <w:rPr>
          <w:rFonts w:hint="eastAsia" w:ascii="宋体" w:hAnsi="宋体" w:eastAsia="宋体" w:cs="宋体"/>
          <w:b/>
          <w:bCs/>
          <w:color w:val="000000"/>
          <w:sz w:val="24"/>
          <w:szCs w:val="24"/>
          <w:highlight w:val="none"/>
          <w:lang w:val="en-US" w:eastAsia="zh-CN"/>
        </w:rPr>
      </w:pPr>
    </w:p>
    <w:p w14:paraId="09D5E505">
      <w:pPr>
        <w:pStyle w:val="15"/>
        <w:tabs>
          <w:tab w:val="left" w:pos="567"/>
        </w:tabs>
        <w:rPr>
          <w:rFonts w:hint="eastAsia"/>
          <w:lang w:val="en-US" w:eastAsia="zh-CN"/>
        </w:rPr>
      </w:pPr>
    </w:p>
    <w:p w14:paraId="1DCDF329">
      <w:pPr>
        <w:pStyle w:val="15"/>
        <w:tabs>
          <w:tab w:val="left" w:pos="567"/>
        </w:tabs>
        <w:rPr>
          <w:rFonts w:hint="eastAsia"/>
          <w:lang w:val="en-US" w:eastAsia="zh-CN"/>
        </w:rPr>
      </w:pPr>
    </w:p>
    <w:p w14:paraId="1E62D894">
      <w:pPr>
        <w:pStyle w:val="2"/>
        <w:ind w:left="0" w:leftChars="0" w:firstLine="0" w:firstLineChars="0"/>
        <w:rPr>
          <w:rFonts w:hint="eastAsia"/>
          <w:lang w:val="en-US" w:eastAsia="zh-CN"/>
        </w:rPr>
      </w:pPr>
    </w:p>
    <w:p w14:paraId="77E8DACB">
      <w:pPr>
        <w:rPr>
          <w:rFonts w:hint="eastAsia"/>
          <w:lang w:val="en-US" w:eastAsia="zh-CN"/>
        </w:rPr>
      </w:pPr>
    </w:p>
    <w:p w14:paraId="52F2FF00">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olor w:val="000000"/>
          <w:sz w:val="24"/>
          <w:szCs w:val="24"/>
          <w:highlight w:val="none"/>
          <w:lang w:eastAsia="zh-CN"/>
        </w:rPr>
      </w:pPr>
      <w:r>
        <w:rPr>
          <w:rFonts w:hint="eastAsia" w:ascii="宋体" w:hAnsi="宋体" w:eastAsia="宋体" w:cs="宋体"/>
          <w:sz w:val="24"/>
          <w:szCs w:val="24"/>
          <w:lang w:val="en-US" w:eastAsia="zh-CN"/>
        </w:rPr>
        <w:t>13.供应商须具备工程设计【建筑行业（建筑工程）专业】乙级(含)以上资质</w:t>
      </w:r>
      <w:r>
        <w:rPr>
          <w:rFonts w:ascii="宋体" w:hAnsi="宋体" w:eastAsia="宋体" w:cs="宋体"/>
          <w:sz w:val="24"/>
          <w:szCs w:val="24"/>
        </w:rPr>
        <w:t>；</w:t>
      </w:r>
      <w:r>
        <w:rPr>
          <w:rFonts w:hint="eastAsia" w:ascii="宋体" w:hAnsi="宋体" w:eastAsia="宋体" w:cs="宋体"/>
          <w:sz w:val="24"/>
          <w:szCs w:val="24"/>
        </w:rPr>
        <w:t>项目负责人具备</w:t>
      </w:r>
      <w:r>
        <w:rPr>
          <w:rFonts w:hint="eastAsia" w:ascii="宋体" w:hAnsi="宋体" w:eastAsia="宋体" w:cs="宋体"/>
          <w:sz w:val="24"/>
          <w:szCs w:val="24"/>
          <w:lang w:val="en-US" w:eastAsia="zh-CN"/>
        </w:rPr>
        <w:t>一</w:t>
      </w:r>
      <w:r>
        <w:rPr>
          <w:rFonts w:hint="eastAsia" w:ascii="宋体" w:hAnsi="宋体" w:eastAsia="宋体" w:cs="宋体"/>
          <w:sz w:val="24"/>
          <w:szCs w:val="24"/>
        </w:rPr>
        <w:t>级注册建筑工程师或相关专业</w:t>
      </w:r>
      <w:r>
        <w:rPr>
          <w:rFonts w:hint="eastAsia" w:ascii="宋体" w:hAnsi="宋体" w:eastAsia="宋体" w:cs="宋体"/>
          <w:sz w:val="24"/>
          <w:szCs w:val="24"/>
          <w:lang w:val="en-US" w:eastAsia="zh-CN"/>
        </w:rPr>
        <w:t>高</w:t>
      </w:r>
      <w:r>
        <w:rPr>
          <w:rFonts w:hint="eastAsia" w:ascii="宋体" w:hAnsi="宋体" w:eastAsia="宋体" w:cs="宋体"/>
          <w:sz w:val="24"/>
          <w:szCs w:val="24"/>
        </w:rPr>
        <w:t>级（含）以上职称</w:t>
      </w:r>
      <w:r>
        <w:rPr>
          <w:rFonts w:ascii="宋体" w:hAnsi="宋体" w:eastAsia="宋体" w:cs="宋体"/>
          <w:sz w:val="24"/>
          <w:szCs w:val="24"/>
        </w:rPr>
        <w:t>；</w:t>
      </w:r>
    </w:p>
    <w:p w14:paraId="6194142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olor w:val="000000"/>
          <w:sz w:val="24"/>
          <w:szCs w:val="24"/>
          <w:highlight w:val="none"/>
          <w:lang w:eastAsia="zh-CN"/>
        </w:rPr>
      </w:pPr>
    </w:p>
    <w:p w14:paraId="325825E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sz w:val="24"/>
          <w:szCs w:val="24"/>
        </w:rPr>
      </w:pPr>
    </w:p>
    <w:p w14:paraId="4D3A7329">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Chars="235"/>
        <w:textAlignment w:val="auto"/>
        <w:outlineLvl w:val="9"/>
        <w:rPr>
          <w:rFonts w:hint="eastAsia" w:ascii="宋体" w:hAnsi="宋体" w:eastAsia="宋体" w:cs="宋体"/>
          <w:b/>
          <w:bCs/>
          <w:sz w:val="24"/>
          <w:szCs w:val="24"/>
          <w:lang w:eastAsia="zh-CN"/>
        </w:rPr>
      </w:pPr>
    </w:p>
    <w:p w14:paraId="3CB6535C">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000000"/>
          <w:sz w:val="24"/>
          <w:szCs w:val="24"/>
          <w:highlight w:val="none"/>
          <w:lang w:val="en-US" w:eastAsia="zh-CN"/>
        </w:rPr>
      </w:pPr>
    </w:p>
    <w:p w14:paraId="7B80C0B7">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000000"/>
          <w:sz w:val="24"/>
          <w:szCs w:val="24"/>
          <w:highlight w:val="none"/>
          <w:lang w:val="en-US" w:eastAsia="zh-CN"/>
        </w:rPr>
      </w:pPr>
    </w:p>
    <w:p w14:paraId="2664530C">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000000"/>
          <w:sz w:val="24"/>
          <w:szCs w:val="24"/>
          <w:highlight w:val="none"/>
          <w:lang w:val="en-US" w:eastAsia="zh-CN"/>
        </w:rPr>
      </w:pPr>
    </w:p>
    <w:p w14:paraId="11EFBBCA">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p>
    <w:p w14:paraId="6481D980">
      <w:pPr>
        <w:pStyle w:val="2"/>
        <w:rPr>
          <w:rFonts w:hint="eastAsia"/>
          <w:lang w:val="en-US" w:eastAsia="zh-CN"/>
        </w:rPr>
      </w:pPr>
    </w:p>
    <w:p w14:paraId="7BAA1167">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p>
    <w:p w14:paraId="1761C181">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000000"/>
          <w:sz w:val="24"/>
          <w:szCs w:val="24"/>
          <w:highlight w:val="none"/>
          <w:lang w:val="en-US" w:eastAsia="zh-CN"/>
        </w:rPr>
      </w:pPr>
    </w:p>
    <w:p w14:paraId="2A098961">
      <w:pPr>
        <w:pageBreakBefore w:val="0"/>
        <w:widowControl w:val="0"/>
        <w:numPr>
          <w:ilvl w:val="0"/>
          <w:numId w:val="0"/>
        </w:numPr>
        <w:kinsoku/>
        <w:wordWrap/>
        <w:overflowPunct/>
        <w:topLinePunct w:val="0"/>
        <w:bidi w:val="0"/>
        <w:snapToGrid/>
        <w:spacing w:line="360" w:lineRule="auto"/>
        <w:textAlignment w:val="auto"/>
        <w:outlineLvl w:val="3"/>
        <w:rPr>
          <w:rFonts w:hint="default" w:ascii="宋体" w:hAnsi="宋体" w:eastAsia="宋体" w:cs="宋体"/>
          <w:color w:val="000000"/>
          <w:sz w:val="24"/>
          <w:szCs w:val="24"/>
          <w:lang w:val="en-US" w:eastAsia="zh-CN"/>
        </w:rPr>
      </w:pPr>
      <w:r>
        <w:rPr>
          <w:rFonts w:hint="eastAsia" w:ascii="宋体" w:hAnsi="宋体"/>
          <w:color w:val="000000"/>
          <w:sz w:val="24"/>
          <w:szCs w:val="24"/>
          <w:highlight w:val="none"/>
          <w:lang w:val="en-US" w:eastAsia="zh-CN"/>
        </w:rPr>
        <w:t>14.</w:t>
      </w:r>
      <w:r>
        <w:rPr>
          <w:rFonts w:hint="eastAsia" w:ascii="宋体" w:hAnsi="宋体"/>
          <w:color w:val="000000"/>
          <w:sz w:val="24"/>
          <w:szCs w:val="24"/>
          <w:highlight w:val="none"/>
          <w:lang w:eastAsia="zh-CN"/>
        </w:rPr>
        <w:t>供应商须知</w:t>
      </w:r>
      <w:r>
        <w:rPr>
          <w:rFonts w:hint="eastAsia" w:ascii="宋体" w:hAnsi="宋体"/>
          <w:color w:val="000000"/>
          <w:sz w:val="24"/>
          <w:szCs w:val="24"/>
          <w:highlight w:val="none"/>
          <w:lang w:val="en-US" w:eastAsia="zh-CN"/>
        </w:rPr>
        <w:t>前附表</w:t>
      </w:r>
      <w:r>
        <w:rPr>
          <w:rFonts w:hint="eastAsia" w:ascii="宋体" w:hAnsi="宋体"/>
          <w:color w:val="000000"/>
          <w:sz w:val="24"/>
          <w:szCs w:val="24"/>
          <w:highlight w:val="none"/>
          <w:lang w:eastAsia="zh-CN"/>
        </w:rPr>
        <w:t>要求的其他资格证明文件</w:t>
      </w:r>
    </w:p>
    <w:p w14:paraId="0424E014">
      <w:pPr>
        <w:pStyle w:val="11"/>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lang w:val="en-US" w:eastAsia="zh-CN"/>
        </w:rPr>
      </w:pPr>
    </w:p>
    <w:p w14:paraId="7488C5A8">
      <w:pPr>
        <w:rPr>
          <w:rFonts w:hint="eastAsia"/>
          <w:lang w:val="en-US" w:eastAsia="zh-CN"/>
        </w:rPr>
      </w:pPr>
    </w:p>
    <w:p w14:paraId="3667AA13">
      <w:pPr>
        <w:rPr>
          <w:rFonts w:hint="eastAsia"/>
          <w:lang w:val="en-US" w:eastAsia="zh-CN"/>
        </w:rPr>
      </w:pPr>
    </w:p>
    <w:p w14:paraId="78F0DD73">
      <w:pPr>
        <w:pStyle w:val="11"/>
        <w:rPr>
          <w:rFonts w:hint="eastAsia"/>
          <w:lang w:val="en-US" w:eastAsia="zh-CN"/>
        </w:rPr>
      </w:pPr>
    </w:p>
    <w:p w14:paraId="4FC92D92">
      <w:pPr>
        <w:rPr>
          <w:rFonts w:hint="eastAsia"/>
          <w:lang w:val="en-US" w:eastAsia="zh-CN"/>
        </w:rPr>
      </w:pPr>
    </w:p>
    <w:bookmarkEnd w:id="58"/>
    <w:bookmarkEnd w:id="59"/>
    <w:bookmarkEnd w:id="60"/>
    <w:bookmarkEnd w:id="61"/>
    <w:p w14:paraId="0D8808FA">
      <w:pPr>
        <w:pStyle w:val="6"/>
        <w:numPr>
          <w:ilvl w:val="0"/>
          <w:numId w:val="5"/>
        </w:numPr>
        <w:spacing w:before="0" w:line="240" w:lineRule="atLeast"/>
        <w:ind w:left="1080" w:leftChars="257" w:hanging="540"/>
        <w:jc w:val="center"/>
        <w:outlineLvl w:val="2"/>
        <w:rPr>
          <w:rFonts w:hint="eastAsia" w:ascii="宋体" w:hAnsi="宋体" w:eastAsia="宋体" w:cs="宋体"/>
          <w:color w:val="000000"/>
          <w:sz w:val="24"/>
          <w:highlight w:val="none"/>
        </w:rPr>
      </w:pPr>
      <w:bookmarkStart w:id="66" w:name="_Toc11180"/>
      <w:bookmarkStart w:id="67" w:name="_Toc515647816"/>
      <w:bookmarkStart w:id="68" w:name="_Toc30317"/>
      <w:bookmarkStart w:id="69" w:name="_Toc22967"/>
      <w:bookmarkStart w:id="70" w:name="_Toc22885"/>
      <w:bookmarkStart w:id="71" w:name="_Toc20682"/>
      <w:r>
        <w:rPr>
          <w:rFonts w:hint="eastAsia"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u w:val="none"/>
        </w:rPr>
        <w:t>商务及技术文件</w:t>
      </w:r>
      <w:bookmarkEnd w:id="66"/>
      <w:bookmarkEnd w:id="67"/>
      <w:bookmarkEnd w:id="68"/>
      <w:bookmarkEnd w:id="69"/>
      <w:bookmarkEnd w:id="70"/>
      <w:bookmarkEnd w:id="71"/>
    </w:p>
    <w:p w14:paraId="6CA2DAB5">
      <w:pPr>
        <w:rPr>
          <w:rFonts w:hint="eastAsia"/>
        </w:rPr>
      </w:pPr>
    </w:p>
    <w:p w14:paraId="097235F6">
      <w:pPr>
        <w:rPr>
          <w:rFonts w:hint="eastAsia"/>
        </w:rPr>
      </w:pPr>
    </w:p>
    <w:p w14:paraId="4D17DC33">
      <w:pPr>
        <w:numPr>
          <w:ilvl w:val="0"/>
          <w:numId w:val="0"/>
        </w:numPr>
        <w:rPr>
          <w:rFonts w:hint="eastAsia"/>
          <w:color w:val="000000"/>
        </w:rPr>
      </w:pPr>
    </w:p>
    <w:p w14:paraId="00027EE8">
      <w:pPr>
        <w:pStyle w:val="17"/>
        <w:tabs>
          <w:tab w:val="left" w:pos="5580"/>
        </w:tabs>
        <w:spacing w:line="360" w:lineRule="auto"/>
        <w:ind w:left="1260" w:leftChars="344" w:hanging="538"/>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1、磋商响应函</w:t>
      </w:r>
    </w:p>
    <w:p w14:paraId="77735AEE">
      <w:pPr>
        <w:pStyle w:val="17"/>
        <w:tabs>
          <w:tab w:val="left" w:pos="5580"/>
        </w:tabs>
        <w:spacing w:line="360" w:lineRule="auto"/>
        <w:ind w:left="1260" w:leftChars="344" w:hanging="538"/>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、分项报价表</w:t>
      </w:r>
    </w:p>
    <w:p w14:paraId="5D8425AA">
      <w:pPr>
        <w:pStyle w:val="17"/>
        <w:tabs>
          <w:tab w:val="left" w:pos="5580"/>
        </w:tabs>
        <w:spacing w:line="360" w:lineRule="auto"/>
        <w:ind w:left="1260" w:leftChars="344" w:hanging="538"/>
        <w:rPr>
          <w:rFonts w:hint="eastAsia" w:ascii="宋体" w:hAnsi="宋体" w:eastAsia="宋体" w:cs="宋体"/>
          <w:color w:val="000000"/>
          <w:sz w:val="24"/>
          <w:szCs w:val="24"/>
        </w:rPr>
      </w:pPr>
      <w:r>
        <w:rPr>
          <w:rFonts w:hint="eastAsia" w:hAnsi="宋体" w:cs="宋体"/>
          <w:color w:val="000000"/>
          <w:sz w:val="24"/>
          <w:szCs w:val="24"/>
          <w:lang w:val="en-US" w:eastAsia="zh-CN"/>
        </w:rPr>
        <w:t>3</w:t>
      </w:r>
      <w:r>
        <w:rPr>
          <w:rFonts w:hint="eastAsia" w:ascii="宋体" w:hAnsi="宋体" w:eastAsia="宋体" w:cs="宋体"/>
          <w:color w:val="000000"/>
          <w:sz w:val="24"/>
          <w:szCs w:val="24"/>
        </w:rPr>
        <w:t>、服务说明一览表</w:t>
      </w:r>
    </w:p>
    <w:p w14:paraId="7C61B20C">
      <w:pPr>
        <w:pStyle w:val="17"/>
        <w:tabs>
          <w:tab w:val="left" w:pos="5580"/>
        </w:tabs>
        <w:spacing w:line="360" w:lineRule="auto"/>
        <w:ind w:left="1260" w:leftChars="344" w:hanging="538"/>
        <w:rPr>
          <w:rFonts w:hint="eastAsia" w:ascii="宋体" w:hAnsi="宋体" w:eastAsia="宋体" w:cs="宋体"/>
          <w:color w:val="000000"/>
          <w:sz w:val="24"/>
          <w:szCs w:val="24"/>
        </w:rPr>
      </w:pPr>
      <w:r>
        <w:rPr>
          <w:rFonts w:hint="eastAsia" w:hAnsi="宋体" w:cs="宋体"/>
          <w:color w:val="000000"/>
          <w:sz w:val="24"/>
          <w:szCs w:val="24"/>
          <w:lang w:val="en-US" w:eastAsia="zh-CN"/>
        </w:rPr>
        <w:t>4</w:t>
      </w:r>
      <w:r>
        <w:rPr>
          <w:rFonts w:hint="eastAsia" w:ascii="宋体" w:hAnsi="宋体" w:eastAsia="宋体" w:cs="宋体"/>
          <w:color w:val="000000"/>
          <w:sz w:val="24"/>
          <w:szCs w:val="24"/>
        </w:rPr>
        <w:t>、商务条款偏离表</w:t>
      </w:r>
    </w:p>
    <w:p w14:paraId="7FA29A9C">
      <w:pPr>
        <w:pStyle w:val="17"/>
        <w:tabs>
          <w:tab w:val="left" w:pos="5580"/>
        </w:tabs>
        <w:spacing w:line="360" w:lineRule="auto"/>
        <w:ind w:firstLine="720" w:firstLineChars="300"/>
        <w:rPr>
          <w:rFonts w:hint="eastAsia" w:ascii="宋体" w:hAnsi="宋体" w:eastAsia="宋体" w:cs="宋体"/>
          <w:color w:val="000000"/>
          <w:sz w:val="24"/>
          <w:szCs w:val="24"/>
          <w:lang w:eastAsia="zh-CN"/>
        </w:rPr>
      </w:pPr>
      <w:r>
        <w:rPr>
          <w:rFonts w:hint="eastAsia" w:hAnsi="宋体" w:cs="宋体"/>
          <w:color w:val="000000"/>
          <w:sz w:val="24"/>
          <w:szCs w:val="24"/>
          <w:lang w:val="en-US" w:eastAsia="zh-CN"/>
        </w:rPr>
        <w:t>5</w:t>
      </w:r>
      <w:r>
        <w:rPr>
          <w:rFonts w:hint="eastAsia" w:ascii="宋体" w:hAnsi="宋体" w:eastAsia="宋体" w:cs="宋体"/>
          <w:color w:val="000000"/>
          <w:sz w:val="24"/>
          <w:szCs w:val="24"/>
        </w:rPr>
        <w:t>-1</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中小企业声明函（</w:t>
      </w:r>
      <w:r>
        <w:rPr>
          <w:rFonts w:hint="eastAsia" w:hAnsi="宋体" w:cs="宋体"/>
          <w:color w:val="000000"/>
          <w:sz w:val="24"/>
          <w:szCs w:val="24"/>
          <w:lang w:val="en-US" w:eastAsia="zh-CN"/>
        </w:rPr>
        <w:t>服务</w:t>
      </w:r>
      <w:r>
        <w:rPr>
          <w:rFonts w:hint="eastAsia" w:ascii="宋体" w:hAnsi="宋体" w:eastAsia="宋体" w:cs="宋体"/>
          <w:color w:val="000000"/>
          <w:sz w:val="24"/>
          <w:szCs w:val="24"/>
        </w:rPr>
        <w:t>）</w:t>
      </w:r>
    </w:p>
    <w:p w14:paraId="3ED92765">
      <w:pPr>
        <w:pStyle w:val="17"/>
        <w:tabs>
          <w:tab w:val="left" w:pos="5580"/>
        </w:tabs>
        <w:spacing w:line="360" w:lineRule="auto"/>
        <w:ind w:firstLine="720" w:firstLineChars="300"/>
        <w:rPr>
          <w:rFonts w:hint="eastAsia" w:ascii="宋体" w:hAnsi="宋体" w:eastAsia="宋体" w:cs="宋体"/>
          <w:color w:val="000000"/>
          <w:sz w:val="24"/>
          <w:szCs w:val="24"/>
        </w:rPr>
      </w:pPr>
      <w:r>
        <w:rPr>
          <w:rFonts w:hint="eastAsia" w:hAnsi="宋体" w:cs="宋体"/>
          <w:color w:val="000000"/>
          <w:sz w:val="24"/>
          <w:szCs w:val="24"/>
          <w:lang w:val="en-US" w:eastAsia="zh-CN"/>
        </w:rPr>
        <w:t>5</w:t>
      </w:r>
      <w:r>
        <w:rPr>
          <w:rFonts w:hint="eastAsia" w:ascii="宋体" w:hAnsi="宋体" w:eastAsia="宋体" w:cs="宋体"/>
          <w:color w:val="000000"/>
          <w:sz w:val="24"/>
          <w:szCs w:val="24"/>
        </w:rPr>
        <w:t>-</w:t>
      </w:r>
      <w:r>
        <w:rPr>
          <w:rFonts w:hint="eastAsia" w:hAnsi="宋体" w:cs="宋体"/>
          <w:color w:val="000000"/>
          <w:sz w:val="24"/>
          <w:szCs w:val="24"/>
          <w:lang w:val="en-US" w:eastAsia="zh-CN"/>
        </w:rPr>
        <w:t>2</w:t>
      </w:r>
      <w:r>
        <w:rPr>
          <w:rFonts w:hint="eastAsia" w:ascii="宋体" w:hAnsi="宋体" w:eastAsia="宋体" w:cs="宋体"/>
          <w:color w:val="000000"/>
          <w:sz w:val="24"/>
          <w:szCs w:val="24"/>
        </w:rPr>
        <w:t>《残疾人福利性单位声明函》</w:t>
      </w:r>
      <w:r>
        <w:rPr>
          <w:rFonts w:hint="eastAsia" w:hAnsi="宋体" w:eastAsia="宋体" w:cs="宋体"/>
          <w:color w:val="000000"/>
          <w:sz w:val="24"/>
          <w:szCs w:val="24"/>
          <w:lang w:eastAsia="zh-CN"/>
        </w:rPr>
        <w:t>（</w:t>
      </w:r>
      <w:r>
        <w:rPr>
          <w:rFonts w:hint="eastAsia" w:hAnsi="宋体" w:eastAsia="宋体" w:cs="宋体"/>
          <w:color w:val="000000"/>
          <w:sz w:val="24"/>
          <w:szCs w:val="24"/>
          <w:lang w:val="en-US" w:eastAsia="zh-CN"/>
        </w:rPr>
        <w:t>可选</w:t>
      </w:r>
      <w:r>
        <w:rPr>
          <w:rFonts w:hint="eastAsia" w:hAnsi="宋体" w:eastAsia="宋体" w:cs="宋体"/>
          <w:color w:val="000000"/>
          <w:sz w:val="24"/>
          <w:szCs w:val="24"/>
          <w:lang w:eastAsia="zh-CN"/>
        </w:rPr>
        <w:t>）</w:t>
      </w:r>
    </w:p>
    <w:p w14:paraId="4DE08BBA">
      <w:pPr>
        <w:pStyle w:val="17"/>
        <w:tabs>
          <w:tab w:val="left" w:pos="5580"/>
        </w:tabs>
        <w:spacing w:line="360" w:lineRule="auto"/>
        <w:ind w:firstLine="720" w:firstLineChars="300"/>
        <w:rPr>
          <w:rFonts w:hint="default" w:eastAsia="宋体"/>
          <w:lang w:val="en-US" w:eastAsia="zh-CN"/>
        </w:rPr>
      </w:pPr>
      <w:r>
        <w:rPr>
          <w:rFonts w:hint="eastAsia" w:hAnsi="宋体" w:cs="宋体"/>
          <w:color w:val="000000"/>
          <w:sz w:val="24"/>
          <w:szCs w:val="24"/>
          <w:lang w:val="en-US" w:eastAsia="zh-CN"/>
        </w:rPr>
        <w:t>5</w:t>
      </w:r>
      <w:r>
        <w:rPr>
          <w:rFonts w:hint="eastAsia" w:ascii="宋体" w:hAnsi="宋体" w:cs="宋体"/>
          <w:color w:val="000000"/>
          <w:sz w:val="24"/>
          <w:szCs w:val="24"/>
          <w:lang w:val="en-US" w:eastAsia="zh-CN"/>
        </w:rPr>
        <w:t>-3</w:t>
      </w:r>
      <w:r>
        <w:rPr>
          <w:rFonts w:hint="eastAsia" w:hAnsi="宋体" w:cs="宋体"/>
          <w:color w:val="000000"/>
          <w:sz w:val="24"/>
          <w:szCs w:val="24"/>
          <w:lang w:val="en-US" w:eastAsia="zh-CN"/>
        </w:rPr>
        <w:t xml:space="preserve"> 监狱企业证明</w:t>
      </w:r>
      <w:r>
        <w:rPr>
          <w:rFonts w:hint="eastAsia" w:hAnsi="宋体" w:eastAsia="宋体" w:cs="宋体"/>
          <w:color w:val="000000"/>
          <w:sz w:val="24"/>
          <w:szCs w:val="24"/>
          <w:lang w:eastAsia="zh-CN"/>
        </w:rPr>
        <w:t>（</w:t>
      </w:r>
      <w:r>
        <w:rPr>
          <w:rFonts w:hint="eastAsia" w:hAnsi="宋体" w:eastAsia="宋体" w:cs="宋体"/>
          <w:color w:val="000000"/>
          <w:sz w:val="24"/>
          <w:szCs w:val="24"/>
          <w:lang w:val="en-US" w:eastAsia="zh-CN"/>
        </w:rPr>
        <w:t>可选</w:t>
      </w:r>
      <w:r>
        <w:rPr>
          <w:rFonts w:hint="eastAsia" w:hAnsi="宋体" w:eastAsia="宋体" w:cs="宋体"/>
          <w:color w:val="000000"/>
          <w:sz w:val="24"/>
          <w:szCs w:val="24"/>
          <w:lang w:eastAsia="zh-CN"/>
        </w:rPr>
        <w:t>）</w:t>
      </w:r>
    </w:p>
    <w:p w14:paraId="6A79913C">
      <w:pPr>
        <w:pStyle w:val="17"/>
        <w:tabs>
          <w:tab w:val="left" w:pos="5580"/>
        </w:tabs>
        <w:spacing w:line="360" w:lineRule="auto"/>
        <w:ind w:left="1260" w:leftChars="344" w:hanging="538"/>
        <w:rPr>
          <w:rFonts w:hint="eastAsia" w:ascii="宋体" w:hAnsi="宋体" w:eastAsia="宋体" w:cs="宋体"/>
          <w:color w:val="000000"/>
          <w:sz w:val="24"/>
          <w:szCs w:val="24"/>
        </w:rPr>
      </w:pPr>
      <w:r>
        <w:rPr>
          <w:rFonts w:hint="eastAsia" w:hAnsi="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关联单位的说明（格式自拟）</w:t>
      </w:r>
    </w:p>
    <w:p w14:paraId="6FD100C7">
      <w:pPr>
        <w:pStyle w:val="17"/>
        <w:tabs>
          <w:tab w:val="left" w:pos="5580"/>
        </w:tabs>
        <w:spacing w:line="360" w:lineRule="auto"/>
        <w:ind w:firstLine="720" w:firstLineChars="300"/>
        <w:rPr>
          <w:rFonts w:hint="default" w:hAnsi="宋体" w:cs="宋体"/>
          <w:color w:val="000000"/>
          <w:sz w:val="24"/>
          <w:szCs w:val="24"/>
          <w:lang w:val="en-US" w:eastAsia="zh-CN"/>
        </w:rPr>
      </w:pPr>
      <w:r>
        <w:rPr>
          <w:rFonts w:hint="eastAsia" w:hAnsi="宋体" w:cs="宋体"/>
          <w:color w:val="000000"/>
          <w:sz w:val="24"/>
          <w:szCs w:val="24"/>
          <w:lang w:val="en-US" w:eastAsia="zh-CN"/>
        </w:rPr>
        <w:t>7、项目管理机构及人员简历表</w:t>
      </w:r>
    </w:p>
    <w:p w14:paraId="213CCB0E">
      <w:pPr>
        <w:pStyle w:val="17"/>
        <w:tabs>
          <w:tab w:val="left" w:pos="5580"/>
        </w:tabs>
        <w:spacing w:line="360" w:lineRule="auto"/>
        <w:ind w:firstLine="720" w:firstLineChars="300"/>
        <w:rPr>
          <w:rFonts w:hint="default"/>
          <w:lang w:val="en-US" w:eastAsia="zh-CN"/>
        </w:rPr>
      </w:pPr>
      <w:r>
        <w:rPr>
          <w:rFonts w:hint="eastAsia" w:hAnsi="宋体" w:cs="宋体"/>
          <w:color w:val="000000"/>
          <w:sz w:val="24"/>
          <w:szCs w:val="24"/>
          <w:lang w:val="en-US" w:eastAsia="zh-CN"/>
        </w:rPr>
        <w:t>8、业绩一览表</w:t>
      </w:r>
    </w:p>
    <w:p w14:paraId="1DF4ED02">
      <w:pPr>
        <w:pStyle w:val="17"/>
        <w:tabs>
          <w:tab w:val="left" w:pos="5580"/>
        </w:tabs>
        <w:spacing w:line="360" w:lineRule="auto"/>
        <w:ind w:firstLine="720" w:firstLineChars="300"/>
        <w:rPr>
          <w:rFonts w:hint="eastAsia" w:hAnsi="宋体" w:cs="宋体"/>
          <w:color w:val="000000"/>
          <w:sz w:val="24"/>
          <w:szCs w:val="24"/>
          <w:lang w:val="en-US" w:eastAsia="zh-CN"/>
        </w:rPr>
      </w:pPr>
      <w:r>
        <w:rPr>
          <w:rFonts w:hint="eastAsia" w:hAnsi="宋体" w:cs="宋体"/>
          <w:color w:val="000000"/>
          <w:sz w:val="24"/>
          <w:szCs w:val="24"/>
          <w:lang w:val="en-US" w:eastAsia="zh-CN"/>
        </w:rPr>
        <w:t>9、技术方案</w:t>
      </w:r>
    </w:p>
    <w:p w14:paraId="181FDFA3">
      <w:pPr>
        <w:pStyle w:val="22"/>
        <w:jc w:val="both"/>
        <w:rPr>
          <w:rFonts w:hint="default"/>
          <w:lang w:val="en-US" w:eastAsia="zh-CN"/>
        </w:rPr>
      </w:pPr>
      <w:r>
        <w:rPr>
          <w:rFonts w:hint="eastAsia" w:hAnsi="宋体" w:cs="宋体"/>
          <w:color w:val="000000"/>
          <w:sz w:val="24"/>
          <w:szCs w:val="24"/>
          <w:lang w:val="en-US" w:eastAsia="zh-CN"/>
        </w:rPr>
        <w:t xml:space="preserve">      10、供应商认为有利于磋商的其他资料</w:t>
      </w:r>
    </w:p>
    <w:p w14:paraId="0E763529">
      <w:pPr>
        <w:pStyle w:val="17"/>
        <w:tabs>
          <w:tab w:val="left" w:pos="5580"/>
        </w:tabs>
        <w:spacing w:line="360" w:lineRule="auto"/>
        <w:ind w:firstLine="720" w:firstLineChars="300"/>
        <w:rPr>
          <w:rFonts w:hint="eastAsia" w:hAnsi="宋体" w:cs="宋体"/>
          <w:color w:val="000000"/>
          <w:sz w:val="28"/>
          <w:szCs w:val="21"/>
          <w:highlight w:val="none"/>
        </w:rPr>
      </w:pPr>
      <w:r>
        <w:rPr>
          <w:rFonts w:hint="eastAsia" w:hAnsi="宋体" w:cs="宋体"/>
          <w:color w:val="000000"/>
          <w:sz w:val="24"/>
          <w:szCs w:val="24"/>
          <w:highlight w:val="none"/>
        </w:rPr>
        <w:br w:type="page"/>
      </w:r>
    </w:p>
    <w:p w14:paraId="07C118A4">
      <w:pPr>
        <w:pStyle w:val="7"/>
        <w:pageBreakBefore w:val="0"/>
        <w:widowControl w:val="0"/>
        <w:kinsoku/>
        <w:wordWrap/>
        <w:overflowPunct/>
        <w:topLinePunct w:val="0"/>
        <w:bidi w:val="0"/>
        <w:snapToGrid/>
        <w:spacing w:before="0" w:line="240" w:lineRule="auto"/>
        <w:ind w:left="1080" w:leftChars="257" w:hanging="540"/>
        <w:textAlignment w:val="auto"/>
        <w:outlineLvl w:val="3"/>
        <w:rPr>
          <w:rFonts w:hint="eastAsia" w:ascii="宋体" w:hAnsi="宋体" w:eastAsia="宋体" w:cs="宋体"/>
          <w:color w:val="000000"/>
          <w:sz w:val="28"/>
          <w:szCs w:val="21"/>
          <w:highlight w:val="none"/>
        </w:rPr>
      </w:pPr>
      <w:bookmarkStart w:id="72" w:name="_Toc14915"/>
      <w:bookmarkStart w:id="73" w:name="_Toc2041"/>
      <w:bookmarkStart w:id="74" w:name="_Toc30168"/>
      <w:bookmarkStart w:id="75" w:name="_Toc8525"/>
      <w:bookmarkStart w:id="76" w:name="_Toc515647817"/>
      <w:r>
        <w:rPr>
          <w:rFonts w:hint="eastAsia" w:ascii="宋体" w:hAnsi="宋体" w:eastAsia="宋体" w:cs="宋体"/>
          <w:color w:val="000000"/>
          <w:sz w:val="28"/>
          <w:szCs w:val="21"/>
          <w:highlight w:val="none"/>
        </w:rPr>
        <w:t>1</w:t>
      </w:r>
      <w:bookmarkStart w:id="77" w:name="_Hlt520355504"/>
      <w:bookmarkEnd w:id="77"/>
      <w:r>
        <w:rPr>
          <w:rFonts w:hint="eastAsia" w:ascii="宋体" w:hAnsi="宋体" w:eastAsia="宋体" w:cs="宋体"/>
          <w:color w:val="000000"/>
          <w:sz w:val="28"/>
          <w:szCs w:val="21"/>
          <w:highlight w:val="none"/>
          <w:lang w:eastAsia="zh-CN"/>
        </w:rPr>
        <w:t>、</w:t>
      </w:r>
      <w:bookmarkEnd w:id="48"/>
      <w:bookmarkEnd w:id="49"/>
      <w:bookmarkEnd w:id="50"/>
      <w:bookmarkEnd w:id="51"/>
      <w:bookmarkEnd w:id="72"/>
      <w:bookmarkEnd w:id="73"/>
      <w:bookmarkEnd w:id="74"/>
      <w:bookmarkEnd w:id="75"/>
      <w:bookmarkEnd w:id="76"/>
      <w:r>
        <w:rPr>
          <w:rFonts w:hint="eastAsia" w:ascii="宋体" w:hAnsi="宋体" w:eastAsia="宋体" w:cs="宋体"/>
          <w:color w:val="000000"/>
          <w:sz w:val="28"/>
          <w:szCs w:val="21"/>
          <w:highlight w:val="none"/>
          <w:lang w:eastAsia="zh-CN"/>
        </w:rPr>
        <w:t>磋商响应函</w:t>
      </w:r>
    </w:p>
    <w:p w14:paraId="7EF695AA">
      <w:pPr>
        <w:pageBreakBefore w:val="0"/>
        <w:widowControl w:val="0"/>
        <w:tabs>
          <w:tab w:val="left" w:pos="5580"/>
        </w:tabs>
        <w:kinsoku/>
        <w:wordWrap/>
        <w:overflowPunct/>
        <w:topLinePunct w:val="0"/>
        <w:bidi w:val="0"/>
        <w:snapToGrid/>
        <w:spacing w:line="240" w:lineRule="auto"/>
        <w:ind w:left="1080" w:leftChars="257" w:hanging="540"/>
        <w:textAlignment w:val="auto"/>
        <w:rPr>
          <w:rFonts w:hint="eastAsia" w:ascii="宋体" w:hAnsi="宋体"/>
          <w:color w:val="000000"/>
          <w:sz w:val="24"/>
          <w:highlight w:val="none"/>
        </w:rPr>
      </w:pPr>
    </w:p>
    <w:p w14:paraId="7EAB01A3">
      <w:pPr>
        <w:pageBreakBefore w:val="0"/>
        <w:widowControl w:val="0"/>
        <w:tabs>
          <w:tab w:val="left" w:pos="5580"/>
        </w:tabs>
        <w:kinsoku/>
        <w:wordWrap/>
        <w:overflowPunct/>
        <w:topLinePunct w:val="0"/>
        <w:bidi w:val="0"/>
        <w:snapToGrid/>
        <w:spacing w:line="240" w:lineRule="auto"/>
        <w:ind w:left="1080" w:hanging="1080"/>
        <w:textAlignment w:val="auto"/>
        <w:rPr>
          <w:rFonts w:hint="eastAsia" w:ascii="宋体" w:hAnsi="宋体" w:eastAsia="宋体"/>
          <w:b w:val="0"/>
          <w:bCs w:val="0"/>
          <w:i w:val="0"/>
          <w:iCs w:val="0"/>
          <w:color w:val="000000"/>
          <w:sz w:val="24"/>
          <w:highlight w:val="none"/>
          <w:lang w:val="en-US" w:eastAsia="zh-CN"/>
        </w:rPr>
      </w:pPr>
      <w:r>
        <w:rPr>
          <w:rFonts w:hint="eastAsia" w:ascii="宋体" w:hAnsi="宋体"/>
          <w:b w:val="0"/>
          <w:bCs w:val="0"/>
          <w:i w:val="0"/>
          <w:iCs w:val="0"/>
          <w:color w:val="000000"/>
          <w:sz w:val="24"/>
          <w:highlight w:val="none"/>
        </w:rPr>
        <w:t>致：</w:t>
      </w:r>
      <w:r>
        <w:rPr>
          <w:rFonts w:hint="eastAsia" w:ascii="宋体" w:hAnsi="宋体" w:eastAsia="宋体"/>
          <w:b w:val="0"/>
          <w:bCs w:val="0"/>
          <w:i w:val="0"/>
          <w:iCs w:val="0"/>
          <w:color w:val="000000"/>
          <w:sz w:val="24"/>
          <w:highlight w:val="none"/>
          <w:lang w:eastAsia="zh-CN"/>
        </w:rPr>
        <w:t>（</w:t>
      </w:r>
      <w:r>
        <w:rPr>
          <w:rFonts w:hint="eastAsia" w:ascii="宋体" w:hAnsi="宋体"/>
          <w:b w:val="0"/>
          <w:bCs w:val="0"/>
          <w:i w:val="0"/>
          <w:iCs w:val="0"/>
          <w:color w:val="000000"/>
          <w:sz w:val="24"/>
          <w:highlight w:val="none"/>
          <w:u w:val="single"/>
        </w:rPr>
        <w:t>采购</w:t>
      </w:r>
      <w:r>
        <w:rPr>
          <w:rFonts w:hint="eastAsia" w:ascii="宋体" w:hAnsi="宋体" w:eastAsia="宋体"/>
          <w:b w:val="0"/>
          <w:bCs w:val="0"/>
          <w:i w:val="0"/>
          <w:iCs w:val="0"/>
          <w:color w:val="000000"/>
          <w:sz w:val="24"/>
          <w:highlight w:val="none"/>
          <w:u w:val="single"/>
          <w:lang w:val="en-US" w:eastAsia="zh-CN"/>
        </w:rPr>
        <w:t>人名称）</w:t>
      </w:r>
    </w:p>
    <w:p w14:paraId="558FB540">
      <w:pPr>
        <w:pStyle w:val="17"/>
        <w:pageBreakBefore w:val="0"/>
        <w:widowControl w:val="0"/>
        <w:tabs>
          <w:tab w:val="left" w:pos="5580"/>
        </w:tabs>
        <w:kinsoku/>
        <w:wordWrap/>
        <w:overflowPunct/>
        <w:topLinePunct w:val="0"/>
        <w:bidi w:val="0"/>
        <w:snapToGrid/>
        <w:spacing w:line="240" w:lineRule="auto"/>
        <w:ind w:left="1080" w:leftChars="257" w:hanging="540"/>
        <w:textAlignment w:val="auto"/>
        <w:rPr>
          <w:rFonts w:hint="eastAsia" w:hAnsi="宋体" w:cs="宋体"/>
          <w:b w:val="0"/>
          <w:bCs w:val="0"/>
          <w:i w:val="0"/>
          <w:iCs w:val="0"/>
          <w:color w:val="000000"/>
          <w:sz w:val="24"/>
          <w:highlight w:val="none"/>
        </w:rPr>
      </w:pPr>
    </w:p>
    <w:p w14:paraId="3966D4BA">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2" w:leftChars="1" w:firstLine="480" w:firstLineChars="20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根据贵方</w:t>
      </w:r>
      <w:r>
        <w:rPr>
          <w:rFonts w:hint="eastAsia" w:hAnsi="宋体" w:cs="宋体"/>
          <w:b w:val="0"/>
          <w:bCs w:val="0"/>
          <w:i w:val="0"/>
          <w:iCs w:val="0"/>
          <w:color w:val="000000"/>
          <w:sz w:val="24"/>
          <w:highlight w:val="none"/>
          <w:u w:val="single"/>
        </w:rPr>
        <w:t>(项目名称</w:t>
      </w:r>
      <w:r>
        <w:rPr>
          <w:rFonts w:hint="eastAsia" w:hAnsi="宋体" w:eastAsia="宋体" w:cs="宋体"/>
          <w:b w:val="0"/>
          <w:bCs w:val="0"/>
          <w:i w:val="0"/>
          <w:iCs w:val="0"/>
          <w:color w:val="000000"/>
          <w:sz w:val="24"/>
          <w:highlight w:val="none"/>
          <w:u w:val="single"/>
          <w:lang w:val="en-US" w:eastAsia="zh-CN"/>
        </w:rPr>
        <w:t>及项目编号</w:t>
      </w:r>
      <w:r>
        <w:rPr>
          <w:rFonts w:hint="eastAsia" w:hAnsi="宋体" w:cs="宋体"/>
          <w:b w:val="0"/>
          <w:bCs w:val="0"/>
          <w:i w:val="0"/>
          <w:iCs w:val="0"/>
          <w:color w:val="000000"/>
          <w:sz w:val="24"/>
          <w:highlight w:val="none"/>
          <w:u w:val="single"/>
        </w:rPr>
        <w:t>)</w:t>
      </w:r>
      <w:r>
        <w:rPr>
          <w:rFonts w:hint="eastAsia" w:hAnsi="宋体" w:cs="宋体"/>
          <w:b w:val="0"/>
          <w:bCs w:val="0"/>
          <w:i w:val="0"/>
          <w:iCs w:val="0"/>
          <w:color w:val="000000"/>
          <w:sz w:val="24"/>
          <w:highlight w:val="none"/>
        </w:rPr>
        <w:t>项目的</w:t>
      </w:r>
      <w:r>
        <w:rPr>
          <w:rFonts w:hint="eastAsia" w:hAnsi="宋体" w:cs="宋体"/>
          <w:b w:val="0"/>
          <w:bCs w:val="0"/>
          <w:i w:val="0"/>
          <w:iCs w:val="0"/>
          <w:color w:val="000000"/>
          <w:sz w:val="24"/>
          <w:highlight w:val="none"/>
          <w:lang w:eastAsia="zh-CN"/>
        </w:rPr>
        <w:t>磋商</w:t>
      </w:r>
      <w:r>
        <w:rPr>
          <w:rFonts w:hint="eastAsia" w:hAnsi="宋体" w:cs="宋体"/>
          <w:b w:val="0"/>
          <w:bCs w:val="0"/>
          <w:i w:val="0"/>
          <w:iCs w:val="0"/>
          <w:color w:val="000000"/>
          <w:sz w:val="24"/>
          <w:highlight w:val="none"/>
        </w:rPr>
        <w:t>文件,签字代表(</w:t>
      </w:r>
      <w:r>
        <w:rPr>
          <w:rFonts w:hint="eastAsia" w:hAnsi="宋体" w:cs="宋体"/>
          <w:b w:val="0"/>
          <w:bCs w:val="0"/>
          <w:i w:val="0"/>
          <w:iCs w:val="0"/>
          <w:color w:val="000000"/>
          <w:sz w:val="24"/>
          <w:highlight w:val="none"/>
          <w:u w:val="single"/>
        </w:rPr>
        <w:t>姓名、职务</w:t>
      </w:r>
      <w:r>
        <w:rPr>
          <w:rFonts w:hint="eastAsia" w:hAnsi="宋体" w:cs="宋体"/>
          <w:b w:val="0"/>
          <w:bCs w:val="0"/>
          <w:i w:val="0"/>
          <w:iCs w:val="0"/>
          <w:color w:val="000000"/>
          <w:sz w:val="24"/>
          <w:highlight w:val="none"/>
        </w:rPr>
        <w:t>)经正式授权并代表</w:t>
      </w:r>
      <w:r>
        <w:rPr>
          <w:rFonts w:hint="eastAsia" w:hAnsi="宋体" w:cs="宋体"/>
          <w:b w:val="0"/>
          <w:bCs w:val="0"/>
          <w:i w:val="0"/>
          <w:iCs w:val="0"/>
          <w:color w:val="000000"/>
          <w:sz w:val="24"/>
          <w:highlight w:val="none"/>
          <w:lang w:eastAsia="zh-CN"/>
        </w:rPr>
        <w:t>供应商</w:t>
      </w:r>
      <w:r>
        <w:rPr>
          <w:rFonts w:hint="eastAsia" w:hAnsi="宋体" w:cs="宋体"/>
          <w:b w:val="0"/>
          <w:bCs w:val="0"/>
          <w:i w:val="0"/>
          <w:iCs w:val="0"/>
          <w:color w:val="000000"/>
          <w:sz w:val="24"/>
          <w:highlight w:val="none"/>
        </w:rPr>
        <w:t>（</w:t>
      </w:r>
      <w:r>
        <w:rPr>
          <w:rFonts w:hint="eastAsia" w:hAnsi="宋体" w:cs="宋体"/>
          <w:b w:val="0"/>
          <w:bCs w:val="0"/>
          <w:i w:val="0"/>
          <w:iCs w:val="0"/>
          <w:color w:val="000000"/>
          <w:sz w:val="24"/>
          <w:highlight w:val="none"/>
          <w:u w:val="single"/>
        </w:rPr>
        <w:t>名称、地址</w:t>
      </w:r>
      <w:r>
        <w:rPr>
          <w:rFonts w:hint="eastAsia" w:hAnsi="宋体" w:cs="宋体"/>
          <w:b w:val="0"/>
          <w:bCs w:val="0"/>
          <w:i w:val="0"/>
          <w:iCs w:val="0"/>
          <w:color w:val="000000"/>
          <w:sz w:val="24"/>
          <w:highlight w:val="none"/>
        </w:rPr>
        <w:t>）</w:t>
      </w:r>
      <w:r>
        <w:rPr>
          <w:rFonts w:hint="eastAsia" w:hAnsi="宋体" w:eastAsia="宋体" w:cs="宋体"/>
          <w:b w:val="0"/>
          <w:bCs w:val="0"/>
          <w:i w:val="0"/>
          <w:iCs w:val="0"/>
          <w:color w:val="000000"/>
          <w:sz w:val="24"/>
          <w:highlight w:val="none"/>
          <w:lang w:val="en-US" w:eastAsia="zh-CN"/>
        </w:rPr>
        <w:t>在政采云平台</w:t>
      </w:r>
      <w:r>
        <w:rPr>
          <w:rFonts w:hint="eastAsia" w:hAnsi="宋体" w:cs="宋体"/>
          <w:b w:val="0"/>
          <w:bCs w:val="0"/>
          <w:i w:val="0"/>
          <w:iCs w:val="0"/>
          <w:color w:val="000000"/>
          <w:sz w:val="24"/>
          <w:highlight w:val="none"/>
          <w:lang w:val="en-US" w:eastAsia="zh-CN"/>
        </w:rPr>
        <w:t>上传响应文件</w:t>
      </w:r>
      <w:r>
        <w:rPr>
          <w:rFonts w:hint="eastAsia" w:hAnsi="宋体" w:cs="宋体"/>
          <w:b w:val="0"/>
          <w:bCs w:val="0"/>
          <w:i w:val="0"/>
          <w:iCs w:val="0"/>
          <w:color w:val="000000"/>
          <w:sz w:val="24"/>
          <w:highlight w:val="none"/>
        </w:rPr>
        <w:t>，并以</w:t>
      </w:r>
      <w:r>
        <w:rPr>
          <w:rFonts w:hint="eastAsia" w:hAnsi="宋体" w:cs="宋体"/>
          <w:b w:val="0"/>
          <w:bCs w:val="0"/>
          <w:i w:val="0"/>
          <w:iCs w:val="0"/>
          <w:color w:val="000000"/>
          <w:sz w:val="24"/>
          <w:highlight w:val="none"/>
          <w:u w:val="single"/>
        </w:rPr>
        <w:t xml:space="preserve">         </w:t>
      </w:r>
      <w:r>
        <w:rPr>
          <w:rFonts w:hint="eastAsia" w:hAnsi="宋体" w:cs="宋体"/>
          <w:b w:val="0"/>
          <w:bCs w:val="0"/>
          <w:i w:val="0"/>
          <w:iCs w:val="0"/>
          <w:color w:val="000000"/>
          <w:sz w:val="24"/>
          <w:highlight w:val="none"/>
        </w:rPr>
        <w:t>形式出具的金额为人民币</w:t>
      </w:r>
      <w:r>
        <w:rPr>
          <w:rFonts w:hint="eastAsia" w:hAnsi="宋体" w:cs="宋体"/>
          <w:b w:val="0"/>
          <w:bCs w:val="0"/>
          <w:i w:val="0"/>
          <w:iCs w:val="0"/>
          <w:color w:val="000000"/>
          <w:sz w:val="24"/>
          <w:highlight w:val="none"/>
          <w:u w:val="single"/>
        </w:rPr>
        <w:t>　　　　</w:t>
      </w:r>
      <w:r>
        <w:rPr>
          <w:rFonts w:hint="eastAsia" w:hAnsi="宋体" w:cs="宋体"/>
          <w:b w:val="0"/>
          <w:bCs w:val="0"/>
          <w:i w:val="0"/>
          <w:iCs w:val="0"/>
          <w:color w:val="000000"/>
          <w:sz w:val="24"/>
          <w:highlight w:val="none"/>
        </w:rPr>
        <w:t>元的</w:t>
      </w:r>
      <w:r>
        <w:rPr>
          <w:rFonts w:hint="eastAsia" w:hAnsi="宋体" w:cs="宋体"/>
          <w:b w:val="0"/>
          <w:bCs w:val="0"/>
          <w:i w:val="0"/>
          <w:iCs w:val="0"/>
          <w:color w:val="000000"/>
          <w:sz w:val="24"/>
          <w:highlight w:val="none"/>
          <w:lang w:val="en-US" w:eastAsia="zh-CN"/>
        </w:rPr>
        <w:t>磋商</w:t>
      </w:r>
      <w:r>
        <w:rPr>
          <w:rFonts w:hint="eastAsia" w:hAnsi="宋体" w:cs="宋体"/>
          <w:b w:val="0"/>
          <w:bCs w:val="0"/>
          <w:i w:val="0"/>
          <w:iCs w:val="0"/>
          <w:color w:val="000000"/>
          <w:sz w:val="24"/>
          <w:highlight w:val="none"/>
        </w:rPr>
        <w:t>保证金。</w:t>
      </w:r>
    </w:p>
    <w:p w14:paraId="47D46522">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据此，签字代表宣布同意如下：</w:t>
      </w:r>
    </w:p>
    <w:p w14:paraId="6F2B56CF">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264" w:firstLineChars="11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1.供应商将按磋商文件的规定履行合同责任和义务。除非另外达成协议并生效，贵单位的成交通知书和本响应文件将构成合同的重要内容。</w:t>
      </w:r>
    </w:p>
    <w:p w14:paraId="50A16F8C">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264" w:firstLineChars="11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2.供应商已详细审查全部磋商文件，包括答疑、补充、修改等公告。我们完全理解并同意放弃对这方面有不明及误解的权利。</w:t>
      </w:r>
    </w:p>
    <w:p w14:paraId="4B72BDA7">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264" w:firstLineChars="11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3.我方同意在磋商有效期内遵守本响应文件，在此期限期满前的任何时间，本响应文件一直对我们具有约束力，本项目磋商有效期为响应文件递交截止时间后</w:t>
      </w:r>
      <w:r>
        <w:rPr>
          <w:rFonts w:hint="eastAsia" w:hAnsi="宋体" w:cs="宋体"/>
          <w:b w:val="0"/>
          <w:bCs w:val="0"/>
          <w:i w:val="0"/>
          <w:iCs w:val="0"/>
          <w:color w:val="000000"/>
          <w:sz w:val="24"/>
          <w:highlight w:val="none"/>
          <w:u w:val="single"/>
        </w:rPr>
        <w:t xml:space="preserve"> 90 </w:t>
      </w:r>
      <w:r>
        <w:rPr>
          <w:rFonts w:hint="eastAsia" w:hAnsi="宋体" w:cs="宋体"/>
          <w:b w:val="0"/>
          <w:bCs w:val="0"/>
          <w:i w:val="0"/>
          <w:iCs w:val="0"/>
          <w:color w:val="000000"/>
          <w:sz w:val="24"/>
          <w:highlight w:val="none"/>
        </w:rPr>
        <w:t>天。</w:t>
      </w:r>
    </w:p>
    <w:p w14:paraId="4E2663B2">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264" w:firstLineChars="11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4.供应商同意提供按照贵方可能要求的与其磋商有关的一切数据或资料，完全理解贵方不一定接受最低价的磋商或收到的任何磋商。</w:t>
      </w:r>
    </w:p>
    <w:p w14:paraId="421D866D">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382" w:leftChars="182" w:firstLine="264" w:firstLineChars="11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 xml:space="preserve">5.如果我方成交，我方将在磋商文件规定的时间内签订委托合同。如果我方违约，除磋商保证金不予退还外，贵方有权终止我方成交并选择其它成交供应商。  </w:t>
      </w:r>
    </w:p>
    <w:p w14:paraId="2EC066CF">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rPr>
        <w:t>地址</w:t>
      </w:r>
      <w:r>
        <w:rPr>
          <w:rFonts w:hint="eastAsia" w:hAnsi="宋体" w:cs="宋体"/>
          <w:b w:val="0"/>
          <w:bCs w:val="0"/>
          <w:i w:val="0"/>
          <w:iCs w:val="0"/>
          <w:color w:val="000000"/>
          <w:sz w:val="24"/>
          <w:highlight w:val="none"/>
          <w:u w:val="single"/>
        </w:rPr>
        <w:t xml:space="preserve">                         </w:t>
      </w:r>
      <w:r>
        <w:rPr>
          <w:rFonts w:hint="eastAsia" w:hAnsi="宋体" w:cs="宋体"/>
          <w:b w:val="0"/>
          <w:bCs w:val="0"/>
          <w:i w:val="0"/>
          <w:iCs w:val="0"/>
          <w:color w:val="000000"/>
          <w:sz w:val="24"/>
          <w:highlight w:val="none"/>
        </w:rPr>
        <w:t xml:space="preserve">     传真</w:t>
      </w:r>
      <w:r>
        <w:rPr>
          <w:rFonts w:hint="eastAsia" w:hAnsi="宋体" w:cs="宋体"/>
          <w:b w:val="0"/>
          <w:bCs w:val="0"/>
          <w:i w:val="0"/>
          <w:iCs w:val="0"/>
          <w:color w:val="000000"/>
          <w:sz w:val="24"/>
          <w:highlight w:val="none"/>
          <w:u w:val="single"/>
        </w:rPr>
        <w:t xml:space="preserve">                             </w:t>
      </w:r>
    </w:p>
    <w:p w14:paraId="35DC5D7E">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eastAsia" w:hAnsi="宋体" w:cs="宋体"/>
          <w:b w:val="0"/>
          <w:bCs w:val="0"/>
          <w:i w:val="0"/>
          <w:iCs w:val="0"/>
          <w:color w:val="000000"/>
          <w:sz w:val="24"/>
          <w:highlight w:val="none"/>
          <w:u w:val="single"/>
        </w:rPr>
      </w:pPr>
      <w:r>
        <w:rPr>
          <w:rFonts w:hint="eastAsia" w:hAnsi="宋体" w:cs="宋体"/>
          <w:b w:val="0"/>
          <w:bCs w:val="0"/>
          <w:i w:val="0"/>
          <w:iCs w:val="0"/>
          <w:color w:val="000000"/>
          <w:sz w:val="24"/>
          <w:highlight w:val="none"/>
        </w:rPr>
        <w:t>电话</w:t>
      </w:r>
      <w:r>
        <w:rPr>
          <w:rFonts w:hint="eastAsia" w:hAnsi="宋体" w:cs="宋体"/>
          <w:b w:val="0"/>
          <w:bCs w:val="0"/>
          <w:i w:val="0"/>
          <w:iCs w:val="0"/>
          <w:color w:val="000000"/>
          <w:sz w:val="24"/>
          <w:highlight w:val="none"/>
          <w:u w:val="single"/>
        </w:rPr>
        <w:t xml:space="preserve">                         </w:t>
      </w:r>
      <w:r>
        <w:rPr>
          <w:rFonts w:hint="eastAsia" w:hAnsi="宋体" w:cs="宋体"/>
          <w:b w:val="0"/>
          <w:bCs w:val="0"/>
          <w:i w:val="0"/>
          <w:iCs w:val="0"/>
          <w:color w:val="000000"/>
          <w:sz w:val="24"/>
          <w:highlight w:val="none"/>
        </w:rPr>
        <w:t xml:space="preserve">     电子函件</w:t>
      </w:r>
      <w:r>
        <w:rPr>
          <w:rFonts w:hint="eastAsia" w:hAnsi="宋体" w:cs="宋体"/>
          <w:b w:val="0"/>
          <w:bCs w:val="0"/>
          <w:i w:val="0"/>
          <w:iCs w:val="0"/>
          <w:color w:val="000000"/>
          <w:sz w:val="24"/>
          <w:highlight w:val="none"/>
          <w:u w:val="single"/>
        </w:rPr>
        <w:t xml:space="preserve">                         </w:t>
      </w:r>
    </w:p>
    <w:p w14:paraId="2F7E8820">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default" w:hAnsi="宋体" w:eastAsia="宋体" w:cs="宋体"/>
          <w:b w:val="0"/>
          <w:bCs w:val="0"/>
          <w:i w:val="0"/>
          <w:iCs w:val="0"/>
          <w:color w:val="000000"/>
          <w:sz w:val="24"/>
          <w:highlight w:val="none"/>
          <w:u w:val="single"/>
          <w:lang w:val="en-US" w:eastAsia="zh-CN"/>
        </w:rPr>
      </w:pPr>
      <w:r>
        <w:rPr>
          <w:rFonts w:hint="eastAsia" w:hAnsi="宋体" w:cs="宋体"/>
          <w:b w:val="0"/>
          <w:bCs w:val="0"/>
          <w:i w:val="0"/>
          <w:iCs w:val="0"/>
          <w:color w:val="000000"/>
          <w:sz w:val="24"/>
          <w:highlight w:val="none"/>
        </w:rPr>
        <w:t>法定代表人或其委托代理人</w:t>
      </w:r>
      <w:r>
        <w:rPr>
          <w:rFonts w:hint="eastAsia" w:hAnsi="宋体" w:cs="宋体"/>
          <w:b w:val="0"/>
          <w:bCs w:val="0"/>
          <w:i w:val="0"/>
          <w:iCs w:val="0"/>
          <w:color w:val="000000"/>
          <w:sz w:val="24"/>
          <w:highlight w:val="none"/>
          <w:lang w:eastAsia="zh-CN"/>
        </w:rPr>
        <w:t>（</w:t>
      </w:r>
      <w:r>
        <w:rPr>
          <w:rFonts w:hint="eastAsia" w:hAnsi="宋体" w:cs="宋体"/>
          <w:b w:val="0"/>
          <w:bCs w:val="0"/>
          <w:i w:val="0"/>
          <w:iCs w:val="0"/>
          <w:color w:val="000000"/>
          <w:sz w:val="24"/>
          <w:highlight w:val="none"/>
          <w:lang w:val="en-US" w:eastAsia="zh-CN"/>
        </w:rPr>
        <w:t>签/章</w:t>
      </w:r>
      <w:r>
        <w:rPr>
          <w:rFonts w:hint="eastAsia" w:hAnsi="宋体" w:cs="宋体"/>
          <w:b w:val="0"/>
          <w:bCs w:val="0"/>
          <w:i w:val="0"/>
          <w:iCs w:val="0"/>
          <w:color w:val="000000"/>
          <w:sz w:val="24"/>
          <w:highlight w:val="none"/>
          <w:lang w:eastAsia="zh-CN"/>
        </w:rPr>
        <w:t>）</w:t>
      </w:r>
      <w:r>
        <w:rPr>
          <w:rFonts w:hint="eastAsia" w:hAnsi="宋体" w:cs="宋体"/>
          <w:b w:val="0"/>
          <w:bCs w:val="0"/>
          <w:i w:val="0"/>
          <w:iCs w:val="0"/>
          <w:color w:val="000000"/>
          <w:sz w:val="24"/>
          <w:highlight w:val="none"/>
          <w:lang w:val="en-US" w:eastAsia="zh-CN"/>
        </w:rPr>
        <w:t>：</w:t>
      </w:r>
      <w:r>
        <w:rPr>
          <w:rFonts w:hint="eastAsia" w:hAnsi="宋体" w:cs="宋体"/>
          <w:b w:val="0"/>
          <w:bCs w:val="0"/>
          <w:i w:val="0"/>
          <w:iCs w:val="0"/>
          <w:color w:val="000000"/>
          <w:sz w:val="24"/>
          <w:highlight w:val="none"/>
          <w:u w:val="single"/>
          <w:lang w:val="en-US" w:eastAsia="zh-CN"/>
        </w:rPr>
        <w:t xml:space="preserve">                </w:t>
      </w:r>
    </w:p>
    <w:p w14:paraId="1487549D">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default" w:hAnsi="宋体" w:cs="宋体"/>
          <w:b w:val="0"/>
          <w:bCs w:val="0"/>
          <w:i w:val="0"/>
          <w:iCs w:val="0"/>
          <w:color w:val="000000"/>
          <w:sz w:val="24"/>
          <w:highlight w:val="none"/>
          <w:u w:val="single"/>
          <w:lang w:val="en-US" w:eastAsia="zh-CN"/>
        </w:rPr>
      </w:pPr>
      <w:r>
        <w:rPr>
          <w:rFonts w:hint="eastAsia" w:hAnsi="宋体" w:cs="宋体"/>
          <w:b w:val="0"/>
          <w:bCs w:val="0"/>
          <w:i w:val="0"/>
          <w:iCs w:val="0"/>
          <w:color w:val="000000"/>
          <w:sz w:val="24"/>
          <w:highlight w:val="none"/>
          <w:lang w:eastAsia="zh-CN"/>
        </w:rPr>
        <w:t>供应商</w:t>
      </w:r>
      <w:r>
        <w:rPr>
          <w:rFonts w:hint="eastAsia" w:hAnsi="宋体" w:cs="宋体"/>
          <w:b w:val="0"/>
          <w:bCs w:val="0"/>
          <w:i w:val="0"/>
          <w:iCs w:val="0"/>
          <w:color w:val="000000"/>
          <w:sz w:val="24"/>
          <w:highlight w:val="none"/>
        </w:rPr>
        <w:t>名称（</w:t>
      </w:r>
      <w:r>
        <w:rPr>
          <w:rFonts w:hint="eastAsia" w:hAnsi="宋体" w:cs="宋体"/>
          <w:b w:val="0"/>
          <w:bCs w:val="0"/>
          <w:i w:val="0"/>
          <w:iCs w:val="0"/>
          <w:color w:val="000000"/>
          <w:sz w:val="24"/>
          <w:highlight w:val="none"/>
          <w:lang w:val="en-US" w:eastAsia="zh-CN"/>
        </w:rPr>
        <w:t>公章</w:t>
      </w:r>
      <w:r>
        <w:rPr>
          <w:rFonts w:hint="eastAsia" w:hAnsi="宋体" w:cs="宋体"/>
          <w:b w:val="0"/>
          <w:bCs w:val="0"/>
          <w:i w:val="0"/>
          <w:iCs w:val="0"/>
          <w:color w:val="000000"/>
          <w:sz w:val="24"/>
          <w:highlight w:val="none"/>
        </w:rPr>
        <w:t>）</w:t>
      </w:r>
      <w:r>
        <w:rPr>
          <w:rFonts w:hint="eastAsia" w:hAnsi="宋体" w:cs="宋体"/>
          <w:b w:val="0"/>
          <w:bCs w:val="0"/>
          <w:i w:val="0"/>
          <w:iCs w:val="0"/>
          <w:color w:val="000000"/>
          <w:sz w:val="24"/>
          <w:highlight w:val="none"/>
          <w:lang w:eastAsia="zh-CN"/>
        </w:rPr>
        <w:t>：</w:t>
      </w:r>
      <w:r>
        <w:rPr>
          <w:rFonts w:hint="eastAsia" w:hAnsi="宋体" w:cs="宋体"/>
          <w:b w:val="0"/>
          <w:bCs w:val="0"/>
          <w:i w:val="0"/>
          <w:iCs w:val="0"/>
          <w:color w:val="000000"/>
          <w:sz w:val="24"/>
          <w:highlight w:val="none"/>
          <w:u w:val="single"/>
          <w:lang w:val="en-US" w:eastAsia="zh-CN"/>
        </w:rPr>
        <w:t xml:space="preserve">                     </w:t>
      </w:r>
    </w:p>
    <w:p w14:paraId="78B217BA">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lang w:eastAsia="zh-CN"/>
        </w:rPr>
        <w:t>供应商</w:t>
      </w:r>
      <w:r>
        <w:rPr>
          <w:rFonts w:hint="eastAsia" w:hAnsi="宋体" w:cs="宋体"/>
          <w:b w:val="0"/>
          <w:bCs w:val="0"/>
          <w:i w:val="0"/>
          <w:iCs w:val="0"/>
          <w:color w:val="000000"/>
          <w:sz w:val="24"/>
          <w:highlight w:val="none"/>
        </w:rPr>
        <w:t>开户银行（全称）</w:t>
      </w:r>
      <w:r>
        <w:rPr>
          <w:rFonts w:hint="eastAsia" w:hAnsi="宋体" w:cs="宋体"/>
          <w:b w:val="0"/>
          <w:bCs w:val="0"/>
          <w:i w:val="0"/>
          <w:iCs w:val="0"/>
          <w:color w:val="000000"/>
          <w:sz w:val="24"/>
          <w:highlight w:val="none"/>
          <w:u w:val="single"/>
        </w:rPr>
        <w:t>　　　　　　</w:t>
      </w:r>
      <w:r>
        <w:rPr>
          <w:rFonts w:hint="eastAsia" w:hAnsi="宋体" w:cs="宋体"/>
          <w:b w:val="0"/>
          <w:bCs w:val="0"/>
          <w:i w:val="0"/>
          <w:iCs w:val="0"/>
          <w:color w:val="000000"/>
          <w:sz w:val="24"/>
          <w:highlight w:val="none"/>
          <w:u w:val="single"/>
          <w:lang w:val="en-US" w:eastAsia="zh-CN"/>
        </w:rPr>
        <w:t xml:space="preserve">    </w:t>
      </w:r>
      <w:r>
        <w:rPr>
          <w:rFonts w:hint="eastAsia" w:hAnsi="宋体" w:cs="宋体"/>
          <w:b w:val="0"/>
          <w:bCs w:val="0"/>
          <w:i w:val="0"/>
          <w:iCs w:val="0"/>
          <w:color w:val="000000"/>
          <w:sz w:val="24"/>
          <w:highlight w:val="none"/>
          <w:u w:val="single"/>
        </w:rPr>
        <w:t xml:space="preserve"> </w:t>
      </w:r>
    </w:p>
    <w:p w14:paraId="40AC7ADC">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eastAsia" w:hAnsi="宋体" w:cs="宋体"/>
          <w:b w:val="0"/>
          <w:bCs w:val="0"/>
          <w:i w:val="0"/>
          <w:iCs w:val="0"/>
          <w:color w:val="000000"/>
          <w:sz w:val="24"/>
          <w:highlight w:val="none"/>
        </w:rPr>
      </w:pPr>
      <w:r>
        <w:rPr>
          <w:rFonts w:hint="eastAsia" w:hAnsi="宋体" w:cs="宋体"/>
          <w:b w:val="0"/>
          <w:bCs w:val="0"/>
          <w:i w:val="0"/>
          <w:iCs w:val="0"/>
          <w:color w:val="000000"/>
          <w:sz w:val="24"/>
          <w:highlight w:val="none"/>
          <w:lang w:eastAsia="zh-CN"/>
        </w:rPr>
        <w:t>供应商</w:t>
      </w:r>
      <w:r>
        <w:rPr>
          <w:rFonts w:hint="eastAsia" w:hAnsi="宋体" w:cs="宋体"/>
          <w:b w:val="0"/>
          <w:bCs w:val="0"/>
          <w:i w:val="0"/>
          <w:iCs w:val="0"/>
          <w:color w:val="000000"/>
          <w:sz w:val="24"/>
          <w:highlight w:val="none"/>
        </w:rPr>
        <w:t>银行帐号</w:t>
      </w:r>
      <w:r>
        <w:rPr>
          <w:rFonts w:hint="eastAsia" w:hAnsi="宋体" w:cs="宋体"/>
          <w:b w:val="0"/>
          <w:bCs w:val="0"/>
          <w:i w:val="0"/>
          <w:iCs w:val="0"/>
          <w:color w:val="000000"/>
          <w:sz w:val="24"/>
          <w:highlight w:val="none"/>
          <w:u w:val="single"/>
        </w:rPr>
        <w:t>　　　　　　　　 　</w:t>
      </w:r>
      <w:r>
        <w:rPr>
          <w:rFonts w:hint="eastAsia" w:hAnsi="宋体" w:cs="宋体"/>
          <w:b w:val="0"/>
          <w:bCs w:val="0"/>
          <w:i w:val="0"/>
          <w:iCs w:val="0"/>
          <w:color w:val="000000"/>
          <w:sz w:val="24"/>
          <w:highlight w:val="none"/>
          <w:u w:val="single"/>
          <w:lang w:val="en-US" w:eastAsia="zh-CN"/>
        </w:rPr>
        <w:t xml:space="preserve">   </w:t>
      </w:r>
      <w:r>
        <w:rPr>
          <w:rFonts w:hint="eastAsia" w:hAnsi="宋体" w:cs="宋体"/>
          <w:b w:val="0"/>
          <w:bCs w:val="0"/>
          <w:i w:val="0"/>
          <w:iCs w:val="0"/>
          <w:color w:val="000000"/>
          <w:sz w:val="24"/>
          <w:highlight w:val="none"/>
          <w:u w:val="single"/>
        </w:rPr>
        <w:t>　</w:t>
      </w:r>
    </w:p>
    <w:p w14:paraId="10859C7E">
      <w:pPr>
        <w:pStyle w:val="17"/>
        <w:keepNext w:val="0"/>
        <w:keepLines w:val="0"/>
        <w:pageBreakBefore w:val="0"/>
        <w:widowControl w:val="0"/>
        <w:tabs>
          <w:tab w:val="left" w:pos="5580"/>
        </w:tabs>
        <w:kinsoku/>
        <w:wordWrap/>
        <w:overflowPunct/>
        <w:topLinePunct w:val="0"/>
        <w:autoSpaceDE w:val="0"/>
        <w:autoSpaceDN w:val="0"/>
        <w:bidi w:val="0"/>
        <w:adjustRightInd w:val="0"/>
        <w:snapToGrid/>
        <w:spacing w:line="360" w:lineRule="auto"/>
        <w:ind w:left="1080" w:leftChars="257" w:hanging="540"/>
        <w:textAlignment w:val="auto"/>
        <w:rPr>
          <w:rFonts w:hint="default" w:hAnsi="宋体" w:eastAsia="宋体" w:cs="宋体"/>
          <w:b w:val="0"/>
          <w:bCs w:val="0"/>
          <w:i w:val="0"/>
          <w:iCs w:val="0"/>
          <w:color w:val="000000"/>
          <w:sz w:val="24"/>
          <w:highlight w:val="none"/>
          <w:u w:val="single"/>
          <w:lang w:val="en-US" w:eastAsia="zh-CN"/>
        </w:rPr>
      </w:pPr>
      <w:r>
        <w:rPr>
          <w:rFonts w:hint="eastAsia" w:hAnsi="宋体" w:cs="宋体"/>
          <w:b w:val="0"/>
          <w:bCs w:val="0"/>
          <w:i w:val="0"/>
          <w:iCs w:val="0"/>
          <w:color w:val="000000"/>
          <w:sz w:val="24"/>
          <w:highlight w:val="none"/>
        </w:rPr>
        <w:t>日期</w:t>
      </w:r>
      <w:r>
        <w:rPr>
          <w:rFonts w:hint="eastAsia" w:hAnsi="宋体" w:cs="宋体"/>
          <w:b w:val="0"/>
          <w:bCs w:val="0"/>
          <w:i w:val="0"/>
          <w:iCs w:val="0"/>
          <w:color w:val="000000"/>
          <w:sz w:val="24"/>
          <w:highlight w:val="none"/>
          <w:lang w:eastAsia="zh-CN"/>
        </w:rPr>
        <w:t>：</w:t>
      </w:r>
      <w:r>
        <w:rPr>
          <w:rFonts w:hint="eastAsia" w:hAnsi="宋体" w:cs="宋体"/>
          <w:b w:val="0"/>
          <w:bCs w:val="0"/>
          <w:i w:val="0"/>
          <w:iCs w:val="0"/>
          <w:color w:val="000000"/>
          <w:sz w:val="24"/>
          <w:highlight w:val="none"/>
          <w:u w:val="single"/>
          <w:lang w:val="en-US" w:eastAsia="zh-CN"/>
        </w:rPr>
        <w:t xml:space="preserve">                          </w:t>
      </w:r>
    </w:p>
    <w:p w14:paraId="58307D3A">
      <w:pPr>
        <w:spacing w:before="0" w:line="240" w:lineRule="atLeast"/>
        <w:jc w:val="center"/>
        <w:outlineLvl w:val="9"/>
        <w:rPr>
          <w:rFonts w:hint="eastAsia" w:ascii="宋体" w:hAnsi="宋体" w:eastAsia="宋体" w:cs="宋体"/>
          <w:color w:val="000000"/>
          <w:sz w:val="24"/>
          <w:highlight w:val="none"/>
        </w:rPr>
      </w:pPr>
    </w:p>
    <w:p w14:paraId="11BBC9D5">
      <w:pPr>
        <w:spacing w:before="0" w:line="240" w:lineRule="atLeast"/>
        <w:jc w:val="center"/>
        <w:outlineLvl w:val="9"/>
        <w:rPr>
          <w:rFonts w:hint="eastAsia" w:ascii="宋体" w:hAnsi="宋体" w:eastAsia="宋体" w:cs="宋体"/>
          <w:color w:val="000000"/>
          <w:sz w:val="24"/>
          <w:highlight w:val="none"/>
        </w:rPr>
      </w:pPr>
    </w:p>
    <w:p w14:paraId="67E38001">
      <w:pPr>
        <w:spacing w:before="0" w:line="240" w:lineRule="atLeast"/>
        <w:jc w:val="both"/>
        <w:outlineLvl w:val="9"/>
        <w:rPr>
          <w:rFonts w:hint="eastAsia" w:ascii="宋体" w:hAnsi="宋体" w:eastAsia="宋体" w:cs="宋体"/>
          <w:color w:val="000000"/>
          <w:sz w:val="24"/>
          <w:highlight w:val="none"/>
        </w:rPr>
      </w:pPr>
    </w:p>
    <w:p w14:paraId="789250BA">
      <w:pPr>
        <w:spacing w:before="0" w:line="240" w:lineRule="atLeast"/>
        <w:jc w:val="both"/>
        <w:outlineLvl w:val="9"/>
        <w:rPr>
          <w:rFonts w:hint="eastAsia" w:ascii="宋体" w:hAnsi="宋体" w:eastAsia="宋体" w:cs="宋体"/>
          <w:color w:val="000000"/>
          <w:sz w:val="24"/>
          <w:highlight w:val="none"/>
        </w:rPr>
      </w:pPr>
    </w:p>
    <w:p w14:paraId="2CBB99CE">
      <w:pPr>
        <w:spacing w:before="0" w:line="240" w:lineRule="atLeast"/>
        <w:jc w:val="both"/>
        <w:outlineLvl w:val="9"/>
        <w:rPr>
          <w:rFonts w:hint="eastAsia" w:ascii="宋体" w:hAnsi="宋体" w:eastAsia="宋体" w:cs="宋体"/>
          <w:color w:val="000000"/>
          <w:sz w:val="24"/>
          <w:highlight w:val="none"/>
        </w:rPr>
      </w:pPr>
    </w:p>
    <w:p w14:paraId="17C7C797">
      <w:pPr>
        <w:pStyle w:val="23"/>
        <w:rPr>
          <w:rFonts w:hint="eastAsia" w:ascii="宋体" w:hAnsi="宋体" w:eastAsia="宋体" w:cs="宋体"/>
          <w:color w:val="000000"/>
          <w:sz w:val="24"/>
          <w:highlight w:val="none"/>
        </w:rPr>
      </w:pPr>
    </w:p>
    <w:p w14:paraId="271C7A68">
      <w:pPr>
        <w:numPr>
          <w:ilvl w:val="0"/>
          <w:numId w:val="6"/>
        </w:numPr>
        <w:jc w:val="center"/>
        <w:outlineLvl w:val="3"/>
        <w:rPr>
          <w:rFonts w:hint="eastAsia" w:ascii="宋体" w:hAnsi="宋体" w:eastAsia="宋体" w:cs="宋体"/>
          <w:color w:val="auto"/>
          <w:sz w:val="28"/>
          <w:szCs w:val="28"/>
        </w:rPr>
      </w:pPr>
      <w:r>
        <w:rPr>
          <w:rFonts w:hint="eastAsia" w:ascii="宋体" w:hAnsi="宋体" w:eastAsia="宋体" w:cs="宋体"/>
          <w:color w:val="auto"/>
          <w:sz w:val="28"/>
          <w:szCs w:val="28"/>
        </w:rPr>
        <w:t>分项报价表</w:t>
      </w:r>
      <w:bookmarkStart w:id="78" w:name="_Toc23473"/>
      <w:bookmarkStart w:id="79" w:name="_Toc1266"/>
      <w:bookmarkStart w:id="80" w:name="_Toc19943"/>
    </w:p>
    <w:p w14:paraId="5730C60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p>
    <w:p w14:paraId="324E9CB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49468910">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color w:val="auto"/>
        </w:rPr>
      </w:pPr>
      <w:r>
        <w:rPr>
          <w:rFonts w:hint="eastAsia" w:ascii="宋体" w:hAnsi="宋体"/>
          <w:color w:val="auto"/>
          <w:sz w:val="24"/>
          <w:highlight w:val="none"/>
        </w:rPr>
        <w:t>报价单位：人民币</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元</w:t>
      </w:r>
      <w:r>
        <w:rPr>
          <w:rFonts w:hint="eastAsia" w:ascii="宋体" w:hAnsi="宋体" w:eastAsia="宋体"/>
          <w:b/>
          <w:color w:val="auto"/>
          <w:sz w:val="24"/>
          <w:highlight w:val="none"/>
          <w:lang w:val="en-US" w:eastAsia="zh-CN"/>
        </w:rPr>
        <w:t xml:space="preserve">              </w:t>
      </w:r>
    </w:p>
    <w:tbl>
      <w:tblPr>
        <w:tblStyle w:val="39"/>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051"/>
        <w:gridCol w:w="2565"/>
        <w:gridCol w:w="2009"/>
      </w:tblGrid>
      <w:tr w14:paraId="02A8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95" w:type="dxa"/>
            <w:vAlign w:val="top"/>
          </w:tcPr>
          <w:p w14:paraId="0FE593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序号</w:t>
            </w:r>
          </w:p>
        </w:tc>
        <w:tc>
          <w:tcPr>
            <w:tcW w:w="3051" w:type="dxa"/>
            <w:vAlign w:val="top"/>
          </w:tcPr>
          <w:p w14:paraId="68053A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rPr>
            </w:pPr>
            <w:r>
              <w:rPr>
                <w:rFonts w:hint="eastAsia" w:ascii="宋体" w:hAnsi="宋体" w:eastAsia="宋体" w:cs="宋体"/>
                <w:color w:val="auto"/>
                <w:lang w:val="en-US" w:eastAsia="zh-CN"/>
              </w:rPr>
              <w:t xml:space="preserve"> 服务内容</w:t>
            </w:r>
          </w:p>
        </w:tc>
        <w:tc>
          <w:tcPr>
            <w:tcW w:w="2565" w:type="dxa"/>
            <w:vAlign w:val="top"/>
          </w:tcPr>
          <w:p w14:paraId="77E13E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报价</w:t>
            </w:r>
          </w:p>
        </w:tc>
        <w:tc>
          <w:tcPr>
            <w:tcW w:w="2009" w:type="dxa"/>
            <w:vAlign w:val="top"/>
          </w:tcPr>
          <w:p w14:paraId="55364F3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备注</w:t>
            </w:r>
          </w:p>
        </w:tc>
      </w:tr>
      <w:tr w14:paraId="4654E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1C657FA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1.</w:t>
            </w:r>
          </w:p>
        </w:tc>
        <w:tc>
          <w:tcPr>
            <w:tcW w:w="3051" w:type="dxa"/>
            <w:vAlign w:val="top"/>
          </w:tcPr>
          <w:p w14:paraId="426A88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565" w:type="dxa"/>
            <w:vAlign w:val="top"/>
          </w:tcPr>
          <w:p w14:paraId="78CB7B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93081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690B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95" w:type="dxa"/>
            <w:vAlign w:val="top"/>
          </w:tcPr>
          <w:p w14:paraId="11FCFA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2.</w:t>
            </w:r>
          </w:p>
        </w:tc>
        <w:tc>
          <w:tcPr>
            <w:tcW w:w="3051" w:type="dxa"/>
            <w:vAlign w:val="top"/>
          </w:tcPr>
          <w:p w14:paraId="6250EC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565" w:type="dxa"/>
            <w:vAlign w:val="top"/>
          </w:tcPr>
          <w:p w14:paraId="3C29B66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1D380A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633A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0493BF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3.</w:t>
            </w:r>
          </w:p>
        </w:tc>
        <w:tc>
          <w:tcPr>
            <w:tcW w:w="3051" w:type="dxa"/>
            <w:vAlign w:val="top"/>
          </w:tcPr>
          <w:p w14:paraId="4F00AA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565" w:type="dxa"/>
            <w:vAlign w:val="top"/>
          </w:tcPr>
          <w:p w14:paraId="4C7AF9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1AFED8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7131A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43CC6D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4.</w:t>
            </w:r>
          </w:p>
        </w:tc>
        <w:tc>
          <w:tcPr>
            <w:tcW w:w="3051" w:type="dxa"/>
            <w:vAlign w:val="top"/>
          </w:tcPr>
          <w:p w14:paraId="204CFD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565" w:type="dxa"/>
            <w:vAlign w:val="top"/>
          </w:tcPr>
          <w:p w14:paraId="179CA3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3264FB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3078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AE3D6A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5.</w:t>
            </w:r>
          </w:p>
        </w:tc>
        <w:tc>
          <w:tcPr>
            <w:tcW w:w="3051" w:type="dxa"/>
            <w:vAlign w:val="top"/>
          </w:tcPr>
          <w:p w14:paraId="5196BF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565" w:type="dxa"/>
            <w:vAlign w:val="top"/>
          </w:tcPr>
          <w:p w14:paraId="275708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45BF14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7FE0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711" w:type="dxa"/>
            <w:gridSpan w:val="3"/>
            <w:vAlign w:val="top"/>
          </w:tcPr>
          <w:p w14:paraId="28D098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r>
              <w:rPr>
                <w:rFonts w:hint="eastAsia" w:ascii="宋体" w:hAnsi="宋体" w:eastAsia="宋体" w:cs="宋体"/>
                <w:color w:val="auto"/>
              </w:rPr>
              <w:t>总价：</w:t>
            </w:r>
          </w:p>
        </w:tc>
        <w:tc>
          <w:tcPr>
            <w:tcW w:w="2009" w:type="dxa"/>
            <w:vAlign w:val="top"/>
          </w:tcPr>
          <w:p w14:paraId="65A3DF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tc>
      </w:tr>
    </w:tbl>
    <w:p w14:paraId="57B736D8">
      <w:pPr>
        <w:rPr>
          <w:color w:val="auto"/>
        </w:rPr>
      </w:pPr>
    </w:p>
    <w:p w14:paraId="3EC88BF4">
      <w:pPr>
        <w:pStyle w:val="17"/>
        <w:tabs>
          <w:tab w:val="left" w:pos="5370"/>
        </w:tabs>
        <w:spacing w:line="240" w:lineRule="atLeast"/>
        <w:rPr>
          <w:rFonts w:hint="eastAsia" w:ascii="宋体" w:hAnsi="宋体" w:eastAsia="宋体" w:cs="宋体"/>
          <w:color w:val="auto"/>
          <w:sz w:val="24"/>
          <w:szCs w:val="24"/>
          <w:lang w:eastAsia="zh-CN"/>
        </w:rPr>
      </w:pPr>
    </w:p>
    <w:p w14:paraId="65AC79A2">
      <w:pPr>
        <w:pStyle w:val="17"/>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29E8252E">
      <w:pPr>
        <w:pStyle w:val="17"/>
        <w:spacing w:line="240" w:lineRule="atLeast"/>
        <w:ind w:left="1258" w:leftChars="599" w:firstLine="103" w:firstLineChars="43"/>
        <w:rPr>
          <w:rFonts w:hint="eastAsia" w:ascii="宋体" w:hAnsi="宋体" w:eastAsia="宋体" w:cs="宋体"/>
          <w:color w:val="auto"/>
          <w:sz w:val="24"/>
          <w:szCs w:val="24"/>
          <w:highlight w:val="none"/>
        </w:rPr>
      </w:pPr>
    </w:p>
    <w:p w14:paraId="2EE099C0">
      <w:pPr>
        <w:pStyle w:val="17"/>
        <w:tabs>
          <w:tab w:val="left" w:pos="5580"/>
        </w:tabs>
        <w:spacing w:line="240" w:lineRule="atLeas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D973CA7">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color w:val="auto"/>
        </w:rPr>
      </w:pPr>
    </w:p>
    <w:p w14:paraId="227CB7B7">
      <w:pPr>
        <w:pStyle w:val="23"/>
        <w:rPr>
          <w:color w:val="auto"/>
        </w:rPr>
      </w:pPr>
    </w:p>
    <w:p w14:paraId="689855F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color w:val="auto"/>
        </w:rPr>
      </w:pPr>
      <w:r>
        <w:rPr>
          <w:color w:val="auto"/>
        </w:rPr>
        <w:t>注:</w:t>
      </w:r>
      <w:r>
        <w:rPr>
          <w:rFonts w:hint="eastAsia" w:eastAsia="宋体"/>
          <w:color w:val="auto"/>
          <w:lang w:val="en-US" w:eastAsia="zh-CN"/>
        </w:rPr>
        <w:t xml:space="preserve">  </w:t>
      </w:r>
      <w:r>
        <w:rPr>
          <w:color w:val="auto"/>
        </w:rPr>
        <w:t>1. 如果按分项报价计算的结果与总价不一致,以分项报价为准修正总价。</w:t>
      </w:r>
    </w:p>
    <w:p w14:paraId="646BBC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color w:val="auto"/>
        </w:rPr>
      </w:pPr>
      <w:r>
        <w:rPr>
          <w:color w:val="auto"/>
        </w:rPr>
        <w:t>2. 上述各项的详细分项报价，可另页描述。</w:t>
      </w:r>
    </w:p>
    <w:p w14:paraId="18065A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color w:val="auto"/>
        </w:rPr>
      </w:pPr>
      <w:r>
        <w:rPr>
          <w:color w:val="auto"/>
        </w:rPr>
        <w:t>3. 如果开标一览表（报价表）内容与</w:t>
      </w:r>
      <w:r>
        <w:rPr>
          <w:rFonts w:hint="eastAsia" w:eastAsia="宋体"/>
          <w:color w:val="auto"/>
          <w:lang w:eastAsia="zh-CN"/>
        </w:rPr>
        <w:t>响应文件</w:t>
      </w:r>
      <w:r>
        <w:rPr>
          <w:color w:val="auto"/>
        </w:rPr>
        <w:t>中明细表内容不一致的， 以开标一览表（报价表）内容为准。</w:t>
      </w:r>
    </w:p>
    <w:p w14:paraId="4F6A3346">
      <w:pPr>
        <w:jc w:val="left"/>
        <w:rPr>
          <w:color w:val="auto"/>
        </w:rPr>
        <w:sectPr>
          <w:headerReference r:id="rId7" w:type="default"/>
          <w:footerReference r:id="rId8" w:type="default"/>
          <w:pgSz w:w="11906" w:h="16838"/>
          <w:pgMar w:top="1440" w:right="1800" w:bottom="1440" w:left="1800" w:header="0" w:footer="1229" w:gutter="0"/>
          <w:pgNumType w:fmt="decimal"/>
          <w:cols w:space="720" w:num="1"/>
        </w:sectPr>
      </w:pPr>
    </w:p>
    <w:p w14:paraId="3296702B">
      <w:pPr>
        <w:pStyle w:val="17"/>
        <w:spacing w:line="240" w:lineRule="atLeast"/>
        <w:jc w:val="center"/>
        <w:outlineLvl w:val="3"/>
        <w:rPr>
          <w:rFonts w:hint="eastAsia" w:ascii="宋体" w:hAnsi="宋体" w:eastAsia="宋体" w:cs="宋体"/>
          <w:b w:val="0"/>
          <w:bCs w:val="0"/>
          <w:color w:val="auto"/>
          <w:sz w:val="24"/>
          <w:szCs w:val="24"/>
        </w:rPr>
      </w:pPr>
      <w:bookmarkStart w:id="81" w:name="_Toc17015"/>
      <w:r>
        <w:rPr>
          <w:rFonts w:hint="eastAsia" w:hAnsi="宋体" w:cs="宋体"/>
          <w:b w:val="0"/>
          <w:bCs w:val="0"/>
          <w:color w:val="auto"/>
          <w:sz w:val="28"/>
          <w:szCs w:val="28"/>
          <w:lang w:val="en-US" w:eastAsia="zh-CN"/>
        </w:rPr>
        <w:t>3</w:t>
      </w:r>
      <w:bookmarkEnd w:id="81"/>
      <w:r>
        <w:rPr>
          <w:rFonts w:hint="eastAsia" w:hAnsi="宋体" w:cs="宋体"/>
          <w:b w:val="0"/>
          <w:bCs w:val="0"/>
          <w:color w:val="auto"/>
          <w:sz w:val="28"/>
          <w:szCs w:val="28"/>
          <w:lang w:val="en-US" w:eastAsia="zh-CN"/>
        </w:rPr>
        <w:t>.服务说明一览表</w:t>
      </w:r>
    </w:p>
    <w:p w14:paraId="656D21B6">
      <w:pPr>
        <w:pStyle w:val="17"/>
        <w:spacing w:line="240" w:lineRule="atLeast"/>
        <w:rPr>
          <w:rFonts w:hint="eastAsia" w:ascii="宋体" w:hAnsi="宋体" w:eastAsia="宋体" w:cs="宋体"/>
          <w:color w:val="auto"/>
          <w:sz w:val="24"/>
          <w:szCs w:val="24"/>
        </w:rPr>
      </w:pPr>
    </w:p>
    <w:p w14:paraId="726D28C4">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155" w:leftChars="485" w:right="-871" w:rightChars="-413" w:hanging="132" w:hangingChars="55"/>
        <w:textAlignment w:val="baseline"/>
        <w:rPr>
          <w:rFonts w:hint="eastAsia" w:ascii="宋体" w:hAnsi="宋体" w:eastAsia="宋体" w:cs="宋体"/>
          <w:color w:val="auto"/>
          <w:sz w:val="24"/>
          <w:szCs w:val="24"/>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标项号</w:t>
      </w:r>
      <w:r>
        <w:rPr>
          <w:rFonts w:hint="eastAsia" w:ascii="宋体" w:hAnsi="宋体" w:eastAsia="宋体"/>
          <w:b/>
          <w:color w:val="auto"/>
          <w:sz w:val="24"/>
          <w:highlight w:val="none"/>
          <w:lang w:val="en-US" w:eastAsia="zh-CN"/>
        </w:rPr>
        <w:t>：</w:t>
      </w:r>
      <w:r>
        <w:rPr>
          <w:rFonts w:hint="eastAsia" w:ascii="宋体" w:hAnsi="宋体" w:eastAsia="宋体" w:cs="宋体"/>
          <w:color w:val="auto"/>
          <w:sz w:val="24"/>
          <w:szCs w:val="24"/>
        </w:rPr>
        <w:t xml:space="preserve">            </w:t>
      </w:r>
    </w:p>
    <w:tbl>
      <w:tblPr>
        <w:tblStyle w:val="30"/>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22"/>
        <w:gridCol w:w="1600"/>
        <w:gridCol w:w="1444"/>
        <w:gridCol w:w="2223"/>
        <w:gridCol w:w="1711"/>
        <w:gridCol w:w="1204"/>
      </w:tblGrid>
      <w:tr w14:paraId="5B3D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3" w:type="dxa"/>
            <w:noWrap w:val="0"/>
            <w:vAlign w:val="top"/>
          </w:tcPr>
          <w:p w14:paraId="635D7B5C">
            <w:pPr>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highlight w:val="none"/>
              </w:rPr>
              <w:t>序号</w:t>
            </w:r>
          </w:p>
        </w:tc>
        <w:tc>
          <w:tcPr>
            <w:tcW w:w="1522" w:type="dxa"/>
            <w:noWrap w:val="0"/>
            <w:vAlign w:val="top"/>
          </w:tcPr>
          <w:p w14:paraId="074F6664">
            <w:pPr>
              <w:keepNext w:val="0"/>
              <w:keepLines w:val="0"/>
              <w:pageBreakBefore w:val="0"/>
              <w:widowControl/>
              <w:kinsoku w:val="0"/>
              <w:wordWrap/>
              <w:overflowPunct/>
              <w:topLinePunct w:val="0"/>
              <w:autoSpaceDE w:val="0"/>
              <w:autoSpaceDN w:val="0"/>
              <w:bidi w:val="0"/>
              <w:adjustRightInd w:val="0"/>
              <w:snapToGrid w:val="0"/>
              <w:spacing w:before="206"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highlight w:val="none"/>
              </w:rPr>
              <w:t>服务名称</w:t>
            </w:r>
          </w:p>
        </w:tc>
        <w:tc>
          <w:tcPr>
            <w:tcW w:w="1600" w:type="dxa"/>
            <w:noWrap w:val="0"/>
            <w:vAlign w:val="top"/>
          </w:tcPr>
          <w:p w14:paraId="3CC5A810">
            <w:pPr>
              <w:keepNext w:val="0"/>
              <w:keepLines w:val="0"/>
              <w:pageBreakBefore w:val="0"/>
              <w:widowControl/>
              <w:kinsoku w:val="0"/>
              <w:wordWrap/>
              <w:overflowPunct/>
              <w:topLinePunct w:val="0"/>
              <w:autoSpaceDE w:val="0"/>
              <w:autoSpaceDN w:val="0"/>
              <w:bidi w:val="0"/>
              <w:adjustRightInd w:val="0"/>
              <w:snapToGrid w:val="0"/>
              <w:spacing w:before="206"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1444" w:type="dxa"/>
            <w:noWrap w:val="0"/>
            <w:vAlign w:val="center"/>
          </w:tcPr>
          <w:p w14:paraId="09B9E0B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00000"/>
                <w:spacing w:val="0"/>
                <w:sz w:val="24"/>
                <w:szCs w:val="24"/>
              </w:rPr>
              <w:t>服务要求</w:t>
            </w:r>
          </w:p>
        </w:tc>
        <w:tc>
          <w:tcPr>
            <w:tcW w:w="2223" w:type="dxa"/>
            <w:noWrap w:val="0"/>
            <w:vAlign w:val="center"/>
          </w:tcPr>
          <w:p w14:paraId="3D09E90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服务时间</w:t>
            </w:r>
          </w:p>
        </w:tc>
        <w:tc>
          <w:tcPr>
            <w:tcW w:w="1711" w:type="dxa"/>
            <w:noWrap w:val="0"/>
            <w:vAlign w:val="center"/>
          </w:tcPr>
          <w:p w14:paraId="0537B85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1204" w:type="dxa"/>
            <w:noWrap w:val="0"/>
            <w:vAlign w:val="center"/>
          </w:tcPr>
          <w:p w14:paraId="159AEE5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w:t>
            </w:r>
          </w:p>
        </w:tc>
      </w:tr>
      <w:tr w14:paraId="4F51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7E1E5849">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1C35D6CB">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02C34FC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25843DD3">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6FF6889B">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3EAEB26E">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576BD30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2609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09140C25">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3538AC3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479CFF6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7C0FFE9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3E9D1B06">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260FD52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17920F2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1BB1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1CE602F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336FCFA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518074C2">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679EC3B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1B64C683">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6083E09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6E6D9E9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62D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77CF7526">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074DC0EE">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71B206F5">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67D6946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4CFADEB6">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5BDE6D32">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51F4591B">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3FD4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671E0A9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61956BE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0A1E70E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4266396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26DC383E">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2C6F3802">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447DB3A6">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7B60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5960A3C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0D0CEBC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255980D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446E4EC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6AE071F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15222C61">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4E502EF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6B54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60060DC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6328616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030ED9BB">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3F1E296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151F272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60CD2E3E">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12FD7756">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1EDA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1082DCC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7ACBEF8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734BC53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7913F601">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07D832D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3D0D2B5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10885709">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67F9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93" w:type="dxa"/>
            <w:noWrap w:val="0"/>
            <w:vAlign w:val="top"/>
          </w:tcPr>
          <w:p w14:paraId="77D519F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0448575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088728D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1845229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444CB789">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65039E3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2A1DA15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5260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060C0B1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5D6785B5">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6A758D5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0BB2536C">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7F692EB1">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7B2B8A9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6900968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2C99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93" w:type="dxa"/>
            <w:noWrap w:val="0"/>
            <w:vAlign w:val="top"/>
          </w:tcPr>
          <w:p w14:paraId="2766033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1FB49D3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3C2335E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7925FFF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2CAB2C2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382431B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547C707D">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3D8C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3" w:type="dxa"/>
            <w:noWrap w:val="0"/>
            <w:vAlign w:val="top"/>
          </w:tcPr>
          <w:p w14:paraId="387328C1">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7DE24F0A">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741D6643">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75903D8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54432C8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4D8A1F1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18C4603F">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r w14:paraId="608C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 w:type="dxa"/>
            <w:noWrap w:val="0"/>
            <w:vAlign w:val="top"/>
          </w:tcPr>
          <w:p w14:paraId="3B2C014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522" w:type="dxa"/>
            <w:noWrap w:val="0"/>
            <w:vAlign w:val="top"/>
          </w:tcPr>
          <w:p w14:paraId="227312C0">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600" w:type="dxa"/>
            <w:noWrap w:val="0"/>
            <w:vAlign w:val="top"/>
          </w:tcPr>
          <w:p w14:paraId="4F971FA4">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444" w:type="dxa"/>
            <w:noWrap w:val="0"/>
            <w:vAlign w:val="top"/>
          </w:tcPr>
          <w:p w14:paraId="79F50AB5">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2223" w:type="dxa"/>
            <w:noWrap w:val="0"/>
            <w:vAlign w:val="top"/>
          </w:tcPr>
          <w:p w14:paraId="075192C7">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711" w:type="dxa"/>
            <w:noWrap w:val="0"/>
            <w:vAlign w:val="top"/>
          </w:tcPr>
          <w:p w14:paraId="5B4ECC0E">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c>
          <w:tcPr>
            <w:tcW w:w="1204" w:type="dxa"/>
            <w:noWrap w:val="0"/>
            <w:vAlign w:val="top"/>
          </w:tcPr>
          <w:p w14:paraId="162AD788">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1082" w:leftChars="257" w:hanging="540"/>
              <w:textAlignment w:val="baseline"/>
              <w:rPr>
                <w:rFonts w:hint="eastAsia" w:ascii="宋体" w:hAnsi="宋体" w:eastAsia="宋体" w:cs="宋体"/>
                <w:color w:val="auto"/>
                <w:sz w:val="24"/>
                <w:szCs w:val="24"/>
              </w:rPr>
            </w:pPr>
          </w:p>
        </w:tc>
      </w:tr>
    </w:tbl>
    <w:p w14:paraId="57FB4344">
      <w:pPr>
        <w:pStyle w:val="17"/>
        <w:spacing w:line="240" w:lineRule="atLeast"/>
        <w:ind w:left="1082" w:leftChars="257" w:hanging="540"/>
        <w:rPr>
          <w:rFonts w:hint="eastAsia" w:ascii="宋体" w:hAnsi="宋体" w:eastAsia="宋体" w:cs="宋体"/>
          <w:color w:val="auto"/>
          <w:sz w:val="24"/>
          <w:szCs w:val="24"/>
        </w:rPr>
      </w:pPr>
    </w:p>
    <w:p w14:paraId="581227B2">
      <w:pPr>
        <w:pStyle w:val="17"/>
        <w:spacing w:line="240" w:lineRule="atLeast"/>
        <w:ind w:left="1082" w:leftChars="257" w:hanging="540"/>
        <w:rPr>
          <w:rFonts w:hint="eastAsia" w:ascii="宋体" w:hAnsi="宋体" w:eastAsia="宋体" w:cs="宋体"/>
          <w:color w:val="auto"/>
          <w:sz w:val="24"/>
          <w:szCs w:val="24"/>
        </w:rPr>
      </w:pPr>
    </w:p>
    <w:p w14:paraId="66A2CD61">
      <w:pPr>
        <w:pStyle w:val="17"/>
        <w:tabs>
          <w:tab w:val="left" w:pos="5370"/>
        </w:tabs>
        <w:spacing w:line="240" w:lineRule="atLeast"/>
        <w:rPr>
          <w:rFonts w:hint="eastAsia" w:ascii="宋体" w:hAnsi="宋体" w:eastAsia="宋体" w:cs="宋体"/>
          <w:color w:val="auto"/>
          <w:sz w:val="24"/>
          <w:szCs w:val="24"/>
          <w:lang w:eastAsia="zh-CN"/>
        </w:rPr>
      </w:pPr>
    </w:p>
    <w:p w14:paraId="5A536460">
      <w:pPr>
        <w:pStyle w:val="17"/>
        <w:tabs>
          <w:tab w:val="left" w:pos="5370"/>
        </w:tabs>
        <w:spacing w:line="240" w:lineRule="atLeast"/>
        <w:ind w:left="1082"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3B69BCCA">
      <w:pPr>
        <w:pStyle w:val="17"/>
        <w:spacing w:line="240" w:lineRule="atLeast"/>
        <w:ind w:left="1263" w:leftChars="599" w:firstLine="103" w:firstLineChars="43"/>
        <w:rPr>
          <w:rFonts w:hint="eastAsia" w:ascii="宋体" w:hAnsi="宋体" w:eastAsia="宋体" w:cs="宋体"/>
          <w:color w:val="auto"/>
          <w:sz w:val="24"/>
          <w:szCs w:val="24"/>
          <w:highlight w:val="none"/>
        </w:rPr>
      </w:pPr>
    </w:p>
    <w:p w14:paraId="5A3543FD">
      <w:pPr>
        <w:pStyle w:val="17"/>
        <w:tabs>
          <w:tab w:val="left" w:pos="5580"/>
        </w:tabs>
        <w:spacing w:line="240" w:lineRule="atLeast"/>
        <w:ind w:firstLine="2169"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C16B6C8">
      <w:pPr>
        <w:bidi w:val="0"/>
        <w:rPr>
          <w:rFonts w:hint="eastAsia"/>
          <w:color w:val="auto"/>
          <w:lang w:val="en-US" w:eastAsia="zh-CN"/>
        </w:rPr>
      </w:pPr>
    </w:p>
    <w:p w14:paraId="3837D88F">
      <w:pPr>
        <w:bidi w:val="0"/>
        <w:rPr>
          <w:rFonts w:hint="eastAsia"/>
          <w:color w:val="auto"/>
          <w:lang w:val="en-US" w:eastAsia="zh-CN"/>
        </w:rPr>
      </w:pPr>
    </w:p>
    <w:p w14:paraId="5E312935">
      <w:pPr>
        <w:pStyle w:val="15"/>
        <w:tabs>
          <w:tab w:val="left" w:pos="567"/>
        </w:tabs>
        <w:rPr>
          <w:rFonts w:hint="eastAsia"/>
          <w:color w:val="auto"/>
          <w:lang w:val="en-US" w:eastAsia="zh-CN"/>
        </w:rPr>
      </w:pPr>
    </w:p>
    <w:p w14:paraId="32922632">
      <w:pPr>
        <w:pStyle w:val="15"/>
        <w:tabs>
          <w:tab w:val="left" w:pos="567"/>
        </w:tabs>
        <w:rPr>
          <w:rFonts w:hint="eastAsia"/>
          <w:color w:val="auto"/>
          <w:lang w:val="en-US" w:eastAsia="zh-CN"/>
        </w:rPr>
      </w:pPr>
    </w:p>
    <w:p w14:paraId="26C9672B">
      <w:pPr>
        <w:pStyle w:val="15"/>
        <w:tabs>
          <w:tab w:val="left" w:pos="567"/>
        </w:tabs>
        <w:rPr>
          <w:rFonts w:hint="eastAsia"/>
          <w:color w:val="auto"/>
          <w:lang w:val="en-US" w:eastAsia="zh-CN"/>
        </w:rPr>
      </w:pPr>
    </w:p>
    <w:p w14:paraId="250B8F54">
      <w:pPr>
        <w:pStyle w:val="15"/>
        <w:tabs>
          <w:tab w:val="left" w:pos="567"/>
        </w:tabs>
        <w:rPr>
          <w:rFonts w:hint="eastAsia"/>
          <w:color w:val="auto"/>
          <w:lang w:val="en-US" w:eastAsia="zh-CN"/>
        </w:rPr>
      </w:pPr>
    </w:p>
    <w:p w14:paraId="752C4ABE">
      <w:pPr>
        <w:pStyle w:val="15"/>
        <w:tabs>
          <w:tab w:val="left" w:pos="567"/>
        </w:tabs>
        <w:rPr>
          <w:rFonts w:hint="eastAsia"/>
          <w:color w:val="auto"/>
          <w:lang w:val="en-US" w:eastAsia="zh-CN"/>
        </w:rPr>
      </w:pPr>
    </w:p>
    <w:p w14:paraId="28B3FFCB">
      <w:pPr>
        <w:pStyle w:val="7"/>
        <w:spacing w:before="0" w:line="240" w:lineRule="atLeast"/>
        <w:ind w:firstLine="2810" w:firstLineChars="1000"/>
        <w:jc w:val="both"/>
        <w:outlineLvl w:val="3"/>
        <w:rPr>
          <w:rFonts w:hint="eastAsia" w:ascii="宋体" w:hAnsi="宋体" w:eastAsia="宋体" w:cs="宋体"/>
          <w:b/>
          <w:bCs/>
          <w:color w:val="auto"/>
          <w:sz w:val="28"/>
          <w:szCs w:val="28"/>
        </w:rPr>
      </w:pPr>
      <w:bookmarkStart w:id="82" w:name="_Toc7408"/>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商务条款偏离表</w:t>
      </w:r>
      <w:bookmarkEnd w:id="82"/>
    </w:p>
    <w:p w14:paraId="34414B08">
      <w:pPr>
        <w:pStyle w:val="17"/>
        <w:spacing w:line="240" w:lineRule="atLeast"/>
        <w:ind w:left="1082" w:leftChars="257" w:hanging="540"/>
        <w:rPr>
          <w:rFonts w:hint="eastAsia" w:ascii="宋体" w:hAnsi="宋体" w:eastAsia="宋体" w:cs="宋体"/>
          <w:color w:val="auto"/>
          <w:sz w:val="24"/>
          <w:szCs w:val="24"/>
        </w:rPr>
      </w:pPr>
    </w:p>
    <w:p w14:paraId="6F664517">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7EC3C941">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color w:val="auto"/>
        </w:rPr>
      </w:pPr>
      <w:r>
        <w:rPr>
          <w:rFonts w:hint="eastAsia" w:ascii="宋体" w:hAnsi="宋体" w:eastAsia="宋体"/>
          <w:b/>
          <w:color w:val="auto"/>
          <w:sz w:val="24"/>
          <w:highlight w:val="none"/>
          <w:lang w:val="en-US" w:eastAsia="zh-CN"/>
        </w:rPr>
        <w:t xml:space="preserve">  标项号：</w:t>
      </w:r>
      <w:r>
        <w:rPr>
          <w:rFonts w:hint="eastAsia" w:ascii="宋体" w:hAnsi="宋体" w:eastAsia="宋体" w:cs="宋体"/>
          <w:color w:val="auto"/>
          <w:sz w:val="24"/>
          <w:szCs w:val="24"/>
        </w:rPr>
        <w:t xml:space="preserve">            </w:t>
      </w:r>
    </w:p>
    <w:tbl>
      <w:tblPr>
        <w:tblStyle w:val="30"/>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06"/>
        <w:gridCol w:w="2494"/>
        <w:gridCol w:w="1265"/>
        <w:gridCol w:w="1265"/>
      </w:tblGrid>
      <w:tr w14:paraId="4F4C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416B995C">
            <w:pPr>
              <w:pStyle w:val="17"/>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06" w:type="dxa"/>
            <w:noWrap w:val="0"/>
            <w:vAlign w:val="top"/>
          </w:tcPr>
          <w:p w14:paraId="7C31E602">
            <w:pPr>
              <w:pStyle w:val="17"/>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hAnsi="宋体" w:cs="宋体"/>
                <w:color w:val="auto"/>
                <w:sz w:val="24"/>
                <w:szCs w:val="24"/>
                <w:lang w:val="en-US" w:eastAsia="zh-CN"/>
              </w:rPr>
              <w:t>磋商文件</w:t>
            </w:r>
            <w:r>
              <w:rPr>
                <w:rFonts w:hint="eastAsia" w:ascii="宋体" w:hAnsi="宋体" w:eastAsia="宋体" w:cs="宋体"/>
                <w:color w:val="auto"/>
                <w:sz w:val="24"/>
                <w:szCs w:val="24"/>
              </w:rPr>
              <w:t>的商务条款</w:t>
            </w:r>
          </w:p>
        </w:tc>
        <w:tc>
          <w:tcPr>
            <w:tcW w:w="2494" w:type="dxa"/>
            <w:noWrap w:val="0"/>
            <w:vAlign w:val="top"/>
          </w:tcPr>
          <w:p w14:paraId="09935EFF">
            <w:pPr>
              <w:pStyle w:val="17"/>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hAnsi="宋体" w:eastAsia="宋体" w:cs="宋体"/>
                <w:color w:val="auto"/>
                <w:sz w:val="24"/>
                <w:szCs w:val="24"/>
                <w:lang w:val="en-US" w:eastAsia="zh-CN"/>
              </w:rPr>
              <w:t>响应文件</w:t>
            </w:r>
            <w:r>
              <w:rPr>
                <w:rFonts w:hint="eastAsia" w:ascii="宋体" w:hAnsi="宋体" w:eastAsia="宋体" w:cs="宋体"/>
                <w:color w:val="auto"/>
                <w:sz w:val="24"/>
                <w:szCs w:val="24"/>
              </w:rPr>
              <w:t>的商务条款</w:t>
            </w:r>
          </w:p>
        </w:tc>
        <w:tc>
          <w:tcPr>
            <w:tcW w:w="1265" w:type="dxa"/>
            <w:noWrap w:val="0"/>
            <w:vAlign w:val="top"/>
          </w:tcPr>
          <w:p w14:paraId="73AABA46">
            <w:pPr>
              <w:pStyle w:val="17"/>
              <w:keepNext w:val="0"/>
              <w:keepLines w:val="0"/>
              <w:suppressLineNumbers w:val="0"/>
              <w:spacing w:beforeAutospacing="0" w:afterAutospacing="0" w:line="240" w:lineRule="atLeas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265" w:type="dxa"/>
            <w:noWrap w:val="0"/>
            <w:vAlign w:val="top"/>
          </w:tcPr>
          <w:p w14:paraId="41D0B4CD">
            <w:pPr>
              <w:pStyle w:val="17"/>
              <w:keepNext w:val="0"/>
              <w:keepLines w:val="0"/>
              <w:suppressLineNumbers w:val="0"/>
              <w:spacing w:beforeAutospacing="0" w:afterAutospacing="0"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备注</w:t>
            </w:r>
          </w:p>
        </w:tc>
      </w:tr>
      <w:tr w14:paraId="7079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046D923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1D24B0D0">
            <w:pPr>
              <w:pStyle w:val="17"/>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2494" w:type="dxa"/>
            <w:noWrap w:val="0"/>
            <w:vAlign w:val="top"/>
          </w:tcPr>
          <w:p w14:paraId="3119920B">
            <w:pPr>
              <w:pStyle w:val="17"/>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1265" w:type="dxa"/>
            <w:noWrap w:val="0"/>
            <w:vAlign w:val="top"/>
          </w:tcPr>
          <w:p w14:paraId="3D9F7F8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E94C3F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CA5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49C2AFE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6D28AB5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3BFD76F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3A2A6D9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DD1D5B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697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74E9DA8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153DAE53">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65BFF350">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3314CFBB">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4ED036B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F61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35C216D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7335DB0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4B25072B">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AACB38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601F0D8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8B0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01A82C74">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3B1B530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513D8F8C">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77B44983">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3DEC3F23">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94C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30B7686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6652F26C">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3F4B7587">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71AF23BE">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7BCAA05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496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38375E5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19E61875">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62600617">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73F133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667E8E2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038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0A5B51C0">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11A525D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2156C09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1E559E7">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44F0440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168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47621CC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6EAE446B">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0FBFF94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586EC587">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78A3B6B0">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893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64119415">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0BC67A4D">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5D5CCF17">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80E7B8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3747B87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CEC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0CAA504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65AEB20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0278403C">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2BE1225">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B63990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89C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23F2289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7C6E8BE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6A37BADF">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D5BC924">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6628325D">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3DC1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0E4A853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5532638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1D6E3D9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5B34F8A3">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0F7E40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D98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7D702C9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7F503D0C">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63DE9F1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3F03CA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47ED941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744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6E8C8343">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794DB2F4">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2AEF2AB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1E739B86">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19CA7AAA">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C1B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1FCA0948">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2E3E9F02">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55747505">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2B99A19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6CCDA5B">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50E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0" w:type="dxa"/>
            <w:noWrap w:val="0"/>
            <w:vAlign w:val="top"/>
          </w:tcPr>
          <w:p w14:paraId="75EFAD09">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506" w:type="dxa"/>
            <w:noWrap w:val="0"/>
            <w:vAlign w:val="top"/>
          </w:tcPr>
          <w:p w14:paraId="236D309B">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94" w:type="dxa"/>
            <w:noWrap w:val="0"/>
            <w:vAlign w:val="top"/>
          </w:tcPr>
          <w:p w14:paraId="12AB5921">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07D5B2CE">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265" w:type="dxa"/>
            <w:noWrap w:val="0"/>
            <w:vAlign w:val="top"/>
          </w:tcPr>
          <w:p w14:paraId="67B879A5">
            <w:pPr>
              <w:pStyle w:val="17"/>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bl>
    <w:p w14:paraId="3D893690">
      <w:pPr>
        <w:pStyle w:val="17"/>
        <w:tabs>
          <w:tab w:val="left" w:pos="5370"/>
        </w:tabs>
        <w:spacing w:line="240" w:lineRule="atLeast"/>
        <w:ind w:left="1082" w:leftChars="257" w:hanging="540"/>
        <w:rPr>
          <w:rFonts w:hint="eastAsia" w:ascii="宋体" w:hAnsi="宋体" w:eastAsia="宋体" w:cs="宋体"/>
          <w:color w:val="auto"/>
          <w:sz w:val="24"/>
          <w:szCs w:val="24"/>
          <w:lang w:eastAsia="zh-CN"/>
        </w:rPr>
      </w:pPr>
    </w:p>
    <w:p w14:paraId="49813EE2">
      <w:pPr>
        <w:pStyle w:val="17"/>
        <w:tabs>
          <w:tab w:val="left" w:pos="5370"/>
        </w:tabs>
        <w:spacing w:line="240" w:lineRule="atLeast"/>
        <w:ind w:left="1082" w:leftChars="257" w:hanging="540"/>
        <w:rPr>
          <w:rFonts w:hint="eastAsia" w:ascii="宋体" w:hAnsi="宋体" w:eastAsia="宋体" w:cs="宋体"/>
          <w:color w:val="auto"/>
          <w:sz w:val="24"/>
          <w:szCs w:val="24"/>
          <w:lang w:eastAsia="zh-CN"/>
        </w:rPr>
      </w:pPr>
    </w:p>
    <w:p w14:paraId="5F9A673A">
      <w:pPr>
        <w:pStyle w:val="17"/>
        <w:tabs>
          <w:tab w:val="left" w:pos="5370"/>
        </w:tabs>
        <w:spacing w:line="240" w:lineRule="atLeast"/>
        <w:ind w:left="1263" w:leftChars="599" w:firstLine="4438" w:firstLineChars="184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rPr>
        <w:tab/>
      </w:r>
    </w:p>
    <w:p w14:paraId="67D4847F">
      <w:pPr>
        <w:pStyle w:val="17"/>
        <w:spacing w:line="240" w:lineRule="atLeast"/>
        <w:ind w:left="1082" w:leftChars="257" w:hanging="540"/>
        <w:rPr>
          <w:rFonts w:hint="eastAsia" w:ascii="宋体" w:hAnsi="宋体" w:eastAsia="宋体" w:cs="宋体"/>
          <w:color w:val="auto"/>
          <w:sz w:val="24"/>
          <w:szCs w:val="24"/>
        </w:rPr>
      </w:pPr>
    </w:p>
    <w:p w14:paraId="44DEB7F4">
      <w:pPr>
        <w:pStyle w:val="17"/>
        <w:spacing w:line="240" w:lineRule="atLeast"/>
        <w:ind w:left="1263" w:leftChars="599" w:firstLine="344" w:firstLineChars="143"/>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14:paraId="2194F7D2">
      <w:pPr>
        <w:pStyle w:val="7"/>
        <w:spacing w:before="0" w:line="240" w:lineRule="atLeast"/>
        <w:ind w:firstLine="254" w:firstLineChars="91"/>
        <w:jc w:val="center"/>
        <w:rPr>
          <w:rFonts w:hint="eastAsia" w:ascii="宋体" w:hAnsi="宋体" w:eastAsia="宋体" w:cs="宋体"/>
          <w:b/>
          <w:bCs/>
          <w:color w:val="000000"/>
          <w:kern w:val="0"/>
          <w:sz w:val="28"/>
          <w:szCs w:val="28"/>
          <w:lang w:eastAsia="zh-CN"/>
        </w:rPr>
      </w:pPr>
      <w:r>
        <w:rPr>
          <w:rFonts w:hint="eastAsia" w:ascii="宋体" w:hAnsi="宋体" w:eastAsia="宋体" w:cs="宋体"/>
          <w:color w:val="auto"/>
          <w:sz w:val="28"/>
          <w:szCs w:val="28"/>
          <w:u w:val="single"/>
        </w:rPr>
        <w:br w:type="page"/>
      </w:r>
      <w:bookmarkEnd w:id="78"/>
      <w:bookmarkEnd w:id="79"/>
      <w:bookmarkEnd w:id="80"/>
      <w:bookmarkStart w:id="83" w:name="_Toc24702"/>
      <w:bookmarkStart w:id="84" w:name="_Toc12665"/>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 xml:space="preserve">-1  </w:t>
      </w:r>
      <w:bookmarkEnd w:id="83"/>
      <w:r>
        <w:rPr>
          <w:rFonts w:hint="eastAsia" w:ascii="宋体" w:hAnsi="宋体" w:eastAsia="宋体" w:cs="宋体"/>
          <w:b/>
          <w:bCs/>
          <w:color w:val="000000"/>
          <w:sz w:val="28"/>
          <w:szCs w:val="28"/>
        </w:rPr>
        <w:t>中小企业声明函（</w:t>
      </w:r>
      <w:r>
        <w:rPr>
          <w:rFonts w:hint="eastAsia" w:ascii="宋体" w:hAnsi="宋体" w:eastAsia="宋体" w:cs="宋体"/>
          <w:b/>
          <w:bCs/>
          <w:color w:val="000000"/>
          <w:sz w:val="28"/>
          <w:szCs w:val="28"/>
          <w:lang w:val="en-US" w:eastAsia="zh-CN"/>
        </w:rPr>
        <w:t>服务</w:t>
      </w:r>
      <w:r>
        <w:rPr>
          <w:rFonts w:hint="eastAsia" w:ascii="宋体" w:hAnsi="宋体" w:eastAsia="宋体" w:cs="宋体"/>
          <w:b/>
          <w:bCs/>
          <w:color w:val="000000"/>
          <w:sz w:val="28"/>
          <w:szCs w:val="28"/>
        </w:rPr>
        <w:t>）</w:t>
      </w:r>
      <w:bookmarkEnd w:id="84"/>
    </w:p>
    <w:p w14:paraId="66C63FB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000000"/>
          <w:spacing w:val="0"/>
          <w:kern w:val="0"/>
          <w:sz w:val="19"/>
          <w:szCs w:val="19"/>
          <w:shd w:val="clear" w:color="auto" w:fill="FFFFFF"/>
          <w:lang w:val="en-US" w:eastAsia="zh-CN" w:bidi="ar"/>
        </w:rPr>
      </w:pPr>
      <w:r>
        <w:rPr>
          <w:rFonts w:hint="eastAsia" w:ascii="宋体" w:hAnsi="宋体" w:eastAsia="宋体" w:cs="宋体"/>
          <w:i w:val="0"/>
          <w:iCs w:val="0"/>
          <w:caps w:val="0"/>
          <w:color w:val="000000"/>
          <w:spacing w:val="0"/>
          <w:kern w:val="0"/>
          <w:sz w:val="19"/>
          <w:szCs w:val="19"/>
          <w:shd w:val="clear" w:color="auto" w:fill="FFFFFF"/>
          <w:lang w:val="en-US" w:eastAsia="zh-CN" w:bidi="ar"/>
        </w:rPr>
        <w:t> </w:t>
      </w:r>
    </w:p>
    <w:p w14:paraId="5F966E99">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000000"/>
          <w:spacing w:val="0"/>
          <w:kern w:val="0"/>
          <w:sz w:val="19"/>
          <w:szCs w:val="19"/>
          <w:shd w:val="clear" w:color="auto" w:fill="FFFFFF"/>
          <w:lang w:val="en-US" w:eastAsia="zh-CN" w:bidi="ar"/>
        </w:rPr>
      </w:pPr>
    </w:p>
    <w:p w14:paraId="249C0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采购活动，服务全部由符合政策要求的中小企业承接。相关企业（含联合体中的中小企业、签订分包意向协议的中小企业）的具体情况如下：</w:t>
      </w:r>
    </w:p>
    <w:p w14:paraId="7AADF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p>
    <w:p w14:paraId="696D5D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w:t>
      </w:r>
      <w:r>
        <w:rPr>
          <w:rFonts w:ascii="宋体" w:hAnsi="宋体" w:eastAsia="宋体" w:cs="宋体"/>
          <w:sz w:val="24"/>
          <w:szCs w:val="24"/>
        </w:rPr>
        <w:t>承建</w:t>
      </w:r>
      <w:r>
        <w:rPr>
          <w:rFonts w:hint="eastAsia" w:ascii="宋体" w:hAnsi="宋体" w:eastAsia="宋体" w:cs="宋体"/>
          <w:sz w:val="24"/>
          <w:szCs w:val="24"/>
        </w:rPr>
        <w:t>（承接）</w:t>
      </w:r>
      <w:r>
        <w:rPr>
          <w:rFonts w:ascii="宋体" w:hAnsi="宋体" w:eastAsia="宋体" w:cs="宋体"/>
          <w:sz w:val="24"/>
          <w:szCs w:val="24"/>
        </w:rPr>
        <w:t>企业</w:t>
      </w:r>
      <w:r>
        <w:rPr>
          <w:rFonts w:hint="eastAsia" w:ascii="宋体" w:hAnsi="宋体" w:eastAsia="宋体" w:cs="宋体"/>
          <w:sz w:val="24"/>
          <w:szCs w:val="32"/>
          <w:lang w:val="en-US" w:eastAsia="zh-CN"/>
        </w:rPr>
        <w:t>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14:paraId="34896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p>
    <w:p w14:paraId="304653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w:t>
      </w:r>
      <w:r>
        <w:rPr>
          <w:rFonts w:ascii="宋体" w:hAnsi="宋体" w:eastAsia="宋体" w:cs="宋体"/>
          <w:sz w:val="24"/>
          <w:szCs w:val="24"/>
        </w:rPr>
        <w:t>承建</w:t>
      </w:r>
      <w:r>
        <w:rPr>
          <w:rFonts w:hint="eastAsia" w:ascii="宋体" w:hAnsi="宋体" w:eastAsia="宋体" w:cs="宋体"/>
          <w:sz w:val="24"/>
          <w:szCs w:val="24"/>
        </w:rPr>
        <w:t>（承接）</w:t>
      </w:r>
      <w:r>
        <w:rPr>
          <w:rFonts w:ascii="宋体" w:hAnsi="宋体" w:eastAsia="宋体" w:cs="宋体"/>
          <w:sz w:val="24"/>
          <w:szCs w:val="24"/>
        </w:rPr>
        <w:t>企业</w:t>
      </w:r>
      <w:r>
        <w:rPr>
          <w:rFonts w:hint="eastAsia" w:ascii="宋体" w:hAnsi="宋体" w:eastAsia="宋体" w:cs="宋体"/>
          <w:sz w:val="24"/>
          <w:szCs w:val="32"/>
          <w:lang w:val="en-US" w:eastAsia="zh-CN"/>
        </w:rPr>
        <w:t>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14:paraId="2D1A2F5E">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14:paraId="0EC764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14:paraId="167457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14:paraId="6B488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14:paraId="55806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14:paraId="6B81889D">
      <w:pPr>
        <w:pStyle w:val="2"/>
        <w:rPr>
          <w:rFonts w:hint="default"/>
          <w:lang w:val="en-US" w:eastAsia="zh-CN"/>
        </w:rPr>
      </w:pPr>
      <w:r>
        <w:rPr>
          <w:rFonts w:hint="eastAsia" w:ascii="宋体" w:hAnsi="宋体" w:eastAsia="宋体" w:cs="宋体"/>
          <w:sz w:val="24"/>
          <w:szCs w:val="32"/>
          <w:lang w:val="en-US" w:eastAsia="zh-CN"/>
        </w:rPr>
        <w:t xml:space="preserve"> </w:t>
      </w:r>
    </w:p>
    <w:p w14:paraId="2E60427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000000"/>
          <w:spacing w:val="0"/>
          <w:sz w:val="24"/>
          <w:szCs w:val="24"/>
        </w:rPr>
      </w:pPr>
      <w:r>
        <w:rPr>
          <w:rFonts w:hint="eastAsia" w:ascii="宋体" w:hAnsi="宋体" w:eastAsia="宋体" w:cs="宋体"/>
          <w:sz w:val="24"/>
          <w:szCs w:val="32"/>
          <w:lang w:val="en-US" w:eastAsia="zh-CN"/>
        </w:rPr>
        <w:t>日期：</w:t>
      </w:r>
    </w:p>
    <w:p w14:paraId="1AA27AEC">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000000"/>
          <w:spacing w:val="0"/>
          <w:sz w:val="16"/>
          <w:szCs w:val="16"/>
        </w:rPr>
      </w:pPr>
      <w:r>
        <w:rPr>
          <w:rFonts w:hint="eastAsia" w:ascii="宋体" w:hAnsi="宋体" w:eastAsia="宋体" w:cs="宋体"/>
          <w:i w:val="0"/>
          <w:iCs w:val="0"/>
          <w:caps w:val="0"/>
          <w:color w:val="000000"/>
          <w:spacing w:val="0"/>
          <w:kern w:val="0"/>
          <w:sz w:val="19"/>
          <w:szCs w:val="19"/>
          <w:shd w:val="clear" w:color="auto" w:fill="FFFFFF"/>
          <w:lang w:val="en-US" w:eastAsia="zh-CN" w:bidi="ar"/>
        </w:rPr>
        <w:t> </w:t>
      </w:r>
    </w:p>
    <w:p w14:paraId="27080794">
      <w:pPr>
        <w:widowControl/>
        <w:spacing w:before="100" w:beforeAutospacing="1" w:after="100" w:afterAutospacing="1" w:line="330" w:lineRule="atLeast"/>
        <w:ind w:firstLine="3133" w:firstLineChars="1300"/>
        <w:jc w:val="left"/>
        <w:rPr>
          <w:rFonts w:hint="eastAsia" w:ascii="宋体" w:hAnsi="宋体" w:eastAsia="宋体" w:cs="宋体"/>
          <w:color w:val="000000"/>
          <w:kern w:val="0"/>
          <w:sz w:val="24"/>
          <w:szCs w:val="24"/>
        </w:rPr>
      </w:pPr>
    </w:p>
    <w:p w14:paraId="247E3761">
      <w:pPr>
        <w:widowControl/>
        <w:spacing w:before="100" w:beforeAutospacing="1" w:after="100" w:afterAutospacing="1" w:line="330" w:lineRule="atLeast"/>
        <w:ind w:firstLine="3133" w:firstLineChars="1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2A103AD">
      <w:pPr>
        <w:spacing w:line="240" w:lineRule="atLeast"/>
        <w:ind w:left="1082" w:leftChars="257" w:hanging="540"/>
        <w:jc w:val="center"/>
        <w:rPr>
          <w:rFonts w:hint="eastAsia" w:ascii="宋体" w:hAnsi="宋体" w:eastAsia="宋体" w:cs="宋体"/>
          <w:b/>
          <w:bCs/>
          <w:color w:val="000000"/>
          <w:sz w:val="28"/>
          <w:szCs w:val="28"/>
        </w:rPr>
      </w:pPr>
      <w:bookmarkStart w:id="85" w:name="_Toc27274"/>
    </w:p>
    <w:p w14:paraId="625D6248">
      <w:pPr>
        <w:spacing w:line="240" w:lineRule="atLeast"/>
        <w:ind w:left="1082" w:leftChars="257" w:hanging="540"/>
        <w:jc w:val="center"/>
        <w:rPr>
          <w:rFonts w:hint="eastAsia" w:ascii="宋体" w:hAnsi="宋体" w:eastAsia="宋体" w:cs="宋体"/>
          <w:b/>
          <w:bCs/>
          <w:color w:val="000000"/>
          <w:sz w:val="28"/>
          <w:szCs w:val="28"/>
        </w:rPr>
      </w:pPr>
    </w:p>
    <w:bookmarkEnd w:id="85"/>
    <w:p w14:paraId="440746BF">
      <w:pPr>
        <w:jc w:val="left"/>
        <w:rPr>
          <w:rFonts w:hint="eastAsia" w:ascii="宋体" w:hAnsi="宋体" w:eastAsia="宋体" w:cs="宋体"/>
          <w:b/>
          <w:bCs/>
          <w:color w:val="000000"/>
          <w:kern w:val="0"/>
          <w:sz w:val="24"/>
          <w:szCs w:val="24"/>
          <w:highlight w:val="none"/>
        </w:rPr>
      </w:pPr>
      <w:bookmarkStart w:id="86" w:name="_Toc10388"/>
      <w:bookmarkStart w:id="87" w:name="_Toc20897"/>
      <w:bookmarkStart w:id="88" w:name="_Toc1881"/>
      <w:bookmarkStart w:id="89" w:name="_Toc515647818"/>
      <w:bookmarkStart w:id="90" w:name="_Toc216582815"/>
      <w:r>
        <w:rPr>
          <w:rFonts w:hint="eastAsia" w:ascii="宋体" w:hAnsi="宋体" w:eastAsia="宋体" w:cs="宋体"/>
          <w:b/>
          <w:bCs/>
          <w:color w:val="000000"/>
          <w:kern w:val="0"/>
          <w:sz w:val="24"/>
          <w:szCs w:val="24"/>
          <w:highlight w:val="none"/>
        </w:rPr>
        <w:t>附：</w:t>
      </w:r>
    </w:p>
    <w:p w14:paraId="11114A7F">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中小微企业划型标准</w:t>
      </w:r>
    </w:p>
    <w:p w14:paraId="0EAC7854">
      <w:pPr>
        <w:pStyle w:val="15"/>
        <w:tabs>
          <w:tab w:val="left" w:pos="567"/>
        </w:tabs>
        <w:rPr>
          <w:rFonts w:hint="eastAsia"/>
        </w:rPr>
      </w:pP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2BA39EF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8F91EF2">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8BD99FE">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25D8A124">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19D304">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86A383A">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23FB0E27">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14:paraId="22BC53AB">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AAD9E01">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5C6A5B1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E6860A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36E2A0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F8CC9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BD4055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14:paraId="053FA1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7A75220">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4F8D012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CB2464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AC2E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0CF9BA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FF9FAE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5B402DC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8023CBA">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0D731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6DAA6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A7B64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C2C69D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EF5B2F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14:paraId="1E0EB6D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228A5ED">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3D330E3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794D9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C3AD0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78BB26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409315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14:paraId="2A5669D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3FA17D0">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FBA74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2E929B1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635D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91A896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C1BBE9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14:paraId="29CF2D0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BF305E2">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734D857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2AC809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70507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C0AEB5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0552189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14:paraId="313874F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E874C68">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D6BF62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73AB4C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F9A21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3A0A7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2944FD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14:paraId="141E72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7B7955C">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2C1666C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3C1120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7B4F8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2E83F35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F87BF6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496BA6A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0D0655E">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7FA0D9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C4CD4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CA8C9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D00D43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43F4DA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216B38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010D8BE">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75E7E99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917841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9D64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2AE2F2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6781C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76B5E37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5488EA">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DBF291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420F9F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48B0E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5D021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BBA380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14:paraId="02E6ED0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0FE7F6D">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36932FD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E221A5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0681F3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42333C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2317E55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6AC9E6D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D59C791">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754EDF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6997E1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5B2A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B7A351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BA5638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1E88EFA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8D45466">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2A5771B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A12B0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C24D65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21D84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E0F05F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14:paraId="0C29D52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1EDDEF">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38D1D2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43FE15C">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AA0BC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97C5B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05BAB2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7C55E86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6742538">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36E66CF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CD9D8F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0155CE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4012FF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20AAC8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3E177AF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DEC8CC1">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3E7BEA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E8B8C4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718E7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8880E3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3800F1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22BE1B4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ED031B9">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21119C7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63A42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06563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B9A5E7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FCD63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1E621CC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8A4A57E">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19D8CA1">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8801F4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8BC225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F7AAE1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D3F05E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6D0092F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414DEC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2C6BC7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B13290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730EA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BCC1B3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50D75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F59D3B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DE58ED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E9E5E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E087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25E0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303ACF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15CE7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39229C5">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DA20B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33F402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81E2A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6DF8C9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4CA1E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D4B798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F0D9315">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837C71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0E773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3E9F8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C35ED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EFB368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749CB1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35A20F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06BECB2">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B14E20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717058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852E7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1A6A71B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5EE50E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14:paraId="4B0B2E4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8804292">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86FAC5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3DF4A4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1D087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57376A4">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CC4F02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14:paraId="0FD2E1A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8DA57F7">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5309A330">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BFD391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98198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EDDDD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4F3F38">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14:paraId="61E30D74">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E0DBEC1">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27B748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B9F96F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6C79E3">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CB52E3E">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D4620F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14:paraId="68567259">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421429D">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4920FDC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28E0F6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44D74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885487">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E32A2A2">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14:paraId="439FB95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3A3FCA9">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C76BDEF">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972E64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AA41D4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99290ED">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657B6706">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14:paraId="059D6DB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13C8DD93">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19193209">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A6C6B75">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62BDC8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F40CC0A">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12B7E4B">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14:paraId="63566286">
      <w:pPr>
        <w:spacing w:line="360" w:lineRule="auto"/>
        <w:rPr>
          <w:rFonts w:hint="eastAsia" w:ascii="宋体" w:hAnsi="宋体" w:eastAsia="宋体" w:cs="宋体"/>
          <w:sz w:val="24"/>
          <w:szCs w:val="24"/>
          <w:highlight w:val="none"/>
        </w:rPr>
      </w:pPr>
    </w:p>
    <w:p w14:paraId="189933CA">
      <w:pPr>
        <w:snapToGrid w:val="0"/>
        <w:spacing w:line="336" w:lineRule="auto"/>
        <w:ind w:firstLine="482" w:firstLineChars="200"/>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w:t>
      </w:r>
      <w:r>
        <w:rPr>
          <w:rFonts w:hint="eastAsia" w:ascii="宋体" w:hAnsi="宋体" w:eastAsia="宋体" w:cs="宋体"/>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EADE26D">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所称中小企业，是指在中华人民共和国境内依法设立，依据国务院批准的</w:t>
      </w:r>
    </w:p>
    <w:p w14:paraId="10F91F0A">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规定的中小企业扶持政策：</w:t>
      </w:r>
    </w:p>
    <w:p w14:paraId="4F56FDBE">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227606B">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14:paraId="76BBCD4D">
      <w:pPr>
        <w:snapToGrid w:val="0"/>
        <w:spacing w:line="336" w:lineRule="auto"/>
        <w:ind w:firstLine="482"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0FE9FE">
      <w:pPr>
        <w:snapToGrid w:val="0"/>
        <w:spacing w:line="336" w:lineRule="auto"/>
        <w:ind w:firstLine="482"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7DDA7D0">
      <w:pPr>
        <w:snapToGrid w:val="0"/>
        <w:spacing w:line="336" w:lineRule="auto"/>
        <w:ind w:firstLine="482" w:firstLineChars="200"/>
        <w:contextualSpacing/>
        <w:jc w:val="left"/>
        <w:textAlignment w:val="center"/>
        <w:rPr>
          <w:rFonts w:hint="eastAsia"/>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sz w:val="24"/>
          <w:szCs w:val="24"/>
          <w:highlight w:val="none"/>
        </w:rPr>
        <w:t>依据本</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规定享受扶持政策获得政府采购合同的，小微企业不得将合同分包给大中型企业，中型企业不得将合同分包给大型企业</w:t>
      </w:r>
    </w:p>
    <w:p w14:paraId="3400EC4F">
      <w:pPr>
        <w:widowControl/>
        <w:spacing w:before="100" w:beforeAutospacing="1" w:after="100" w:afterAutospacing="1" w:line="330" w:lineRule="atLeast"/>
        <w:jc w:val="center"/>
        <w:outlineLvl w:val="3"/>
        <w:rPr>
          <w:rFonts w:hint="eastAsia" w:ascii="宋体" w:hAnsi="宋体" w:eastAsia="宋体" w:cs="宋体"/>
          <w:kern w:val="0"/>
          <w:sz w:val="32"/>
          <w:szCs w:val="40"/>
          <w:highlight w:val="none"/>
          <w:lang w:val="en-US" w:eastAsia="zh-CN"/>
        </w:rPr>
      </w:pPr>
      <w:bookmarkStart w:id="91" w:name="_Toc6453"/>
      <w:r>
        <w:rPr>
          <w:rFonts w:hint="eastAsia" w:ascii="宋体" w:hAnsi="宋体" w:eastAsia="宋体" w:cs="宋体"/>
          <w:kern w:val="0"/>
          <w:sz w:val="28"/>
          <w:szCs w:val="36"/>
          <w:highlight w:val="none"/>
          <w:lang w:val="en-US" w:eastAsia="zh-CN"/>
        </w:rPr>
        <w:t>5</w:t>
      </w:r>
      <w:r>
        <w:rPr>
          <w:rFonts w:hint="eastAsia" w:ascii="宋体" w:hAnsi="宋体" w:eastAsia="宋体" w:cs="宋体"/>
          <w:kern w:val="0"/>
          <w:sz w:val="28"/>
          <w:szCs w:val="36"/>
          <w:highlight w:val="none"/>
        </w:rPr>
        <w:t>-2  残疾人福利性单位声明函</w:t>
      </w:r>
      <w:bookmarkEnd w:id="91"/>
      <w:r>
        <w:rPr>
          <w:rFonts w:hint="eastAsia" w:ascii="宋体" w:hAnsi="宋体" w:eastAsia="宋体" w:cs="宋体"/>
          <w:kern w:val="0"/>
          <w:sz w:val="28"/>
          <w:szCs w:val="36"/>
          <w:highlight w:val="none"/>
        </w:rPr>
        <w:t>（可选）</w:t>
      </w:r>
    </w:p>
    <w:p w14:paraId="14DCD9E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p>
    <w:p w14:paraId="34D75F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32"/>
          <w:highlight w:val="none"/>
          <w:u w:val="single"/>
          <w:lang w:val="en-US" w:eastAsia="zh-CN"/>
        </w:rPr>
        <w:t xml:space="preserve">              </w:t>
      </w:r>
      <w:r>
        <w:rPr>
          <w:rFonts w:hint="eastAsia" w:ascii="宋体" w:hAnsi="宋体" w:eastAsia="宋体" w:cs="宋体"/>
          <w:kern w:val="0"/>
          <w:sz w:val="24"/>
          <w:szCs w:val="32"/>
          <w:highlight w:val="none"/>
        </w:rPr>
        <w:t>单位的______项目采购活动提供本单位制造的货物，或者提供其他残疾人福利性单位制造的货物（不包括使用非残疾人福利性单位注册商标的货物）。</w:t>
      </w:r>
    </w:p>
    <w:p w14:paraId="5D1C297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本单位对上述声明的真实性负责。如有虚假，将依法承担相应责任。</w:t>
      </w:r>
    </w:p>
    <w:p w14:paraId="24517C34">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14:paraId="283E3096">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14:paraId="6410A15A">
      <w:pPr>
        <w:widowControl/>
        <w:spacing w:before="100" w:beforeAutospacing="1" w:after="100" w:afterAutospacing="1" w:line="330" w:lineRule="atLeast"/>
        <w:ind w:firstLine="2400" w:firstLineChars="1000"/>
        <w:jc w:val="both"/>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残疾人福利性单位名称（盖单位章</w:t>
      </w:r>
      <w:r>
        <w:rPr>
          <w:rFonts w:hint="eastAsia" w:ascii="宋体" w:hAnsi="宋体" w:eastAsia="宋体" w:cs="宋体"/>
          <w:kern w:val="0"/>
          <w:sz w:val="24"/>
          <w:szCs w:val="32"/>
          <w:highlight w:val="none"/>
          <w:lang w:eastAsia="zh-CN"/>
        </w:rPr>
        <w:t>）：</w:t>
      </w:r>
      <w:r>
        <w:rPr>
          <w:rFonts w:hint="eastAsia" w:ascii="宋体" w:hAnsi="宋体" w:eastAsia="宋体" w:cs="宋体"/>
          <w:kern w:val="0"/>
          <w:sz w:val="24"/>
          <w:szCs w:val="32"/>
          <w:highlight w:val="none"/>
        </w:rPr>
        <w:t>______________</w:t>
      </w:r>
    </w:p>
    <w:p w14:paraId="42D2787F">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 xml:space="preserve">                 </w:t>
      </w:r>
    </w:p>
    <w:p w14:paraId="74AE743F">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日  期：__________________                   </w:t>
      </w:r>
    </w:p>
    <w:p w14:paraId="2FE832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38FC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0B26AFC">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4F12EC4">
      <w:pPr>
        <w:widowControl/>
        <w:spacing w:before="100" w:beforeAutospacing="1" w:after="100" w:afterAutospacing="1" w:line="330" w:lineRule="atLeast"/>
        <w:ind w:firstLine="420"/>
        <w:jc w:val="left"/>
        <w:rPr>
          <w:rFonts w:hint="eastAsia" w:ascii="宋体" w:hAnsi="宋体" w:eastAsia="宋体" w:cs="宋体"/>
          <w:kern w:val="0"/>
          <w:highlight w:val="none"/>
        </w:rPr>
      </w:pPr>
    </w:p>
    <w:p w14:paraId="1AB5C3BD">
      <w:pPr>
        <w:spacing w:line="240" w:lineRule="atLeast"/>
        <w:ind w:left="1080" w:leftChars="257" w:hanging="540"/>
        <w:jc w:val="center"/>
        <w:rPr>
          <w:rFonts w:hint="eastAsia" w:ascii="宋体" w:hAnsi="宋体" w:eastAsia="宋体" w:cs="宋体"/>
          <w:b/>
          <w:kern w:val="0"/>
          <w:szCs w:val="20"/>
          <w:highlight w:val="none"/>
        </w:rPr>
      </w:pPr>
      <w:r>
        <w:rPr>
          <w:rFonts w:hint="eastAsia" w:ascii="宋体" w:hAnsi="宋体" w:eastAsia="宋体" w:cs="宋体"/>
          <w:b/>
          <w:kern w:val="0"/>
          <w:szCs w:val="20"/>
          <w:highlight w:val="none"/>
        </w:rPr>
        <w:t>　</w:t>
      </w:r>
    </w:p>
    <w:p w14:paraId="5AD35352">
      <w:pPr>
        <w:pStyle w:val="37"/>
        <w:rPr>
          <w:rFonts w:hint="eastAsia" w:ascii="宋体" w:hAnsi="宋体" w:eastAsia="宋体" w:cs="宋体"/>
          <w:b/>
          <w:szCs w:val="20"/>
          <w:highlight w:val="none"/>
        </w:rPr>
      </w:pPr>
      <w:r>
        <w:rPr>
          <w:rFonts w:hint="eastAsia" w:ascii="宋体" w:hAnsi="宋体" w:eastAsia="宋体" w:cs="宋体"/>
          <w:b w:val="0"/>
          <w:highlight w:val="none"/>
        </w:rPr>
        <w:br w:type="page"/>
      </w:r>
    </w:p>
    <w:p w14:paraId="606207EE">
      <w:pPr>
        <w:pStyle w:val="37"/>
        <w:jc w:val="center"/>
        <w:outlineLvl w:val="3"/>
        <w:rPr>
          <w:rFonts w:hint="eastAsia" w:ascii="宋体" w:hAnsi="宋体" w:eastAsia="宋体" w:cs="宋体"/>
          <w:color w:val="auto"/>
          <w:kern w:val="0"/>
          <w:sz w:val="32"/>
          <w:szCs w:val="40"/>
          <w:highlight w:val="none"/>
          <w:lang w:val="en-US" w:eastAsia="zh-CN" w:bidi="ar-SA"/>
        </w:rPr>
      </w:pPr>
      <w:bookmarkStart w:id="92" w:name="_Toc32359"/>
      <w:r>
        <w:rPr>
          <w:rFonts w:hint="eastAsia" w:hAnsi="宋体" w:cs="宋体"/>
          <w:color w:val="auto"/>
          <w:kern w:val="0"/>
          <w:sz w:val="32"/>
          <w:szCs w:val="40"/>
          <w:highlight w:val="none"/>
          <w:lang w:val="en-US" w:eastAsia="zh-CN" w:bidi="ar-SA"/>
        </w:rPr>
        <w:t>5</w:t>
      </w:r>
      <w:r>
        <w:rPr>
          <w:rFonts w:hint="eastAsia" w:ascii="宋体" w:hAnsi="宋体" w:eastAsia="宋体" w:cs="宋体"/>
          <w:color w:val="auto"/>
          <w:kern w:val="0"/>
          <w:sz w:val="32"/>
          <w:szCs w:val="40"/>
          <w:highlight w:val="none"/>
          <w:lang w:val="en-US" w:eastAsia="zh-CN" w:bidi="ar-SA"/>
        </w:rPr>
        <w:t>-3   监狱企业证明</w:t>
      </w:r>
      <w:bookmarkEnd w:id="92"/>
      <w:r>
        <w:rPr>
          <w:rFonts w:hint="eastAsia" w:ascii="宋体" w:hAnsi="宋体" w:eastAsia="宋体" w:cs="宋体"/>
          <w:color w:val="auto"/>
          <w:kern w:val="0"/>
          <w:sz w:val="32"/>
          <w:szCs w:val="40"/>
          <w:highlight w:val="none"/>
          <w:lang w:val="en-US" w:eastAsia="zh-CN" w:bidi="ar-SA"/>
        </w:rPr>
        <w:t>（可选）</w:t>
      </w:r>
    </w:p>
    <w:p w14:paraId="5963A07A">
      <w:pPr>
        <w:pStyle w:val="37"/>
        <w:rPr>
          <w:rFonts w:hint="eastAsia" w:ascii="宋体" w:hAnsi="宋体" w:eastAsia="宋体" w:cs="宋体"/>
          <w:b/>
          <w:szCs w:val="20"/>
          <w:highlight w:val="none"/>
        </w:rPr>
      </w:pPr>
    </w:p>
    <w:p w14:paraId="1CEF5C7B">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p>
    <w:p w14:paraId="21578344">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注：1.监狱企业参加政府采购活动时，应当提供由省级以上监狱管理局、戒毒管理局（含新疆生产建设兵团）出具的属于监狱企业的证明文件，并加盖单位公章。</w:t>
      </w:r>
    </w:p>
    <w:p w14:paraId="2D91CEC6">
      <w:pPr>
        <w:pStyle w:val="3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2.监狱企业视同小型、微型企业，享受预留份额、评审中价格扣除等政府采购促进中小企业发展的政府采购政策。监狱企业属于小型、微型企业的，不重复享受政策。</w:t>
      </w:r>
    </w:p>
    <w:bookmarkEnd w:id="86"/>
    <w:bookmarkEnd w:id="87"/>
    <w:bookmarkEnd w:id="88"/>
    <w:bookmarkEnd w:id="89"/>
    <w:bookmarkEnd w:id="90"/>
    <w:p w14:paraId="0119AC58">
      <w:pPr>
        <w:pStyle w:val="17"/>
        <w:rPr>
          <w:rFonts w:hint="eastAsia" w:ascii="宋体" w:hAnsi="宋体" w:eastAsia="宋体"/>
          <w:b/>
          <w:color w:val="000000"/>
          <w:kern w:val="0"/>
          <w:sz w:val="24"/>
          <w:szCs w:val="20"/>
          <w:highlight w:val="none"/>
          <w:lang w:eastAsia="zh-CN"/>
        </w:rPr>
      </w:pPr>
    </w:p>
    <w:p w14:paraId="52712C00">
      <w:pPr>
        <w:pStyle w:val="22"/>
        <w:rPr>
          <w:rFonts w:hint="eastAsia" w:ascii="宋体" w:hAnsi="宋体" w:eastAsia="宋体"/>
          <w:b/>
          <w:color w:val="000000"/>
          <w:kern w:val="0"/>
          <w:sz w:val="24"/>
          <w:szCs w:val="20"/>
          <w:highlight w:val="none"/>
          <w:lang w:eastAsia="zh-CN"/>
        </w:rPr>
      </w:pPr>
    </w:p>
    <w:p w14:paraId="14E7A986">
      <w:pPr>
        <w:rPr>
          <w:rFonts w:hint="eastAsia" w:ascii="宋体" w:hAnsi="宋体" w:eastAsia="宋体"/>
          <w:b/>
          <w:color w:val="000000"/>
          <w:kern w:val="0"/>
          <w:sz w:val="24"/>
          <w:szCs w:val="20"/>
          <w:highlight w:val="none"/>
          <w:lang w:eastAsia="zh-CN"/>
        </w:rPr>
      </w:pPr>
    </w:p>
    <w:p w14:paraId="42539A04">
      <w:pPr>
        <w:pStyle w:val="15"/>
        <w:tabs>
          <w:tab w:val="left" w:pos="567"/>
        </w:tabs>
        <w:rPr>
          <w:rFonts w:hint="eastAsia"/>
          <w:lang w:eastAsia="zh-CN"/>
        </w:rPr>
      </w:pPr>
    </w:p>
    <w:p w14:paraId="054AA162">
      <w:pPr>
        <w:rPr>
          <w:rFonts w:hint="eastAsia" w:ascii="宋体" w:hAnsi="宋体"/>
          <w:b/>
          <w:color w:val="000000"/>
          <w:kern w:val="0"/>
          <w:sz w:val="24"/>
          <w:szCs w:val="20"/>
          <w:highlight w:val="none"/>
        </w:rPr>
      </w:pPr>
    </w:p>
    <w:p w14:paraId="6512685E">
      <w:pPr>
        <w:pStyle w:val="17"/>
        <w:rPr>
          <w:rFonts w:hint="eastAsia" w:ascii="宋体" w:hAnsi="宋体"/>
          <w:b/>
          <w:color w:val="000000"/>
          <w:kern w:val="0"/>
          <w:sz w:val="24"/>
          <w:szCs w:val="20"/>
          <w:highlight w:val="none"/>
        </w:rPr>
      </w:pPr>
    </w:p>
    <w:p w14:paraId="16A92061">
      <w:pPr>
        <w:rPr>
          <w:rFonts w:hint="eastAsia" w:ascii="宋体" w:hAnsi="宋体"/>
          <w:b/>
          <w:color w:val="000000"/>
          <w:kern w:val="0"/>
          <w:sz w:val="24"/>
          <w:szCs w:val="20"/>
          <w:highlight w:val="none"/>
        </w:rPr>
      </w:pPr>
    </w:p>
    <w:p w14:paraId="728B2702">
      <w:pPr>
        <w:pStyle w:val="17"/>
        <w:rPr>
          <w:rFonts w:hint="eastAsia" w:ascii="宋体" w:hAnsi="宋体"/>
          <w:b/>
          <w:color w:val="000000"/>
          <w:kern w:val="0"/>
          <w:sz w:val="24"/>
          <w:szCs w:val="20"/>
          <w:highlight w:val="none"/>
        </w:rPr>
      </w:pPr>
    </w:p>
    <w:p w14:paraId="0500637D">
      <w:pPr>
        <w:rPr>
          <w:rFonts w:hint="eastAsia" w:ascii="宋体" w:hAnsi="宋体"/>
          <w:b/>
          <w:color w:val="000000"/>
          <w:kern w:val="0"/>
          <w:sz w:val="24"/>
          <w:szCs w:val="20"/>
          <w:highlight w:val="none"/>
        </w:rPr>
      </w:pPr>
    </w:p>
    <w:p w14:paraId="0D3DAB11">
      <w:pPr>
        <w:pStyle w:val="17"/>
        <w:rPr>
          <w:rFonts w:hint="eastAsia" w:ascii="宋体" w:hAnsi="宋体"/>
          <w:b/>
          <w:color w:val="000000"/>
          <w:kern w:val="0"/>
          <w:sz w:val="24"/>
          <w:szCs w:val="20"/>
          <w:highlight w:val="none"/>
        </w:rPr>
      </w:pPr>
    </w:p>
    <w:p w14:paraId="3FC04A59">
      <w:pPr>
        <w:rPr>
          <w:rFonts w:hint="eastAsia" w:ascii="宋体" w:hAnsi="宋体"/>
          <w:b/>
          <w:color w:val="000000"/>
          <w:kern w:val="0"/>
          <w:sz w:val="24"/>
          <w:szCs w:val="20"/>
          <w:highlight w:val="none"/>
        </w:rPr>
      </w:pPr>
    </w:p>
    <w:p w14:paraId="35C3F564">
      <w:pPr>
        <w:pStyle w:val="17"/>
        <w:rPr>
          <w:rFonts w:hint="eastAsia" w:ascii="宋体" w:hAnsi="宋体"/>
          <w:b/>
          <w:color w:val="000000"/>
          <w:kern w:val="0"/>
          <w:sz w:val="24"/>
          <w:szCs w:val="20"/>
          <w:highlight w:val="none"/>
        </w:rPr>
      </w:pPr>
    </w:p>
    <w:p w14:paraId="39CBD127">
      <w:pPr>
        <w:rPr>
          <w:rFonts w:hint="eastAsia" w:ascii="宋体" w:hAnsi="宋体"/>
          <w:b/>
          <w:color w:val="000000"/>
          <w:kern w:val="0"/>
          <w:sz w:val="24"/>
          <w:szCs w:val="20"/>
          <w:highlight w:val="none"/>
        </w:rPr>
      </w:pPr>
    </w:p>
    <w:p w14:paraId="5B4244C4">
      <w:pPr>
        <w:pStyle w:val="17"/>
        <w:rPr>
          <w:rFonts w:hint="eastAsia" w:ascii="宋体" w:hAnsi="宋体"/>
          <w:b/>
          <w:color w:val="000000"/>
          <w:kern w:val="0"/>
          <w:sz w:val="24"/>
          <w:szCs w:val="20"/>
          <w:highlight w:val="none"/>
        </w:rPr>
      </w:pPr>
    </w:p>
    <w:p w14:paraId="276EDF95">
      <w:pPr>
        <w:rPr>
          <w:rFonts w:hint="eastAsia" w:ascii="宋体" w:hAnsi="宋体"/>
          <w:b/>
          <w:color w:val="000000"/>
          <w:kern w:val="0"/>
          <w:sz w:val="24"/>
          <w:szCs w:val="20"/>
          <w:highlight w:val="none"/>
        </w:rPr>
      </w:pPr>
    </w:p>
    <w:p w14:paraId="592C5297">
      <w:pPr>
        <w:pStyle w:val="17"/>
        <w:rPr>
          <w:rFonts w:hint="eastAsia" w:ascii="宋体" w:hAnsi="宋体"/>
          <w:b/>
          <w:color w:val="000000"/>
          <w:kern w:val="0"/>
          <w:sz w:val="24"/>
          <w:szCs w:val="20"/>
          <w:highlight w:val="none"/>
        </w:rPr>
      </w:pPr>
    </w:p>
    <w:p w14:paraId="45F79DE8">
      <w:pPr>
        <w:rPr>
          <w:rFonts w:hint="eastAsia" w:ascii="宋体" w:hAnsi="宋体"/>
          <w:b/>
          <w:color w:val="000000"/>
          <w:kern w:val="0"/>
          <w:sz w:val="24"/>
          <w:szCs w:val="20"/>
          <w:highlight w:val="none"/>
        </w:rPr>
      </w:pPr>
    </w:p>
    <w:p w14:paraId="38A023CB">
      <w:pPr>
        <w:pStyle w:val="17"/>
        <w:rPr>
          <w:rFonts w:hint="eastAsia" w:ascii="宋体" w:hAnsi="宋体"/>
          <w:b/>
          <w:color w:val="000000"/>
          <w:kern w:val="0"/>
          <w:sz w:val="24"/>
          <w:szCs w:val="20"/>
          <w:highlight w:val="none"/>
        </w:rPr>
      </w:pPr>
    </w:p>
    <w:p w14:paraId="2463FA96">
      <w:pPr>
        <w:rPr>
          <w:rFonts w:hint="eastAsia" w:ascii="宋体" w:hAnsi="宋体"/>
          <w:b/>
          <w:color w:val="000000"/>
          <w:kern w:val="0"/>
          <w:sz w:val="24"/>
          <w:szCs w:val="20"/>
          <w:highlight w:val="none"/>
        </w:rPr>
      </w:pPr>
    </w:p>
    <w:p w14:paraId="2360949B">
      <w:pPr>
        <w:pStyle w:val="17"/>
        <w:rPr>
          <w:rFonts w:hint="eastAsia" w:ascii="宋体" w:hAnsi="宋体"/>
          <w:b/>
          <w:color w:val="000000"/>
          <w:kern w:val="0"/>
          <w:sz w:val="24"/>
          <w:szCs w:val="20"/>
          <w:highlight w:val="none"/>
        </w:rPr>
      </w:pPr>
    </w:p>
    <w:p w14:paraId="606D8E91">
      <w:pPr>
        <w:rPr>
          <w:rFonts w:hint="eastAsia" w:ascii="宋体" w:hAnsi="宋体"/>
          <w:b/>
          <w:color w:val="000000"/>
          <w:kern w:val="0"/>
          <w:sz w:val="24"/>
          <w:szCs w:val="20"/>
          <w:highlight w:val="none"/>
        </w:rPr>
      </w:pPr>
    </w:p>
    <w:p w14:paraId="178BC61E">
      <w:pPr>
        <w:pStyle w:val="17"/>
        <w:rPr>
          <w:rFonts w:hint="eastAsia" w:ascii="宋体" w:hAnsi="宋体"/>
          <w:b/>
          <w:color w:val="000000"/>
          <w:kern w:val="0"/>
          <w:sz w:val="24"/>
          <w:szCs w:val="20"/>
          <w:highlight w:val="none"/>
        </w:rPr>
      </w:pPr>
    </w:p>
    <w:p w14:paraId="59147861">
      <w:pPr>
        <w:rPr>
          <w:rFonts w:hint="eastAsia" w:ascii="宋体" w:hAnsi="宋体"/>
          <w:b/>
          <w:color w:val="000000"/>
          <w:kern w:val="0"/>
          <w:sz w:val="24"/>
          <w:szCs w:val="20"/>
          <w:highlight w:val="none"/>
        </w:rPr>
      </w:pPr>
    </w:p>
    <w:p w14:paraId="05534009">
      <w:pPr>
        <w:pStyle w:val="17"/>
        <w:rPr>
          <w:rFonts w:hint="eastAsia" w:ascii="宋体" w:hAnsi="宋体"/>
          <w:b/>
          <w:color w:val="000000"/>
          <w:kern w:val="0"/>
          <w:sz w:val="24"/>
          <w:szCs w:val="20"/>
          <w:highlight w:val="none"/>
        </w:rPr>
      </w:pPr>
    </w:p>
    <w:p w14:paraId="00E26151">
      <w:pPr>
        <w:rPr>
          <w:rFonts w:hint="eastAsia" w:ascii="宋体" w:hAnsi="宋体"/>
          <w:b/>
          <w:color w:val="000000"/>
          <w:kern w:val="0"/>
          <w:sz w:val="24"/>
          <w:szCs w:val="20"/>
          <w:highlight w:val="none"/>
        </w:rPr>
      </w:pPr>
    </w:p>
    <w:p w14:paraId="60CE3C8E">
      <w:pPr>
        <w:pStyle w:val="17"/>
        <w:rPr>
          <w:rFonts w:hint="eastAsia" w:ascii="宋体" w:hAnsi="宋体"/>
          <w:b/>
          <w:color w:val="000000"/>
          <w:kern w:val="0"/>
          <w:sz w:val="24"/>
          <w:szCs w:val="20"/>
          <w:highlight w:val="none"/>
        </w:rPr>
      </w:pPr>
    </w:p>
    <w:p w14:paraId="412CA387">
      <w:pPr>
        <w:rPr>
          <w:rFonts w:hint="eastAsia" w:ascii="宋体" w:hAnsi="宋体"/>
          <w:b/>
          <w:color w:val="000000"/>
          <w:kern w:val="0"/>
          <w:sz w:val="24"/>
          <w:szCs w:val="20"/>
          <w:highlight w:val="none"/>
        </w:rPr>
      </w:pPr>
    </w:p>
    <w:p w14:paraId="79EDC5A1">
      <w:pPr>
        <w:pStyle w:val="23"/>
        <w:rPr>
          <w:rFonts w:hint="eastAsia" w:ascii="宋体" w:hAnsi="宋体"/>
          <w:b/>
          <w:color w:val="000000"/>
          <w:kern w:val="0"/>
          <w:sz w:val="24"/>
          <w:szCs w:val="20"/>
          <w:highlight w:val="none"/>
        </w:rPr>
      </w:pPr>
    </w:p>
    <w:p w14:paraId="5CDF04D1">
      <w:pPr>
        <w:pStyle w:val="23"/>
        <w:rPr>
          <w:rFonts w:hint="eastAsia" w:ascii="宋体" w:hAnsi="宋体"/>
          <w:b/>
          <w:color w:val="000000"/>
          <w:kern w:val="0"/>
          <w:sz w:val="24"/>
          <w:szCs w:val="20"/>
          <w:highlight w:val="none"/>
        </w:rPr>
      </w:pPr>
    </w:p>
    <w:p w14:paraId="40BC974F">
      <w:pPr>
        <w:pStyle w:val="23"/>
        <w:ind w:left="0" w:leftChars="0" w:firstLine="0" w:firstLineChars="0"/>
        <w:rPr>
          <w:rFonts w:hint="eastAsia" w:ascii="宋体" w:hAnsi="宋体"/>
          <w:b/>
          <w:color w:val="000000"/>
          <w:kern w:val="0"/>
          <w:sz w:val="24"/>
          <w:szCs w:val="20"/>
          <w:highlight w:val="none"/>
        </w:rPr>
      </w:pPr>
    </w:p>
    <w:p w14:paraId="089039C0">
      <w:pPr>
        <w:pStyle w:val="23"/>
        <w:rPr>
          <w:rFonts w:hint="eastAsia" w:ascii="宋体" w:hAnsi="宋体"/>
          <w:b/>
          <w:color w:val="000000"/>
          <w:kern w:val="0"/>
          <w:sz w:val="24"/>
          <w:szCs w:val="20"/>
          <w:highlight w:val="none"/>
        </w:rPr>
      </w:pPr>
    </w:p>
    <w:p w14:paraId="1E343E34">
      <w:pPr>
        <w:pStyle w:val="17"/>
        <w:rPr>
          <w:rFonts w:hint="eastAsia"/>
          <w:color w:val="000000"/>
        </w:rPr>
      </w:pPr>
    </w:p>
    <w:p w14:paraId="7F824C74">
      <w:pPr>
        <w:numPr>
          <w:ilvl w:val="0"/>
          <w:numId w:val="0"/>
        </w:numPr>
        <w:spacing w:line="240" w:lineRule="atLeast"/>
        <w:ind w:leftChars="0"/>
        <w:jc w:val="center"/>
        <w:outlineLvl w:val="3"/>
        <w:rPr>
          <w:rFonts w:hint="eastAsia" w:ascii="宋体" w:hAnsi="宋体" w:eastAsia="宋体" w:cs="宋体"/>
          <w:b w:val="0"/>
          <w:bCs w:val="0"/>
          <w:color w:val="000000"/>
          <w:sz w:val="28"/>
          <w:szCs w:val="28"/>
        </w:rPr>
      </w:pPr>
      <w:bookmarkStart w:id="93" w:name="_Toc28099"/>
      <w:bookmarkStart w:id="94" w:name="_Toc30795"/>
      <w:bookmarkStart w:id="95" w:name="_Toc10002"/>
      <w:bookmarkStart w:id="96" w:name="_Toc5196"/>
      <w:bookmarkStart w:id="97" w:name="_Toc515647827"/>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lang w:eastAsia="zh-CN"/>
        </w:rPr>
        <w:t>供应商</w:t>
      </w:r>
      <w:r>
        <w:rPr>
          <w:rFonts w:hint="eastAsia" w:ascii="宋体" w:hAnsi="宋体" w:eastAsia="宋体" w:cs="宋体"/>
          <w:b w:val="0"/>
          <w:bCs w:val="0"/>
          <w:color w:val="000000"/>
          <w:sz w:val="28"/>
          <w:szCs w:val="28"/>
        </w:rPr>
        <w:t>关联单位的说明</w:t>
      </w:r>
      <w:bookmarkEnd w:id="93"/>
      <w:bookmarkEnd w:id="94"/>
      <w:bookmarkEnd w:id="95"/>
      <w:bookmarkEnd w:id="96"/>
      <w:bookmarkEnd w:id="97"/>
    </w:p>
    <w:p w14:paraId="43E35E8F">
      <w:pPr>
        <w:numPr>
          <w:ilvl w:val="0"/>
          <w:numId w:val="0"/>
        </w:numPr>
        <w:spacing w:line="240" w:lineRule="atLeast"/>
        <w:ind w:leftChars="0"/>
        <w:jc w:val="both"/>
        <w:outlineLvl w:val="3"/>
        <w:rPr>
          <w:rFonts w:hint="eastAsia" w:ascii="宋体" w:hAnsi="宋体" w:eastAsia="宋体" w:cs="宋体"/>
          <w:b w:val="0"/>
          <w:bCs w:val="0"/>
          <w:color w:val="000000"/>
          <w:sz w:val="28"/>
          <w:szCs w:val="28"/>
        </w:rPr>
      </w:pPr>
    </w:p>
    <w:p w14:paraId="1380EFB0">
      <w:pPr>
        <w:pStyle w:val="11"/>
        <w:jc w:val="center"/>
        <w:rPr>
          <w:rFonts w:hint="eastAsia" w:hAnsi="宋体"/>
          <w:color w:val="000000"/>
          <w:highlight w:val="none"/>
        </w:rPr>
      </w:pPr>
    </w:p>
    <w:p w14:paraId="7407D6C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hAnsi="宋体"/>
          <w:color w:val="000000"/>
          <w:highlight w:val="none"/>
        </w:rPr>
      </w:pPr>
      <w:r>
        <w:rPr>
          <w:rFonts w:hint="eastAsia" w:hAnsi="宋体"/>
          <w:color w:val="000000"/>
          <w:highlight w:val="none"/>
        </w:rPr>
        <w:t>说明：</w:t>
      </w:r>
      <w:r>
        <w:rPr>
          <w:rFonts w:hint="eastAsia" w:hAnsi="宋体"/>
          <w:color w:val="000000"/>
          <w:highlight w:val="none"/>
          <w:lang w:eastAsia="zh-CN"/>
        </w:rPr>
        <w:t>供应商</w:t>
      </w:r>
      <w:r>
        <w:rPr>
          <w:rFonts w:hint="eastAsia" w:hAnsi="宋体"/>
          <w:color w:val="000000"/>
          <w:highlight w:val="none"/>
        </w:rPr>
        <w:t>应当如实披露与本单位存在下列关联关系的单位名称：</w:t>
      </w:r>
    </w:p>
    <w:p w14:paraId="54ADE6F9">
      <w:pPr>
        <w:pStyle w:val="11"/>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60" w:leftChars="0" w:firstLine="480" w:firstLineChars="0"/>
        <w:textAlignment w:val="baseline"/>
        <w:rPr>
          <w:rFonts w:hint="eastAsia" w:hAnsi="宋体"/>
          <w:color w:val="000000"/>
          <w:highlight w:val="none"/>
        </w:rPr>
      </w:pPr>
      <w:r>
        <w:rPr>
          <w:rFonts w:hint="eastAsia" w:hAnsi="宋体"/>
          <w:color w:val="000000"/>
          <w:highlight w:val="none"/>
        </w:rPr>
        <w:t>与</w:t>
      </w:r>
      <w:r>
        <w:rPr>
          <w:rFonts w:hint="eastAsia" w:hAnsi="宋体"/>
          <w:color w:val="000000"/>
          <w:highlight w:val="none"/>
          <w:lang w:eastAsia="zh-CN"/>
        </w:rPr>
        <w:t>供应商</w:t>
      </w:r>
      <w:r>
        <w:rPr>
          <w:rFonts w:hint="eastAsia" w:hAnsi="宋体"/>
          <w:color w:val="000000"/>
          <w:highlight w:val="none"/>
        </w:rPr>
        <w:t>单位负责人为同一人的其他单位；</w:t>
      </w:r>
    </w:p>
    <w:p w14:paraId="70060CB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hAnsi="宋体"/>
          <w:color w:val="000000"/>
          <w:highlight w:val="none"/>
        </w:rPr>
      </w:pPr>
      <w:r>
        <w:rPr>
          <w:rFonts w:hint="eastAsia" w:hAnsi="宋体"/>
          <w:color w:val="000000"/>
          <w:highlight w:val="none"/>
        </w:rPr>
        <w:t>（2）与</w:t>
      </w:r>
      <w:r>
        <w:rPr>
          <w:rFonts w:hint="eastAsia" w:hAnsi="宋体"/>
          <w:color w:val="000000"/>
          <w:highlight w:val="none"/>
          <w:lang w:eastAsia="zh-CN"/>
        </w:rPr>
        <w:t>供应商</w:t>
      </w:r>
      <w:r>
        <w:rPr>
          <w:rFonts w:hint="eastAsia" w:hAnsi="宋体"/>
          <w:color w:val="000000"/>
          <w:highlight w:val="none"/>
        </w:rPr>
        <w:t>存在直接控股、管理关系的其他单位。</w:t>
      </w:r>
    </w:p>
    <w:p w14:paraId="68B06C68">
      <w:pPr>
        <w:widowControl w:val="0"/>
        <w:numPr>
          <w:ilvl w:val="0"/>
          <w:numId w:val="0"/>
        </w:numPr>
        <w:jc w:val="both"/>
        <w:rPr>
          <w:rFonts w:hint="eastAsia"/>
          <w:color w:val="000000"/>
        </w:rPr>
      </w:pPr>
    </w:p>
    <w:p w14:paraId="1EC35DF5">
      <w:pPr>
        <w:pStyle w:val="17"/>
        <w:rPr>
          <w:rFonts w:hint="eastAsia"/>
          <w:color w:val="000000"/>
        </w:rPr>
      </w:pPr>
    </w:p>
    <w:p w14:paraId="0B546DE6">
      <w:pPr>
        <w:rPr>
          <w:rFonts w:hint="eastAsia"/>
          <w:color w:val="000000"/>
        </w:rPr>
      </w:pPr>
    </w:p>
    <w:p w14:paraId="7E503330">
      <w:pPr>
        <w:pStyle w:val="17"/>
        <w:rPr>
          <w:rFonts w:hint="eastAsia"/>
          <w:color w:val="000000"/>
        </w:rPr>
      </w:pPr>
    </w:p>
    <w:p w14:paraId="7E0B8896">
      <w:pPr>
        <w:rPr>
          <w:rFonts w:hint="eastAsia"/>
          <w:color w:val="000000"/>
        </w:rPr>
      </w:pPr>
    </w:p>
    <w:p w14:paraId="15CAC5C9">
      <w:pPr>
        <w:pStyle w:val="17"/>
        <w:rPr>
          <w:rFonts w:hint="eastAsia"/>
          <w:color w:val="000000"/>
        </w:rPr>
      </w:pPr>
    </w:p>
    <w:p w14:paraId="0C7DF27F">
      <w:pPr>
        <w:rPr>
          <w:rFonts w:hint="eastAsia"/>
          <w:color w:val="000000"/>
        </w:rPr>
      </w:pPr>
    </w:p>
    <w:p w14:paraId="7299EAC4">
      <w:pPr>
        <w:pStyle w:val="17"/>
        <w:rPr>
          <w:rFonts w:hint="eastAsia"/>
          <w:color w:val="000000"/>
        </w:rPr>
      </w:pPr>
    </w:p>
    <w:p w14:paraId="1FB977FA">
      <w:pPr>
        <w:rPr>
          <w:rFonts w:hint="eastAsia"/>
          <w:color w:val="000000"/>
        </w:rPr>
      </w:pPr>
    </w:p>
    <w:p w14:paraId="7DCA3BF2">
      <w:pPr>
        <w:pStyle w:val="17"/>
        <w:rPr>
          <w:rFonts w:hint="eastAsia"/>
          <w:color w:val="000000"/>
        </w:rPr>
      </w:pPr>
    </w:p>
    <w:p w14:paraId="220E8E73">
      <w:pPr>
        <w:rPr>
          <w:rFonts w:hint="eastAsia"/>
          <w:color w:val="000000"/>
        </w:rPr>
      </w:pPr>
    </w:p>
    <w:p w14:paraId="65E4CAE9">
      <w:pPr>
        <w:pStyle w:val="17"/>
        <w:rPr>
          <w:rFonts w:hint="eastAsia"/>
          <w:color w:val="000000"/>
        </w:rPr>
      </w:pPr>
    </w:p>
    <w:p w14:paraId="2C646FDD">
      <w:pPr>
        <w:pStyle w:val="22"/>
        <w:rPr>
          <w:rFonts w:hint="eastAsia"/>
          <w:color w:val="000000"/>
        </w:rPr>
      </w:pPr>
    </w:p>
    <w:p w14:paraId="0194AC92">
      <w:pPr>
        <w:rPr>
          <w:rFonts w:hint="eastAsia"/>
          <w:color w:val="000000"/>
        </w:rPr>
      </w:pPr>
    </w:p>
    <w:p w14:paraId="69BA2763">
      <w:pPr>
        <w:pStyle w:val="15"/>
        <w:tabs>
          <w:tab w:val="left" w:pos="567"/>
        </w:tabs>
        <w:rPr>
          <w:rFonts w:hint="eastAsia"/>
          <w:color w:val="000000"/>
        </w:rPr>
      </w:pPr>
    </w:p>
    <w:p w14:paraId="417317A7">
      <w:pPr>
        <w:pStyle w:val="15"/>
        <w:tabs>
          <w:tab w:val="left" w:pos="567"/>
        </w:tabs>
        <w:rPr>
          <w:rFonts w:hint="eastAsia"/>
          <w:color w:val="000000"/>
        </w:rPr>
      </w:pPr>
    </w:p>
    <w:p w14:paraId="57088B5F">
      <w:pPr>
        <w:pStyle w:val="15"/>
        <w:tabs>
          <w:tab w:val="left" w:pos="567"/>
        </w:tabs>
        <w:rPr>
          <w:rFonts w:hint="eastAsia"/>
          <w:color w:val="000000"/>
        </w:rPr>
      </w:pPr>
    </w:p>
    <w:p w14:paraId="017A5996">
      <w:pPr>
        <w:pStyle w:val="15"/>
        <w:tabs>
          <w:tab w:val="left" w:pos="567"/>
        </w:tabs>
        <w:rPr>
          <w:rFonts w:hint="eastAsia"/>
          <w:color w:val="000000"/>
        </w:rPr>
      </w:pPr>
    </w:p>
    <w:p w14:paraId="7DF23EE4">
      <w:pPr>
        <w:pStyle w:val="15"/>
        <w:tabs>
          <w:tab w:val="left" w:pos="567"/>
        </w:tabs>
        <w:rPr>
          <w:rFonts w:hint="eastAsia"/>
          <w:color w:val="000000"/>
        </w:rPr>
      </w:pPr>
    </w:p>
    <w:p w14:paraId="4466FE36">
      <w:pPr>
        <w:pStyle w:val="15"/>
        <w:tabs>
          <w:tab w:val="left" w:pos="567"/>
        </w:tabs>
        <w:rPr>
          <w:rFonts w:hint="eastAsia"/>
          <w:color w:val="000000"/>
        </w:rPr>
      </w:pPr>
    </w:p>
    <w:p w14:paraId="39437DAE">
      <w:pPr>
        <w:pStyle w:val="15"/>
        <w:tabs>
          <w:tab w:val="left" w:pos="567"/>
        </w:tabs>
        <w:rPr>
          <w:rFonts w:hint="eastAsia"/>
          <w:color w:val="000000"/>
        </w:rPr>
      </w:pPr>
    </w:p>
    <w:p w14:paraId="11E26B2F">
      <w:pPr>
        <w:pStyle w:val="15"/>
        <w:tabs>
          <w:tab w:val="left" w:pos="567"/>
        </w:tabs>
        <w:rPr>
          <w:rFonts w:hint="eastAsia"/>
          <w:color w:val="000000"/>
        </w:rPr>
      </w:pPr>
    </w:p>
    <w:p w14:paraId="5BAFD641">
      <w:pPr>
        <w:pStyle w:val="15"/>
        <w:tabs>
          <w:tab w:val="left" w:pos="567"/>
        </w:tabs>
        <w:rPr>
          <w:rFonts w:hint="eastAsia"/>
          <w:color w:val="000000"/>
        </w:rPr>
      </w:pPr>
    </w:p>
    <w:p w14:paraId="7BEC8B15">
      <w:pPr>
        <w:pStyle w:val="15"/>
        <w:tabs>
          <w:tab w:val="left" w:pos="567"/>
        </w:tabs>
        <w:rPr>
          <w:rFonts w:hint="eastAsia"/>
          <w:color w:val="000000"/>
        </w:rPr>
      </w:pPr>
    </w:p>
    <w:p w14:paraId="1C62CA93">
      <w:pPr>
        <w:pStyle w:val="15"/>
        <w:tabs>
          <w:tab w:val="left" w:pos="567"/>
        </w:tabs>
        <w:rPr>
          <w:rFonts w:hint="eastAsia"/>
          <w:color w:val="000000"/>
        </w:rPr>
      </w:pPr>
    </w:p>
    <w:p w14:paraId="71FBEEB8">
      <w:pPr>
        <w:pStyle w:val="15"/>
        <w:tabs>
          <w:tab w:val="left" w:pos="567"/>
        </w:tabs>
        <w:rPr>
          <w:rFonts w:hint="eastAsia"/>
          <w:color w:val="000000"/>
        </w:rPr>
      </w:pPr>
    </w:p>
    <w:p w14:paraId="202B1672">
      <w:pPr>
        <w:pStyle w:val="15"/>
        <w:tabs>
          <w:tab w:val="left" w:pos="567"/>
        </w:tabs>
        <w:rPr>
          <w:rFonts w:hint="eastAsia"/>
          <w:color w:val="000000"/>
        </w:rPr>
      </w:pPr>
    </w:p>
    <w:p w14:paraId="46254FEF">
      <w:pPr>
        <w:pStyle w:val="15"/>
        <w:tabs>
          <w:tab w:val="left" w:pos="567"/>
        </w:tabs>
        <w:rPr>
          <w:rFonts w:hint="eastAsia"/>
          <w:color w:val="000000"/>
        </w:rPr>
      </w:pPr>
    </w:p>
    <w:p w14:paraId="62656682">
      <w:pPr>
        <w:pStyle w:val="15"/>
        <w:tabs>
          <w:tab w:val="left" w:pos="567"/>
        </w:tabs>
        <w:rPr>
          <w:rFonts w:hint="eastAsia"/>
          <w:color w:val="000000"/>
        </w:rPr>
      </w:pPr>
    </w:p>
    <w:p w14:paraId="1C289B41">
      <w:pPr>
        <w:pStyle w:val="15"/>
        <w:tabs>
          <w:tab w:val="left" w:pos="567"/>
        </w:tabs>
        <w:rPr>
          <w:rFonts w:hint="eastAsia"/>
          <w:color w:val="000000"/>
        </w:rPr>
      </w:pPr>
    </w:p>
    <w:p w14:paraId="22F7A103">
      <w:pPr>
        <w:pStyle w:val="15"/>
        <w:tabs>
          <w:tab w:val="left" w:pos="567"/>
        </w:tabs>
        <w:rPr>
          <w:rFonts w:hint="eastAsia"/>
          <w:color w:val="000000"/>
        </w:rPr>
      </w:pPr>
    </w:p>
    <w:p w14:paraId="13563678">
      <w:pPr>
        <w:pStyle w:val="15"/>
        <w:tabs>
          <w:tab w:val="left" w:pos="567"/>
        </w:tabs>
        <w:rPr>
          <w:rFonts w:hint="eastAsia"/>
          <w:color w:val="000000"/>
        </w:rPr>
      </w:pPr>
    </w:p>
    <w:p w14:paraId="5671E97B">
      <w:pPr>
        <w:pStyle w:val="15"/>
        <w:tabs>
          <w:tab w:val="left" w:pos="567"/>
        </w:tabs>
        <w:rPr>
          <w:rFonts w:hint="eastAsia"/>
          <w:color w:val="000000"/>
        </w:rPr>
      </w:pPr>
    </w:p>
    <w:p w14:paraId="67AFD683">
      <w:pPr>
        <w:pStyle w:val="15"/>
        <w:tabs>
          <w:tab w:val="left" w:pos="567"/>
        </w:tabs>
        <w:rPr>
          <w:rFonts w:hint="eastAsia"/>
          <w:color w:val="000000"/>
        </w:rPr>
      </w:pPr>
    </w:p>
    <w:p w14:paraId="1B886CC7">
      <w:pPr>
        <w:rPr>
          <w:rFonts w:hint="eastAsia"/>
          <w:color w:val="000000"/>
        </w:rPr>
      </w:pPr>
    </w:p>
    <w:p w14:paraId="319E4ED7">
      <w:pPr>
        <w:pStyle w:val="15"/>
        <w:rPr>
          <w:rFonts w:hint="eastAsia"/>
        </w:rPr>
      </w:pPr>
    </w:p>
    <w:p w14:paraId="4C1B282F">
      <w:pPr>
        <w:numPr>
          <w:ilvl w:val="0"/>
          <w:numId w:val="0"/>
        </w:numPr>
        <w:spacing w:line="240" w:lineRule="atLeast"/>
        <w:jc w:val="center"/>
        <w:outlineLvl w:val="3"/>
        <w:rPr>
          <w:rFonts w:hint="eastAsia" w:ascii="宋体" w:hAnsi="宋体" w:eastAsia="宋体" w:cs="宋体"/>
          <w:b w:val="0"/>
          <w:bCs w:val="0"/>
          <w:color w:val="000000"/>
          <w:sz w:val="28"/>
          <w:szCs w:val="28"/>
          <w:lang w:val="en-US" w:eastAsia="zh-CN"/>
        </w:rPr>
      </w:pPr>
      <w:bookmarkStart w:id="98" w:name="_Toc29213"/>
      <w:r>
        <w:rPr>
          <w:rFonts w:hint="eastAsia" w:ascii="宋体" w:hAnsi="宋体" w:eastAsia="宋体" w:cs="宋体"/>
          <w:b w:val="0"/>
          <w:bCs w:val="0"/>
          <w:color w:val="000000"/>
          <w:sz w:val="28"/>
          <w:szCs w:val="28"/>
          <w:lang w:val="en-US" w:eastAsia="zh-CN"/>
        </w:rPr>
        <w:t>7、项目管理机构</w:t>
      </w:r>
      <w:bookmarkEnd w:id="98"/>
    </w:p>
    <w:p w14:paraId="45FA9A87">
      <w:pPr>
        <w:pStyle w:val="11"/>
        <w:jc w:val="center"/>
        <w:rPr>
          <w:rFonts w:hint="default"/>
          <w:lang w:val="en-US" w:eastAsia="zh-CN"/>
        </w:rPr>
      </w:pPr>
    </w:p>
    <w:tbl>
      <w:tblPr>
        <w:tblStyle w:val="30"/>
        <w:tblpPr w:leftFromText="180" w:rightFromText="180" w:vertAnchor="text" w:horzAnchor="page" w:tblpX="1346" w:tblpY="270"/>
        <w:tblOverlap w:val="never"/>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180"/>
        <w:gridCol w:w="980"/>
        <w:gridCol w:w="1720"/>
        <w:gridCol w:w="1470"/>
        <w:gridCol w:w="1190"/>
        <w:gridCol w:w="1060"/>
      </w:tblGrid>
      <w:tr w14:paraId="06A8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1" w:type="dxa"/>
            <w:vMerge w:val="restart"/>
            <w:noWrap w:val="0"/>
            <w:vAlign w:val="center"/>
          </w:tcPr>
          <w:p w14:paraId="580F0D27">
            <w:pPr>
              <w:spacing w:line="440" w:lineRule="exact"/>
              <w:jc w:val="center"/>
              <w:rPr>
                <w:rFonts w:ascii="宋体" w:hAnsi="宋体"/>
                <w:color w:val="000000"/>
                <w:szCs w:val="21"/>
              </w:rPr>
            </w:pPr>
            <w:r>
              <w:rPr>
                <w:rFonts w:ascii="宋体" w:hAnsi="宋体"/>
                <w:color w:val="000000"/>
                <w:szCs w:val="21"/>
              </w:rPr>
              <w:t>职务</w:t>
            </w:r>
          </w:p>
        </w:tc>
        <w:tc>
          <w:tcPr>
            <w:tcW w:w="1180" w:type="dxa"/>
            <w:vMerge w:val="restart"/>
            <w:noWrap w:val="0"/>
            <w:vAlign w:val="center"/>
          </w:tcPr>
          <w:p w14:paraId="4BFF9D5E">
            <w:pPr>
              <w:spacing w:line="440" w:lineRule="exact"/>
              <w:jc w:val="center"/>
              <w:rPr>
                <w:rFonts w:ascii="宋体" w:hAnsi="宋体"/>
                <w:color w:val="000000"/>
                <w:szCs w:val="21"/>
              </w:rPr>
            </w:pPr>
            <w:r>
              <w:rPr>
                <w:rFonts w:ascii="宋体" w:hAnsi="宋体"/>
                <w:color w:val="000000"/>
                <w:szCs w:val="21"/>
              </w:rPr>
              <w:t>姓名</w:t>
            </w:r>
          </w:p>
        </w:tc>
        <w:tc>
          <w:tcPr>
            <w:tcW w:w="980" w:type="dxa"/>
            <w:vMerge w:val="restart"/>
            <w:noWrap w:val="0"/>
            <w:vAlign w:val="center"/>
          </w:tcPr>
          <w:p w14:paraId="5AAED841">
            <w:pPr>
              <w:spacing w:line="440" w:lineRule="exact"/>
              <w:jc w:val="center"/>
              <w:rPr>
                <w:rFonts w:ascii="宋体" w:hAnsi="宋体"/>
                <w:color w:val="000000"/>
                <w:szCs w:val="21"/>
              </w:rPr>
            </w:pPr>
            <w:r>
              <w:rPr>
                <w:rFonts w:ascii="宋体" w:hAnsi="宋体"/>
                <w:color w:val="000000"/>
                <w:szCs w:val="21"/>
              </w:rPr>
              <w:t>职称</w:t>
            </w:r>
          </w:p>
        </w:tc>
        <w:tc>
          <w:tcPr>
            <w:tcW w:w="4380" w:type="dxa"/>
            <w:gridSpan w:val="3"/>
            <w:noWrap w:val="0"/>
            <w:vAlign w:val="center"/>
          </w:tcPr>
          <w:p w14:paraId="39C6F692">
            <w:pPr>
              <w:spacing w:line="440" w:lineRule="exact"/>
              <w:jc w:val="center"/>
              <w:rPr>
                <w:rFonts w:ascii="宋体" w:hAnsi="宋体"/>
                <w:color w:val="000000"/>
                <w:szCs w:val="21"/>
              </w:rPr>
            </w:pPr>
            <w:r>
              <w:rPr>
                <w:rFonts w:ascii="宋体" w:hAnsi="宋体"/>
                <w:color w:val="000000"/>
                <w:szCs w:val="21"/>
              </w:rPr>
              <w:t>执业或职业资格证明</w:t>
            </w:r>
          </w:p>
        </w:tc>
        <w:tc>
          <w:tcPr>
            <w:tcW w:w="1060" w:type="dxa"/>
            <w:noWrap w:val="0"/>
            <w:vAlign w:val="center"/>
          </w:tcPr>
          <w:p w14:paraId="51B28EB6">
            <w:pPr>
              <w:spacing w:line="440" w:lineRule="exact"/>
              <w:jc w:val="center"/>
              <w:rPr>
                <w:rFonts w:ascii="宋体" w:hAnsi="宋体"/>
                <w:color w:val="000000"/>
                <w:szCs w:val="21"/>
              </w:rPr>
            </w:pPr>
            <w:r>
              <w:rPr>
                <w:rFonts w:ascii="宋体" w:hAnsi="宋体"/>
                <w:color w:val="000000"/>
                <w:szCs w:val="21"/>
              </w:rPr>
              <w:t>备注</w:t>
            </w:r>
          </w:p>
        </w:tc>
      </w:tr>
      <w:tr w14:paraId="6B2D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1" w:type="dxa"/>
            <w:vMerge w:val="continue"/>
            <w:noWrap w:val="0"/>
            <w:vAlign w:val="center"/>
          </w:tcPr>
          <w:p w14:paraId="4A290BFA">
            <w:pPr>
              <w:spacing w:line="440" w:lineRule="exact"/>
              <w:jc w:val="center"/>
              <w:rPr>
                <w:rFonts w:ascii="宋体" w:hAnsi="宋体"/>
                <w:color w:val="000000"/>
                <w:szCs w:val="21"/>
              </w:rPr>
            </w:pPr>
          </w:p>
        </w:tc>
        <w:tc>
          <w:tcPr>
            <w:tcW w:w="1180" w:type="dxa"/>
            <w:vMerge w:val="continue"/>
            <w:noWrap w:val="0"/>
            <w:vAlign w:val="center"/>
          </w:tcPr>
          <w:p w14:paraId="39852DB2">
            <w:pPr>
              <w:spacing w:line="440" w:lineRule="exact"/>
              <w:jc w:val="center"/>
              <w:rPr>
                <w:rFonts w:ascii="宋体" w:hAnsi="宋体"/>
                <w:color w:val="000000"/>
                <w:szCs w:val="21"/>
              </w:rPr>
            </w:pPr>
          </w:p>
        </w:tc>
        <w:tc>
          <w:tcPr>
            <w:tcW w:w="980" w:type="dxa"/>
            <w:vMerge w:val="continue"/>
            <w:noWrap w:val="0"/>
            <w:vAlign w:val="center"/>
          </w:tcPr>
          <w:p w14:paraId="347C4F52">
            <w:pPr>
              <w:spacing w:line="440" w:lineRule="exact"/>
              <w:jc w:val="center"/>
              <w:rPr>
                <w:rFonts w:ascii="宋体" w:hAnsi="宋体"/>
                <w:color w:val="000000"/>
                <w:szCs w:val="21"/>
              </w:rPr>
            </w:pPr>
          </w:p>
        </w:tc>
        <w:tc>
          <w:tcPr>
            <w:tcW w:w="1720" w:type="dxa"/>
            <w:noWrap w:val="0"/>
            <w:vAlign w:val="center"/>
          </w:tcPr>
          <w:p w14:paraId="0636A419">
            <w:pPr>
              <w:spacing w:line="440" w:lineRule="exact"/>
              <w:jc w:val="center"/>
              <w:rPr>
                <w:rFonts w:ascii="宋体" w:hAnsi="宋体"/>
                <w:color w:val="000000"/>
                <w:szCs w:val="21"/>
              </w:rPr>
            </w:pPr>
            <w:r>
              <w:rPr>
                <w:rFonts w:ascii="宋体" w:hAnsi="宋体"/>
                <w:color w:val="000000"/>
                <w:szCs w:val="21"/>
              </w:rPr>
              <w:t>证书名称</w:t>
            </w:r>
          </w:p>
        </w:tc>
        <w:tc>
          <w:tcPr>
            <w:tcW w:w="1470" w:type="dxa"/>
            <w:noWrap w:val="0"/>
            <w:vAlign w:val="center"/>
          </w:tcPr>
          <w:p w14:paraId="1FE3661F">
            <w:pPr>
              <w:spacing w:line="440" w:lineRule="exact"/>
              <w:jc w:val="center"/>
              <w:rPr>
                <w:rFonts w:ascii="宋体" w:hAnsi="宋体"/>
                <w:color w:val="000000"/>
                <w:szCs w:val="21"/>
              </w:rPr>
            </w:pPr>
            <w:r>
              <w:rPr>
                <w:rFonts w:ascii="宋体" w:hAnsi="宋体"/>
                <w:color w:val="000000"/>
                <w:szCs w:val="21"/>
              </w:rPr>
              <w:t>证号</w:t>
            </w:r>
          </w:p>
        </w:tc>
        <w:tc>
          <w:tcPr>
            <w:tcW w:w="1190" w:type="dxa"/>
            <w:noWrap w:val="0"/>
            <w:vAlign w:val="center"/>
          </w:tcPr>
          <w:p w14:paraId="72392F30">
            <w:pPr>
              <w:spacing w:line="440" w:lineRule="exact"/>
              <w:jc w:val="center"/>
              <w:rPr>
                <w:rFonts w:ascii="宋体" w:hAnsi="宋体"/>
                <w:color w:val="000000"/>
                <w:szCs w:val="21"/>
              </w:rPr>
            </w:pPr>
            <w:r>
              <w:rPr>
                <w:rFonts w:ascii="宋体" w:hAnsi="宋体"/>
                <w:color w:val="000000"/>
                <w:szCs w:val="21"/>
              </w:rPr>
              <w:t>专业</w:t>
            </w:r>
          </w:p>
        </w:tc>
        <w:tc>
          <w:tcPr>
            <w:tcW w:w="1060" w:type="dxa"/>
            <w:noWrap w:val="0"/>
            <w:vAlign w:val="center"/>
          </w:tcPr>
          <w:p w14:paraId="5A3B83EA">
            <w:pPr>
              <w:spacing w:line="440" w:lineRule="exact"/>
              <w:jc w:val="center"/>
              <w:rPr>
                <w:rFonts w:ascii="宋体" w:hAnsi="宋体"/>
                <w:color w:val="000000"/>
                <w:szCs w:val="21"/>
              </w:rPr>
            </w:pPr>
          </w:p>
        </w:tc>
      </w:tr>
      <w:tr w14:paraId="0A5D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center"/>
          </w:tcPr>
          <w:p w14:paraId="37F2D782">
            <w:pPr>
              <w:spacing w:line="440" w:lineRule="exact"/>
              <w:jc w:val="center"/>
              <w:rPr>
                <w:rFonts w:hint="default" w:ascii="宋体" w:hAnsi="宋体" w:eastAsia="宋体"/>
                <w:color w:val="000000"/>
                <w:szCs w:val="21"/>
                <w:lang w:val="en-US" w:eastAsia="zh-CN"/>
              </w:rPr>
            </w:pPr>
          </w:p>
        </w:tc>
        <w:tc>
          <w:tcPr>
            <w:tcW w:w="1180" w:type="dxa"/>
            <w:noWrap w:val="0"/>
            <w:vAlign w:val="center"/>
          </w:tcPr>
          <w:p w14:paraId="3BC57340">
            <w:pPr>
              <w:spacing w:line="440" w:lineRule="exact"/>
              <w:jc w:val="center"/>
              <w:rPr>
                <w:rFonts w:ascii="宋体" w:hAnsi="宋体"/>
                <w:color w:val="000000"/>
                <w:szCs w:val="21"/>
              </w:rPr>
            </w:pPr>
          </w:p>
        </w:tc>
        <w:tc>
          <w:tcPr>
            <w:tcW w:w="980" w:type="dxa"/>
            <w:noWrap w:val="0"/>
            <w:vAlign w:val="center"/>
          </w:tcPr>
          <w:p w14:paraId="567DD7BE">
            <w:pPr>
              <w:spacing w:line="440" w:lineRule="exact"/>
              <w:jc w:val="center"/>
              <w:rPr>
                <w:rFonts w:ascii="宋体" w:hAnsi="宋体"/>
                <w:color w:val="000000"/>
                <w:szCs w:val="21"/>
              </w:rPr>
            </w:pPr>
          </w:p>
        </w:tc>
        <w:tc>
          <w:tcPr>
            <w:tcW w:w="1720" w:type="dxa"/>
            <w:noWrap w:val="0"/>
            <w:vAlign w:val="center"/>
          </w:tcPr>
          <w:p w14:paraId="09D27579">
            <w:pPr>
              <w:spacing w:line="440" w:lineRule="exact"/>
              <w:jc w:val="center"/>
              <w:rPr>
                <w:rFonts w:ascii="宋体" w:hAnsi="宋体"/>
                <w:color w:val="000000"/>
                <w:szCs w:val="21"/>
              </w:rPr>
            </w:pPr>
          </w:p>
        </w:tc>
        <w:tc>
          <w:tcPr>
            <w:tcW w:w="1470" w:type="dxa"/>
            <w:noWrap w:val="0"/>
            <w:vAlign w:val="center"/>
          </w:tcPr>
          <w:p w14:paraId="4AB03F15">
            <w:pPr>
              <w:spacing w:line="440" w:lineRule="exact"/>
              <w:jc w:val="center"/>
              <w:rPr>
                <w:rFonts w:ascii="宋体" w:hAnsi="宋体"/>
                <w:color w:val="000000"/>
                <w:szCs w:val="21"/>
              </w:rPr>
            </w:pPr>
          </w:p>
        </w:tc>
        <w:tc>
          <w:tcPr>
            <w:tcW w:w="1190" w:type="dxa"/>
            <w:noWrap w:val="0"/>
            <w:vAlign w:val="center"/>
          </w:tcPr>
          <w:p w14:paraId="3838A530">
            <w:pPr>
              <w:spacing w:line="440" w:lineRule="exact"/>
              <w:jc w:val="center"/>
              <w:rPr>
                <w:rFonts w:ascii="宋体" w:hAnsi="宋体"/>
                <w:color w:val="000000"/>
                <w:szCs w:val="21"/>
              </w:rPr>
            </w:pPr>
          </w:p>
        </w:tc>
        <w:tc>
          <w:tcPr>
            <w:tcW w:w="1060" w:type="dxa"/>
            <w:noWrap w:val="0"/>
            <w:vAlign w:val="center"/>
          </w:tcPr>
          <w:p w14:paraId="26FA27A6">
            <w:pPr>
              <w:spacing w:line="440" w:lineRule="exact"/>
              <w:jc w:val="center"/>
              <w:rPr>
                <w:rFonts w:ascii="宋体" w:hAnsi="宋体"/>
                <w:color w:val="000000"/>
                <w:szCs w:val="21"/>
              </w:rPr>
            </w:pPr>
          </w:p>
        </w:tc>
      </w:tr>
      <w:tr w14:paraId="240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center"/>
          </w:tcPr>
          <w:p w14:paraId="7D752E00">
            <w:pPr>
              <w:jc w:val="center"/>
              <w:rPr>
                <w:rFonts w:hint="eastAsia" w:ascii="宋体" w:hAnsi="宋体" w:eastAsia="宋体"/>
                <w:bCs/>
                <w:color w:val="000000"/>
                <w:szCs w:val="21"/>
                <w:lang w:val="en-US" w:eastAsia="zh-CN"/>
              </w:rPr>
            </w:pPr>
          </w:p>
        </w:tc>
        <w:tc>
          <w:tcPr>
            <w:tcW w:w="1180" w:type="dxa"/>
            <w:noWrap w:val="0"/>
            <w:vAlign w:val="top"/>
          </w:tcPr>
          <w:p w14:paraId="1F52EE00">
            <w:pPr>
              <w:spacing w:line="440" w:lineRule="exact"/>
              <w:jc w:val="center"/>
              <w:rPr>
                <w:rFonts w:hint="eastAsia" w:ascii="宋体" w:hAnsi="宋体"/>
                <w:color w:val="000000"/>
                <w:szCs w:val="21"/>
              </w:rPr>
            </w:pPr>
          </w:p>
        </w:tc>
        <w:tc>
          <w:tcPr>
            <w:tcW w:w="980" w:type="dxa"/>
            <w:noWrap w:val="0"/>
            <w:vAlign w:val="top"/>
          </w:tcPr>
          <w:p w14:paraId="7E709B1C">
            <w:pPr>
              <w:spacing w:line="440" w:lineRule="exact"/>
              <w:jc w:val="center"/>
              <w:rPr>
                <w:rFonts w:ascii="宋体" w:hAnsi="宋体"/>
                <w:color w:val="000000"/>
                <w:szCs w:val="21"/>
              </w:rPr>
            </w:pPr>
          </w:p>
        </w:tc>
        <w:tc>
          <w:tcPr>
            <w:tcW w:w="1720" w:type="dxa"/>
            <w:noWrap w:val="0"/>
            <w:vAlign w:val="top"/>
          </w:tcPr>
          <w:p w14:paraId="46A9AD73">
            <w:pPr>
              <w:spacing w:line="440" w:lineRule="exact"/>
              <w:jc w:val="center"/>
              <w:rPr>
                <w:rFonts w:ascii="宋体" w:hAnsi="宋体"/>
                <w:color w:val="000000"/>
                <w:szCs w:val="21"/>
              </w:rPr>
            </w:pPr>
          </w:p>
        </w:tc>
        <w:tc>
          <w:tcPr>
            <w:tcW w:w="1470" w:type="dxa"/>
            <w:noWrap w:val="0"/>
            <w:vAlign w:val="top"/>
          </w:tcPr>
          <w:p w14:paraId="391EF66A">
            <w:pPr>
              <w:spacing w:line="440" w:lineRule="exact"/>
              <w:jc w:val="center"/>
              <w:rPr>
                <w:rFonts w:ascii="宋体" w:hAnsi="宋体"/>
                <w:color w:val="000000"/>
                <w:szCs w:val="21"/>
              </w:rPr>
            </w:pPr>
          </w:p>
        </w:tc>
        <w:tc>
          <w:tcPr>
            <w:tcW w:w="1190" w:type="dxa"/>
            <w:noWrap w:val="0"/>
            <w:vAlign w:val="top"/>
          </w:tcPr>
          <w:p w14:paraId="274D1AAA">
            <w:pPr>
              <w:spacing w:line="440" w:lineRule="exact"/>
              <w:jc w:val="center"/>
              <w:rPr>
                <w:rFonts w:ascii="宋体" w:hAnsi="宋体"/>
                <w:color w:val="000000"/>
                <w:szCs w:val="21"/>
              </w:rPr>
            </w:pPr>
          </w:p>
        </w:tc>
        <w:tc>
          <w:tcPr>
            <w:tcW w:w="1060" w:type="dxa"/>
            <w:noWrap w:val="0"/>
            <w:vAlign w:val="top"/>
          </w:tcPr>
          <w:p w14:paraId="3AE5C23B">
            <w:pPr>
              <w:spacing w:line="440" w:lineRule="exact"/>
              <w:jc w:val="center"/>
              <w:rPr>
                <w:rFonts w:ascii="宋体" w:hAnsi="宋体"/>
                <w:color w:val="000000"/>
                <w:szCs w:val="21"/>
              </w:rPr>
            </w:pPr>
          </w:p>
        </w:tc>
      </w:tr>
      <w:tr w14:paraId="3E09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center"/>
          </w:tcPr>
          <w:p w14:paraId="53230BF3">
            <w:pPr>
              <w:jc w:val="center"/>
              <w:rPr>
                <w:rFonts w:hint="eastAsia" w:ascii="宋体" w:hAnsi="宋体" w:eastAsia="宋体"/>
                <w:bCs/>
                <w:color w:val="000000"/>
                <w:szCs w:val="21"/>
                <w:lang w:val="en-US" w:eastAsia="zh-CN"/>
              </w:rPr>
            </w:pPr>
          </w:p>
        </w:tc>
        <w:tc>
          <w:tcPr>
            <w:tcW w:w="1180" w:type="dxa"/>
            <w:noWrap w:val="0"/>
            <w:vAlign w:val="top"/>
          </w:tcPr>
          <w:p w14:paraId="5DF7944B">
            <w:pPr>
              <w:spacing w:line="440" w:lineRule="exact"/>
              <w:jc w:val="center"/>
              <w:rPr>
                <w:rFonts w:ascii="宋体" w:hAnsi="宋体"/>
                <w:color w:val="000000"/>
                <w:szCs w:val="21"/>
              </w:rPr>
            </w:pPr>
          </w:p>
        </w:tc>
        <w:tc>
          <w:tcPr>
            <w:tcW w:w="980" w:type="dxa"/>
            <w:noWrap w:val="0"/>
            <w:vAlign w:val="top"/>
          </w:tcPr>
          <w:p w14:paraId="1B3E8128">
            <w:pPr>
              <w:spacing w:line="440" w:lineRule="exact"/>
              <w:jc w:val="center"/>
              <w:rPr>
                <w:rFonts w:ascii="宋体" w:hAnsi="宋体"/>
                <w:color w:val="000000"/>
                <w:szCs w:val="21"/>
              </w:rPr>
            </w:pPr>
          </w:p>
        </w:tc>
        <w:tc>
          <w:tcPr>
            <w:tcW w:w="1720" w:type="dxa"/>
            <w:noWrap w:val="0"/>
            <w:vAlign w:val="top"/>
          </w:tcPr>
          <w:p w14:paraId="4E1D5995">
            <w:pPr>
              <w:spacing w:line="440" w:lineRule="exact"/>
              <w:jc w:val="center"/>
              <w:rPr>
                <w:rFonts w:ascii="宋体" w:hAnsi="宋体"/>
                <w:color w:val="000000"/>
                <w:szCs w:val="21"/>
              </w:rPr>
            </w:pPr>
          </w:p>
        </w:tc>
        <w:tc>
          <w:tcPr>
            <w:tcW w:w="1470" w:type="dxa"/>
            <w:noWrap w:val="0"/>
            <w:vAlign w:val="top"/>
          </w:tcPr>
          <w:p w14:paraId="0737548F">
            <w:pPr>
              <w:spacing w:line="440" w:lineRule="exact"/>
              <w:jc w:val="center"/>
              <w:rPr>
                <w:rFonts w:ascii="宋体" w:hAnsi="宋体"/>
                <w:color w:val="000000"/>
                <w:szCs w:val="21"/>
              </w:rPr>
            </w:pPr>
          </w:p>
        </w:tc>
        <w:tc>
          <w:tcPr>
            <w:tcW w:w="1190" w:type="dxa"/>
            <w:noWrap w:val="0"/>
            <w:vAlign w:val="top"/>
          </w:tcPr>
          <w:p w14:paraId="134538AF">
            <w:pPr>
              <w:spacing w:line="440" w:lineRule="exact"/>
              <w:jc w:val="center"/>
              <w:rPr>
                <w:rFonts w:ascii="宋体" w:hAnsi="宋体"/>
                <w:color w:val="000000"/>
                <w:szCs w:val="21"/>
              </w:rPr>
            </w:pPr>
          </w:p>
        </w:tc>
        <w:tc>
          <w:tcPr>
            <w:tcW w:w="1060" w:type="dxa"/>
            <w:noWrap w:val="0"/>
            <w:vAlign w:val="top"/>
          </w:tcPr>
          <w:p w14:paraId="1070D817">
            <w:pPr>
              <w:spacing w:line="440" w:lineRule="exact"/>
              <w:jc w:val="center"/>
              <w:rPr>
                <w:rFonts w:ascii="宋体" w:hAnsi="宋体"/>
                <w:color w:val="000000"/>
                <w:szCs w:val="21"/>
              </w:rPr>
            </w:pPr>
          </w:p>
        </w:tc>
      </w:tr>
      <w:tr w14:paraId="5A07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center"/>
          </w:tcPr>
          <w:p w14:paraId="553D5CCE">
            <w:pPr>
              <w:jc w:val="center"/>
              <w:rPr>
                <w:rFonts w:hint="default" w:ascii="宋体" w:hAnsi="宋体" w:eastAsia="宋体"/>
                <w:bCs/>
                <w:color w:val="000000"/>
                <w:szCs w:val="21"/>
                <w:lang w:val="en-US" w:eastAsia="zh-CN"/>
              </w:rPr>
            </w:pPr>
          </w:p>
        </w:tc>
        <w:tc>
          <w:tcPr>
            <w:tcW w:w="1180" w:type="dxa"/>
            <w:noWrap w:val="0"/>
            <w:vAlign w:val="top"/>
          </w:tcPr>
          <w:p w14:paraId="233CA683">
            <w:pPr>
              <w:spacing w:line="440" w:lineRule="exact"/>
              <w:jc w:val="center"/>
              <w:rPr>
                <w:rFonts w:ascii="宋体" w:hAnsi="宋体"/>
                <w:color w:val="000000"/>
                <w:szCs w:val="21"/>
              </w:rPr>
            </w:pPr>
          </w:p>
        </w:tc>
        <w:tc>
          <w:tcPr>
            <w:tcW w:w="980" w:type="dxa"/>
            <w:noWrap w:val="0"/>
            <w:vAlign w:val="top"/>
          </w:tcPr>
          <w:p w14:paraId="0189FEF2">
            <w:pPr>
              <w:spacing w:line="440" w:lineRule="exact"/>
              <w:jc w:val="center"/>
              <w:rPr>
                <w:rFonts w:ascii="宋体" w:hAnsi="宋体"/>
                <w:color w:val="000000"/>
                <w:szCs w:val="21"/>
              </w:rPr>
            </w:pPr>
          </w:p>
        </w:tc>
        <w:tc>
          <w:tcPr>
            <w:tcW w:w="1720" w:type="dxa"/>
            <w:noWrap w:val="0"/>
            <w:vAlign w:val="top"/>
          </w:tcPr>
          <w:p w14:paraId="3BE4648C">
            <w:pPr>
              <w:spacing w:line="440" w:lineRule="exact"/>
              <w:jc w:val="center"/>
              <w:rPr>
                <w:rFonts w:ascii="宋体" w:hAnsi="宋体"/>
                <w:color w:val="000000"/>
                <w:szCs w:val="21"/>
              </w:rPr>
            </w:pPr>
          </w:p>
        </w:tc>
        <w:tc>
          <w:tcPr>
            <w:tcW w:w="1470" w:type="dxa"/>
            <w:noWrap w:val="0"/>
            <w:vAlign w:val="top"/>
          </w:tcPr>
          <w:p w14:paraId="213BED23">
            <w:pPr>
              <w:spacing w:line="440" w:lineRule="exact"/>
              <w:jc w:val="center"/>
              <w:rPr>
                <w:rFonts w:ascii="宋体" w:hAnsi="宋体"/>
                <w:color w:val="000000"/>
                <w:szCs w:val="21"/>
              </w:rPr>
            </w:pPr>
          </w:p>
        </w:tc>
        <w:tc>
          <w:tcPr>
            <w:tcW w:w="1190" w:type="dxa"/>
            <w:noWrap w:val="0"/>
            <w:vAlign w:val="top"/>
          </w:tcPr>
          <w:p w14:paraId="3FE684C4">
            <w:pPr>
              <w:spacing w:line="440" w:lineRule="exact"/>
              <w:jc w:val="center"/>
              <w:rPr>
                <w:rFonts w:ascii="宋体" w:hAnsi="宋体"/>
                <w:color w:val="000000"/>
                <w:szCs w:val="21"/>
              </w:rPr>
            </w:pPr>
          </w:p>
        </w:tc>
        <w:tc>
          <w:tcPr>
            <w:tcW w:w="1060" w:type="dxa"/>
            <w:noWrap w:val="0"/>
            <w:vAlign w:val="top"/>
          </w:tcPr>
          <w:p w14:paraId="318EBC03">
            <w:pPr>
              <w:spacing w:line="440" w:lineRule="exact"/>
              <w:jc w:val="center"/>
              <w:rPr>
                <w:rFonts w:ascii="宋体" w:hAnsi="宋体"/>
                <w:color w:val="000000"/>
                <w:szCs w:val="21"/>
              </w:rPr>
            </w:pPr>
          </w:p>
        </w:tc>
      </w:tr>
      <w:tr w14:paraId="18A8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center"/>
          </w:tcPr>
          <w:p w14:paraId="62AD9AF6">
            <w:pPr>
              <w:jc w:val="center"/>
              <w:rPr>
                <w:rFonts w:hint="eastAsia" w:ascii="宋体" w:hAnsi="宋体" w:eastAsia="宋体"/>
                <w:bCs/>
                <w:color w:val="000000"/>
                <w:szCs w:val="21"/>
                <w:lang w:val="en-US" w:eastAsia="zh-CN"/>
              </w:rPr>
            </w:pPr>
          </w:p>
        </w:tc>
        <w:tc>
          <w:tcPr>
            <w:tcW w:w="1180" w:type="dxa"/>
            <w:noWrap w:val="0"/>
            <w:vAlign w:val="top"/>
          </w:tcPr>
          <w:p w14:paraId="1812EBB1">
            <w:pPr>
              <w:spacing w:line="440" w:lineRule="exact"/>
              <w:jc w:val="center"/>
              <w:rPr>
                <w:rFonts w:ascii="宋体" w:hAnsi="宋体"/>
                <w:color w:val="000000"/>
                <w:szCs w:val="21"/>
              </w:rPr>
            </w:pPr>
          </w:p>
        </w:tc>
        <w:tc>
          <w:tcPr>
            <w:tcW w:w="980" w:type="dxa"/>
            <w:noWrap w:val="0"/>
            <w:vAlign w:val="top"/>
          </w:tcPr>
          <w:p w14:paraId="06754C24">
            <w:pPr>
              <w:spacing w:line="440" w:lineRule="exact"/>
              <w:jc w:val="center"/>
              <w:rPr>
                <w:rFonts w:ascii="宋体" w:hAnsi="宋体"/>
                <w:color w:val="000000"/>
                <w:szCs w:val="21"/>
              </w:rPr>
            </w:pPr>
          </w:p>
        </w:tc>
        <w:tc>
          <w:tcPr>
            <w:tcW w:w="1720" w:type="dxa"/>
            <w:noWrap w:val="0"/>
            <w:vAlign w:val="top"/>
          </w:tcPr>
          <w:p w14:paraId="24A3DF79">
            <w:pPr>
              <w:spacing w:line="440" w:lineRule="exact"/>
              <w:jc w:val="center"/>
              <w:rPr>
                <w:rFonts w:ascii="宋体" w:hAnsi="宋体"/>
                <w:color w:val="000000"/>
                <w:szCs w:val="21"/>
              </w:rPr>
            </w:pPr>
          </w:p>
        </w:tc>
        <w:tc>
          <w:tcPr>
            <w:tcW w:w="1470" w:type="dxa"/>
            <w:noWrap w:val="0"/>
            <w:vAlign w:val="top"/>
          </w:tcPr>
          <w:p w14:paraId="743999EC">
            <w:pPr>
              <w:spacing w:line="440" w:lineRule="exact"/>
              <w:jc w:val="center"/>
              <w:rPr>
                <w:rFonts w:ascii="宋体" w:hAnsi="宋体"/>
                <w:color w:val="000000"/>
                <w:szCs w:val="21"/>
              </w:rPr>
            </w:pPr>
          </w:p>
        </w:tc>
        <w:tc>
          <w:tcPr>
            <w:tcW w:w="1190" w:type="dxa"/>
            <w:noWrap w:val="0"/>
            <w:vAlign w:val="top"/>
          </w:tcPr>
          <w:p w14:paraId="58AC3129">
            <w:pPr>
              <w:spacing w:line="440" w:lineRule="exact"/>
              <w:jc w:val="center"/>
              <w:rPr>
                <w:rFonts w:ascii="宋体" w:hAnsi="宋体"/>
                <w:color w:val="000000"/>
                <w:szCs w:val="21"/>
              </w:rPr>
            </w:pPr>
          </w:p>
        </w:tc>
        <w:tc>
          <w:tcPr>
            <w:tcW w:w="1060" w:type="dxa"/>
            <w:noWrap w:val="0"/>
            <w:vAlign w:val="top"/>
          </w:tcPr>
          <w:p w14:paraId="0D774D52">
            <w:pPr>
              <w:spacing w:line="440" w:lineRule="exact"/>
              <w:jc w:val="center"/>
              <w:rPr>
                <w:rFonts w:ascii="宋体" w:hAnsi="宋体"/>
                <w:color w:val="000000"/>
                <w:szCs w:val="21"/>
              </w:rPr>
            </w:pPr>
          </w:p>
        </w:tc>
      </w:tr>
      <w:tr w14:paraId="12D4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top"/>
          </w:tcPr>
          <w:p w14:paraId="3AB7FED8">
            <w:pPr>
              <w:spacing w:line="440" w:lineRule="exact"/>
              <w:jc w:val="center"/>
              <w:rPr>
                <w:rFonts w:ascii="宋体" w:hAnsi="宋体"/>
                <w:color w:val="000000"/>
                <w:szCs w:val="21"/>
              </w:rPr>
            </w:pPr>
          </w:p>
        </w:tc>
        <w:tc>
          <w:tcPr>
            <w:tcW w:w="1180" w:type="dxa"/>
            <w:noWrap w:val="0"/>
            <w:vAlign w:val="top"/>
          </w:tcPr>
          <w:p w14:paraId="1F0C58D7">
            <w:pPr>
              <w:spacing w:line="440" w:lineRule="exact"/>
              <w:jc w:val="center"/>
              <w:rPr>
                <w:rFonts w:ascii="宋体" w:hAnsi="宋体"/>
                <w:color w:val="000000"/>
                <w:szCs w:val="21"/>
              </w:rPr>
            </w:pPr>
          </w:p>
        </w:tc>
        <w:tc>
          <w:tcPr>
            <w:tcW w:w="980" w:type="dxa"/>
            <w:noWrap w:val="0"/>
            <w:vAlign w:val="top"/>
          </w:tcPr>
          <w:p w14:paraId="5CD444FC">
            <w:pPr>
              <w:spacing w:line="440" w:lineRule="exact"/>
              <w:jc w:val="center"/>
              <w:rPr>
                <w:rFonts w:ascii="宋体" w:hAnsi="宋体"/>
                <w:color w:val="000000"/>
                <w:szCs w:val="21"/>
              </w:rPr>
            </w:pPr>
          </w:p>
        </w:tc>
        <w:tc>
          <w:tcPr>
            <w:tcW w:w="1720" w:type="dxa"/>
            <w:noWrap w:val="0"/>
            <w:vAlign w:val="top"/>
          </w:tcPr>
          <w:p w14:paraId="3B2DA45B">
            <w:pPr>
              <w:spacing w:line="440" w:lineRule="exact"/>
              <w:jc w:val="center"/>
              <w:rPr>
                <w:rFonts w:ascii="宋体" w:hAnsi="宋体"/>
                <w:color w:val="000000"/>
                <w:szCs w:val="21"/>
              </w:rPr>
            </w:pPr>
          </w:p>
        </w:tc>
        <w:tc>
          <w:tcPr>
            <w:tcW w:w="1470" w:type="dxa"/>
            <w:noWrap w:val="0"/>
            <w:vAlign w:val="top"/>
          </w:tcPr>
          <w:p w14:paraId="15981785">
            <w:pPr>
              <w:spacing w:line="440" w:lineRule="exact"/>
              <w:jc w:val="center"/>
              <w:rPr>
                <w:rFonts w:ascii="宋体" w:hAnsi="宋体"/>
                <w:color w:val="000000"/>
                <w:szCs w:val="21"/>
              </w:rPr>
            </w:pPr>
          </w:p>
        </w:tc>
        <w:tc>
          <w:tcPr>
            <w:tcW w:w="1190" w:type="dxa"/>
            <w:noWrap w:val="0"/>
            <w:vAlign w:val="top"/>
          </w:tcPr>
          <w:p w14:paraId="0BC826FD">
            <w:pPr>
              <w:spacing w:line="440" w:lineRule="exact"/>
              <w:jc w:val="center"/>
              <w:rPr>
                <w:rFonts w:ascii="宋体" w:hAnsi="宋体"/>
                <w:color w:val="000000"/>
                <w:szCs w:val="21"/>
              </w:rPr>
            </w:pPr>
          </w:p>
        </w:tc>
        <w:tc>
          <w:tcPr>
            <w:tcW w:w="1060" w:type="dxa"/>
            <w:noWrap w:val="0"/>
            <w:vAlign w:val="top"/>
          </w:tcPr>
          <w:p w14:paraId="7712014E">
            <w:pPr>
              <w:spacing w:line="440" w:lineRule="exact"/>
              <w:jc w:val="center"/>
              <w:rPr>
                <w:rFonts w:ascii="宋体" w:hAnsi="宋体"/>
                <w:color w:val="000000"/>
                <w:szCs w:val="21"/>
              </w:rPr>
            </w:pPr>
          </w:p>
        </w:tc>
      </w:tr>
      <w:tr w14:paraId="24B3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top"/>
          </w:tcPr>
          <w:p w14:paraId="71312041">
            <w:pPr>
              <w:spacing w:line="440" w:lineRule="exact"/>
              <w:jc w:val="center"/>
              <w:rPr>
                <w:rFonts w:hint="eastAsia" w:ascii="宋体" w:hAnsi="宋体" w:eastAsia="宋体"/>
                <w:bCs/>
                <w:color w:val="000000"/>
                <w:szCs w:val="21"/>
                <w:lang w:val="en-US" w:eastAsia="zh-CN"/>
              </w:rPr>
            </w:pPr>
          </w:p>
        </w:tc>
        <w:tc>
          <w:tcPr>
            <w:tcW w:w="1180" w:type="dxa"/>
            <w:noWrap w:val="0"/>
            <w:vAlign w:val="top"/>
          </w:tcPr>
          <w:p w14:paraId="3E1C7245">
            <w:pPr>
              <w:spacing w:line="440" w:lineRule="exact"/>
              <w:jc w:val="center"/>
              <w:rPr>
                <w:rFonts w:ascii="宋体" w:hAnsi="宋体"/>
                <w:color w:val="000000"/>
                <w:szCs w:val="21"/>
              </w:rPr>
            </w:pPr>
          </w:p>
        </w:tc>
        <w:tc>
          <w:tcPr>
            <w:tcW w:w="980" w:type="dxa"/>
            <w:noWrap w:val="0"/>
            <w:vAlign w:val="top"/>
          </w:tcPr>
          <w:p w14:paraId="4E0CA51E">
            <w:pPr>
              <w:spacing w:line="440" w:lineRule="exact"/>
              <w:jc w:val="center"/>
              <w:rPr>
                <w:rFonts w:ascii="宋体" w:hAnsi="宋体"/>
                <w:color w:val="000000"/>
                <w:szCs w:val="21"/>
              </w:rPr>
            </w:pPr>
          </w:p>
        </w:tc>
        <w:tc>
          <w:tcPr>
            <w:tcW w:w="1720" w:type="dxa"/>
            <w:noWrap w:val="0"/>
            <w:vAlign w:val="top"/>
          </w:tcPr>
          <w:p w14:paraId="12327047">
            <w:pPr>
              <w:spacing w:line="440" w:lineRule="exact"/>
              <w:jc w:val="center"/>
              <w:rPr>
                <w:rFonts w:ascii="宋体" w:hAnsi="宋体"/>
                <w:color w:val="000000"/>
                <w:szCs w:val="21"/>
              </w:rPr>
            </w:pPr>
          </w:p>
        </w:tc>
        <w:tc>
          <w:tcPr>
            <w:tcW w:w="1470" w:type="dxa"/>
            <w:noWrap w:val="0"/>
            <w:vAlign w:val="top"/>
          </w:tcPr>
          <w:p w14:paraId="5D207C5E">
            <w:pPr>
              <w:spacing w:line="440" w:lineRule="exact"/>
              <w:jc w:val="center"/>
              <w:rPr>
                <w:rFonts w:ascii="宋体" w:hAnsi="宋体"/>
                <w:color w:val="000000"/>
                <w:szCs w:val="21"/>
              </w:rPr>
            </w:pPr>
          </w:p>
        </w:tc>
        <w:tc>
          <w:tcPr>
            <w:tcW w:w="1190" w:type="dxa"/>
            <w:noWrap w:val="0"/>
            <w:vAlign w:val="top"/>
          </w:tcPr>
          <w:p w14:paraId="50F91B1F">
            <w:pPr>
              <w:spacing w:line="440" w:lineRule="exact"/>
              <w:jc w:val="center"/>
              <w:rPr>
                <w:rFonts w:ascii="宋体" w:hAnsi="宋体"/>
                <w:color w:val="000000"/>
                <w:szCs w:val="21"/>
              </w:rPr>
            </w:pPr>
          </w:p>
        </w:tc>
        <w:tc>
          <w:tcPr>
            <w:tcW w:w="1060" w:type="dxa"/>
            <w:noWrap w:val="0"/>
            <w:vAlign w:val="top"/>
          </w:tcPr>
          <w:p w14:paraId="4A8FD34F">
            <w:pPr>
              <w:spacing w:line="440" w:lineRule="exact"/>
              <w:jc w:val="center"/>
              <w:rPr>
                <w:rFonts w:ascii="宋体" w:hAnsi="宋体"/>
                <w:color w:val="000000"/>
                <w:szCs w:val="21"/>
              </w:rPr>
            </w:pPr>
          </w:p>
        </w:tc>
      </w:tr>
      <w:tr w14:paraId="5629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top"/>
          </w:tcPr>
          <w:p w14:paraId="59B0522A">
            <w:pPr>
              <w:spacing w:line="440" w:lineRule="exact"/>
              <w:jc w:val="center"/>
              <w:rPr>
                <w:rFonts w:ascii="宋体" w:hAnsi="宋体"/>
                <w:color w:val="000000"/>
                <w:szCs w:val="21"/>
              </w:rPr>
            </w:pPr>
          </w:p>
        </w:tc>
        <w:tc>
          <w:tcPr>
            <w:tcW w:w="1180" w:type="dxa"/>
            <w:noWrap w:val="0"/>
            <w:vAlign w:val="top"/>
          </w:tcPr>
          <w:p w14:paraId="76A5BA6C">
            <w:pPr>
              <w:spacing w:line="440" w:lineRule="exact"/>
              <w:jc w:val="center"/>
              <w:rPr>
                <w:rFonts w:ascii="宋体" w:hAnsi="宋体"/>
                <w:color w:val="000000"/>
                <w:szCs w:val="21"/>
              </w:rPr>
            </w:pPr>
          </w:p>
        </w:tc>
        <w:tc>
          <w:tcPr>
            <w:tcW w:w="980" w:type="dxa"/>
            <w:noWrap w:val="0"/>
            <w:vAlign w:val="top"/>
          </w:tcPr>
          <w:p w14:paraId="22BED35B">
            <w:pPr>
              <w:spacing w:line="440" w:lineRule="exact"/>
              <w:jc w:val="center"/>
              <w:rPr>
                <w:rFonts w:ascii="宋体" w:hAnsi="宋体"/>
                <w:color w:val="000000"/>
                <w:szCs w:val="21"/>
              </w:rPr>
            </w:pPr>
          </w:p>
        </w:tc>
        <w:tc>
          <w:tcPr>
            <w:tcW w:w="1720" w:type="dxa"/>
            <w:noWrap w:val="0"/>
            <w:vAlign w:val="top"/>
          </w:tcPr>
          <w:p w14:paraId="3809F777">
            <w:pPr>
              <w:spacing w:line="440" w:lineRule="exact"/>
              <w:jc w:val="center"/>
              <w:rPr>
                <w:rFonts w:ascii="宋体" w:hAnsi="宋体"/>
                <w:color w:val="000000"/>
                <w:szCs w:val="21"/>
              </w:rPr>
            </w:pPr>
          </w:p>
        </w:tc>
        <w:tc>
          <w:tcPr>
            <w:tcW w:w="1470" w:type="dxa"/>
            <w:noWrap w:val="0"/>
            <w:vAlign w:val="top"/>
          </w:tcPr>
          <w:p w14:paraId="69CE81A6">
            <w:pPr>
              <w:spacing w:line="440" w:lineRule="exact"/>
              <w:jc w:val="center"/>
              <w:rPr>
                <w:rFonts w:ascii="宋体" w:hAnsi="宋体"/>
                <w:color w:val="000000"/>
                <w:szCs w:val="21"/>
              </w:rPr>
            </w:pPr>
          </w:p>
        </w:tc>
        <w:tc>
          <w:tcPr>
            <w:tcW w:w="1190" w:type="dxa"/>
            <w:noWrap w:val="0"/>
            <w:vAlign w:val="top"/>
          </w:tcPr>
          <w:p w14:paraId="7FE26F6A">
            <w:pPr>
              <w:spacing w:line="440" w:lineRule="exact"/>
              <w:jc w:val="center"/>
              <w:rPr>
                <w:rFonts w:ascii="宋体" w:hAnsi="宋体"/>
                <w:color w:val="000000"/>
                <w:szCs w:val="21"/>
              </w:rPr>
            </w:pPr>
          </w:p>
        </w:tc>
        <w:tc>
          <w:tcPr>
            <w:tcW w:w="1060" w:type="dxa"/>
            <w:noWrap w:val="0"/>
            <w:vAlign w:val="top"/>
          </w:tcPr>
          <w:p w14:paraId="6FC4E37F">
            <w:pPr>
              <w:spacing w:line="440" w:lineRule="exact"/>
              <w:jc w:val="center"/>
              <w:rPr>
                <w:rFonts w:ascii="宋体" w:hAnsi="宋体"/>
                <w:color w:val="000000"/>
                <w:szCs w:val="21"/>
              </w:rPr>
            </w:pPr>
          </w:p>
        </w:tc>
      </w:tr>
      <w:tr w14:paraId="5D43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1" w:type="dxa"/>
            <w:noWrap w:val="0"/>
            <w:vAlign w:val="top"/>
          </w:tcPr>
          <w:p w14:paraId="415AD620">
            <w:pPr>
              <w:spacing w:line="440" w:lineRule="exact"/>
              <w:jc w:val="center"/>
              <w:rPr>
                <w:rFonts w:ascii="宋体" w:hAnsi="宋体"/>
                <w:color w:val="000000"/>
                <w:szCs w:val="21"/>
              </w:rPr>
            </w:pPr>
          </w:p>
        </w:tc>
        <w:tc>
          <w:tcPr>
            <w:tcW w:w="1180" w:type="dxa"/>
            <w:noWrap w:val="0"/>
            <w:vAlign w:val="top"/>
          </w:tcPr>
          <w:p w14:paraId="611B5A71">
            <w:pPr>
              <w:spacing w:line="440" w:lineRule="exact"/>
              <w:jc w:val="center"/>
              <w:rPr>
                <w:rFonts w:ascii="宋体" w:hAnsi="宋体"/>
                <w:color w:val="000000"/>
                <w:szCs w:val="21"/>
              </w:rPr>
            </w:pPr>
          </w:p>
        </w:tc>
        <w:tc>
          <w:tcPr>
            <w:tcW w:w="980" w:type="dxa"/>
            <w:noWrap w:val="0"/>
            <w:vAlign w:val="top"/>
          </w:tcPr>
          <w:p w14:paraId="1D7D5127">
            <w:pPr>
              <w:spacing w:line="440" w:lineRule="exact"/>
              <w:jc w:val="center"/>
              <w:rPr>
                <w:rFonts w:ascii="宋体" w:hAnsi="宋体"/>
                <w:color w:val="000000"/>
                <w:szCs w:val="21"/>
              </w:rPr>
            </w:pPr>
          </w:p>
        </w:tc>
        <w:tc>
          <w:tcPr>
            <w:tcW w:w="1720" w:type="dxa"/>
            <w:noWrap w:val="0"/>
            <w:vAlign w:val="top"/>
          </w:tcPr>
          <w:p w14:paraId="5F1F9C4E">
            <w:pPr>
              <w:spacing w:line="440" w:lineRule="exact"/>
              <w:jc w:val="center"/>
              <w:rPr>
                <w:rFonts w:ascii="宋体" w:hAnsi="宋体"/>
                <w:color w:val="000000"/>
                <w:szCs w:val="21"/>
              </w:rPr>
            </w:pPr>
          </w:p>
        </w:tc>
        <w:tc>
          <w:tcPr>
            <w:tcW w:w="1470" w:type="dxa"/>
            <w:noWrap w:val="0"/>
            <w:vAlign w:val="top"/>
          </w:tcPr>
          <w:p w14:paraId="0DE44126">
            <w:pPr>
              <w:spacing w:line="440" w:lineRule="exact"/>
              <w:jc w:val="center"/>
              <w:rPr>
                <w:rFonts w:ascii="宋体" w:hAnsi="宋体"/>
                <w:color w:val="000000"/>
                <w:szCs w:val="21"/>
              </w:rPr>
            </w:pPr>
          </w:p>
        </w:tc>
        <w:tc>
          <w:tcPr>
            <w:tcW w:w="1190" w:type="dxa"/>
            <w:noWrap w:val="0"/>
            <w:vAlign w:val="top"/>
          </w:tcPr>
          <w:p w14:paraId="1DC0C1F1">
            <w:pPr>
              <w:spacing w:line="440" w:lineRule="exact"/>
              <w:jc w:val="center"/>
              <w:rPr>
                <w:rFonts w:ascii="宋体" w:hAnsi="宋体"/>
                <w:color w:val="000000"/>
                <w:szCs w:val="21"/>
              </w:rPr>
            </w:pPr>
          </w:p>
        </w:tc>
        <w:tc>
          <w:tcPr>
            <w:tcW w:w="1060" w:type="dxa"/>
            <w:noWrap w:val="0"/>
            <w:vAlign w:val="top"/>
          </w:tcPr>
          <w:p w14:paraId="22B9BAF7">
            <w:pPr>
              <w:spacing w:line="440" w:lineRule="exact"/>
              <w:jc w:val="center"/>
              <w:rPr>
                <w:rFonts w:ascii="宋体" w:hAnsi="宋体"/>
                <w:color w:val="000000"/>
                <w:szCs w:val="21"/>
              </w:rPr>
            </w:pPr>
          </w:p>
        </w:tc>
      </w:tr>
    </w:tbl>
    <w:p w14:paraId="4D99BA8D">
      <w:pPr>
        <w:spacing w:line="440" w:lineRule="exact"/>
        <w:rPr>
          <w:rFonts w:hint="eastAsia" w:ascii="宋体" w:hAnsi="宋体"/>
          <w:color w:val="000000"/>
          <w:szCs w:val="21"/>
        </w:rPr>
      </w:pPr>
      <w:r>
        <w:rPr>
          <w:rFonts w:hint="eastAsia" w:ascii="宋体" w:hAnsi="宋体"/>
          <w:color w:val="000000"/>
          <w:szCs w:val="21"/>
        </w:rPr>
        <w:t>注：1、本</w:t>
      </w:r>
      <w:r>
        <w:rPr>
          <w:rFonts w:hint="eastAsia" w:ascii="宋体" w:hAnsi="宋体" w:eastAsia="宋体"/>
          <w:color w:val="000000"/>
          <w:szCs w:val="21"/>
          <w:lang w:val="en-US" w:eastAsia="zh-CN"/>
        </w:rPr>
        <w:t>项目</w:t>
      </w:r>
      <w:r>
        <w:rPr>
          <w:rFonts w:hint="eastAsia" w:ascii="宋体" w:hAnsi="宋体"/>
          <w:color w:val="000000"/>
          <w:szCs w:val="21"/>
        </w:rPr>
        <w:t>一旦我单位</w:t>
      </w:r>
      <w:r>
        <w:rPr>
          <w:rFonts w:hint="eastAsia" w:ascii="宋体" w:hAnsi="宋体"/>
          <w:color w:val="000000"/>
          <w:szCs w:val="21"/>
          <w:lang w:val="en-US" w:eastAsia="zh-CN"/>
        </w:rPr>
        <w:t>承担承接</w:t>
      </w:r>
      <w:r>
        <w:rPr>
          <w:rFonts w:hint="eastAsia" w:ascii="宋体" w:hAnsi="宋体"/>
          <w:color w:val="000000"/>
          <w:szCs w:val="21"/>
        </w:rPr>
        <w:t>，将配备上述项目管理人员。上述填报内容真实，如不真实，将按照有关规定接受处理。</w:t>
      </w:r>
    </w:p>
    <w:p w14:paraId="194DA35E">
      <w:pPr>
        <w:numPr>
          <w:ilvl w:val="0"/>
          <w:numId w:val="8"/>
        </w:numPr>
        <w:spacing w:line="440" w:lineRule="exact"/>
        <w:ind w:leftChars="0"/>
        <w:outlineLvl w:val="9"/>
        <w:rPr>
          <w:rFonts w:hint="eastAsia" w:ascii="宋体" w:hAnsi="宋体" w:eastAsia="宋体"/>
          <w:color w:val="000000"/>
          <w:szCs w:val="21"/>
          <w:lang w:val="en-US" w:eastAsia="zh-CN"/>
        </w:rPr>
      </w:pPr>
      <w:r>
        <w:rPr>
          <w:rFonts w:hint="eastAsia" w:ascii="宋体" w:hAnsi="宋体" w:eastAsia="宋体"/>
          <w:color w:val="000000"/>
          <w:szCs w:val="21"/>
          <w:lang w:val="en-US" w:eastAsia="zh-CN"/>
        </w:rPr>
        <w:t>后附相关人员的证明资料</w:t>
      </w:r>
      <w:r>
        <w:rPr>
          <w:rFonts w:ascii="宋体" w:hAnsi="宋体"/>
          <w:color w:val="000000"/>
          <w:szCs w:val="21"/>
        </w:rPr>
        <w:br w:type="page"/>
      </w:r>
    </w:p>
    <w:p w14:paraId="3F90E7E7">
      <w:pPr>
        <w:rPr>
          <w:rFonts w:hint="eastAsia"/>
          <w:lang w:eastAsia="zh-CN"/>
        </w:rPr>
      </w:pPr>
    </w:p>
    <w:p w14:paraId="13C422D7">
      <w:pPr>
        <w:numPr>
          <w:ilvl w:val="0"/>
          <w:numId w:val="9"/>
        </w:numPr>
        <w:spacing w:line="440" w:lineRule="exact"/>
        <w:jc w:val="center"/>
        <w:outlineLvl w:val="3"/>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业绩一览表</w:t>
      </w:r>
    </w:p>
    <w:p w14:paraId="49899AFE">
      <w:pPr>
        <w:topLinePunct/>
        <w:autoSpaceDE w:val="0"/>
        <w:autoSpaceDN w:val="0"/>
        <w:adjustRightInd w:val="0"/>
        <w:snapToGrid w:val="0"/>
        <w:spacing w:after="0" w:line="240" w:lineRule="auto"/>
        <w:jc w:val="center"/>
        <w:rPr>
          <w:rFonts w:hint="eastAsia" w:ascii="宋体" w:hAnsi="宋体" w:eastAsia="宋体" w:cs="宋体"/>
          <w:color w:val="auto"/>
          <w:highlight w:val="none"/>
        </w:rPr>
      </w:pPr>
    </w:p>
    <w:tbl>
      <w:tblPr>
        <w:tblStyle w:val="3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0"/>
        <w:gridCol w:w="730"/>
        <w:gridCol w:w="700"/>
        <w:gridCol w:w="880"/>
        <w:gridCol w:w="1150"/>
        <w:gridCol w:w="1170"/>
        <w:gridCol w:w="1050"/>
        <w:gridCol w:w="1203"/>
      </w:tblGrid>
      <w:tr w14:paraId="115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6407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90" w:type="dxa"/>
            <w:tcBorders>
              <w:top w:val="single" w:color="auto" w:sz="4" w:space="0"/>
              <w:left w:val="single" w:color="auto" w:sz="4" w:space="0"/>
              <w:bottom w:val="single" w:color="auto" w:sz="4" w:space="0"/>
              <w:right w:val="single" w:color="auto" w:sz="4" w:space="0"/>
            </w:tcBorders>
            <w:noWrap/>
            <w:vAlign w:val="center"/>
          </w:tcPr>
          <w:p w14:paraId="46FA92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2E03FE3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730" w:type="dxa"/>
            <w:tcBorders>
              <w:top w:val="single" w:color="auto" w:sz="4" w:space="0"/>
              <w:left w:val="single" w:color="auto" w:sz="4" w:space="0"/>
              <w:bottom w:val="single" w:color="auto" w:sz="4" w:space="0"/>
              <w:right w:val="single" w:color="auto" w:sz="4" w:space="0"/>
            </w:tcBorders>
            <w:noWrap/>
            <w:vAlign w:val="center"/>
          </w:tcPr>
          <w:p w14:paraId="558A8A1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5072CD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w:t>
            </w:r>
          </w:p>
        </w:tc>
        <w:tc>
          <w:tcPr>
            <w:tcW w:w="700" w:type="dxa"/>
            <w:tcBorders>
              <w:top w:val="single" w:color="auto" w:sz="4" w:space="0"/>
              <w:left w:val="single" w:color="auto" w:sz="4" w:space="0"/>
              <w:bottom w:val="single" w:color="auto" w:sz="4" w:space="0"/>
              <w:right w:val="single" w:color="auto" w:sz="4" w:space="0"/>
            </w:tcBorders>
            <w:noWrap/>
            <w:vAlign w:val="center"/>
          </w:tcPr>
          <w:p w14:paraId="0D8620F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合同时间</w:t>
            </w:r>
          </w:p>
        </w:tc>
        <w:tc>
          <w:tcPr>
            <w:tcW w:w="880" w:type="dxa"/>
            <w:tcBorders>
              <w:top w:val="single" w:color="auto" w:sz="4" w:space="0"/>
              <w:left w:val="single" w:color="auto" w:sz="4" w:space="0"/>
              <w:bottom w:val="single" w:color="auto" w:sz="4" w:space="0"/>
              <w:right w:val="single" w:color="auto" w:sz="4" w:space="0"/>
            </w:tcBorders>
            <w:noWrap/>
            <w:vAlign w:val="center"/>
          </w:tcPr>
          <w:p w14:paraId="0719362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7C8B049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w:t>
            </w:r>
          </w:p>
        </w:tc>
        <w:tc>
          <w:tcPr>
            <w:tcW w:w="1150" w:type="dxa"/>
            <w:tcBorders>
              <w:top w:val="single" w:color="auto" w:sz="4" w:space="0"/>
              <w:left w:val="single" w:color="auto" w:sz="4" w:space="0"/>
              <w:bottom w:val="single" w:color="auto" w:sz="4" w:space="0"/>
              <w:right w:val="single" w:color="auto" w:sz="4" w:space="0"/>
            </w:tcBorders>
            <w:noWrap/>
            <w:vAlign w:val="center"/>
          </w:tcPr>
          <w:p w14:paraId="4BC5996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合同主要</w:t>
            </w:r>
          </w:p>
          <w:p w14:paraId="2EA7168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内容</w:t>
            </w:r>
          </w:p>
        </w:tc>
        <w:tc>
          <w:tcPr>
            <w:tcW w:w="1170" w:type="dxa"/>
            <w:tcBorders>
              <w:top w:val="single" w:color="auto" w:sz="4" w:space="0"/>
              <w:left w:val="single" w:color="auto" w:sz="4" w:space="0"/>
              <w:bottom w:val="single" w:color="auto" w:sz="4" w:space="0"/>
              <w:right w:val="single" w:color="auto" w:sz="4" w:space="0"/>
            </w:tcBorders>
            <w:noWrap/>
            <w:vAlign w:val="center"/>
          </w:tcPr>
          <w:p w14:paraId="682CF4F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  户</w:t>
            </w:r>
          </w:p>
          <w:p w14:paraId="2CE9F03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050" w:type="dxa"/>
            <w:tcBorders>
              <w:top w:val="single" w:color="auto" w:sz="4" w:space="0"/>
              <w:left w:val="single" w:color="auto" w:sz="4" w:space="0"/>
              <w:bottom w:val="single" w:color="auto" w:sz="4" w:space="0"/>
              <w:right w:val="single" w:color="auto" w:sz="4" w:space="0"/>
            </w:tcBorders>
            <w:noWrap/>
            <w:vAlign w:val="center"/>
          </w:tcPr>
          <w:p w14:paraId="67124D0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用户联</w:t>
            </w:r>
          </w:p>
          <w:p w14:paraId="1C32F24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系电话</w:t>
            </w:r>
          </w:p>
        </w:tc>
        <w:tc>
          <w:tcPr>
            <w:tcW w:w="1203" w:type="dxa"/>
            <w:tcBorders>
              <w:top w:val="single" w:color="auto" w:sz="4" w:space="0"/>
              <w:left w:val="single" w:color="auto" w:sz="4" w:space="0"/>
              <w:bottom w:val="single" w:color="auto" w:sz="4" w:space="0"/>
              <w:right w:val="single" w:color="auto" w:sz="4" w:space="0"/>
            </w:tcBorders>
            <w:noWrap/>
            <w:vAlign w:val="center"/>
          </w:tcPr>
          <w:p w14:paraId="5E2ED99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644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72D712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90" w:type="dxa"/>
            <w:tcBorders>
              <w:top w:val="single" w:color="auto" w:sz="4" w:space="0"/>
              <w:left w:val="single" w:color="auto" w:sz="4" w:space="0"/>
              <w:bottom w:val="single" w:color="auto" w:sz="4" w:space="0"/>
              <w:right w:val="single" w:color="auto" w:sz="4" w:space="0"/>
            </w:tcBorders>
            <w:noWrap/>
            <w:vAlign w:val="center"/>
          </w:tcPr>
          <w:p w14:paraId="70E21C0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4A30A9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0E93DB3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6A1A764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02379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A4DCF3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FBCC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367D8F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304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F1CE26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490" w:type="dxa"/>
            <w:tcBorders>
              <w:top w:val="single" w:color="auto" w:sz="4" w:space="0"/>
              <w:left w:val="single" w:color="auto" w:sz="4" w:space="0"/>
              <w:bottom w:val="single" w:color="auto" w:sz="4" w:space="0"/>
              <w:right w:val="single" w:color="auto" w:sz="4" w:space="0"/>
            </w:tcBorders>
            <w:noWrap/>
            <w:vAlign w:val="center"/>
          </w:tcPr>
          <w:p w14:paraId="14CA5C7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F1BB30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7AF1B8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39AADFD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C96784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D8A7CB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2AA016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55325DF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EE35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490" w:type="dxa"/>
            <w:tcBorders>
              <w:top w:val="single" w:color="auto" w:sz="4" w:space="0"/>
              <w:left w:val="single" w:color="auto" w:sz="4" w:space="0"/>
              <w:bottom w:val="single" w:color="auto" w:sz="4" w:space="0"/>
              <w:right w:val="single" w:color="auto" w:sz="4" w:space="0"/>
            </w:tcBorders>
            <w:noWrap/>
            <w:vAlign w:val="center"/>
          </w:tcPr>
          <w:p w14:paraId="767645B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FFA97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1FB5428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0CB61B7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F5747A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36FC5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47E2B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274566E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6EE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5B695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490" w:type="dxa"/>
            <w:tcBorders>
              <w:top w:val="single" w:color="auto" w:sz="4" w:space="0"/>
              <w:left w:val="single" w:color="auto" w:sz="4" w:space="0"/>
              <w:bottom w:val="single" w:color="auto" w:sz="4" w:space="0"/>
              <w:right w:val="single" w:color="auto" w:sz="4" w:space="0"/>
            </w:tcBorders>
            <w:noWrap/>
            <w:vAlign w:val="center"/>
          </w:tcPr>
          <w:p w14:paraId="4E8154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71FFBF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30B09FD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7445D7A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2B60D2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3CC058E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F325A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78398A1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E8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827134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490" w:type="dxa"/>
            <w:tcBorders>
              <w:top w:val="single" w:color="auto" w:sz="4" w:space="0"/>
              <w:left w:val="single" w:color="auto" w:sz="4" w:space="0"/>
              <w:bottom w:val="single" w:color="auto" w:sz="4" w:space="0"/>
              <w:right w:val="single" w:color="auto" w:sz="4" w:space="0"/>
            </w:tcBorders>
            <w:noWrap/>
            <w:vAlign w:val="center"/>
          </w:tcPr>
          <w:p w14:paraId="21BB815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40105A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E0C39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5398770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20AF59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CE9DD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F6F5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4E3309C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049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B76D16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490" w:type="dxa"/>
            <w:tcBorders>
              <w:top w:val="single" w:color="auto" w:sz="4" w:space="0"/>
              <w:left w:val="single" w:color="auto" w:sz="4" w:space="0"/>
              <w:bottom w:val="single" w:color="auto" w:sz="4" w:space="0"/>
              <w:right w:val="single" w:color="auto" w:sz="4" w:space="0"/>
            </w:tcBorders>
            <w:noWrap/>
            <w:vAlign w:val="center"/>
          </w:tcPr>
          <w:p w14:paraId="0E08334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4E46F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68F9BD6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243894E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FF7DD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CEF75D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654364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05C6BF5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bl>
    <w:p w14:paraId="666B109E">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CADB7C7">
      <w:pPr>
        <w:numPr>
          <w:ilvl w:val="0"/>
          <w:numId w:val="0"/>
        </w:numPr>
        <w:topLinePunct/>
        <w:autoSpaceDE w:val="0"/>
        <w:autoSpaceDN w:val="0"/>
        <w:spacing w:after="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1.提供2023年1月1日以来（以合同签订日期为准），供应商独立承担的类似项目。</w:t>
      </w:r>
    </w:p>
    <w:p w14:paraId="31CE1D4C">
      <w:pPr>
        <w:numPr>
          <w:ilvl w:val="0"/>
          <w:numId w:val="0"/>
        </w:numPr>
        <w:topLinePunct/>
        <w:autoSpaceDE w:val="0"/>
        <w:autoSpaceDN w:val="0"/>
        <w:spacing w:after="0" w:line="360" w:lineRule="auto"/>
        <w:rPr>
          <w:rFonts w:hint="eastAsia"/>
          <w:lang w:val="en-US" w:eastAsia="zh-CN"/>
        </w:rPr>
      </w:pPr>
      <w:r>
        <w:rPr>
          <w:rFonts w:hint="eastAsia" w:ascii="宋体" w:hAnsi="宋体" w:eastAsia="宋体" w:cs="宋体"/>
          <w:color w:val="auto"/>
          <w:szCs w:val="21"/>
          <w:highlight w:val="none"/>
        </w:rPr>
        <w:t>2.应提供合同复印件</w:t>
      </w:r>
      <w:r>
        <w:rPr>
          <w:rFonts w:hint="eastAsia" w:ascii="宋体" w:hAnsi="宋体" w:eastAsia="宋体" w:cs="宋体"/>
          <w:color w:val="auto"/>
          <w:szCs w:val="21"/>
          <w:highlight w:val="none"/>
          <w:lang w:val="en-US" w:eastAsia="zh-CN"/>
        </w:rPr>
        <w:t>，否则不予得分</w:t>
      </w:r>
      <w:r>
        <w:rPr>
          <w:rFonts w:hint="eastAsia" w:ascii="宋体" w:hAnsi="宋体" w:eastAsia="宋体" w:cs="宋体"/>
          <w:color w:val="auto"/>
          <w:szCs w:val="21"/>
          <w:highlight w:val="none"/>
        </w:rPr>
        <w:t>。合同复印件应能清晰体现合同甲乙双方、合同时间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合同主要内容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合同双方签章页</w:t>
      </w:r>
      <w:r>
        <w:rPr>
          <w:rFonts w:hint="eastAsia" w:ascii="宋体" w:hAnsi="宋体" w:eastAsia="宋体" w:cs="宋体"/>
          <w:color w:val="auto"/>
          <w:szCs w:val="21"/>
          <w:highlight w:val="none"/>
        </w:rPr>
        <w:t>等，并提供对方联系人及联系方式</w:t>
      </w:r>
      <w:r>
        <w:rPr>
          <w:rFonts w:hint="eastAsia" w:ascii="宋体" w:hAnsi="宋体" w:eastAsia="宋体" w:cs="宋体"/>
          <w:color w:val="auto"/>
          <w:szCs w:val="21"/>
          <w:highlight w:val="none"/>
          <w:lang w:eastAsia="zh-CN"/>
        </w:rPr>
        <w:t>。</w:t>
      </w:r>
    </w:p>
    <w:p w14:paraId="6DA11558">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2F66E6E3">
      <w:pPr>
        <w:numPr>
          <w:ilvl w:val="0"/>
          <w:numId w:val="0"/>
        </w:numPr>
        <w:kinsoku w:val="0"/>
        <w:autoSpaceDE w:val="0"/>
        <w:autoSpaceDN w:val="0"/>
        <w:adjustRightInd w:val="0"/>
        <w:snapToGrid w:val="0"/>
        <w:spacing w:line="440" w:lineRule="exact"/>
        <w:jc w:val="both"/>
        <w:textAlignment w:val="baseline"/>
        <w:outlineLvl w:val="3"/>
        <w:rPr>
          <w:rFonts w:hint="eastAsia" w:ascii="宋体" w:hAnsi="宋体" w:eastAsia="宋体" w:cs="宋体"/>
          <w:b w:val="0"/>
          <w:bCs w:val="0"/>
          <w:color w:val="000000"/>
          <w:sz w:val="28"/>
          <w:szCs w:val="28"/>
          <w:lang w:val="en-US" w:eastAsia="zh-CN"/>
        </w:rPr>
      </w:pPr>
    </w:p>
    <w:p w14:paraId="3B0416E6">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199C7F4C">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7785E3B9">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11EEAC7B">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51442079">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37A976D7">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04A54DA2">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6D2DBAA3">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1A09D702">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58548DB7">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1E3CAF1A">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093E6812">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798C5EDE">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45F0F76C">
      <w:pPr>
        <w:numPr>
          <w:ilvl w:val="0"/>
          <w:numId w:val="0"/>
        </w:numPr>
        <w:kinsoku w:val="0"/>
        <w:autoSpaceDE w:val="0"/>
        <w:autoSpaceDN w:val="0"/>
        <w:adjustRightInd w:val="0"/>
        <w:snapToGrid w:val="0"/>
        <w:spacing w:line="440" w:lineRule="exact"/>
        <w:jc w:val="center"/>
        <w:textAlignment w:val="baseline"/>
        <w:outlineLvl w:val="3"/>
        <w:rPr>
          <w:rFonts w:hint="eastAsia" w:ascii="宋体" w:hAnsi="宋体" w:eastAsia="宋体" w:cs="宋体"/>
          <w:b w:val="0"/>
          <w:bCs w:val="0"/>
          <w:color w:val="000000"/>
          <w:sz w:val="28"/>
          <w:szCs w:val="28"/>
          <w:lang w:val="en-US" w:eastAsia="zh-CN"/>
        </w:rPr>
      </w:pPr>
    </w:p>
    <w:p w14:paraId="1BCE610F">
      <w:pPr>
        <w:numPr>
          <w:ilvl w:val="0"/>
          <w:numId w:val="0"/>
        </w:numPr>
        <w:kinsoku w:val="0"/>
        <w:autoSpaceDE w:val="0"/>
        <w:autoSpaceDN w:val="0"/>
        <w:adjustRightInd w:val="0"/>
        <w:snapToGrid w:val="0"/>
        <w:spacing w:line="440" w:lineRule="exact"/>
        <w:jc w:val="center"/>
        <w:textAlignment w:val="baseline"/>
        <w:outlineLvl w:val="3"/>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9、技术方案</w:t>
      </w:r>
    </w:p>
    <w:p w14:paraId="2BF41848">
      <w:pPr>
        <w:spacing w:line="240" w:lineRule="atLeast"/>
        <w:jc w:val="both"/>
        <w:rPr>
          <w:rFonts w:hint="eastAsia" w:ascii="宋体" w:hAnsi="宋体" w:eastAsia="宋体" w:cs="宋体"/>
          <w:b/>
          <w:bCs/>
          <w:color w:val="000000"/>
          <w:sz w:val="28"/>
          <w:szCs w:val="28"/>
          <w:lang w:val="en-US" w:eastAsia="zh-CN"/>
        </w:rPr>
      </w:pPr>
    </w:p>
    <w:p w14:paraId="7CF1052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r>
        <w:rPr>
          <w:rFonts w:hint="eastAsia" w:cs="宋体"/>
          <w:color w:val="000000"/>
          <w:kern w:val="0"/>
          <w:sz w:val="24"/>
          <w:szCs w:val="24"/>
          <w:lang w:val="en-US" w:eastAsia="zh-CN" w:bidi="ar"/>
        </w:rPr>
        <w:t xml:space="preserve"> 供应商按照第6章评标办法列出的评分标准自行编制技术方案</w:t>
      </w:r>
    </w:p>
    <w:p w14:paraId="1935433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54F40DA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59CA89C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75CE7B7A">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7D5A81C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03D5F0D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24"/>
          <w:szCs w:val="24"/>
          <w:lang w:val="en-US" w:eastAsia="zh-CN" w:bidi="ar"/>
        </w:rPr>
      </w:pPr>
    </w:p>
    <w:p w14:paraId="61181CD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000000"/>
          <w:kern w:val="0"/>
          <w:sz w:val="32"/>
          <w:szCs w:val="32"/>
          <w:lang w:val="en-US" w:eastAsia="zh-CN" w:bidi="ar"/>
        </w:rPr>
      </w:pPr>
    </w:p>
    <w:p w14:paraId="1B0C9F34">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5F007DBA">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424B726F">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46AEB2B8">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3B787227">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5597582E">
      <w:pPr>
        <w:numPr>
          <w:ilvl w:val="0"/>
          <w:numId w:val="0"/>
        </w:numPr>
        <w:spacing w:line="440" w:lineRule="exact"/>
        <w:ind w:firstLine="1960" w:firstLineChars="700"/>
        <w:jc w:val="both"/>
        <w:rPr>
          <w:rFonts w:hint="eastAsia" w:ascii="宋体" w:hAnsi="宋体" w:eastAsia="宋体"/>
          <w:color w:val="000000"/>
          <w:sz w:val="28"/>
          <w:szCs w:val="28"/>
          <w:lang w:val="en-US" w:eastAsia="zh-CN"/>
        </w:rPr>
      </w:pPr>
    </w:p>
    <w:p w14:paraId="1812E21C">
      <w:pPr>
        <w:numPr>
          <w:ilvl w:val="0"/>
          <w:numId w:val="0"/>
        </w:numPr>
        <w:spacing w:line="440" w:lineRule="exact"/>
        <w:ind w:firstLine="1960" w:firstLineChars="700"/>
        <w:jc w:val="both"/>
        <w:outlineLvl w:val="3"/>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10.供应商认为有利于投标的其他资料</w:t>
      </w:r>
    </w:p>
    <w:p w14:paraId="7BD0BEB9">
      <w:pPr>
        <w:pStyle w:val="23"/>
        <w:numPr>
          <w:ilvl w:val="0"/>
          <w:numId w:val="0"/>
        </w:numPr>
        <w:ind w:leftChars="-200"/>
        <w:rPr>
          <w:rFonts w:hint="default"/>
          <w:lang w:val="en-US" w:eastAsia="zh-CN"/>
        </w:rPr>
      </w:pPr>
    </w:p>
    <w:p w14:paraId="116567D0">
      <w:pPr>
        <w:pStyle w:val="23"/>
        <w:numPr>
          <w:ilvl w:val="0"/>
          <w:numId w:val="0"/>
        </w:numPr>
        <w:ind w:leftChars="-200"/>
        <w:rPr>
          <w:rFonts w:hint="default"/>
          <w:lang w:val="en-US" w:eastAsia="zh-CN"/>
        </w:rPr>
      </w:pPr>
    </w:p>
    <w:p w14:paraId="621DC566">
      <w:pPr>
        <w:pStyle w:val="23"/>
        <w:numPr>
          <w:ilvl w:val="0"/>
          <w:numId w:val="0"/>
        </w:numPr>
        <w:ind w:leftChars="-200"/>
        <w:rPr>
          <w:rFonts w:hint="default"/>
          <w:lang w:val="en-US" w:eastAsia="zh-CN"/>
        </w:rPr>
      </w:pPr>
    </w:p>
    <w:p w14:paraId="4083C1EB">
      <w:pPr>
        <w:pStyle w:val="23"/>
        <w:numPr>
          <w:ilvl w:val="0"/>
          <w:numId w:val="0"/>
        </w:numPr>
        <w:ind w:leftChars="-200"/>
        <w:rPr>
          <w:rFonts w:hint="default"/>
          <w:lang w:val="en-US" w:eastAsia="zh-CN"/>
        </w:rPr>
      </w:pPr>
    </w:p>
    <w:p w14:paraId="44B5C65A">
      <w:pPr>
        <w:pStyle w:val="23"/>
        <w:numPr>
          <w:ilvl w:val="0"/>
          <w:numId w:val="0"/>
        </w:numPr>
        <w:ind w:leftChars="-200"/>
        <w:rPr>
          <w:rFonts w:hint="default"/>
          <w:lang w:val="en-US" w:eastAsia="zh-CN"/>
        </w:rPr>
      </w:pPr>
    </w:p>
    <w:p w14:paraId="38580DB3">
      <w:pPr>
        <w:pStyle w:val="23"/>
        <w:numPr>
          <w:ilvl w:val="0"/>
          <w:numId w:val="0"/>
        </w:numPr>
        <w:ind w:leftChars="-200"/>
        <w:rPr>
          <w:rFonts w:hint="default"/>
          <w:lang w:val="en-US" w:eastAsia="zh-CN"/>
        </w:rPr>
      </w:pPr>
    </w:p>
    <w:p w14:paraId="1D6B29C4">
      <w:pPr>
        <w:pStyle w:val="23"/>
        <w:numPr>
          <w:ilvl w:val="0"/>
          <w:numId w:val="0"/>
        </w:numPr>
        <w:ind w:leftChars="-200"/>
        <w:rPr>
          <w:rFonts w:hint="default"/>
          <w:lang w:val="en-US" w:eastAsia="zh-CN"/>
        </w:rPr>
      </w:pPr>
    </w:p>
    <w:p w14:paraId="72CC4E53">
      <w:pPr>
        <w:pStyle w:val="23"/>
        <w:numPr>
          <w:ilvl w:val="0"/>
          <w:numId w:val="0"/>
        </w:numPr>
        <w:ind w:leftChars="-200"/>
        <w:rPr>
          <w:rFonts w:hint="default"/>
          <w:lang w:val="en-US" w:eastAsia="zh-CN"/>
        </w:rPr>
      </w:pPr>
    </w:p>
    <w:p w14:paraId="4753ABB6">
      <w:pPr>
        <w:pStyle w:val="23"/>
        <w:numPr>
          <w:ilvl w:val="0"/>
          <w:numId w:val="0"/>
        </w:numPr>
        <w:ind w:leftChars="-200"/>
        <w:rPr>
          <w:rFonts w:hint="default"/>
          <w:lang w:val="en-US" w:eastAsia="zh-CN"/>
        </w:rPr>
      </w:pPr>
    </w:p>
    <w:p w14:paraId="0B1C8E57">
      <w:pPr>
        <w:pStyle w:val="23"/>
        <w:numPr>
          <w:ilvl w:val="0"/>
          <w:numId w:val="0"/>
        </w:numPr>
        <w:ind w:leftChars="-200"/>
        <w:rPr>
          <w:rFonts w:hint="default"/>
          <w:lang w:val="en-US" w:eastAsia="zh-CN"/>
        </w:rPr>
      </w:pPr>
    </w:p>
    <w:p w14:paraId="182BE10D">
      <w:pPr>
        <w:pStyle w:val="23"/>
        <w:numPr>
          <w:ilvl w:val="0"/>
          <w:numId w:val="0"/>
        </w:numPr>
        <w:ind w:leftChars="-200"/>
        <w:rPr>
          <w:rFonts w:hint="default"/>
          <w:lang w:val="en-US" w:eastAsia="zh-CN"/>
        </w:rPr>
      </w:pPr>
    </w:p>
    <w:p w14:paraId="49DB58CA">
      <w:pPr>
        <w:pStyle w:val="23"/>
        <w:numPr>
          <w:ilvl w:val="0"/>
          <w:numId w:val="0"/>
        </w:numPr>
        <w:ind w:leftChars="-200"/>
        <w:rPr>
          <w:rFonts w:hint="default"/>
          <w:lang w:val="en-US" w:eastAsia="zh-CN"/>
        </w:rPr>
      </w:pPr>
    </w:p>
    <w:p w14:paraId="7EAB697F">
      <w:pPr>
        <w:pStyle w:val="23"/>
        <w:numPr>
          <w:ilvl w:val="0"/>
          <w:numId w:val="0"/>
        </w:numPr>
        <w:ind w:leftChars="-200"/>
        <w:rPr>
          <w:rFonts w:hint="default"/>
          <w:lang w:val="en-US" w:eastAsia="zh-CN"/>
        </w:rPr>
      </w:pPr>
    </w:p>
    <w:p w14:paraId="2C3E9F57">
      <w:pPr>
        <w:pStyle w:val="23"/>
        <w:numPr>
          <w:ilvl w:val="0"/>
          <w:numId w:val="0"/>
        </w:numPr>
        <w:ind w:leftChars="-200"/>
        <w:rPr>
          <w:rFonts w:hint="default"/>
          <w:lang w:val="en-US" w:eastAsia="zh-CN"/>
        </w:rPr>
      </w:pPr>
    </w:p>
    <w:p w14:paraId="2435EB45">
      <w:pPr>
        <w:pStyle w:val="23"/>
        <w:numPr>
          <w:ilvl w:val="0"/>
          <w:numId w:val="0"/>
        </w:numPr>
        <w:ind w:leftChars="-200"/>
        <w:rPr>
          <w:rFonts w:hint="default"/>
          <w:lang w:val="en-US" w:eastAsia="zh-CN"/>
        </w:rPr>
      </w:pPr>
    </w:p>
    <w:p w14:paraId="158D39FB">
      <w:pPr>
        <w:pStyle w:val="23"/>
        <w:numPr>
          <w:ilvl w:val="0"/>
          <w:numId w:val="0"/>
        </w:numPr>
        <w:ind w:leftChars="-200"/>
        <w:rPr>
          <w:rFonts w:hint="default"/>
          <w:lang w:val="en-US" w:eastAsia="zh-CN"/>
        </w:rPr>
      </w:pPr>
    </w:p>
    <w:p w14:paraId="3356F36A">
      <w:pPr>
        <w:pStyle w:val="23"/>
        <w:numPr>
          <w:ilvl w:val="0"/>
          <w:numId w:val="0"/>
        </w:numPr>
        <w:ind w:leftChars="-200"/>
        <w:rPr>
          <w:rFonts w:hint="default"/>
          <w:lang w:val="en-US" w:eastAsia="zh-CN"/>
        </w:rPr>
      </w:pPr>
    </w:p>
    <w:p w14:paraId="59B510B4">
      <w:pPr>
        <w:pStyle w:val="23"/>
        <w:numPr>
          <w:ilvl w:val="0"/>
          <w:numId w:val="0"/>
        </w:numPr>
        <w:ind w:leftChars="-200"/>
        <w:rPr>
          <w:rFonts w:hint="default"/>
          <w:lang w:val="en-US" w:eastAsia="zh-CN"/>
        </w:rPr>
      </w:pPr>
    </w:p>
    <w:p w14:paraId="47EB816A">
      <w:pPr>
        <w:pStyle w:val="23"/>
        <w:numPr>
          <w:ilvl w:val="0"/>
          <w:numId w:val="0"/>
        </w:numPr>
        <w:ind w:leftChars="-200"/>
        <w:rPr>
          <w:rFonts w:hint="default"/>
          <w:lang w:val="en-US" w:eastAsia="zh-CN"/>
        </w:rPr>
      </w:pPr>
    </w:p>
    <w:p w14:paraId="153AD55C">
      <w:pPr>
        <w:pStyle w:val="23"/>
        <w:numPr>
          <w:ilvl w:val="0"/>
          <w:numId w:val="0"/>
        </w:numPr>
        <w:ind w:leftChars="-200"/>
        <w:rPr>
          <w:rFonts w:hint="default"/>
          <w:lang w:val="en-US" w:eastAsia="zh-CN"/>
        </w:rPr>
      </w:pPr>
    </w:p>
    <w:p w14:paraId="3F89BAAE">
      <w:pPr>
        <w:pStyle w:val="23"/>
        <w:numPr>
          <w:ilvl w:val="0"/>
          <w:numId w:val="0"/>
        </w:numPr>
        <w:ind w:leftChars="-200"/>
        <w:rPr>
          <w:rFonts w:hint="default"/>
          <w:lang w:val="en-US" w:eastAsia="zh-CN"/>
        </w:rPr>
      </w:pPr>
    </w:p>
    <w:p w14:paraId="16C1D63A">
      <w:pPr>
        <w:pStyle w:val="23"/>
        <w:numPr>
          <w:ilvl w:val="0"/>
          <w:numId w:val="0"/>
        </w:numPr>
        <w:ind w:leftChars="-200"/>
        <w:rPr>
          <w:rFonts w:hint="default"/>
          <w:lang w:val="en-US" w:eastAsia="zh-CN"/>
        </w:rPr>
      </w:pPr>
    </w:p>
    <w:p w14:paraId="5FB716A0">
      <w:pPr>
        <w:pStyle w:val="23"/>
        <w:numPr>
          <w:ilvl w:val="0"/>
          <w:numId w:val="0"/>
        </w:numPr>
        <w:ind w:leftChars="-200"/>
        <w:rPr>
          <w:rFonts w:hint="default"/>
          <w:lang w:val="en-US" w:eastAsia="zh-CN"/>
        </w:rPr>
      </w:pPr>
    </w:p>
    <w:p w14:paraId="12331265">
      <w:pPr>
        <w:pStyle w:val="23"/>
        <w:numPr>
          <w:ilvl w:val="0"/>
          <w:numId w:val="0"/>
        </w:numPr>
        <w:ind w:leftChars="-200"/>
        <w:rPr>
          <w:rFonts w:hint="default"/>
          <w:lang w:val="en-US" w:eastAsia="zh-CN"/>
        </w:rPr>
      </w:pPr>
    </w:p>
    <w:p w14:paraId="5A4CC8D7">
      <w:pPr>
        <w:pStyle w:val="23"/>
        <w:numPr>
          <w:ilvl w:val="0"/>
          <w:numId w:val="0"/>
        </w:numPr>
        <w:ind w:leftChars="-200"/>
        <w:rPr>
          <w:rFonts w:hint="default"/>
          <w:lang w:val="en-US" w:eastAsia="zh-CN"/>
        </w:rPr>
      </w:pPr>
    </w:p>
    <w:p w14:paraId="079AE110">
      <w:pPr>
        <w:pStyle w:val="23"/>
        <w:numPr>
          <w:ilvl w:val="0"/>
          <w:numId w:val="0"/>
        </w:numPr>
        <w:rPr>
          <w:rFonts w:hint="default"/>
          <w:lang w:val="en-US" w:eastAsia="zh-CN"/>
        </w:rPr>
      </w:pPr>
    </w:p>
    <w:p w14:paraId="7D81DE36">
      <w:pPr>
        <w:pStyle w:val="23"/>
        <w:numPr>
          <w:ilvl w:val="0"/>
          <w:numId w:val="0"/>
        </w:numPr>
        <w:ind w:leftChars="-200"/>
        <w:rPr>
          <w:rFonts w:hint="default"/>
          <w:lang w:val="en-US" w:eastAsia="zh-CN"/>
        </w:rPr>
      </w:pPr>
    </w:p>
    <w:p w14:paraId="54EE2453">
      <w:pPr>
        <w:spacing w:line="240" w:lineRule="atLeast"/>
        <w:ind w:left="1080" w:leftChars="257" w:hanging="540"/>
        <w:jc w:val="center"/>
        <w:outlineLvl w:val="3"/>
        <w:rPr>
          <w:rFonts w:hint="eastAsia" w:ascii="宋体" w:hAnsi="宋体" w:cs="宋体"/>
          <w:b/>
          <w:color w:val="000000"/>
          <w:sz w:val="30"/>
          <w:szCs w:val="30"/>
        </w:rPr>
      </w:pPr>
      <w:bookmarkStart w:id="99" w:name="_Toc17013"/>
      <w:r>
        <w:rPr>
          <w:rFonts w:hint="eastAsia" w:ascii="宋体" w:hAnsi="宋体" w:cs="宋体"/>
          <w:b/>
          <w:bCs/>
          <w:color w:val="000000"/>
          <w:sz w:val="28"/>
          <w:szCs w:val="28"/>
          <w:lang w:val="en-US" w:eastAsia="zh-CN"/>
        </w:rPr>
        <w:t>11.响应文件</w:t>
      </w:r>
      <w:r>
        <w:rPr>
          <w:rFonts w:hint="eastAsia" w:ascii="宋体" w:hAnsi="宋体" w:eastAsia="宋体" w:cs="宋体"/>
          <w:b/>
          <w:bCs/>
          <w:color w:val="000000"/>
          <w:sz w:val="28"/>
          <w:szCs w:val="28"/>
          <w:lang w:val="en-US" w:eastAsia="zh-CN"/>
        </w:rPr>
        <w:t>格式范本</w:t>
      </w:r>
      <w:bookmarkEnd w:id="99"/>
    </w:p>
    <w:tbl>
      <w:tblPr>
        <w:tblStyle w:val="30"/>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700BE04">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0"/>
            <w:vAlign w:val="top"/>
          </w:tcPr>
          <w:p w14:paraId="2CA72BB3">
            <w:pPr>
              <w:pStyle w:val="15"/>
              <w:tabs>
                <w:tab w:val="left" w:pos="567"/>
              </w:tabs>
              <w:rPr>
                <w:rFonts w:hint="eastAsia" w:cs="宋体"/>
                <w:b/>
                <w:bCs/>
                <w:color w:val="000000"/>
                <w:sz w:val="28"/>
                <w:szCs w:val="28"/>
                <w:lang w:val="en-US" w:eastAsia="zh-CN"/>
              </w:rPr>
            </w:pPr>
          </w:p>
          <w:p w14:paraId="710B261D">
            <w:pPr>
              <w:pStyle w:val="15"/>
              <w:tabs>
                <w:tab w:val="left" w:pos="567"/>
              </w:tabs>
              <w:rPr>
                <w:rFonts w:hint="eastAsia" w:cs="宋体"/>
                <w:b/>
                <w:bCs/>
                <w:color w:val="000000"/>
                <w:sz w:val="28"/>
                <w:szCs w:val="28"/>
                <w:lang w:val="en-US" w:eastAsia="zh-CN"/>
              </w:rPr>
            </w:pPr>
          </w:p>
          <w:p w14:paraId="719CD523">
            <w:pPr>
              <w:pStyle w:val="15"/>
              <w:tabs>
                <w:tab w:val="left" w:pos="567"/>
              </w:tabs>
              <w:ind w:firstLine="2530" w:firstLineChars="900"/>
              <w:rPr>
                <w:rFonts w:hint="eastAsia" w:ascii="仿宋" w:hAnsi="仿宋" w:eastAsia="仿宋" w:cs="宋体"/>
                <w:b/>
                <w:bCs/>
                <w:color w:val="000000"/>
                <w:sz w:val="28"/>
                <w:szCs w:val="28"/>
                <w:lang w:val="en-US" w:eastAsia="zh-CN"/>
              </w:rPr>
            </w:pPr>
          </w:p>
          <w:p w14:paraId="3FA059B5">
            <w:pPr>
              <w:pStyle w:val="15"/>
              <w:tabs>
                <w:tab w:val="left" w:pos="567"/>
              </w:tabs>
              <w:ind w:firstLine="2530" w:firstLineChars="900"/>
              <w:rPr>
                <w:rFonts w:hint="eastAsia" w:ascii="仿宋" w:hAnsi="仿宋" w:eastAsia="仿宋" w:cs="宋体"/>
                <w:b/>
                <w:bCs/>
                <w:color w:val="000000"/>
                <w:sz w:val="28"/>
                <w:szCs w:val="28"/>
                <w:lang w:val="en-US" w:eastAsia="zh-CN"/>
              </w:rPr>
            </w:pPr>
          </w:p>
          <w:p w14:paraId="23F14D44">
            <w:pPr>
              <w:pStyle w:val="15"/>
              <w:tabs>
                <w:tab w:val="left" w:pos="567"/>
              </w:tabs>
              <w:ind w:firstLine="2530" w:firstLineChars="900"/>
              <w:rPr>
                <w:rFonts w:hint="eastAsia" w:ascii="仿宋" w:hAnsi="仿宋" w:eastAsia="仿宋"/>
                <w:b/>
                <w:bCs/>
                <w:color w:val="000000"/>
                <w:sz w:val="28"/>
                <w:szCs w:val="28"/>
                <w:lang w:val="en-US" w:eastAsia="zh-CN"/>
              </w:rPr>
            </w:pPr>
            <w:r>
              <w:rPr>
                <w:rFonts w:hint="eastAsia" w:ascii="仿宋" w:hAnsi="仿宋" w:eastAsia="仿宋" w:cs="宋体"/>
                <w:b/>
                <w:bCs/>
                <w:color w:val="000000"/>
                <w:sz w:val="28"/>
                <w:szCs w:val="28"/>
                <w:lang w:val="en-US" w:eastAsia="zh-CN"/>
              </w:rPr>
              <w:t>***** *** *** *** ***   项目</w:t>
            </w:r>
          </w:p>
          <w:p w14:paraId="49BC17EE">
            <w:pPr>
              <w:pStyle w:val="15"/>
              <w:tabs>
                <w:tab w:val="left" w:pos="567"/>
              </w:tabs>
              <w:jc w:val="center"/>
              <w:rPr>
                <w:rFonts w:hint="eastAsia" w:ascii="仿宋" w:hAnsi="仿宋" w:eastAsia="仿宋"/>
                <w:b/>
                <w:bCs/>
                <w:color w:val="000000"/>
                <w:sz w:val="21"/>
                <w:szCs w:val="21"/>
                <w:lang w:val="en-US" w:eastAsia="zh-CN"/>
              </w:rPr>
            </w:pPr>
          </w:p>
          <w:p w14:paraId="3F6F0CE1">
            <w:pPr>
              <w:pStyle w:val="15"/>
              <w:tabs>
                <w:tab w:val="left" w:pos="567"/>
              </w:tabs>
              <w:ind w:firstLine="3162" w:firstLineChars="1500"/>
              <w:rPr>
                <w:rFonts w:hint="eastAsia" w:ascii="仿宋" w:hAnsi="仿宋" w:eastAsia="仿宋"/>
                <w:b/>
                <w:bCs/>
                <w:color w:val="000000"/>
                <w:sz w:val="21"/>
                <w:szCs w:val="21"/>
                <w:lang w:val="en-US" w:eastAsia="zh-CN"/>
              </w:rPr>
            </w:pPr>
          </w:p>
          <w:p w14:paraId="29B0C63E">
            <w:pPr>
              <w:pStyle w:val="15"/>
              <w:tabs>
                <w:tab w:val="left" w:pos="567"/>
              </w:tabs>
              <w:ind w:firstLine="3162" w:firstLineChars="1500"/>
              <w:rPr>
                <w:rFonts w:hint="eastAsia" w:ascii="仿宋" w:hAnsi="仿宋" w:eastAsia="仿宋"/>
                <w:b/>
                <w:bCs/>
                <w:color w:val="000000"/>
                <w:sz w:val="21"/>
                <w:szCs w:val="21"/>
                <w:lang w:val="en-US" w:eastAsia="zh-CN"/>
              </w:rPr>
            </w:pPr>
          </w:p>
          <w:p w14:paraId="4CCF612B">
            <w:pPr>
              <w:pStyle w:val="15"/>
              <w:tabs>
                <w:tab w:val="left" w:pos="567"/>
              </w:tabs>
              <w:ind w:firstLine="3584" w:firstLineChars="1700"/>
              <w:rPr>
                <w:rFonts w:ascii="仿宋" w:hAnsi="仿宋" w:eastAsia="仿宋"/>
                <w:b/>
                <w:bCs/>
                <w:color w:val="000000"/>
                <w:sz w:val="21"/>
                <w:szCs w:val="21"/>
                <w:lang w:val="en-US" w:eastAsia="zh-CN"/>
              </w:rPr>
            </w:pPr>
            <w:r>
              <w:rPr>
                <w:rFonts w:hint="eastAsia" w:ascii="仿宋" w:hAnsi="仿宋" w:eastAsia="仿宋"/>
                <w:b/>
                <w:bCs/>
                <w:color w:val="000000"/>
                <w:sz w:val="21"/>
                <w:szCs w:val="21"/>
                <w:lang w:val="en-US" w:eastAsia="zh-CN"/>
              </w:rPr>
              <w:t xml:space="preserve">项目编号：  </w:t>
            </w:r>
            <w:r>
              <w:rPr>
                <w:rFonts w:hint="eastAsia" w:ascii="仿宋" w:hAnsi="仿宋" w:eastAsia="仿宋" w:cs="宋体"/>
                <w:b/>
                <w:bCs/>
                <w:color w:val="000000"/>
                <w:sz w:val="21"/>
                <w:szCs w:val="21"/>
                <w:lang w:val="en-US" w:eastAsia="zh-CN"/>
              </w:rPr>
              <w:t xml:space="preserve">      </w:t>
            </w:r>
          </w:p>
          <w:p w14:paraId="7B330F64">
            <w:pPr>
              <w:pStyle w:val="15"/>
              <w:tabs>
                <w:tab w:val="left" w:pos="567"/>
              </w:tabs>
              <w:jc w:val="center"/>
              <w:rPr>
                <w:rFonts w:hint="eastAsia" w:ascii="仿宋" w:hAnsi="仿宋" w:eastAsia="仿宋"/>
                <w:b/>
                <w:bCs/>
                <w:color w:val="000000"/>
                <w:sz w:val="48"/>
                <w:lang w:val="en-US" w:eastAsia="zh-CN"/>
              </w:rPr>
            </w:pPr>
          </w:p>
          <w:p w14:paraId="33729B78">
            <w:pPr>
              <w:pStyle w:val="15"/>
              <w:tabs>
                <w:tab w:val="left" w:pos="567"/>
              </w:tabs>
              <w:jc w:val="center"/>
              <w:rPr>
                <w:rFonts w:hint="eastAsia" w:ascii="仿宋" w:hAnsi="仿宋" w:eastAsia="仿宋"/>
                <w:b/>
                <w:bCs/>
                <w:color w:val="000000"/>
                <w:sz w:val="48"/>
                <w:lang w:val="en-US" w:eastAsia="zh-CN"/>
              </w:rPr>
            </w:pPr>
          </w:p>
          <w:p w14:paraId="7E86C62B">
            <w:pPr>
              <w:pStyle w:val="15"/>
              <w:tabs>
                <w:tab w:val="left" w:pos="567"/>
              </w:tabs>
              <w:jc w:val="center"/>
              <w:rPr>
                <w:rFonts w:hint="eastAsia" w:ascii="仿宋" w:hAnsi="仿宋" w:eastAsia="仿宋"/>
                <w:b/>
                <w:bCs/>
                <w:color w:val="000000"/>
                <w:sz w:val="48"/>
                <w:lang w:val="en-US" w:eastAsia="zh-CN"/>
              </w:rPr>
            </w:pPr>
          </w:p>
          <w:p w14:paraId="14461BE0">
            <w:pPr>
              <w:pStyle w:val="15"/>
              <w:tabs>
                <w:tab w:val="left" w:pos="567"/>
              </w:tabs>
              <w:jc w:val="center"/>
              <w:rPr>
                <w:rFonts w:hint="eastAsia" w:ascii="仿宋" w:hAnsi="仿宋" w:eastAsia="仿宋"/>
                <w:b/>
                <w:bCs/>
                <w:color w:val="000000"/>
                <w:sz w:val="48"/>
                <w:lang w:val="en-US" w:eastAsia="zh-CN"/>
              </w:rPr>
            </w:pPr>
          </w:p>
          <w:p w14:paraId="791593FD">
            <w:pPr>
              <w:pStyle w:val="15"/>
              <w:tabs>
                <w:tab w:val="left" w:pos="567"/>
              </w:tabs>
              <w:jc w:val="center"/>
              <w:rPr>
                <w:rFonts w:hint="eastAsia" w:ascii="仿宋" w:hAnsi="仿宋" w:eastAsia="仿宋"/>
                <w:b/>
                <w:bCs/>
                <w:color w:val="000000"/>
                <w:sz w:val="48"/>
                <w:lang w:val="en-US" w:eastAsia="zh-CN"/>
              </w:rPr>
            </w:pPr>
            <w:r>
              <w:rPr>
                <w:rFonts w:hint="eastAsia" w:ascii="仿宋" w:hAnsi="仿宋" w:eastAsia="仿宋"/>
                <w:b/>
                <w:bCs/>
                <w:color w:val="000000"/>
                <w:sz w:val="48"/>
                <w:lang w:val="en-US" w:eastAsia="zh-CN"/>
              </w:rPr>
              <w:t>响  应  文  件</w:t>
            </w:r>
          </w:p>
          <w:p w14:paraId="69EB8D18">
            <w:pPr>
              <w:rPr>
                <w:rFonts w:hint="eastAsia"/>
                <w:color w:val="000000"/>
              </w:rPr>
            </w:pPr>
          </w:p>
          <w:p w14:paraId="1294C52E">
            <w:pPr>
              <w:jc w:val="center"/>
              <w:rPr>
                <w:rFonts w:ascii="仿宋" w:hAnsi="仿宋" w:eastAsia="仿宋"/>
                <w:b/>
                <w:color w:val="000000"/>
                <w:sz w:val="32"/>
              </w:rPr>
            </w:pPr>
          </w:p>
          <w:p w14:paraId="6A08B462">
            <w:pPr>
              <w:pStyle w:val="11"/>
              <w:ind w:firstLine="0"/>
              <w:rPr>
                <w:rFonts w:ascii="仿宋" w:hAnsi="仿宋" w:eastAsia="仿宋"/>
                <w:b/>
                <w:color w:val="000000"/>
                <w:sz w:val="32"/>
              </w:rPr>
            </w:pPr>
          </w:p>
          <w:p w14:paraId="1B4AA2EB">
            <w:pPr>
              <w:pStyle w:val="11"/>
              <w:rPr>
                <w:rFonts w:ascii="仿宋" w:hAnsi="仿宋" w:eastAsia="仿宋"/>
                <w:b/>
                <w:color w:val="000000"/>
                <w:sz w:val="32"/>
              </w:rPr>
            </w:pPr>
          </w:p>
          <w:p w14:paraId="7BBC7026">
            <w:pPr>
              <w:spacing w:line="360" w:lineRule="auto"/>
              <w:ind w:left="176" w:leftChars="84" w:firstLine="840" w:firstLineChars="400"/>
              <w:rPr>
                <w:rFonts w:hint="eastAsia" w:ascii="仿宋" w:hAnsi="仿宋" w:eastAsia="仿宋"/>
                <w:color w:val="000000"/>
                <w:szCs w:val="21"/>
                <w:lang w:val="en-US" w:eastAsia="zh-CN"/>
              </w:rPr>
            </w:pPr>
          </w:p>
          <w:p w14:paraId="5AF4D1E7">
            <w:pPr>
              <w:spacing w:line="360" w:lineRule="auto"/>
              <w:ind w:left="176" w:leftChars="84" w:firstLine="840" w:firstLineChars="400"/>
              <w:rPr>
                <w:rFonts w:hint="eastAsia" w:ascii="仿宋" w:hAnsi="仿宋" w:eastAsia="仿宋"/>
                <w:color w:val="000000"/>
                <w:szCs w:val="21"/>
                <w:lang w:val="en-US" w:eastAsia="zh-CN"/>
              </w:rPr>
            </w:pPr>
          </w:p>
          <w:p w14:paraId="27171EDE">
            <w:pPr>
              <w:spacing w:line="360" w:lineRule="auto"/>
              <w:ind w:left="176" w:leftChars="84" w:firstLine="840" w:firstLineChars="400"/>
              <w:rPr>
                <w:rFonts w:hint="eastAsia" w:ascii="仿宋" w:hAnsi="仿宋" w:eastAsia="仿宋"/>
                <w:color w:val="000000"/>
                <w:szCs w:val="21"/>
                <w:lang w:val="en-US" w:eastAsia="zh-CN"/>
              </w:rPr>
            </w:pPr>
          </w:p>
          <w:p w14:paraId="1F17920C">
            <w:pPr>
              <w:spacing w:line="360" w:lineRule="auto"/>
              <w:ind w:left="176" w:leftChars="84" w:firstLine="840" w:firstLineChars="400"/>
              <w:rPr>
                <w:rFonts w:hint="eastAsia" w:ascii="仿宋" w:hAnsi="仿宋" w:eastAsia="仿宋"/>
                <w:color w:val="000000"/>
                <w:szCs w:val="21"/>
                <w:lang w:val="en-US" w:eastAsia="zh-CN"/>
              </w:rPr>
            </w:pPr>
          </w:p>
          <w:p w14:paraId="7C61BC42">
            <w:pPr>
              <w:spacing w:line="360" w:lineRule="auto"/>
              <w:ind w:left="176" w:leftChars="84" w:firstLine="840" w:firstLineChars="400"/>
              <w:rPr>
                <w:rFonts w:hint="eastAsia" w:ascii="仿宋" w:hAnsi="仿宋" w:eastAsia="仿宋"/>
                <w:color w:val="000000"/>
                <w:szCs w:val="21"/>
              </w:rPr>
            </w:pPr>
            <w:r>
              <w:rPr>
                <w:rFonts w:hint="eastAsia" w:ascii="仿宋" w:hAnsi="仿宋" w:eastAsia="仿宋"/>
                <w:color w:val="000000"/>
                <w:szCs w:val="21"/>
                <w:lang w:val="en-US" w:eastAsia="zh-CN"/>
              </w:rPr>
              <w:t>供应商名称</w:t>
            </w:r>
            <w:r>
              <w:rPr>
                <w:rFonts w:ascii="仿宋" w:hAnsi="仿宋" w:eastAsia="仿宋"/>
                <w:color w:val="000000"/>
                <w:szCs w:val="21"/>
              </w:rPr>
              <w:t>：</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r>
              <w:rPr>
                <w:rFonts w:hint="eastAsia" w:ascii="仿宋" w:hAnsi="仿宋" w:eastAsia="仿宋"/>
                <w:color w:val="000000"/>
                <w:szCs w:val="21"/>
              </w:rPr>
              <w:t>（公章）</w:t>
            </w:r>
          </w:p>
          <w:p w14:paraId="34534103">
            <w:pPr>
              <w:spacing w:line="360" w:lineRule="auto"/>
              <w:ind w:left="176" w:leftChars="84" w:firstLine="840" w:firstLineChars="400"/>
              <w:rPr>
                <w:rFonts w:hint="eastAsia" w:ascii="仿宋" w:hAnsi="仿宋" w:eastAsia="仿宋"/>
                <w:color w:val="000000"/>
                <w:szCs w:val="21"/>
                <w:u w:val="single"/>
              </w:rPr>
            </w:pPr>
            <w:r>
              <w:rPr>
                <w:rFonts w:hint="eastAsia" w:ascii="仿宋" w:hAnsi="仿宋" w:eastAsia="仿宋"/>
                <w:color w:val="000000"/>
                <w:szCs w:val="21"/>
              </w:rPr>
              <w:t>联 系 人：</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r>
              <w:rPr>
                <w:rFonts w:hint="eastAsia" w:ascii="仿宋" w:hAnsi="仿宋" w:eastAsia="仿宋"/>
                <w:color w:val="000000"/>
                <w:szCs w:val="21"/>
              </w:rPr>
              <w:t>（</w:t>
            </w:r>
            <w:r>
              <w:rPr>
                <w:rFonts w:hint="eastAsia" w:ascii="仿宋" w:hAnsi="仿宋" w:eastAsia="仿宋"/>
                <w:color w:val="000000"/>
                <w:szCs w:val="21"/>
                <w:lang w:val="en-US" w:eastAsia="zh-CN"/>
              </w:rPr>
              <w:t>法人</w:t>
            </w:r>
            <w:r>
              <w:rPr>
                <w:rFonts w:hint="eastAsia" w:ascii="仿宋" w:hAnsi="仿宋" w:eastAsia="仿宋"/>
                <w:color w:val="000000"/>
                <w:szCs w:val="21"/>
              </w:rPr>
              <w:t>签字</w:t>
            </w:r>
            <w:r>
              <w:rPr>
                <w:rFonts w:hint="eastAsia" w:ascii="仿宋" w:hAnsi="仿宋" w:eastAsia="仿宋"/>
                <w:color w:val="000000"/>
                <w:szCs w:val="21"/>
                <w:lang w:val="en-US" w:eastAsia="zh-CN"/>
              </w:rPr>
              <w:t>并盖章</w:t>
            </w:r>
            <w:r>
              <w:rPr>
                <w:rFonts w:hint="eastAsia" w:ascii="仿宋" w:hAnsi="仿宋" w:eastAsia="仿宋"/>
                <w:color w:val="000000"/>
                <w:szCs w:val="21"/>
              </w:rPr>
              <w:t>）</w:t>
            </w:r>
          </w:p>
          <w:p w14:paraId="74B01F02">
            <w:pPr>
              <w:spacing w:line="360" w:lineRule="auto"/>
              <w:ind w:left="176" w:leftChars="84" w:firstLine="840" w:firstLineChars="400"/>
              <w:rPr>
                <w:rFonts w:hint="eastAsia" w:ascii="仿宋" w:hAnsi="仿宋" w:eastAsia="仿宋"/>
                <w:color w:val="000000"/>
                <w:szCs w:val="21"/>
              </w:rPr>
            </w:pPr>
            <w:r>
              <w:rPr>
                <w:rFonts w:hint="eastAsia" w:ascii="仿宋" w:hAnsi="仿宋" w:eastAsia="仿宋"/>
                <w:color w:val="000000"/>
                <w:szCs w:val="21"/>
              </w:rPr>
              <w:t>电    话：</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p>
          <w:p w14:paraId="18270A59">
            <w:pPr>
              <w:spacing w:line="360" w:lineRule="auto"/>
              <w:ind w:left="176" w:leftChars="84" w:firstLine="840" w:firstLineChars="400"/>
              <w:rPr>
                <w:rFonts w:hint="default" w:ascii="仿宋" w:hAnsi="仿宋" w:eastAsia="仿宋"/>
                <w:color w:val="000000"/>
                <w:szCs w:val="21"/>
                <w:u w:val="single"/>
                <w:lang w:val="en-US" w:eastAsia="zh-CN"/>
              </w:rPr>
            </w:pPr>
            <w:r>
              <w:rPr>
                <w:rFonts w:hint="eastAsia" w:ascii="仿宋" w:hAnsi="仿宋" w:eastAsia="仿宋"/>
                <w:color w:val="000000"/>
                <w:szCs w:val="21"/>
              </w:rPr>
              <w:t>地    址</w:t>
            </w:r>
            <w:r>
              <w:rPr>
                <w:rFonts w:hint="eastAsia" w:ascii="仿宋" w:hAnsi="仿宋" w:eastAsia="仿宋"/>
                <w:color w:val="000000"/>
                <w:szCs w:val="21"/>
                <w:lang w:eastAsia="zh-CN"/>
              </w:rPr>
              <w:t>；</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p>
          <w:p w14:paraId="35DEC351">
            <w:pPr>
              <w:jc w:val="both"/>
              <w:rPr>
                <w:rFonts w:hint="eastAsia" w:ascii="仿宋" w:hAnsi="仿宋" w:eastAsia="仿宋"/>
                <w:b/>
                <w:bCs/>
                <w:color w:val="000000"/>
              </w:rPr>
            </w:pPr>
          </w:p>
          <w:p w14:paraId="0F5FDBEA">
            <w:pPr>
              <w:jc w:val="both"/>
              <w:rPr>
                <w:rFonts w:hint="eastAsia" w:ascii="宋体" w:hAnsi="宋体"/>
                <w:b/>
                <w:bCs/>
                <w:color w:val="000000"/>
              </w:rPr>
            </w:pPr>
          </w:p>
        </w:tc>
      </w:tr>
    </w:tbl>
    <w:p w14:paraId="510E104C">
      <w:pPr>
        <w:pStyle w:val="23"/>
        <w:numPr>
          <w:ilvl w:val="0"/>
          <w:numId w:val="0"/>
        </w:numPr>
        <w:rPr>
          <w:rFonts w:hint="default"/>
          <w:lang w:val="en-US" w:eastAsia="zh-CN"/>
        </w:rPr>
      </w:pPr>
    </w:p>
    <w:p w14:paraId="608EB4F1">
      <w:pPr>
        <w:pStyle w:val="23"/>
        <w:numPr>
          <w:ilvl w:val="0"/>
          <w:numId w:val="0"/>
        </w:numPr>
        <w:rPr>
          <w:rFonts w:hint="default"/>
          <w:lang w:val="en-US" w:eastAsia="zh-CN"/>
        </w:rPr>
      </w:pPr>
    </w:p>
    <w:p w14:paraId="5115204A">
      <w:pPr>
        <w:pStyle w:val="23"/>
        <w:numPr>
          <w:ilvl w:val="0"/>
          <w:numId w:val="0"/>
        </w:numPr>
        <w:rPr>
          <w:rFonts w:hint="default"/>
          <w:lang w:val="en-US" w:eastAsia="zh-CN"/>
        </w:rPr>
      </w:pPr>
    </w:p>
    <w:p w14:paraId="13034F0C">
      <w:pPr>
        <w:pStyle w:val="23"/>
        <w:numPr>
          <w:ilvl w:val="0"/>
          <w:numId w:val="0"/>
        </w:numPr>
        <w:rPr>
          <w:rFonts w:hint="default"/>
          <w:lang w:val="en-US" w:eastAsia="zh-CN"/>
        </w:rPr>
      </w:pPr>
    </w:p>
    <w:p w14:paraId="5F142432">
      <w:pPr>
        <w:pStyle w:val="23"/>
        <w:numPr>
          <w:ilvl w:val="0"/>
          <w:numId w:val="0"/>
        </w:numPr>
        <w:rPr>
          <w:rFonts w:hint="default"/>
          <w:lang w:val="en-US" w:eastAsia="zh-CN"/>
        </w:rPr>
      </w:pPr>
    </w:p>
    <w:p w14:paraId="1686168E">
      <w:pPr>
        <w:pStyle w:val="23"/>
        <w:numPr>
          <w:ilvl w:val="0"/>
          <w:numId w:val="0"/>
        </w:numPr>
        <w:rPr>
          <w:rFonts w:hint="default"/>
          <w:lang w:val="en-US" w:eastAsia="zh-CN"/>
        </w:rPr>
      </w:pPr>
    </w:p>
    <w:p w14:paraId="7BC84BEB">
      <w:pPr>
        <w:pStyle w:val="23"/>
        <w:numPr>
          <w:ilvl w:val="0"/>
          <w:numId w:val="0"/>
        </w:numPr>
        <w:jc w:val="both"/>
        <w:rPr>
          <w:rFonts w:hint="eastAsia" w:ascii="宋体" w:hAnsi="宋体" w:eastAsia="宋体" w:cs="宋体"/>
          <w:sz w:val="36"/>
          <w:szCs w:val="36"/>
          <w:lang w:val="en-US" w:eastAsia="zh-CN"/>
        </w:rPr>
      </w:pPr>
    </w:p>
    <w:p w14:paraId="00FE7414">
      <w:pPr>
        <w:pStyle w:val="23"/>
        <w:numPr>
          <w:ilvl w:val="0"/>
          <w:numId w:val="10"/>
        </w:numPr>
        <w:jc w:val="center"/>
        <w:outlineLvl w:val="1"/>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磋商邀请</w:t>
      </w:r>
    </w:p>
    <w:p w14:paraId="12988834">
      <w:pPr>
        <w:pStyle w:val="23"/>
        <w:numPr>
          <w:ilvl w:val="0"/>
          <w:numId w:val="0"/>
        </w:numPr>
        <w:ind w:leftChars="-200"/>
        <w:jc w:val="both"/>
        <w:rPr>
          <w:rFonts w:hint="eastAsia" w:ascii="宋体" w:hAnsi="宋体" w:eastAsia="宋体" w:cs="宋体"/>
          <w:sz w:val="32"/>
          <w:szCs w:val="32"/>
          <w:lang w:val="en-US" w:eastAsia="zh-CN"/>
        </w:rPr>
      </w:pPr>
    </w:p>
    <w:p w14:paraId="5B35182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pacing w:val="4"/>
          <w:sz w:val="28"/>
          <w:szCs w:val="28"/>
          <w:lang w:val="en-US" w:eastAsia="zh-CN"/>
        </w:rPr>
      </w:pPr>
      <w:r>
        <w:rPr>
          <w:rFonts w:hint="eastAsia" w:ascii="宋体" w:hAnsi="宋体" w:eastAsia="宋体" w:cs="宋体"/>
          <w:b w:val="0"/>
          <w:bCs w:val="0"/>
          <w:spacing w:val="4"/>
          <w:sz w:val="28"/>
          <w:szCs w:val="28"/>
          <w:lang w:val="en-US" w:eastAsia="zh-CN"/>
        </w:rPr>
        <w:t>莎车县2026年中小学办学条件改善项目-设计服务（初步设计、施工图设计）竞争性磋商公告</w:t>
      </w:r>
    </w:p>
    <w:p w14:paraId="4C835F4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pacing w:val="4"/>
          <w:sz w:val="28"/>
          <w:szCs w:val="28"/>
          <w:lang w:val="en-US" w:eastAsia="zh-CN"/>
        </w:rPr>
      </w:pPr>
    </w:p>
    <w:p w14:paraId="0BA45B7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pacing w:val="4"/>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-312420</wp:posOffset>
                </wp:positionH>
                <wp:positionV relativeFrom="paragraph">
                  <wp:posOffset>71755</wp:posOffset>
                </wp:positionV>
                <wp:extent cx="5815965" cy="921385"/>
                <wp:effectExtent l="5080" t="5080" r="8255" b="13335"/>
                <wp:wrapNone/>
                <wp:docPr id="1" name="文本框 1"/>
                <wp:cNvGraphicFramePr/>
                <a:graphic xmlns:a="http://schemas.openxmlformats.org/drawingml/2006/main">
                  <a:graphicData uri="http://schemas.microsoft.com/office/word/2010/wordprocessingShape">
                    <wps:wsp>
                      <wps:cNvSpPr txBox="1"/>
                      <wps:spPr>
                        <a:xfrm>
                          <a:off x="633730" y="1287145"/>
                          <a:ext cx="5815965" cy="921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207030">
                            <w:pPr>
                              <w:keepNext w:val="0"/>
                              <w:keepLines w:val="0"/>
                              <w:pageBreakBefore w:val="0"/>
                              <w:widowControl/>
                              <w:kinsoku w:val="0"/>
                              <w:wordWrap/>
                              <w:overflowPunct/>
                              <w:topLinePunct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3F5DEA95">
                            <w:pPr>
                              <w:keepNext w:val="0"/>
                              <w:keepLines w:val="0"/>
                              <w:pageBreakBefore w:val="0"/>
                              <w:widowControl/>
                              <w:kinsoku w:val="0"/>
                              <w:wordWrap/>
                              <w:overflowPunct/>
                              <w:topLinePunct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莎车县2026年中小学办学条件改善项目-设计服务的潜在供应商应在线上获取采购文件，并于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5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7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0时（北京时间）前提交响应文件。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pt;margin-top:5.65pt;height:72.55pt;width:457.95pt;z-index:251668480;mso-width-relative:page;mso-height-relative:page;" fillcolor="#FFFFFF [3201]" filled="t" stroked="t" coordsize="21600,21600" o:gfxdata="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6za2vXAAAACgEAAA8AAAAAAAAAAQAgAAAAIgAAAGRycy9kb3ducmV2LnhtbFBLAQIUABQA&#10;AAAIAIdO4kA1Wn0NYwIAAMIEAAAOAAAAAAAAAAEAIAAAACYBAABkcnMvZTJvRG9jLnhtbFBLBQYA&#10;AAAABgAGAFkBAAD7BQAAAAA=&#10;">
                <v:fill on="t" focussize="0,0"/>
                <v:stroke weight="0.5pt" color="#000000 [3204]" joinstyle="round"/>
                <v:imagedata o:title=""/>
                <o:lock v:ext="edit" aspectratio="f"/>
                <v:textbox>
                  <w:txbxContent>
                    <w:p w14:paraId="31207030">
                      <w:pPr>
                        <w:keepNext w:val="0"/>
                        <w:keepLines w:val="0"/>
                        <w:pageBreakBefore w:val="0"/>
                        <w:widowControl/>
                        <w:kinsoku w:val="0"/>
                        <w:wordWrap/>
                        <w:overflowPunct/>
                        <w:topLinePunct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3F5DEA95">
                      <w:pPr>
                        <w:keepNext w:val="0"/>
                        <w:keepLines w:val="0"/>
                        <w:pageBreakBefore w:val="0"/>
                        <w:widowControl/>
                        <w:kinsoku w:val="0"/>
                        <w:wordWrap/>
                        <w:overflowPunct/>
                        <w:topLinePunct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莎车县2026年中小学办学条件改善项目-设计服务的潜在供应商应在线上获取采购文件，并于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5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7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0时（北京时间）前提交响应文件。</w:t>
                      </w:r>
                    </w:p>
                  </w:txbxContent>
                </v:textbox>
              </v:shape>
            </w:pict>
          </mc:Fallback>
        </mc:AlternateContent>
      </w:r>
    </w:p>
    <w:p w14:paraId="36FA657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pacing w:val="4"/>
          <w:sz w:val="21"/>
          <w:szCs w:val="21"/>
          <w:lang w:val="en-US" w:eastAsia="zh-CN"/>
        </w:rPr>
      </w:pPr>
    </w:p>
    <w:p w14:paraId="751590B1">
      <w:pPr>
        <w:pStyle w:val="2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 w:val="0"/>
          <w:bCs w:val="0"/>
          <w:spacing w:val="4"/>
          <w:sz w:val="21"/>
          <w:szCs w:val="21"/>
          <w:lang w:val="en-US" w:eastAsia="zh-CN"/>
        </w:rPr>
      </w:pPr>
    </w:p>
    <w:p w14:paraId="44BFC0E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p>
    <w:p w14:paraId="29A4CBD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p>
    <w:p w14:paraId="62AC1B23">
      <w:pPr>
        <w:pStyle w:val="2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项目基本情况</w:t>
      </w:r>
    </w:p>
    <w:p w14:paraId="451A44A4">
      <w:pPr>
        <w:pStyle w:val="2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 xml:space="preserve">项目编号：XJZHKSCG(2026)009 </w:t>
      </w:r>
    </w:p>
    <w:p w14:paraId="3DD3627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项目名称：莎车县2026年中小学办学条件改善项目-设计服务（初步设计、施工图设计）</w:t>
      </w:r>
    </w:p>
    <w:p w14:paraId="19531A9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采购方式：竞争性磋商</w:t>
      </w:r>
    </w:p>
    <w:p w14:paraId="6603969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预算金额（元）：630000</w:t>
      </w:r>
    </w:p>
    <w:p w14:paraId="41D17B4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最高限价（元）：630000</w:t>
      </w:r>
    </w:p>
    <w:p w14:paraId="1BC6190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采购需求：</w:t>
      </w:r>
    </w:p>
    <w:p w14:paraId="1546D93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标项一</w:t>
      </w:r>
    </w:p>
    <w:p w14:paraId="04D9EF8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52" w:firstLineChars="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标项名称:莎车县2026年中小学办学条件改善项目-设计服务（初步设计、施工图设计）</w:t>
      </w:r>
    </w:p>
    <w:p w14:paraId="2CB1BC5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52"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数量:1</w:t>
      </w:r>
    </w:p>
    <w:p w14:paraId="14F31BE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 xml:space="preserve">    预算金额（元）:630000</w:t>
      </w:r>
    </w:p>
    <w:p w14:paraId="750A8FD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简要规格描述或项目基本概况介绍、用途：对全县40所中小学进行室内外消防设施完善、食堂改造、室内外地面硬化等提升改造。对本项目进行工程设计咨询服务，包括：初步设计、施工图设计，同时按照《工程勘察设计管理条例》规定的所有后期服务工作。</w:t>
      </w:r>
    </w:p>
    <w:p w14:paraId="2F86DA2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备注：无</w:t>
      </w:r>
    </w:p>
    <w:p w14:paraId="4A3EA0D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合同履约期限：设计合同签订后45日历天内提交所有成果文件并完成施工图审查；服务周期从合同签订之日起至配合发包人通过消防专项验收及项目验收之日止。</w:t>
      </w:r>
    </w:p>
    <w:p w14:paraId="0F63532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本项目（否）接受联合体投标。</w:t>
      </w:r>
    </w:p>
    <w:p w14:paraId="252214D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二、申请人的资格要求：</w:t>
      </w:r>
    </w:p>
    <w:p w14:paraId="23C3641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1.满足《中华人民共和国政府采购法》第二十二条规定；</w:t>
      </w:r>
    </w:p>
    <w:p w14:paraId="061418D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2.落实政府采购政策需满足的资格要求：专门面向中小企业采购。</w:t>
      </w:r>
    </w:p>
    <w:p w14:paraId="23BD88B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outlineLvl w:val="9"/>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 xml:space="preserve">3.本项目的特定资格要求：供应商须具备工程设计【建筑行业（建筑工程）专业】乙级(含)以上资质；项目负责人具备一级注册建筑工程师或相关专业高级（含）以上职称； </w:t>
      </w:r>
    </w:p>
    <w:p w14:paraId="73DE884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三、获取磋商文件</w:t>
      </w:r>
    </w:p>
    <w:p w14:paraId="5F29D6C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时间：2026年04月27日至2026年05月06日，每天上午00:00至14:00，下午14:00至23:59（北京时间，法定节假日除外）</w:t>
      </w:r>
    </w:p>
    <w:p w14:paraId="3DBB323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地点：政采云平台（https://login.zcygov.cn/user-login/#/login）</w:t>
      </w:r>
    </w:p>
    <w:p w14:paraId="5031E45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14:paraId="27CEC61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售价（元）：0</w:t>
      </w:r>
    </w:p>
    <w:p w14:paraId="3B5DBFB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四、提交响应文件截止时间、开标时间和地点</w:t>
      </w:r>
    </w:p>
    <w:p w14:paraId="58AF81B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提交响应文件截止时间：2026年5月7日16:00（北京时间）</w:t>
      </w:r>
    </w:p>
    <w:p w14:paraId="36ABD07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投标地点：请登录政采云投标客户端投标</w:t>
      </w:r>
    </w:p>
    <w:p w14:paraId="7455D4F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开标时间：2026年5月7日16:00（北京时间）</w:t>
      </w:r>
    </w:p>
    <w:p w14:paraId="65B2AD1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36" w:firstLineChars="2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开标地点：供应商登录政采云平台https://www.zcygov.cn/，进入“项目采购-开标评标-右边选择对应项目点击“进入项目”进入开标大厅。</w:t>
      </w:r>
    </w:p>
    <w:p w14:paraId="3075CB3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五、公告期限</w:t>
      </w:r>
    </w:p>
    <w:p w14:paraId="79875D9B">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自本公告发布之日起5个工作日。</w:t>
      </w:r>
    </w:p>
    <w:p w14:paraId="70AF87F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六、其他补充事宜</w:t>
      </w:r>
    </w:p>
    <w:p w14:paraId="0E344A0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二楼企业服务专区数字证书窗口，联系电话15001465669）。</w:t>
      </w:r>
    </w:p>
    <w:p w14:paraId="5157129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2.本项目实行网上投标，采用电子响应文件(供应商须使用CA加密设备通过政采云电子投标客户端制作响应文件)。若供应商参与投标，自行承担投标一切费用。</w:t>
      </w:r>
    </w:p>
    <w:p w14:paraId="0058BECB">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54F6F6D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3564C89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5.供应商在开标时须使用制作加密电子响应文件所使用的CA锁及电脑，电脑须提前配置好浏览器（建议使用谷歌浏览器），以便开标时解锁。</w:t>
      </w:r>
    </w:p>
    <w:p w14:paraId="665D014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D70481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E9E76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特别提示：</w:t>
      </w:r>
    </w:p>
    <w:p w14:paraId="635DCE3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1、采购限额标准以上，200万元以下的货物和服务采购项目、400万元以下的工程采购项目，适宜由中小企业提供的，采购人应当专门面向中小企业采购。</w:t>
      </w:r>
    </w:p>
    <w:p w14:paraId="1E13F8C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2、超过200万元的货物和服务采购项目，预留该部分采购项目预算总额的30%以上专门面向中小企业采购，其中预留给小微企业的比例不低于60%。</w:t>
      </w:r>
    </w:p>
    <w:p w14:paraId="7F4F64C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3、超过400万元的工程采购项目中适宜由中小企业提供的，预留该部分采购项目预算总额的40%以上专门面向中小企业采购，其中预留给小微企业的比例不低于60%。</w:t>
      </w:r>
    </w:p>
    <w:p w14:paraId="31F2DF9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3E42D9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87B870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七、对本次采购提出询问，请按以下方式联系</w:t>
      </w:r>
    </w:p>
    <w:p w14:paraId="77F88EF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18" w:firstLineChars="10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1.采购人信息</w:t>
      </w:r>
    </w:p>
    <w:p w14:paraId="1B0B7A7E">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名 称：莎车县教育局</w:t>
      </w:r>
    </w:p>
    <w:p w14:paraId="26D0001B">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地 址：喀什地区莎车县其乃巴格路8号</w:t>
      </w:r>
    </w:p>
    <w:p w14:paraId="2DA3B90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联系方式：0998-8512598</w:t>
      </w:r>
    </w:p>
    <w:p w14:paraId="4BED94B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2.采购代理机构信息</w:t>
      </w:r>
    </w:p>
    <w:p w14:paraId="4AE35A2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名 称：新疆正昊建设工程项目管理有限公司</w:t>
      </w:r>
    </w:p>
    <w:p w14:paraId="673636E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地 址：喀什市托克扎克路103号1栋3单元301室</w:t>
      </w:r>
    </w:p>
    <w:p w14:paraId="269CF55E">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联系方式：15569403261</w:t>
      </w:r>
    </w:p>
    <w:p w14:paraId="73EC412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outlineLvl w:val="9"/>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3.项目联系方式</w:t>
      </w:r>
    </w:p>
    <w:p w14:paraId="7D4C69C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项目联系人：张俊</w:t>
      </w:r>
    </w:p>
    <w:p w14:paraId="07032DEB">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电 话：15569403261</w:t>
      </w:r>
    </w:p>
    <w:p w14:paraId="61FD4D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outlineLvl w:val="1"/>
        <w:rPr>
          <w:rFonts w:hint="eastAsia" w:ascii="宋体" w:hAnsi="宋体" w:eastAsia="宋体" w:cs="宋体"/>
          <w:sz w:val="32"/>
          <w:szCs w:val="32"/>
        </w:rPr>
      </w:pPr>
    </w:p>
    <w:p w14:paraId="328C7045">
      <w:pPr>
        <w:pStyle w:val="11"/>
        <w:rPr>
          <w:rFonts w:hint="eastAsia" w:ascii="宋体" w:hAnsi="宋体" w:eastAsia="宋体" w:cs="宋体"/>
          <w:sz w:val="32"/>
          <w:szCs w:val="32"/>
        </w:rPr>
      </w:pPr>
    </w:p>
    <w:p w14:paraId="5BAA2C7C">
      <w:pPr>
        <w:rPr>
          <w:rFonts w:hint="eastAsia" w:ascii="宋体" w:hAnsi="宋体" w:eastAsia="宋体" w:cs="宋体"/>
          <w:sz w:val="32"/>
          <w:szCs w:val="32"/>
        </w:rPr>
      </w:pPr>
    </w:p>
    <w:p w14:paraId="354BB71E">
      <w:pPr>
        <w:rPr>
          <w:rFonts w:hint="eastAsia" w:ascii="宋体" w:hAnsi="宋体" w:eastAsia="宋体" w:cs="宋体"/>
          <w:sz w:val="32"/>
          <w:szCs w:val="32"/>
        </w:rPr>
      </w:pPr>
    </w:p>
    <w:p w14:paraId="01D5B9DA">
      <w:pPr>
        <w:rPr>
          <w:rFonts w:hint="eastAsia" w:ascii="宋体" w:hAnsi="宋体" w:eastAsia="宋体" w:cs="宋体"/>
          <w:sz w:val="32"/>
          <w:szCs w:val="32"/>
        </w:rPr>
      </w:pPr>
    </w:p>
    <w:p w14:paraId="5C2D1494">
      <w:pPr>
        <w:rPr>
          <w:rFonts w:hint="eastAsia" w:ascii="宋体" w:hAnsi="宋体" w:eastAsia="宋体" w:cs="宋体"/>
          <w:sz w:val="32"/>
          <w:szCs w:val="32"/>
        </w:rPr>
      </w:pPr>
    </w:p>
    <w:p w14:paraId="6EB72745">
      <w:pPr>
        <w:rPr>
          <w:rFonts w:hint="eastAsia" w:ascii="宋体" w:hAnsi="宋体" w:eastAsia="宋体" w:cs="宋体"/>
          <w:sz w:val="32"/>
          <w:szCs w:val="32"/>
        </w:rPr>
      </w:pPr>
    </w:p>
    <w:p w14:paraId="610BFD2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640" w:leftChars="0" w:hanging="640" w:hangingChars="200"/>
        <w:jc w:val="center"/>
        <w:textAlignment w:val="baseline"/>
        <w:outlineLvl w:val="1"/>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bookmarkStart w:id="100" w:name="_Toc3857"/>
      <w:r>
        <w:rPr>
          <w:rFonts w:hint="eastAsia" w:ascii="宋体" w:hAnsi="宋体" w:eastAsia="宋体" w:cs="宋体"/>
          <w:sz w:val="32"/>
          <w:szCs w:val="32"/>
          <w:lang w:eastAsia="zh-CN"/>
        </w:rPr>
        <w:t>供应商</w:t>
      </w:r>
      <w:r>
        <w:rPr>
          <w:rFonts w:hint="eastAsia" w:ascii="宋体" w:hAnsi="宋体" w:eastAsia="宋体" w:cs="宋体"/>
          <w:sz w:val="32"/>
          <w:szCs w:val="32"/>
        </w:rPr>
        <w:t>须知资料表</w:t>
      </w:r>
      <w:bookmarkEnd w:id="100"/>
    </w:p>
    <w:p w14:paraId="5BFB4A84">
      <w:pPr>
        <w:pStyle w:val="15"/>
        <w:spacing w:before="72" w:line="226" w:lineRule="auto"/>
        <w:ind w:left="52" w:firstLine="439"/>
        <w:rPr>
          <w:rFonts w:hint="eastAsia" w:ascii="宋体" w:hAnsi="宋体" w:eastAsia="宋体" w:cs="宋体"/>
          <w:sz w:val="24"/>
          <w:szCs w:val="24"/>
        </w:rPr>
      </w:pPr>
      <w:r>
        <w:rPr>
          <w:rFonts w:hint="eastAsia" w:ascii="宋体" w:hAnsi="宋体" w:eastAsia="宋体" w:cs="宋体"/>
          <w:spacing w:val="-2"/>
          <w:sz w:val="22"/>
          <w:szCs w:val="22"/>
        </w:rPr>
        <w:t>本表是本招标项目的具体资料，是对</w:t>
      </w:r>
      <w:r>
        <w:rPr>
          <w:rFonts w:hint="eastAsia" w:cs="宋体"/>
          <w:spacing w:val="-2"/>
          <w:sz w:val="22"/>
          <w:szCs w:val="22"/>
          <w:lang w:eastAsia="zh-CN"/>
        </w:rPr>
        <w:t>供应商</w:t>
      </w:r>
      <w:r>
        <w:rPr>
          <w:rFonts w:hint="eastAsia" w:ascii="宋体" w:hAnsi="宋体" w:eastAsia="宋体" w:cs="宋体"/>
          <w:spacing w:val="-2"/>
          <w:sz w:val="22"/>
          <w:szCs w:val="22"/>
        </w:rPr>
        <w:t>须知的具体补充和</w:t>
      </w:r>
      <w:r>
        <w:rPr>
          <w:rFonts w:hint="eastAsia" w:ascii="宋体" w:hAnsi="宋体" w:eastAsia="宋体" w:cs="宋体"/>
          <w:spacing w:val="-3"/>
          <w:sz w:val="22"/>
          <w:szCs w:val="22"/>
        </w:rPr>
        <w:t>修改，如有矛盾，应以</w:t>
      </w:r>
      <w:r>
        <w:rPr>
          <w:rFonts w:hint="eastAsia" w:ascii="宋体" w:hAnsi="宋体" w:eastAsia="宋体" w:cs="宋体"/>
          <w:spacing w:val="-4"/>
          <w:sz w:val="22"/>
          <w:szCs w:val="22"/>
        </w:rPr>
        <w:t>本资料表为准。</w:t>
      </w:r>
    </w:p>
    <w:tbl>
      <w:tblPr>
        <w:tblStyle w:val="39"/>
        <w:tblW w:w="87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7346"/>
      </w:tblGrid>
      <w:tr w14:paraId="53D8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382" w:type="dxa"/>
            <w:tcBorders>
              <w:top w:val="single" w:color="000000" w:sz="10" w:space="0"/>
              <w:left w:val="single" w:color="000000" w:sz="10" w:space="0"/>
            </w:tcBorders>
            <w:vAlign w:val="top"/>
          </w:tcPr>
          <w:p w14:paraId="437E9E7D">
            <w:pPr>
              <w:spacing w:before="115" w:line="227" w:lineRule="auto"/>
              <w:ind w:firstLine="252" w:firstLineChars="100"/>
              <w:rPr>
                <w:rFonts w:hint="eastAsia" w:ascii="宋体" w:hAnsi="宋体" w:eastAsia="宋体" w:cs="宋体"/>
                <w:sz w:val="24"/>
                <w:szCs w:val="24"/>
              </w:rPr>
            </w:pPr>
            <w:r>
              <w:rPr>
                <w:rFonts w:hint="eastAsia" w:ascii="宋体" w:hAnsi="宋体" w:eastAsia="宋体" w:cs="宋体"/>
                <w:spacing w:val="6"/>
                <w:sz w:val="24"/>
                <w:szCs w:val="24"/>
              </w:rPr>
              <w:t>条款号</w:t>
            </w:r>
          </w:p>
        </w:tc>
        <w:tc>
          <w:tcPr>
            <w:tcW w:w="7346" w:type="dxa"/>
            <w:tcBorders>
              <w:top w:val="single" w:color="000000" w:sz="10" w:space="0"/>
              <w:right w:val="single" w:color="000000" w:sz="10" w:space="0"/>
            </w:tcBorders>
            <w:vAlign w:val="top"/>
          </w:tcPr>
          <w:p w14:paraId="4AAB5A55">
            <w:pPr>
              <w:spacing w:before="115" w:line="227" w:lineRule="auto"/>
              <w:ind w:left="592"/>
              <w:jc w:val="center"/>
              <w:rPr>
                <w:rFonts w:hint="eastAsia" w:ascii="宋体" w:hAnsi="宋体" w:eastAsia="宋体" w:cs="宋体"/>
                <w:sz w:val="24"/>
                <w:szCs w:val="24"/>
              </w:rPr>
            </w:pPr>
            <w:r>
              <w:rPr>
                <w:rFonts w:hint="eastAsia" w:ascii="宋体" w:hAnsi="宋体" w:eastAsia="宋体" w:cs="宋体"/>
                <w:b/>
                <w:bCs/>
                <w:spacing w:val="-17"/>
                <w:sz w:val="24"/>
                <w:szCs w:val="24"/>
              </w:rPr>
              <w:t>内</w:t>
            </w:r>
            <w:r>
              <w:rPr>
                <w:rFonts w:hint="eastAsia" w:ascii="宋体" w:hAnsi="宋体" w:eastAsia="宋体" w:cs="宋体"/>
                <w:spacing w:val="7"/>
                <w:sz w:val="24"/>
                <w:szCs w:val="24"/>
              </w:rPr>
              <w:t xml:space="preserve">      </w:t>
            </w:r>
            <w:r>
              <w:rPr>
                <w:rFonts w:hint="eastAsia" w:ascii="宋体" w:hAnsi="宋体" w:eastAsia="宋体" w:cs="宋体"/>
                <w:b/>
                <w:bCs/>
                <w:spacing w:val="-17"/>
                <w:sz w:val="24"/>
                <w:szCs w:val="24"/>
              </w:rPr>
              <w:t>容</w:t>
            </w:r>
          </w:p>
        </w:tc>
      </w:tr>
      <w:tr w14:paraId="5D7D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1382" w:type="dxa"/>
            <w:tcBorders>
              <w:left w:val="single" w:color="000000" w:sz="10" w:space="0"/>
            </w:tcBorders>
            <w:vAlign w:val="top"/>
          </w:tcPr>
          <w:p w14:paraId="7EBD3596">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1C486336">
            <w:pPr>
              <w:keepNext w:val="0"/>
              <w:keepLines w:val="0"/>
              <w:pageBreakBefore w:val="0"/>
              <w:widowControl/>
              <w:wordWrap/>
              <w:overflowPunct/>
              <w:topLinePunct w:val="0"/>
              <w:bidi w:val="0"/>
              <w:spacing w:before="74" w:line="360" w:lineRule="auto"/>
              <w:ind w:left="585"/>
              <w:rPr>
                <w:rFonts w:hint="eastAsia" w:ascii="宋体" w:hAnsi="宋体" w:eastAsia="宋体" w:cs="宋体"/>
                <w:sz w:val="21"/>
                <w:szCs w:val="21"/>
              </w:rPr>
            </w:pPr>
            <w:r>
              <w:rPr>
                <w:rFonts w:hint="eastAsia" w:ascii="宋体" w:hAnsi="宋体" w:eastAsia="宋体" w:cs="宋体"/>
                <w:spacing w:val="-5"/>
                <w:sz w:val="21"/>
                <w:szCs w:val="21"/>
              </w:rPr>
              <w:t>1.1</w:t>
            </w:r>
          </w:p>
        </w:tc>
        <w:tc>
          <w:tcPr>
            <w:tcW w:w="7346" w:type="dxa"/>
            <w:tcBorders>
              <w:right w:val="single" w:color="000000" w:sz="10" w:space="0"/>
            </w:tcBorders>
            <w:vAlign w:val="top"/>
          </w:tcPr>
          <w:p w14:paraId="6F44D9EE">
            <w:pPr>
              <w:keepNext w:val="0"/>
              <w:keepLines w:val="0"/>
              <w:pageBreakBefore w:val="0"/>
              <w:widowControl/>
              <w:wordWrap/>
              <w:overflowPunct/>
              <w:topLinePunct w:val="0"/>
              <w:bidi w:val="0"/>
              <w:spacing w:before="74" w:line="360" w:lineRule="auto"/>
              <w:rPr>
                <w:rFonts w:hint="eastAsia" w:ascii="宋体" w:hAnsi="宋体" w:eastAsia="宋体" w:cs="宋体"/>
                <w:spacing w:val="-5"/>
                <w:sz w:val="21"/>
                <w:szCs w:val="21"/>
                <w:lang w:eastAsia="zh-CN"/>
              </w:rPr>
            </w:pPr>
            <w:r>
              <w:rPr>
                <w:rFonts w:hint="eastAsia" w:ascii="宋体" w:hAnsi="宋体" w:eastAsia="宋体" w:cs="宋体"/>
                <w:spacing w:val="-5"/>
                <w:sz w:val="21"/>
                <w:szCs w:val="21"/>
              </w:rPr>
              <w:t>采 购 人：莎车县教育局</w:t>
            </w:r>
          </w:p>
          <w:p w14:paraId="002B30EB">
            <w:pPr>
              <w:keepNext w:val="0"/>
              <w:keepLines w:val="0"/>
              <w:pageBreakBefore w:val="0"/>
              <w:widowControl/>
              <w:wordWrap/>
              <w:overflowPunct/>
              <w:topLinePunct w:val="0"/>
              <w:bidi w:val="0"/>
              <w:spacing w:before="74" w:line="360" w:lineRule="auto"/>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地    址：喀什地区莎车县其乃巴格路8号</w:t>
            </w:r>
          </w:p>
          <w:p w14:paraId="56B64B61">
            <w:pPr>
              <w:keepNext w:val="0"/>
              <w:keepLines w:val="0"/>
              <w:pageBreakBefore w:val="0"/>
              <w:widowControl/>
              <w:wordWrap/>
              <w:overflowPunct/>
              <w:topLinePunct w:val="0"/>
              <w:bidi w:val="0"/>
              <w:spacing w:before="74" w:line="360" w:lineRule="auto"/>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 xml:space="preserve">联系人：李世林           </w:t>
            </w:r>
            <w:r>
              <w:rPr>
                <w:rFonts w:hint="eastAsia" w:ascii="宋体" w:hAnsi="宋体" w:eastAsia="宋体" w:cs="宋体"/>
                <w:spacing w:val="-5"/>
                <w:sz w:val="21"/>
                <w:szCs w:val="21"/>
              </w:rPr>
              <w:t>联系方式：</w:t>
            </w:r>
            <w:r>
              <w:rPr>
                <w:rFonts w:hint="eastAsia" w:ascii="宋体" w:hAnsi="宋体" w:eastAsia="宋体" w:cs="宋体"/>
                <w:b w:val="0"/>
                <w:bCs w:val="0"/>
                <w:spacing w:val="4"/>
                <w:sz w:val="21"/>
                <w:szCs w:val="21"/>
                <w:highlight w:val="none"/>
                <w:lang w:val="en-US" w:eastAsia="zh-CN"/>
              </w:rPr>
              <w:t>0998-8512598</w:t>
            </w:r>
            <w:r>
              <w:rPr>
                <w:rFonts w:hint="eastAsia" w:ascii="宋体" w:hAnsi="宋体" w:eastAsia="宋体" w:cs="宋体"/>
                <w:spacing w:val="-5"/>
                <w:sz w:val="21"/>
                <w:szCs w:val="21"/>
              </w:rPr>
              <w:t xml:space="preserve"> </w:t>
            </w:r>
          </w:p>
        </w:tc>
      </w:tr>
      <w:tr w14:paraId="3B56F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382" w:type="dxa"/>
            <w:tcBorders>
              <w:left w:val="single" w:color="000000" w:sz="10" w:space="0"/>
            </w:tcBorders>
            <w:vAlign w:val="top"/>
          </w:tcPr>
          <w:p w14:paraId="52ED9A60">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1C769EBA">
            <w:pPr>
              <w:keepNext w:val="0"/>
              <w:keepLines w:val="0"/>
              <w:pageBreakBefore w:val="0"/>
              <w:widowControl/>
              <w:wordWrap/>
              <w:overflowPunct/>
              <w:topLinePunct w:val="0"/>
              <w:bidi w:val="0"/>
              <w:spacing w:before="75" w:line="360" w:lineRule="auto"/>
              <w:ind w:left="585"/>
              <w:rPr>
                <w:rFonts w:hint="eastAsia" w:ascii="宋体" w:hAnsi="宋体" w:eastAsia="宋体" w:cs="宋体"/>
                <w:sz w:val="21"/>
                <w:szCs w:val="21"/>
              </w:rPr>
            </w:pPr>
            <w:r>
              <w:rPr>
                <w:rFonts w:hint="eastAsia" w:ascii="宋体" w:hAnsi="宋体" w:eastAsia="宋体" w:cs="宋体"/>
                <w:spacing w:val="-5"/>
                <w:sz w:val="21"/>
                <w:szCs w:val="21"/>
              </w:rPr>
              <w:t>1.2</w:t>
            </w:r>
          </w:p>
        </w:tc>
        <w:tc>
          <w:tcPr>
            <w:tcW w:w="7346" w:type="dxa"/>
            <w:tcBorders>
              <w:right w:val="single" w:color="000000" w:sz="10" w:space="0"/>
            </w:tcBorders>
            <w:vAlign w:val="top"/>
          </w:tcPr>
          <w:p w14:paraId="74965ECC">
            <w:pPr>
              <w:keepNext w:val="0"/>
              <w:keepLines w:val="0"/>
              <w:pageBreakBefore w:val="0"/>
              <w:widowControl/>
              <w:wordWrap/>
              <w:overflowPunct/>
              <w:topLinePunct w:val="0"/>
              <w:bidi w:val="0"/>
              <w:spacing w:before="74" w:line="360" w:lineRule="auto"/>
              <w:rPr>
                <w:rFonts w:hint="eastAsia" w:ascii="宋体" w:hAnsi="宋体" w:eastAsia="宋体" w:cs="宋体"/>
                <w:spacing w:val="-5"/>
                <w:sz w:val="21"/>
                <w:szCs w:val="21"/>
                <w:lang w:eastAsia="zh-CN"/>
              </w:rPr>
            </w:pPr>
            <w:r>
              <w:rPr>
                <w:rFonts w:hint="eastAsia" w:ascii="宋体" w:hAnsi="宋体" w:eastAsia="宋体" w:cs="宋体"/>
                <w:spacing w:val="-5"/>
                <w:sz w:val="21"/>
                <w:szCs w:val="21"/>
              </w:rPr>
              <w:t>采购代理机构：</w:t>
            </w:r>
            <w:r>
              <w:rPr>
                <w:rFonts w:hint="eastAsia" w:ascii="宋体" w:hAnsi="宋体" w:eastAsia="宋体" w:cs="宋体"/>
                <w:spacing w:val="-5"/>
                <w:sz w:val="21"/>
                <w:szCs w:val="21"/>
                <w:lang w:eastAsia="zh-CN"/>
              </w:rPr>
              <w:t>新疆正昊建设工程项目管理有限公司</w:t>
            </w:r>
          </w:p>
          <w:p w14:paraId="42946E6D">
            <w:pPr>
              <w:keepNext w:val="0"/>
              <w:keepLines w:val="0"/>
              <w:pageBreakBefore w:val="0"/>
              <w:widowControl/>
              <w:wordWrap/>
              <w:overflowPunct/>
              <w:topLinePunct w:val="0"/>
              <w:bidi w:val="0"/>
              <w:spacing w:before="74" w:line="360" w:lineRule="auto"/>
              <w:rPr>
                <w:rFonts w:hint="eastAsia" w:ascii="宋体" w:hAnsi="宋体" w:eastAsia="宋体" w:cs="宋体"/>
                <w:spacing w:val="-5"/>
                <w:sz w:val="21"/>
                <w:szCs w:val="21"/>
                <w:lang w:eastAsia="zh-CN"/>
              </w:rPr>
            </w:pPr>
            <w:r>
              <w:rPr>
                <w:rFonts w:hint="eastAsia" w:ascii="宋体" w:hAnsi="宋体" w:eastAsia="宋体" w:cs="宋体"/>
                <w:spacing w:val="-5"/>
                <w:sz w:val="21"/>
                <w:szCs w:val="21"/>
              </w:rPr>
              <w:t>地址：</w:t>
            </w:r>
            <w:r>
              <w:rPr>
                <w:rFonts w:hint="eastAsia" w:ascii="宋体" w:hAnsi="宋体" w:eastAsia="宋体" w:cs="宋体"/>
                <w:spacing w:val="-5"/>
                <w:sz w:val="21"/>
                <w:szCs w:val="21"/>
                <w:lang w:eastAsia="zh-CN"/>
              </w:rPr>
              <w:t>喀什市托克扎克路103号1号楼3单元301室</w:t>
            </w:r>
          </w:p>
          <w:p w14:paraId="453D835A">
            <w:pPr>
              <w:keepNext w:val="0"/>
              <w:keepLines w:val="0"/>
              <w:pageBreakBefore w:val="0"/>
              <w:widowControl/>
              <w:wordWrap/>
              <w:overflowPunct/>
              <w:topLinePunct w:val="0"/>
              <w:bidi w:val="0"/>
              <w:spacing w:before="74" w:line="360" w:lineRule="auto"/>
              <w:rPr>
                <w:rFonts w:hint="eastAsia" w:ascii="宋体" w:hAnsi="宋体" w:eastAsia="宋体" w:cs="宋体"/>
                <w:spacing w:val="-5"/>
                <w:sz w:val="21"/>
                <w:szCs w:val="21"/>
                <w:lang w:eastAsia="zh-CN"/>
              </w:rPr>
            </w:pPr>
            <w:r>
              <w:rPr>
                <w:rFonts w:hint="eastAsia" w:ascii="宋体" w:hAnsi="宋体" w:eastAsia="宋体" w:cs="宋体"/>
                <w:spacing w:val="-5"/>
                <w:sz w:val="21"/>
                <w:szCs w:val="21"/>
              </w:rPr>
              <w:t xml:space="preserve">业务联系人： </w:t>
            </w:r>
            <w:r>
              <w:rPr>
                <w:rFonts w:hint="eastAsia" w:ascii="宋体" w:hAnsi="宋体" w:eastAsia="宋体" w:cs="宋体"/>
                <w:spacing w:val="-5"/>
                <w:sz w:val="21"/>
                <w:szCs w:val="21"/>
                <w:lang w:eastAsia="zh-CN"/>
              </w:rPr>
              <w:t>张俊</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hint="eastAsia" w:ascii="宋体" w:hAnsi="宋体" w:eastAsia="宋体" w:cs="宋体"/>
                <w:spacing w:val="-5"/>
                <w:sz w:val="21"/>
                <w:szCs w:val="21"/>
              </w:rPr>
              <w:t>电话：</w:t>
            </w:r>
            <w:r>
              <w:rPr>
                <w:rFonts w:hint="eastAsia" w:ascii="宋体" w:hAnsi="宋体" w:eastAsia="宋体" w:cs="宋体"/>
                <w:spacing w:val="-5"/>
                <w:sz w:val="21"/>
                <w:szCs w:val="21"/>
                <w:lang w:eastAsia="zh-CN"/>
              </w:rPr>
              <w:t>15569403261</w:t>
            </w:r>
          </w:p>
        </w:tc>
      </w:tr>
      <w:tr w14:paraId="04E2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382" w:type="dxa"/>
            <w:tcBorders>
              <w:left w:val="single" w:color="000000" w:sz="10" w:space="0"/>
            </w:tcBorders>
            <w:vAlign w:val="top"/>
          </w:tcPr>
          <w:p w14:paraId="09ECCEB8">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444BA139">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1CDD35E8">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5815E233">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45602DC0">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5D37A2CD">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63BFCFCA">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492AD988">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69B97BDC">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321BF098">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6DD99FBB">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3699BD93">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71DDFC51">
            <w:pPr>
              <w:keepNext w:val="0"/>
              <w:keepLines w:val="0"/>
              <w:pageBreakBefore w:val="0"/>
              <w:widowControl/>
              <w:wordWrap/>
              <w:overflowPunct/>
              <w:topLinePunct w:val="0"/>
              <w:bidi w:val="0"/>
              <w:spacing w:before="75" w:line="360" w:lineRule="auto"/>
              <w:ind w:left="585"/>
              <w:rPr>
                <w:rFonts w:hint="eastAsia" w:ascii="宋体" w:hAnsi="宋体" w:eastAsia="宋体" w:cs="宋体"/>
                <w:sz w:val="21"/>
                <w:szCs w:val="21"/>
              </w:rPr>
            </w:pPr>
            <w:r>
              <w:rPr>
                <w:rFonts w:hint="eastAsia" w:ascii="宋体" w:hAnsi="宋体" w:eastAsia="宋体" w:cs="宋体"/>
                <w:spacing w:val="-1"/>
                <w:sz w:val="21"/>
                <w:szCs w:val="21"/>
              </w:rPr>
              <w:t>1.3.4</w:t>
            </w:r>
          </w:p>
        </w:tc>
        <w:tc>
          <w:tcPr>
            <w:tcW w:w="7346" w:type="dxa"/>
            <w:tcBorders>
              <w:right w:val="single" w:color="000000" w:sz="10" w:space="0"/>
            </w:tcBorders>
            <w:vAlign w:val="top"/>
          </w:tcPr>
          <w:p w14:paraId="4FDE38CC">
            <w:pPr>
              <w:keepNext w:val="0"/>
              <w:keepLines w:val="0"/>
              <w:pageBreakBefore w:val="0"/>
              <w:widowControl/>
              <w:wordWrap/>
              <w:overflowPunct/>
              <w:topLinePunct w:val="0"/>
              <w:bidi w:val="0"/>
              <w:spacing w:before="36" w:line="360" w:lineRule="auto"/>
              <w:ind w:left="24"/>
              <w:rPr>
                <w:rFonts w:hint="eastAsia" w:ascii="宋体" w:hAnsi="宋体" w:eastAsia="宋体" w:cs="宋体"/>
                <w:b w:val="0"/>
                <w:bCs w:val="0"/>
                <w:spacing w:val="5"/>
                <w:sz w:val="21"/>
                <w:szCs w:val="21"/>
              </w:rPr>
            </w:pPr>
            <w:r>
              <w:rPr>
                <w:rFonts w:hint="eastAsia" w:ascii="宋体" w:hAnsi="宋体" w:eastAsia="宋体" w:cs="宋体"/>
                <w:spacing w:val="3"/>
                <w:sz w:val="21"/>
                <w:szCs w:val="21"/>
              </w:rPr>
              <w:t>合格</w:t>
            </w:r>
            <w:r>
              <w:rPr>
                <w:rFonts w:hint="eastAsia" w:ascii="宋体" w:hAnsi="宋体" w:eastAsia="宋体" w:cs="宋体"/>
                <w:spacing w:val="3"/>
                <w:sz w:val="21"/>
                <w:szCs w:val="21"/>
                <w:lang w:eastAsia="zh-CN"/>
              </w:rPr>
              <w:t>供应商</w:t>
            </w:r>
            <w:r>
              <w:rPr>
                <w:rFonts w:hint="eastAsia" w:ascii="宋体" w:hAnsi="宋体" w:eastAsia="宋体" w:cs="宋体"/>
                <w:spacing w:val="3"/>
                <w:sz w:val="21"/>
                <w:szCs w:val="21"/>
              </w:rPr>
              <w:t>的资格要求：供应商必须</w:t>
            </w:r>
            <w:r>
              <w:rPr>
                <w:rFonts w:hint="eastAsia" w:ascii="宋体" w:hAnsi="宋体" w:eastAsia="宋体" w:cs="宋体"/>
                <w:b w:val="0"/>
                <w:bCs w:val="0"/>
                <w:spacing w:val="5"/>
                <w:sz w:val="21"/>
                <w:szCs w:val="21"/>
              </w:rPr>
              <w:t>满足《中华人民共和国政府采购法》第二十二条规定；</w:t>
            </w:r>
          </w:p>
          <w:p w14:paraId="7F52FAD3">
            <w:pPr>
              <w:keepNext w:val="0"/>
              <w:keepLines w:val="0"/>
              <w:pageBreakBefore w:val="0"/>
              <w:widowControl/>
              <w:wordWrap/>
              <w:overflowPunct/>
              <w:topLinePunct w:val="0"/>
              <w:bidi w:val="0"/>
              <w:spacing w:before="36" w:line="360" w:lineRule="auto"/>
              <w:ind w:left="24"/>
              <w:rPr>
                <w:rFonts w:hint="eastAsia" w:ascii="宋体" w:hAnsi="宋体" w:eastAsia="宋体" w:cs="宋体"/>
                <w:spacing w:val="3"/>
                <w:sz w:val="21"/>
                <w:szCs w:val="21"/>
              </w:rPr>
            </w:pPr>
            <w:r>
              <w:rPr>
                <w:rFonts w:hint="eastAsia" w:ascii="宋体" w:hAnsi="宋体" w:eastAsia="宋体" w:cs="宋体"/>
                <w:spacing w:val="3"/>
                <w:sz w:val="21"/>
                <w:szCs w:val="21"/>
              </w:rPr>
              <w:t>申请人的资格要求：</w:t>
            </w:r>
          </w:p>
          <w:p w14:paraId="661AF04C">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w:t>
            </w:r>
            <w:r>
              <w:rPr>
                <w:rFonts w:hint="default" w:ascii="宋体" w:hAnsi="宋体" w:eastAsia="宋体" w:cs="宋体"/>
                <w:spacing w:val="3"/>
                <w:sz w:val="21"/>
                <w:szCs w:val="21"/>
                <w:lang w:val="en-US" w:eastAsia="zh-CN"/>
              </w:rPr>
              <w:t xml:space="preserve">法人或者其他组织的营业执照等证明文件； </w:t>
            </w:r>
          </w:p>
          <w:p w14:paraId="3288ACA1">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w:t>
            </w:r>
            <w:r>
              <w:rPr>
                <w:rFonts w:hint="default" w:ascii="宋体" w:hAnsi="宋体" w:eastAsia="宋体" w:cs="宋体"/>
                <w:spacing w:val="3"/>
                <w:sz w:val="21"/>
                <w:szCs w:val="21"/>
                <w:lang w:val="en-US" w:eastAsia="zh-CN"/>
              </w:rPr>
              <w:t>授权委托人参加的提供法定代表人授权书及被授权人身份证，法人本人参与投标提供法人身份证及法人资格证明；</w:t>
            </w:r>
          </w:p>
          <w:p w14:paraId="38DECEBF">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w:t>
            </w:r>
            <w:r>
              <w:rPr>
                <w:rFonts w:hint="default" w:ascii="宋体" w:hAnsi="宋体" w:eastAsia="宋体" w:cs="宋体"/>
                <w:spacing w:val="3"/>
                <w:sz w:val="21"/>
                <w:szCs w:val="21"/>
                <w:lang w:val="en-US" w:eastAsia="zh-CN"/>
              </w:rPr>
              <w:t>具有良好的商业信誉和健全的财务会计制度（2024年或2025年的财务审计报告；新成立公司不足一年的提供近三个月内有效的银行资信证明）；</w:t>
            </w:r>
          </w:p>
          <w:p w14:paraId="2DBA7775">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w:t>
            </w:r>
            <w:r>
              <w:rPr>
                <w:rFonts w:hint="default" w:ascii="宋体" w:hAnsi="宋体" w:eastAsia="宋体" w:cs="宋体"/>
                <w:spacing w:val="3"/>
                <w:sz w:val="21"/>
                <w:szCs w:val="21"/>
                <w:lang w:val="en-US" w:eastAsia="zh-CN"/>
              </w:rPr>
              <w:t>具有履行合同所必需的设备和专业技术能力的承诺书</w:t>
            </w:r>
          </w:p>
          <w:p w14:paraId="131DA5C2">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5.</w:t>
            </w:r>
            <w:r>
              <w:rPr>
                <w:rFonts w:hint="default" w:ascii="宋体" w:hAnsi="宋体" w:eastAsia="宋体" w:cs="宋体"/>
                <w:spacing w:val="3"/>
                <w:sz w:val="21"/>
                <w:szCs w:val="21"/>
                <w:lang w:val="en-US" w:eastAsia="zh-CN"/>
              </w:rPr>
              <w:t>提供近6个月任意一个月的由社保部门或税务局出具的投标单位缴纳的社保证明</w:t>
            </w:r>
            <w:r>
              <w:rPr>
                <w:rFonts w:hint="eastAsia" w:ascii="宋体" w:hAnsi="宋体" w:eastAsia="宋体" w:cs="宋体"/>
                <w:spacing w:val="3"/>
                <w:sz w:val="21"/>
                <w:szCs w:val="21"/>
                <w:lang w:val="en-US" w:eastAsia="zh-CN"/>
              </w:rPr>
              <w:t>；</w:t>
            </w:r>
          </w:p>
          <w:p w14:paraId="237331E5">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6.</w:t>
            </w:r>
            <w:r>
              <w:rPr>
                <w:rFonts w:hint="default" w:ascii="宋体" w:hAnsi="宋体" w:eastAsia="宋体" w:cs="宋体"/>
                <w:spacing w:val="3"/>
                <w:sz w:val="21"/>
                <w:szCs w:val="21"/>
                <w:lang w:val="en-US" w:eastAsia="zh-CN"/>
              </w:rPr>
              <w:t>缴纳税收近6个月任意一个月的完税证明（零申报请出具税务部门加盖公章的证明材料或无欠款税收证明）</w:t>
            </w:r>
          </w:p>
          <w:p w14:paraId="2D1F8D64">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7.</w:t>
            </w:r>
            <w:r>
              <w:rPr>
                <w:rFonts w:hint="default" w:ascii="宋体" w:hAnsi="宋体" w:eastAsia="宋体" w:cs="宋体"/>
                <w:spacing w:val="3"/>
                <w:sz w:val="21"/>
                <w:szCs w:val="21"/>
                <w:lang w:val="en-US" w:eastAsia="zh-CN"/>
              </w:rPr>
              <w:t>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以招标代理机构或采购人查询为准）</w:t>
            </w:r>
          </w:p>
          <w:p w14:paraId="1433EEC6">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8.</w:t>
            </w:r>
            <w:r>
              <w:rPr>
                <w:rFonts w:hint="default" w:ascii="宋体" w:hAnsi="宋体" w:eastAsia="宋体" w:cs="宋体"/>
                <w:spacing w:val="3"/>
                <w:sz w:val="21"/>
                <w:szCs w:val="21"/>
                <w:lang w:val="en-US" w:eastAsia="zh-CN"/>
              </w:rPr>
              <w:t>供应商提供针对本次项目《反商业贿赂承诺书》；</w:t>
            </w:r>
          </w:p>
          <w:p w14:paraId="24F9D31A">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9.</w:t>
            </w:r>
            <w:r>
              <w:rPr>
                <w:rFonts w:hint="default" w:ascii="宋体" w:hAnsi="宋体" w:eastAsia="宋体" w:cs="宋体"/>
                <w:spacing w:val="3"/>
                <w:sz w:val="21"/>
                <w:szCs w:val="21"/>
                <w:lang w:val="en-US" w:eastAsia="zh-CN"/>
              </w:rPr>
              <w:t>参加政府采购活动前三年内在经营活动中没有重大违法记录的书面声明；</w:t>
            </w:r>
          </w:p>
          <w:p w14:paraId="71FF23B4">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10.</w:t>
            </w:r>
            <w:r>
              <w:rPr>
                <w:rFonts w:hint="default" w:ascii="宋体" w:hAnsi="宋体" w:eastAsia="宋体" w:cs="宋体"/>
                <w:spacing w:val="3"/>
                <w:sz w:val="21"/>
                <w:szCs w:val="21"/>
                <w:lang w:val="en-US" w:eastAsia="zh-CN"/>
              </w:rPr>
              <w:t>中小企业声明函</w:t>
            </w:r>
          </w:p>
          <w:p w14:paraId="61F2534A">
            <w:pPr>
              <w:keepNext w:val="0"/>
              <w:keepLines w:val="0"/>
              <w:pageBreakBefore w:val="0"/>
              <w:widowControl/>
              <w:wordWrap/>
              <w:overflowPunct/>
              <w:topLinePunct w:val="0"/>
              <w:bidi w:val="0"/>
              <w:spacing w:before="36" w:line="360" w:lineRule="auto"/>
              <w:ind w:left="24"/>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11.</w:t>
            </w:r>
            <w:r>
              <w:rPr>
                <w:rFonts w:hint="default" w:ascii="宋体" w:hAnsi="宋体" w:eastAsia="宋体" w:cs="宋体"/>
                <w:spacing w:val="3"/>
                <w:sz w:val="21"/>
                <w:szCs w:val="21"/>
                <w:lang w:val="en-US" w:eastAsia="zh-CN"/>
              </w:rPr>
              <w:t>磋商保证金缴纳凭证</w:t>
            </w:r>
          </w:p>
          <w:p w14:paraId="602B930A">
            <w:pPr>
              <w:keepNext w:val="0"/>
              <w:keepLines w:val="0"/>
              <w:pageBreakBefore w:val="0"/>
              <w:widowControl/>
              <w:wordWrap/>
              <w:overflowPunct/>
              <w:topLinePunct w:val="0"/>
              <w:bidi w:val="0"/>
              <w:spacing w:before="36" w:line="360" w:lineRule="auto"/>
              <w:ind w:left="24"/>
              <w:rPr>
                <w:rFonts w:hint="default" w:eastAsia="宋体"/>
                <w:lang w:val="en-US" w:eastAsia="zh-CN"/>
              </w:rPr>
            </w:pPr>
            <w:r>
              <w:rPr>
                <w:rFonts w:hint="eastAsia" w:ascii="宋体" w:hAnsi="宋体" w:eastAsia="宋体" w:cs="宋体"/>
                <w:spacing w:val="3"/>
                <w:sz w:val="21"/>
                <w:szCs w:val="21"/>
                <w:lang w:val="en-US" w:eastAsia="zh-CN"/>
              </w:rPr>
              <w:t>12.特定的资格要求：</w:t>
            </w:r>
            <w:r>
              <w:rPr>
                <w:rFonts w:hint="default" w:ascii="宋体" w:hAnsi="宋体" w:eastAsia="宋体" w:cs="宋体"/>
                <w:spacing w:val="3"/>
                <w:sz w:val="21"/>
                <w:szCs w:val="21"/>
                <w:lang w:val="en-US" w:eastAsia="zh-CN"/>
              </w:rPr>
              <w:t>供应商须具备工程设计【建筑行业（建筑工程）专业】乙级(含)以上资质；项目负责人具备</w:t>
            </w:r>
            <w:r>
              <w:rPr>
                <w:rFonts w:hint="eastAsia" w:ascii="宋体" w:hAnsi="宋体" w:eastAsia="宋体" w:cs="宋体"/>
                <w:spacing w:val="3"/>
                <w:sz w:val="21"/>
                <w:szCs w:val="21"/>
                <w:lang w:val="en-US" w:eastAsia="zh-CN"/>
              </w:rPr>
              <w:t>一</w:t>
            </w:r>
            <w:r>
              <w:rPr>
                <w:rFonts w:hint="default" w:ascii="宋体" w:hAnsi="宋体" w:eastAsia="宋体" w:cs="宋体"/>
                <w:spacing w:val="3"/>
                <w:sz w:val="21"/>
                <w:szCs w:val="21"/>
                <w:lang w:val="en-US" w:eastAsia="zh-CN"/>
              </w:rPr>
              <w:t>级注册建筑工程师或相关专业</w:t>
            </w:r>
            <w:r>
              <w:rPr>
                <w:rFonts w:hint="eastAsia" w:ascii="宋体" w:hAnsi="宋体" w:eastAsia="宋体" w:cs="宋体"/>
                <w:spacing w:val="3"/>
                <w:sz w:val="21"/>
                <w:szCs w:val="21"/>
                <w:lang w:val="en-US" w:eastAsia="zh-CN"/>
              </w:rPr>
              <w:t>高</w:t>
            </w:r>
            <w:r>
              <w:rPr>
                <w:rFonts w:hint="default" w:ascii="宋体" w:hAnsi="宋体" w:eastAsia="宋体" w:cs="宋体"/>
                <w:spacing w:val="3"/>
                <w:sz w:val="21"/>
                <w:szCs w:val="21"/>
                <w:lang w:val="en-US" w:eastAsia="zh-CN"/>
              </w:rPr>
              <w:t>级（含）以上职称；</w:t>
            </w:r>
          </w:p>
        </w:tc>
      </w:tr>
      <w:tr w14:paraId="1C7C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2" w:type="dxa"/>
            <w:tcBorders>
              <w:left w:val="single" w:color="000000" w:sz="10" w:space="0"/>
            </w:tcBorders>
            <w:vAlign w:val="top"/>
          </w:tcPr>
          <w:p w14:paraId="3A1B1B05">
            <w:pPr>
              <w:keepNext w:val="0"/>
              <w:keepLines w:val="0"/>
              <w:pageBreakBefore w:val="0"/>
              <w:widowControl/>
              <w:wordWrap/>
              <w:overflowPunct/>
              <w:topLinePunct w:val="0"/>
              <w:bidi w:val="0"/>
              <w:spacing w:before="149" w:line="360" w:lineRule="auto"/>
              <w:ind w:left="585"/>
              <w:rPr>
                <w:rFonts w:hint="eastAsia" w:ascii="宋体" w:hAnsi="宋体" w:eastAsia="宋体" w:cs="宋体"/>
                <w:sz w:val="21"/>
                <w:szCs w:val="21"/>
                <w:lang w:eastAsia="zh-CN"/>
              </w:rPr>
            </w:pPr>
            <w:r>
              <w:rPr>
                <w:rFonts w:hint="eastAsia" w:ascii="宋体" w:hAnsi="宋体" w:eastAsia="宋体" w:cs="宋体"/>
                <w:spacing w:val="-1"/>
                <w:sz w:val="21"/>
                <w:szCs w:val="21"/>
              </w:rPr>
              <w:t>1.3.</w:t>
            </w:r>
            <w:r>
              <w:rPr>
                <w:rFonts w:hint="eastAsia" w:ascii="宋体" w:hAnsi="宋体" w:eastAsia="宋体" w:cs="宋体"/>
                <w:spacing w:val="-1"/>
                <w:sz w:val="21"/>
                <w:szCs w:val="21"/>
                <w:lang w:val="en-US" w:eastAsia="zh-CN"/>
              </w:rPr>
              <w:t>5</w:t>
            </w:r>
          </w:p>
        </w:tc>
        <w:tc>
          <w:tcPr>
            <w:tcW w:w="7346" w:type="dxa"/>
            <w:tcBorders>
              <w:right w:val="single" w:color="000000" w:sz="10" w:space="0"/>
            </w:tcBorders>
            <w:vAlign w:val="top"/>
          </w:tcPr>
          <w:p w14:paraId="747556A0">
            <w:pPr>
              <w:keepNext w:val="0"/>
              <w:keepLines w:val="0"/>
              <w:pageBreakBefore w:val="0"/>
              <w:widowControl/>
              <w:wordWrap/>
              <w:overflowPunct/>
              <w:topLinePunct w:val="0"/>
              <w:bidi w:val="0"/>
              <w:spacing w:before="111" w:line="360" w:lineRule="auto"/>
              <w:ind w:left="27"/>
              <w:rPr>
                <w:rFonts w:hint="eastAsia" w:ascii="宋体" w:hAnsi="宋体" w:eastAsia="宋体" w:cs="宋体"/>
                <w:sz w:val="21"/>
                <w:szCs w:val="21"/>
                <w:u w:val="single" w:color="auto"/>
                <w:lang w:val="en-US" w:eastAsia="zh-CN"/>
              </w:rPr>
            </w:pPr>
            <w:r>
              <w:rPr>
                <w:rFonts w:hint="eastAsia" w:ascii="宋体" w:hAnsi="宋体" w:eastAsia="宋体" w:cs="宋体"/>
                <w:spacing w:val="1"/>
                <w:sz w:val="21"/>
                <w:szCs w:val="21"/>
                <w:highlight w:val="none"/>
              </w:rPr>
              <w:t>是否为专门面向中小企业采购：</w:t>
            </w:r>
            <w:r>
              <w:rPr>
                <w:rFonts w:hint="eastAsia" w:ascii="宋体" w:hAnsi="宋体" w:eastAsia="宋体" w:cs="宋体"/>
                <w:spacing w:val="1"/>
                <w:sz w:val="21"/>
                <w:szCs w:val="21"/>
                <w:highlight w:val="none"/>
                <w:u w:val="single"/>
                <w:lang w:val="en-US" w:eastAsia="zh-CN"/>
              </w:rPr>
              <w:t>是</w:t>
            </w:r>
          </w:p>
          <w:p w14:paraId="70826BB4">
            <w:pPr>
              <w:pStyle w:val="23"/>
              <w:keepNext w:val="0"/>
              <w:keepLines w:val="0"/>
              <w:pageBreakBefore w:val="0"/>
              <w:widowControl/>
              <w:wordWrap/>
              <w:overflowPunct/>
              <w:topLinePunct w:val="0"/>
              <w:bidi w:val="0"/>
              <w:spacing w:line="360" w:lineRule="auto"/>
              <w:rPr>
                <w:rFonts w:hint="default" w:ascii="宋体" w:hAnsi="宋体" w:eastAsia="宋体" w:cs="宋体"/>
                <w:b/>
                <w:bCs/>
                <w:color w:val="FF0000"/>
                <w:sz w:val="21"/>
                <w:szCs w:val="21"/>
                <w:highlight w:val="none"/>
                <w:u w:val="none"/>
                <w:lang w:val="en-US" w:eastAsia="zh-CN"/>
              </w:rPr>
            </w:pPr>
            <w:r>
              <w:rPr>
                <w:rFonts w:hint="eastAsia" w:ascii="宋体" w:hAnsi="宋体" w:eastAsia="宋体" w:cs="宋体"/>
                <w:b/>
                <w:bCs/>
                <w:color w:val="FF0000"/>
                <w:sz w:val="21"/>
                <w:szCs w:val="21"/>
                <w:highlight w:val="none"/>
                <w:u w:val="none"/>
                <w:lang w:val="en-US" w:eastAsia="zh-CN"/>
              </w:rPr>
              <w:t>所属行业：</w:t>
            </w:r>
            <w:r>
              <w:rPr>
                <w:rFonts w:hint="eastAsia" w:ascii="宋体" w:hAnsi="宋体" w:eastAsia="宋体" w:cs="宋体"/>
                <w:b/>
                <w:bCs/>
                <w:color w:val="FF0000"/>
                <w:sz w:val="21"/>
                <w:szCs w:val="21"/>
                <w:highlight w:val="none"/>
                <w:u w:val="single"/>
                <w:lang w:val="en-US" w:eastAsia="zh-CN"/>
              </w:rPr>
              <w:t xml:space="preserve"> 其他未列明行业</w:t>
            </w:r>
          </w:p>
        </w:tc>
      </w:tr>
      <w:tr w14:paraId="7CA6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2" w:type="dxa"/>
            <w:tcBorders>
              <w:left w:val="single" w:color="000000" w:sz="10" w:space="0"/>
            </w:tcBorders>
            <w:vAlign w:val="top"/>
          </w:tcPr>
          <w:p w14:paraId="6AD61A09">
            <w:pPr>
              <w:keepNext w:val="0"/>
              <w:keepLines w:val="0"/>
              <w:pageBreakBefore w:val="0"/>
              <w:widowControl/>
              <w:wordWrap/>
              <w:overflowPunct/>
              <w:topLinePunct w:val="0"/>
              <w:bidi w:val="0"/>
              <w:spacing w:before="156" w:line="360" w:lineRule="auto"/>
              <w:ind w:left="585"/>
              <w:rPr>
                <w:rFonts w:hint="eastAsia" w:ascii="宋体" w:hAnsi="宋体" w:eastAsia="宋体" w:cs="宋体"/>
                <w:sz w:val="21"/>
                <w:szCs w:val="21"/>
              </w:rPr>
            </w:pPr>
            <w:r>
              <w:rPr>
                <w:rFonts w:hint="eastAsia" w:ascii="宋体" w:hAnsi="宋体" w:eastAsia="宋体" w:cs="宋体"/>
                <w:spacing w:val="-5"/>
                <w:sz w:val="21"/>
                <w:szCs w:val="21"/>
              </w:rPr>
              <w:t>1.4</w:t>
            </w:r>
          </w:p>
        </w:tc>
        <w:tc>
          <w:tcPr>
            <w:tcW w:w="7346" w:type="dxa"/>
            <w:tcBorders>
              <w:right w:val="single" w:color="000000" w:sz="10" w:space="0"/>
            </w:tcBorders>
            <w:vAlign w:val="top"/>
          </w:tcPr>
          <w:p w14:paraId="034AEDD8">
            <w:pPr>
              <w:keepNext w:val="0"/>
              <w:keepLines w:val="0"/>
              <w:pageBreakBefore w:val="0"/>
              <w:widowControl/>
              <w:wordWrap/>
              <w:overflowPunct/>
              <w:topLinePunct w:val="0"/>
              <w:bidi w:val="0"/>
              <w:spacing w:before="119" w:line="360" w:lineRule="auto"/>
              <w:ind w:left="27"/>
              <w:rPr>
                <w:rFonts w:hint="eastAsia" w:ascii="宋体" w:hAnsi="宋体" w:eastAsia="宋体" w:cs="宋体"/>
                <w:sz w:val="21"/>
                <w:szCs w:val="21"/>
              </w:rPr>
            </w:pPr>
            <w:r>
              <w:rPr>
                <w:rFonts w:hint="eastAsia" w:ascii="宋体" w:hAnsi="宋体" w:eastAsia="宋体" w:cs="宋体"/>
                <w:spacing w:val="-1"/>
                <w:sz w:val="21"/>
                <w:szCs w:val="21"/>
              </w:rPr>
              <w:t>是否允许联合体投标：</w:t>
            </w:r>
            <w:r>
              <w:rPr>
                <w:rFonts w:hint="eastAsia" w:ascii="宋体" w:hAnsi="宋体" w:eastAsia="宋体" w:cs="宋体"/>
                <w:spacing w:val="-1"/>
                <w:sz w:val="21"/>
                <w:szCs w:val="21"/>
                <w:u w:val="single" w:color="auto"/>
              </w:rPr>
              <w:t>否</w:t>
            </w:r>
          </w:p>
        </w:tc>
      </w:tr>
      <w:tr w14:paraId="2284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382" w:type="dxa"/>
            <w:tcBorders>
              <w:left w:val="single" w:color="000000" w:sz="10" w:space="0"/>
              <w:bottom w:val="single" w:color="000000" w:sz="10" w:space="0"/>
            </w:tcBorders>
            <w:vAlign w:val="center"/>
          </w:tcPr>
          <w:p w14:paraId="2BD1784A">
            <w:pPr>
              <w:keepNext w:val="0"/>
              <w:keepLines w:val="0"/>
              <w:pageBreakBefore w:val="0"/>
              <w:widowControl/>
              <w:wordWrap/>
              <w:overflowPunct/>
              <w:topLinePunct w:val="0"/>
              <w:bidi w:val="0"/>
              <w:spacing w:before="260" w:line="360" w:lineRule="auto"/>
              <w:ind w:left="555"/>
              <w:jc w:val="both"/>
              <w:rPr>
                <w:rFonts w:hint="eastAsia" w:ascii="宋体" w:hAnsi="宋体" w:eastAsia="宋体" w:cs="宋体"/>
                <w:sz w:val="21"/>
                <w:szCs w:val="21"/>
              </w:rPr>
            </w:pPr>
            <w:r>
              <w:rPr>
                <w:rFonts w:hint="eastAsia" w:ascii="宋体" w:hAnsi="宋体" w:eastAsia="宋体" w:cs="宋体"/>
                <w:sz w:val="21"/>
                <w:szCs w:val="21"/>
              </w:rPr>
              <w:t>2.2</w:t>
            </w:r>
          </w:p>
        </w:tc>
        <w:tc>
          <w:tcPr>
            <w:tcW w:w="7346" w:type="dxa"/>
            <w:tcBorders>
              <w:bottom w:val="single" w:color="000000" w:sz="10" w:space="0"/>
              <w:right w:val="single" w:color="000000" w:sz="10" w:space="0"/>
            </w:tcBorders>
            <w:vAlign w:val="center"/>
          </w:tcPr>
          <w:p w14:paraId="03B1AB5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宋体" w:hAnsi="宋体" w:eastAsia="宋体" w:cs="宋体"/>
                <w:b w:val="0"/>
                <w:bCs w:val="0"/>
                <w:spacing w:val="4"/>
                <w:sz w:val="21"/>
                <w:szCs w:val="21"/>
                <w:lang w:val="en-US" w:eastAsia="zh-CN"/>
              </w:rPr>
            </w:pPr>
            <w:r>
              <w:rPr>
                <w:rFonts w:hint="eastAsia" w:ascii="宋体" w:hAnsi="宋体" w:eastAsia="宋体" w:cs="宋体"/>
                <w:b w:val="0"/>
                <w:bCs w:val="0"/>
                <w:spacing w:val="4"/>
                <w:sz w:val="21"/>
                <w:szCs w:val="21"/>
                <w:lang w:val="en-US" w:eastAsia="zh-CN"/>
              </w:rPr>
              <w:t>最高限价：630000元</w:t>
            </w:r>
          </w:p>
          <w:p w14:paraId="15D6D9D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ascii="宋体" w:hAnsi="宋体" w:eastAsia="宋体" w:cs="宋体"/>
                <w:b w:val="0"/>
                <w:bCs w:val="0"/>
                <w:spacing w:val="4"/>
                <w:sz w:val="21"/>
                <w:szCs w:val="21"/>
                <w:lang w:val="en-US" w:eastAsia="zh-CN"/>
              </w:rPr>
            </w:pPr>
            <w:r>
              <w:rPr>
                <w:rFonts w:hint="eastAsia" w:ascii="宋体" w:hAnsi="宋体" w:eastAsia="宋体" w:cs="宋体"/>
                <w:b w:val="0"/>
                <w:bCs w:val="0"/>
                <w:spacing w:val="4"/>
                <w:sz w:val="21"/>
                <w:szCs w:val="21"/>
                <w:lang w:val="en-US" w:eastAsia="zh-CN"/>
              </w:rPr>
              <w:t>投标报价不可超过最高限价，否则响应无效。</w:t>
            </w:r>
          </w:p>
        </w:tc>
      </w:tr>
      <w:tr w14:paraId="2073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2" w:type="dxa"/>
            <w:tcBorders>
              <w:top w:val="single" w:color="000000" w:sz="10" w:space="0"/>
              <w:left w:val="single" w:color="000000" w:sz="10" w:space="0"/>
            </w:tcBorders>
            <w:vAlign w:val="top"/>
          </w:tcPr>
          <w:p w14:paraId="49A2A708">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0635C42D">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54072034">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15372C47">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468BA775">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40CAF9B2">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1712378C">
            <w:pPr>
              <w:keepNext w:val="0"/>
              <w:keepLines w:val="0"/>
              <w:pageBreakBefore w:val="0"/>
              <w:widowControl/>
              <w:wordWrap/>
              <w:overflowPunct/>
              <w:topLinePunct w:val="0"/>
              <w:bidi w:val="0"/>
              <w:spacing w:before="75" w:line="360" w:lineRule="auto"/>
              <w:ind w:left="585"/>
              <w:rPr>
                <w:rFonts w:hint="eastAsia" w:ascii="宋体" w:hAnsi="宋体" w:eastAsia="宋体" w:cs="宋体"/>
                <w:sz w:val="21"/>
                <w:szCs w:val="21"/>
              </w:rPr>
            </w:pPr>
            <w:r>
              <w:rPr>
                <w:rFonts w:hint="eastAsia" w:ascii="宋体" w:hAnsi="宋体" w:eastAsia="宋体" w:cs="宋体"/>
                <w:spacing w:val="-3"/>
                <w:sz w:val="21"/>
                <w:szCs w:val="21"/>
              </w:rPr>
              <w:t>12.1</w:t>
            </w:r>
          </w:p>
        </w:tc>
        <w:tc>
          <w:tcPr>
            <w:tcW w:w="7346" w:type="dxa"/>
            <w:tcBorders>
              <w:top w:val="single" w:color="000000" w:sz="10" w:space="0"/>
              <w:right w:val="single" w:color="000000" w:sz="10" w:space="0"/>
            </w:tcBorders>
            <w:vAlign w:val="top"/>
          </w:tcPr>
          <w:p w14:paraId="7E6DA5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磋商</w:t>
            </w:r>
            <w:r>
              <w:rPr>
                <w:rFonts w:hint="eastAsia" w:ascii="宋体" w:hAnsi="宋体" w:eastAsia="宋体" w:cs="宋体"/>
                <w:spacing w:val="-5"/>
                <w:sz w:val="21"/>
                <w:szCs w:val="21"/>
              </w:rPr>
              <w:t>保证金形式：电汇、转账、银行保函、电子保函、支票、汇票、本票或者金融机构、担保机构出具的保函等非现金形式提交</w:t>
            </w:r>
          </w:p>
          <w:p w14:paraId="5ED69C0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1"/>
                <w:szCs w:val="21"/>
                <w:lang w:val="en-US" w:eastAsia="zh-CN"/>
              </w:rPr>
            </w:pPr>
            <w:r>
              <w:rPr>
                <w:rFonts w:hint="eastAsia" w:ascii="宋体" w:hAnsi="宋体" w:eastAsia="宋体" w:cs="宋体"/>
                <w:spacing w:val="-5"/>
                <w:sz w:val="21"/>
                <w:szCs w:val="21"/>
                <w:lang w:val="en-US" w:eastAsia="zh-CN"/>
              </w:rPr>
              <w:t>磋商</w:t>
            </w:r>
            <w:r>
              <w:rPr>
                <w:rFonts w:hint="eastAsia" w:ascii="宋体" w:hAnsi="宋体" w:eastAsia="宋体" w:cs="宋体"/>
                <w:spacing w:val="-5"/>
                <w:sz w:val="21"/>
                <w:szCs w:val="21"/>
              </w:rPr>
              <w:t>保证金</w:t>
            </w:r>
            <w:r>
              <w:rPr>
                <w:rFonts w:hint="eastAsia" w:ascii="宋体" w:hAnsi="宋体" w:eastAsia="宋体" w:cs="宋体"/>
                <w:spacing w:val="-5"/>
                <w:sz w:val="21"/>
                <w:szCs w:val="21"/>
                <w:lang w:val="en-US" w:eastAsia="zh-CN"/>
              </w:rPr>
              <w:t>金额：</w:t>
            </w:r>
            <w:r>
              <w:rPr>
                <w:rFonts w:hint="eastAsia" w:ascii="宋体" w:hAnsi="宋体" w:eastAsia="宋体" w:cs="宋体"/>
                <w:b w:val="0"/>
                <w:bCs w:val="0"/>
                <w:spacing w:val="4"/>
                <w:sz w:val="21"/>
                <w:szCs w:val="21"/>
                <w:highlight w:val="none"/>
                <w:lang w:val="en-US" w:eastAsia="zh-CN"/>
              </w:rPr>
              <w:t>10000</w:t>
            </w:r>
            <w:r>
              <w:rPr>
                <w:rFonts w:hint="eastAsia" w:ascii="宋体" w:hAnsi="宋体" w:eastAsia="宋体" w:cs="宋体"/>
                <w:b w:val="0"/>
                <w:bCs w:val="0"/>
                <w:spacing w:val="4"/>
                <w:sz w:val="21"/>
                <w:szCs w:val="21"/>
                <w:lang w:val="en-US" w:eastAsia="zh-CN"/>
              </w:rPr>
              <w:t>元</w:t>
            </w:r>
          </w:p>
          <w:p w14:paraId="61E713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账户名称：新疆正昊建设工程项目管理有限公司喀什市分公司</w:t>
            </w:r>
          </w:p>
          <w:p w14:paraId="4F0AE3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帐号：3012341409024534740</w:t>
            </w:r>
          </w:p>
          <w:p w14:paraId="4AB8AEE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开户银行：中国工商银行股份有限公司喀什托克扎克路支行（电汇时请在汇款备注栏注明项目名称及包号（如有），并注明是</w:t>
            </w:r>
            <w:r>
              <w:rPr>
                <w:rFonts w:hint="eastAsia" w:ascii="宋体" w:hAnsi="宋体" w:eastAsia="宋体" w:cs="宋体"/>
                <w:sz w:val="21"/>
                <w:szCs w:val="21"/>
                <w:lang w:val="en-US" w:eastAsia="zh-CN"/>
              </w:rPr>
              <w:t>投标</w:t>
            </w:r>
            <w:r>
              <w:rPr>
                <w:rFonts w:hint="eastAsia" w:ascii="宋体" w:hAnsi="宋体" w:eastAsia="宋体" w:cs="宋体"/>
                <w:sz w:val="21"/>
                <w:szCs w:val="21"/>
              </w:rPr>
              <w:t>保证金。）</w:t>
            </w:r>
          </w:p>
          <w:p w14:paraId="1F9F2CD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缴纳保证金截止时间：递交响应文件截止时间前。</w:t>
            </w:r>
          </w:p>
          <w:p w14:paraId="6C42B60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保证金缴纳要求：</w:t>
            </w:r>
          </w:p>
          <w:p w14:paraId="46F58308">
            <w:pPr>
              <w:spacing w:before="30" w:line="360" w:lineRule="auto"/>
              <w:ind w:left="27" w:right="86" w:firstLine="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1、电汇或转账时请在汇款备注栏：标项名称+投标保证金；如填写字数有要求可简写标项名称，由于未按要求注明信息而导致的一切后果由供应商自行承担。</w:t>
            </w:r>
          </w:p>
          <w:p w14:paraId="070A89AD">
            <w:pPr>
              <w:spacing w:before="30" w:line="360" w:lineRule="auto"/>
              <w:ind w:left="27" w:right="86" w:firstLine="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若采用电汇、转账、支票、汇票、本票等形式，投标保证金须于投标截止前转入以上指定账户（资格审查以指定账户实际收到为准），投标保证金付款凭证（或收据）扫描件制作在响应文件中；若采用政采云电子保函形式：按照政采云电子投标流程制作并将电子保函制作在响应文件中；若采用银行保函或者金融机构、担保机构保函等形式，应将保函扫描件装订在本部分；扫描件上应加盖本单位公章；供应商未按照磋商文件要求提交投标保证金的，投标无效。</w:t>
            </w:r>
          </w:p>
          <w:p w14:paraId="596A9BEC">
            <w:pPr>
              <w:spacing w:before="30" w:line="360" w:lineRule="auto"/>
              <w:ind w:left="27" w:right="86" w:firstLine="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3.中标人应在与采购人签订合同之日起5个工作日内，保证金收受机构根据中标人提供的打款凭证及时办理投标保证金无息退还手续。</w:t>
            </w:r>
          </w:p>
          <w:p w14:paraId="382D7000">
            <w:pPr>
              <w:keepNext w:val="0"/>
              <w:keepLines w:val="0"/>
              <w:pageBreakBefore w:val="0"/>
              <w:widowControl/>
              <w:wordWrap/>
              <w:overflowPunct/>
              <w:topLinePunct w:val="0"/>
              <w:bidi w:val="0"/>
              <w:spacing w:before="30" w:line="360" w:lineRule="auto"/>
              <w:ind w:left="27" w:right="86" w:rightChars="0" w:firstLine="2"/>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4.未中标供应商的投标保证金将在中标通知书发出之日暨中标结果公告公布之日起5个工作日内退还，保证金收受机构根据未中标人提供的打款凭证及时办理退还投标保证金手续。</w:t>
            </w:r>
          </w:p>
        </w:tc>
      </w:tr>
      <w:tr w14:paraId="16F9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82" w:type="dxa"/>
            <w:tcBorders>
              <w:left w:val="single" w:color="000000" w:sz="10" w:space="0"/>
            </w:tcBorders>
            <w:vAlign w:val="top"/>
          </w:tcPr>
          <w:p w14:paraId="17FA6C03">
            <w:pPr>
              <w:keepNext w:val="0"/>
              <w:keepLines w:val="0"/>
              <w:pageBreakBefore w:val="0"/>
              <w:widowControl/>
              <w:wordWrap/>
              <w:overflowPunct/>
              <w:topLinePunct w:val="0"/>
              <w:bidi w:val="0"/>
              <w:spacing w:before="76" w:line="360" w:lineRule="auto"/>
              <w:ind w:left="585"/>
              <w:rPr>
                <w:rFonts w:hint="eastAsia" w:ascii="宋体" w:hAnsi="宋体" w:eastAsia="宋体" w:cs="宋体"/>
                <w:sz w:val="21"/>
                <w:szCs w:val="21"/>
              </w:rPr>
            </w:pPr>
            <w:r>
              <w:rPr>
                <w:rFonts w:hint="eastAsia" w:ascii="宋体" w:hAnsi="宋体" w:eastAsia="宋体" w:cs="宋体"/>
                <w:spacing w:val="-3"/>
                <w:sz w:val="21"/>
                <w:szCs w:val="21"/>
              </w:rPr>
              <w:t>13.1</w:t>
            </w:r>
          </w:p>
        </w:tc>
        <w:tc>
          <w:tcPr>
            <w:tcW w:w="7346" w:type="dxa"/>
            <w:tcBorders>
              <w:right w:val="single" w:color="000000" w:sz="10" w:space="0"/>
            </w:tcBorders>
            <w:vAlign w:val="top"/>
          </w:tcPr>
          <w:p w14:paraId="6FCF9EB7">
            <w:pPr>
              <w:keepNext w:val="0"/>
              <w:keepLines w:val="0"/>
              <w:pageBreakBefore w:val="0"/>
              <w:widowControl/>
              <w:wordWrap/>
              <w:overflowPunct/>
              <w:topLinePunct w:val="0"/>
              <w:bidi w:val="0"/>
              <w:spacing w:before="39" w:line="360" w:lineRule="auto"/>
              <w:ind w:left="26"/>
              <w:rPr>
                <w:rFonts w:hint="eastAsia" w:ascii="宋体" w:hAnsi="宋体" w:eastAsia="宋体" w:cs="宋体"/>
                <w:sz w:val="21"/>
                <w:szCs w:val="21"/>
              </w:rPr>
            </w:pPr>
            <w:r>
              <w:rPr>
                <w:rFonts w:hint="eastAsia" w:ascii="宋体" w:hAnsi="宋体" w:eastAsia="宋体" w:cs="宋体"/>
                <w:spacing w:val="-2"/>
                <w:sz w:val="21"/>
                <w:szCs w:val="21"/>
              </w:rPr>
              <w:t>投标有效期：</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u w:val="single" w:color="auto"/>
              </w:rPr>
              <w:t>90</w:t>
            </w:r>
            <w:r>
              <w:rPr>
                <w:rFonts w:hint="eastAsia" w:ascii="宋体" w:hAnsi="宋体" w:eastAsia="宋体" w:cs="宋体"/>
                <w:spacing w:val="-53"/>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2"/>
                <w:sz w:val="21"/>
                <w:szCs w:val="21"/>
              </w:rPr>
              <w:t>日历日</w:t>
            </w:r>
          </w:p>
        </w:tc>
      </w:tr>
      <w:tr w14:paraId="5DA2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 w:hRule="atLeast"/>
        </w:trPr>
        <w:tc>
          <w:tcPr>
            <w:tcW w:w="1382" w:type="dxa"/>
            <w:tcBorders>
              <w:left w:val="single" w:color="000000" w:sz="10" w:space="0"/>
            </w:tcBorders>
            <w:vAlign w:val="top"/>
          </w:tcPr>
          <w:p w14:paraId="7CD2789D">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5C81A877">
            <w:pPr>
              <w:keepNext w:val="0"/>
              <w:keepLines w:val="0"/>
              <w:pageBreakBefore w:val="0"/>
              <w:widowControl/>
              <w:wordWrap/>
              <w:overflowPunct/>
              <w:topLinePunct w:val="0"/>
              <w:bidi w:val="0"/>
              <w:spacing w:before="74" w:line="360" w:lineRule="auto"/>
              <w:ind w:left="585"/>
              <w:rPr>
                <w:rFonts w:hint="eastAsia" w:ascii="宋体" w:hAnsi="宋体" w:eastAsia="宋体" w:cs="宋体"/>
                <w:sz w:val="21"/>
                <w:szCs w:val="21"/>
              </w:rPr>
            </w:pPr>
            <w:r>
              <w:rPr>
                <w:rFonts w:hint="eastAsia" w:ascii="宋体" w:hAnsi="宋体" w:eastAsia="宋体" w:cs="宋体"/>
                <w:spacing w:val="-3"/>
                <w:sz w:val="21"/>
                <w:szCs w:val="21"/>
              </w:rPr>
              <w:t>14.1</w:t>
            </w:r>
          </w:p>
        </w:tc>
        <w:tc>
          <w:tcPr>
            <w:tcW w:w="7346" w:type="dxa"/>
            <w:tcBorders>
              <w:right w:val="single" w:color="000000" w:sz="10" w:space="0"/>
            </w:tcBorders>
            <w:vAlign w:val="top"/>
          </w:tcPr>
          <w:p w14:paraId="6D3C88FB">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（1）响应文件包括“磋商报价表及资格证明文件”和“商务及技术文件”两部分，两部分合订成一册密封递交。</w:t>
            </w:r>
          </w:p>
          <w:p w14:paraId="4E7AD5C8">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（2）本项目为电子招投标，供应商需要使用CA 加密设备 ，凡参加本项目必须可 自主通过新疆CA申领渠道“新疆政务通”申请政采云平台可使用的 CA 设备 ， 如原有兵团或公共资源使用的 CA，可与新疆CA联系，申请增加电子证书即可，无需重复申领。</w:t>
            </w:r>
          </w:p>
          <w:p w14:paraId="46C315B1">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(2)本项目实行网上投标，采用电子响应文件(供应商须使用CA 加密设备通过政采云电子投标客户端制作响应文件)。若供应商参与投标，自行承担投标一切费用。</w:t>
            </w:r>
          </w:p>
          <w:p w14:paraId="6325BB54">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(3)各供应商应在开标前应确保成为新疆政府采购网正式注册入库供应商，并完成 CA 数字证书申领。因未注册入库、未办理CA数字证书等原因造成无法投标或投标失败等后果由供应商自行承担。</w:t>
            </w:r>
          </w:p>
          <w:p w14:paraId="0B8886AB">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(4)供应商将政采云电子交易客户端下载、安装完成后，可通过账号密码或 CA 登 录客户端进行响应文件制作。在使用政采云投标客户端时，建议使用 WIN7及以上操作系统。客户端请至新疆政府采购网(http://www.ccgp-xinjiang.gov.cn/)下载专区查看， 如有问题可拨打政采云客户服务热线400-881-7190进行咨询。</w:t>
            </w:r>
          </w:p>
          <w:p w14:paraId="1B59B793">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(5)供应商在开标时须使用制作加密电子响应文件所使用的CA锁及电脑，电脑须提前配置好浏览器(建议使用谷歌浏览器)，以便开标时解锁。</w:t>
            </w:r>
          </w:p>
          <w:p w14:paraId="5F5E9A8D">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(6)磋商保证金缴纳及确认时间：凡拟参加本次招标项目的供应商，必须在开标前将磋商保证金汇入指定账户，否则届时其投标将被拒绝。磋商保证金汇款凭证上用途栏应注明:招标项目名称+磋商保证金。</w:t>
            </w:r>
          </w:p>
          <w:p w14:paraId="5F39FFEE">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(7)供应商对不见面开评标系统的技术操作咨询，可通过 https://edu.zcygov.cn/luban/xinjiang-e-biding  自助查询 ，也可在政采云 帮助中心常见问题解答和操作流程讲解视频中自助查询，网址为：https://service.zcygov.cn/#/help，“项目采购 ”—“操作流程-电子招投标”—“政府采购项目电子交易管理操作指南-供应商 ”版面获取操作指南 ， 同时对自助查询无法解决的问题可通过钉钉群及政采云在线客服获取服务支持。供应商钉钉群号：政采云新疆供应商服务 1 号群： 30349928 (如已加入 1-11 群 ，无需 重复加入 ，十一个群联动直播) ，钉钉工具软件具有回放功能 ，直播培训结束后 可在钉钉群中回放观看学习。</w:t>
            </w:r>
          </w:p>
          <w:p w14:paraId="3CC37E0A">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( 8)各供应商须在响应截止时间前完成在系统上递交电子响应文件。 投标供应商 的电子响应文件是经过  CA  证书加密后上传提交的 ， 任何单位或个人均无法在 响应截止时间(即开标时间)之前查看或篡改 ，不存在泄密风险。 (严格按照政采云电子投标流程制作并上传电子响应文件)。</w:t>
            </w:r>
          </w:p>
          <w:p w14:paraId="77870BAD">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(9)各供应商在响应截止时间前将 “ 响应文件 ”上传至政采云平台。 响应文件应 按照磋商文件规定的格式填写、签署和盖章。</w:t>
            </w:r>
          </w:p>
          <w:p w14:paraId="1361DD23">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z w:val="21"/>
                <w:szCs w:val="21"/>
              </w:rPr>
            </w:pPr>
            <w:r>
              <w:rPr>
                <w:rFonts w:hint="eastAsia" w:ascii="宋体" w:hAnsi="宋体" w:eastAsia="宋体" w:cs="宋体"/>
                <w:sz w:val="21"/>
                <w:szCs w:val="21"/>
              </w:rPr>
              <w:t>(10)解密时长为 30 分钟。</w:t>
            </w:r>
          </w:p>
        </w:tc>
      </w:tr>
      <w:tr w14:paraId="5199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382" w:type="dxa"/>
            <w:tcBorders>
              <w:left w:val="single" w:color="000000" w:sz="10" w:space="0"/>
            </w:tcBorders>
            <w:vAlign w:val="top"/>
          </w:tcPr>
          <w:p w14:paraId="3D004531">
            <w:pPr>
              <w:keepNext w:val="0"/>
              <w:keepLines w:val="0"/>
              <w:pageBreakBefore w:val="0"/>
              <w:widowControl/>
              <w:wordWrap/>
              <w:overflowPunct/>
              <w:topLinePunct w:val="0"/>
              <w:bidi w:val="0"/>
              <w:spacing w:before="79" w:line="360" w:lineRule="auto"/>
              <w:ind w:left="585"/>
              <w:rPr>
                <w:rFonts w:hint="eastAsia" w:ascii="宋体" w:hAnsi="宋体" w:eastAsia="宋体" w:cs="宋体"/>
                <w:sz w:val="21"/>
                <w:szCs w:val="21"/>
              </w:rPr>
            </w:pPr>
            <w:r>
              <w:rPr>
                <w:rFonts w:hint="eastAsia" w:ascii="宋体" w:hAnsi="宋体" w:eastAsia="宋体" w:cs="宋体"/>
                <w:spacing w:val="-3"/>
                <w:sz w:val="21"/>
                <w:szCs w:val="21"/>
              </w:rPr>
              <w:t>16.1</w:t>
            </w:r>
          </w:p>
        </w:tc>
        <w:tc>
          <w:tcPr>
            <w:tcW w:w="7346" w:type="dxa"/>
            <w:tcBorders>
              <w:right w:val="single" w:color="000000" w:sz="10" w:space="0"/>
            </w:tcBorders>
            <w:vAlign w:val="top"/>
          </w:tcPr>
          <w:p w14:paraId="7D42DBAB">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投标截止时间：202</w:t>
            </w:r>
            <w:r>
              <w:rPr>
                <w:rFonts w:hint="eastAsia" w:ascii="宋体" w:hAnsi="宋体" w:eastAsia="宋体" w:cs="宋体"/>
                <w:spacing w:val="9"/>
                <w:sz w:val="21"/>
                <w:szCs w:val="21"/>
                <w:highlight w:val="none"/>
                <w:lang w:val="en-US" w:eastAsia="zh-CN"/>
              </w:rPr>
              <w:t>6</w:t>
            </w:r>
            <w:r>
              <w:rPr>
                <w:rFonts w:hint="eastAsia" w:ascii="宋体" w:hAnsi="宋体" w:eastAsia="宋体" w:cs="宋体"/>
                <w:spacing w:val="9"/>
                <w:sz w:val="21"/>
                <w:szCs w:val="21"/>
                <w:highlight w:val="none"/>
              </w:rPr>
              <w:t>年</w:t>
            </w:r>
            <w:r>
              <w:rPr>
                <w:rFonts w:hint="eastAsia" w:ascii="宋体" w:hAnsi="宋体" w:eastAsia="宋体" w:cs="宋体"/>
                <w:spacing w:val="9"/>
                <w:sz w:val="21"/>
                <w:szCs w:val="21"/>
                <w:highlight w:val="none"/>
                <w:lang w:val="en-US" w:eastAsia="zh-CN"/>
              </w:rPr>
              <w:t xml:space="preserve"> 5 </w:t>
            </w:r>
            <w:r>
              <w:rPr>
                <w:rFonts w:hint="eastAsia" w:ascii="宋体" w:hAnsi="宋体" w:eastAsia="宋体" w:cs="宋体"/>
                <w:spacing w:val="9"/>
                <w:sz w:val="21"/>
                <w:szCs w:val="21"/>
                <w:highlight w:val="none"/>
              </w:rPr>
              <w:t>月</w:t>
            </w:r>
            <w:r>
              <w:rPr>
                <w:rFonts w:hint="eastAsia" w:ascii="宋体" w:hAnsi="宋体" w:eastAsia="宋体" w:cs="宋体"/>
                <w:spacing w:val="9"/>
                <w:sz w:val="21"/>
                <w:szCs w:val="21"/>
                <w:highlight w:val="none"/>
                <w:lang w:val="en-US" w:eastAsia="zh-CN"/>
              </w:rPr>
              <w:t xml:space="preserve"> 7 </w:t>
            </w:r>
            <w:r>
              <w:rPr>
                <w:rFonts w:hint="eastAsia" w:ascii="宋体" w:hAnsi="宋体" w:eastAsia="宋体" w:cs="宋体"/>
                <w:spacing w:val="9"/>
                <w:sz w:val="21"/>
                <w:szCs w:val="21"/>
                <w:highlight w:val="none"/>
              </w:rPr>
              <w:t>日</w:t>
            </w:r>
            <w:r>
              <w:rPr>
                <w:rFonts w:hint="eastAsia" w:ascii="宋体" w:hAnsi="宋体" w:eastAsia="宋体" w:cs="宋体"/>
                <w:spacing w:val="9"/>
                <w:sz w:val="21"/>
                <w:szCs w:val="21"/>
                <w:highlight w:val="none"/>
                <w:lang w:val="en-US" w:eastAsia="zh-CN"/>
              </w:rPr>
              <w:t>16</w:t>
            </w:r>
            <w:r>
              <w:rPr>
                <w:rFonts w:hint="eastAsia" w:ascii="宋体" w:hAnsi="宋体" w:eastAsia="宋体" w:cs="宋体"/>
                <w:spacing w:val="9"/>
                <w:sz w:val="21"/>
                <w:szCs w:val="21"/>
                <w:highlight w:val="none"/>
              </w:rPr>
              <w:t>:</w:t>
            </w:r>
            <w:r>
              <w:rPr>
                <w:rFonts w:hint="eastAsia" w:ascii="宋体" w:hAnsi="宋体" w:eastAsia="宋体" w:cs="宋体"/>
                <w:spacing w:val="9"/>
                <w:sz w:val="21"/>
                <w:szCs w:val="21"/>
                <w:highlight w:val="none"/>
                <w:lang w:val="en-US" w:eastAsia="zh-CN"/>
              </w:rPr>
              <w:t>0</w:t>
            </w:r>
            <w:r>
              <w:rPr>
                <w:rFonts w:hint="eastAsia" w:ascii="宋体" w:hAnsi="宋体" w:eastAsia="宋体" w:cs="宋体"/>
                <w:spacing w:val="9"/>
                <w:sz w:val="21"/>
                <w:szCs w:val="21"/>
                <w:highlight w:val="none"/>
              </w:rPr>
              <w:t>0（北京时间）</w:t>
            </w:r>
          </w:p>
        </w:tc>
      </w:tr>
      <w:tr w14:paraId="07ED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382" w:type="dxa"/>
            <w:tcBorders>
              <w:left w:val="single" w:color="000000" w:sz="10" w:space="0"/>
            </w:tcBorders>
            <w:vAlign w:val="top"/>
          </w:tcPr>
          <w:p w14:paraId="63C030BC">
            <w:pPr>
              <w:keepNext w:val="0"/>
              <w:keepLines w:val="0"/>
              <w:pageBreakBefore w:val="0"/>
              <w:widowControl/>
              <w:wordWrap/>
              <w:overflowPunct/>
              <w:topLinePunct w:val="0"/>
              <w:bidi w:val="0"/>
              <w:spacing w:before="235" w:line="360" w:lineRule="auto"/>
              <w:ind w:left="585"/>
              <w:rPr>
                <w:rFonts w:hint="eastAsia" w:ascii="宋体" w:hAnsi="宋体" w:eastAsia="宋体" w:cs="宋体"/>
                <w:sz w:val="21"/>
                <w:szCs w:val="21"/>
              </w:rPr>
            </w:pPr>
            <w:r>
              <w:rPr>
                <w:rFonts w:hint="eastAsia" w:ascii="宋体" w:hAnsi="宋体" w:eastAsia="宋体" w:cs="宋体"/>
                <w:spacing w:val="-3"/>
                <w:sz w:val="21"/>
                <w:szCs w:val="21"/>
              </w:rPr>
              <w:t>18.1</w:t>
            </w:r>
          </w:p>
        </w:tc>
        <w:tc>
          <w:tcPr>
            <w:tcW w:w="7346" w:type="dxa"/>
            <w:tcBorders>
              <w:right w:val="single" w:color="000000" w:sz="10" w:space="0"/>
            </w:tcBorders>
            <w:vAlign w:val="top"/>
          </w:tcPr>
          <w:p w14:paraId="4B8E714E">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开标时间：202</w:t>
            </w:r>
            <w:r>
              <w:rPr>
                <w:rFonts w:hint="eastAsia" w:ascii="宋体" w:hAnsi="宋体" w:eastAsia="宋体" w:cs="宋体"/>
                <w:spacing w:val="9"/>
                <w:sz w:val="21"/>
                <w:szCs w:val="21"/>
                <w:highlight w:val="none"/>
                <w:lang w:val="en-US" w:eastAsia="zh-CN"/>
              </w:rPr>
              <w:t>6</w:t>
            </w:r>
            <w:r>
              <w:rPr>
                <w:rFonts w:hint="eastAsia" w:ascii="宋体" w:hAnsi="宋体" w:eastAsia="宋体" w:cs="宋体"/>
                <w:spacing w:val="9"/>
                <w:sz w:val="21"/>
                <w:szCs w:val="21"/>
                <w:highlight w:val="none"/>
              </w:rPr>
              <w:t>年</w:t>
            </w:r>
            <w:r>
              <w:rPr>
                <w:rFonts w:hint="eastAsia" w:ascii="宋体" w:hAnsi="宋体" w:eastAsia="宋体" w:cs="宋体"/>
                <w:spacing w:val="9"/>
                <w:sz w:val="21"/>
                <w:szCs w:val="21"/>
                <w:highlight w:val="none"/>
                <w:lang w:val="en-US" w:eastAsia="zh-CN"/>
              </w:rPr>
              <w:t xml:space="preserve"> 5 </w:t>
            </w:r>
            <w:r>
              <w:rPr>
                <w:rFonts w:hint="eastAsia" w:ascii="宋体" w:hAnsi="宋体" w:eastAsia="宋体" w:cs="宋体"/>
                <w:spacing w:val="9"/>
                <w:sz w:val="21"/>
                <w:szCs w:val="21"/>
                <w:highlight w:val="none"/>
              </w:rPr>
              <w:t>月</w:t>
            </w:r>
            <w:r>
              <w:rPr>
                <w:rFonts w:hint="eastAsia" w:ascii="宋体" w:hAnsi="宋体" w:eastAsia="宋体" w:cs="宋体"/>
                <w:spacing w:val="9"/>
                <w:sz w:val="21"/>
                <w:szCs w:val="21"/>
                <w:highlight w:val="none"/>
                <w:lang w:val="en-US" w:eastAsia="zh-CN"/>
              </w:rPr>
              <w:t xml:space="preserve"> 7 </w:t>
            </w:r>
            <w:r>
              <w:rPr>
                <w:rFonts w:hint="eastAsia" w:ascii="宋体" w:hAnsi="宋体" w:eastAsia="宋体" w:cs="宋体"/>
                <w:spacing w:val="9"/>
                <w:sz w:val="21"/>
                <w:szCs w:val="21"/>
                <w:highlight w:val="none"/>
              </w:rPr>
              <w:t>日</w:t>
            </w:r>
            <w:r>
              <w:rPr>
                <w:rFonts w:hint="eastAsia" w:ascii="宋体" w:hAnsi="宋体" w:eastAsia="宋体" w:cs="宋体"/>
                <w:spacing w:val="9"/>
                <w:sz w:val="21"/>
                <w:szCs w:val="21"/>
                <w:highlight w:val="none"/>
                <w:lang w:val="en-US" w:eastAsia="zh-CN"/>
              </w:rPr>
              <w:t>16</w:t>
            </w:r>
            <w:r>
              <w:rPr>
                <w:rFonts w:hint="eastAsia" w:ascii="宋体" w:hAnsi="宋体" w:eastAsia="宋体" w:cs="宋体"/>
                <w:spacing w:val="9"/>
                <w:sz w:val="21"/>
                <w:szCs w:val="21"/>
                <w:highlight w:val="none"/>
              </w:rPr>
              <w:t>:</w:t>
            </w:r>
            <w:r>
              <w:rPr>
                <w:rFonts w:hint="eastAsia" w:ascii="宋体" w:hAnsi="宋体" w:eastAsia="宋体" w:cs="宋体"/>
                <w:spacing w:val="9"/>
                <w:sz w:val="21"/>
                <w:szCs w:val="21"/>
                <w:highlight w:val="none"/>
                <w:lang w:val="en-US" w:eastAsia="zh-CN"/>
              </w:rPr>
              <w:t>0</w:t>
            </w:r>
            <w:r>
              <w:rPr>
                <w:rFonts w:hint="eastAsia" w:ascii="宋体" w:hAnsi="宋体" w:eastAsia="宋体" w:cs="宋体"/>
                <w:spacing w:val="9"/>
                <w:sz w:val="21"/>
                <w:szCs w:val="21"/>
                <w:highlight w:val="none"/>
              </w:rPr>
              <w:t>0（北京时间）</w:t>
            </w:r>
          </w:p>
          <w:p w14:paraId="1E70BA38">
            <w:pPr>
              <w:keepNext w:val="0"/>
              <w:keepLines w:val="0"/>
              <w:pageBreakBefore w:val="0"/>
              <w:widowControl/>
              <w:wordWrap/>
              <w:overflowPunct/>
              <w:topLinePunct w:val="0"/>
              <w:bidi w:val="0"/>
              <w:spacing w:before="40" w:line="360" w:lineRule="auto"/>
              <w:ind w:left="24" w:right="18"/>
              <w:jc w:val="both"/>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开标地点：</w:t>
            </w:r>
            <w:r>
              <w:rPr>
                <w:rFonts w:hint="eastAsia" w:ascii="宋体" w:hAnsi="宋体" w:eastAsia="宋体" w:cs="宋体"/>
                <w:spacing w:val="9"/>
                <w:sz w:val="21"/>
                <w:szCs w:val="21"/>
                <w:highlight w:val="none"/>
              </w:rPr>
              <w:fldChar w:fldCharType="begin"/>
            </w:r>
            <w:r>
              <w:rPr>
                <w:rFonts w:hint="eastAsia" w:ascii="宋体" w:hAnsi="宋体" w:eastAsia="宋体" w:cs="宋体"/>
                <w:spacing w:val="9"/>
                <w:sz w:val="21"/>
                <w:szCs w:val="21"/>
                <w:highlight w:val="none"/>
              </w:rPr>
              <w:instrText xml:space="preserve"> HYPERLINK "https://www.zcygov.cn在线投标" </w:instrText>
            </w:r>
            <w:r>
              <w:rPr>
                <w:rFonts w:hint="eastAsia" w:ascii="宋体" w:hAnsi="宋体" w:eastAsia="宋体" w:cs="宋体"/>
                <w:spacing w:val="9"/>
                <w:sz w:val="21"/>
                <w:szCs w:val="21"/>
                <w:highlight w:val="none"/>
              </w:rPr>
              <w:fldChar w:fldCharType="separate"/>
            </w:r>
            <w:r>
              <w:rPr>
                <w:rFonts w:hint="eastAsia" w:ascii="宋体" w:hAnsi="宋体" w:eastAsia="宋体" w:cs="宋体"/>
                <w:spacing w:val="9"/>
                <w:sz w:val="21"/>
                <w:szCs w:val="21"/>
                <w:highlight w:val="none"/>
              </w:rPr>
              <w:t>https://www.zcygov.cn在线投标</w:t>
            </w:r>
            <w:r>
              <w:rPr>
                <w:rFonts w:hint="eastAsia" w:ascii="宋体" w:hAnsi="宋体" w:eastAsia="宋体" w:cs="宋体"/>
                <w:spacing w:val="9"/>
                <w:sz w:val="21"/>
                <w:szCs w:val="21"/>
                <w:highlight w:val="none"/>
              </w:rPr>
              <w:fldChar w:fldCharType="end"/>
            </w:r>
          </w:p>
        </w:tc>
      </w:tr>
      <w:tr w14:paraId="1B3C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82" w:type="dxa"/>
            <w:tcBorders>
              <w:left w:val="single" w:color="000000" w:sz="10" w:space="0"/>
            </w:tcBorders>
            <w:vAlign w:val="top"/>
          </w:tcPr>
          <w:p w14:paraId="2FFC853C">
            <w:pPr>
              <w:keepNext w:val="0"/>
              <w:keepLines w:val="0"/>
              <w:pageBreakBefore w:val="0"/>
              <w:widowControl/>
              <w:wordWrap/>
              <w:overflowPunct/>
              <w:topLinePunct w:val="0"/>
              <w:bidi w:val="0"/>
              <w:spacing w:before="84" w:line="360" w:lineRule="auto"/>
              <w:ind w:left="570"/>
              <w:rPr>
                <w:rFonts w:hint="eastAsia" w:ascii="宋体" w:hAnsi="宋体" w:eastAsia="宋体" w:cs="宋体"/>
                <w:sz w:val="21"/>
                <w:szCs w:val="21"/>
              </w:rPr>
            </w:pPr>
            <w:r>
              <w:rPr>
                <w:rFonts w:hint="eastAsia" w:ascii="宋体" w:hAnsi="宋体" w:eastAsia="宋体" w:cs="宋体"/>
                <w:spacing w:val="1"/>
                <w:sz w:val="21"/>
                <w:szCs w:val="21"/>
              </w:rPr>
              <w:t>23.2</w:t>
            </w:r>
          </w:p>
        </w:tc>
        <w:tc>
          <w:tcPr>
            <w:tcW w:w="7346" w:type="dxa"/>
            <w:tcBorders>
              <w:right w:val="single" w:color="000000" w:sz="10" w:space="0"/>
            </w:tcBorders>
            <w:vAlign w:val="top"/>
          </w:tcPr>
          <w:p w14:paraId="39E992C8">
            <w:pPr>
              <w:keepNext w:val="0"/>
              <w:keepLines w:val="0"/>
              <w:pageBreakBefore w:val="0"/>
              <w:widowControl/>
              <w:wordWrap/>
              <w:overflowPunct/>
              <w:topLinePunct w:val="0"/>
              <w:bidi w:val="0"/>
              <w:spacing w:before="45" w:line="360" w:lineRule="auto"/>
              <w:ind w:left="22"/>
              <w:rPr>
                <w:rFonts w:hint="eastAsia" w:ascii="宋体" w:hAnsi="宋体" w:eastAsia="宋体" w:cs="宋体"/>
                <w:spacing w:val="9"/>
                <w:sz w:val="21"/>
                <w:szCs w:val="21"/>
                <w:lang w:eastAsia="zh-CN"/>
              </w:rPr>
            </w:pPr>
            <w:r>
              <w:rPr>
                <w:rFonts w:hint="eastAsia" w:ascii="宋体" w:hAnsi="宋体" w:eastAsia="宋体" w:cs="宋体"/>
                <w:spacing w:val="9"/>
                <w:sz w:val="21"/>
                <w:szCs w:val="21"/>
              </w:rPr>
              <w:t>评标方法：综合评分法</w:t>
            </w:r>
            <w:r>
              <w:rPr>
                <w:rFonts w:hint="eastAsia" w:ascii="宋体" w:hAnsi="宋体" w:eastAsia="宋体" w:cs="宋体"/>
                <w:spacing w:val="9"/>
                <w:sz w:val="21"/>
                <w:szCs w:val="21"/>
                <w:lang w:eastAsia="zh-CN"/>
              </w:rPr>
              <w:t>，是指投标文件满足招标文件全部实质性要求，且按照评审因素的量化指标评审得分最高的投标人为中标候选人的评标方法。</w:t>
            </w:r>
          </w:p>
          <w:p w14:paraId="67B3C2C5">
            <w:pPr>
              <w:keepNext w:val="0"/>
              <w:keepLines w:val="0"/>
              <w:pageBreakBefore w:val="0"/>
              <w:widowControl/>
              <w:wordWrap/>
              <w:overflowPunct/>
              <w:topLinePunct w:val="0"/>
              <w:bidi w:val="0"/>
              <w:spacing w:before="45" w:line="360" w:lineRule="auto"/>
              <w:ind w:left="22"/>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评标结果按评审后得分由高到低顺序排列。得分相同的，按投标报价由低到高顺序排列。投标文件满足招标文件全部实质性要求，且按照评审因素的量化指标评审得分最高的投标人为排名第一的中标候选人。</w:t>
            </w:r>
          </w:p>
          <w:p w14:paraId="18200374">
            <w:pPr>
              <w:keepNext w:val="0"/>
              <w:keepLines w:val="0"/>
              <w:pageBreakBefore w:val="0"/>
              <w:widowControl/>
              <w:wordWrap/>
              <w:overflowPunct/>
              <w:topLinePunct w:val="0"/>
              <w:bidi w:val="0"/>
              <w:spacing w:before="45" w:line="360" w:lineRule="auto"/>
              <w:ind w:left="22"/>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tc>
      </w:tr>
      <w:tr w14:paraId="777C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382" w:type="dxa"/>
            <w:tcBorders>
              <w:left w:val="single" w:color="000000" w:sz="10" w:space="0"/>
            </w:tcBorders>
            <w:vAlign w:val="top"/>
          </w:tcPr>
          <w:p w14:paraId="4A912740">
            <w:pPr>
              <w:keepNext w:val="0"/>
              <w:keepLines w:val="0"/>
              <w:pageBreakBefore w:val="0"/>
              <w:widowControl/>
              <w:wordWrap/>
              <w:overflowPunct/>
              <w:topLinePunct w:val="0"/>
              <w:bidi w:val="0"/>
              <w:spacing w:before="114" w:line="360" w:lineRule="auto"/>
              <w:ind w:firstLine="612" w:firstLineChars="300"/>
              <w:rPr>
                <w:rFonts w:hint="eastAsia" w:ascii="宋体" w:hAnsi="宋体" w:eastAsia="宋体" w:cs="宋体"/>
                <w:sz w:val="21"/>
                <w:szCs w:val="21"/>
              </w:rPr>
            </w:pPr>
            <w:r>
              <w:rPr>
                <w:rFonts w:hint="eastAsia" w:ascii="宋体" w:hAnsi="宋体" w:eastAsia="宋体" w:cs="宋体"/>
                <w:spacing w:val="-3"/>
                <w:sz w:val="21"/>
                <w:szCs w:val="21"/>
              </w:rPr>
              <w:t>27</w:t>
            </w:r>
          </w:p>
        </w:tc>
        <w:tc>
          <w:tcPr>
            <w:tcW w:w="7346" w:type="dxa"/>
            <w:tcBorders>
              <w:right w:val="single" w:color="000000" w:sz="10" w:space="0"/>
            </w:tcBorders>
            <w:vAlign w:val="top"/>
          </w:tcPr>
          <w:p w14:paraId="45C5615F">
            <w:pPr>
              <w:keepNext w:val="0"/>
              <w:keepLines w:val="0"/>
              <w:pageBreakBefore w:val="0"/>
              <w:widowControl/>
              <w:wordWrap/>
              <w:overflowPunct/>
              <w:topLinePunct w:val="0"/>
              <w:bidi w:val="0"/>
              <w:spacing w:before="77" w:line="360" w:lineRule="auto"/>
              <w:ind w:left="23"/>
              <w:rPr>
                <w:rFonts w:hint="eastAsia" w:ascii="宋体" w:hAnsi="宋体" w:eastAsia="宋体" w:cs="宋体"/>
                <w:sz w:val="21"/>
                <w:szCs w:val="21"/>
              </w:rPr>
            </w:pPr>
            <w:r>
              <w:rPr>
                <w:rFonts w:hint="eastAsia" w:ascii="宋体" w:hAnsi="宋体" w:eastAsia="宋体" w:cs="宋体"/>
                <w:sz w:val="21"/>
                <w:szCs w:val="21"/>
              </w:rPr>
              <w:t xml:space="preserve">推荐中标候选供应商的数量： </w:t>
            </w:r>
            <w:r>
              <w:rPr>
                <w:rFonts w:hint="eastAsia" w:ascii="宋体" w:hAnsi="宋体" w:eastAsia="宋体" w:cs="宋体"/>
                <w:sz w:val="21"/>
                <w:szCs w:val="21"/>
                <w:u w:val="single" w:color="auto"/>
              </w:rPr>
              <w:t>3</w:t>
            </w:r>
            <w:r>
              <w:rPr>
                <w:rFonts w:hint="eastAsia" w:ascii="宋体" w:hAnsi="宋体" w:eastAsia="宋体" w:cs="宋体"/>
                <w:spacing w:val="-36"/>
                <w:sz w:val="21"/>
                <w:szCs w:val="21"/>
                <w:u w:val="single" w:color="auto"/>
              </w:rPr>
              <w:t xml:space="preserve"> </w:t>
            </w:r>
            <w:r>
              <w:rPr>
                <w:rFonts w:hint="eastAsia" w:ascii="宋体" w:hAnsi="宋体" w:eastAsia="宋体" w:cs="宋体"/>
                <w:sz w:val="21"/>
                <w:szCs w:val="21"/>
                <w:u w:val="single" w:color="auto"/>
              </w:rPr>
              <w:t>个</w:t>
            </w:r>
          </w:p>
        </w:tc>
      </w:tr>
      <w:tr w14:paraId="3351B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382" w:type="dxa"/>
            <w:tcBorders>
              <w:left w:val="single" w:color="000000" w:sz="10" w:space="0"/>
            </w:tcBorders>
            <w:vAlign w:val="top"/>
          </w:tcPr>
          <w:p w14:paraId="08B374DC">
            <w:pPr>
              <w:keepNext w:val="0"/>
              <w:keepLines w:val="0"/>
              <w:pageBreakBefore w:val="0"/>
              <w:widowControl/>
              <w:wordWrap/>
              <w:overflowPunct/>
              <w:topLinePunct w:val="0"/>
              <w:bidi w:val="0"/>
              <w:spacing w:before="117" w:line="360" w:lineRule="auto"/>
              <w:ind w:firstLine="612" w:firstLineChars="300"/>
              <w:rPr>
                <w:rFonts w:hint="eastAsia" w:ascii="宋体" w:hAnsi="宋体" w:eastAsia="宋体" w:cs="宋体"/>
                <w:sz w:val="21"/>
                <w:szCs w:val="21"/>
              </w:rPr>
            </w:pPr>
            <w:r>
              <w:rPr>
                <w:rFonts w:hint="eastAsia" w:ascii="宋体" w:hAnsi="宋体" w:eastAsia="宋体" w:cs="宋体"/>
                <w:spacing w:val="-3"/>
                <w:sz w:val="21"/>
                <w:szCs w:val="21"/>
              </w:rPr>
              <w:t>27</w:t>
            </w:r>
          </w:p>
        </w:tc>
        <w:tc>
          <w:tcPr>
            <w:tcW w:w="7346" w:type="dxa"/>
            <w:tcBorders>
              <w:right w:val="single" w:color="000000" w:sz="10" w:space="0"/>
            </w:tcBorders>
            <w:vAlign w:val="top"/>
          </w:tcPr>
          <w:p w14:paraId="4F927C01">
            <w:pPr>
              <w:keepNext w:val="0"/>
              <w:keepLines w:val="0"/>
              <w:pageBreakBefore w:val="0"/>
              <w:widowControl/>
              <w:wordWrap/>
              <w:overflowPunct/>
              <w:topLinePunct w:val="0"/>
              <w:bidi w:val="0"/>
              <w:spacing w:before="79" w:line="360" w:lineRule="auto"/>
              <w:ind w:left="24"/>
              <w:rPr>
                <w:rFonts w:hint="eastAsia" w:ascii="宋体" w:hAnsi="宋体" w:eastAsia="宋体" w:cs="宋体"/>
                <w:sz w:val="21"/>
                <w:szCs w:val="21"/>
              </w:rPr>
            </w:pPr>
            <w:r>
              <w:rPr>
                <w:rFonts w:hint="eastAsia" w:ascii="宋体" w:hAnsi="宋体" w:eastAsia="宋体" w:cs="宋体"/>
                <w:sz w:val="21"/>
                <w:szCs w:val="21"/>
              </w:rPr>
              <w:t>招标人是否委托评标委员会直接确定中标人：</w:t>
            </w:r>
            <w:r>
              <w:rPr>
                <w:rFonts w:hint="eastAsia" w:ascii="宋体" w:hAnsi="宋体" w:eastAsia="宋体" w:cs="宋体"/>
                <w:sz w:val="21"/>
                <w:szCs w:val="21"/>
                <w:u w:val="single" w:color="auto"/>
              </w:rPr>
              <w:t>否</w:t>
            </w:r>
          </w:p>
        </w:tc>
      </w:tr>
      <w:tr w14:paraId="5BB7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382" w:type="dxa"/>
            <w:tcBorders>
              <w:left w:val="single" w:color="000000" w:sz="10" w:space="0"/>
            </w:tcBorders>
            <w:vAlign w:val="top"/>
          </w:tcPr>
          <w:p w14:paraId="5F2A16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lang w:eastAsia="zh-CN"/>
              </w:rPr>
            </w:pPr>
          </w:p>
          <w:p w14:paraId="263882E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lang w:eastAsia="zh-CN"/>
              </w:rPr>
            </w:pPr>
          </w:p>
          <w:p w14:paraId="143592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31.1</w:t>
            </w:r>
          </w:p>
        </w:tc>
        <w:tc>
          <w:tcPr>
            <w:tcW w:w="7346" w:type="dxa"/>
            <w:tcBorders>
              <w:right w:val="single" w:color="000000" w:sz="10" w:space="0"/>
            </w:tcBorders>
            <w:vAlign w:val="top"/>
          </w:tcPr>
          <w:p w14:paraId="2097A1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履约保证金金额：中标价的</w:t>
            </w:r>
            <w:r>
              <w:rPr>
                <w:rFonts w:hint="eastAsia" w:ascii="宋体" w:hAnsi="宋体" w:eastAsia="宋体" w:cs="宋体"/>
                <w:bCs/>
                <w:color w:val="auto"/>
                <w:sz w:val="21"/>
                <w:szCs w:val="21"/>
                <w:highlight w:val="none"/>
                <w:lang w:val="en-US" w:eastAsia="zh-CN"/>
              </w:rPr>
              <w:t xml:space="preserve">10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不超过合同价的10%</w:t>
            </w:r>
            <w:r>
              <w:rPr>
                <w:rFonts w:hint="eastAsia" w:ascii="宋体" w:hAnsi="宋体" w:eastAsia="宋体" w:cs="宋体"/>
                <w:bCs/>
                <w:color w:val="auto"/>
                <w:sz w:val="21"/>
                <w:szCs w:val="21"/>
                <w:highlight w:val="none"/>
                <w:lang w:eastAsia="zh-CN"/>
              </w:rPr>
              <w:t>）</w:t>
            </w:r>
          </w:p>
          <w:p w14:paraId="7D32D9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履约保证金形式： 转账、电汇、保函</w:t>
            </w:r>
          </w:p>
          <w:p w14:paraId="005A8D0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eastAsia="zh-CN"/>
              </w:rPr>
              <w:t>提交履约保证金的时间：</w:t>
            </w:r>
            <w:r>
              <w:rPr>
                <w:rFonts w:hint="eastAsia" w:ascii="宋体" w:hAnsi="宋体" w:eastAsia="宋体" w:cs="宋体"/>
                <w:bCs/>
                <w:color w:val="000000"/>
                <w:sz w:val="21"/>
                <w:szCs w:val="21"/>
                <w:lang w:val="en-US" w:eastAsia="zh-CN"/>
              </w:rPr>
              <w:t>收到成交通知书7日内</w:t>
            </w:r>
          </w:p>
          <w:p w14:paraId="2B145C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服务验收合格后无息返还（双方也可以通过协商另行约定其他退还时间和方式及用途）。</w:t>
            </w:r>
          </w:p>
        </w:tc>
      </w:tr>
      <w:tr w14:paraId="42EA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382" w:type="dxa"/>
            <w:tcBorders>
              <w:left w:val="single" w:color="000000" w:sz="10" w:space="0"/>
            </w:tcBorders>
            <w:vAlign w:val="top"/>
          </w:tcPr>
          <w:p w14:paraId="14D806E0">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62CC0131">
            <w:pPr>
              <w:pStyle w:val="40"/>
              <w:keepNext w:val="0"/>
              <w:keepLines w:val="0"/>
              <w:pageBreakBefore w:val="0"/>
              <w:widowControl/>
              <w:wordWrap/>
              <w:overflowPunct/>
              <w:topLinePunct w:val="0"/>
              <w:bidi w:val="0"/>
              <w:spacing w:line="360" w:lineRule="auto"/>
              <w:rPr>
                <w:rFonts w:hint="eastAsia" w:ascii="宋体" w:hAnsi="宋体" w:eastAsia="宋体" w:cs="宋体"/>
                <w:sz w:val="21"/>
                <w:szCs w:val="21"/>
              </w:rPr>
            </w:pPr>
          </w:p>
          <w:p w14:paraId="60B824EE">
            <w:pPr>
              <w:keepNext w:val="0"/>
              <w:keepLines w:val="0"/>
              <w:pageBreakBefore w:val="0"/>
              <w:widowControl/>
              <w:wordWrap/>
              <w:overflowPunct/>
              <w:topLinePunct w:val="0"/>
              <w:bidi w:val="0"/>
              <w:spacing w:before="75" w:line="360" w:lineRule="auto"/>
              <w:ind w:left="572"/>
              <w:rPr>
                <w:rFonts w:hint="eastAsia" w:ascii="宋体" w:hAnsi="宋体" w:eastAsia="宋体" w:cs="宋体"/>
                <w:sz w:val="21"/>
                <w:szCs w:val="21"/>
              </w:rPr>
            </w:pPr>
            <w:r>
              <w:rPr>
                <w:rFonts w:hint="eastAsia" w:ascii="宋体" w:hAnsi="宋体" w:eastAsia="宋体" w:cs="宋体"/>
                <w:spacing w:val="-4"/>
                <w:sz w:val="21"/>
                <w:szCs w:val="21"/>
              </w:rPr>
              <w:t>32</w:t>
            </w:r>
          </w:p>
        </w:tc>
        <w:tc>
          <w:tcPr>
            <w:tcW w:w="7346" w:type="dxa"/>
            <w:tcBorders>
              <w:right w:val="single" w:color="000000" w:sz="10" w:space="0"/>
            </w:tcBorders>
            <w:vAlign w:val="top"/>
          </w:tcPr>
          <w:p w14:paraId="77CD17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spacing w:val="11"/>
                <w:sz w:val="21"/>
                <w:szCs w:val="21"/>
                <w:highlight w:val="none"/>
              </w:rPr>
              <w:t>招标代理服务费：</w:t>
            </w:r>
            <w:r>
              <w:rPr>
                <w:rFonts w:hint="eastAsia" w:ascii="宋体" w:hAnsi="宋体" w:eastAsia="宋体" w:cs="宋体"/>
                <w:bCs/>
                <w:color w:val="000000"/>
                <w:sz w:val="21"/>
                <w:szCs w:val="21"/>
                <w:highlight w:val="none"/>
                <w:lang w:eastAsia="zh-CN"/>
              </w:rPr>
              <w:t>根据（发改价格[2015]299号文件）采购代理机构</w:t>
            </w:r>
            <w:r>
              <w:rPr>
                <w:rFonts w:hint="eastAsia" w:ascii="宋体" w:hAnsi="宋体" w:eastAsia="宋体" w:cs="宋体"/>
                <w:bCs/>
                <w:color w:val="000000"/>
                <w:sz w:val="21"/>
                <w:szCs w:val="21"/>
                <w:highlight w:val="none"/>
                <w:lang w:val="en-US" w:eastAsia="zh-CN"/>
              </w:rPr>
              <w:t>与招标人经过双方协商确定</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由中标单位支付招标代理费；</w:t>
            </w:r>
          </w:p>
          <w:p w14:paraId="537466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收费标准：100</w:t>
            </w:r>
            <w:r>
              <w:rPr>
                <w:rFonts w:hint="eastAsia" w:ascii="宋体" w:hAnsi="宋体" w:eastAsia="宋体" w:cs="宋体"/>
                <w:bCs/>
                <w:color w:val="000000"/>
                <w:sz w:val="21"/>
                <w:szCs w:val="21"/>
                <w:highlight w:val="none"/>
                <w:lang w:eastAsia="zh-CN"/>
              </w:rPr>
              <w:t>万以下按1.</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eastAsia="zh-CN"/>
              </w:rPr>
              <w:t>%收取，按实际中标金额收取。</w:t>
            </w:r>
          </w:p>
          <w:p w14:paraId="6CB0E48B">
            <w:pPr>
              <w:keepNext w:val="0"/>
              <w:keepLines w:val="0"/>
              <w:pageBreakBefore w:val="0"/>
              <w:widowControl/>
              <w:kinsoku/>
              <w:wordWrap/>
              <w:overflowPunct/>
              <w:topLinePunct w:val="0"/>
              <w:autoSpaceDE/>
              <w:autoSpaceDN/>
              <w:bidi w:val="0"/>
              <w:adjustRightInd/>
              <w:snapToGrid/>
              <w:spacing w:line="360" w:lineRule="auto"/>
              <w:ind w:left="900" w:hanging="787" w:hangingChars="375"/>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支付形式：</w:t>
            </w:r>
            <w:r>
              <w:rPr>
                <w:rFonts w:hint="eastAsia" w:ascii="宋体" w:hAnsi="宋体" w:eastAsia="宋体" w:cs="宋体"/>
                <w:bCs/>
                <w:color w:val="000000"/>
                <w:sz w:val="21"/>
                <w:szCs w:val="21"/>
                <w:highlight w:val="none"/>
                <w:u w:val="single"/>
              </w:rPr>
              <w:t xml:space="preserve">  对公转账  </w:t>
            </w:r>
          </w:p>
          <w:p w14:paraId="65FF8FA7">
            <w:pPr>
              <w:keepNext w:val="0"/>
              <w:keepLines w:val="0"/>
              <w:pageBreakBefore w:val="0"/>
              <w:widowControl/>
              <w:wordWrap/>
              <w:overflowPunct/>
              <w:topLinePunct w:val="0"/>
              <w:bidi w:val="0"/>
              <w:spacing w:before="28" w:line="360" w:lineRule="auto"/>
              <w:ind w:left="24"/>
              <w:rPr>
                <w:rFonts w:hint="eastAsia" w:ascii="宋体" w:hAnsi="宋体" w:eastAsia="宋体" w:cs="宋体"/>
                <w:sz w:val="21"/>
                <w:szCs w:val="21"/>
              </w:rPr>
            </w:pPr>
            <w:r>
              <w:rPr>
                <w:rFonts w:hint="eastAsia" w:ascii="宋体" w:hAnsi="宋体" w:eastAsia="宋体" w:cs="宋体"/>
                <w:bCs/>
                <w:color w:val="000000"/>
                <w:sz w:val="21"/>
                <w:szCs w:val="21"/>
                <w:highlight w:val="none"/>
              </w:rPr>
              <w:t>支付时间：</w:t>
            </w:r>
            <w:r>
              <w:rPr>
                <w:rFonts w:hint="eastAsia" w:ascii="宋体" w:hAnsi="宋体" w:eastAsia="宋体" w:cs="宋体"/>
                <w:bCs/>
                <w:color w:val="000000"/>
                <w:sz w:val="21"/>
                <w:szCs w:val="21"/>
                <w:highlight w:val="none"/>
                <w:u w:val="single"/>
              </w:rPr>
              <w:t xml:space="preserve">  领取成交通知书时</w:t>
            </w:r>
            <w:r>
              <w:rPr>
                <w:rFonts w:hint="eastAsia" w:ascii="宋体" w:hAnsi="宋体" w:eastAsia="宋体" w:cs="宋体"/>
                <w:bCs/>
                <w:color w:val="000000"/>
                <w:sz w:val="21"/>
                <w:szCs w:val="21"/>
                <w:highlight w:val="none"/>
                <w:u w:val="single"/>
                <w:lang w:eastAsia="zh-CN"/>
              </w:rPr>
              <w:t>，</w:t>
            </w:r>
            <w:r>
              <w:rPr>
                <w:rFonts w:hint="eastAsia" w:ascii="宋体" w:hAnsi="宋体" w:eastAsia="宋体" w:cs="宋体"/>
                <w:bCs/>
                <w:color w:val="000000"/>
                <w:sz w:val="21"/>
                <w:szCs w:val="21"/>
                <w:highlight w:val="none"/>
                <w:u w:val="single"/>
                <w:lang w:val="en-US" w:eastAsia="zh-CN"/>
              </w:rPr>
              <w:t>一次性支付</w:t>
            </w:r>
            <w:r>
              <w:rPr>
                <w:rFonts w:hint="eastAsia" w:ascii="宋体" w:hAnsi="宋体" w:eastAsia="宋体" w:cs="宋体"/>
                <w:bCs/>
                <w:color w:val="000000"/>
                <w:sz w:val="21"/>
                <w:szCs w:val="21"/>
                <w:highlight w:val="none"/>
                <w:u w:val="single"/>
              </w:rPr>
              <w:t xml:space="preserve"> </w:t>
            </w:r>
          </w:p>
        </w:tc>
      </w:tr>
      <w:tr w14:paraId="37F2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382" w:type="dxa"/>
            <w:tcBorders>
              <w:left w:val="single" w:color="000000" w:sz="10" w:space="0"/>
            </w:tcBorders>
            <w:vAlign w:val="center"/>
          </w:tcPr>
          <w:p w14:paraId="3B9C2D39">
            <w:pPr>
              <w:keepNext w:val="0"/>
              <w:keepLines w:val="0"/>
              <w:pageBreakBefore w:val="0"/>
              <w:widowControl/>
              <w:wordWrap/>
              <w:overflowPunct/>
              <w:topLinePunct w:val="0"/>
              <w:bidi w:val="0"/>
              <w:spacing w:before="75" w:line="360" w:lineRule="auto"/>
              <w:ind w:left="572"/>
              <w:jc w:val="both"/>
              <w:rPr>
                <w:rFonts w:hint="default"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33.1</w:t>
            </w:r>
          </w:p>
        </w:tc>
        <w:tc>
          <w:tcPr>
            <w:tcW w:w="7346" w:type="dxa"/>
            <w:tcBorders>
              <w:right w:val="single" w:color="000000" w:sz="10" w:space="0"/>
            </w:tcBorders>
            <w:vAlign w:val="center"/>
          </w:tcPr>
          <w:p w14:paraId="7AD0EB9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rPr>
              <w:t>本项目是否属于信用担保试点范围：</w:t>
            </w:r>
            <w:r>
              <w:rPr>
                <w:rFonts w:hint="eastAsia" w:ascii="宋体" w:hAnsi="宋体" w:eastAsia="宋体" w:cs="宋体"/>
                <w:spacing w:val="11"/>
                <w:sz w:val="21"/>
                <w:szCs w:val="21"/>
                <w:u w:val="single"/>
                <w:lang w:val="en-US" w:eastAsia="zh-CN"/>
              </w:rPr>
              <w:t>是</w:t>
            </w:r>
            <w:r>
              <w:rPr>
                <w:rFonts w:hint="eastAsia" w:ascii="宋体" w:hAnsi="宋体" w:eastAsia="宋体" w:cs="宋体"/>
                <w:spacing w:val="11"/>
                <w:sz w:val="21"/>
                <w:szCs w:val="21"/>
              </w:rPr>
              <w:t>（是、否）</w:t>
            </w:r>
          </w:p>
        </w:tc>
      </w:tr>
      <w:tr w14:paraId="0AED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382" w:type="dxa"/>
            <w:tcBorders>
              <w:left w:val="single" w:color="000000" w:sz="10" w:space="0"/>
            </w:tcBorders>
            <w:vAlign w:val="center"/>
          </w:tcPr>
          <w:p w14:paraId="30C0BF53">
            <w:pPr>
              <w:keepNext w:val="0"/>
              <w:keepLines w:val="0"/>
              <w:pageBreakBefore w:val="0"/>
              <w:widowControl/>
              <w:wordWrap/>
              <w:overflowPunct/>
              <w:topLinePunct w:val="0"/>
              <w:bidi w:val="0"/>
              <w:spacing w:before="75" w:line="360" w:lineRule="auto"/>
              <w:ind w:firstLine="404" w:firstLineChars="200"/>
              <w:jc w:val="both"/>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33.2.3</w:t>
            </w:r>
          </w:p>
        </w:tc>
        <w:tc>
          <w:tcPr>
            <w:tcW w:w="7346" w:type="dxa"/>
            <w:tcBorders>
              <w:right w:val="single" w:color="000000" w:sz="10" w:space="0"/>
            </w:tcBorders>
            <w:vAlign w:val="center"/>
          </w:tcPr>
          <w:p w14:paraId="162640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40F3B5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莎车县宏远融资担保有限责任公司</w:t>
            </w:r>
          </w:p>
          <w:p w14:paraId="31FA250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联系人：王升           联系电话：18699899296</w:t>
            </w:r>
          </w:p>
          <w:p w14:paraId="6180F12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地址：莎车县新城16号</w:t>
            </w:r>
          </w:p>
          <w:p w14:paraId="7694779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pacing w:val="11"/>
                <w:sz w:val="21"/>
                <w:szCs w:val="21"/>
                <w:lang w:val="en-US" w:eastAsia="zh-CN"/>
              </w:rPr>
            </w:pPr>
            <w:r>
              <w:rPr>
                <w:rFonts w:hint="eastAsia" w:ascii="宋体" w:hAnsi="宋体" w:eastAsia="宋体" w:cs="宋体"/>
                <w:spacing w:val="11"/>
                <w:sz w:val="21"/>
                <w:szCs w:val="21"/>
              </w:rPr>
              <w:t>邮箱：</w:t>
            </w:r>
            <w:r>
              <w:rPr>
                <w:rFonts w:hint="eastAsia" w:ascii="宋体" w:hAnsi="宋体" w:eastAsia="宋体" w:cs="宋体"/>
                <w:spacing w:val="11"/>
                <w:sz w:val="21"/>
                <w:szCs w:val="21"/>
                <w:lang w:val="en-US" w:eastAsia="zh-CN"/>
              </w:rPr>
              <w:t>245462334@qq.com</w:t>
            </w:r>
          </w:p>
          <w:p w14:paraId="5183A95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lang w:val="en-US" w:eastAsia="zh-CN"/>
              </w:rPr>
              <w:t>以上担保机构只是给各投标单位多一项选择，最终选择哪个合法的担保机构，不影响正常项目投标</w:t>
            </w:r>
            <w:r>
              <w:rPr>
                <w:rFonts w:hint="eastAsia" w:ascii="宋体" w:hAnsi="宋体" w:eastAsia="宋体" w:cs="宋体"/>
                <w:spacing w:val="11"/>
                <w:sz w:val="21"/>
                <w:szCs w:val="21"/>
                <w:lang w:eastAsia="zh-CN"/>
              </w:rPr>
              <w:t>）</w:t>
            </w:r>
          </w:p>
        </w:tc>
      </w:tr>
      <w:tr w14:paraId="092F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382" w:type="dxa"/>
            <w:tcBorders>
              <w:left w:val="single" w:color="000000" w:sz="10" w:space="0"/>
            </w:tcBorders>
            <w:vAlign w:val="top"/>
          </w:tcPr>
          <w:p w14:paraId="3EE6BB1A">
            <w:pPr>
              <w:keepNext w:val="0"/>
              <w:keepLines w:val="0"/>
              <w:pageBreakBefore w:val="0"/>
              <w:widowControl/>
              <w:wordWrap/>
              <w:overflowPunct/>
              <w:topLinePunct w:val="0"/>
              <w:bidi w:val="0"/>
              <w:spacing w:before="75" w:line="360" w:lineRule="auto"/>
              <w:ind w:left="572"/>
              <w:rPr>
                <w:rFonts w:hint="default"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36</w:t>
            </w:r>
          </w:p>
        </w:tc>
        <w:tc>
          <w:tcPr>
            <w:tcW w:w="7346" w:type="dxa"/>
            <w:tcBorders>
              <w:right w:val="single" w:color="000000" w:sz="10" w:space="0"/>
            </w:tcBorders>
            <w:vAlign w:val="top"/>
          </w:tcPr>
          <w:p w14:paraId="5CB1EC43">
            <w:pPr>
              <w:keepNext w:val="0"/>
              <w:keepLines w:val="0"/>
              <w:pageBreakBefore w:val="0"/>
              <w:widowControl/>
              <w:numPr>
                <w:ilvl w:val="0"/>
                <w:numId w:val="0"/>
              </w:numPr>
              <w:wordWrap/>
              <w:overflowPunct/>
              <w:topLinePunct w:val="0"/>
              <w:bidi w:val="0"/>
              <w:spacing w:before="28" w:line="360" w:lineRule="auto"/>
              <w:ind w:left="24"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en-US" w:bidi="ar-SA"/>
              </w:rPr>
              <w:t>（1）</w:t>
            </w:r>
            <w:r>
              <w:rPr>
                <w:rFonts w:hint="eastAsia" w:ascii="宋体" w:hAnsi="宋体" w:eastAsia="宋体" w:cs="宋体"/>
                <w:b w:val="0"/>
                <w:bCs w:val="0"/>
                <w:color w:val="auto"/>
                <w:sz w:val="21"/>
                <w:szCs w:val="21"/>
                <w:highlight w:val="none"/>
              </w:rPr>
              <w:t>投标单位认为招标文件、采购过程或中标结果使自己的合法权益受到损害的，应当在知道或者应知其权益受到损害之日起在规定的期限内，按规定的程序针对同一采购程序环节一次性实名向招标人、采购代理机构提出书面质疑。投标单位对招标人(采购代理机构)的质疑答复不满意或者招标人(采购代理机构)未在规定时间内做出答复的，可以在答复期满后五个工作日内向有关监管部门投诉</w:t>
            </w:r>
          </w:p>
          <w:p w14:paraId="2476536A">
            <w:pPr>
              <w:keepNext w:val="0"/>
              <w:keepLines w:val="0"/>
              <w:pageBreakBefore w:val="0"/>
              <w:widowControl/>
              <w:numPr>
                <w:ilvl w:val="0"/>
                <w:numId w:val="0"/>
              </w:numPr>
              <w:wordWrap/>
              <w:overflowPunct/>
              <w:topLinePunct w:val="0"/>
              <w:bidi w:val="0"/>
              <w:spacing w:before="28"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接收单位：</w:t>
            </w:r>
          </w:p>
          <w:p w14:paraId="7CEC315D">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采购人：莎车县教育局</w:t>
            </w:r>
          </w:p>
          <w:p w14:paraId="31B19356">
            <w:pPr>
              <w:keepNext w:val="0"/>
              <w:keepLines w:val="0"/>
              <w:pageBreakBefore w:val="0"/>
              <w:widowControl/>
              <w:numPr>
                <w:ilvl w:val="0"/>
                <w:numId w:val="0"/>
              </w:numPr>
              <w:wordWrap/>
              <w:overflowPunct/>
              <w:topLinePunct w:val="0"/>
              <w:bidi w:val="0"/>
              <w:spacing w:before="28"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联系人：唐明      </w:t>
            </w:r>
          </w:p>
          <w:p w14:paraId="7C55FD0A">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联系方式：13279813760 </w:t>
            </w:r>
          </w:p>
          <w:p w14:paraId="676A749B">
            <w:pPr>
              <w:keepNext w:val="0"/>
              <w:keepLines w:val="0"/>
              <w:pageBreakBefore w:val="0"/>
              <w:widowControl/>
              <w:numPr>
                <w:ilvl w:val="0"/>
                <w:numId w:val="0"/>
              </w:numPr>
              <w:wordWrap/>
              <w:overflowPunct/>
              <w:topLinePunct w:val="0"/>
              <w:bidi w:val="0"/>
              <w:spacing w:before="28"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    址：喀什地区莎车县其乃巴格路8号</w:t>
            </w:r>
          </w:p>
          <w:p w14:paraId="52BB6B42">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采购代理机构：新疆正昊建设工程项目管理有限公司</w:t>
            </w:r>
          </w:p>
          <w:p w14:paraId="71AF420D">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地址：喀什市托克扎克路103号1号楼3单元301室</w:t>
            </w:r>
          </w:p>
          <w:p w14:paraId="7A784591">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 xml:space="preserve">业务联系人： 张俊      </w:t>
            </w:r>
          </w:p>
          <w:p w14:paraId="40C3E26B">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联系方式：</w:t>
            </w:r>
            <w:r>
              <w:rPr>
                <w:rFonts w:hint="default" w:ascii="宋体" w:hAnsi="宋体" w:eastAsia="宋体" w:cs="宋体"/>
                <w:b w:val="0"/>
                <w:bCs w:val="0"/>
                <w:color w:val="auto"/>
                <w:sz w:val="21"/>
                <w:szCs w:val="21"/>
                <w:highlight w:val="none"/>
                <w:lang w:val="en-US" w:eastAsia="zh-CN"/>
              </w:rPr>
              <w:t>15569403261</w:t>
            </w:r>
          </w:p>
        </w:tc>
      </w:tr>
      <w:tr w14:paraId="1C7C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2" w:type="dxa"/>
            <w:tcBorders>
              <w:left w:val="single" w:color="000000" w:sz="10" w:space="0"/>
            </w:tcBorders>
            <w:vAlign w:val="top"/>
          </w:tcPr>
          <w:p w14:paraId="02B0E6C3">
            <w:pPr>
              <w:keepNext w:val="0"/>
              <w:keepLines w:val="0"/>
              <w:pageBreakBefore w:val="0"/>
              <w:widowControl/>
              <w:wordWrap/>
              <w:overflowPunct/>
              <w:topLinePunct w:val="0"/>
              <w:bidi w:val="0"/>
              <w:spacing w:before="75" w:line="360" w:lineRule="auto"/>
              <w:ind w:left="572"/>
              <w:rPr>
                <w:rFonts w:hint="default"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33.1</w:t>
            </w:r>
          </w:p>
        </w:tc>
        <w:tc>
          <w:tcPr>
            <w:tcW w:w="7346" w:type="dxa"/>
            <w:tcBorders>
              <w:right w:val="single" w:color="000000" w:sz="10" w:space="0"/>
            </w:tcBorders>
            <w:vAlign w:val="top"/>
          </w:tcPr>
          <w:p w14:paraId="7D20F8E6">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 xml:space="preserve">监督机构：莎车县财政局政府采购管理办公室 </w:t>
            </w:r>
          </w:p>
          <w:p w14:paraId="5211FA1B">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 xml:space="preserve">地 址：莎车县城南综合办公大楼112室 </w:t>
            </w:r>
          </w:p>
          <w:p w14:paraId="46317DE9">
            <w:pPr>
              <w:keepNext w:val="0"/>
              <w:keepLines w:val="0"/>
              <w:pageBreakBefore w:val="0"/>
              <w:widowControl/>
              <w:numPr>
                <w:ilvl w:val="0"/>
                <w:numId w:val="0"/>
              </w:numPr>
              <w:wordWrap/>
              <w:overflowPunct/>
              <w:topLinePunct w:val="0"/>
              <w:bidi w:val="0"/>
              <w:spacing w:before="28"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监督投诉电话：0998-6610527</w:t>
            </w:r>
          </w:p>
        </w:tc>
      </w:tr>
      <w:tr w14:paraId="7AED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728" w:type="dxa"/>
            <w:gridSpan w:val="2"/>
            <w:tcBorders>
              <w:left w:val="single" w:color="000000" w:sz="10" w:space="0"/>
              <w:bottom w:val="single" w:color="000000" w:sz="10" w:space="0"/>
              <w:right w:val="single" w:color="000000" w:sz="10" w:space="0"/>
            </w:tcBorders>
            <w:vAlign w:val="top"/>
          </w:tcPr>
          <w:p w14:paraId="17BA57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适用于本投标人须知的额外增加的变动：</w:t>
            </w:r>
          </w:p>
        </w:tc>
      </w:tr>
      <w:tr w14:paraId="2DFC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382" w:type="dxa"/>
            <w:tcBorders>
              <w:left w:val="single" w:color="000000" w:sz="10" w:space="0"/>
              <w:bottom w:val="single" w:color="000000" w:sz="10" w:space="0"/>
            </w:tcBorders>
            <w:vAlign w:val="top"/>
          </w:tcPr>
          <w:p w14:paraId="1F8BA1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备注</w:t>
            </w:r>
          </w:p>
        </w:tc>
        <w:tc>
          <w:tcPr>
            <w:tcW w:w="7346" w:type="dxa"/>
            <w:tcBorders>
              <w:bottom w:val="single" w:color="000000" w:sz="10" w:space="0"/>
              <w:right w:val="single" w:color="000000" w:sz="10" w:space="0"/>
            </w:tcBorders>
            <w:vAlign w:val="top"/>
          </w:tcPr>
          <w:p w14:paraId="11D4851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 xml:space="preserve"> 低于成本价不正当竞争预防措施：政府采购评审中出现下列情形之一的，评审委员会应当启动异常低价投标（响应）审查程序：</w:t>
            </w:r>
          </w:p>
          <w:p w14:paraId="0597B21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1.投标（响应）报价低于全部通过符合性审查供应商投标（响应）报价平均值50%的，即投标（响应）报价&lt;全部通过符合性审查供应商投标（响应）报价平均值×50%；</w:t>
            </w:r>
          </w:p>
          <w:p w14:paraId="04CF9DC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2.投标（响应）报价低于通过符合性审查的次低报价供应商投标（响应）报价50%的，即投标（响应）报价&lt;通过符合性审查的次低报价供应商投标（响应）报价×50%；</w:t>
            </w:r>
          </w:p>
          <w:p w14:paraId="71B7FA5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3.投标（响应）报价低于采购项目最高限价45%的，即投标（响应）报价&lt;采购项目最高限价×45%；</w:t>
            </w:r>
          </w:p>
          <w:p w14:paraId="50D875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4.评审委员会基于专业判断，认为供应商报价过低，有可能影响产品质量或者不能诚信履约的其他情形。</w:t>
            </w:r>
          </w:p>
          <w:p w14:paraId="549954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73EB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11"/>
                <w:sz w:val="21"/>
                <w:szCs w:val="21"/>
                <w:lang w:eastAsia="zh-CN"/>
              </w:rPr>
            </w:pPr>
            <w:r>
              <w:rPr>
                <w:rFonts w:hint="eastAsia" w:ascii="宋体" w:hAnsi="宋体" w:eastAsia="宋体" w:cs="宋体"/>
                <w:spacing w:val="11"/>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6869EAE5">
      <w:pPr>
        <w:rPr>
          <w:rFonts w:hint="eastAsia"/>
        </w:rPr>
      </w:pPr>
    </w:p>
    <w:p w14:paraId="165C0B5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sz w:val="28"/>
          <w:szCs w:val="28"/>
        </w:rPr>
      </w:pPr>
      <w:bookmarkStart w:id="101" w:name="_Toc23812"/>
    </w:p>
    <w:p w14:paraId="6F5CE95F">
      <w:pPr>
        <w:pStyle w:val="2"/>
        <w:ind w:left="0" w:leftChars="0" w:firstLine="0" w:firstLineChars="0"/>
        <w:rPr>
          <w:rFonts w:hint="eastAsia" w:ascii="宋体" w:hAnsi="宋体" w:eastAsia="宋体" w:cs="宋体"/>
          <w:sz w:val="28"/>
          <w:szCs w:val="28"/>
        </w:rPr>
      </w:pPr>
      <w:bookmarkStart w:id="293" w:name="_GoBack"/>
      <w:bookmarkEnd w:id="293"/>
    </w:p>
    <w:p w14:paraId="7D0638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default" w:ascii="宋体" w:hAnsi="宋体" w:eastAsia="宋体" w:cs="宋体"/>
          <w:sz w:val="28"/>
          <w:szCs w:val="28"/>
          <w:lang w:val="en-US" w:eastAsia="zh-CN"/>
        </w:rPr>
      </w:pPr>
      <w:r>
        <w:rPr>
          <w:rFonts w:hint="eastAsia" w:ascii="宋体" w:hAnsi="宋体" w:eastAsia="宋体" w:cs="宋体"/>
          <w:sz w:val="28"/>
          <w:szCs w:val="28"/>
        </w:rPr>
        <w:t>第</w:t>
      </w:r>
      <w:r>
        <w:rPr>
          <w:rFonts w:hint="eastAsia" w:ascii="宋体" w:hAnsi="宋体" w:eastAsia="宋体" w:cs="宋体"/>
          <w:sz w:val="28"/>
          <w:szCs w:val="28"/>
          <w:lang w:val="en-US" w:eastAsia="zh-CN"/>
        </w:rPr>
        <w:t>五</w:t>
      </w:r>
      <w:r>
        <w:rPr>
          <w:rFonts w:hint="eastAsia" w:ascii="宋体" w:hAnsi="宋体" w:eastAsia="宋体" w:cs="宋体"/>
          <w:sz w:val="28"/>
          <w:szCs w:val="28"/>
        </w:rPr>
        <w:t xml:space="preserve">章 </w:t>
      </w:r>
      <w:bookmarkEnd w:id="101"/>
      <w:r>
        <w:rPr>
          <w:rFonts w:hint="eastAsia" w:ascii="宋体" w:hAnsi="宋体" w:eastAsia="宋体" w:cs="宋体"/>
          <w:sz w:val="28"/>
          <w:szCs w:val="28"/>
          <w:lang w:val="en-US" w:eastAsia="zh-CN"/>
        </w:rPr>
        <w:t xml:space="preserve">  采购需求</w:t>
      </w:r>
    </w:p>
    <w:p w14:paraId="7ACCAF71">
      <w:pPr>
        <w:pStyle w:val="11"/>
        <w:ind w:left="0" w:leftChars="0" w:firstLine="0" w:firstLineChars="0"/>
        <w:rPr>
          <w:rFonts w:hint="eastAsia" w:eastAsia="宋体"/>
          <w:lang w:val="en-US" w:eastAsia="zh-CN"/>
        </w:rPr>
      </w:pPr>
    </w:p>
    <w:p w14:paraId="36E38312">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lang w:val="en-US" w:eastAsia="zh-CN"/>
        </w:rPr>
      </w:pPr>
      <w:bookmarkStart w:id="102" w:name="_Toc17975"/>
      <w:r>
        <w:rPr>
          <w:rFonts w:hint="eastAsia" w:ascii="宋体" w:hAnsi="宋体" w:eastAsia="宋体" w:cs="宋体"/>
          <w:sz w:val="24"/>
          <w:szCs w:val="24"/>
          <w:lang w:val="en-US" w:eastAsia="zh-CN"/>
        </w:rPr>
        <w:t>一、项目名称</w:t>
      </w:r>
    </w:p>
    <w:p w14:paraId="18B44AA1">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莎车县2026年中小学办学条件改善项目</w:t>
      </w:r>
    </w:p>
    <w:p w14:paraId="0B772853">
      <w:pPr>
        <w:pStyle w:val="15"/>
        <w:keepNext w:val="0"/>
        <w:keepLines w:val="0"/>
        <w:pageBreakBefore w:val="0"/>
        <w:widowControl/>
        <w:numPr>
          <w:ilvl w:val="0"/>
          <w:numId w:val="11"/>
        </w:numPr>
        <w:kinsoku w:val="0"/>
        <w:wordWrap/>
        <w:overflowPunct/>
        <w:topLinePunct w:val="0"/>
        <w:autoSpaceDE w:val="0"/>
        <w:autoSpaceDN w:val="0"/>
        <w:bidi w:val="0"/>
        <w:adjustRightInd w:val="0"/>
        <w:snapToGrid w:val="0"/>
        <w:spacing w:before="135" w:line="360" w:lineRule="auto"/>
        <w:ind w:left="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项目建设地点</w:t>
      </w:r>
    </w:p>
    <w:p w14:paraId="2AD1CA03">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莎车县第二中学、莎车县第七中学、莎车县第十中学、莎车县第十六中学、莎车县米夏镇中学、莎车县塔尕尔其镇中学、莎车县阔什艾日克乡中学、莎车县艾力西湖镇中学、莎车县荒地镇中学、莎车县墩巴格乡中学、莎车县阿尔斯兰巴格乡中学、莎车县孜热甫夏提塔吉克族乡中学、莎车县亚喀艾日克乡中学、莎车县喀群乡中学、莎车县依盖尔其镇中学、莎车县白什坎特镇中学、莎车县阿拉买提镇中学、莎车县阿扎特巴格镇中学、莎车县巴格阿瓦提乡中学、莎车县喀拉苏乡中学、莎车县阿瓦提镇中学、莎车县乌达力克镇中学、莎车县恰热克镇中学、莎车县第一小学、莎车县第二小学、莎车县第三小学、莎车县第四小学、莎车县第六小学、莎车县伊什库力乡实验小学、莎车县拍克其乡实验小学、莎车县艾力西湖镇中心小学、莎车县荒地镇实验小学、莎车县墩巴格乡中心小学、莎车县阿热勒乡中心小学、莎车县巴格阿瓦提乡实验小学、莎车县阿尔斯兰巴格乡实验小学、莎车县乌达力克镇中心小学、莎车县恰热克镇中心小学、莎车县喀群乡实验小学、莎车县霍什拉甫乡中心小学</w:t>
      </w:r>
    </w:p>
    <w:p w14:paraId="4FBA77D0">
      <w:pPr>
        <w:pStyle w:val="15"/>
        <w:keepNext w:val="0"/>
        <w:keepLines w:val="0"/>
        <w:pageBreakBefore w:val="0"/>
        <w:widowControl/>
        <w:numPr>
          <w:ilvl w:val="0"/>
          <w:numId w:val="11"/>
        </w:numPr>
        <w:kinsoku w:val="0"/>
        <w:wordWrap/>
        <w:overflowPunct/>
        <w:topLinePunct w:val="0"/>
        <w:autoSpaceDE w:val="0"/>
        <w:autoSpaceDN w:val="0"/>
        <w:bidi w:val="0"/>
        <w:adjustRightInd w:val="0"/>
        <w:snapToGrid w:val="0"/>
        <w:spacing w:before="135" w:line="360" w:lineRule="auto"/>
        <w:ind w:left="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建设规模</w:t>
      </w:r>
    </w:p>
    <w:p w14:paraId="7CAF7F6B">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对全县 40 所中小学进行室内外消防设施完善、食堂改造、室内外地面硬化等提升改造。</w:t>
      </w:r>
    </w:p>
    <w:tbl>
      <w:tblPr>
        <w:tblStyle w:val="39"/>
        <w:tblW w:w="10122" w:type="dxa"/>
        <w:tblInd w:w="-7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845"/>
        <w:gridCol w:w="2233"/>
        <w:gridCol w:w="5489"/>
      </w:tblGrid>
      <w:tr w14:paraId="01D83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5" w:type="dxa"/>
            <w:vAlign w:val="center"/>
          </w:tcPr>
          <w:p w14:paraId="4E2AEC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845" w:type="dxa"/>
            <w:vAlign w:val="center"/>
          </w:tcPr>
          <w:p w14:paraId="2C3C3F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学校名称</w:t>
            </w:r>
          </w:p>
        </w:tc>
        <w:tc>
          <w:tcPr>
            <w:tcW w:w="7722" w:type="dxa"/>
            <w:gridSpan w:val="2"/>
            <w:vAlign w:val="center"/>
          </w:tcPr>
          <w:p w14:paraId="55A650A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建设内容</w:t>
            </w:r>
          </w:p>
        </w:tc>
      </w:tr>
      <w:tr w14:paraId="29AA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555" w:type="dxa"/>
            <w:vAlign w:val="center"/>
          </w:tcPr>
          <w:p w14:paraId="6A105A9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33D45C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845" w:type="dxa"/>
            <w:vAlign w:val="center"/>
          </w:tcPr>
          <w:p w14:paraId="7BB5D5A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莎车县第二中学</w:t>
            </w:r>
          </w:p>
        </w:tc>
        <w:tc>
          <w:tcPr>
            <w:tcW w:w="2233" w:type="dxa"/>
            <w:vAlign w:val="center"/>
          </w:tcPr>
          <w:p w14:paraId="087240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2000平方米地面硬化</w:t>
            </w:r>
          </w:p>
        </w:tc>
        <w:tc>
          <w:tcPr>
            <w:tcW w:w="5489" w:type="dxa"/>
            <w:vAlign w:val="center"/>
          </w:tcPr>
          <w:p w14:paraId="283F2ED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对6350平方米校舍进行更换室内外消火栓、安全出口疏散灯、应急照明灯、室内外消防管、声控报警器、应急灯主机、消防电源主机、闭门器、防火门门把手锁、消防设施及设备等</w:t>
            </w:r>
          </w:p>
        </w:tc>
      </w:tr>
      <w:tr w14:paraId="5DE0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2" w:hRule="atLeast"/>
        </w:trPr>
        <w:tc>
          <w:tcPr>
            <w:tcW w:w="555" w:type="dxa"/>
            <w:vAlign w:val="center"/>
          </w:tcPr>
          <w:p w14:paraId="44D0B93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89138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015F4D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44F913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53C5F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4A57BA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3B211D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845" w:type="dxa"/>
            <w:vAlign w:val="center"/>
          </w:tcPr>
          <w:p w14:paraId="62AD81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107001C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0A85FEC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0E7DB81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05FF9B8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3CF3AE3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莎车县第七中学</w:t>
            </w:r>
          </w:p>
        </w:tc>
        <w:tc>
          <w:tcPr>
            <w:tcW w:w="2233" w:type="dxa"/>
            <w:vAlign w:val="center"/>
          </w:tcPr>
          <w:p w14:paraId="1314E0A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6E4F9529">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对34309平方米校舍进行更换室内外消火栓、安全出口疏散灯、应急照明灯、室内外消防管、声控报警器、应急灯主机、消防电源主机、闭门器及防火门门把手锁，修建300立方米消防水池及消防泵房,增设消防声控报警器、应急灯主机、消防电源主机、消防电缆和消防设施设备</w:t>
            </w:r>
            <w:r>
              <w:rPr>
                <w:rFonts w:hint="eastAsia" w:ascii="宋体" w:hAnsi="宋体" w:eastAsia="宋体" w:cs="宋体"/>
                <w:sz w:val="24"/>
                <w:szCs w:val="24"/>
                <w:lang w:eastAsia="zh-CN"/>
              </w:rPr>
              <w:t>。</w:t>
            </w:r>
          </w:p>
          <w:p w14:paraId="781E79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二、600平方米多媒体教室更换2樘防火门，地面铺设瓷砖，天棚吊灯，更换照明及插座电路，墙面粉刷等提升改造；</w:t>
            </w:r>
          </w:p>
          <w:p w14:paraId="26C0F62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三、学生宿舍楼窗户更换，更换窗户面积2900平方米；</w:t>
            </w:r>
          </w:p>
          <w:p w14:paraId="698D22E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四、教学楼和宿舍楼580樘门更换；室外主电缆400米</w:t>
            </w:r>
          </w:p>
          <w:p w14:paraId="1801ABB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五、室外消防管道1600米</w:t>
            </w:r>
          </w:p>
          <w:p w14:paraId="7C41BD6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六、2100平方米的厕所做地面防水、地面铺设瓷砖、天棚吊顶，墙面贴瓷砖、更换60樘门，维修650米大便池、安装隔断、维修60个洗手池等；</w:t>
            </w:r>
          </w:p>
          <w:p w14:paraId="6E91693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七、50立方化粪池混凝土成品，100排水管PE400，4个排水井 。</w:t>
            </w:r>
          </w:p>
        </w:tc>
      </w:tr>
      <w:tr w14:paraId="448D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55" w:type="dxa"/>
            <w:vAlign w:val="center"/>
          </w:tcPr>
          <w:p w14:paraId="0B0E5A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845" w:type="dxa"/>
            <w:vAlign w:val="center"/>
          </w:tcPr>
          <w:p w14:paraId="6B51C0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莎车县第十中学</w:t>
            </w:r>
          </w:p>
        </w:tc>
        <w:tc>
          <w:tcPr>
            <w:tcW w:w="2233" w:type="dxa"/>
            <w:vAlign w:val="center"/>
          </w:tcPr>
          <w:p w14:paraId="1A4A78C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2000平方米地面硬化</w:t>
            </w:r>
          </w:p>
        </w:tc>
        <w:tc>
          <w:tcPr>
            <w:tcW w:w="5489" w:type="dxa"/>
            <w:vAlign w:val="center"/>
          </w:tcPr>
          <w:p w14:paraId="6B0875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300米双壁波纹管</w:t>
            </w:r>
          </w:p>
        </w:tc>
      </w:tr>
      <w:tr w14:paraId="7782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555" w:type="dxa"/>
            <w:vAlign w:val="center"/>
          </w:tcPr>
          <w:p w14:paraId="62DCB2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674DEC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845" w:type="dxa"/>
            <w:vAlign w:val="center"/>
          </w:tcPr>
          <w:p w14:paraId="3897451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莎车县第十六中学</w:t>
            </w:r>
          </w:p>
        </w:tc>
        <w:tc>
          <w:tcPr>
            <w:tcW w:w="2233" w:type="dxa"/>
            <w:vAlign w:val="center"/>
          </w:tcPr>
          <w:p w14:paraId="5B4354C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C6396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对7728平方米校舍的室内供水系统完善、并进行更换室内外消火栓、室内外消防管、安全出口疏散灯 、应急照明灯、闭门器、防火门门把手锁及消防设施设备等</w:t>
            </w:r>
          </w:p>
        </w:tc>
      </w:tr>
      <w:tr w14:paraId="32390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555" w:type="dxa"/>
            <w:vAlign w:val="center"/>
          </w:tcPr>
          <w:p w14:paraId="1E97C2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D6BD7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845" w:type="dxa"/>
            <w:vAlign w:val="center"/>
          </w:tcPr>
          <w:p w14:paraId="7C12D03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莎车县米夏镇中学</w:t>
            </w:r>
          </w:p>
        </w:tc>
        <w:tc>
          <w:tcPr>
            <w:tcW w:w="2233" w:type="dxa"/>
            <w:vAlign w:val="center"/>
          </w:tcPr>
          <w:p w14:paraId="55718E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7E74243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对11395平方米校舍进行更换室内外消火栓、安全出口疏散灯、应急照明灯、室内外消防管、消防通道、声控报警器、应急灯主机、消防电源主机、闭门器、防火门门把手锁及消防设施设备等</w:t>
            </w:r>
          </w:p>
        </w:tc>
      </w:tr>
      <w:tr w14:paraId="6BB84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55" w:type="dxa"/>
            <w:vAlign w:val="center"/>
          </w:tcPr>
          <w:p w14:paraId="4FFC2D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435D67F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845" w:type="dxa"/>
            <w:vAlign w:val="center"/>
          </w:tcPr>
          <w:p w14:paraId="6E810CA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莎车县塔尕尔其镇中学</w:t>
            </w:r>
          </w:p>
        </w:tc>
        <w:tc>
          <w:tcPr>
            <w:tcW w:w="2233" w:type="dxa"/>
            <w:vAlign w:val="center"/>
          </w:tcPr>
          <w:p w14:paraId="23DB721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62B310C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对8788平方米校舍进行更换室内外消火栓、安全出口疏散灯、应急照明灯、室内外消防管道、声控报警器、应急灯主机、消防电源主机、闭门器及防火门门把手锁，更换室外消防管道及消防设施设备等</w:t>
            </w:r>
          </w:p>
        </w:tc>
      </w:tr>
      <w:tr w14:paraId="1729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212B05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8EA11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845" w:type="dxa"/>
            <w:vAlign w:val="center"/>
          </w:tcPr>
          <w:p w14:paraId="65C506D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莎车县阔什艾日克乡中学</w:t>
            </w:r>
          </w:p>
        </w:tc>
        <w:tc>
          <w:tcPr>
            <w:tcW w:w="2233" w:type="dxa"/>
            <w:vAlign w:val="center"/>
          </w:tcPr>
          <w:p w14:paraId="24B68D5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2000平方米地面硬化</w:t>
            </w:r>
          </w:p>
        </w:tc>
        <w:tc>
          <w:tcPr>
            <w:tcW w:w="5489" w:type="dxa"/>
            <w:vAlign w:val="center"/>
          </w:tcPr>
          <w:p w14:paraId="6C8E88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对7136平方米校舍进行更换室内外消火栓、安全出口疏散灯、应急照明灯、室内外消防管、声控报警器、消防主机、闭门器及防火门门把手锁、消防通道及消防设施设备等</w:t>
            </w:r>
          </w:p>
        </w:tc>
      </w:tr>
      <w:tr w14:paraId="0933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7CEB58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845" w:type="dxa"/>
            <w:vAlign w:val="center"/>
          </w:tcPr>
          <w:p w14:paraId="281E179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莎车县艾力西湖镇中学</w:t>
            </w:r>
          </w:p>
        </w:tc>
        <w:tc>
          <w:tcPr>
            <w:tcW w:w="2233" w:type="dxa"/>
            <w:vAlign w:val="center"/>
          </w:tcPr>
          <w:p w14:paraId="2494586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EDD6D7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对45286平方米校舍进行更换安全出口疏散灯、应急照明灯、室内外消防管、声控报警器、闭门器、防火门门把手锁及消防设施设备等</w:t>
            </w:r>
          </w:p>
        </w:tc>
      </w:tr>
      <w:tr w14:paraId="2FA7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3" w:hRule="atLeast"/>
        </w:trPr>
        <w:tc>
          <w:tcPr>
            <w:tcW w:w="555" w:type="dxa"/>
            <w:vAlign w:val="center"/>
          </w:tcPr>
          <w:p w14:paraId="188CBD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845" w:type="dxa"/>
            <w:vAlign w:val="center"/>
          </w:tcPr>
          <w:p w14:paraId="68D6500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莎车县荒地镇中学</w:t>
            </w:r>
          </w:p>
        </w:tc>
        <w:tc>
          <w:tcPr>
            <w:tcW w:w="2233" w:type="dxa"/>
            <w:vAlign w:val="center"/>
          </w:tcPr>
          <w:p w14:paraId="3E94919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788EE7F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对42685平方米校舍进行更换安全出口疏散灯、应急照明灯、室内外消防管、声控报警器、闭门器及防火门门把手锁及消防设施设备等</w:t>
            </w:r>
          </w:p>
        </w:tc>
      </w:tr>
      <w:tr w14:paraId="69141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555" w:type="dxa"/>
            <w:vAlign w:val="center"/>
          </w:tcPr>
          <w:p w14:paraId="14863F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8DC69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845" w:type="dxa"/>
            <w:vAlign w:val="center"/>
          </w:tcPr>
          <w:p w14:paraId="28B38E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莎车县墩巴格乡中学</w:t>
            </w:r>
          </w:p>
        </w:tc>
        <w:tc>
          <w:tcPr>
            <w:tcW w:w="2233" w:type="dxa"/>
            <w:vAlign w:val="center"/>
          </w:tcPr>
          <w:p w14:paraId="17A7AA3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9F11DA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对7086平方米校舍进行进行更换室内外消火栓、安全出口疏散灯、应急照明灯、室内外消防管、声控报警器、闭门器、防火门门把手锁及消防设施设备等,提升改造3000平方米教学楼</w:t>
            </w:r>
          </w:p>
        </w:tc>
      </w:tr>
      <w:tr w14:paraId="15E5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7036A43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845" w:type="dxa"/>
            <w:vAlign w:val="center"/>
          </w:tcPr>
          <w:p w14:paraId="7AC7D6C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莎车县阿尔斯兰巴格乡中学</w:t>
            </w:r>
          </w:p>
        </w:tc>
        <w:tc>
          <w:tcPr>
            <w:tcW w:w="2233" w:type="dxa"/>
            <w:vAlign w:val="center"/>
          </w:tcPr>
          <w:p w14:paraId="67B1575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107C9A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对34672平方米校舍进行更换安全出口疏散灯、应急照明灯、室内外消防管、声控报警器、闭门器防火门门把手锁及消防设施设备等</w:t>
            </w:r>
          </w:p>
        </w:tc>
      </w:tr>
      <w:tr w14:paraId="6BDC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01A643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845" w:type="dxa"/>
            <w:vAlign w:val="center"/>
          </w:tcPr>
          <w:p w14:paraId="33AA96A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莎车县孜热甫</w:t>
            </w:r>
          </w:p>
          <w:p w14:paraId="1AFDDD3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夏提塔吉克族</w:t>
            </w:r>
          </w:p>
          <w:p w14:paraId="62EC3B7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乡中学</w:t>
            </w:r>
          </w:p>
        </w:tc>
        <w:tc>
          <w:tcPr>
            <w:tcW w:w="2233" w:type="dxa"/>
            <w:vAlign w:val="center"/>
          </w:tcPr>
          <w:p w14:paraId="78DBE94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66DB80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对14074平方米校舍进行更换安全出口疏散灯、应急照明灯、室内消防管、声控报警器、闭门器、防火门门把手锁及消防设施设备等</w:t>
            </w:r>
          </w:p>
        </w:tc>
      </w:tr>
      <w:tr w14:paraId="7C303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68CD94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1845" w:type="dxa"/>
            <w:vAlign w:val="center"/>
          </w:tcPr>
          <w:p w14:paraId="3086D76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莎车县亚喀艾日克乡中学</w:t>
            </w:r>
          </w:p>
        </w:tc>
        <w:tc>
          <w:tcPr>
            <w:tcW w:w="2233" w:type="dxa"/>
            <w:vAlign w:val="center"/>
          </w:tcPr>
          <w:p w14:paraId="66B66A6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47E0255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353平方米学生食堂，更换门窗，地面铺设瓷砖，铝合金扣板吊顶、墙面贴瓷砖、更换3樘防火门，安装断桥隔热隔断等</w:t>
            </w:r>
          </w:p>
        </w:tc>
      </w:tr>
      <w:tr w14:paraId="63E47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2DDC34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845" w:type="dxa"/>
            <w:vAlign w:val="center"/>
          </w:tcPr>
          <w:p w14:paraId="1FF1A4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莎车县喀群乡中学</w:t>
            </w:r>
          </w:p>
        </w:tc>
        <w:tc>
          <w:tcPr>
            <w:tcW w:w="2233" w:type="dxa"/>
            <w:vAlign w:val="center"/>
          </w:tcPr>
          <w:p w14:paraId="02EC72F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09548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对26859平方米校舍进行更换安全出口疏散灯、应急照明灯、室内外消防管、声控报警器、闭门器、防火门门把手锁及消防设施设备等</w:t>
            </w:r>
          </w:p>
        </w:tc>
      </w:tr>
      <w:tr w14:paraId="705F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2" w:hRule="atLeast"/>
        </w:trPr>
        <w:tc>
          <w:tcPr>
            <w:tcW w:w="555" w:type="dxa"/>
            <w:vAlign w:val="center"/>
          </w:tcPr>
          <w:p w14:paraId="7DBD64C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545AF9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0A746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845" w:type="dxa"/>
            <w:vAlign w:val="center"/>
          </w:tcPr>
          <w:p w14:paraId="1CD7CB5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5A5D6F0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749C83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莎车县依盖尔其镇中学</w:t>
            </w:r>
          </w:p>
        </w:tc>
        <w:tc>
          <w:tcPr>
            <w:tcW w:w="2233" w:type="dxa"/>
            <w:vAlign w:val="center"/>
          </w:tcPr>
          <w:p w14:paraId="7C310B6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66B7844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一、对16954平方米校舍进行更换室内外消火栓、安全出口疏散灯、应急照明灯、室内消防管、声控报警器、应急灯主机、消防电源主机、闭门器及防火门门把手锁，更换室外消防管道及消防设施设备等</w:t>
            </w:r>
          </w:p>
          <w:p w14:paraId="1A02A17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二、更换145平方米窗户及33樘门；</w:t>
            </w:r>
          </w:p>
          <w:p w14:paraId="36CA0B0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三、1159平方米学生食堂，更换门窗，地面铺设瓷砖，铝合金扣板吊顶、墙面贴瓷砖、更换6樘防火门,安装断桥隔热隔断等。</w:t>
            </w:r>
          </w:p>
        </w:tc>
      </w:tr>
      <w:tr w14:paraId="4AC2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469A40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845" w:type="dxa"/>
            <w:vAlign w:val="center"/>
          </w:tcPr>
          <w:p w14:paraId="2A40FBD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莎车县白什坎特镇中学</w:t>
            </w:r>
          </w:p>
        </w:tc>
        <w:tc>
          <w:tcPr>
            <w:tcW w:w="2233" w:type="dxa"/>
            <w:vAlign w:val="center"/>
          </w:tcPr>
          <w:p w14:paraId="75DB909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7151BC5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对47170平方米校舍进行更换安全出口疏散灯、应急照明灯、室内消防管、声控报警器、闭门器、防火门门把手锁及消防设施设备等</w:t>
            </w:r>
          </w:p>
        </w:tc>
      </w:tr>
      <w:tr w14:paraId="3CDE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1E543F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845" w:type="dxa"/>
            <w:vAlign w:val="center"/>
          </w:tcPr>
          <w:p w14:paraId="1BF99F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莎车县阿拉买提镇中学</w:t>
            </w:r>
          </w:p>
        </w:tc>
        <w:tc>
          <w:tcPr>
            <w:tcW w:w="2233" w:type="dxa"/>
            <w:vAlign w:val="center"/>
          </w:tcPr>
          <w:p w14:paraId="52C27E8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A92BD2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对23296平方米校舍进行更换安全出口疏散灯、应急照明灯、室内消防管、声控报警器、闭门器、防火门门把手锁及消防设施设备等</w:t>
            </w:r>
          </w:p>
        </w:tc>
      </w:tr>
      <w:tr w14:paraId="197B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030310A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845" w:type="dxa"/>
            <w:vAlign w:val="center"/>
          </w:tcPr>
          <w:p w14:paraId="1DFB1EB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莎车县阿扎特巴格镇中学</w:t>
            </w:r>
          </w:p>
        </w:tc>
        <w:tc>
          <w:tcPr>
            <w:tcW w:w="2233" w:type="dxa"/>
            <w:vAlign w:val="center"/>
          </w:tcPr>
          <w:p w14:paraId="28B16E4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07B0F6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对14888平方米校舍进行更换安全出口疏散灯、应急照明灯、室内消防管、声控报警器、闭门器、防火门门把手锁及消防设施设备等</w:t>
            </w:r>
          </w:p>
        </w:tc>
      </w:tr>
      <w:tr w14:paraId="2B9F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55" w:type="dxa"/>
            <w:vAlign w:val="center"/>
          </w:tcPr>
          <w:p w14:paraId="413153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845" w:type="dxa"/>
            <w:vAlign w:val="center"/>
          </w:tcPr>
          <w:p w14:paraId="121DE8E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莎车县巴格阿瓦提乡中学</w:t>
            </w:r>
          </w:p>
        </w:tc>
        <w:tc>
          <w:tcPr>
            <w:tcW w:w="2233" w:type="dxa"/>
            <w:vAlign w:val="center"/>
          </w:tcPr>
          <w:p w14:paraId="634F565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06F5384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对19926平方米校舍进行更换安全出口疏散灯、应急照明灯、室内消防管、声控报警器、闭门器、防火门门把手锁及消防设施设备等</w:t>
            </w:r>
          </w:p>
        </w:tc>
      </w:tr>
      <w:tr w14:paraId="38B5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55" w:type="dxa"/>
            <w:vAlign w:val="center"/>
          </w:tcPr>
          <w:p w14:paraId="14EBEF4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1845" w:type="dxa"/>
            <w:vAlign w:val="center"/>
          </w:tcPr>
          <w:p w14:paraId="4D6C49C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莎车县喀拉苏乡中学</w:t>
            </w:r>
          </w:p>
        </w:tc>
        <w:tc>
          <w:tcPr>
            <w:tcW w:w="2233" w:type="dxa"/>
            <w:vAlign w:val="center"/>
          </w:tcPr>
          <w:p w14:paraId="0A70C6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A4F8EE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对15744平方米校舍进行更换安全出口疏散灯、应急照明灯、室内消防管、声控报警器、闭门器、防火门门把手锁及消防设施设备等</w:t>
            </w:r>
          </w:p>
        </w:tc>
      </w:tr>
      <w:tr w14:paraId="2ED6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55" w:type="dxa"/>
            <w:vAlign w:val="center"/>
          </w:tcPr>
          <w:p w14:paraId="31D099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0C6C25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E85BF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197BA1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1845" w:type="dxa"/>
            <w:vAlign w:val="center"/>
          </w:tcPr>
          <w:p w14:paraId="41DA4C3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4325E4B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12E4CC8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2E187CE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莎车县阿瓦提镇中学</w:t>
            </w:r>
          </w:p>
        </w:tc>
        <w:tc>
          <w:tcPr>
            <w:tcW w:w="2233" w:type="dxa"/>
            <w:vAlign w:val="center"/>
          </w:tcPr>
          <w:p w14:paraId="57CD6A9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0D7F93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一、对18822平方米校舍进行更换室内外消火栓、安全出口疏散灯、应急照明灯、室内外消防管、声控报警器、应急灯主机、消防电源主机、闭门器及防火门门把手锁，更换室外消防管道及消防设施设备等</w:t>
            </w:r>
          </w:p>
          <w:p w14:paraId="0C7045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二、1347平方米学生食堂，更换门窗，地面铺设瓷砖，铝合金扣板吊顶、墙面贴瓷砖、更换8樘防火门 , 安装断桥隔热隔断等。</w:t>
            </w:r>
          </w:p>
        </w:tc>
      </w:tr>
      <w:tr w14:paraId="3CB6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555" w:type="dxa"/>
            <w:vAlign w:val="center"/>
          </w:tcPr>
          <w:p w14:paraId="7F8306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0882C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22</w:t>
            </w:r>
          </w:p>
        </w:tc>
        <w:tc>
          <w:tcPr>
            <w:tcW w:w="1845" w:type="dxa"/>
            <w:vAlign w:val="center"/>
          </w:tcPr>
          <w:p w14:paraId="1A370FC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莎车县乌达力克镇中学</w:t>
            </w:r>
          </w:p>
        </w:tc>
        <w:tc>
          <w:tcPr>
            <w:tcW w:w="2233" w:type="dxa"/>
            <w:vAlign w:val="center"/>
          </w:tcPr>
          <w:p w14:paraId="3DDDF56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05CF464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对15903平方米校舍进行更换室内外消火栓、安全出口疏散灯、应急照明灯、室内外消防管、声控报警器、应急灯主机、消防电源主机、闭门器及防火门门把手锁，更换室外消防管道及消防设施设备等</w:t>
            </w:r>
          </w:p>
        </w:tc>
      </w:tr>
      <w:tr w14:paraId="52AF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5" w:type="dxa"/>
            <w:vAlign w:val="center"/>
          </w:tcPr>
          <w:p w14:paraId="1C34913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23</w:t>
            </w:r>
          </w:p>
        </w:tc>
        <w:tc>
          <w:tcPr>
            <w:tcW w:w="1845" w:type="dxa"/>
            <w:vAlign w:val="center"/>
          </w:tcPr>
          <w:p w14:paraId="3B13502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莎车县恰热克镇中学</w:t>
            </w:r>
          </w:p>
        </w:tc>
        <w:tc>
          <w:tcPr>
            <w:tcW w:w="2233" w:type="dxa"/>
            <w:vAlign w:val="center"/>
          </w:tcPr>
          <w:p w14:paraId="37861F5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69542A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28043平方米校舍进行更换室内外消火栓、安全出口疏散灯、应急照明灯、室内外消防管、声控报警器、应急灯主机、消防电源主机、闭门器及防火门门把手锁，更换室外消防管道，重新安装消防泵房及消防设施设备等；</w:t>
            </w:r>
          </w:p>
          <w:p w14:paraId="03AB9B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二、598平方米学生食堂，更换门窗，地面铺设瓷砖, 铝合金扣板吊顶、墙面贴瓷砖、更换4樘防火门，安装断桥隔热隔断。</w:t>
            </w:r>
          </w:p>
        </w:tc>
      </w:tr>
      <w:tr w14:paraId="0F9D7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555" w:type="dxa"/>
            <w:vAlign w:val="center"/>
          </w:tcPr>
          <w:p w14:paraId="187897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553352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24</w:t>
            </w:r>
          </w:p>
        </w:tc>
        <w:tc>
          <w:tcPr>
            <w:tcW w:w="1845" w:type="dxa"/>
            <w:vAlign w:val="center"/>
          </w:tcPr>
          <w:p w14:paraId="710E67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莎车县第一小学</w:t>
            </w:r>
          </w:p>
        </w:tc>
        <w:tc>
          <w:tcPr>
            <w:tcW w:w="2233" w:type="dxa"/>
            <w:vAlign w:val="center"/>
          </w:tcPr>
          <w:p w14:paraId="13290B2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44E2AED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对13835平方米校舍进行更换安全出口疏散灯、应急照明灯、室内外消防管、声控报警器、闭门器及防火门门把手锁、室外消火栓、消防水池、泵房及消防设施设备等</w:t>
            </w:r>
          </w:p>
        </w:tc>
      </w:tr>
      <w:tr w14:paraId="0CA4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555" w:type="dxa"/>
            <w:vAlign w:val="center"/>
          </w:tcPr>
          <w:p w14:paraId="0CFF2D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51F9E90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25</w:t>
            </w:r>
          </w:p>
        </w:tc>
        <w:tc>
          <w:tcPr>
            <w:tcW w:w="1845" w:type="dxa"/>
            <w:vAlign w:val="center"/>
          </w:tcPr>
          <w:p w14:paraId="5BB499D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莎车县第二小学</w:t>
            </w:r>
          </w:p>
        </w:tc>
        <w:tc>
          <w:tcPr>
            <w:tcW w:w="2233" w:type="dxa"/>
            <w:vAlign w:val="center"/>
          </w:tcPr>
          <w:p w14:paraId="45F142C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891AE3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一、对5883平方米校舍的室内供水系统完善、并进行更换室外消火栓、室外消防管；</w:t>
            </w:r>
          </w:p>
          <w:p w14:paraId="4F4B639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二、560平方米窗户更换；</w:t>
            </w:r>
          </w:p>
          <w:p w14:paraId="0F9CEB5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三、更换教室门110樘；</w:t>
            </w:r>
          </w:p>
        </w:tc>
      </w:tr>
      <w:tr w14:paraId="7B726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559B8B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26</w:t>
            </w:r>
          </w:p>
        </w:tc>
        <w:tc>
          <w:tcPr>
            <w:tcW w:w="1845" w:type="dxa"/>
            <w:vAlign w:val="center"/>
          </w:tcPr>
          <w:p w14:paraId="5BE32A1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莎车县第三小学</w:t>
            </w:r>
          </w:p>
        </w:tc>
        <w:tc>
          <w:tcPr>
            <w:tcW w:w="2233" w:type="dxa"/>
            <w:vAlign w:val="center"/>
          </w:tcPr>
          <w:p w14:paraId="3959D3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E94E26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对20180平方米校舍进行更换安全出口疏散灯、应急照明灯、室内外消防管、声控报警器、闭门器及防火门门把手锁、消防泵房及消防设施设备等</w:t>
            </w:r>
          </w:p>
        </w:tc>
      </w:tr>
      <w:tr w14:paraId="3686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55" w:type="dxa"/>
            <w:vAlign w:val="center"/>
          </w:tcPr>
          <w:p w14:paraId="2EB16B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27</w:t>
            </w:r>
          </w:p>
        </w:tc>
        <w:tc>
          <w:tcPr>
            <w:tcW w:w="1845" w:type="dxa"/>
            <w:vAlign w:val="center"/>
          </w:tcPr>
          <w:p w14:paraId="7B20A8A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莎车县第四小学</w:t>
            </w:r>
          </w:p>
        </w:tc>
        <w:tc>
          <w:tcPr>
            <w:tcW w:w="2233" w:type="dxa"/>
            <w:vAlign w:val="center"/>
          </w:tcPr>
          <w:p w14:paraId="4BD448E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0CA8AF5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对8954平方米校舍的室内供水系统完善、并进行更换室外消火栓、室外消防管及消防设施设备等；</w:t>
            </w:r>
          </w:p>
        </w:tc>
      </w:tr>
      <w:tr w14:paraId="1624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37550E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28</w:t>
            </w:r>
          </w:p>
        </w:tc>
        <w:tc>
          <w:tcPr>
            <w:tcW w:w="1845" w:type="dxa"/>
            <w:vAlign w:val="center"/>
          </w:tcPr>
          <w:p w14:paraId="5321DA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莎车县第六小学</w:t>
            </w:r>
          </w:p>
        </w:tc>
        <w:tc>
          <w:tcPr>
            <w:tcW w:w="2233" w:type="dxa"/>
            <w:vAlign w:val="center"/>
          </w:tcPr>
          <w:p w14:paraId="2E2A484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修建铁艺围墙130米；地面硬化1200平方米；</w:t>
            </w:r>
          </w:p>
        </w:tc>
        <w:tc>
          <w:tcPr>
            <w:tcW w:w="5489" w:type="dxa"/>
            <w:vAlign w:val="center"/>
          </w:tcPr>
          <w:p w14:paraId="5844A0D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对12984平方米校舍进行更换室内外消火栓、安全出口疏散灯、应急照明灯、声控报警器、闭门器及防火门门把手锁、变压器、电缆400米、室内外消防管及消防设施设备等</w:t>
            </w:r>
          </w:p>
        </w:tc>
      </w:tr>
      <w:tr w14:paraId="36F2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555" w:type="dxa"/>
            <w:vAlign w:val="center"/>
          </w:tcPr>
          <w:p w14:paraId="05B6BA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CFBD0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29</w:t>
            </w:r>
          </w:p>
        </w:tc>
        <w:tc>
          <w:tcPr>
            <w:tcW w:w="1845" w:type="dxa"/>
            <w:vAlign w:val="center"/>
          </w:tcPr>
          <w:p w14:paraId="130D3E0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77A0862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莎车县伊什库力乡实验小学</w:t>
            </w:r>
          </w:p>
        </w:tc>
        <w:tc>
          <w:tcPr>
            <w:tcW w:w="2233" w:type="dxa"/>
            <w:vAlign w:val="center"/>
          </w:tcPr>
          <w:p w14:paraId="0A1A5D9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3AE653F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对8607平方米校舍进行更换室内外消火栓、安全出口疏散灯、应急照明灯、室内外消防管、声控报警器、应急灯主机、消防电源主机、闭门器及防火门门把手锁，更换消防管道，重新安装消防设施设备等；</w:t>
            </w:r>
          </w:p>
        </w:tc>
      </w:tr>
      <w:tr w14:paraId="69204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69369D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C3F73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1845" w:type="dxa"/>
            <w:vAlign w:val="center"/>
          </w:tcPr>
          <w:p w14:paraId="6C87D13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4742721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莎车县拍克其乡实验小学</w:t>
            </w:r>
          </w:p>
        </w:tc>
        <w:tc>
          <w:tcPr>
            <w:tcW w:w="2233" w:type="dxa"/>
            <w:vAlign w:val="center"/>
          </w:tcPr>
          <w:p w14:paraId="7E6AD39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461D66E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对8908平方米校舍进行更换室内外消火栓、安全出口疏散灯、应急照明灯、室内消防管、声控报警器 、应急灯主机、消防电源主机、闭门器及防火门门把手锁，更换室外消防管道，重新安装消防控制设备等；</w:t>
            </w:r>
          </w:p>
        </w:tc>
      </w:tr>
      <w:tr w14:paraId="6ABDC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555" w:type="dxa"/>
            <w:vAlign w:val="center"/>
          </w:tcPr>
          <w:p w14:paraId="1C2677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CD2F7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w:t>
            </w:r>
          </w:p>
        </w:tc>
        <w:tc>
          <w:tcPr>
            <w:tcW w:w="1845" w:type="dxa"/>
            <w:vAlign w:val="center"/>
          </w:tcPr>
          <w:p w14:paraId="11153E3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5873F67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莎车县艾力西湖镇中心小学</w:t>
            </w:r>
          </w:p>
        </w:tc>
        <w:tc>
          <w:tcPr>
            <w:tcW w:w="2233" w:type="dxa"/>
            <w:vAlign w:val="center"/>
          </w:tcPr>
          <w:p w14:paraId="6974C81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70B50EF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对21000平方米校舍进行更换室内外消火栓、安全出口疏散灯、应急照明灯、室内消防管、声控报警器  、应急灯主机、消防电源主机、闭门器及防火门门把手锁，更换室外消防管道，重新安装消防控制设备等；</w:t>
            </w:r>
          </w:p>
        </w:tc>
      </w:tr>
      <w:tr w14:paraId="7B4E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555" w:type="dxa"/>
            <w:vAlign w:val="center"/>
          </w:tcPr>
          <w:p w14:paraId="0B08D6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79C47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32</w:t>
            </w:r>
          </w:p>
        </w:tc>
        <w:tc>
          <w:tcPr>
            <w:tcW w:w="1845" w:type="dxa"/>
            <w:vAlign w:val="center"/>
          </w:tcPr>
          <w:p w14:paraId="369096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0B1D2E6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莎车县荒地镇实验小学</w:t>
            </w:r>
          </w:p>
        </w:tc>
        <w:tc>
          <w:tcPr>
            <w:tcW w:w="2233" w:type="dxa"/>
            <w:vAlign w:val="center"/>
          </w:tcPr>
          <w:p w14:paraId="779BFA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4C85A4E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1000平方米地面硬化</w:t>
            </w:r>
          </w:p>
        </w:tc>
        <w:tc>
          <w:tcPr>
            <w:tcW w:w="5489" w:type="dxa"/>
            <w:vAlign w:val="center"/>
          </w:tcPr>
          <w:p w14:paraId="3873B43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对17000平方米校舍进行更换室内外消火栓、安全出口疏散灯、应急照明灯、室内消防管、声控报警器  、应急灯主机、消防电源主机、闭门器及防火门门把手锁，更换室外消防管道，重新安装消防控制设备等；</w:t>
            </w:r>
          </w:p>
        </w:tc>
      </w:tr>
      <w:tr w14:paraId="7F34F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555" w:type="dxa"/>
            <w:vAlign w:val="center"/>
          </w:tcPr>
          <w:p w14:paraId="4A57D3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49FD75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33</w:t>
            </w:r>
          </w:p>
        </w:tc>
        <w:tc>
          <w:tcPr>
            <w:tcW w:w="1845" w:type="dxa"/>
            <w:vAlign w:val="center"/>
          </w:tcPr>
          <w:p w14:paraId="0D39E00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莎车县墩巴格乡中心小学</w:t>
            </w:r>
          </w:p>
        </w:tc>
        <w:tc>
          <w:tcPr>
            <w:tcW w:w="2233" w:type="dxa"/>
            <w:vAlign w:val="center"/>
          </w:tcPr>
          <w:p w14:paraId="02DF84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42FD776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908平方米学生食堂，更换门窗，地面铺设瓷砖，铝合金扣板吊顶、墙面贴瓷砖、更换防火门，安装断桥隔热隔断、供排水、排烟系统、电路维修、墙面粉刷、监控、排烟系统等。</w:t>
            </w:r>
          </w:p>
        </w:tc>
      </w:tr>
      <w:tr w14:paraId="458A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5" w:type="dxa"/>
            <w:vAlign w:val="center"/>
          </w:tcPr>
          <w:p w14:paraId="12DA16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34</w:t>
            </w:r>
          </w:p>
        </w:tc>
        <w:tc>
          <w:tcPr>
            <w:tcW w:w="1845" w:type="dxa"/>
            <w:vAlign w:val="center"/>
          </w:tcPr>
          <w:p w14:paraId="09DF055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莎车县阿热勒乡中心小学</w:t>
            </w:r>
          </w:p>
        </w:tc>
        <w:tc>
          <w:tcPr>
            <w:tcW w:w="2233" w:type="dxa"/>
            <w:vAlign w:val="center"/>
          </w:tcPr>
          <w:p w14:paraId="068DE2F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0415E7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638平方米学生食堂，更换门窗，地面铺设瓷砖，铝合金扣板吊顶、墙面贴瓷砖、更换4樘防火门，安装断桥隔热隔断等。</w:t>
            </w:r>
          </w:p>
        </w:tc>
      </w:tr>
      <w:tr w14:paraId="7E0D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555" w:type="dxa"/>
            <w:vAlign w:val="center"/>
          </w:tcPr>
          <w:p w14:paraId="16EE5D5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2431DD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35</w:t>
            </w:r>
          </w:p>
        </w:tc>
        <w:tc>
          <w:tcPr>
            <w:tcW w:w="1845" w:type="dxa"/>
            <w:vAlign w:val="center"/>
          </w:tcPr>
          <w:p w14:paraId="5E331AD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莎车县巴格阿瓦提乡实验小学</w:t>
            </w:r>
          </w:p>
        </w:tc>
        <w:tc>
          <w:tcPr>
            <w:tcW w:w="2233" w:type="dxa"/>
            <w:vAlign w:val="center"/>
          </w:tcPr>
          <w:p w14:paraId="0C24FF1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033D357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对12611平方米校舍进行更换室内外消火栓、安全出口疏散灯、应急照明灯、室内外消防管、声控报警器、应急灯主机、消防电源主机、闭门器及防火门门把手锁，更换室外消防管道，重新安装消防设施设备等</w:t>
            </w:r>
          </w:p>
        </w:tc>
      </w:tr>
      <w:tr w14:paraId="28EC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555" w:type="dxa"/>
            <w:vAlign w:val="center"/>
          </w:tcPr>
          <w:p w14:paraId="15C101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36</w:t>
            </w:r>
          </w:p>
        </w:tc>
        <w:tc>
          <w:tcPr>
            <w:tcW w:w="1845" w:type="dxa"/>
            <w:vAlign w:val="center"/>
          </w:tcPr>
          <w:p w14:paraId="40907F2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莎车县阿尔斯兰巴格乡实验小学</w:t>
            </w:r>
          </w:p>
        </w:tc>
        <w:tc>
          <w:tcPr>
            <w:tcW w:w="2233" w:type="dxa"/>
            <w:vAlign w:val="center"/>
          </w:tcPr>
          <w:p w14:paraId="054ACBF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1F05DCA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13905平方米校舍进行更换室内外消火栓、安全出口疏散灯、应急照明灯、室内外消防管、声控报警器、应急灯主机、消防电源主机、闭门器及防火门门把手锁，更换消防管道，重新安装消防泵房设备及及消防设施设备等；</w:t>
            </w:r>
          </w:p>
          <w:p w14:paraId="6B76323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二、2230平方米综合教学楼室内外粉刷；</w:t>
            </w:r>
          </w:p>
          <w:p w14:paraId="6A83DB1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三、404平方米学生食堂，更换门窗，地面铺设瓷砖 , 铝合金扣板吊顶、墙面贴瓷砖、更换3樘防火门，安装断桥隔热隔断等。</w:t>
            </w:r>
          </w:p>
        </w:tc>
      </w:tr>
      <w:tr w14:paraId="03A0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55" w:type="dxa"/>
            <w:vAlign w:val="center"/>
          </w:tcPr>
          <w:p w14:paraId="336A7C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37</w:t>
            </w:r>
          </w:p>
        </w:tc>
        <w:tc>
          <w:tcPr>
            <w:tcW w:w="1845" w:type="dxa"/>
            <w:vAlign w:val="center"/>
          </w:tcPr>
          <w:p w14:paraId="79FB769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29A8770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莎车县乌达力克镇中心小学</w:t>
            </w:r>
          </w:p>
        </w:tc>
        <w:tc>
          <w:tcPr>
            <w:tcW w:w="2233" w:type="dxa"/>
            <w:vAlign w:val="center"/>
          </w:tcPr>
          <w:p w14:paraId="62021C1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5895CCB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557平方米学生食堂，更换门窗，地面铺设瓷砖，铝合金扣板吊顶、墙面贴瓷砖、更换4樘防火门，安装断桥隔热隔断等。</w:t>
            </w:r>
          </w:p>
        </w:tc>
      </w:tr>
      <w:tr w14:paraId="42D85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555" w:type="dxa"/>
            <w:vAlign w:val="center"/>
          </w:tcPr>
          <w:p w14:paraId="74D4F1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38</w:t>
            </w:r>
          </w:p>
        </w:tc>
        <w:tc>
          <w:tcPr>
            <w:tcW w:w="1845" w:type="dxa"/>
            <w:vAlign w:val="center"/>
          </w:tcPr>
          <w:p w14:paraId="49BB6B4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799529C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莎车县恰热克镇中心小学</w:t>
            </w:r>
          </w:p>
        </w:tc>
        <w:tc>
          <w:tcPr>
            <w:tcW w:w="2233" w:type="dxa"/>
            <w:vAlign w:val="center"/>
          </w:tcPr>
          <w:p w14:paraId="2B2F6B5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66BA825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对14764平方米校舍进行更换室内外消火栓、安全出口疏散灯、应急照明灯、室内外消防管道、声控报警器、应急灯主机、消防电源主机、闭门器及防火门门把手锁，更换室外消防管道，重新安装消防设施设备等；</w:t>
            </w:r>
          </w:p>
        </w:tc>
      </w:tr>
      <w:tr w14:paraId="5978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555" w:type="dxa"/>
            <w:vAlign w:val="center"/>
          </w:tcPr>
          <w:p w14:paraId="5D21C5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39</w:t>
            </w:r>
          </w:p>
        </w:tc>
        <w:tc>
          <w:tcPr>
            <w:tcW w:w="1845" w:type="dxa"/>
            <w:vAlign w:val="center"/>
          </w:tcPr>
          <w:p w14:paraId="55FC277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莎车县喀群乡实验小学</w:t>
            </w:r>
          </w:p>
        </w:tc>
        <w:tc>
          <w:tcPr>
            <w:tcW w:w="2233" w:type="dxa"/>
            <w:vAlign w:val="center"/>
          </w:tcPr>
          <w:p w14:paraId="7010B68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1000平方米地面硬化</w:t>
            </w:r>
          </w:p>
        </w:tc>
        <w:tc>
          <w:tcPr>
            <w:tcW w:w="5489" w:type="dxa"/>
            <w:vAlign w:val="center"/>
          </w:tcPr>
          <w:p w14:paraId="7689F2B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一、对12581平方米校舍进行更换室内外消火栓、安全出口疏散灯、应急照明灯、室内外消防管、声控报警器、应急灯主机、消防电源主机、闭门器及防火门门把手锁，更换消防管道，重新安装消防设施设备等；</w:t>
            </w:r>
          </w:p>
          <w:p w14:paraId="42A7198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二、598平方米学生食堂，更换门窗，地面铺设瓷砖 , 铝合金扣板吊顶、墙面贴瓷砖、更换4樘防火门，安装断桥隔热隔断等。</w:t>
            </w:r>
          </w:p>
        </w:tc>
      </w:tr>
      <w:tr w14:paraId="20A4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55" w:type="dxa"/>
            <w:vAlign w:val="center"/>
          </w:tcPr>
          <w:p w14:paraId="7A3553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40</w:t>
            </w:r>
          </w:p>
        </w:tc>
        <w:tc>
          <w:tcPr>
            <w:tcW w:w="1845" w:type="dxa"/>
            <w:vAlign w:val="center"/>
          </w:tcPr>
          <w:p w14:paraId="67C0417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莎车县霍什拉甫乡中心小学</w:t>
            </w:r>
          </w:p>
        </w:tc>
        <w:tc>
          <w:tcPr>
            <w:tcW w:w="2233" w:type="dxa"/>
            <w:vAlign w:val="center"/>
          </w:tcPr>
          <w:p w14:paraId="4E38B73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tc>
        <w:tc>
          <w:tcPr>
            <w:tcW w:w="5489" w:type="dxa"/>
            <w:vAlign w:val="center"/>
          </w:tcPr>
          <w:p w14:paraId="264D55A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一、对6268平方米校舍进行室内外消防设施改善及消防设施设备连接等；</w:t>
            </w:r>
          </w:p>
        </w:tc>
      </w:tr>
    </w:tbl>
    <w:p w14:paraId="2E9A8BE5">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lang w:val="en-US" w:eastAsia="zh-CN"/>
        </w:rPr>
      </w:pPr>
    </w:p>
    <w:p w14:paraId="15387715">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lang w:val="en-US" w:eastAsia="zh-CN"/>
        </w:rPr>
      </w:pPr>
    </w:p>
    <w:p w14:paraId="480B6F30">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四、总投资及资金来源</w:t>
      </w:r>
    </w:p>
    <w:p w14:paraId="763C63B7">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720" w:firstLineChars="3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项目总投资 2517.00 万元：工程费用 2348.48 万元，占项目总投资的93.30%；工程建设其他费 148.20 万元，占项目总投资的 5.89%；预备费 20.32 万元，占项目总投资的 0.81%。资金来源为 2026 年中央城乡义务教育补助资金等。</w:t>
      </w:r>
    </w:p>
    <w:p w14:paraId="6A47D8E5">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五、设计</w:t>
      </w:r>
      <w:r>
        <w:rPr>
          <w:rFonts w:hint="eastAsia" w:ascii="宋体" w:hAnsi="宋体" w:eastAsia="宋体" w:cs="宋体"/>
          <w:sz w:val="24"/>
          <w:szCs w:val="24"/>
        </w:rPr>
        <w:t>标准及规范依据</w:t>
      </w:r>
    </w:p>
    <w:p w14:paraId="77C00641">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1、《民用建筑设计统一标准》（GB50352-2019）；</w:t>
      </w:r>
    </w:p>
    <w:p w14:paraId="42E2DA50">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2、《总图制图标准》（GB/T50103-2010）；</w:t>
      </w:r>
    </w:p>
    <w:p w14:paraId="0F0A923A">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3、《民用建筑通用规范》（GB55031—2022）</w:t>
      </w:r>
    </w:p>
    <w:p w14:paraId="7B82399E">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4、《建筑制图标准》（GB/T50104-2010）；</w:t>
      </w:r>
    </w:p>
    <w:p w14:paraId="47A021E9">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5、《房屋建筑统一制图标准》（GB/T50001-2017）；</w:t>
      </w:r>
    </w:p>
    <w:p w14:paraId="62823F4E">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6、《办公建筑设计标准》（JGJ/T67-2019）；</w:t>
      </w:r>
    </w:p>
    <w:p w14:paraId="04E640B9">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7、《建筑设计防火规范》GB 55037-2022）；</w:t>
      </w:r>
    </w:p>
    <w:p w14:paraId="16A3CC5C">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8、《公共建筑节能设计标准》（GB50189-2015）；</w:t>
      </w:r>
    </w:p>
    <w:p w14:paraId="5593CA5D">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9、《无障碍设计规范》（GB50763-2012）；</w:t>
      </w:r>
    </w:p>
    <w:p w14:paraId="054B9CC9">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10、《屋面工程技术规范》（GB50345-2012）；</w:t>
      </w:r>
    </w:p>
    <w:p w14:paraId="225FD50E">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11、《建筑地面设计规范》（GB50037-2014）；</w:t>
      </w:r>
    </w:p>
    <w:p w14:paraId="0F4A1DCF">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12、《建筑采光设计标准》（GB50033-2013）；</w:t>
      </w:r>
    </w:p>
    <w:p w14:paraId="6368FB37">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13、建筑机电工程抗震设计规范（GB50981-2014）；</w:t>
      </w:r>
    </w:p>
    <w:p w14:paraId="46318162">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14、《建筑防火封堵应用技术标准》（GB/T51410-2020）；</w:t>
      </w:r>
    </w:p>
    <w:p w14:paraId="05E1D668">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15、《建筑机电工程抗震设计规范》（GB50981-2014）；</w:t>
      </w:r>
    </w:p>
    <w:p w14:paraId="3EAA5377">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16、《建筑机电设备抗震支吊架通用技术条件》（CJT476-2015）</w:t>
      </w:r>
    </w:p>
    <w:p w14:paraId="443AE673">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17、《抗震支吊架安装及验收规程》（CECS420-2015）；</w:t>
      </w:r>
    </w:p>
    <w:p w14:paraId="70329B6E">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18、《既有建筑维护与改造通用规范》 GB55022-2021</w:t>
      </w:r>
    </w:p>
    <w:p w14:paraId="3BD26FD1">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19、《中小学校设计规范》GB 50099-2011</w:t>
      </w:r>
    </w:p>
    <w:p w14:paraId="5A77EED8">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20、《中小学校、幼儿园消防安全十项规定》教发厅〔2024〕1号</w:t>
      </w:r>
    </w:p>
    <w:p w14:paraId="6739EDF6">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22、国家、地方有关规范、条例和规定。</w:t>
      </w:r>
    </w:p>
    <w:p w14:paraId="3BF4089C">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textAlignment w:val="baseline"/>
        <w:rPr>
          <w:rFonts w:hint="eastAsia" w:ascii="宋体" w:hAnsi="宋体" w:eastAsia="宋体" w:cs="宋体"/>
          <w:sz w:val="24"/>
          <w:szCs w:val="24"/>
          <w:lang w:val="en-US" w:eastAsia="zh-CN"/>
        </w:rPr>
      </w:pPr>
      <w:r>
        <w:rPr>
          <w:rFonts w:hint="eastAsia" w:ascii="宋体" w:hAnsi="宋体" w:eastAsia="宋体" w:cs="宋体"/>
          <w:spacing w:val="8"/>
          <w:sz w:val="22"/>
          <w:szCs w:val="22"/>
        </w:rPr>
        <w:t>★</w:t>
      </w:r>
      <w:r>
        <w:rPr>
          <w:rFonts w:hint="eastAsia" w:ascii="宋体" w:hAnsi="宋体" w:eastAsia="宋体" w:cs="宋体"/>
          <w:sz w:val="24"/>
          <w:szCs w:val="24"/>
          <w:lang w:val="en-US" w:eastAsia="zh-CN"/>
        </w:rPr>
        <w:t>六、服务范围</w:t>
      </w:r>
    </w:p>
    <w:p w14:paraId="132DB26D">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根据可行性研究报告的内容，</w:t>
      </w:r>
      <w:r>
        <w:rPr>
          <w:rFonts w:hint="eastAsia" w:ascii="宋体" w:hAnsi="宋体" w:eastAsia="宋体" w:cs="宋体"/>
          <w:sz w:val="24"/>
          <w:szCs w:val="24"/>
        </w:rPr>
        <w:t>对本项目进行工程设计咨询服务，包括：初步设计、施工图设计，同时按照《工程勘察设计管理条例》规定的所有后期服务工作。</w:t>
      </w:r>
    </w:p>
    <w:p w14:paraId="4B350421">
      <w:pPr>
        <w:pStyle w:val="15"/>
        <w:numPr>
          <w:ilvl w:val="0"/>
          <w:numId w:val="0"/>
        </w:numPr>
        <w:spacing w:before="135" w:line="360" w:lineRule="auto"/>
        <w:rPr>
          <w:rFonts w:hint="eastAsia" w:ascii="宋体" w:hAnsi="宋体" w:eastAsia="宋体" w:cs="宋体"/>
          <w:sz w:val="24"/>
          <w:szCs w:val="24"/>
          <w:lang w:val="en-US" w:eastAsia="zh-CN"/>
        </w:rPr>
      </w:pPr>
      <w:r>
        <w:rPr>
          <w:rFonts w:hint="eastAsia" w:ascii="宋体" w:hAnsi="宋体" w:eastAsia="宋体" w:cs="宋体"/>
          <w:spacing w:val="8"/>
          <w:sz w:val="22"/>
          <w:szCs w:val="22"/>
        </w:rPr>
        <w:t>★</w:t>
      </w:r>
      <w:r>
        <w:rPr>
          <w:rFonts w:hint="eastAsia" w:cs="宋体"/>
          <w:sz w:val="24"/>
          <w:szCs w:val="24"/>
          <w:lang w:val="en-US" w:eastAsia="zh-CN"/>
        </w:rPr>
        <w:t>七、</w:t>
      </w:r>
      <w:r>
        <w:rPr>
          <w:rFonts w:hint="eastAsia" w:ascii="宋体" w:hAnsi="宋体" w:eastAsia="宋体" w:cs="宋体"/>
          <w:sz w:val="24"/>
          <w:szCs w:val="24"/>
          <w:lang w:val="en-US" w:eastAsia="zh-CN"/>
        </w:rPr>
        <w:t>服务标准</w:t>
      </w:r>
    </w:p>
    <w:p w14:paraId="55C0ABA2">
      <w:pPr>
        <w:pStyle w:val="15"/>
        <w:numPr>
          <w:ilvl w:val="0"/>
          <w:numId w:val="0"/>
        </w:numPr>
        <w:spacing w:before="135"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满足《建设工程设计文件编制深度的规定》的深度要求和满足施工招标工作要求</w:t>
      </w:r>
      <w:r>
        <w:rPr>
          <w:rFonts w:hint="eastAsia" w:cs="宋体"/>
          <w:sz w:val="24"/>
          <w:szCs w:val="24"/>
          <w:lang w:val="en-US" w:eastAsia="zh-CN"/>
        </w:rPr>
        <w:t>，</w:t>
      </w:r>
      <w:r>
        <w:rPr>
          <w:rFonts w:hint="eastAsia" w:ascii="宋体" w:hAnsi="宋体" w:eastAsia="宋体" w:cs="宋体"/>
          <w:sz w:val="24"/>
          <w:szCs w:val="24"/>
          <w:lang w:val="en-US" w:eastAsia="zh-CN"/>
        </w:rPr>
        <w:t>确保按时通过相关部门审核。如不能通过，编制单位应负责修改、补充完善，直至通过审核。</w:t>
      </w:r>
    </w:p>
    <w:p w14:paraId="6B2899A2">
      <w:pPr>
        <w:pStyle w:val="15"/>
        <w:numPr>
          <w:ilvl w:val="0"/>
          <w:numId w:val="13"/>
        </w:numPr>
        <w:spacing w:before="135" w:line="360" w:lineRule="auto"/>
        <w:rPr>
          <w:rFonts w:hint="eastAsia" w:cs="宋体"/>
          <w:sz w:val="24"/>
          <w:szCs w:val="24"/>
          <w:lang w:val="en-US" w:eastAsia="zh-CN"/>
        </w:rPr>
      </w:pPr>
      <w:r>
        <w:rPr>
          <w:rFonts w:hint="eastAsia" w:cs="宋体"/>
          <w:sz w:val="24"/>
          <w:szCs w:val="24"/>
          <w:lang w:val="en-US" w:eastAsia="zh-CN"/>
        </w:rPr>
        <w:t>设计原则</w:t>
      </w:r>
    </w:p>
    <w:p w14:paraId="78B361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结合项目建设特点，规划设计过程中严格遵循以下原则，确保方案合规、适配、可行：</w:t>
      </w:r>
    </w:p>
    <w:p w14:paraId="33436E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规性原则：所有规划设计内容严格符合《建筑设计防火规范》《中小学设计规范》《校园消防安全管理规范》等国家及新疆维吾尔自治区、喀什地区相关标准规范，重点落实消防系统改造的合规性要求，确保消防设施布局、施工标准、验收要求完全达标，杜绝违规设计。</w:t>
      </w:r>
    </w:p>
    <w:p w14:paraId="1C7FC6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适配性原则：立足 40 所中小学各自的校舍结构、建成年限、场地大小等实际情况，针对性开展规划设计，避免“一刀切 ”。消防改造、校舍维修、门窗更换等设计内容，精准适配每所学校的具体需求，确保改造后设施与校园整体环境、办学规模相匹配，满足教育教学及师生学习生活需求。</w:t>
      </w:r>
    </w:p>
    <w:p w14:paraId="5CB8D2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性原则：始终将消防安全和师生人身安全放在规划设计首位，消防系统改造设计优先考虑优化消防设施布局，确保消防通道畅通、应急疏散合理；校舍维修设计重点强化结构安全、防水安全、用电安全，配套设施设计注重防护性能，全方位筑牢校园安全防线。</w:t>
      </w:r>
    </w:p>
    <w:p w14:paraId="43B74B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经济性原则：规划设计严格控制成本，优先选用性价比高、耐用性强、维护便捷的建筑材料和消防设备，避免过度设计、冗余设计，合理控制设计造价，确保规划设计方案贴合 2517 万元总预算要求，最大化发挥资金使用效益。</w:t>
      </w:r>
    </w:p>
    <w:p w14:paraId="38D333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cs="宋体"/>
          <w:sz w:val="24"/>
          <w:szCs w:val="24"/>
          <w:lang w:val="en-US" w:eastAsia="zh-CN"/>
        </w:rPr>
      </w:pPr>
      <w:r>
        <w:rPr>
          <w:rFonts w:hint="eastAsia" w:ascii="宋体" w:hAnsi="宋体" w:eastAsia="宋体" w:cs="宋体"/>
          <w:sz w:val="24"/>
          <w:szCs w:val="24"/>
          <w:lang w:val="en-US" w:eastAsia="zh-CN"/>
        </w:rPr>
        <w:t>长效性原则：规划设计兼顾短期成效与长期使用需求，选用的材料、设备及施工工艺均具备良好的耐用性和可维护性，减少后续维修投入；消防系统、校舍设施等设计充分考虑校园长期办学发展需求，预留合理的升级空间，确保改造后设施能够长期稳定发挥作用。协调性原则：统筹协调消防改造与校舍维修、配套设施完善的设计衔接，避免各工程设计冲突；兼顾校园整体环境协调性，提升改造设计与校园原有建筑风格、环境布局相统一，提升校园整体美观度，营造舒适的学习生活环境。</w:t>
      </w:r>
    </w:p>
    <w:p w14:paraId="4CE0C764">
      <w:pPr>
        <w:pStyle w:val="15"/>
        <w:numPr>
          <w:ilvl w:val="0"/>
          <w:numId w:val="0"/>
        </w:numPr>
        <w:spacing w:before="135" w:line="360" w:lineRule="auto"/>
        <w:rPr>
          <w:rFonts w:hint="eastAsia" w:ascii="宋体" w:hAnsi="宋体" w:eastAsia="宋体" w:cs="宋体"/>
          <w:sz w:val="24"/>
          <w:szCs w:val="24"/>
          <w:lang w:val="en-US" w:eastAsia="zh-CN"/>
        </w:rPr>
      </w:pPr>
      <w:r>
        <w:rPr>
          <w:rFonts w:hint="eastAsia" w:cs="宋体"/>
          <w:sz w:val="24"/>
          <w:szCs w:val="24"/>
          <w:lang w:val="en-US" w:eastAsia="zh-CN"/>
        </w:rPr>
        <w:t>九、</w:t>
      </w:r>
      <w:r>
        <w:rPr>
          <w:rFonts w:hint="eastAsia" w:ascii="宋体" w:hAnsi="宋体" w:eastAsia="宋体" w:cs="宋体"/>
          <w:sz w:val="24"/>
          <w:szCs w:val="24"/>
          <w:lang w:val="en-US" w:eastAsia="zh-CN"/>
        </w:rPr>
        <w:t>设计内容</w:t>
      </w:r>
    </w:p>
    <w:p w14:paraId="18A508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 40 所中小学校舍分布、建筑面积、建筑结构等实际情况，分三大类工程开展专项规划设计，确保每一项工程设计精准、可操作，具体如下：</w:t>
      </w:r>
    </w:p>
    <w:p w14:paraId="51DCCF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（1）消防系统改造规划设计</w:t>
      </w:r>
    </w:p>
    <w:p w14:paraId="572F2A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外消火栓系统设计：排查每所学校现有消火栓、消防管道破损、老化情况，按规范重新规划消火栓布局，确保消火栓间距、安装高度符合要求，覆盖所有校舍及校园关键区域；更换老化、锈蚀的消防管道及连接件，选用耐腐蚀、抗压性强的管道材料，疏通供水管道，检修或更换消防水泵，确保消防供水稳定、压力达标，满足火灾扑救即时供水需求。</w:t>
      </w:r>
    </w:p>
    <w:p w14:paraId="793BF2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应急照明及疏散系统设计：结合校舍疏散通道布局，重新规划应急照明灯、疏散指示标志的安装位置，确保疏散通道全程有照明、有指示，应急照明灯续航时间符合规范要求；在楼梯间、走廊拐角、安全出口等关键位置，增设声控报警器，提升突发火灾时的应急预警和疏散引导能力，确保师生能够快速、安全疏散。      </w:t>
      </w:r>
    </w:p>
    <w:p w14:paraId="10B06A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报警系统设计：根据校舍规模和使用功能，规划火灾报警控制器、报警探测器的安装点位，确保探测器覆盖所有区域，无监测盲区；对现有可维修的报警设备进行检修升级，无法维修的予以更换，完善报警联动机制，实现火灾报警与应急照明、消火栓系统的联动启动，提升火灾早期预警和处置效率。</w:t>
      </w:r>
    </w:p>
    <w:p w14:paraId="380A9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分隔设施设计：排查现有防火门破损、变形情况，按规范更换符合标准的防火门及闭门器，明确防火门安装位置和开启方向，确保防火门关闭严密、开启灵活，有效划分防火分区，阻止火势蔓延；对校舍墙体、吊顶等防火薄弱环节，设计加固、防火处理方案，提升防火性能。</w:t>
      </w:r>
    </w:p>
    <w:p w14:paraId="4D6FE8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消防配套设计：规划室外消防管道改造路线，更换老化管道，完善室外消防取水点设置，确保取水便捷；清理消防通道障碍物，规划消防通道宽度和走向，确保消防车辆能够顺利通行、停靠，满足室外火灾扑救作业需求。</w:t>
      </w:r>
    </w:p>
    <w:p w14:paraId="3B590A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（2）校舍提升改造规划设计</w:t>
      </w:r>
    </w:p>
    <w:p w14:paraId="7507C5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结合各学校校舍破损现状，针对性开展提升改造设计，重点改善办学环境、强化设施耐用性，贴合师生使用需求，具体设计内容：</w:t>
      </w:r>
    </w:p>
    <w:p w14:paraId="60D374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学生食堂提升改造设计：按校园食堂安全运营标准，规划食堂地面、墙面、吊顶维修方案，地面铺设防滑、易清洁、耐腐蚀的瓷砖，墙面贴瓷砖至 1.2 米高（防潮防污），吊顶选用防火、防潮、易维护的材料；规划门窗更换位置，选用密封性能好、防火防潮的门窗；设计卫生洁具、通风设施更换方案，优化通风布局，安装断桥隔热隔断，划分操作区域，提升食堂卫生条件和使用功能。</w:t>
      </w:r>
    </w:p>
    <w:p w14:paraId="5883DA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宿舍提升改造设计：重点规划地面防水处理方案，选用优质防水卷材；地面铺设防滑瓷砖，墙面、吊顶修补裂缝、破损部位，刷新环保、无味的墙面涂料，确保符合学生居住健康要求；检修门窗密封性能，对破损门窗予以更换，优化宿舍采光、通风条件，提升居住舒适度和安全性。</w:t>
      </w:r>
    </w:p>
    <w:p w14:paraId="5129C3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室及多媒体教室提升改造设计：普通教室规划门窗更换、地面铺设、墙面刷新方案，选用符合校园安全标准的门窗和环保材料，优化采光、通风布局；多媒体教室重点规划防火门更换、电路改造、照明优化设计，地面铺设耐磨瓷砖，吊顶维修或更换，优化多媒体设备安装点位，配套完善插座、线路布局，提升教学体验。</w:t>
      </w:r>
    </w:p>
    <w:p w14:paraId="0827F1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厕所提升改造设计：规划地面、墙面防水处理方案，选用优质防水材料；地面铺设防滑瓷砖，墙面、吊顶修补破损部位，更换老旧、破损的卫生洁具和给排水管道，增设通风设施，优化通风路线，改善厕所卫生环境，符合校园卫生标准</w:t>
      </w:r>
    </w:p>
    <w:p w14:paraId="0D16B8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教学楼地面提升改造设计：排查教学楼地面破损、起砂情况，规划基础处理方案，铺设耐磨、防滑、易清洁的瓷砖，修补墙面破损部位，刷新墙面，改善教学区域环境面貌。</w:t>
      </w:r>
    </w:p>
    <w:p w14:paraId="6F2355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（3）配套设施完善规划设计</w:t>
      </w:r>
    </w:p>
    <w:p w14:paraId="5DFAF0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围绕校园基础设施完善，结合校园场地条件，规划地面硬化、门窗更换、围墙维修、校门更换等配套工程，提升校园整体环境和安全保障水平，具体设计内容：</w:t>
      </w:r>
    </w:p>
    <w:p w14:paraId="121C33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面硬化设计：排查每所学校校园内破损、泥泞的通行区域、活动场地，规划硬化路线和面积，选用抗压性强、耐用的混凝土材料，按规范开展基础处理和铺设，平整地面，设置合理坡度，避免雨天积水，提升校园通行条件。</w:t>
      </w:r>
    </w:p>
    <w:p w14:paraId="69AD59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窗更换设计：排查教学楼、宿舍楼、教室及辅助用房的破损门窗，规划更换点位和数量，选用符合安全标准、保温隔音性能好的塑钢窗及防火门，明确门窗规格、型号，确保安装贴合建筑结构，兼顾实用性和美观度。</w:t>
      </w:r>
    </w:p>
    <w:p w14:paraId="3B35B0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墙维修设计：排查校园围墙破损、倾斜、开裂情况，规划维修点位和方案，对破损砌体进行修补，对倾斜围墙进行加固处理，对围墙表面进行统一粉刷，选用耐候性强的涂料，维护校园边界安全，提升校园整体美观度。</w:t>
      </w:r>
    </w:p>
    <w:p w14:paraId="6F5E32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校门更换设计：结合每所学校校园入口布局和办学规模，规划校门更换样式和规格，选用坚固、耐用、美观的校门材料，配套完善校门基础施工，预留门禁安装点位，强化校园入口安全管理，兼顾校园整体形象。</w:t>
      </w:r>
    </w:p>
    <w:p w14:paraId="1524AC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十、服务阶段及要求</w:t>
      </w:r>
    </w:p>
    <w:p w14:paraId="3175A7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ascii="宋体" w:hAnsi="宋体" w:eastAsia="宋体" w:cs="宋体"/>
          <w:sz w:val="24"/>
          <w:szCs w:val="24"/>
        </w:rPr>
        <w:t>工程</w:t>
      </w:r>
      <w:r>
        <w:rPr>
          <w:rFonts w:hint="eastAsia" w:ascii="宋体" w:hAnsi="宋体" w:eastAsia="宋体" w:cs="宋体"/>
          <w:sz w:val="24"/>
          <w:szCs w:val="24"/>
          <w:lang w:val="en-US" w:eastAsia="zh-CN"/>
        </w:rPr>
        <w:t>初步设计阶段：</w:t>
      </w:r>
    </w:p>
    <w:p w14:paraId="7497CBE9">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根据可行性研究报告、发包人要求，</w:t>
      </w:r>
      <w:r>
        <w:rPr>
          <w:rFonts w:ascii="宋体" w:hAnsi="宋体" w:eastAsia="宋体" w:cs="宋体"/>
          <w:sz w:val="24"/>
          <w:szCs w:val="24"/>
        </w:rPr>
        <w:t>负责完成</w:t>
      </w:r>
      <w:r>
        <w:rPr>
          <w:rFonts w:hint="eastAsia" w:ascii="宋体" w:hAnsi="宋体" w:eastAsia="宋体" w:cs="宋体"/>
          <w:sz w:val="24"/>
          <w:szCs w:val="24"/>
          <w:lang w:val="en-US" w:eastAsia="zh-CN"/>
        </w:rPr>
        <w:t>本项目初步设计文件；</w:t>
      </w:r>
    </w:p>
    <w:p w14:paraId="63A7C2D0">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完成项目总体投资概算编制，出具规范完整的项目总体概算表。</w:t>
      </w:r>
    </w:p>
    <w:p w14:paraId="7BEEBA4E">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明确各专业设计参数满足概算编制和其他主要需求。</w:t>
      </w:r>
    </w:p>
    <w:p w14:paraId="578F2A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提供符合报审的</w:t>
      </w:r>
      <w:r>
        <w:rPr>
          <w:rFonts w:hint="eastAsia" w:ascii="宋体" w:hAnsi="宋体" w:eastAsia="宋体" w:cs="宋体"/>
          <w:sz w:val="24"/>
          <w:szCs w:val="24"/>
          <w:lang w:val="en-US" w:eastAsia="zh-CN"/>
        </w:rPr>
        <w:t>初步</w:t>
      </w:r>
      <w:r>
        <w:rPr>
          <w:rFonts w:ascii="宋体" w:hAnsi="宋体" w:eastAsia="宋体" w:cs="宋体"/>
          <w:sz w:val="24"/>
          <w:szCs w:val="24"/>
        </w:rPr>
        <w:t>设计成果</w:t>
      </w:r>
      <w:r>
        <w:rPr>
          <w:rFonts w:hint="eastAsia" w:ascii="宋体" w:hAnsi="宋体" w:eastAsia="宋体" w:cs="宋体"/>
          <w:sz w:val="24"/>
          <w:szCs w:val="24"/>
          <w:lang w:val="en-US" w:eastAsia="zh-CN"/>
        </w:rPr>
        <w:t>文件</w:t>
      </w:r>
      <w:r>
        <w:rPr>
          <w:rFonts w:ascii="宋体" w:hAnsi="宋体" w:eastAsia="宋体" w:cs="宋体"/>
          <w:sz w:val="24"/>
          <w:szCs w:val="24"/>
        </w:rPr>
        <w:t>，并配合发包人</w:t>
      </w:r>
      <w:r>
        <w:rPr>
          <w:rFonts w:hint="eastAsia" w:ascii="宋体" w:hAnsi="宋体" w:eastAsia="宋体" w:cs="宋体"/>
          <w:sz w:val="24"/>
          <w:szCs w:val="24"/>
          <w:lang w:val="en-US" w:eastAsia="zh-CN"/>
        </w:rPr>
        <w:t>办理初步设计批复；</w:t>
      </w:r>
    </w:p>
    <w:p w14:paraId="4D5387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ascii="宋体" w:hAnsi="宋体" w:eastAsia="宋体" w:cs="宋体"/>
          <w:sz w:val="24"/>
          <w:szCs w:val="24"/>
        </w:rPr>
        <w:t>工程施工图设计阶段</w:t>
      </w:r>
      <w:r>
        <w:rPr>
          <w:rFonts w:hint="eastAsia" w:ascii="宋体" w:hAnsi="宋体" w:eastAsia="宋体" w:cs="宋体"/>
          <w:sz w:val="24"/>
          <w:szCs w:val="24"/>
          <w:lang w:eastAsia="zh-CN"/>
        </w:rPr>
        <w:t>：</w:t>
      </w:r>
    </w:p>
    <w:p w14:paraId="1A9CBA9C">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在初步设计的基础上优化设计，按发包人要求提供符合条件的</w:t>
      </w:r>
      <w:r>
        <w:rPr>
          <w:rFonts w:ascii="宋体" w:hAnsi="宋体" w:eastAsia="宋体" w:cs="宋体"/>
          <w:sz w:val="24"/>
          <w:szCs w:val="24"/>
        </w:rPr>
        <w:t xml:space="preserve">施工图设计文件； </w:t>
      </w:r>
    </w:p>
    <w:p w14:paraId="2330C4D9">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对发包人的审核修改意见进行修改、完善，保证实现设计意图、满足使用需求；</w:t>
      </w:r>
    </w:p>
    <w:p w14:paraId="4778C762">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 xml:space="preserve">根据项目进度要求及时提供施工图设计文件，并完成施工图审查； </w:t>
      </w:r>
    </w:p>
    <w:p w14:paraId="05DA2686">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协助发包人进行工程招标答疑。</w:t>
      </w:r>
    </w:p>
    <w:p w14:paraId="39523F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40" w:firstLineChars="100"/>
        <w:textAlignment w:val="baseline"/>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施工配合阶段</w:t>
      </w:r>
    </w:p>
    <w:p w14:paraId="0B740711">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r>
        <w:rPr>
          <w:rFonts w:ascii="宋体" w:hAnsi="宋体" w:eastAsia="宋体" w:cs="宋体"/>
          <w:sz w:val="24"/>
          <w:szCs w:val="24"/>
        </w:rPr>
        <w:t xml:space="preserve">负责工程设计交底，解答施工过程中施工承包人有关施工图的问题，项目负责人及各专业设计负责人，及时对施工中与设计有关的问题做出回应，保 证设计满足施工要求； </w:t>
      </w:r>
    </w:p>
    <w:p w14:paraId="61012C5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根据发包人要求，及时参加与设计有关的专题会，现场解决技术问题</w:t>
      </w:r>
      <w:r>
        <w:rPr>
          <w:rFonts w:hint="eastAsia" w:ascii="宋体" w:hAnsi="宋体" w:eastAsia="宋体" w:cs="宋体"/>
          <w:sz w:val="24"/>
          <w:szCs w:val="24"/>
          <w:lang w:val="en-US" w:eastAsia="zh-CN"/>
        </w:rPr>
        <w:t xml:space="preserve">  </w:t>
      </w:r>
    </w:p>
    <w:p w14:paraId="5A13F54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ascii="宋体" w:hAnsi="宋体" w:eastAsia="宋体" w:cs="宋体"/>
          <w:sz w:val="24"/>
          <w:szCs w:val="24"/>
        </w:rPr>
      </w:pPr>
      <w:r>
        <w:rPr>
          <w:rFonts w:ascii="宋体" w:hAnsi="宋体" w:eastAsia="宋体" w:cs="宋体"/>
          <w:sz w:val="24"/>
          <w:szCs w:val="24"/>
        </w:rPr>
        <w:t xml:space="preserve">协助发包人处理工程洽商和设计变更，负责有关设计修改，及时办理相关手续； </w:t>
      </w:r>
    </w:p>
    <w:p w14:paraId="7F865DA3">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 xml:space="preserve">参与与设计人相关的必要的验收以及项目竣工验收工作，并及时办理相关手续； </w:t>
      </w:r>
    </w:p>
    <w:p w14:paraId="591FAF87">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 xml:space="preserve">提供产品选型、建筑材料选择等技术咨询工作； </w:t>
      </w:r>
    </w:p>
    <w:p w14:paraId="5C1BC8FB">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eastAsia="宋体" w:cs="宋体"/>
          <w:sz w:val="24"/>
          <w:szCs w:val="24"/>
          <w:lang w:val="en-US" w:eastAsia="zh-CN"/>
        </w:rPr>
      </w:pPr>
      <w:r>
        <w:rPr>
          <w:rFonts w:ascii="宋体" w:hAnsi="宋体" w:eastAsia="宋体" w:cs="宋体"/>
          <w:sz w:val="24"/>
          <w:szCs w:val="24"/>
        </w:rPr>
        <w:t>从项目设计、施工、竣工验收及发包人主管部门项目验收的全周期设计服务。</w:t>
      </w:r>
    </w:p>
    <w:p w14:paraId="52560D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pacing w:val="8"/>
          <w:sz w:val="22"/>
          <w:szCs w:val="22"/>
        </w:rPr>
        <w:t>★</w:t>
      </w:r>
      <w:r>
        <w:rPr>
          <w:rFonts w:hint="eastAsia" w:ascii="宋体" w:hAnsi="宋体" w:eastAsia="宋体" w:cs="宋体"/>
          <w:sz w:val="24"/>
          <w:szCs w:val="24"/>
          <w:lang w:val="en-US" w:eastAsia="zh-CN"/>
        </w:rPr>
        <w:t>十一、服务要求</w:t>
      </w:r>
    </w:p>
    <w:p w14:paraId="66E48489">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供应商提供的工程设计服务须符合国家现行相关质量验收合格标准。</w:t>
      </w:r>
    </w:p>
    <w:p w14:paraId="415167D3">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工程设计成果及深度应达到有关法律法规、技术标准和采购文件要求。</w:t>
      </w:r>
    </w:p>
    <w:p w14:paraId="7A890E05">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满足国家现行规定的工程设计技术标准及规范要求。</w:t>
      </w:r>
    </w:p>
    <w:p w14:paraId="0ABCE939">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供应商在工程设计中应当采用合同约定的技术、工艺和设备，满足质量、安全、节能、环保等要求。</w:t>
      </w:r>
    </w:p>
    <w:p w14:paraId="5ACBBD2E">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供应商应做好工程设计的质量与技术管理工作，建立健全工程设计质量保证体系，加强工程设计全过程的质量控制，建立完整的工程设计文件的设计、审核、会签和批准制度，明确各阶段的责任人。</w:t>
      </w:r>
    </w:p>
    <w:p w14:paraId="1959F9DD">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配合建设单位做好技术交底和图纸会审工作；配合建设单位做好现场验收工作；配合建设单位做好整个工程建设的设计变更工作；参加建设工程的消防验收及竣工验收工作；参加整个工程建设过程中需由设计单位参加的相关工程会议。</w:t>
      </w:r>
    </w:p>
    <w:p w14:paraId="62C53019">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项目施工图设计过程中，采购方若有方案调整和项目改动，供应商应积极配合，协调处理。</w:t>
      </w:r>
    </w:p>
    <w:p w14:paraId="22A0CB7B">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360" w:leftChars="0" w:firstLine="0" w:firstLineChars="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对采购人所提供的基础资料及本项目合同执行过程中接触或产生的资料有保密义务，未经采购人书面许可，供应商不得向任何第三方披露。如果因供应商原因造成发生任何有损于其保密性的事情，供应商有责任采取补救措施，且须向采购人赔偿相应损失。</w:t>
      </w:r>
    </w:p>
    <w:p w14:paraId="3FC7DA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sz w:val="22"/>
          <w:szCs w:val="22"/>
          <w:highlight w:val="none"/>
        </w:rPr>
        <w:t>★</w:t>
      </w:r>
      <w:r>
        <w:rPr>
          <w:rFonts w:hint="eastAsia" w:ascii="宋体" w:hAnsi="宋体" w:eastAsia="宋体" w:cs="宋体"/>
          <w:sz w:val="24"/>
          <w:szCs w:val="24"/>
          <w:highlight w:val="none"/>
          <w:lang w:val="en-US" w:eastAsia="zh-CN"/>
        </w:rPr>
        <w:t>十二、设计服务期限</w:t>
      </w:r>
    </w:p>
    <w:p w14:paraId="3C67A6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textAlignment w:val="baseline"/>
        <w:rPr>
          <w:rFonts w:ascii="宋体" w:hAnsi="宋体" w:eastAsia="宋体" w:cs="宋体"/>
          <w:sz w:val="24"/>
          <w:szCs w:val="24"/>
          <w:highlight w:val="none"/>
        </w:rPr>
      </w:pPr>
      <w:r>
        <w:rPr>
          <w:rFonts w:ascii="宋体" w:hAnsi="宋体" w:eastAsia="宋体" w:cs="宋体"/>
          <w:sz w:val="24"/>
          <w:szCs w:val="24"/>
          <w:highlight w:val="none"/>
        </w:rPr>
        <w:t>设计合同签订后</w:t>
      </w:r>
      <w:r>
        <w:rPr>
          <w:rFonts w:hint="eastAsia" w:ascii="宋体" w:hAnsi="宋体" w:eastAsia="宋体" w:cs="宋体"/>
          <w:sz w:val="24"/>
          <w:szCs w:val="24"/>
          <w:highlight w:val="none"/>
          <w:lang w:val="en-US" w:eastAsia="zh-CN"/>
        </w:rPr>
        <w:t>45</w:t>
      </w:r>
      <w:r>
        <w:rPr>
          <w:rFonts w:ascii="宋体" w:hAnsi="宋体" w:eastAsia="宋体" w:cs="宋体"/>
          <w:sz w:val="24"/>
          <w:szCs w:val="24"/>
          <w:highlight w:val="none"/>
        </w:rPr>
        <w:t>日历天内</w:t>
      </w:r>
      <w:r>
        <w:rPr>
          <w:rFonts w:hint="eastAsia" w:ascii="宋体" w:hAnsi="宋体" w:eastAsia="宋体" w:cs="宋体"/>
          <w:sz w:val="24"/>
          <w:szCs w:val="24"/>
          <w:highlight w:val="none"/>
          <w:lang w:val="en-US" w:eastAsia="zh-CN"/>
        </w:rPr>
        <w:t>提交所有成果文件并</w:t>
      </w:r>
      <w:r>
        <w:rPr>
          <w:rFonts w:ascii="宋体" w:hAnsi="宋体" w:eastAsia="宋体" w:cs="宋体"/>
          <w:sz w:val="24"/>
          <w:szCs w:val="24"/>
          <w:highlight w:val="none"/>
        </w:rPr>
        <w:t>完成施工图审查；</w:t>
      </w:r>
      <w:r>
        <w:rPr>
          <w:rFonts w:hint="eastAsia" w:ascii="宋体" w:hAnsi="宋体" w:eastAsia="宋体" w:cs="宋体"/>
          <w:sz w:val="24"/>
          <w:szCs w:val="24"/>
          <w:highlight w:val="none"/>
          <w:lang w:val="en-US" w:eastAsia="zh-CN"/>
        </w:rPr>
        <w:t>服务周期</w:t>
      </w:r>
      <w:r>
        <w:rPr>
          <w:rFonts w:ascii="宋体" w:hAnsi="宋体" w:eastAsia="宋体" w:cs="宋体"/>
          <w:sz w:val="24"/>
          <w:szCs w:val="24"/>
          <w:highlight w:val="none"/>
        </w:rPr>
        <w:t>从合同签订之日起至发包人</w:t>
      </w:r>
      <w:r>
        <w:rPr>
          <w:rFonts w:hint="eastAsia" w:ascii="宋体" w:hAnsi="宋体" w:eastAsia="宋体" w:cs="宋体"/>
          <w:sz w:val="24"/>
          <w:szCs w:val="24"/>
          <w:highlight w:val="none"/>
          <w:lang w:val="en-US" w:eastAsia="zh-CN"/>
        </w:rPr>
        <w:t>通过消防专项验收及</w:t>
      </w:r>
      <w:r>
        <w:rPr>
          <w:rFonts w:ascii="宋体" w:hAnsi="宋体" w:eastAsia="宋体" w:cs="宋体"/>
          <w:sz w:val="24"/>
          <w:szCs w:val="24"/>
          <w:highlight w:val="none"/>
        </w:rPr>
        <w:t>项目验收之日止。</w:t>
      </w:r>
    </w:p>
    <w:p w14:paraId="077F4B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sz w:val="22"/>
          <w:szCs w:val="22"/>
          <w:highlight w:val="none"/>
        </w:rPr>
        <w:t>★</w:t>
      </w:r>
      <w:r>
        <w:rPr>
          <w:rFonts w:hint="eastAsia" w:ascii="宋体" w:hAnsi="宋体" w:eastAsia="宋体" w:cs="宋体"/>
          <w:sz w:val="24"/>
          <w:szCs w:val="24"/>
          <w:highlight w:val="none"/>
          <w:lang w:val="en-US" w:eastAsia="zh-CN"/>
        </w:rPr>
        <w:t xml:space="preserve">十三、服务地点 </w:t>
      </w:r>
    </w:p>
    <w:p w14:paraId="7C7BF3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发包人指定地点</w:t>
      </w:r>
    </w:p>
    <w:p w14:paraId="147259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sz w:val="22"/>
          <w:szCs w:val="22"/>
          <w:highlight w:val="none"/>
        </w:rPr>
        <w:t>★</w:t>
      </w:r>
      <w:r>
        <w:rPr>
          <w:rFonts w:hint="eastAsia" w:ascii="宋体" w:hAnsi="宋体" w:eastAsia="宋体" w:cs="宋体"/>
          <w:sz w:val="24"/>
          <w:szCs w:val="24"/>
          <w:highlight w:val="none"/>
          <w:lang w:val="en-US" w:eastAsia="zh-CN"/>
        </w:rPr>
        <w:t>十四、设计成果要求</w:t>
      </w:r>
    </w:p>
    <w:p w14:paraId="6C79A0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（1）所有成果文件交付纸质资料 6 套（含文本、图纸、设计概算、报告等相关资料），并提供相应电子文档 1 份，资料内容齐全、准确，深度须满足国家相关行业标准、规范及满足施工需求。</w:t>
      </w:r>
    </w:p>
    <w:p w14:paraId="7DE4C9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（2）按国家规定和合同约定的技术规范，按时交付合格的成果文件，并对提交的文件的质量负责；对成果文件出现的遗漏或错误负责修改或补充。</w:t>
      </w:r>
    </w:p>
    <w:p w14:paraId="0B25FD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所有提交给采购人资料的最后文本，都属于采购人的财产，未经采购人的书面同意，供应商不得将上述资料用于与该项目之外的任何项目。</w:t>
      </w:r>
    </w:p>
    <w:p w14:paraId="564D8E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ascii="宋体" w:hAnsi="宋体" w:eastAsia="宋体" w:cs="宋体"/>
          <w:sz w:val="24"/>
          <w:szCs w:val="24"/>
        </w:rPr>
      </w:pPr>
      <w:r>
        <w:rPr>
          <w:rFonts w:hint="eastAsia" w:ascii="宋体" w:hAnsi="宋体" w:eastAsia="宋体" w:cs="宋体"/>
          <w:sz w:val="24"/>
          <w:szCs w:val="24"/>
          <w:lang w:val="en-US" w:eastAsia="zh-CN"/>
        </w:rPr>
        <w:t>十五、</w:t>
      </w:r>
      <w:r>
        <w:rPr>
          <w:rFonts w:ascii="宋体" w:hAnsi="宋体" w:eastAsia="宋体" w:cs="宋体"/>
          <w:sz w:val="24"/>
          <w:szCs w:val="24"/>
        </w:rPr>
        <w:t xml:space="preserve">后续服务要求 </w:t>
      </w:r>
    </w:p>
    <w:p w14:paraId="34C433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ascii="宋体" w:hAnsi="宋体" w:eastAsia="宋体" w:cs="宋体"/>
          <w:sz w:val="24"/>
          <w:szCs w:val="24"/>
        </w:rPr>
      </w:pPr>
      <w:r>
        <w:rPr>
          <w:rFonts w:ascii="宋体" w:hAnsi="宋体" w:eastAsia="宋体" w:cs="宋体"/>
          <w:sz w:val="24"/>
          <w:szCs w:val="24"/>
        </w:rPr>
        <w:t xml:space="preserve">（1）技术咨询、指导要求： 供应商应提供从签定合同开始至本项目建设工程完成竣工验收期间全程的技术服务咨询。 </w:t>
      </w:r>
    </w:p>
    <w:p w14:paraId="3F51C1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ascii="宋体" w:hAnsi="宋体" w:eastAsia="宋体" w:cs="宋体"/>
          <w:sz w:val="24"/>
          <w:szCs w:val="24"/>
        </w:rPr>
      </w:pPr>
      <w:r>
        <w:rPr>
          <w:rFonts w:ascii="宋体" w:hAnsi="宋体" w:eastAsia="宋体" w:cs="宋体"/>
          <w:sz w:val="24"/>
          <w:szCs w:val="24"/>
        </w:rPr>
        <w:t xml:space="preserve">（2）服务响应时间：供应商须接受采购人临时安排的与项目有关的工作，采购人提出临时指令性任务或遇到问题时，供应商须应在2小时内响应；如需现场提供服务的，技术人员应在 8 小时内赴现场处理。 </w:t>
      </w:r>
    </w:p>
    <w:p w14:paraId="6CB753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ascii="宋体" w:hAnsi="宋体" w:eastAsia="宋体" w:cs="宋体"/>
          <w:sz w:val="24"/>
          <w:szCs w:val="24"/>
        </w:rPr>
      </w:pPr>
      <w:r>
        <w:rPr>
          <w:rFonts w:ascii="宋体" w:hAnsi="宋体" w:eastAsia="宋体" w:cs="宋体"/>
          <w:sz w:val="24"/>
          <w:szCs w:val="24"/>
        </w:rPr>
        <w:t>（3）后续服务人员配置：供应商应针对本项目配备专门的后续服务团队，供应商在响应文件中提供后续服务团队人员配置清单， 人数不少于2人，明确各自分工职责、权限范围、联系方式、服务时间等，纳入项目班子团队统一管理。</w:t>
      </w:r>
    </w:p>
    <w:p w14:paraId="3E6AAD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pacing w:val="8"/>
          <w:sz w:val="22"/>
          <w:szCs w:val="22"/>
          <w:highlight w:val="none"/>
        </w:rPr>
        <w:t>★</w:t>
      </w:r>
      <w:r>
        <w:rPr>
          <w:rFonts w:hint="eastAsia" w:ascii="宋体" w:hAnsi="宋体" w:eastAsia="宋体" w:cs="宋体"/>
          <w:color w:val="auto"/>
          <w:sz w:val="24"/>
          <w:szCs w:val="24"/>
          <w:highlight w:val="none"/>
          <w:lang w:val="en-US" w:eastAsia="zh-CN"/>
        </w:rPr>
        <w:t>十六、付款方式</w:t>
      </w:r>
    </w:p>
    <w:p w14:paraId="2787C6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完成本项目初步设计、评审，支付中标价的30%，完成施工图设计、获得审批部门的批复，支付中标价的30%；配合发包人完成消防专项验收、项目竣工验收后，支付中标价的40%。</w:t>
      </w:r>
    </w:p>
    <w:p w14:paraId="5EA5F63C">
      <w:pPr>
        <w:pStyle w:val="15"/>
        <w:numPr>
          <w:ilvl w:val="0"/>
          <w:numId w:val="0"/>
        </w:numPr>
        <w:spacing w:before="135" w:line="360" w:lineRule="auto"/>
        <w:ind w:firstLine="480" w:firstLineChars="200"/>
        <w:rPr>
          <w:rFonts w:hint="default" w:ascii="宋体" w:hAnsi="宋体" w:eastAsia="宋体" w:cs="宋体"/>
          <w:sz w:val="24"/>
          <w:szCs w:val="24"/>
          <w:lang w:val="en-US" w:eastAsia="zh-CN"/>
        </w:rPr>
      </w:pPr>
    </w:p>
    <w:p w14:paraId="606FD9A5">
      <w:pPr>
        <w:numPr>
          <w:ilvl w:val="0"/>
          <w:numId w:val="0"/>
        </w:numPr>
        <w:rPr>
          <w:rFonts w:hint="default" w:ascii="宋体" w:hAnsi="宋体" w:eastAsia="宋体" w:cs="宋体"/>
          <w:sz w:val="24"/>
          <w:szCs w:val="24"/>
          <w:lang w:val="en-US" w:eastAsia="zh-CN"/>
        </w:rPr>
      </w:pPr>
    </w:p>
    <w:p w14:paraId="42458C33">
      <w:pPr>
        <w:pStyle w:val="15"/>
        <w:numPr>
          <w:ilvl w:val="0"/>
          <w:numId w:val="0"/>
        </w:numPr>
        <w:spacing w:before="135" w:line="360" w:lineRule="auto"/>
        <w:rPr>
          <w:rFonts w:ascii="宋体" w:hAnsi="宋体" w:eastAsia="宋体" w:cs="宋体"/>
          <w:sz w:val="24"/>
          <w:szCs w:val="24"/>
        </w:rPr>
      </w:pPr>
    </w:p>
    <w:p w14:paraId="107B78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sz w:val="24"/>
          <w:szCs w:val="24"/>
        </w:rPr>
      </w:pPr>
      <w:r>
        <w:rPr>
          <w:rFonts w:hint="eastAsia" w:ascii="宋体" w:hAnsi="宋体" w:eastAsia="宋体" w:cs="宋体"/>
          <w:sz w:val="32"/>
          <w:szCs w:val="32"/>
        </w:rPr>
        <w:t>第</w:t>
      </w:r>
      <w:r>
        <w:rPr>
          <w:rFonts w:hint="eastAsia" w:ascii="宋体" w:hAnsi="宋体" w:eastAsia="宋体" w:cs="宋体"/>
          <w:sz w:val="32"/>
          <w:szCs w:val="32"/>
          <w:lang w:val="en-US" w:eastAsia="zh-CN"/>
        </w:rPr>
        <w:t>六</w:t>
      </w:r>
      <w:r>
        <w:rPr>
          <w:rFonts w:hint="eastAsia" w:ascii="宋体" w:hAnsi="宋体" w:eastAsia="宋体" w:cs="宋体"/>
          <w:sz w:val="32"/>
          <w:szCs w:val="32"/>
        </w:rPr>
        <w:t>章 评标方法和标准</w:t>
      </w:r>
      <w:bookmarkEnd w:id="102"/>
    </w:p>
    <w:p w14:paraId="73B6D704">
      <w:pPr>
        <w:kinsoku/>
        <w:wordWrap/>
        <w:topLinePunct w:val="0"/>
        <w:bidi w:val="0"/>
        <w:spacing w:line="400" w:lineRule="exact"/>
        <w:jc w:val="center"/>
        <w:outlineLvl w:val="0"/>
        <w:rPr>
          <w:rFonts w:hint="eastAsia" w:ascii="宋体" w:hAnsi="宋体" w:eastAsia="宋体" w:cs="宋体"/>
          <w:b/>
          <w:color w:val="auto"/>
          <w:kern w:val="44"/>
          <w:sz w:val="32"/>
          <w:szCs w:val="20"/>
          <w:highlight w:val="none"/>
          <w:lang w:val="en-US" w:eastAsia="zh-CN" w:bidi="ar-SA"/>
        </w:rPr>
      </w:pPr>
    </w:p>
    <w:p w14:paraId="7DB02684">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本项目将按照磋商文件第一章供应商须知中“五 磋商开启及评审”、“六 确定</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”及本章的规定评标。</w:t>
      </w:r>
    </w:p>
    <w:p w14:paraId="2DE4D119">
      <w:pPr>
        <w:keepNext w:val="0"/>
        <w:keepLines w:val="0"/>
        <w:pageBreakBefore w:val="0"/>
        <w:numPr>
          <w:ilvl w:val="0"/>
          <w:numId w:val="0"/>
        </w:numPr>
        <w:kinsoku/>
        <w:wordWrap/>
        <w:overflowPunct/>
        <w:topLinePunct w:val="0"/>
        <w:autoSpaceDE w:val="0"/>
        <w:autoSpaceDN w:val="0"/>
        <w:bidi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i w:val="0"/>
          <w:caps w:val="0"/>
          <w:color w:val="auto"/>
          <w:spacing w:val="0"/>
          <w:kern w:val="0"/>
          <w:sz w:val="24"/>
          <w:szCs w:val="24"/>
          <w:lang w:val="en-US" w:eastAsia="zh-CN" w:bidi="ar"/>
        </w:rPr>
        <w:t>项目基本情况</w:t>
      </w:r>
    </w:p>
    <w:p w14:paraId="7897EB5C">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项目名称：莎车县2026年中小学办学条件改善项目-设计服务（初步设计、施工图设计）</w:t>
      </w:r>
    </w:p>
    <w:p w14:paraId="11CF2FFC">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采购方式：竞争性磋商</w:t>
      </w:r>
    </w:p>
    <w:p w14:paraId="14C56040">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评标办法：综合评分法</w:t>
      </w:r>
    </w:p>
    <w:p w14:paraId="3EE1608C">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是指响应文件满足招标文件全部实质性要求，且按照评审因素的量化指标评审得分最高的供应商为中标候选人的评标方法。</w:t>
      </w:r>
    </w:p>
    <w:p w14:paraId="4C2F5BD0">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开标时间：</w:t>
      </w:r>
      <w:r>
        <w:rPr>
          <w:rFonts w:hint="eastAsia" w:ascii="宋体" w:hAnsi="宋体" w:eastAsia="宋体" w:cs="宋体"/>
          <w:b w:val="0"/>
          <w:bCs w:val="0"/>
          <w:color w:val="auto"/>
          <w:sz w:val="24"/>
          <w:szCs w:val="24"/>
          <w:highlight w:val="none"/>
          <w:lang w:val="en-US" w:eastAsia="zh-CN"/>
        </w:rPr>
        <w:t>2026年5月7日16：00分（北京时间）</w:t>
      </w:r>
    </w:p>
    <w:p w14:paraId="5409E5EE">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0开标地点：政采云平台</w:t>
      </w:r>
    </w:p>
    <w:p w14:paraId="2C0E7255">
      <w:pPr>
        <w:keepNext w:val="0"/>
        <w:keepLines w:val="0"/>
        <w:pageBreakBefore w:val="0"/>
        <w:kinsoku/>
        <w:wordWrap/>
        <w:overflowPunct/>
        <w:topLinePunct w:val="0"/>
        <w:autoSpaceDE w:val="0"/>
        <w:autoSpaceDN w:val="0"/>
        <w:bidi w:val="0"/>
        <w:spacing w:line="36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拒绝接收响应文件的情形</w:t>
      </w:r>
    </w:p>
    <w:p w14:paraId="47D25D6A">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在递交</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rPr>
        <w:t>截止时间后送达的</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rPr>
        <w:t>的，采购人和采购代理机构将拒绝接收。</w:t>
      </w:r>
    </w:p>
    <w:p w14:paraId="697D9998">
      <w:pPr>
        <w:keepNext w:val="0"/>
        <w:keepLines w:val="0"/>
        <w:pageBreakBefore w:val="0"/>
        <w:numPr>
          <w:ilvl w:val="0"/>
          <w:numId w:val="0"/>
        </w:numPr>
        <w:kinsoku/>
        <w:wordWrap/>
        <w:overflowPunct/>
        <w:topLinePunct w:val="0"/>
        <w:autoSpaceDE w:val="0"/>
        <w:autoSpaceDN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三、不得开启响应文件的情形</w:t>
      </w:r>
    </w:p>
    <w:p w14:paraId="4544623B">
      <w:pPr>
        <w:keepNext w:val="0"/>
        <w:keepLines w:val="0"/>
        <w:pageBreakBefore w:val="0"/>
        <w:numPr>
          <w:ilvl w:val="0"/>
          <w:numId w:val="0"/>
        </w:numPr>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w:t>
      </w:r>
    </w:p>
    <w:p w14:paraId="1A8FEBBA">
      <w:pPr>
        <w:pStyle w:val="15"/>
        <w:keepNext w:val="0"/>
        <w:keepLines w:val="0"/>
        <w:pageBreakBefore w:val="0"/>
        <w:kinsoku/>
        <w:wordWrap/>
        <w:overflowPunct/>
        <w:topLinePunct w:val="0"/>
        <w:autoSpaceDE w:val="0"/>
        <w:autoSpaceDN w:val="0"/>
        <w:bidi w:val="0"/>
        <w:spacing w:before="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响应文件</w:t>
      </w:r>
      <w:r>
        <w:rPr>
          <w:rFonts w:hint="eastAsia" w:ascii="宋体" w:hAnsi="宋体" w:eastAsia="宋体" w:cs="宋体"/>
          <w:b/>
          <w:bCs/>
          <w:color w:val="auto"/>
          <w:sz w:val="24"/>
          <w:szCs w:val="24"/>
        </w:rPr>
        <w:t>无效的情形：</w:t>
      </w:r>
    </w:p>
    <w:p w14:paraId="17D35E2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采购人或采购代理机构将在</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开启前1个工作日至递交响应文件截止</w:t>
      </w:r>
      <w:r>
        <w:rPr>
          <w:rFonts w:hint="eastAsia" w:ascii="宋体" w:hAnsi="宋体" w:eastAsia="宋体" w:cs="宋体"/>
          <w:b w:val="0"/>
          <w:bCs w:val="0"/>
          <w:color w:val="auto"/>
          <w:sz w:val="24"/>
          <w:szCs w:val="24"/>
          <w:lang w:eastAsia="zh-CN"/>
        </w:rPr>
        <w:t>前</w:t>
      </w:r>
      <w:r>
        <w:rPr>
          <w:rFonts w:hint="eastAsia" w:ascii="宋体" w:hAnsi="宋体" w:eastAsia="宋体" w:cs="宋体"/>
          <w:b w:val="0"/>
          <w:bCs w:val="0"/>
          <w:color w:val="auto"/>
          <w:sz w:val="24"/>
          <w:szCs w:val="24"/>
        </w:rPr>
        <w:t>查询</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的信用记录。</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存在不良信用记录的，其</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资格将被认定为无效。</w:t>
      </w:r>
    </w:p>
    <w:p w14:paraId="3EB2E75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在比较与评价之前，根据本须知的规定，</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小组要审查每份响应文件是否实质上响应了</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文件的要求。实质上响应的</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应该是与</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成为实质上响应的</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w:t>
      </w:r>
    </w:p>
    <w:p w14:paraId="3E35624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未按</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文件规定的形式和金额提交</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保证金的；</w:t>
      </w:r>
    </w:p>
    <w:p w14:paraId="7EB1B4D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未按照</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文件规定要求签署、盖章的；</w:t>
      </w:r>
    </w:p>
    <w:p w14:paraId="3E2461D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未满足</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文件中技术条款的实质性要求；</w:t>
      </w:r>
    </w:p>
    <w:p w14:paraId="7D2DD2F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与其他供应商串通参加</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，或者与采购人串通参加</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w:t>
      </w:r>
    </w:p>
    <w:p w14:paraId="6446243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文件规定的其他无效情形；</w:t>
      </w:r>
    </w:p>
    <w:p w14:paraId="394E3B8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小组认为供应商的报价明显低于其他通过符合性检查供应商的报价，有可能影响履约的，且供应商未按照规定证明其报价合理性的；</w:t>
      </w:r>
    </w:p>
    <w:p w14:paraId="2784B489">
      <w:pPr>
        <w:keepNext w:val="0"/>
        <w:keepLines w:val="0"/>
        <w:pageBreakBefore w:val="0"/>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响应文件含有采购人不能接受的附加条件的；</w:t>
      </w:r>
    </w:p>
    <w:p w14:paraId="3EBA39CA">
      <w:pPr>
        <w:keepNext w:val="0"/>
        <w:keepLines w:val="0"/>
        <w:pageBreakBefore w:val="0"/>
        <w:tabs>
          <w:tab w:val="left" w:pos="0"/>
        </w:tabs>
        <w:kinsoku/>
        <w:wordWrap/>
        <w:overflowPunct/>
        <w:topLinePunct w:val="0"/>
        <w:autoSpaceDE w:val="0"/>
        <w:autoSpaceDN w:val="0"/>
        <w:bidi w:val="0"/>
        <w:spacing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不符合法规和</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文件中规定的其他实质性要求的。</w:t>
      </w:r>
    </w:p>
    <w:p w14:paraId="61EFEBB1">
      <w:pPr>
        <w:pStyle w:val="37"/>
        <w:keepNext w:val="0"/>
        <w:keepLines w:val="0"/>
        <w:pageBreakBefore w:val="0"/>
        <w:kinsoku/>
        <w:wordWrap/>
        <w:overflowPunct/>
        <w:topLinePunct w:val="0"/>
        <w:autoSpaceDE w:val="0"/>
        <w:autoSpaceDN w:val="0"/>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开启</w:t>
      </w:r>
    </w:p>
    <w:p w14:paraId="4DBD6B3C">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(1)开标准备:本项目开标的准备工作由采购组织机构负责落实，开标过程由采购组织机构负责记录;</w:t>
      </w:r>
    </w:p>
    <w:p w14:paraId="317EDEEC">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(2)开标主持:本项目开标由采购人或者采购代理机构主持;</w:t>
      </w:r>
    </w:p>
    <w:p w14:paraId="0E1C81C9">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(3)开标邀请:本项目采用电子交易，采购组织机构将按照采购文件规定的时间通过”新疆政府采购云平台，网址:www.zcygov.cn”组织开标、开启投标响应文件，所有供应商均应当准时在线参加。</w:t>
      </w:r>
    </w:p>
    <w:p w14:paraId="3E909A5A">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6CE2C7C9">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(5)开标程序</w:t>
      </w:r>
    </w:p>
    <w:p w14:paraId="08B9DB70">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1.开标时间到后，主持人宣布开标会议开始。</w:t>
      </w:r>
    </w:p>
    <w:p w14:paraId="03D7EEE1">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2.响应文件解密(解密规定见《供应商须知资料表》)。</w:t>
      </w:r>
    </w:p>
    <w:p w14:paraId="5BAF4129">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3.响应文件解密异常情况处理(处理办法见《供应商须知资料表》)。</w:t>
      </w:r>
    </w:p>
    <w:p w14:paraId="53317607">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4.公布响应文件解密情况(响应文件成功解密的供应商名单等信息)</w:t>
      </w:r>
    </w:p>
    <w:p w14:paraId="30F4DFBB">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5.开启供应商的报价，公布供应商的名称、服务总报价、磋商保证金、服务期限、服务地点。各投标单位对投标报价有无疑异，如果没有疑异，请签章确认。</w:t>
      </w:r>
    </w:p>
    <w:p w14:paraId="7A936BA7">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开启标书信息(资格证明文件、商务技术文件)。标书信息开启后，首先由采购人依法对投标供应商的资格证明文件进行审查，审查结束公布投标供应商的资格符合情况。资格审查未获通过的供应商，其商务技术文件及报价文件不再进入评审。</w:t>
      </w:r>
    </w:p>
    <w:p w14:paraId="45DF8C01">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7.由磋商小组依法对投标供应商的资格和符合性进行审查，审查结束公布投标供应商的资格符合情况。未获通过的供应商，其商务技术文件及报价文件不再进入评审。</w:t>
      </w:r>
    </w:p>
    <w:p w14:paraId="5332C7A8">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8.磋商小组所有成员应当集中与单一供应商分别进行磋商，并给予所有参加磋商的供应商平等的磋商机会。</w:t>
      </w:r>
    </w:p>
    <w:p w14:paraId="26F38C72">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9.对商务技术及报价进行综合打分，得分汇总后，主持人公布商务技术评审得分情况及价格得分情况。</w:t>
      </w:r>
    </w:p>
    <w:p w14:paraId="5C765809">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10.评审结束后，采购代理机构在系统上公布评审结果。</w:t>
      </w:r>
    </w:p>
    <w:p w14:paraId="63C5AD94">
      <w:pPr>
        <w:pStyle w:val="17"/>
        <w:keepNext w:val="0"/>
        <w:keepLines w:val="0"/>
        <w:pageBreakBefore w:val="0"/>
        <w:numPr>
          <w:ilvl w:val="0"/>
          <w:numId w:val="0"/>
        </w:numPr>
        <w:kinsoku/>
        <w:wordWrap/>
        <w:overflowPunct/>
        <w:topLinePunct w:val="0"/>
        <w:autoSpaceDE w:val="0"/>
        <w:autoSpaceDN w:val="0"/>
        <w:bidi w:val="0"/>
        <w:snapToGrid w:val="0"/>
        <w:spacing w:line="360" w:lineRule="auto"/>
        <w:ind w:left="0" w:leftChars="0" w:firstLine="466" w:firstLineChars="200"/>
        <w:textAlignment w:val="auto"/>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六、项目评审专家：</w:t>
      </w:r>
    </w:p>
    <w:p w14:paraId="2F31FECE">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照《中华人民共和国政府采购法》、《中华人民共和国政府采购法实施条例》、《政府采购竞争性磋商采购方式管理暂行办法》及本项目本级和上级财政部门的有关规定依法组建的评审小组，负责评审工作；本项目评审专家由3人组成。（专家从政采云随机抽取）</w:t>
      </w:r>
    </w:p>
    <w:p w14:paraId="5CDD0A12">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评审专家要求：</w:t>
      </w:r>
    </w:p>
    <w:p w14:paraId="59C65638">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1.组织评标委员会推选评标组长，采购人代表不得担任组长；</w:t>
      </w:r>
    </w:p>
    <w:p w14:paraId="2341E398">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2.在评标期间采取必要的通讯管理措施，保证评标活动不受外界干扰，将手机关闭或调成静音交友现场项目监督人员统一保管；</w:t>
      </w:r>
    </w:p>
    <w:p w14:paraId="0B38C832">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3.审查、评价响应文件是否符合招标文件的商务、技术等实质性要求；</w:t>
      </w:r>
    </w:p>
    <w:p w14:paraId="25662AFC">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4.要求供应商对响应文件有关事项作出澄清或者说明；</w:t>
      </w:r>
    </w:p>
    <w:p w14:paraId="0A64A040">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5.对响应文件进行比较和评价；</w:t>
      </w:r>
    </w:p>
    <w:p w14:paraId="44C03523">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6.确定中标候选人名单，以及根据采购人委托直接确定中标人；</w:t>
      </w:r>
    </w:p>
    <w:p w14:paraId="5EDC8F5B">
      <w:pPr>
        <w:pStyle w:val="15"/>
        <w:keepNext w:val="0"/>
        <w:keepLines w:val="0"/>
        <w:pageBreakBefore w:val="0"/>
        <w:numPr>
          <w:ilvl w:val="0"/>
          <w:numId w:val="0"/>
        </w:numPr>
        <w:kinsoku/>
        <w:wordWrap/>
        <w:overflowPunct/>
        <w:topLinePunct w:val="0"/>
        <w:autoSpaceDE w:val="0"/>
        <w:autoSpaceDN w:val="0"/>
        <w:bidi w:val="0"/>
        <w:spacing w:before="0"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7.向采购人、采购代理机构或者有关部门报告评标中发现的违法行为。</w:t>
      </w:r>
    </w:p>
    <w:p w14:paraId="73D68BD0">
      <w:pPr>
        <w:pStyle w:val="15"/>
        <w:keepNext w:val="0"/>
        <w:keepLines w:val="0"/>
        <w:pageBreakBefore w:val="0"/>
        <w:kinsoku/>
        <w:wordWrap/>
        <w:overflowPunct/>
        <w:topLinePunct w:val="0"/>
        <w:autoSpaceDE w:val="0"/>
        <w:autoSpaceDN w:val="0"/>
        <w:bidi w:val="0"/>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评标</w:t>
      </w:r>
    </w:p>
    <w:p w14:paraId="664236E0">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1、评标的依据为磋商文件和响应文件；</w:t>
      </w:r>
    </w:p>
    <w:p w14:paraId="79312321">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2、本项目采用综合评分法：总分100分，共中报价分值10分，商务技术分值90分</w:t>
      </w:r>
    </w:p>
    <w:p w14:paraId="4E0C0028">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3、磋商小组成员到齐后，推选磋商小组组长。依据招标文件和响应文件进行认真查阅。审查响文件是否完整，是否有计算错误，要求的磋商保证金是否提供，文件是否恰当地签署；</w:t>
      </w:r>
    </w:p>
    <w:p w14:paraId="1D90CAF0">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4、在对响应文件进行详细评估前，依据投标方提供的资格证明文件审查投标方的财务、技术和服务能力。如果确定投标方无资格履行合同，其投标将被拒绝；</w:t>
      </w:r>
    </w:p>
    <w:p w14:paraId="4CDC54BA">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14:paraId="44AC5275">
      <w:pPr>
        <w:pStyle w:val="15"/>
        <w:keepNext w:val="0"/>
        <w:keepLines w:val="0"/>
        <w:pageBreakBefore w:val="0"/>
        <w:kinsoku/>
        <w:wordWrap/>
        <w:overflowPunct/>
        <w:topLinePunct w:val="0"/>
        <w:autoSpaceDE w:val="0"/>
        <w:autoSpaceDN w:val="0"/>
        <w:bidi w:val="0"/>
        <w:spacing w:before="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对响应文件的评估和比较：</w:t>
      </w:r>
    </w:p>
    <w:p w14:paraId="6B8EFBA2">
      <w:pPr>
        <w:pStyle w:val="15"/>
        <w:keepNext w:val="0"/>
        <w:keepLines w:val="0"/>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经符合性审查合格的响应文件，评审委员会将根据磋商文件确定的评审方法和标准，对其技术部分和商务部分作进一步的比较和评价。</w:t>
      </w:r>
    </w:p>
    <w:p w14:paraId="2C55187E">
      <w:pPr>
        <w:pStyle w:val="15"/>
        <w:keepNext w:val="0"/>
        <w:keepLines w:val="0"/>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40DA23FA">
      <w:pPr>
        <w:pStyle w:val="15"/>
        <w:keepNext w:val="0"/>
        <w:keepLines w:val="0"/>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评分标准:对实质性响应的响应文件进行评估和比较，采用综合评分法进行打分评比。将每位供应商的价格得分、技术得分、商务得分相加即为该供应商的总得分。</w:t>
      </w:r>
    </w:p>
    <w:p w14:paraId="13AD31BC">
      <w:pPr>
        <w:pStyle w:val="15"/>
        <w:keepNext w:val="0"/>
        <w:keepLines w:val="0"/>
        <w:pageBreakBefore w:val="0"/>
        <w:kinsoku/>
        <w:wordWrap/>
        <w:overflowPunct/>
        <w:topLinePunct w:val="0"/>
        <w:autoSpaceDE w:val="0"/>
        <w:autoSpaceDN w:val="0"/>
        <w:bidi w:val="0"/>
        <w:spacing w:before="0" w:line="360" w:lineRule="auto"/>
        <w:textAlignment w:val="auto"/>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十、</w:t>
      </w:r>
      <w:r>
        <w:rPr>
          <w:rFonts w:hint="eastAsia" w:ascii="宋体" w:hAnsi="宋体" w:eastAsia="宋体" w:cs="宋体"/>
          <w:b/>
          <w:bCs/>
          <w:color w:val="auto"/>
          <w:sz w:val="24"/>
          <w:szCs w:val="24"/>
          <w:lang w:val="en-US" w:eastAsia="zh-CN"/>
        </w:rPr>
        <w:t>定标</w:t>
      </w:r>
    </w:p>
    <w:p w14:paraId="49FEA2AF">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1.定标标准</w:t>
      </w:r>
    </w:p>
    <w:p w14:paraId="4AC3FA96">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（一）原则：招标人将依据本项目根据磋商小组推荐的成交候选人名单，按顺序确定中标人。</w:t>
      </w:r>
    </w:p>
    <w:p w14:paraId="035C6546">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（二）程序：</w:t>
      </w:r>
    </w:p>
    <w:p w14:paraId="0B87FC61">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1、采购代理机构在评审结束后2个工作日内将评审报告送采购人确认。</w:t>
      </w:r>
    </w:p>
    <w:p w14:paraId="303B3E48">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14:paraId="2FE089BD">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3、采购单位不退回供应商响应文件和其他资料。</w:t>
      </w:r>
    </w:p>
    <w:p w14:paraId="62C47A42">
      <w:pPr>
        <w:pStyle w:val="15"/>
        <w:keepNext w:val="0"/>
        <w:keepLines w:val="0"/>
        <w:pageBreakBefore w:val="0"/>
        <w:kinsoku/>
        <w:wordWrap/>
        <w:overflowPunct/>
        <w:topLinePunct w:val="0"/>
        <w:autoSpaceDE w:val="0"/>
        <w:autoSpaceDN w:val="0"/>
        <w:bidi w:val="0"/>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成交候选人并列式时的处理方式：</w:t>
      </w:r>
      <w:r>
        <w:rPr>
          <w:rFonts w:hint="eastAsia" w:ascii="宋体" w:hAnsi="宋体" w:eastAsia="宋体" w:cs="宋体"/>
          <w:b w:val="0"/>
          <w:bCs w:val="0"/>
          <w:color w:val="auto"/>
          <w:sz w:val="24"/>
          <w:szCs w:val="24"/>
          <w:lang w:val="en-US" w:eastAsia="zh-CN"/>
        </w:rPr>
        <w:t xml:space="preserve">   </w:t>
      </w:r>
    </w:p>
    <w:p w14:paraId="1FF2E791">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lang w:val="en-US" w:eastAsia="zh-CN"/>
        </w:rPr>
        <w:t>采用综合评标法，则：</w:t>
      </w:r>
      <w:r>
        <w:rPr>
          <w:rFonts w:hint="eastAsia" w:ascii="宋体" w:hAnsi="宋体" w:eastAsia="宋体" w:cs="宋体"/>
          <w:b w:val="0"/>
          <w:bCs w:val="0"/>
          <w:color w:val="auto"/>
          <w:sz w:val="24"/>
          <w:szCs w:val="24"/>
          <w:u w:val="single"/>
          <w:lang w:val="en-US" w:eastAsia="zh-CN"/>
        </w:rPr>
        <w:t>（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2）评标结果按评审后得分由高到低顺序排列。得分不同的，最高分供应商为排名第一的中标候选人。</w:t>
      </w:r>
    </w:p>
    <w:p w14:paraId="17E8D75F">
      <w:pPr>
        <w:pStyle w:val="15"/>
        <w:keepNext w:val="0"/>
        <w:keepLines w:val="0"/>
        <w:pageBreakBefore w:val="0"/>
        <w:numPr>
          <w:ilvl w:val="0"/>
          <w:numId w:val="0"/>
        </w:numPr>
        <w:kinsoku/>
        <w:wordWrap/>
        <w:overflowPunct/>
        <w:topLinePunct w:val="0"/>
        <w:autoSpaceDE w:val="0"/>
        <w:autoSpaceDN w:val="0"/>
        <w:bidi w:val="0"/>
        <w:spacing w:before="0" w:line="360" w:lineRule="auto"/>
        <w:textAlignment w:val="auto"/>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十一</w:t>
      </w:r>
      <w:r>
        <w:rPr>
          <w:rFonts w:hint="eastAsia" w:ascii="宋体" w:hAnsi="宋体" w:eastAsia="宋体" w:cs="宋体"/>
          <w:b/>
          <w:bCs/>
          <w:color w:val="auto"/>
          <w:sz w:val="24"/>
          <w:szCs w:val="24"/>
          <w:lang w:val="en-US" w:eastAsia="zh-CN"/>
        </w:rPr>
        <w:t>、中小企业落实政策</w:t>
      </w:r>
    </w:p>
    <w:p w14:paraId="2A8B208E">
      <w:pPr>
        <w:keepNext w:val="0"/>
        <w:keepLines w:val="0"/>
        <w:pageBreakBefore w:val="0"/>
        <w:numPr>
          <w:ilvl w:val="0"/>
          <w:numId w:val="0"/>
        </w:numPr>
        <w:kinsoku/>
        <w:wordWrap/>
        <w:overflowPunct/>
        <w:topLinePunct w:val="0"/>
        <w:autoSpaceDE w:val="0"/>
        <w:autoSpaceDN w:val="0"/>
        <w:bidi w:val="0"/>
        <w:spacing w:line="360" w:lineRule="auto"/>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u w:val="none"/>
          <w:lang w:val="en-US" w:eastAsia="zh-CN" w:bidi="ar-SA"/>
        </w:rPr>
        <w:t>本项目为专门面向中小企业采购，</w:t>
      </w:r>
      <w:r>
        <w:rPr>
          <w:rFonts w:hint="eastAsia" w:ascii="宋体" w:hAnsi="宋体" w:eastAsia="宋体" w:cs="宋体"/>
          <w:b/>
          <w:bCs/>
          <w:color w:val="auto"/>
          <w:kern w:val="2"/>
          <w:sz w:val="24"/>
          <w:szCs w:val="24"/>
          <w:highlight w:val="none"/>
          <w:lang w:val="en-US" w:eastAsia="zh-CN" w:bidi="ar-SA"/>
        </w:rPr>
        <w:t>潜在投标企业属于中小微企业的，请在投标文件中提供“中小企业声明函”，如果未提供或提供虛假的“中小企业声明函”，投标企业将承担由此造成的一切不利后果。</w:t>
      </w:r>
    </w:p>
    <w:p w14:paraId="6B8033EB">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rPr>
        <w:t>中提交了《</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企业类型声明函》、《残疾人福利性单位声明函》或省级以上监狱管理局、戒毒管理局（含新疆生产建设兵团）出具的属于监狱企业、本地生产企业证明文件的</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highlight w:val="none"/>
        </w:rPr>
        <w:t>其投标报价扣除</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rPr>
        <w:t>后</w:t>
      </w:r>
      <w:r>
        <w:rPr>
          <w:rFonts w:hint="eastAsia" w:ascii="宋体" w:hAnsi="宋体" w:eastAsia="宋体" w:cs="宋体"/>
          <w:b w:val="0"/>
          <w:bCs w:val="0"/>
          <w:color w:val="auto"/>
          <w:sz w:val="24"/>
          <w:szCs w:val="24"/>
        </w:rPr>
        <w:t>参与评审。对于同时属于小微企业、监狱企业残疾人福利性单位的，不重复进行投标报价扣除。</w:t>
      </w:r>
    </w:p>
    <w:p w14:paraId="1F7E0B69">
      <w:pPr>
        <w:keepNext w:val="0"/>
        <w:keepLines w:val="0"/>
        <w:pageBreakBefore w:val="0"/>
        <w:widowControl/>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2.联合协议中约定，小型、微型企业和监狱企业的协议合同金额占到联合体协议合同总金额30%以上的，可给予联合体</w:t>
      </w:r>
      <w:r>
        <w:rPr>
          <w:rFonts w:hint="eastAsia" w:ascii="宋体" w:hAnsi="宋体" w:eastAsia="宋体" w:cs="宋体"/>
          <w:b w:val="0"/>
          <w:bCs w:val="0"/>
          <w:color w:val="auto"/>
          <w:sz w:val="24"/>
          <w:szCs w:val="24"/>
          <w:u w:val="single"/>
        </w:rPr>
        <w:t xml:space="preserve">  /  </w:t>
      </w:r>
      <w:r>
        <w:rPr>
          <w:rFonts w:hint="eastAsia" w:ascii="宋体" w:hAnsi="宋体" w:eastAsia="宋体" w:cs="宋体"/>
          <w:b w:val="0"/>
          <w:bCs w:val="0"/>
          <w:color w:val="auto"/>
          <w:sz w:val="24"/>
          <w:szCs w:val="24"/>
        </w:rPr>
        <w:t>%的价格扣除。</w:t>
      </w:r>
    </w:p>
    <w:p w14:paraId="471F2990">
      <w:pPr>
        <w:keepNext w:val="0"/>
        <w:keepLines w:val="0"/>
        <w:pageBreakBefore w:val="0"/>
        <w:widowControl/>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联合体各方均为小型、微型企业和监狱企业的，联合体视同为小型、微型企业和监狱企业。</w:t>
      </w:r>
    </w:p>
    <w:p w14:paraId="71C64148">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 w:val="0"/>
          <w:bCs w:val="0"/>
          <w:color w:val="auto"/>
          <w:sz w:val="24"/>
          <w:szCs w:val="24"/>
          <w:u w:val="single"/>
        </w:rPr>
        <w:t xml:space="preserve">：   无        </w:t>
      </w:r>
    </w:p>
    <w:p w14:paraId="16B03180">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4.如采购人所采购产品为政府强制采购的节能产品，</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所投产品的品牌及型号必须为清单中有效期内产品并提供证明文件，否则其投标将被认定为投标无效。</w:t>
      </w:r>
    </w:p>
    <w:p w14:paraId="17EC5215">
      <w:pPr>
        <w:pStyle w:val="15"/>
        <w:keepNext w:val="0"/>
        <w:keepLines w:val="0"/>
        <w:pageBreakBefore w:val="0"/>
        <w:kinsoku/>
        <w:wordWrap/>
        <w:overflowPunct/>
        <w:topLinePunct w:val="0"/>
        <w:autoSpaceDE w:val="0"/>
        <w:autoSpaceDN w:val="0"/>
        <w:bidi w:val="0"/>
        <w:spacing w:before="0"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5.对创新产品或创新性企业的优惠措施为</w:t>
      </w:r>
      <w:r>
        <w:rPr>
          <w:rFonts w:hint="eastAsia" w:ascii="宋体" w:hAnsi="宋体" w:eastAsia="宋体" w:cs="宋体"/>
          <w:b w:val="0"/>
          <w:bCs w:val="0"/>
          <w:color w:val="auto"/>
          <w:sz w:val="24"/>
          <w:szCs w:val="24"/>
          <w:u w:val="single"/>
        </w:rPr>
        <w:t xml:space="preserve">：          无             </w:t>
      </w:r>
    </w:p>
    <w:p w14:paraId="1746054E">
      <w:pPr>
        <w:kinsoku/>
        <w:wordWrap/>
        <w:topLinePunct w:val="0"/>
        <w:bidi w:val="0"/>
        <w:spacing w:line="400" w:lineRule="exact"/>
        <w:jc w:val="left"/>
        <w:outlineLvl w:val="0"/>
        <w:rPr>
          <w:rFonts w:hint="eastAsia" w:ascii="宋体" w:hAnsi="宋体" w:eastAsia="宋体" w:cs="宋体"/>
          <w:b/>
          <w:color w:val="auto"/>
          <w:kern w:val="44"/>
          <w:sz w:val="32"/>
          <w:szCs w:val="20"/>
          <w:highlight w:val="none"/>
          <w:lang w:val="en-US" w:eastAsia="zh-CN" w:bidi="ar-SA"/>
        </w:rPr>
      </w:pPr>
    </w:p>
    <w:p w14:paraId="784129D3">
      <w:pPr>
        <w:pStyle w:val="29"/>
        <w:rPr>
          <w:rFonts w:hint="default"/>
          <w:lang w:val="en-US" w:eastAsia="zh-CN"/>
        </w:rPr>
      </w:pPr>
    </w:p>
    <w:p w14:paraId="3E484367">
      <w:pPr>
        <w:rPr>
          <w:rFonts w:hint="default"/>
          <w:lang w:val="en-US" w:eastAsia="zh-CN"/>
        </w:rPr>
      </w:pPr>
    </w:p>
    <w:p w14:paraId="6BD99A34">
      <w:pPr>
        <w:rPr>
          <w:rFonts w:hint="default"/>
          <w:lang w:val="en-US" w:eastAsia="zh-CN"/>
        </w:rPr>
      </w:pPr>
    </w:p>
    <w:p w14:paraId="170F77D1">
      <w:pPr>
        <w:rPr>
          <w:rFonts w:hint="default"/>
          <w:lang w:val="en-US" w:eastAsia="zh-CN"/>
        </w:rPr>
      </w:pPr>
    </w:p>
    <w:p w14:paraId="0FD7CA04">
      <w:pPr>
        <w:rPr>
          <w:rFonts w:hint="default"/>
          <w:lang w:val="en-US" w:eastAsia="zh-CN"/>
        </w:rPr>
      </w:pPr>
    </w:p>
    <w:p w14:paraId="6ADCE7D1">
      <w:pPr>
        <w:rPr>
          <w:rFonts w:hint="default"/>
          <w:lang w:val="en-US" w:eastAsia="zh-CN"/>
        </w:rPr>
      </w:pPr>
    </w:p>
    <w:p w14:paraId="3DF3BB16">
      <w:pPr>
        <w:rPr>
          <w:rFonts w:hint="default"/>
          <w:lang w:val="en-US" w:eastAsia="zh-CN"/>
        </w:rPr>
      </w:pPr>
    </w:p>
    <w:p w14:paraId="458DE307">
      <w:pPr>
        <w:rPr>
          <w:rFonts w:hint="default"/>
          <w:lang w:val="en-US" w:eastAsia="zh-CN"/>
        </w:rPr>
      </w:pPr>
    </w:p>
    <w:p w14:paraId="1EF0D69F">
      <w:pPr>
        <w:rPr>
          <w:rFonts w:hint="default"/>
          <w:lang w:val="en-US" w:eastAsia="zh-CN"/>
        </w:rPr>
      </w:pPr>
    </w:p>
    <w:p w14:paraId="271A27F9">
      <w:pPr>
        <w:rPr>
          <w:rFonts w:hint="default"/>
          <w:lang w:val="en-US" w:eastAsia="zh-CN"/>
        </w:rPr>
      </w:pPr>
    </w:p>
    <w:p w14:paraId="30EF3CAA">
      <w:pPr>
        <w:rPr>
          <w:rFonts w:hint="default"/>
          <w:lang w:val="en-US" w:eastAsia="zh-CN"/>
        </w:rPr>
      </w:pPr>
    </w:p>
    <w:p w14:paraId="770E8CD2">
      <w:pPr>
        <w:rPr>
          <w:rFonts w:hint="default"/>
          <w:lang w:val="en-US" w:eastAsia="zh-CN"/>
        </w:rPr>
      </w:pPr>
    </w:p>
    <w:p w14:paraId="445CEF2F">
      <w:pPr>
        <w:rPr>
          <w:rFonts w:hint="default"/>
          <w:lang w:val="en-US" w:eastAsia="zh-CN"/>
        </w:rPr>
      </w:pPr>
    </w:p>
    <w:p w14:paraId="3590DEE5">
      <w:pPr>
        <w:rPr>
          <w:rFonts w:hint="default"/>
          <w:lang w:val="en-US" w:eastAsia="zh-CN"/>
        </w:rPr>
      </w:pPr>
    </w:p>
    <w:p w14:paraId="52858629">
      <w:pPr>
        <w:rPr>
          <w:rFonts w:hint="default"/>
          <w:lang w:val="en-US" w:eastAsia="zh-CN"/>
        </w:rPr>
      </w:pPr>
    </w:p>
    <w:p w14:paraId="64D558FA">
      <w:pPr>
        <w:rPr>
          <w:rFonts w:hint="default"/>
          <w:lang w:val="en-US" w:eastAsia="zh-CN"/>
        </w:rPr>
      </w:pPr>
    </w:p>
    <w:p w14:paraId="786E2B3D">
      <w:pPr>
        <w:rPr>
          <w:rFonts w:hint="default"/>
          <w:lang w:val="en-US" w:eastAsia="zh-CN"/>
        </w:rPr>
      </w:pPr>
    </w:p>
    <w:p w14:paraId="10E413E1">
      <w:pPr>
        <w:rPr>
          <w:rFonts w:hint="default"/>
          <w:lang w:val="en-US" w:eastAsia="zh-CN"/>
        </w:rPr>
      </w:pPr>
    </w:p>
    <w:p w14:paraId="33BB080D">
      <w:pPr>
        <w:rPr>
          <w:rFonts w:hint="default"/>
          <w:lang w:val="en-US" w:eastAsia="zh-CN"/>
        </w:rPr>
      </w:pPr>
    </w:p>
    <w:p w14:paraId="4BACDE41">
      <w:pPr>
        <w:rPr>
          <w:rFonts w:hint="default"/>
          <w:lang w:val="en-US" w:eastAsia="zh-CN"/>
        </w:rPr>
      </w:pPr>
    </w:p>
    <w:p w14:paraId="0F9851CD">
      <w:pPr>
        <w:rPr>
          <w:rFonts w:hint="default"/>
          <w:lang w:val="en-US" w:eastAsia="zh-CN"/>
        </w:rPr>
      </w:pPr>
    </w:p>
    <w:p w14:paraId="37B00421">
      <w:pPr>
        <w:rPr>
          <w:rFonts w:hint="default"/>
          <w:lang w:val="en-US" w:eastAsia="zh-CN"/>
        </w:rPr>
      </w:pPr>
    </w:p>
    <w:p w14:paraId="57E4A9F2">
      <w:pPr>
        <w:rPr>
          <w:rFonts w:hint="default"/>
          <w:lang w:val="en-US" w:eastAsia="zh-CN"/>
        </w:rPr>
      </w:pPr>
    </w:p>
    <w:p w14:paraId="485588AD">
      <w:pPr>
        <w:rPr>
          <w:rFonts w:hint="default"/>
          <w:lang w:val="en-US" w:eastAsia="zh-CN"/>
        </w:rPr>
      </w:pPr>
    </w:p>
    <w:p w14:paraId="27CAA8A5">
      <w:pPr>
        <w:rPr>
          <w:rFonts w:hint="default"/>
          <w:lang w:val="en-US" w:eastAsia="zh-CN"/>
        </w:rPr>
      </w:pPr>
    </w:p>
    <w:p w14:paraId="7B47BEEE">
      <w:pPr>
        <w:rPr>
          <w:rFonts w:hint="default"/>
          <w:lang w:val="en-US" w:eastAsia="zh-CN"/>
        </w:rPr>
      </w:pPr>
    </w:p>
    <w:p w14:paraId="340C65F0">
      <w:pPr>
        <w:rPr>
          <w:rFonts w:hint="default"/>
          <w:lang w:val="en-US" w:eastAsia="zh-CN"/>
        </w:rPr>
      </w:pPr>
    </w:p>
    <w:p w14:paraId="01013795">
      <w:pPr>
        <w:rPr>
          <w:rFonts w:hint="default"/>
          <w:lang w:val="en-US" w:eastAsia="zh-CN"/>
        </w:rPr>
      </w:pPr>
    </w:p>
    <w:p w14:paraId="1E2DFE3C">
      <w:pPr>
        <w:rPr>
          <w:rFonts w:hint="default"/>
          <w:lang w:val="en-US" w:eastAsia="zh-CN"/>
        </w:rPr>
      </w:pPr>
    </w:p>
    <w:p w14:paraId="46A772E0">
      <w:pPr>
        <w:rPr>
          <w:rFonts w:hint="default"/>
          <w:lang w:val="en-US" w:eastAsia="zh-CN"/>
        </w:rPr>
      </w:pPr>
    </w:p>
    <w:p w14:paraId="03E2B516">
      <w:pPr>
        <w:rPr>
          <w:rFonts w:hint="default"/>
          <w:lang w:val="en-US" w:eastAsia="zh-CN"/>
        </w:rPr>
      </w:pPr>
    </w:p>
    <w:p w14:paraId="336EEC85">
      <w:pPr>
        <w:rPr>
          <w:rFonts w:hint="default"/>
          <w:lang w:val="en-US" w:eastAsia="zh-CN"/>
        </w:rPr>
      </w:pPr>
    </w:p>
    <w:p w14:paraId="5335462D">
      <w:pPr>
        <w:rPr>
          <w:rFonts w:hint="default"/>
          <w:lang w:val="en-US" w:eastAsia="zh-CN"/>
        </w:rPr>
      </w:pPr>
    </w:p>
    <w:p w14:paraId="10698807">
      <w:pPr>
        <w:rPr>
          <w:rFonts w:hint="default"/>
          <w:lang w:val="en-US" w:eastAsia="zh-CN"/>
        </w:rPr>
      </w:pPr>
    </w:p>
    <w:p w14:paraId="3C137F7F">
      <w:pPr>
        <w:pStyle w:val="15"/>
        <w:rPr>
          <w:rFonts w:hint="default"/>
          <w:lang w:val="en-US" w:eastAsia="zh-CN"/>
        </w:rPr>
      </w:pPr>
    </w:p>
    <w:p w14:paraId="646CBE0A">
      <w:pPr>
        <w:rPr>
          <w:rFonts w:hint="default"/>
          <w:lang w:val="en-US" w:eastAsia="zh-CN"/>
        </w:rPr>
      </w:pPr>
    </w:p>
    <w:p w14:paraId="657775C9">
      <w:pPr>
        <w:pStyle w:val="15"/>
        <w:numPr>
          <w:ilvl w:val="0"/>
          <w:numId w:val="0"/>
        </w:numPr>
        <w:spacing w:before="135" w:line="360" w:lineRule="auto"/>
        <w:jc w:val="center"/>
        <w:rPr>
          <w:rFonts w:hint="default" w:ascii="宋体" w:hAnsi="宋体" w:eastAsia="宋体" w:cs="宋体"/>
          <w:sz w:val="36"/>
          <w:szCs w:val="36"/>
          <w:lang w:val="en-US" w:eastAsia="zh-CN"/>
        </w:rPr>
      </w:pPr>
      <w:r>
        <w:rPr>
          <w:rFonts w:hint="default" w:ascii="宋体" w:hAnsi="宋体" w:eastAsia="宋体" w:cs="宋体"/>
          <w:sz w:val="36"/>
          <w:szCs w:val="36"/>
          <w:lang w:val="en-US" w:eastAsia="zh-CN"/>
        </w:rPr>
        <w:t>资格性检查</w:t>
      </w:r>
    </w:p>
    <w:tbl>
      <w:tblPr>
        <w:tblStyle w:val="39"/>
        <w:tblpPr w:leftFromText="180" w:rightFromText="180" w:vertAnchor="text" w:horzAnchor="page" w:tblpX="1216" w:tblpY="242"/>
        <w:tblOverlap w:val="never"/>
        <w:tblW w:w="99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854"/>
        <w:gridCol w:w="5713"/>
        <w:gridCol w:w="1150"/>
        <w:gridCol w:w="1183"/>
      </w:tblGrid>
      <w:tr w14:paraId="20A6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99" w:type="dxa"/>
            <w:vMerge w:val="restart"/>
            <w:tcBorders>
              <w:bottom w:val="nil"/>
            </w:tcBorders>
            <w:vAlign w:val="top"/>
          </w:tcPr>
          <w:p w14:paraId="6A790E26">
            <w:pPr>
              <w:keepNext w:val="0"/>
              <w:keepLines w:val="0"/>
              <w:pageBreakBefore w:val="0"/>
              <w:widowControl/>
              <w:kinsoku w:val="0"/>
              <w:wordWrap/>
              <w:overflowPunct/>
              <w:topLinePunct w:val="0"/>
              <w:autoSpaceDE w:val="0"/>
              <w:autoSpaceDN w:val="0"/>
              <w:bidi w:val="0"/>
              <w:adjustRightInd w:val="0"/>
              <w:snapToGrid w:val="0"/>
              <w:spacing w:before="65" w:line="240" w:lineRule="auto"/>
              <w:ind w:left="422"/>
              <w:textAlignment w:val="baseline"/>
              <w:outlineLvl w:val="0"/>
              <w:rPr>
                <w:rFonts w:ascii="宋体" w:hAnsi="宋体" w:eastAsia="宋体" w:cs="宋体"/>
                <w:sz w:val="20"/>
                <w:szCs w:val="20"/>
              </w:rPr>
            </w:pPr>
            <w:bookmarkStart w:id="103" w:name="_Toc2085"/>
            <w:r>
              <w:rPr>
                <w:rFonts w:ascii="宋体" w:hAnsi="宋体" w:eastAsia="宋体" w:cs="宋体"/>
                <w:b/>
                <w:bCs/>
                <w:spacing w:val="2"/>
                <w:sz w:val="20"/>
                <w:szCs w:val="20"/>
              </w:rPr>
              <w:t>项目</w:t>
            </w:r>
            <w:bookmarkEnd w:id="103"/>
          </w:p>
        </w:tc>
        <w:tc>
          <w:tcPr>
            <w:tcW w:w="6567" w:type="dxa"/>
            <w:gridSpan w:val="2"/>
            <w:vMerge w:val="restart"/>
            <w:tcBorders>
              <w:bottom w:val="nil"/>
            </w:tcBorders>
            <w:vAlign w:val="top"/>
          </w:tcPr>
          <w:p w14:paraId="1FDBAF97">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01"/>
              <w:textAlignment w:val="baseline"/>
              <w:outlineLvl w:val="0"/>
              <w:rPr>
                <w:rFonts w:ascii="宋体" w:hAnsi="宋体" w:eastAsia="宋体" w:cs="宋体"/>
                <w:sz w:val="28"/>
                <w:szCs w:val="28"/>
              </w:rPr>
            </w:pPr>
            <w:bookmarkStart w:id="104" w:name="_Toc9657"/>
            <w:r>
              <w:rPr>
                <w:rFonts w:ascii="宋体" w:hAnsi="宋体" w:eastAsia="宋体" w:cs="宋体"/>
                <w:b/>
                <w:bCs/>
                <w:spacing w:val="-5"/>
                <w:sz w:val="28"/>
                <w:szCs w:val="28"/>
              </w:rPr>
              <w:t>评审内容</w:t>
            </w:r>
            <w:bookmarkEnd w:id="104"/>
          </w:p>
        </w:tc>
        <w:tc>
          <w:tcPr>
            <w:tcW w:w="2333" w:type="dxa"/>
            <w:gridSpan w:val="2"/>
            <w:vAlign w:val="top"/>
          </w:tcPr>
          <w:p w14:paraId="6C5B3860">
            <w:pPr>
              <w:keepNext w:val="0"/>
              <w:keepLines w:val="0"/>
              <w:pageBreakBefore w:val="0"/>
              <w:widowControl/>
              <w:kinsoku w:val="0"/>
              <w:wordWrap/>
              <w:overflowPunct/>
              <w:topLinePunct w:val="0"/>
              <w:autoSpaceDE w:val="0"/>
              <w:autoSpaceDN w:val="0"/>
              <w:bidi w:val="0"/>
              <w:adjustRightInd w:val="0"/>
              <w:snapToGrid w:val="0"/>
              <w:spacing w:before="115" w:line="240" w:lineRule="auto"/>
              <w:ind w:left="467"/>
              <w:textAlignment w:val="baseline"/>
              <w:outlineLvl w:val="0"/>
              <w:rPr>
                <w:rFonts w:ascii="宋体" w:hAnsi="宋体" w:eastAsia="宋体" w:cs="宋体"/>
                <w:sz w:val="28"/>
                <w:szCs w:val="28"/>
              </w:rPr>
            </w:pPr>
            <w:bookmarkStart w:id="105" w:name="_Toc20245"/>
            <w:r>
              <w:rPr>
                <w:rFonts w:ascii="宋体" w:hAnsi="宋体" w:eastAsia="宋体" w:cs="宋体"/>
                <w:b/>
                <w:bCs/>
                <w:spacing w:val="-5"/>
                <w:sz w:val="28"/>
                <w:szCs w:val="28"/>
              </w:rPr>
              <w:t>评审</w:t>
            </w:r>
            <w:bookmarkEnd w:id="105"/>
            <w:bookmarkStart w:id="106" w:name="_Toc2089"/>
            <w:r>
              <w:rPr>
                <w:rFonts w:ascii="宋体" w:hAnsi="宋体" w:eastAsia="宋体" w:cs="宋体"/>
                <w:b/>
                <w:bCs/>
                <w:spacing w:val="-8"/>
                <w:sz w:val="28"/>
                <w:szCs w:val="28"/>
              </w:rPr>
              <w:t>意见</w:t>
            </w:r>
            <w:bookmarkEnd w:id="106"/>
          </w:p>
        </w:tc>
      </w:tr>
      <w:tr w14:paraId="40D6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9" w:type="dxa"/>
            <w:vMerge w:val="continue"/>
            <w:tcBorders>
              <w:top w:val="nil"/>
            </w:tcBorders>
            <w:vAlign w:val="top"/>
          </w:tcPr>
          <w:p w14:paraId="5A1328E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6567" w:type="dxa"/>
            <w:gridSpan w:val="2"/>
            <w:vMerge w:val="continue"/>
            <w:tcBorders>
              <w:top w:val="nil"/>
            </w:tcBorders>
            <w:vAlign w:val="top"/>
          </w:tcPr>
          <w:p w14:paraId="10C66B13">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50" w:type="dxa"/>
            <w:vAlign w:val="top"/>
          </w:tcPr>
          <w:p w14:paraId="71438602">
            <w:pPr>
              <w:keepNext w:val="0"/>
              <w:keepLines w:val="0"/>
              <w:pageBreakBefore w:val="0"/>
              <w:widowControl/>
              <w:kinsoku w:val="0"/>
              <w:wordWrap/>
              <w:overflowPunct/>
              <w:topLinePunct w:val="0"/>
              <w:autoSpaceDE w:val="0"/>
              <w:autoSpaceDN w:val="0"/>
              <w:bidi w:val="0"/>
              <w:adjustRightInd w:val="0"/>
              <w:snapToGrid w:val="0"/>
              <w:spacing w:before="172" w:line="240" w:lineRule="auto"/>
              <w:ind w:left="296"/>
              <w:jc w:val="center"/>
              <w:textAlignment w:val="baseline"/>
              <w:outlineLvl w:val="0"/>
              <w:rPr>
                <w:rFonts w:ascii="宋体" w:hAnsi="宋体" w:eastAsia="宋体" w:cs="宋体"/>
                <w:sz w:val="20"/>
                <w:szCs w:val="20"/>
              </w:rPr>
            </w:pPr>
            <w:bookmarkStart w:id="107" w:name="_Toc19238"/>
            <w:r>
              <w:rPr>
                <w:rFonts w:ascii="宋体" w:hAnsi="宋体" w:eastAsia="宋体" w:cs="宋体"/>
                <w:b/>
                <w:bCs/>
                <w:spacing w:val="-3"/>
                <w:sz w:val="20"/>
                <w:szCs w:val="20"/>
              </w:rPr>
              <w:t>是</w:t>
            </w:r>
            <w:bookmarkEnd w:id="107"/>
          </w:p>
        </w:tc>
        <w:tc>
          <w:tcPr>
            <w:tcW w:w="1183" w:type="dxa"/>
            <w:vAlign w:val="top"/>
          </w:tcPr>
          <w:p w14:paraId="48291B30">
            <w:pPr>
              <w:keepNext w:val="0"/>
              <w:keepLines w:val="0"/>
              <w:pageBreakBefore w:val="0"/>
              <w:widowControl/>
              <w:kinsoku w:val="0"/>
              <w:wordWrap/>
              <w:overflowPunct/>
              <w:topLinePunct w:val="0"/>
              <w:autoSpaceDE w:val="0"/>
              <w:autoSpaceDN w:val="0"/>
              <w:bidi w:val="0"/>
              <w:adjustRightInd w:val="0"/>
              <w:snapToGrid w:val="0"/>
              <w:spacing w:before="172" w:line="240" w:lineRule="auto"/>
              <w:ind w:left="257"/>
              <w:jc w:val="center"/>
              <w:textAlignment w:val="baseline"/>
              <w:outlineLvl w:val="0"/>
              <w:rPr>
                <w:rFonts w:ascii="宋体" w:hAnsi="宋体" w:eastAsia="宋体" w:cs="宋体"/>
                <w:sz w:val="20"/>
                <w:szCs w:val="20"/>
              </w:rPr>
            </w:pPr>
            <w:bookmarkStart w:id="108" w:name="_Toc20083"/>
            <w:r>
              <w:rPr>
                <w:rFonts w:ascii="宋体" w:hAnsi="宋体" w:eastAsia="宋体" w:cs="宋体"/>
                <w:b/>
                <w:bCs/>
                <w:spacing w:val="-3"/>
                <w:sz w:val="20"/>
                <w:szCs w:val="20"/>
              </w:rPr>
              <w:t>否</w:t>
            </w:r>
            <w:bookmarkEnd w:id="108"/>
          </w:p>
        </w:tc>
      </w:tr>
      <w:tr w14:paraId="75BC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1099" w:type="dxa"/>
            <w:vMerge w:val="restart"/>
            <w:vAlign w:val="top"/>
          </w:tcPr>
          <w:p w14:paraId="1F549C4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4D9BC4F">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DE6204F">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D8CCD47">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1D6A07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7B22522">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EEBA553">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46972D1">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3E26AAD">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8C1342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3A0EEB0">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BC1E351">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EE747F9">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F7C872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DB7CBA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03E1045">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208" w:firstLineChars="100"/>
              <w:textAlignment w:val="baseline"/>
              <w:outlineLvl w:val="0"/>
              <w:rPr>
                <w:rFonts w:ascii="宋体" w:hAnsi="宋体" w:eastAsia="宋体" w:cs="宋体"/>
                <w:sz w:val="20"/>
                <w:szCs w:val="20"/>
              </w:rPr>
            </w:pPr>
            <w:bookmarkStart w:id="109" w:name="_Toc23277"/>
            <w:r>
              <w:rPr>
                <w:rFonts w:ascii="宋体" w:hAnsi="宋体" w:eastAsia="宋体" w:cs="宋体"/>
                <w:spacing w:val="4"/>
                <w:sz w:val="20"/>
                <w:szCs w:val="20"/>
              </w:rPr>
              <w:t>审查标准</w:t>
            </w:r>
            <w:bookmarkEnd w:id="109"/>
          </w:p>
        </w:tc>
        <w:tc>
          <w:tcPr>
            <w:tcW w:w="854" w:type="dxa"/>
            <w:vAlign w:val="center"/>
          </w:tcPr>
          <w:p w14:paraId="16A3D020">
            <w:pPr>
              <w:keepNext w:val="0"/>
              <w:keepLines w:val="0"/>
              <w:pageBreakBefore w:val="0"/>
              <w:widowControl/>
              <w:kinsoku w:val="0"/>
              <w:wordWrap/>
              <w:overflowPunct/>
              <w:topLinePunct w:val="0"/>
              <w:autoSpaceDE w:val="0"/>
              <w:autoSpaceDN w:val="0"/>
              <w:bidi w:val="0"/>
              <w:adjustRightInd w:val="0"/>
              <w:snapToGrid w:val="0"/>
              <w:spacing w:before="222"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713" w:type="dxa"/>
            <w:vAlign w:val="center"/>
          </w:tcPr>
          <w:p w14:paraId="64600539">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ascii="宋体" w:hAnsi="宋体" w:eastAsia="宋体" w:cs="宋体"/>
                <w:sz w:val="20"/>
                <w:szCs w:val="20"/>
              </w:rPr>
            </w:pPr>
            <w:r>
              <w:rPr>
                <w:rFonts w:hint="default" w:ascii="宋体" w:hAnsi="宋体" w:eastAsia="宋体" w:cs="宋体"/>
                <w:spacing w:val="3"/>
                <w:sz w:val="21"/>
                <w:szCs w:val="21"/>
                <w:lang w:val="en-US" w:eastAsia="zh-CN"/>
              </w:rPr>
              <w:t xml:space="preserve">法人或者其他组织的营业执照等证明文件； </w:t>
            </w:r>
          </w:p>
        </w:tc>
        <w:tc>
          <w:tcPr>
            <w:tcW w:w="1150" w:type="dxa"/>
            <w:vAlign w:val="top"/>
          </w:tcPr>
          <w:p w14:paraId="1802882D">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60525EA6">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727B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9" w:type="dxa"/>
            <w:vMerge w:val="continue"/>
            <w:vAlign w:val="top"/>
          </w:tcPr>
          <w:p w14:paraId="777107A4">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1C0A6234">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5713" w:type="dxa"/>
            <w:vAlign w:val="center"/>
          </w:tcPr>
          <w:p w14:paraId="6DFF2B63">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rPr>
                <w:rFonts w:ascii="宋体" w:hAnsi="宋体" w:eastAsia="宋体" w:cs="宋体"/>
                <w:sz w:val="20"/>
                <w:szCs w:val="20"/>
              </w:rPr>
            </w:pPr>
            <w:r>
              <w:rPr>
                <w:rFonts w:hint="default" w:ascii="宋体" w:hAnsi="宋体" w:eastAsia="宋体" w:cs="宋体"/>
                <w:spacing w:val="3"/>
                <w:sz w:val="21"/>
                <w:szCs w:val="21"/>
                <w:lang w:val="en-US" w:eastAsia="zh-CN"/>
              </w:rPr>
              <w:t>授权委托人参加的提供法定代表人授权书及被授权人身份证，法人本人参与投标提供法人身份证及法人资格证明；</w:t>
            </w:r>
          </w:p>
        </w:tc>
        <w:tc>
          <w:tcPr>
            <w:tcW w:w="1150" w:type="dxa"/>
            <w:vAlign w:val="top"/>
          </w:tcPr>
          <w:p w14:paraId="18529F66">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4870CC3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5EA9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1099" w:type="dxa"/>
            <w:vMerge w:val="continue"/>
            <w:vAlign w:val="top"/>
          </w:tcPr>
          <w:p w14:paraId="1216261A">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27FC42C3">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5713" w:type="dxa"/>
            <w:vAlign w:val="center"/>
          </w:tcPr>
          <w:p w14:paraId="554B00CE">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right="75"/>
              <w:jc w:val="both"/>
              <w:textAlignment w:val="baseline"/>
              <w:rPr>
                <w:rFonts w:ascii="宋体" w:hAnsi="宋体" w:eastAsia="宋体" w:cs="宋体"/>
                <w:sz w:val="20"/>
                <w:szCs w:val="20"/>
              </w:rPr>
            </w:pPr>
            <w:r>
              <w:rPr>
                <w:rFonts w:hint="default" w:ascii="宋体" w:hAnsi="宋体" w:eastAsia="宋体" w:cs="宋体"/>
                <w:spacing w:val="3"/>
                <w:sz w:val="21"/>
                <w:szCs w:val="21"/>
                <w:lang w:val="en-US" w:eastAsia="zh-CN"/>
              </w:rPr>
              <w:t>具有良好的商业信誉和健全的财务会计制度（2024年或2025年的财务审计报告；新成立公司不足一年的提供近三个月内有效的银行资信证明）；</w:t>
            </w:r>
          </w:p>
        </w:tc>
        <w:tc>
          <w:tcPr>
            <w:tcW w:w="1150" w:type="dxa"/>
            <w:vAlign w:val="top"/>
          </w:tcPr>
          <w:p w14:paraId="7E3BF322">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34C2B5B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36B5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9" w:type="dxa"/>
            <w:vMerge w:val="continue"/>
            <w:vAlign w:val="top"/>
          </w:tcPr>
          <w:p w14:paraId="300D6684">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5F52BF16">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5713" w:type="dxa"/>
            <w:vAlign w:val="center"/>
          </w:tcPr>
          <w:p w14:paraId="69458073">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right="104" w:firstLine="4"/>
              <w:jc w:val="both"/>
              <w:textAlignment w:val="baseline"/>
              <w:rPr>
                <w:rFonts w:ascii="宋体" w:hAnsi="宋体" w:eastAsia="宋体" w:cs="宋体"/>
                <w:sz w:val="20"/>
                <w:szCs w:val="20"/>
              </w:rPr>
            </w:pPr>
            <w:r>
              <w:rPr>
                <w:rFonts w:hint="default" w:ascii="宋体" w:hAnsi="宋体" w:eastAsia="宋体" w:cs="宋体"/>
                <w:spacing w:val="3"/>
                <w:sz w:val="21"/>
                <w:szCs w:val="21"/>
                <w:lang w:val="en-US" w:eastAsia="zh-CN"/>
              </w:rPr>
              <w:t>具有履行合同所必需的设备和专业技术能力的承诺书</w:t>
            </w:r>
          </w:p>
        </w:tc>
        <w:tc>
          <w:tcPr>
            <w:tcW w:w="1150" w:type="dxa"/>
            <w:vAlign w:val="top"/>
          </w:tcPr>
          <w:p w14:paraId="14C4CBE7">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6DA32FEF">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840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41BFC616">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2CC8B563">
            <w:pPr>
              <w:keepNext w:val="0"/>
              <w:keepLines w:val="0"/>
              <w:pageBreakBefore w:val="0"/>
              <w:widowControl/>
              <w:kinsoku w:val="0"/>
              <w:wordWrap/>
              <w:overflowPunct/>
              <w:topLinePunct w:val="0"/>
              <w:autoSpaceDE w:val="0"/>
              <w:autoSpaceDN w:val="0"/>
              <w:bidi w:val="0"/>
              <w:adjustRightInd w:val="0"/>
              <w:snapToGrid w:val="0"/>
              <w:spacing w:before="186"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5713" w:type="dxa"/>
            <w:vAlign w:val="center"/>
          </w:tcPr>
          <w:p w14:paraId="72E7FBEA">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ascii="宋体" w:hAnsi="宋体" w:eastAsia="宋体" w:cs="宋体"/>
                <w:sz w:val="20"/>
                <w:szCs w:val="20"/>
              </w:rPr>
            </w:pPr>
            <w:r>
              <w:rPr>
                <w:rFonts w:hint="default" w:ascii="宋体" w:hAnsi="宋体" w:eastAsia="宋体" w:cs="宋体"/>
                <w:spacing w:val="3"/>
                <w:sz w:val="21"/>
                <w:szCs w:val="21"/>
                <w:lang w:val="en-US" w:eastAsia="zh-CN"/>
              </w:rPr>
              <w:t>提供近6个月任意一个月的由社保部门或税务局出具的投标单位缴纳的社保证明</w:t>
            </w:r>
            <w:r>
              <w:rPr>
                <w:rFonts w:hint="eastAsia" w:ascii="宋体" w:hAnsi="宋体" w:eastAsia="宋体" w:cs="宋体"/>
                <w:spacing w:val="3"/>
                <w:sz w:val="21"/>
                <w:szCs w:val="21"/>
                <w:lang w:val="en-US" w:eastAsia="zh-CN"/>
              </w:rPr>
              <w:t>；</w:t>
            </w:r>
          </w:p>
        </w:tc>
        <w:tc>
          <w:tcPr>
            <w:tcW w:w="1150" w:type="dxa"/>
            <w:vAlign w:val="top"/>
          </w:tcPr>
          <w:p w14:paraId="6E9F26D8">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311940F6">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54199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99" w:type="dxa"/>
            <w:vMerge w:val="continue"/>
            <w:vAlign w:val="top"/>
          </w:tcPr>
          <w:p w14:paraId="2682DC6A">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7D2A2812">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5713" w:type="dxa"/>
            <w:vAlign w:val="center"/>
          </w:tcPr>
          <w:p w14:paraId="07868D2E">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right="104" w:hanging="2"/>
              <w:jc w:val="both"/>
              <w:textAlignment w:val="baseline"/>
              <w:rPr>
                <w:rFonts w:ascii="宋体" w:hAnsi="宋体" w:eastAsia="宋体" w:cs="宋体"/>
                <w:sz w:val="20"/>
                <w:szCs w:val="20"/>
              </w:rPr>
            </w:pPr>
            <w:r>
              <w:rPr>
                <w:rFonts w:hint="default" w:ascii="宋体" w:hAnsi="宋体" w:eastAsia="宋体" w:cs="宋体"/>
                <w:spacing w:val="3"/>
                <w:sz w:val="21"/>
                <w:szCs w:val="21"/>
                <w:lang w:val="en-US" w:eastAsia="zh-CN"/>
              </w:rPr>
              <w:t>缴纳税收近6个月任意一个月的完税证明（零申报请出具税务部门加盖公章的证明材料或无欠款税收证明）</w:t>
            </w:r>
          </w:p>
        </w:tc>
        <w:tc>
          <w:tcPr>
            <w:tcW w:w="1150" w:type="dxa"/>
            <w:vAlign w:val="top"/>
          </w:tcPr>
          <w:p w14:paraId="4596D1D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2D90BF92">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B3B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4C71FB50">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7F5143EC">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p>
        </w:tc>
        <w:tc>
          <w:tcPr>
            <w:tcW w:w="5713" w:type="dxa"/>
            <w:vAlign w:val="center"/>
          </w:tcPr>
          <w:p w14:paraId="366356E4">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ascii="宋体" w:hAnsi="宋体" w:eastAsia="宋体" w:cs="宋体"/>
                <w:sz w:val="20"/>
                <w:szCs w:val="20"/>
              </w:rPr>
            </w:pPr>
            <w:r>
              <w:rPr>
                <w:rFonts w:hint="default" w:ascii="宋体" w:hAnsi="宋体" w:eastAsia="宋体" w:cs="宋体"/>
                <w:spacing w:val="3"/>
                <w:sz w:val="21"/>
                <w:szCs w:val="21"/>
                <w:lang w:val="en-US" w:eastAsia="zh-CN"/>
              </w:rPr>
              <w:t>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以招标代理机构或采购人查询为准）</w:t>
            </w:r>
          </w:p>
        </w:tc>
        <w:tc>
          <w:tcPr>
            <w:tcW w:w="1150" w:type="dxa"/>
            <w:vAlign w:val="top"/>
          </w:tcPr>
          <w:p w14:paraId="6EAE42F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13A810F9">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C98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22ECE5A9">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28955798">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713" w:type="dxa"/>
            <w:vAlign w:val="center"/>
          </w:tcPr>
          <w:p w14:paraId="7F8AECD9">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hint="eastAsia" w:ascii="宋体" w:hAnsi="宋体" w:eastAsia="宋体" w:cs="宋体"/>
                <w:sz w:val="20"/>
                <w:szCs w:val="20"/>
              </w:rPr>
            </w:pPr>
            <w:r>
              <w:rPr>
                <w:rFonts w:hint="default" w:ascii="宋体" w:hAnsi="宋体" w:eastAsia="宋体" w:cs="宋体"/>
                <w:spacing w:val="3"/>
                <w:sz w:val="21"/>
                <w:szCs w:val="21"/>
                <w:lang w:val="en-US" w:eastAsia="zh-CN"/>
              </w:rPr>
              <w:t>供应商提供针对本次项目《反商业贿赂承诺书》；</w:t>
            </w:r>
          </w:p>
        </w:tc>
        <w:tc>
          <w:tcPr>
            <w:tcW w:w="1150" w:type="dxa"/>
            <w:vAlign w:val="top"/>
          </w:tcPr>
          <w:p w14:paraId="2B83987B">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5643961B">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41824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3AB20712">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51D3D16D">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5713" w:type="dxa"/>
            <w:vAlign w:val="center"/>
          </w:tcPr>
          <w:p w14:paraId="6DFEB705">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hint="eastAsia" w:ascii="宋体" w:hAnsi="宋体" w:eastAsia="宋体" w:cs="宋体"/>
                <w:sz w:val="20"/>
                <w:szCs w:val="20"/>
              </w:rPr>
            </w:pPr>
            <w:r>
              <w:rPr>
                <w:rFonts w:hint="default" w:ascii="宋体" w:hAnsi="宋体" w:eastAsia="宋体" w:cs="宋体"/>
                <w:spacing w:val="3"/>
                <w:sz w:val="21"/>
                <w:szCs w:val="21"/>
                <w:lang w:val="en-US" w:eastAsia="zh-CN"/>
              </w:rPr>
              <w:t>参加政府采购活动前三年内在经营活动中没有重大违法记录的书面声明；</w:t>
            </w:r>
          </w:p>
        </w:tc>
        <w:tc>
          <w:tcPr>
            <w:tcW w:w="1150" w:type="dxa"/>
            <w:vAlign w:val="top"/>
          </w:tcPr>
          <w:p w14:paraId="5B90AD34">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612FFAD6">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971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3C3F10B7">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4D3E2C05">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5713" w:type="dxa"/>
            <w:vAlign w:val="center"/>
          </w:tcPr>
          <w:p w14:paraId="59C18B0E">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t>特定的资格要求：供应商须具备工程设计【建筑行业（建筑工程）专业】乙级(含)以上资质；项目负责人具备</w:t>
            </w:r>
            <w:r>
              <w:rPr>
                <w:rFonts w:hint="eastAsia" w:ascii="宋体" w:hAnsi="宋体" w:eastAsia="宋体" w:cs="宋体"/>
                <w:spacing w:val="3"/>
                <w:sz w:val="21"/>
                <w:szCs w:val="21"/>
                <w:lang w:val="en-US" w:eastAsia="zh-CN"/>
              </w:rPr>
              <w:t>一</w:t>
            </w:r>
            <w:r>
              <w:rPr>
                <w:rFonts w:hint="default" w:ascii="宋体" w:hAnsi="宋体" w:eastAsia="宋体" w:cs="宋体"/>
                <w:spacing w:val="3"/>
                <w:sz w:val="21"/>
                <w:szCs w:val="21"/>
                <w:lang w:val="en-US" w:eastAsia="zh-CN"/>
              </w:rPr>
              <w:t>级注册建筑工程师或相关专业</w:t>
            </w:r>
            <w:r>
              <w:rPr>
                <w:rFonts w:hint="eastAsia" w:ascii="宋体" w:hAnsi="宋体" w:eastAsia="宋体" w:cs="宋体"/>
                <w:spacing w:val="3"/>
                <w:sz w:val="21"/>
                <w:szCs w:val="21"/>
                <w:lang w:val="en-US" w:eastAsia="zh-CN"/>
              </w:rPr>
              <w:t>高</w:t>
            </w:r>
            <w:r>
              <w:rPr>
                <w:rFonts w:hint="default" w:ascii="宋体" w:hAnsi="宋体" w:eastAsia="宋体" w:cs="宋体"/>
                <w:spacing w:val="3"/>
                <w:sz w:val="21"/>
                <w:szCs w:val="21"/>
                <w:lang w:val="en-US" w:eastAsia="zh-CN"/>
              </w:rPr>
              <w:t>级（含）以上职称；</w:t>
            </w:r>
          </w:p>
        </w:tc>
        <w:tc>
          <w:tcPr>
            <w:tcW w:w="1150" w:type="dxa"/>
            <w:vAlign w:val="top"/>
          </w:tcPr>
          <w:p w14:paraId="444B175B">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5F33C8DD">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CE6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vAlign w:val="top"/>
          </w:tcPr>
          <w:p w14:paraId="4E3B09C8">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7F65C160">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5713" w:type="dxa"/>
            <w:vAlign w:val="center"/>
          </w:tcPr>
          <w:p w14:paraId="0F596E7D">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hint="eastAsia" w:ascii="宋体" w:hAnsi="宋体" w:eastAsia="宋体" w:cs="宋体"/>
                <w:lang w:val="en-US" w:eastAsia="zh-CN"/>
              </w:rPr>
            </w:pPr>
            <w:r>
              <w:rPr>
                <w:rFonts w:hint="default" w:ascii="宋体" w:hAnsi="宋体" w:eastAsia="宋体" w:cs="宋体"/>
                <w:spacing w:val="3"/>
                <w:sz w:val="21"/>
                <w:szCs w:val="21"/>
                <w:lang w:val="en-US" w:eastAsia="zh-CN"/>
              </w:rPr>
              <w:t>中小企业声明函</w:t>
            </w:r>
          </w:p>
        </w:tc>
        <w:tc>
          <w:tcPr>
            <w:tcW w:w="1150" w:type="dxa"/>
            <w:vAlign w:val="top"/>
          </w:tcPr>
          <w:p w14:paraId="1A3A2C34">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398F676C">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CFE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099" w:type="dxa"/>
            <w:vMerge w:val="continue"/>
            <w:vAlign w:val="top"/>
          </w:tcPr>
          <w:p w14:paraId="29B32D3F">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center"/>
          </w:tcPr>
          <w:p w14:paraId="4EB5D1DA">
            <w:pPr>
              <w:keepNext w:val="0"/>
              <w:keepLines w:val="0"/>
              <w:pageBreakBefore w:val="0"/>
              <w:widowControl/>
              <w:kinsoku w:val="0"/>
              <w:wordWrap/>
              <w:overflowPunct/>
              <w:topLinePunct w:val="0"/>
              <w:autoSpaceDE w:val="0"/>
              <w:autoSpaceDN w:val="0"/>
              <w:bidi w:val="0"/>
              <w:adjustRightInd w:val="0"/>
              <w:snapToGrid w:val="0"/>
              <w:spacing w:before="184"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5713" w:type="dxa"/>
            <w:vAlign w:val="center"/>
          </w:tcPr>
          <w:p w14:paraId="206AC5AC">
            <w:pPr>
              <w:keepNext w:val="0"/>
              <w:keepLines w:val="0"/>
              <w:pageBreakBefore w:val="0"/>
              <w:widowControl/>
              <w:kinsoku w:val="0"/>
              <w:wordWrap/>
              <w:overflowPunct/>
              <w:topLinePunct w:val="0"/>
              <w:autoSpaceDE w:val="0"/>
              <w:autoSpaceDN w:val="0"/>
              <w:bidi w:val="0"/>
              <w:adjustRightInd w:val="0"/>
              <w:snapToGrid w:val="0"/>
              <w:spacing w:before="36" w:line="240" w:lineRule="auto"/>
              <w:ind w:left="24" w:leftChars="0"/>
              <w:jc w:val="both"/>
              <w:textAlignment w:val="baseline"/>
              <w:outlineLvl w:val="0"/>
              <w:rPr>
                <w:rFonts w:hint="default" w:ascii="宋体" w:hAnsi="宋体" w:eastAsia="宋体" w:cs="宋体"/>
                <w:lang w:val="en-US" w:eastAsia="zh-CN"/>
              </w:rPr>
            </w:pPr>
            <w:r>
              <w:rPr>
                <w:rFonts w:hint="default" w:ascii="宋体" w:hAnsi="宋体" w:eastAsia="宋体" w:cs="宋体"/>
                <w:spacing w:val="3"/>
                <w:sz w:val="21"/>
                <w:szCs w:val="21"/>
                <w:lang w:val="en-US" w:eastAsia="zh-CN"/>
              </w:rPr>
              <w:t>磋商保证金缴纳凭证</w:t>
            </w:r>
          </w:p>
        </w:tc>
        <w:tc>
          <w:tcPr>
            <w:tcW w:w="1150" w:type="dxa"/>
            <w:vAlign w:val="top"/>
          </w:tcPr>
          <w:p w14:paraId="4715385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183" w:type="dxa"/>
            <w:vAlign w:val="top"/>
          </w:tcPr>
          <w:p w14:paraId="6BEC097E">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814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99" w:type="dxa"/>
            <w:vAlign w:val="top"/>
          </w:tcPr>
          <w:p w14:paraId="620A7E75">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854" w:type="dxa"/>
            <w:vAlign w:val="top"/>
          </w:tcPr>
          <w:p w14:paraId="4B3A72D2">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713" w:type="dxa"/>
            <w:vAlign w:val="top"/>
          </w:tcPr>
          <w:p w14:paraId="202EE8A4">
            <w:pPr>
              <w:keepNext w:val="0"/>
              <w:keepLines w:val="0"/>
              <w:pageBreakBefore w:val="0"/>
              <w:widowControl/>
              <w:kinsoku w:val="0"/>
              <w:wordWrap/>
              <w:overflowPunct/>
              <w:topLinePunct w:val="0"/>
              <w:autoSpaceDE w:val="0"/>
              <w:autoSpaceDN w:val="0"/>
              <w:bidi w:val="0"/>
              <w:adjustRightInd w:val="0"/>
              <w:snapToGrid w:val="0"/>
              <w:spacing w:before="177" w:line="240" w:lineRule="auto"/>
              <w:ind w:left="117"/>
              <w:textAlignment w:val="baseline"/>
              <w:outlineLvl w:val="0"/>
              <w:rPr>
                <w:rFonts w:ascii="宋体" w:hAnsi="宋体" w:eastAsia="宋体" w:cs="宋体"/>
                <w:sz w:val="20"/>
                <w:szCs w:val="20"/>
              </w:rPr>
            </w:pPr>
            <w:bookmarkStart w:id="110" w:name="_Toc29459"/>
            <w:r>
              <w:rPr>
                <w:rFonts w:ascii="宋体" w:hAnsi="宋体" w:eastAsia="宋体" w:cs="宋体"/>
                <w:spacing w:val="8"/>
                <w:sz w:val="20"/>
                <w:szCs w:val="20"/>
              </w:rPr>
              <w:t>结论：是否通过评审（须填写通过或不通过）</w:t>
            </w:r>
            <w:bookmarkEnd w:id="110"/>
          </w:p>
          <w:p w14:paraId="1E599AA2">
            <w:pPr>
              <w:keepNext w:val="0"/>
              <w:keepLines w:val="0"/>
              <w:pageBreakBefore w:val="0"/>
              <w:widowControl/>
              <w:kinsoku w:val="0"/>
              <w:wordWrap/>
              <w:overflowPunct/>
              <w:topLinePunct w:val="0"/>
              <w:autoSpaceDE w:val="0"/>
              <w:autoSpaceDN w:val="0"/>
              <w:bidi w:val="0"/>
              <w:adjustRightInd w:val="0"/>
              <w:snapToGrid w:val="0"/>
              <w:spacing w:before="191" w:line="240" w:lineRule="auto"/>
              <w:ind w:left="112"/>
              <w:textAlignment w:val="baseline"/>
              <w:outlineLvl w:val="0"/>
              <w:rPr>
                <w:rFonts w:ascii="宋体" w:hAnsi="宋体" w:eastAsia="宋体" w:cs="宋体"/>
                <w:sz w:val="20"/>
                <w:szCs w:val="20"/>
              </w:rPr>
            </w:pPr>
            <w:bookmarkStart w:id="111" w:name="_Toc11105"/>
            <w:r>
              <w:rPr>
                <w:rFonts w:ascii="宋体" w:hAnsi="宋体" w:eastAsia="宋体" w:cs="宋体"/>
                <w:spacing w:val="7"/>
                <w:sz w:val="20"/>
                <w:szCs w:val="20"/>
              </w:rPr>
              <w:t>注：如有一项不合格，作废标处理。</w:t>
            </w:r>
            <w:bookmarkEnd w:id="111"/>
          </w:p>
        </w:tc>
        <w:tc>
          <w:tcPr>
            <w:tcW w:w="2333" w:type="dxa"/>
            <w:gridSpan w:val="2"/>
            <w:vAlign w:val="top"/>
          </w:tcPr>
          <w:p w14:paraId="5DC31013">
            <w:pPr>
              <w:pStyle w:val="4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bl>
    <w:p w14:paraId="5E7CE1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bookmarkStart w:id="112" w:name="bookmark95"/>
      <w:bookmarkEnd w:id="112"/>
      <w:r>
        <w:rPr>
          <w:rFonts w:hint="eastAsia"/>
        </w:rPr>
        <w:t>说明</w:t>
      </w:r>
    </w:p>
    <w:p w14:paraId="08DA0C69">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上述各项中用"√”表示通过，“x”表示不通过;</w:t>
      </w:r>
    </w:p>
    <w:p w14:paraId="754965FA">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textAlignment w:val="baseline"/>
      </w:pPr>
      <w:r>
        <w:rPr>
          <w:rFonts w:hint="eastAsia"/>
        </w:rPr>
        <w:t>上述各项中如有一项为“x”则结论为“x”，表示该响应文件中存在重大偏差，不能通过资格审查;资格审查小组对某一分项审查认为不合格时，必须要写明原因。</w:t>
      </w:r>
    </w:p>
    <w:p w14:paraId="00DDB82B">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textAlignment w:val="baseline"/>
      </w:pPr>
      <w:r>
        <w:rPr>
          <w:rFonts w:hint="eastAsia"/>
        </w:rPr>
        <w:t>审查意见中少数服从多数为原则定论</w:t>
      </w:r>
      <w:r>
        <w:rPr>
          <w:rFonts w:hint="eastAsia" w:eastAsia="宋体"/>
          <w:lang w:eastAsia="zh-CN"/>
        </w:rPr>
        <w:t>。</w:t>
      </w:r>
    </w:p>
    <w:p w14:paraId="4A9B8108">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textAlignment w:val="baseline"/>
      </w:pPr>
      <w:r>
        <w:rPr>
          <w:rFonts w:hint="eastAsia"/>
        </w:rPr>
        <w:t>未通过资格审查的供应商不进入评标;通过资格审查的供应商少于不足三家的，不得评标。</w:t>
      </w:r>
    </w:p>
    <w:p w14:paraId="36E6FED7">
      <w:pPr>
        <w:pStyle w:val="15"/>
        <w:spacing w:before="101" w:line="225" w:lineRule="auto"/>
        <w:ind w:left="3725"/>
        <w:outlineLvl w:val="9"/>
      </w:pPr>
      <w:r>
        <w:rPr>
          <w:b/>
          <w:bCs/>
          <w:spacing w:val="4"/>
          <w:sz w:val="31"/>
          <w:szCs w:val="31"/>
        </w:rPr>
        <w:t>符合性检查</w:t>
      </w:r>
    </w:p>
    <w:p w14:paraId="0C19321F">
      <w:pPr>
        <w:spacing w:before="25"/>
      </w:pPr>
    </w:p>
    <w:tbl>
      <w:tblPr>
        <w:tblStyle w:val="39"/>
        <w:tblW w:w="87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526"/>
        <w:gridCol w:w="6158"/>
        <w:gridCol w:w="683"/>
        <w:gridCol w:w="581"/>
      </w:tblGrid>
      <w:tr w14:paraId="71D2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832" w:type="dxa"/>
            <w:tcBorders>
              <w:top w:val="single" w:color="000000" w:sz="2" w:space="0"/>
              <w:left w:val="single" w:color="000000" w:sz="2" w:space="0"/>
            </w:tcBorders>
            <w:vAlign w:val="top"/>
          </w:tcPr>
          <w:p w14:paraId="16D13102">
            <w:pPr>
              <w:spacing w:before="320" w:line="226" w:lineRule="auto"/>
              <w:ind w:left="124"/>
              <w:outlineLvl w:val="0"/>
              <w:rPr>
                <w:rFonts w:ascii="宋体" w:hAnsi="宋体" w:eastAsia="宋体" w:cs="宋体"/>
                <w:sz w:val="22"/>
                <w:szCs w:val="22"/>
              </w:rPr>
            </w:pPr>
            <w:bookmarkStart w:id="113" w:name="_Toc17001"/>
            <w:r>
              <w:rPr>
                <w:rFonts w:ascii="宋体" w:hAnsi="宋体" w:eastAsia="宋体" w:cs="宋体"/>
                <w:b/>
                <w:bCs/>
                <w:spacing w:val="-2"/>
                <w:sz w:val="22"/>
                <w:szCs w:val="22"/>
              </w:rPr>
              <w:t>项目</w:t>
            </w:r>
            <w:bookmarkEnd w:id="113"/>
          </w:p>
        </w:tc>
        <w:tc>
          <w:tcPr>
            <w:tcW w:w="6684" w:type="dxa"/>
            <w:gridSpan w:val="2"/>
            <w:tcBorders>
              <w:top w:val="single" w:color="000000" w:sz="2" w:space="0"/>
            </w:tcBorders>
            <w:vAlign w:val="top"/>
          </w:tcPr>
          <w:p w14:paraId="0F600829">
            <w:pPr>
              <w:spacing w:before="319" w:line="226" w:lineRule="auto"/>
              <w:ind w:left="2746"/>
              <w:outlineLvl w:val="0"/>
              <w:rPr>
                <w:rFonts w:ascii="宋体" w:hAnsi="宋体" w:eastAsia="宋体" w:cs="宋体"/>
                <w:sz w:val="22"/>
                <w:szCs w:val="22"/>
              </w:rPr>
            </w:pPr>
            <w:bookmarkStart w:id="114" w:name="_Toc6760"/>
            <w:r>
              <w:rPr>
                <w:rFonts w:ascii="宋体" w:hAnsi="宋体" w:eastAsia="宋体" w:cs="宋体"/>
                <w:b/>
                <w:bCs/>
                <w:spacing w:val="4"/>
                <w:sz w:val="22"/>
                <w:szCs w:val="22"/>
              </w:rPr>
              <w:t>评审内容</w:t>
            </w:r>
            <w:bookmarkEnd w:id="114"/>
          </w:p>
        </w:tc>
        <w:tc>
          <w:tcPr>
            <w:tcW w:w="1264" w:type="dxa"/>
            <w:gridSpan w:val="2"/>
            <w:tcBorders>
              <w:top w:val="single" w:color="000000" w:sz="2" w:space="0"/>
              <w:right w:val="single" w:color="000000" w:sz="2" w:space="0"/>
            </w:tcBorders>
            <w:vAlign w:val="top"/>
          </w:tcPr>
          <w:p w14:paraId="0FDE4E26">
            <w:pPr>
              <w:spacing w:before="99" w:line="226" w:lineRule="auto"/>
              <w:ind w:left="337"/>
              <w:outlineLvl w:val="0"/>
              <w:rPr>
                <w:rFonts w:ascii="宋体" w:hAnsi="宋体" w:eastAsia="宋体" w:cs="宋体"/>
                <w:sz w:val="22"/>
                <w:szCs w:val="22"/>
              </w:rPr>
            </w:pPr>
            <w:bookmarkStart w:id="115" w:name="_Toc25681"/>
            <w:r>
              <w:rPr>
                <w:rFonts w:ascii="宋体" w:hAnsi="宋体" w:eastAsia="宋体" w:cs="宋体"/>
                <w:b/>
                <w:bCs/>
                <w:spacing w:val="1"/>
                <w:sz w:val="22"/>
                <w:szCs w:val="22"/>
              </w:rPr>
              <w:t>评审</w:t>
            </w:r>
            <w:bookmarkEnd w:id="115"/>
          </w:p>
          <w:p w14:paraId="05568374">
            <w:pPr>
              <w:spacing w:before="83" w:line="218" w:lineRule="auto"/>
              <w:ind w:left="346"/>
              <w:outlineLvl w:val="0"/>
              <w:rPr>
                <w:rFonts w:ascii="宋体" w:hAnsi="宋体" w:eastAsia="宋体" w:cs="宋体"/>
                <w:sz w:val="22"/>
                <w:szCs w:val="22"/>
              </w:rPr>
            </w:pPr>
            <w:bookmarkStart w:id="116" w:name="_Toc21844"/>
            <w:r>
              <w:rPr>
                <w:rFonts w:ascii="宋体" w:hAnsi="宋体" w:eastAsia="宋体" w:cs="宋体"/>
                <w:b/>
                <w:bCs/>
                <w:spacing w:val="-3"/>
                <w:sz w:val="22"/>
                <w:szCs w:val="22"/>
              </w:rPr>
              <w:t>意见</w:t>
            </w:r>
            <w:bookmarkEnd w:id="116"/>
          </w:p>
        </w:tc>
      </w:tr>
      <w:tr w14:paraId="1ACCA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tcBorders>
              <w:left w:val="single" w:color="000000" w:sz="2" w:space="0"/>
              <w:bottom w:val="single" w:color="000000" w:sz="2" w:space="0"/>
            </w:tcBorders>
            <w:vAlign w:val="top"/>
          </w:tcPr>
          <w:p w14:paraId="7DA1D91E">
            <w:pPr>
              <w:pStyle w:val="40"/>
              <w:rPr>
                <w:sz w:val="22"/>
                <w:szCs w:val="22"/>
              </w:rPr>
            </w:pPr>
          </w:p>
        </w:tc>
        <w:tc>
          <w:tcPr>
            <w:tcW w:w="6684" w:type="dxa"/>
            <w:gridSpan w:val="2"/>
            <w:tcBorders>
              <w:bottom w:val="single" w:color="000000" w:sz="2" w:space="0"/>
            </w:tcBorders>
            <w:vAlign w:val="top"/>
          </w:tcPr>
          <w:p w14:paraId="0933FA06">
            <w:pPr>
              <w:pStyle w:val="40"/>
              <w:rPr>
                <w:sz w:val="22"/>
                <w:szCs w:val="22"/>
              </w:rPr>
            </w:pPr>
          </w:p>
        </w:tc>
        <w:tc>
          <w:tcPr>
            <w:tcW w:w="683" w:type="dxa"/>
            <w:vAlign w:val="top"/>
          </w:tcPr>
          <w:p w14:paraId="53A28F4B">
            <w:pPr>
              <w:spacing w:before="171" w:line="231" w:lineRule="auto"/>
              <w:ind w:left="244"/>
              <w:outlineLvl w:val="0"/>
              <w:rPr>
                <w:rFonts w:ascii="宋体" w:hAnsi="宋体" w:eastAsia="宋体" w:cs="宋体"/>
                <w:sz w:val="22"/>
                <w:szCs w:val="22"/>
              </w:rPr>
            </w:pPr>
            <w:bookmarkStart w:id="117" w:name="_Toc2246"/>
            <w:r>
              <w:rPr>
                <w:rFonts w:ascii="宋体" w:hAnsi="宋体" w:eastAsia="宋体" w:cs="宋体"/>
                <w:b/>
                <w:bCs/>
                <w:spacing w:val="-3"/>
                <w:sz w:val="22"/>
                <w:szCs w:val="22"/>
              </w:rPr>
              <w:t>是</w:t>
            </w:r>
            <w:bookmarkEnd w:id="117"/>
          </w:p>
        </w:tc>
        <w:tc>
          <w:tcPr>
            <w:tcW w:w="581" w:type="dxa"/>
            <w:tcBorders>
              <w:right w:val="single" w:color="000000" w:sz="2" w:space="0"/>
            </w:tcBorders>
            <w:vAlign w:val="top"/>
          </w:tcPr>
          <w:p w14:paraId="23010901">
            <w:pPr>
              <w:spacing w:before="171" w:line="228" w:lineRule="auto"/>
              <w:ind w:left="195"/>
              <w:outlineLvl w:val="0"/>
              <w:rPr>
                <w:rFonts w:ascii="宋体" w:hAnsi="宋体" w:eastAsia="宋体" w:cs="宋体"/>
                <w:sz w:val="22"/>
                <w:szCs w:val="22"/>
              </w:rPr>
            </w:pPr>
            <w:bookmarkStart w:id="118" w:name="_Toc17140"/>
            <w:r>
              <w:rPr>
                <w:rFonts w:ascii="宋体" w:hAnsi="宋体" w:eastAsia="宋体" w:cs="宋体"/>
                <w:b/>
                <w:bCs/>
                <w:spacing w:val="-3"/>
                <w:sz w:val="22"/>
                <w:szCs w:val="22"/>
              </w:rPr>
              <w:t>否</w:t>
            </w:r>
            <w:bookmarkEnd w:id="118"/>
          </w:p>
        </w:tc>
      </w:tr>
      <w:tr w14:paraId="063D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32" w:type="dxa"/>
            <w:vMerge w:val="restart"/>
            <w:tcBorders>
              <w:top w:val="single" w:color="000000" w:sz="2" w:space="0"/>
              <w:left w:val="single" w:color="000000" w:sz="2" w:space="0"/>
              <w:right w:val="single" w:color="000000" w:sz="2" w:space="0"/>
            </w:tcBorders>
            <w:textDirection w:val="tbRlV"/>
            <w:vAlign w:val="top"/>
          </w:tcPr>
          <w:p w14:paraId="7CC5AD08">
            <w:pPr>
              <w:spacing w:before="308" w:line="216" w:lineRule="auto"/>
              <w:ind w:left="2003"/>
              <w:rPr>
                <w:rFonts w:ascii="宋体" w:hAnsi="宋体" w:eastAsia="宋体" w:cs="宋体"/>
                <w:sz w:val="22"/>
                <w:szCs w:val="22"/>
              </w:rPr>
            </w:pPr>
            <w:r>
              <w:rPr>
                <w:rFonts w:ascii="宋体" w:hAnsi="宋体" w:eastAsia="宋体" w:cs="宋体"/>
                <w:spacing w:val="8"/>
                <w:sz w:val="22"/>
                <w:szCs w:val="22"/>
              </w:rPr>
              <w:t>审</w:t>
            </w:r>
            <w:r>
              <w:rPr>
                <w:rFonts w:ascii="宋体" w:hAnsi="宋体" w:eastAsia="宋体" w:cs="宋体"/>
                <w:spacing w:val="16"/>
                <w:sz w:val="22"/>
                <w:szCs w:val="22"/>
              </w:rPr>
              <w:t xml:space="preserve">  </w:t>
            </w:r>
            <w:r>
              <w:rPr>
                <w:rFonts w:ascii="宋体" w:hAnsi="宋体" w:eastAsia="宋体" w:cs="宋体"/>
                <w:spacing w:val="8"/>
                <w:sz w:val="22"/>
                <w:szCs w:val="22"/>
              </w:rPr>
              <w:t>查</w:t>
            </w:r>
            <w:r>
              <w:rPr>
                <w:rFonts w:ascii="宋体" w:hAnsi="宋体" w:eastAsia="宋体" w:cs="宋体"/>
                <w:spacing w:val="16"/>
                <w:sz w:val="22"/>
                <w:szCs w:val="22"/>
              </w:rPr>
              <w:t xml:space="preserve">  </w:t>
            </w:r>
            <w:r>
              <w:rPr>
                <w:rFonts w:ascii="宋体" w:hAnsi="宋体" w:eastAsia="宋体" w:cs="宋体"/>
                <w:spacing w:val="8"/>
                <w:sz w:val="22"/>
                <w:szCs w:val="22"/>
              </w:rPr>
              <w:t>标</w:t>
            </w:r>
            <w:r>
              <w:rPr>
                <w:rFonts w:ascii="宋体" w:hAnsi="宋体" w:eastAsia="宋体" w:cs="宋体"/>
                <w:spacing w:val="15"/>
                <w:sz w:val="22"/>
                <w:szCs w:val="22"/>
              </w:rPr>
              <w:t xml:space="preserve">  </w:t>
            </w:r>
            <w:r>
              <w:rPr>
                <w:rFonts w:ascii="宋体" w:hAnsi="宋体" w:eastAsia="宋体" w:cs="宋体"/>
                <w:spacing w:val="8"/>
                <w:sz w:val="22"/>
                <w:szCs w:val="22"/>
              </w:rPr>
              <w:t>准</w:t>
            </w:r>
          </w:p>
        </w:tc>
        <w:tc>
          <w:tcPr>
            <w:tcW w:w="526" w:type="dxa"/>
            <w:tcBorders>
              <w:top w:val="single" w:color="000000" w:sz="2" w:space="0"/>
              <w:left w:val="single" w:color="000000" w:sz="2" w:space="0"/>
              <w:right w:val="single" w:color="000000" w:sz="2" w:space="0"/>
            </w:tcBorders>
            <w:vAlign w:val="center"/>
          </w:tcPr>
          <w:p w14:paraId="14CCCFB5">
            <w:pPr>
              <w:keepNext w:val="0"/>
              <w:keepLines w:val="0"/>
              <w:pageBreakBefore w:val="0"/>
              <w:widowControl/>
              <w:kinsoku w:val="0"/>
              <w:wordWrap/>
              <w:overflowPunct/>
              <w:topLinePunct w:val="0"/>
              <w:autoSpaceDE w:val="0"/>
              <w:autoSpaceDN w:val="0"/>
              <w:bidi w:val="0"/>
              <w:adjustRightInd w:val="0"/>
              <w:snapToGrid w:val="0"/>
              <w:spacing w:before="204" w:line="360" w:lineRule="auto"/>
              <w:ind w:left="266"/>
              <w:jc w:val="both"/>
              <w:textAlignment w:val="baseline"/>
              <w:rPr>
                <w:rFonts w:ascii="宋体" w:hAnsi="宋体" w:eastAsia="宋体" w:cs="宋体"/>
                <w:sz w:val="22"/>
                <w:szCs w:val="22"/>
              </w:rPr>
            </w:pPr>
            <w:r>
              <w:rPr>
                <w:rFonts w:ascii="宋体" w:hAnsi="宋体" w:eastAsia="宋体" w:cs="宋体"/>
                <w:sz w:val="22"/>
                <w:szCs w:val="22"/>
              </w:rPr>
              <w:t>1</w:t>
            </w:r>
          </w:p>
        </w:tc>
        <w:tc>
          <w:tcPr>
            <w:tcW w:w="6158" w:type="dxa"/>
            <w:tcBorders>
              <w:top w:val="single" w:color="000000" w:sz="2" w:space="0"/>
              <w:left w:val="single" w:color="000000" w:sz="2" w:space="0"/>
              <w:right w:val="single" w:color="000000" w:sz="2" w:space="0"/>
            </w:tcBorders>
            <w:vAlign w:val="center"/>
          </w:tcPr>
          <w:p w14:paraId="299A37BD">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outlineLvl w:val="0"/>
              <w:rPr>
                <w:rFonts w:ascii="宋体" w:hAnsi="宋体" w:eastAsia="宋体" w:cs="宋体"/>
                <w:sz w:val="22"/>
                <w:szCs w:val="22"/>
              </w:rPr>
            </w:pPr>
            <w:r>
              <w:rPr>
                <w:rFonts w:hint="eastAsia" w:ascii="宋体" w:hAnsi="宋体" w:eastAsia="宋体" w:cs="宋体"/>
                <w:spacing w:val="7"/>
                <w:sz w:val="22"/>
                <w:szCs w:val="22"/>
                <w:lang w:val="en-US" w:eastAsia="zh-CN"/>
              </w:rPr>
              <w:t>磋商</w:t>
            </w:r>
            <w:r>
              <w:rPr>
                <w:rFonts w:hint="eastAsia" w:ascii="宋体" w:hAnsi="宋体" w:eastAsia="宋体" w:cs="宋体"/>
                <w:spacing w:val="7"/>
                <w:sz w:val="22"/>
                <w:szCs w:val="22"/>
              </w:rPr>
              <w:t>报价未高于设定的标项最高限价的；</w:t>
            </w:r>
          </w:p>
        </w:tc>
        <w:tc>
          <w:tcPr>
            <w:tcW w:w="683" w:type="dxa"/>
            <w:tcBorders>
              <w:left w:val="single" w:color="000000" w:sz="2" w:space="0"/>
              <w:right w:val="single" w:color="000000" w:sz="2" w:space="0"/>
            </w:tcBorders>
            <w:vAlign w:val="top"/>
          </w:tcPr>
          <w:p w14:paraId="1D437A8E">
            <w:pPr>
              <w:pStyle w:val="40"/>
              <w:rPr>
                <w:sz w:val="22"/>
                <w:szCs w:val="22"/>
              </w:rPr>
            </w:pPr>
          </w:p>
        </w:tc>
        <w:tc>
          <w:tcPr>
            <w:tcW w:w="581" w:type="dxa"/>
            <w:tcBorders>
              <w:left w:val="single" w:color="000000" w:sz="2" w:space="0"/>
              <w:right w:val="single" w:color="000000" w:sz="2" w:space="0"/>
            </w:tcBorders>
            <w:vAlign w:val="top"/>
          </w:tcPr>
          <w:p w14:paraId="1FF0E856">
            <w:pPr>
              <w:pStyle w:val="40"/>
              <w:rPr>
                <w:sz w:val="22"/>
                <w:szCs w:val="22"/>
              </w:rPr>
            </w:pPr>
          </w:p>
        </w:tc>
      </w:tr>
      <w:tr w14:paraId="39D4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vMerge w:val="continue"/>
            <w:tcBorders>
              <w:left w:val="single" w:color="000000" w:sz="2" w:space="0"/>
              <w:right w:val="single" w:color="000000" w:sz="2" w:space="0"/>
            </w:tcBorders>
            <w:textDirection w:val="tbRlV"/>
            <w:vAlign w:val="top"/>
          </w:tcPr>
          <w:p w14:paraId="01F97AED">
            <w:pPr>
              <w:pStyle w:val="40"/>
              <w:rPr>
                <w:sz w:val="22"/>
                <w:szCs w:val="22"/>
              </w:rPr>
            </w:pPr>
          </w:p>
        </w:tc>
        <w:tc>
          <w:tcPr>
            <w:tcW w:w="526" w:type="dxa"/>
            <w:tcBorders>
              <w:left w:val="single" w:color="000000" w:sz="2" w:space="0"/>
              <w:bottom w:val="single" w:color="000000" w:sz="2" w:space="0"/>
              <w:right w:val="single" w:color="000000" w:sz="2" w:space="0"/>
            </w:tcBorders>
            <w:vAlign w:val="center"/>
          </w:tcPr>
          <w:p w14:paraId="67805B26">
            <w:pPr>
              <w:keepNext w:val="0"/>
              <w:keepLines w:val="0"/>
              <w:pageBreakBefore w:val="0"/>
              <w:widowControl/>
              <w:kinsoku w:val="0"/>
              <w:wordWrap/>
              <w:overflowPunct/>
              <w:topLinePunct w:val="0"/>
              <w:autoSpaceDE w:val="0"/>
              <w:autoSpaceDN w:val="0"/>
              <w:bidi w:val="0"/>
              <w:adjustRightInd w:val="0"/>
              <w:snapToGrid w:val="0"/>
              <w:spacing w:before="204" w:line="360" w:lineRule="auto"/>
              <w:ind w:left="253"/>
              <w:jc w:val="both"/>
              <w:textAlignment w:val="baseline"/>
              <w:rPr>
                <w:rFonts w:ascii="宋体" w:hAnsi="宋体" w:eastAsia="宋体" w:cs="宋体"/>
                <w:sz w:val="22"/>
                <w:szCs w:val="22"/>
              </w:rPr>
            </w:pPr>
            <w:r>
              <w:rPr>
                <w:rFonts w:ascii="宋体" w:hAnsi="宋体" w:eastAsia="宋体" w:cs="宋体"/>
                <w:sz w:val="22"/>
                <w:szCs w:val="22"/>
              </w:rPr>
              <w:t>2</w:t>
            </w:r>
          </w:p>
        </w:tc>
        <w:tc>
          <w:tcPr>
            <w:tcW w:w="6158" w:type="dxa"/>
            <w:tcBorders>
              <w:left w:val="single" w:color="000000" w:sz="2" w:space="0"/>
              <w:bottom w:val="single" w:color="000000" w:sz="2" w:space="0"/>
              <w:right w:val="single" w:color="000000" w:sz="2" w:space="0"/>
            </w:tcBorders>
            <w:vAlign w:val="center"/>
          </w:tcPr>
          <w:p w14:paraId="1F8E2107">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outlineLvl w:val="0"/>
              <w:rPr>
                <w:rFonts w:ascii="宋体" w:hAnsi="宋体" w:eastAsia="宋体" w:cs="宋体"/>
                <w:sz w:val="22"/>
                <w:szCs w:val="22"/>
              </w:rPr>
            </w:pPr>
            <w:r>
              <w:rPr>
                <w:rFonts w:hint="eastAsia" w:ascii="宋体" w:hAnsi="宋体" w:eastAsia="宋体" w:cs="宋体"/>
                <w:sz w:val="22"/>
                <w:szCs w:val="22"/>
              </w:rPr>
              <w:t>评标委员会认为</w:t>
            </w:r>
            <w:r>
              <w:rPr>
                <w:rFonts w:hint="eastAsia" w:ascii="宋体" w:hAnsi="宋体" w:eastAsia="宋体" w:cs="宋体"/>
                <w:sz w:val="22"/>
                <w:szCs w:val="22"/>
                <w:lang w:eastAsia="zh-CN"/>
              </w:rPr>
              <w:t>供应商</w:t>
            </w:r>
            <w:r>
              <w:rPr>
                <w:rFonts w:hint="eastAsia" w:ascii="宋体" w:hAnsi="宋体" w:eastAsia="宋体" w:cs="宋体"/>
                <w:sz w:val="22"/>
                <w:szCs w:val="22"/>
              </w:rPr>
              <w:t>的报价无明显低于其他通过符合性审查</w:t>
            </w:r>
            <w:r>
              <w:rPr>
                <w:rFonts w:hint="eastAsia" w:ascii="宋体" w:hAnsi="宋体" w:eastAsia="宋体" w:cs="宋体"/>
                <w:sz w:val="22"/>
                <w:szCs w:val="22"/>
                <w:lang w:eastAsia="zh-CN"/>
              </w:rPr>
              <w:t>供应商</w:t>
            </w:r>
            <w:r>
              <w:rPr>
                <w:rFonts w:hint="eastAsia" w:ascii="宋体" w:hAnsi="宋体" w:eastAsia="宋体" w:cs="宋体"/>
                <w:sz w:val="22"/>
                <w:szCs w:val="22"/>
              </w:rPr>
              <w:t>的报价的，</w:t>
            </w:r>
            <w:r>
              <w:rPr>
                <w:rFonts w:hint="eastAsia" w:ascii="宋体" w:hAnsi="宋体" w:eastAsia="宋体" w:cs="宋体"/>
                <w:sz w:val="22"/>
                <w:szCs w:val="22"/>
                <w:lang w:eastAsia="zh-CN"/>
              </w:rPr>
              <w:t>供应商</w:t>
            </w:r>
            <w:r>
              <w:rPr>
                <w:rFonts w:hint="eastAsia" w:ascii="宋体" w:hAnsi="宋体" w:eastAsia="宋体" w:cs="宋体"/>
                <w:sz w:val="22"/>
                <w:szCs w:val="22"/>
              </w:rPr>
              <w:t>的报价不存在异常一致并成规律性的，其报价合理</w:t>
            </w:r>
          </w:p>
        </w:tc>
        <w:tc>
          <w:tcPr>
            <w:tcW w:w="683" w:type="dxa"/>
            <w:tcBorders>
              <w:left w:val="single" w:color="000000" w:sz="2" w:space="0"/>
              <w:right w:val="single" w:color="000000" w:sz="2" w:space="0"/>
            </w:tcBorders>
            <w:vAlign w:val="top"/>
          </w:tcPr>
          <w:p w14:paraId="45B2D96E">
            <w:pPr>
              <w:pStyle w:val="40"/>
              <w:rPr>
                <w:sz w:val="22"/>
                <w:szCs w:val="22"/>
              </w:rPr>
            </w:pPr>
          </w:p>
        </w:tc>
        <w:tc>
          <w:tcPr>
            <w:tcW w:w="581" w:type="dxa"/>
            <w:tcBorders>
              <w:left w:val="single" w:color="000000" w:sz="2" w:space="0"/>
              <w:right w:val="single" w:color="000000" w:sz="2" w:space="0"/>
            </w:tcBorders>
            <w:vAlign w:val="top"/>
          </w:tcPr>
          <w:p w14:paraId="3BF6629D">
            <w:pPr>
              <w:pStyle w:val="40"/>
              <w:rPr>
                <w:sz w:val="22"/>
                <w:szCs w:val="22"/>
              </w:rPr>
            </w:pPr>
          </w:p>
        </w:tc>
      </w:tr>
      <w:tr w14:paraId="1721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32" w:type="dxa"/>
            <w:vMerge w:val="continue"/>
            <w:tcBorders>
              <w:left w:val="single" w:color="000000" w:sz="2" w:space="0"/>
              <w:right w:val="single" w:color="000000" w:sz="2" w:space="0"/>
            </w:tcBorders>
            <w:textDirection w:val="tbRlV"/>
            <w:vAlign w:val="top"/>
          </w:tcPr>
          <w:p w14:paraId="1ABF38D6">
            <w:pPr>
              <w:pStyle w:val="40"/>
              <w:rPr>
                <w:sz w:val="22"/>
                <w:szCs w:val="22"/>
              </w:rPr>
            </w:pPr>
          </w:p>
        </w:tc>
        <w:tc>
          <w:tcPr>
            <w:tcW w:w="526" w:type="dxa"/>
            <w:tcBorders>
              <w:top w:val="single" w:color="000000" w:sz="2" w:space="0"/>
              <w:left w:val="single" w:color="000000" w:sz="2" w:space="0"/>
              <w:bottom w:val="single" w:color="000000" w:sz="2" w:space="0"/>
              <w:right w:val="single" w:color="000000" w:sz="2" w:space="0"/>
            </w:tcBorders>
            <w:vAlign w:val="center"/>
          </w:tcPr>
          <w:p w14:paraId="1D0F6258">
            <w:pPr>
              <w:keepNext w:val="0"/>
              <w:keepLines w:val="0"/>
              <w:pageBreakBefore w:val="0"/>
              <w:widowControl/>
              <w:kinsoku w:val="0"/>
              <w:wordWrap/>
              <w:overflowPunct/>
              <w:topLinePunct w:val="0"/>
              <w:autoSpaceDE w:val="0"/>
              <w:autoSpaceDN w:val="0"/>
              <w:bidi w:val="0"/>
              <w:adjustRightInd w:val="0"/>
              <w:snapToGrid w:val="0"/>
              <w:spacing w:before="65" w:line="360" w:lineRule="auto"/>
              <w:ind w:left="255"/>
              <w:jc w:val="both"/>
              <w:textAlignment w:val="baseline"/>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6158" w:type="dxa"/>
            <w:tcBorders>
              <w:top w:val="single" w:color="000000" w:sz="2" w:space="0"/>
              <w:left w:val="single" w:color="000000" w:sz="2" w:space="0"/>
              <w:bottom w:val="single" w:color="000000" w:sz="2" w:space="0"/>
              <w:right w:val="single" w:color="000000" w:sz="2" w:space="0"/>
            </w:tcBorders>
            <w:vAlign w:val="center"/>
          </w:tcPr>
          <w:p w14:paraId="23B3DA71">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outlineLvl w:val="0"/>
              <w:rPr>
                <w:rFonts w:ascii="宋体" w:hAnsi="宋体" w:eastAsia="宋体" w:cs="宋体"/>
                <w:sz w:val="22"/>
                <w:szCs w:val="22"/>
              </w:rPr>
            </w:pPr>
            <w:r>
              <w:rPr>
                <w:rFonts w:hint="eastAsia" w:ascii="宋体" w:hAnsi="宋体" w:eastAsia="宋体" w:cs="宋体"/>
                <w:sz w:val="22"/>
                <w:szCs w:val="22"/>
                <w:lang w:eastAsia="zh-CN"/>
              </w:rPr>
              <w:t>响应文件</w:t>
            </w:r>
            <w:r>
              <w:rPr>
                <w:rFonts w:hint="eastAsia" w:ascii="宋体" w:hAnsi="宋体" w:eastAsia="宋体" w:cs="宋体"/>
                <w:sz w:val="22"/>
                <w:szCs w:val="22"/>
              </w:rPr>
              <w:t>按照</w:t>
            </w:r>
            <w:r>
              <w:rPr>
                <w:rFonts w:hint="eastAsia" w:ascii="宋体" w:hAnsi="宋体" w:eastAsia="宋体" w:cs="宋体"/>
                <w:sz w:val="22"/>
                <w:szCs w:val="22"/>
                <w:lang w:eastAsia="zh-CN"/>
              </w:rPr>
              <w:t>磋商文件</w:t>
            </w:r>
            <w:r>
              <w:rPr>
                <w:rFonts w:hint="eastAsia" w:ascii="宋体" w:hAnsi="宋体" w:eastAsia="宋体" w:cs="宋体"/>
                <w:sz w:val="22"/>
                <w:szCs w:val="22"/>
              </w:rPr>
              <w:t>的规定编制、标记及签署盖章的，法定代表人或其授权代表签字（章）和加盖投标单位公章的</w:t>
            </w:r>
          </w:p>
        </w:tc>
        <w:tc>
          <w:tcPr>
            <w:tcW w:w="683" w:type="dxa"/>
            <w:tcBorders>
              <w:left w:val="single" w:color="000000" w:sz="2" w:space="0"/>
            </w:tcBorders>
            <w:vAlign w:val="top"/>
          </w:tcPr>
          <w:p w14:paraId="2C92157F">
            <w:pPr>
              <w:pStyle w:val="40"/>
              <w:rPr>
                <w:sz w:val="22"/>
                <w:szCs w:val="22"/>
              </w:rPr>
            </w:pPr>
          </w:p>
        </w:tc>
        <w:tc>
          <w:tcPr>
            <w:tcW w:w="581" w:type="dxa"/>
            <w:tcBorders>
              <w:right w:val="single" w:color="000000" w:sz="2" w:space="0"/>
            </w:tcBorders>
            <w:vAlign w:val="top"/>
          </w:tcPr>
          <w:p w14:paraId="18AC5F9E">
            <w:pPr>
              <w:pStyle w:val="40"/>
              <w:rPr>
                <w:sz w:val="22"/>
                <w:szCs w:val="22"/>
              </w:rPr>
            </w:pPr>
          </w:p>
        </w:tc>
      </w:tr>
      <w:tr w14:paraId="7991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32" w:type="dxa"/>
            <w:vMerge w:val="continue"/>
            <w:tcBorders>
              <w:left w:val="single" w:color="000000" w:sz="2" w:space="0"/>
              <w:right w:val="single" w:color="000000" w:sz="2" w:space="0"/>
            </w:tcBorders>
            <w:textDirection w:val="tbRlV"/>
            <w:vAlign w:val="top"/>
          </w:tcPr>
          <w:p w14:paraId="20FB0D8C">
            <w:pPr>
              <w:pStyle w:val="40"/>
              <w:rPr>
                <w:sz w:val="22"/>
                <w:szCs w:val="22"/>
              </w:rPr>
            </w:pPr>
          </w:p>
        </w:tc>
        <w:tc>
          <w:tcPr>
            <w:tcW w:w="526" w:type="dxa"/>
            <w:tcBorders>
              <w:left w:val="single" w:color="000000" w:sz="2" w:space="0"/>
            </w:tcBorders>
            <w:vAlign w:val="top"/>
          </w:tcPr>
          <w:p w14:paraId="4AB48C9F">
            <w:pPr>
              <w:keepNext w:val="0"/>
              <w:keepLines w:val="0"/>
              <w:pageBreakBefore w:val="0"/>
              <w:widowControl/>
              <w:kinsoku w:val="0"/>
              <w:wordWrap/>
              <w:overflowPunct/>
              <w:topLinePunct w:val="0"/>
              <w:autoSpaceDE w:val="0"/>
              <w:autoSpaceDN w:val="0"/>
              <w:bidi w:val="0"/>
              <w:adjustRightInd w:val="0"/>
              <w:snapToGrid w:val="0"/>
              <w:spacing w:before="207" w:line="360" w:lineRule="auto"/>
              <w:jc w:val="center"/>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6158" w:type="dxa"/>
            <w:tcBorders>
              <w:right w:val="single" w:color="000000" w:sz="2" w:space="0"/>
            </w:tcBorders>
            <w:vAlign w:val="top"/>
          </w:tcPr>
          <w:p w14:paraId="3D3A9B0D">
            <w:pPr>
              <w:keepNext w:val="0"/>
              <w:keepLines w:val="0"/>
              <w:pageBreakBefore w:val="0"/>
              <w:widowControl/>
              <w:kinsoku w:val="0"/>
              <w:wordWrap/>
              <w:overflowPunct/>
              <w:topLinePunct w:val="0"/>
              <w:autoSpaceDE w:val="0"/>
              <w:autoSpaceDN w:val="0"/>
              <w:bidi w:val="0"/>
              <w:adjustRightInd w:val="0"/>
              <w:snapToGrid w:val="0"/>
              <w:spacing w:before="172" w:line="360" w:lineRule="auto"/>
              <w:textAlignment w:val="baseline"/>
              <w:outlineLvl w:val="0"/>
              <w:rPr>
                <w:rFonts w:ascii="宋体" w:hAnsi="宋体" w:eastAsia="宋体" w:cs="宋体"/>
                <w:spacing w:val="8"/>
                <w:sz w:val="22"/>
                <w:szCs w:val="22"/>
              </w:rPr>
            </w:pPr>
            <w:r>
              <w:rPr>
                <w:rFonts w:hint="eastAsia" w:ascii="宋体" w:hAnsi="宋体" w:eastAsia="宋体" w:cs="宋体"/>
                <w:spacing w:val="8"/>
                <w:sz w:val="22"/>
                <w:szCs w:val="22"/>
              </w:rPr>
              <w:t xml:space="preserve">响应文件满足磋商文件中标注“★”号的实质性条款（或指标）要求 </w:t>
            </w:r>
          </w:p>
        </w:tc>
        <w:tc>
          <w:tcPr>
            <w:tcW w:w="683" w:type="dxa"/>
            <w:tcBorders>
              <w:left w:val="single" w:color="000000" w:sz="2" w:space="0"/>
            </w:tcBorders>
            <w:vAlign w:val="top"/>
          </w:tcPr>
          <w:p w14:paraId="2165C70E">
            <w:pPr>
              <w:pStyle w:val="40"/>
              <w:rPr>
                <w:sz w:val="22"/>
                <w:szCs w:val="22"/>
              </w:rPr>
            </w:pPr>
          </w:p>
        </w:tc>
        <w:tc>
          <w:tcPr>
            <w:tcW w:w="581" w:type="dxa"/>
            <w:tcBorders>
              <w:right w:val="single" w:color="000000" w:sz="2" w:space="0"/>
            </w:tcBorders>
            <w:vAlign w:val="top"/>
          </w:tcPr>
          <w:p w14:paraId="10ECFF29">
            <w:pPr>
              <w:pStyle w:val="40"/>
              <w:rPr>
                <w:sz w:val="22"/>
                <w:szCs w:val="22"/>
              </w:rPr>
            </w:pPr>
          </w:p>
        </w:tc>
      </w:tr>
      <w:tr w14:paraId="3FA6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2" w:type="dxa"/>
            <w:vMerge w:val="continue"/>
            <w:tcBorders>
              <w:left w:val="single" w:color="000000" w:sz="2" w:space="0"/>
              <w:right w:val="single" w:color="000000" w:sz="2" w:space="0"/>
            </w:tcBorders>
            <w:textDirection w:val="tbRlV"/>
            <w:vAlign w:val="top"/>
          </w:tcPr>
          <w:p w14:paraId="095B13B6">
            <w:pPr>
              <w:pStyle w:val="40"/>
              <w:rPr>
                <w:sz w:val="22"/>
                <w:szCs w:val="22"/>
              </w:rPr>
            </w:pPr>
          </w:p>
        </w:tc>
        <w:tc>
          <w:tcPr>
            <w:tcW w:w="526" w:type="dxa"/>
            <w:tcBorders>
              <w:left w:val="single" w:color="000000" w:sz="2" w:space="0"/>
            </w:tcBorders>
            <w:vAlign w:val="top"/>
          </w:tcPr>
          <w:p w14:paraId="7F6BB77B">
            <w:pPr>
              <w:keepNext w:val="0"/>
              <w:keepLines w:val="0"/>
              <w:pageBreakBefore w:val="0"/>
              <w:widowControl/>
              <w:kinsoku w:val="0"/>
              <w:wordWrap/>
              <w:overflowPunct/>
              <w:topLinePunct w:val="0"/>
              <w:autoSpaceDE w:val="0"/>
              <w:autoSpaceDN w:val="0"/>
              <w:bidi w:val="0"/>
              <w:adjustRightInd w:val="0"/>
              <w:snapToGrid w:val="0"/>
              <w:spacing w:before="207" w:line="360" w:lineRule="auto"/>
              <w:jc w:val="center"/>
              <w:textAlignment w:val="baseline"/>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p>
        </w:tc>
        <w:tc>
          <w:tcPr>
            <w:tcW w:w="6158" w:type="dxa"/>
            <w:tcBorders>
              <w:right w:val="single" w:color="000000" w:sz="2" w:space="0"/>
            </w:tcBorders>
            <w:vAlign w:val="top"/>
          </w:tcPr>
          <w:p w14:paraId="76396926">
            <w:pPr>
              <w:keepNext w:val="0"/>
              <w:keepLines w:val="0"/>
              <w:pageBreakBefore w:val="0"/>
              <w:widowControl/>
              <w:kinsoku w:val="0"/>
              <w:wordWrap/>
              <w:overflowPunct/>
              <w:topLinePunct w:val="0"/>
              <w:autoSpaceDE w:val="0"/>
              <w:autoSpaceDN w:val="0"/>
              <w:bidi w:val="0"/>
              <w:adjustRightInd w:val="0"/>
              <w:snapToGrid w:val="0"/>
              <w:spacing w:before="172" w:line="360" w:lineRule="auto"/>
              <w:textAlignment w:val="baseline"/>
              <w:outlineLvl w:val="0"/>
              <w:rPr>
                <w:rFonts w:ascii="宋体" w:hAnsi="宋体" w:eastAsia="宋体" w:cs="宋体"/>
                <w:sz w:val="22"/>
                <w:szCs w:val="22"/>
              </w:rPr>
            </w:pPr>
            <w:r>
              <w:rPr>
                <w:rFonts w:hint="eastAsia" w:ascii="宋体" w:hAnsi="宋体" w:eastAsia="宋体" w:cs="宋体"/>
                <w:sz w:val="22"/>
                <w:szCs w:val="22"/>
              </w:rPr>
              <w:t>评审期间,供应商按磋商小组的要求提交经授权代表签字的澄清、说明、更正且澄清、说明、更正未超出响应文件范围或未改变响应文件的实质性内容</w:t>
            </w:r>
          </w:p>
        </w:tc>
        <w:tc>
          <w:tcPr>
            <w:tcW w:w="683" w:type="dxa"/>
            <w:tcBorders>
              <w:left w:val="single" w:color="000000" w:sz="2" w:space="0"/>
            </w:tcBorders>
            <w:vAlign w:val="top"/>
          </w:tcPr>
          <w:p w14:paraId="2AE41932">
            <w:pPr>
              <w:pStyle w:val="40"/>
              <w:rPr>
                <w:sz w:val="22"/>
                <w:szCs w:val="22"/>
              </w:rPr>
            </w:pPr>
          </w:p>
        </w:tc>
        <w:tc>
          <w:tcPr>
            <w:tcW w:w="581" w:type="dxa"/>
            <w:tcBorders>
              <w:right w:val="single" w:color="000000" w:sz="2" w:space="0"/>
            </w:tcBorders>
            <w:vAlign w:val="top"/>
          </w:tcPr>
          <w:p w14:paraId="492EF3CE">
            <w:pPr>
              <w:pStyle w:val="40"/>
              <w:rPr>
                <w:sz w:val="22"/>
                <w:szCs w:val="22"/>
              </w:rPr>
            </w:pPr>
          </w:p>
        </w:tc>
      </w:tr>
      <w:tr w14:paraId="4C93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left w:val="single" w:color="000000" w:sz="2" w:space="0"/>
              <w:right w:val="single" w:color="000000" w:sz="2" w:space="0"/>
            </w:tcBorders>
            <w:textDirection w:val="tbRlV"/>
            <w:vAlign w:val="top"/>
          </w:tcPr>
          <w:p w14:paraId="381E6E3B">
            <w:pPr>
              <w:pStyle w:val="40"/>
              <w:rPr>
                <w:sz w:val="22"/>
                <w:szCs w:val="22"/>
              </w:rPr>
            </w:pPr>
          </w:p>
        </w:tc>
        <w:tc>
          <w:tcPr>
            <w:tcW w:w="526" w:type="dxa"/>
            <w:tcBorders>
              <w:top w:val="single" w:color="000000" w:sz="2" w:space="0"/>
              <w:left w:val="single" w:color="000000" w:sz="2" w:space="0"/>
              <w:right w:val="single" w:color="000000" w:sz="2" w:space="0"/>
            </w:tcBorders>
            <w:vAlign w:val="top"/>
          </w:tcPr>
          <w:p w14:paraId="0B9AF7A0">
            <w:pPr>
              <w:keepNext w:val="0"/>
              <w:keepLines w:val="0"/>
              <w:pageBreakBefore w:val="0"/>
              <w:widowControl/>
              <w:kinsoku w:val="0"/>
              <w:wordWrap/>
              <w:overflowPunct/>
              <w:topLinePunct w:val="0"/>
              <w:autoSpaceDE w:val="0"/>
              <w:autoSpaceDN w:val="0"/>
              <w:bidi w:val="0"/>
              <w:adjustRightInd w:val="0"/>
              <w:snapToGrid w:val="0"/>
              <w:spacing w:before="226" w:line="360" w:lineRule="auto"/>
              <w:ind w:left="255"/>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6158" w:type="dxa"/>
            <w:tcBorders>
              <w:top w:val="single" w:color="000000" w:sz="2" w:space="0"/>
              <w:left w:val="single" w:color="000000" w:sz="2" w:space="0"/>
              <w:right w:val="single" w:color="000000" w:sz="2" w:space="0"/>
            </w:tcBorders>
            <w:vAlign w:val="top"/>
          </w:tcPr>
          <w:p w14:paraId="66F7E922">
            <w:pPr>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outlineLvl w:val="0"/>
              <w:rPr>
                <w:rFonts w:hint="eastAsia" w:ascii="宋体" w:hAnsi="宋体" w:eastAsia="宋体" w:cs="宋体"/>
                <w:sz w:val="22"/>
                <w:szCs w:val="22"/>
              </w:rPr>
            </w:pPr>
            <w:r>
              <w:rPr>
                <w:rFonts w:hint="eastAsia" w:ascii="宋体" w:hAnsi="宋体" w:eastAsia="宋体" w:cs="宋体"/>
                <w:sz w:val="22"/>
                <w:szCs w:val="22"/>
              </w:rPr>
              <w:t>供应商所报的各分项投标报价在合同履行过程中是固定不变的，不得以任何理由予以变更;</w:t>
            </w:r>
          </w:p>
        </w:tc>
        <w:tc>
          <w:tcPr>
            <w:tcW w:w="683" w:type="dxa"/>
            <w:tcBorders>
              <w:top w:val="single" w:color="000000" w:sz="2" w:space="0"/>
              <w:left w:val="single" w:color="000000" w:sz="2" w:space="0"/>
              <w:right w:val="single" w:color="000000" w:sz="2" w:space="0"/>
            </w:tcBorders>
            <w:vAlign w:val="top"/>
          </w:tcPr>
          <w:p w14:paraId="1F457F83">
            <w:pPr>
              <w:pStyle w:val="40"/>
              <w:rPr>
                <w:sz w:val="22"/>
                <w:szCs w:val="22"/>
              </w:rPr>
            </w:pPr>
          </w:p>
        </w:tc>
        <w:tc>
          <w:tcPr>
            <w:tcW w:w="581" w:type="dxa"/>
            <w:tcBorders>
              <w:top w:val="single" w:color="000000" w:sz="2" w:space="0"/>
              <w:left w:val="single" w:color="000000" w:sz="2" w:space="0"/>
              <w:right w:val="single" w:color="000000" w:sz="2" w:space="0"/>
            </w:tcBorders>
            <w:vAlign w:val="top"/>
          </w:tcPr>
          <w:p w14:paraId="7E9E006A">
            <w:pPr>
              <w:pStyle w:val="40"/>
              <w:rPr>
                <w:sz w:val="22"/>
                <w:szCs w:val="22"/>
              </w:rPr>
            </w:pPr>
          </w:p>
        </w:tc>
      </w:tr>
      <w:tr w14:paraId="61F4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left w:val="single" w:color="000000" w:sz="2" w:space="0"/>
              <w:right w:val="single" w:color="000000" w:sz="2" w:space="0"/>
            </w:tcBorders>
            <w:textDirection w:val="tbRlV"/>
            <w:vAlign w:val="top"/>
          </w:tcPr>
          <w:p w14:paraId="40877594">
            <w:pPr>
              <w:pStyle w:val="40"/>
              <w:rPr>
                <w:sz w:val="22"/>
                <w:szCs w:val="22"/>
              </w:rPr>
            </w:pPr>
          </w:p>
        </w:tc>
        <w:tc>
          <w:tcPr>
            <w:tcW w:w="526" w:type="dxa"/>
            <w:tcBorders>
              <w:top w:val="single" w:color="000000" w:sz="2" w:space="0"/>
              <w:left w:val="single" w:color="000000" w:sz="2" w:space="0"/>
              <w:right w:val="single" w:color="000000" w:sz="2" w:space="0"/>
            </w:tcBorders>
            <w:vAlign w:val="top"/>
          </w:tcPr>
          <w:p w14:paraId="435FBBFF">
            <w:pPr>
              <w:keepNext w:val="0"/>
              <w:keepLines w:val="0"/>
              <w:pageBreakBefore w:val="0"/>
              <w:widowControl/>
              <w:kinsoku w:val="0"/>
              <w:wordWrap/>
              <w:overflowPunct/>
              <w:topLinePunct w:val="0"/>
              <w:autoSpaceDE w:val="0"/>
              <w:autoSpaceDN w:val="0"/>
              <w:bidi w:val="0"/>
              <w:adjustRightInd w:val="0"/>
              <w:snapToGrid w:val="0"/>
              <w:spacing w:before="226" w:line="360" w:lineRule="auto"/>
              <w:ind w:left="255"/>
              <w:textAlignment w:val="baseline"/>
              <w:rPr>
                <w:rFonts w:hint="eastAsia" w:ascii="宋体" w:hAnsi="宋体" w:eastAsia="宋体" w:cs="宋体"/>
                <w:sz w:val="22"/>
                <w:szCs w:val="22"/>
                <w:lang w:eastAsia="zh-CN"/>
              </w:rPr>
            </w:pPr>
            <w:r>
              <w:rPr>
                <w:rFonts w:hint="eastAsia" w:ascii="宋体" w:hAnsi="宋体" w:eastAsia="宋体" w:cs="宋体"/>
                <w:sz w:val="22"/>
                <w:szCs w:val="22"/>
                <w:lang w:val="en-US" w:eastAsia="zh-CN"/>
              </w:rPr>
              <w:t>7</w:t>
            </w:r>
          </w:p>
        </w:tc>
        <w:tc>
          <w:tcPr>
            <w:tcW w:w="6158" w:type="dxa"/>
            <w:tcBorders>
              <w:top w:val="single" w:color="000000" w:sz="2" w:space="0"/>
              <w:left w:val="single" w:color="000000" w:sz="2" w:space="0"/>
              <w:right w:val="single" w:color="000000" w:sz="2" w:space="0"/>
            </w:tcBorders>
            <w:vAlign w:val="top"/>
          </w:tcPr>
          <w:p w14:paraId="1E9E118D">
            <w:pPr>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outlineLvl w:val="0"/>
              <w:rPr>
                <w:rFonts w:ascii="宋体" w:hAnsi="宋体" w:eastAsia="宋体" w:cs="宋体"/>
                <w:sz w:val="22"/>
                <w:szCs w:val="22"/>
              </w:rPr>
            </w:pPr>
            <w:r>
              <w:rPr>
                <w:rFonts w:hint="eastAsia" w:ascii="宋体" w:hAnsi="宋体" w:eastAsia="宋体" w:cs="宋体"/>
                <w:sz w:val="22"/>
                <w:szCs w:val="22"/>
              </w:rPr>
              <w:t>响应有效期自提交响应文件截止之日起90日历日;</w:t>
            </w:r>
          </w:p>
        </w:tc>
        <w:tc>
          <w:tcPr>
            <w:tcW w:w="683" w:type="dxa"/>
            <w:tcBorders>
              <w:top w:val="single" w:color="000000" w:sz="2" w:space="0"/>
              <w:left w:val="single" w:color="000000" w:sz="2" w:space="0"/>
              <w:right w:val="single" w:color="000000" w:sz="2" w:space="0"/>
            </w:tcBorders>
            <w:vAlign w:val="top"/>
          </w:tcPr>
          <w:p w14:paraId="5B886000">
            <w:pPr>
              <w:pStyle w:val="40"/>
              <w:rPr>
                <w:sz w:val="22"/>
                <w:szCs w:val="22"/>
              </w:rPr>
            </w:pPr>
          </w:p>
        </w:tc>
        <w:tc>
          <w:tcPr>
            <w:tcW w:w="581" w:type="dxa"/>
            <w:tcBorders>
              <w:top w:val="single" w:color="000000" w:sz="2" w:space="0"/>
              <w:left w:val="single" w:color="000000" w:sz="2" w:space="0"/>
              <w:right w:val="single" w:color="000000" w:sz="2" w:space="0"/>
            </w:tcBorders>
            <w:vAlign w:val="top"/>
          </w:tcPr>
          <w:p w14:paraId="0722EAD6">
            <w:pPr>
              <w:pStyle w:val="40"/>
              <w:rPr>
                <w:sz w:val="22"/>
                <w:szCs w:val="22"/>
              </w:rPr>
            </w:pPr>
          </w:p>
        </w:tc>
      </w:tr>
      <w:tr w14:paraId="764F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left w:val="single" w:color="000000" w:sz="2" w:space="0"/>
              <w:right w:val="single" w:color="000000" w:sz="2" w:space="0"/>
            </w:tcBorders>
            <w:textDirection w:val="tbRlV"/>
            <w:vAlign w:val="top"/>
          </w:tcPr>
          <w:p w14:paraId="59A53AA0">
            <w:pPr>
              <w:pStyle w:val="40"/>
              <w:rPr>
                <w:sz w:val="22"/>
                <w:szCs w:val="22"/>
              </w:rPr>
            </w:pPr>
          </w:p>
        </w:tc>
        <w:tc>
          <w:tcPr>
            <w:tcW w:w="526" w:type="dxa"/>
            <w:tcBorders>
              <w:left w:val="single" w:color="000000" w:sz="2" w:space="0"/>
            </w:tcBorders>
            <w:vAlign w:val="top"/>
          </w:tcPr>
          <w:p w14:paraId="1C450AB0">
            <w:pPr>
              <w:keepNext w:val="0"/>
              <w:keepLines w:val="0"/>
              <w:pageBreakBefore w:val="0"/>
              <w:widowControl/>
              <w:kinsoku w:val="0"/>
              <w:wordWrap/>
              <w:overflowPunct/>
              <w:topLinePunct w:val="0"/>
              <w:autoSpaceDE w:val="0"/>
              <w:autoSpaceDN w:val="0"/>
              <w:bidi w:val="0"/>
              <w:adjustRightInd w:val="0"/>
              <w:snapToGrid w:val="0"/>
              <w:spacing w:before="207" w:line="360" w:lineRule="auto"/>
              <w:ind w:left="251"/>
              <w:textAlignment w:val="baseline"/>
              <w:rPr>
                <w:rFonts w:hint="eastAsia" w:ascii="宋体" w:hAnsi="宋体" w:eastAsia="宋体" w:cs="宋体"/>
                <w:sz w:val="22"/>
                <w:szCs w:val="22"/>
                <w:lang w:eastAsia="zh-CN"/>
              </w:rPr>
            </w:pPr>
            <w:r>
              <w:rPr>
                <w:rFonts w:hint="eastAsia" w:ascii="宋体" w:hAnsi="宋体" w:eastAsia="宋体" w:cs="宋体"/>
                <w:sz w:val="22"/>
                <w:szCs w:val="22"/>
                <w:lang w:val="en-US" w:eastAsia="zh-CN"/>
              </w:rPr>
              <w:t>8</w:t>
            </w:r>
          </w:p>
        </w:tc>
        <w:tc>
          <w:tcPr>
            <w:tcW w:w="6158" w:type="dxa"/>
            <w:tcBorders>
              <w:right w:val="single" w:color="000000" w:sz="2" w:space="0"/>
            </w:tcBorders>
            <w:vAlign w:val="top"/>
          </w:tcPr>
          <w:p w14:paraId="08F61E71">
            <w:pPr>
              <w:keepNext w:val="0"/>
              <w:keepLines w:val="0"/>
              <w:pageBreakBefore w:val="0"/>
              <w:widowControl/>
              <w:kinsoku w:val="0"/>
              <w:wordWrap/>
              <w:overflowPunct/>
              <w:topLinePunct w:val="0"/>
              <w:autoSpaceDE w:val="0"/>
              <w:autoSpaceDN w:val="0"/>
              <w:bidi w:val="0"/>
              <w:adjustRightInd w:val="0"/>
              <w:snapToGrid w:val="0"/>
              <w:spacing w:before="174" w:line="360" w:lineRule="auto"/>
              <w:textAlignment w:val="baseline"/>
              <w:outlineLvl w:val="0"/>
              <w:rPr>
                <w:rFonts w:ascii="宋体" w:hAnsi="宋体" w:eastAsia="宋体" w:cs="宋体"/>
                <w:sz w:val="22"/>
                <w:szCs w:val="22"/>
              </w:rPr>
            </w:pPr>
            <w:r>
              <w:rPr>
                <w:rFonts w:hint="eastAsia" w:ascii="宋体" w:hAnsi="宋体" w:eastAsia="宋体" w:cs="宋体"/>
                <w:spacing w:val="8"/>
                <w:sz w:val="22"/>
                <w:szCs w:val="22"/>
              </w:rPr>
              <w:t>没有采购人不能接受的附加条件的；</w:t>
            </w:r>
          </w:p>
        </w:tc>
        <w:tc>
          <w:tcPr>
            <w:tcW w:w="683" w:type="dxa"/>
            <w:tcBorders>
              <w:left w:val="single" w:color="000000" w:sz="2" w:space="0"/>
            </w:tcBorders>
            <w:vAlign w:val="top"/>
          </w:tcPr>
          <w:p w14:paraId="0E09D2A5">
            <w:pPr>
              <w:pStyle w:val="40"/>
              <w:rPr>
                <w:sz w:val="22"/>
                <w:szCs w:val="22"/>
              </w:rPr>
            </w:pPr>
          </w:p>
        </w:tc>
        <w:tc>
          <w:tcPr>
            <w:tcW w:w="581" w:type="dxa"/>
            <w:tcBorders>
              <w:right w:val="single" w:color="000000" w:sz="2" w:space="0"/>
            </w:tcBorders>
            <w:vAlign w:val="top"/>
          </w:tcPr>
          <w:p w14:paraId="0198D5AF">
            <w:pPr>
              <w:pStyle w:val="40"/>
              <w:rPr>
                <w:sz w:val="22"/>
                <w:szCs w:val="22"/>
              </w:rPr>
            </w:pPr>
          </w:p>
        </w:tc>
      </w:tr>
      <w:tr w14:paraId="4715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left w:val="single" w:color="000000" w:sz="2" w:space="0"/>
              <w:right w:val="single" w:color="000000" w:sz="2" w:space="0"/>
            </w:tcBorders>
            <w:textDirection w:val="tbRlV"/>
            <w:vAlign w:val="top"/>
          </w:tcPr>
          <w:p w14:paraId="09232DF1">
            <w:pPr>
              <w:pStyle w:val="40"/>
              <w:rPr>
                <w:sz w:val="22"/>
                <w:szCs w:val="22"/>
              </w:rPr>
            </w:pPr>
          </w:p>
        </w:tc>
        <w:tc>
          <w:tcPr>
            <w:tcW w:w="526" w:type="dxa"/>
            <w:tcBorders>
              <w:left w:val="single" w:color="000000" w:sz="2" w:space="0"/>
            </w:tcBorders>
            <w:vAlign w:val="top"/>
          </w:tcPr>
          <w:p w14:paraId="5D04B0DE">
            <w:pPr>
              <w:keepNext w:val="0"/>
              <w:keepLines w:val="0"/>
              <w:pageBreakBefore w:val="0"/>
              <w:widowControl/>
              <w:kinsoku w:val="0"/>
              <w:wordWrap/>
              <w:overflowPunct/>
              <w:topLinePunct w:val="0"/>
              <w:autoSpaceDE w:val="0"/>
              <w:autoSpaceDN w:val="0"/>
              <w:bidi w:val="0"/>
              <w:adjustRightInd w:val="0"/>
              <w:snapToGrid w:val="0"/>
              <w:spacing w:before="206" w:line="360" w:lineRule="auto"/>
              <w:ind w:left="251"/>
              <w:textAlignment w:val="baseline"/>
              <w:rPr>
                <w:rFonts w:hint="eastAsia" w:ascii="宋体" w:hAnsi="宋体" w:eastAsia="宋体" w:cs="宋体"/>
                <w:sz w:val="22"/>
                <w:szCs w:val="22"/>
                <w:lang w:eastAsia="zh-CN"/>
              </w:rPr>
            </w:pPr>
            <w:r>
              <w:rPr>
                <w:rFonts w:hint="eastAsia" w:ascii="宋体" w:hAnsi="宋体" w:eastAsia="宋体" w:cs="宋体"/>
                <w:sz w:val="22"/>
                <w:szCs w:val="22"/>
                <w:lang w:val="en-US" w:eastAsia="zh-CN"/>
              </w:rPr>
              <w:t>9</w:t>
            </w:r>
          </w:p>
        </w:tc>
        <w:tc>
          <w:tcPr>
            <w:tcW w:w="6158" w:type="dxa"/>
            <w:tcBorders>
              <w:right w:val="single" w:color="000000" w:sz="2" w:space="0"/>
            </w:tcBorders>
            <w:vAlign w:val="top"/>
          </w:tcPr>
          <w:p w14:paraId="0ECA0CCA">
            <w:pPr>
              <w:keepNext w:val="0"/>
              <w:keepLines w:val="0"/>
              <w:pageBreakBefore w:val="0"/>
              <w:widowControl/>
              <w:kinsoku w:val="0"/>
              <w:wordWrap/>
              <w:overflowPunct/>
              <w:topLinePunct w:val="0"/>
              <w:autoSpaceDE w:val="0"/>
              <w:autoSpaceDN w:val="0"/>
              <w:bidi w:val="0"/>
              <w:adjustRightInd w:val="0"/>
              <w:snapToGrid w:val="0"/>
              <w:spacing w:before="172" w:line="360" w:lineRule="auto"/>
              <w:textAlignment w:val="baseline"/>
              <w:outlineLvl w:val="0"/>
              <w:rPr>
                <w:rFonts w:ascii="宋体" w:hAnsi="宋体" w:eastAsia="宋体" w:cs="宋体"/>
                <w:sz w:val="22"/>
                <w:szCs w:val="22"/>
              </w:rPr>
            </w:pPr>
            <w:r>
              <w:rPr>
                <w:rFonts w:hint="eastAsia" w:ascii="宋体" w:hAnsi="宋体" w:eastAsia="宋体" w:cs="宋体"/>
                <w:sz w:val="22"/>
                <w:szCs w:val="22"/>
              </w:rPr>
              <w:t>符合法律、法规和磋商文件中规定的其他实质性要求的。</w:t>
            </w:r>
          </w:p>
        </w:tc>
        <w:tc>
          <w:tcPr>
            <w:tcW w:w="683" w:type="dxa"/>
            <w:tcBorders>
              <w:left w:val="single" w:color="000000" w:sz="2" w:space="0"/>
            </w:tcBorders>
            <w:vAlign w:val="top"/>
          </w:tcPr>
          <w:p w14:paraId="785E2E17">
            <w:pPr>
              <w:pStyle w:val="40"/>
              <w:rPr>
                <w:sz w:val="22"/>
                <w:szCs w:val="22"/>
              </w:rPr>
            </w:pPr>
          </w:p>
        </w:tc>
        <w:tc>
          <w:tcPr>
            <w:tcW w:w="581" w:type="dxa"/>
            <w:tcBorders>
              <w:right w:val="single" w:color="000000" w:sz="2" w:space="0"/>
            </w:tcBorders>
            <w:vAlign w:val="top"/>
          </w:tcPr>
          <w:p w14:paraId="70B1E614">
            <w:pPr>
              <w:pStyle w:val="40"/>
              <w:rPr>
                <w:sz w:val="22"/>
                <w:szCs w:val="22"/>
              </w:rPr>
            </w:pPr>
          </w:p>
        </w:tc>
      </w:tr>
      <w:tr w14:paraId="3EEF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left w:val="single" w:color="000000" w:sz="2" w:space="0"/>
              <w:right w:val="single" w:color="000000" w:sz="2" w:space="0"/>
            </w:tcBorders>
            <w:textDirection w:val="tbRlV"/>
            <w:vAlign w:val="top"/>
          </w:tcPr>
          <w:p w14:paraId="674802A4">
            <w:pPr>
              <w:pStyle w:val="40"/>
              <w:rPr>
                <w:sz w:val="22"/>
                <w:szCs w:val="22"/>
              </w:rPr>
            </w:pPr>
          </w:p>
        </w:tc>
        <w:tc>
          <w:tcPr>
            <w:tcW w:w="526" w:type="dxa"/>
            <w:tcBorders>
              <w:left w:val="single" w:color="000000" w:sz="2" w:space="0"/>
            </w:tcBorders>
            <w:vAlign w:val="top"/>
          </w:tcPr>
          <w:p w14:paraId="7891FC32">
            <w:pPr>
              <w:keepNext w:val="0"/>
              <w:keepLines w:val="0"/>
              <w:pageBreakBefore w:val="0"/>
              <w:widowControl/>
              <w:kinsoku w:val="0"/>
              <w:wordWrap/>
              <w:overflowPunct/>
              <w:topLinePunct w:val="0"/>
              <w:autoSpaceDE w:val="0"/>
              <w:autoSpaceDN w:val="0"/>
              <w:bidi w:val="0"/>
              <w:adjustRightInd w:val="0"/>
              <w:snapToGrid w:val="0"/>
              <w:spacing w:before="206" w:line="360" w:lineRule="auto"/>
              <w:ind w:firstLine="220" w:firstLineChars="100"/>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6158" w:type="dxa"/>
            <w:tcBorders>
              <w:right w:val="single" w:color="000000" w:sz="2" w:space="0"/>
            </w:tcBorders>
            <w:vAlign w:val="top"/>
          </w:tcPr>
          <w:p w14:paraId="0A5844CC">
            <w:pPr>
              <w:keepNext w:val="0"/>
              <w:keepLines w:val="0"/>
              <w:pageBreakBefore w:val="0"/>
              <w:widowControl/>
              <w:kinsoku w:val="0"/>
              <w:wordWrap/>
              <w:overflowPunct/>
              <w:topLinePunct w:val="0"/>
              <w:autoSpaceDE w:val="0"/>
              <w:autoSpaceDN w:val="0"/>
              <w:bidi w:val="0"/>
              <w:adjustRightInd w:val="0"/>
              <w:snapToGrid w:val="0"/>
              <w:spacing w:before="172" w:line="360" w:lineRule="auto"/>
              <w:textAlignment w:val="baseline"/>
              <w:outlineLvl w:val="0"/>
              <w:rPr>
                <w:rFonts w:hint="eastAsia" w:ascii="宋体" w:hAnsi="宋体" w:eastAsia="宋体" w:cs="宋体"/>
                <w:spacing w:val="8"/>
                <w:sz w:val="22"/>
                <w:szCs w:val="22"/>
              </w:rPr>
            </w:pPr>
            <w:r>
              <w:rPr>
                <w:rFonts w:hint="eastAsia" w:ascii="宋体" w:hAnsi="宋体" w:eastAsia="宋体" w:cs="宋体"/>
                <w:spacing w:val="8"/>
                <w:sz w:val="22"/>
                <w:szCs w:val="22"/>
              </w:rPr>
              <w:t xml:space="preserve">响应文件未提供虚假材料 </w:t>
            </w:r>
          </w:p>
        </w:tc>
        <w:tc>
          <w:tcPr>
            <w:tcW w:w="683" w:type="dxa"/>
            <w:tcBorders>
              <w:left w:val="single" w:color="000000" w:sz="2" w:space="0"/>
            </w:tcBorders>
            <w:vAlign w:val="top"/>
          </w:tcPr>
          <w:p w14:paraId="1431CC3A">
            <w:pPr>
              <w:pStyle w:val="40"/>
              <w:rPr>
                <w:sz w:val="22"/>
                <w:szCs w:val="22"/>
              </w:rPr>
            </w:pPr>
          </w:p>
        </w:tc>
        <w:tc>
          <w:tcPr>
            <w:tcW w:w="581" w:type="dxa"/>
            <w:tcBorders>
              <w:right w:val="single" w:color="000000" w:sz="2" w:space="0"/>
            </w:tcBorders>
            <w:vAlign w:val="top"/>
          </w:tcPr>
          <w:p w14:paraId="26DAB961">
            <w:pPr>
              <w:pStyle w:val="40"/>
              <w:rPr>
                <w:sz w:val="22"/>
                <w:szCs w:val="22"/>
              </w:rPr>
            </w:pPr>
          </w:p>
        </w:tc>
      </w:tr>
      <w:tr w14:paraId="06D6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2" w:type="dxa"/>
            <w:tcBorders>
              <w:left w:val="single" w:color="000000" w:sz="2" w:space="0"/>
              <w:bottom w:val="single" w:color="000000" w:sz="2" w:space="0"/>
              <w:right w:val="single" w:color="000000" w:sz="2" w:space="0"/>
            </w:tcBorders>
            <w:vAlign w:val="top"/>
          </w:tcPr>
          <w:p w14:paraId="6E38D1E2">
            <w:pPr>
              <w:pStyle w:val="40"/>
              <w:rPr>
                <w:sz w:val="22"/>
                <w:szCs w:val="22"/>
              </w:rPr>
            </w:pPr>
          </w:p>
        </w:tc>
        <w:tc>
          <w:tcPr>
            <w:tcW w:w="6684" w:type="dxa"/>
            <w:gridSpan w:val="2"/>
            <w:tcBorders>
              <w:left w:val="single" w:color="000000" w:sz="2" w:space="0"/>
              <w:bottom w:val="single" w:color="000000" w:sz="2" w:space="0"/>
              <w:right w:val="single" w:color="000000" w:sz="2" w:space="0"/>
            </w:tcBorders>
            <w:vAlign w:val="top"/>
          </w:tcPr>
          <w:p w14:paraId="51F2A019">
            <w:pPr>
              <w:spacing w:before="174" w:line="228" w:lineRule="auto"/>
              <w:ind w:left="116"/>
              <w:outlineLvl w:val="0"/>
              <w:rPr>
                <w:rFonts w:ascii="宋体" w:hAnsi="宋体" w:eastAsia="宋体" w:cs="宋体"/>
                <w:sz w:val="22"/>
                <w:szCs w:val="22"/>
              </w:rPr>
            </w:pPr>
            <w:bookmarkStart w:id="119" w:name="_Toc15892"/>
            <w:r>
              <w:rPr>
                <w:rFonts w:ascii="宋体" w:hAnsi="宋体" w:eastAsia="宋体" w:cs="宋体"/>
                <w:spacing w:val="8"/>
                <w:sz w:val="22"/>
                <w:szCs w:val="22"/>
              </w:rPr>
              <w:t>结论：是否通过评审（须填写通过或不通过）</w:t>
            </w:r>
            <w:bookmarkEnd w:id="119"/>
          </w:p>
          <w:p w14:paraId="7F575B6A">
            <w:pPr>
              <w:spacing w:before="191" w:line="228" w:lineRule="auto"/>
              <w:ind w:left="111"/>
              <w:outlineLvl w:val="0"/>
              <w:rPr>
                <w:rFonts w:ascii="宋体" w:hAnsi="宋体" w:eastAsia="宋体" w:cs="宋体"/>
                <w:sz w:val="22"/>
                <w:szCs w:val="22"/>
              </w:rPr>
            </w:pPr>
            <w:bookmarkStart w:id="120" w:name="_Toc30767"/>
            <w:r>
              <w:rPr>
                <w:rFonts w:ascii="宋体" w:hAnsi="宋体" w:eastAsia="宋体" w:cs="宋体"/>
                <w:spacing w:val="7"/>
                <w:sz w:val="22"/>
                <w:szCs w:val="22"/>
              </w:rPr>
              <w:t>注：如有一项不合格，作废标处理。</w:t>
            </w:r>
            <w:bookmarkEnd w:id="120"/>
          </w:p>
        </w:tc>
        <w:tc>
          <w:tcPr>
            <w:tcW w:w="1264" w:type="dxa"/>
            <w:gridSpan w:val="2"/>
            <w:tcBorders>
              <w:left w:val="single" w:color="000000" w:sz="2" w:space="0"/>
              <w:bottom w:val="single" w:color="000000" w:sz="2" w:space="0"/>
              <w:right w:val="single" w:color="000000" w:sz="2" w:space="0"/>
            </w:tcBorders>
            <w:vAlign w:val="top"/>
          </w:tcPr>
          <w:p w14:paraId="542010A0">
            <w:pPr>
              <w:pStyle w:val="40"/>
              <w:rPr>
                <w:sz w:val="22"/>
                <w:szCs w:val="22"/>
              </w:rPr>
            </w:pPr>
          </w:p>
        </w:tc>
      </w:tr>
    </w:tbl>
    <w:p w14:paraId="04DD632C">
      <w:pPr>
        <w:pStyle w:val="15"/>
        <w:numPr>
          <w:ilvl w:val="0"/>
          <w:numId w:val="0"/>
        </w:numPr>
        <w:spacing w:before="135" w:line="360" w:lineRule="auto"/>
        <w:jc w:val="both"/>
        <w:rPr>
          <w:rFonts w:hint="default" w:ascii="宋体" w:hAnsi="宋体" w:eastAsia="宋体" w:cs="宋体"/>
          <w:sz w:val="36"/>
          <w:szCs w:val="36"/>
          <w:lang w:val="en-US" w:eastAsia="zh-CN"/>
        </w:rPr>
      </w:pPr>
    </w:p>
    <w:p w14:paraId="109B3937">
      <w:pPr>
        <w:pStyle w:val="15"/>
        <w:numPr>
          <w:ilvl w:val="0"/>
          <w:numId w:val="0"/>
        </w:numPr>
        <w:spacing w:before="135" w:line="360" w:lineRule="auto"/>
        <w:jc w:val="both"/>
        <w:rPr>
          <w:rFonts w:hint="default" w:ascii="宋体" w:hAnsi="宋体" w:eastAsia="宋体" w:cs="宋体"/>
          <w:sz w:val="36"/>
          <w:szCs w:val="36"/>
          <w:lang w:val="en-US" w:eastAsia="zh-CN"/>
        </w:rPr>
      </w:pPr>
    </w:p>
    <w:p w14:paraId="49FDDBBF">
      <w:pPr>
        <w:spacing w:before="162"/>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评分办法（综合评分法）及评分标准</w:t>
      </w:r>
    </w:p>
    <w:tbl>
      <w:tblPr>
        <w:tblStyle w:val="39"/>
        <w:tblpPr w:leftFromText="180" w:rightFromText="180" w:vertAnchor="text" w:horzAnchor="page" w:tblpX="641" w:tblpY="270"/>
        <w:tblOverlap w:val="never"/>
        <w:tblW w:w="10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616"/>
        <w:gridCol w:w="1201"/>
        <w:gridCol w:w="683"/>
        <w:gridCol w:w="7239"/>
      </w:tblGrid>
      <w:tr w14:paraId="424E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19" w:type="dxa"/>
            <w:vAlign w:val="center"/>
          </w:tcPr>
          <w:p w14:paraId="4B91BE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bookmarkStart w:id="121" w:name="_Toc6108"/>
            <w:r>
              <w:rPr>
                <w:rFonts w:hint="eastAsia" w:ascii="宋体" w:hAnsi="宋体" w:eastAsia="宋体" w:cs="宋体"/>
                <w:sz w:val="22"/>
                <w:szCs w:val="22"/>
              </w:rPr>
              <w:t>评分项目</w:t>
            </w:r>
          </w:p>
        </w:tc>
        <w:tc>
          <w:tcPr>
            <w:tcW w:w="1817" w:type="dxa"/>
            <w:gridSpan w:val="2"/>
            <w:vAlign w:val="center"/>
          </w:tcPr>
          <w:p w14:paraId="0677B0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评审项目</w:t>
            </w:r>
          </w:p>
        </w:tc>
        <w:tc>
          <w:tcPr>
            <w:tcW w:w="683" w:type="dxa"/>
            <w:vAlign w:val="center"/>
          </w:tcPr>
          <w:p w14:paraId="136974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分值</w:t>
            </w:r>
          </w:p>
        </w:tc>
        <w:tc>
          <w:tcPr>
            <w:tcW w:w="7239" w:type="dxa"/>
            <w:vAlign w:val="center"/>
          </w:tcPr>
          <w:p w14:paraId="4A9D00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评标要点及说明</w:t>
            </w:r>
          </w:p>
        </w:tc>
      </w:tr>
      <w:tr w14:paraId="14B5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9" w:type="dxa"/>
            <w:vAlign w:val="center"/>
          </w:tcPr>
          <w:p w14:paraId="0C3D49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报价部分</w:t>
            </w:r>
          </w:p>
          <w:p w14:paraId="04D310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1817" w:type="dxa"/>
            <w:gridSpan w:val="2"/>
            <w:vAlign w:val="center"/>
          </w:tcPr>
          <w:p w14:paraId="122B14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投标报价</w:t>
            </w:r>
          </w:p>
        </w:tc>
        <w:tc>
          <w:tcPr>
            <w:tcW w:w="683" w:type="dxa"/>
            <w:vAlign w:val="center"/>
          </w:tcPr>
          <w:p w14:paraId="595FD8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0分</w:t>
            </w:r>
          </w:p>
        </w:tc>
        <w:tc>
          <w:tcPr>
            <w:tcW w:w="7239" w:type="dxa"/>
            <w:vAlign w:val="top"/>
          </w:tcPr>
          <w:p w14:paraId="5999F7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r>
              <w:rPr>
                <w:rFonts w:hint="eastAsia" w:ascii="宋体" w:hAnsi="宋体" w:eastAsia="宋体" w:cs="宋体"/>
                <w:sz w:val="22"/>
                <w:szCs w:val="22"/>
              </w:rPr>
              <w:t xml:space="preserve">满足竞争性磋商文件要求且最后报价最低的报价为评审基准价，其价格分为满分。其他供应商的价格分统一按照下列公式计算： </w:t>
            </w:r>
          </w:p>
          <w:p w14:paraId="0B6108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r>
              <w:rPr>
                <w:rFonts w:hint="eastAsia" w:ascii="宋体" w:hAnsi="宋体" w:eastAsia="宋体" w:cs="宋体"/>
                <w:sz w:val="22"/>
                <w:szCs w:val="22"/>
              </w:rPr>
              <w:t xml:space="preserve">报价得分=（评审基准价／最后报价)×价格分值 </w:t>
            </w:r>
          </w:p>
          <w:p w14:paraId="1D4798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r>
              <w:rPr>
                <w:rFonts w:hint="eastAsia" w:ascii="宋体" w:hAnsi="宋体" w:eastAsia="宋体" w:cs="宋体"/>
                <w:sz w:val="22"/>
                <w:szCs w:val="22"/>
              </w:rPr>
              <w:t>备注：符合供应商须知中价格扣除规定的，在评审时予以价格扣除，用扣除后的最后报价参与评审。</w:t>
            </w:r>
          </w:p>
        </w:tc>
      </w:tr>
      <w:tr w14:paraId="5013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119" w:type="dxa"/>
            <w:vMerge w:val="restart"/>
            <w:tcBorders>
              <w:bottom w:val="nil"/>
            </w:tcBorders>
            <w:vAlign w:val="center"/>
          </w:tcPr>
          <w:p w14:paraId="634A24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52095B0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114914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081552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27E100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6705B73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5DF73B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2C6098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0E769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2EEAB7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62288D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301D7103">
            <w:pPr>
              <w:pStyle w:val="23"/>
              <w:rPr>
                <w:rFonts w:hint="eastAsia" w:ascii="宋体" w:hAnsi="宋体" w:eastAsia="宋体" w:cs="宋体"/>
                <w:sz w:val="22"/>
                <w:szCs w:val="22"/>
                <w:lang w:val="en-US" w:eastAsia="zh-CN"/>
              </w:rPr>
            </w:pPr>
          </w:p>
          <w:p w14:paraId="2BB55A42">
            <w:pPr>
              <w:pStyle w:val="23"/>
              <w:rPr>
                <w:rFonts w:hint="eastAsia" w:ascii="宋体" w:hAnsi="宋体" w:eastAsia="宋体" w:cs="宋体"/>
                <w:sz w:val="22"/>
                <w:szCs w:val="22"/>
                <w:lang w:val="en-US" w:eastAsia="zh-CN"/>
              </w:rPr>
            </w:pPr>
          </w:p>
          <w:p w14:paraId="79395037">
            <w:pPr>
              <w:pStyle w:val="23"/>
              <w:rPr>
                <w:rFonts w:hint="eastAsia" w:ascii="宋体" w:hAnsi="宋体" w:eastAsia="宋体" w:cs="宋体"/>
                <w:sz w:val="22"/>
                <w:szCs w:val="22"/>
                <w:lang w:val="en-US" w:eastAsia="zh-CN"/>
              </w:rPr>
            </w:pPr>
          </w:p>
          <w:p w14:paraId="310F56F6">
            <w:pPr>
              <w:pStyle w:val="23"/>
              <w:rPr>
                <w:rFonts w:hint="eastAsia" w:ascii="宋体" w:hAnsi="宋体" w:eastAsia="宋体" w:cs="宋体"/>
                <w:sz w:val="22"/>
                <w:szCs w:val="22"/>
                <w:lang w:val="en-US" w:eastAsia="zh-CN"/>
              </w:rPr>
            </w:pPr>
          </w:p>
          <w:p w14:paraId="772901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40FD4A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178CAA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商务和技术部分</w:t>
            </w:r>
          </w:p>
        </w:tc>
        <w:tc>
          <w:tcPr>
            <w:tcW w:w="616" w:type="dxa"/>
            <w:vMerge w:val="restart"/>
            <w:vAlign w:val="center"/>
          </w:tcPr>
          <w:p w14:paraId="4241AB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商务部分</w:t>
            </w:r>
          </w:p>
        </w:tc>
        <w:tc>
          <w:tcPr>
            <w:tcW w:w="1201" w:type="dxa"/>
            <w:vAlign w:val="center"/>
          </w:tcPr>
          <w:p w14:paraId="0999AF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业绩部分</w:t>
            </w:r>
          </w:p>
        </w:tc>
        <w:tc>
          <w:tcPr>
            <w:tcW w:w="683" w:type="dxa"/>
            <w:vAlign w:val="center"/>
          </w:tcPr>
          <w:p w14:paraId="71D9378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分</w:t>
            </w:r>
          </w:p>
        </w:tc>
        <w:tc>
          <w:tcPr>
            <w:tcW w:w="7239" w:type="dxa"/>
            <w:vAlign w:val="top"/>
          </w:tcPr>
          <w:p w14:paraId="4429E7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企业业绩：供应商自2023年1月1日至今，每提供一个类似工程设计业绩得2分，最多得6分。需提供中标（成交）通知书或合同协议书，时间以签订合同时间之日起。</w:t>
            </w:r>
          </w:p>
          <w:p w14:paraId="5D760D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项目负责人业绩：</w:t>
            </w:r>
            <w:r>
              <w:rPr>
                <w:rFonts w:ascii="宋体" w:hAnsi="宋体" w:eastAsia="宋体" w:cs="宋体"/>
                <w:sz w:val="22"/>
                <w:szCs w:val="22"/>
              </w:rPr>
              <w:t>项目负责人</w:t>
            </w:r>
            <w:r>
              <w:rPr>
                <w:rFonts w:hint="eastAsia" w:ascii="宋体" w:hAnsi="宋体" w:eastAsia="宋体" w:cs="宋体"/>
                <w:sz w:val="22"/>
                <w:szCs w:val="22"/>
                <w:lang w:val="en-US" w:eastAsia="zh-CN"/>
              </w:rPr>
              <w:t>自2023年1月1日至今，每提供一个类似工程设计业绩得2分，最多得4分。需提供中标（成交）通知书或合同协议书，时间以签订合同时间之日起。（</w:t>
            </w:r>
            <w:r>
              <w:rPr>
                <w:rFonts w:ascii="宋体" w:hAnsi="宋体" w:eastAsia="宋体" w:cs="宋体"/>
                <w:sz w:val="22"/>
                <w:szCs w:val="22"/>
              </w:rPr>
              <w:t>业绩证明材料提供不齐全或未提供业绩证明材料或所提供业绩证明材料</w:t>
            </w:r>
            <w:r>
              <w:rPr>
                <w:rFonts w:hint="eastAsia" w:ascii="宋体" w:hAnsi="宋体" w:eastAsia="宋体" w:cs="宋体"/>
                <w:sz w:val="22"/>
                <w:szCs w:val="22"/>
                <w:lang w:val="en-US" w:eastAsia="zh-CN"/>
              </w:rPr>
              <w:t>不能体现项目负责人姓名的</w:t>
            </w:r>
            <w:r>
              <w:rPr>
                <w:rFonts w:ascii="宋体" w:hAnsi="宋体" w:eastAsia="宋体" w:cs="宋体"/>
                <w:sz w:val="22"/>
                <w:szCs w:val="22"/>
              </w:rPr>
              <w:t>，其业绩不予认定</w:t>
            </w:r>
            <w:r>
              <w:rPr>
                <w:rFonts w:hint="eastAsia" w:ascii="宋体" w:hAnsi="宋体" w:eastAsia="宋体" w:cs="宋体"/>
                <w:sz w:val="22"/>
                <w:szCs w:val="22"/>
                <w:lang w:eastAsia="zh-CN"/>
              </w:rPr>
              <w:t>）</w:t>
            </w:r>
          </w:p>
        </w:tc>
      </w:tr>
      <w:tr w14:paraId="5237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1119" w:type="dxa"/>
            <w:vMerge w:val="continue"/>
            <w:vAlign w:val="center"/>
          </w:tcPr>
          <w:p w14:paraId="6111CB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616" w:type="dxa"/>
            <w:vMerge w:val="continue"/>
            <w:vAlign w:val="center"/>
          </w:tcPr>
          <w:p w14:paraId="7D4BCB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tc>
        <w:tc>
          <w:tcPr>
            <w:tcW w:w="1201" w:type="dxa"/>
            <w:vAlign w:val="center"/>
          </w:tcPr>
          <w:p w14:paraId="71AC8F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2"/>
                <w:szCs w:val="22"/>
                <w:lang w:val="en-US" w:eastAsia="zh-CN"/>
              </w:rPr>
            </w:pPr>
            <w:r>
              <w:rPr>
                <w:rFonts w:hint="eastAsia" w:ascii="宋体" w:hAnsi="宋体" w:eastAsia="宋体" w:cs="宋体"/>
                <w:snapToGrid w:val="0"/>
                <w:color w:val="000000"/>
                <w:kern w:val="0"/>
                <w:sz w:val="22"/>
                <w:szCs w:val="22"/>
                <w:lang w:val="en-US" w:eastAsia="zh-CN" w:bidi="ar-SA"/>
              </w:rPr>
              <w:t>设计团队人员</w:t>
            </w:r>
            <w:r>
              <w:rPr>
                <w:rFonts w:hint="eastAsia" w:ascii="宋体" w:hAnsi="宋体" w:eastAsia="宋体" w:cs="宋体"/>
                <w:sz w:val="22"/>
                <w:szCs w:val="22"/>
                <w:lang w:val="en-US" w:eastAsia="zh-CN"/>
              </w:rPr>
              <w:t>组成部分</w:t>
            </w:r>
          </w:p>
        </w:tc>
        <w:tc>
          <w:tcPr>
            <w:tcW w:w="683" w:type="dxa"/>
            <w:vAlign w:val="center"/>
          </w:tcPr>
          <w:p w14:paraId="2AFD59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10分</w:t>
            </w:r>
          </w:p>
        </w:tc>
        <w:tc>
          <w:tcPr>
            <w:tcW w:w="7239" w:type="dxa"/>
            <w:vAlign w:val="top"/>
          </w:tcPr>
          <w:p w14:paraId="04A85E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评标委员会根据供应商提供的拟派设计团队人员组建方案是否合理，配备专业人员情况、注册工程师人员数量及项目业绩等进行综合评审，本项最高得10分。其中：</w:t>
            </w:r>
          </w:p>
          <w:p w14:paraId="091E7AD8">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建筑专业负责人具有一级注册建筑师得1分、具有相关专业高级及以上职称的得1分，本项最多得2分；</w:t>
            </w:r>
          </w:p>
          <w:p w14:paraId="068AE6C1">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结构专业负责人具有一级注册结构工程师得1分、具有相关专业高级及以上职称的得1分，本项最多得2分。</w:t>
            </w:r>
          </w:p>
          <w:p w14:paraId="2568C696">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电气专业负责人具有注册电气工程师（供配电）得1分、具有相关专业高级及以上职称的得1分，本项最多得2分。</w:t>
            </w:r>
          </w:p>
          <w:p w14:paraId="781EBB3C">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暖通专业负责人具有注册公用设备工程师（暖通空调）得1分；具有相关专业高级及以上职称的得1分，本项最高得2分。</w:t>
            </w:r>
          </w:p>
          <w:p w14:paraId="24CFA04E">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造价专业负责人具有一级注册造价师（土木工程或安装工程）执业资格的得1分，具有相关专业高级及以上职称的得1分，本项最多得2分。</w:t>
            </w:r>
          </w:p>
          <w:p w14:paraId="16DA9E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ascii="宋体" w:hAnsi="宋体" w:eastAsia="宋体" w:cs="宋体"/>
                <w:snapToGrid w:val="0"/>
                <w:color w:val="000000"/>
                <w:kern w:val="0"/>
                <w:sz w:val="22"/>
                <w:szCs w:val="22"/>
                <w:lang w:val="en-US" w:eastAsia="zh-CN" w:bidi="ar-SA"/>
              </w:rPr>
            </w:pPr>
            <w:r>
              <w:rPr>
                <w:rFonts w:ascii="宋体" w:hAnsi="宋体" w:eastAsia="宋体" w:cs="宋体"/>
                <w:sz w:val="22"/>
                <w:szCs w:val="22"/>
              </w:rPr>
              <w:t>（需提供</w:t>
            </w:r>
            <w:r>
              <w:rPr>
                <w:rFonts w:hint="eastAsia" w:ascii="宋体" w:hAnsi="宋体" w:eastAsia="宋体" w:cs="宋体"/>
                <w:sz w:val="22"/>
                <w:szCs w:val="22"/>
                <w:lang w:val="en-US" w:eastAsia="zh-CN"/>
              </w:rPr>
              <w:t>人员身份证、学历证、注册资格</w:t>
            </w:r>
            <w:r>
              <w:rPr>
                <w:rFonts w:ascii="宋体" w:hAnsi="宋体" w:eastAsia="宋体" w:cs="宋体"/>
                <w:sz w:val="22"/>
                <w:szCs w:val="22"/>
              </w:rPr>
              <w:t>证书、职称证书，并加盖供应商公章，配备的人员应提供近</w:t>
            </w:r>
            <w:r>
              <w:rPr>
                <w:rFonts w:hint="eastAsia" w:ascii="宋体" w:hAnsi="宋体" w:eastAsia="宋体" w:cs="宋体"/>
                <w:sz w:val="22"/>
                <w:szCs w:val="22"/>
                <w:lang w:val="en-US" w:eastAsia="zh-CN"/>
              </w:rPr>
              <w:t>六个月任意一个月</w:t>
            </w:r>
            <w:r>
              <w:rPr>
                <w:rFonts w:ascii="宋体" w:hAnsi="宋体" w:eastAsia="宋体" w:cs="宋体"/>
                <w:sz w:val="22"/>
                <w:szCs w:val="22"/>
              </w:rPr>
              <w:t>的社保记录证明。</w:t>
            </w:r>
            <w:r>
              <w:rPr>
                <w:rFonts w:hint="eastAsia" w:ascii="宋体" w:hAnsi="宋体" w:eastAsia="宋体" w:cs="宋体"/>
                <w:sz w:val="22"/>
                <w:szCs w:val="22"/>
                <w:lang w:val="en-US" w:eastAsia="zh-CN"/>
              </w:rPr>
              <w:t>退休人员提供退休证明和返聘合同</w:t>
            </w:r>
            <w:r>
              <w:rPr>
                <w:rFonts w:ascii="宋体" w:hAnsi="宋体" w:eastAsia="宋体" w:cs="宋体"/>
                <w:sz w:val="22"/>
                <w:szCs w:val="22"/>
              </w:rPr>
              <w:t>）</w:t>
            </w:r>
          </w:p>
        </w:tc>
      </w:tr>
      <w:tr w14:paraId="095A5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119" w:type="dxa"/>
            <w:vMerge w:val="continue"/>
            <w:tcBorders>
              <w:top w:val="nil"/>
              <w:bottom w:val="nil"/>
            </w:tcBorders>
            <w:vAlign w:val="center"/>
          </w:tcPr>
          <w:p w14:paraId="4FBA35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616" w:type="dxa"/>
            <w:vMerge w:val="restart"/>
            <w:vAlign w:val="center"/>
          </w:tcPr>
          <w:p w14:paraId="0A754C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65B5CB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D3D29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1F6B0D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5E3B4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079BBE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6E80E1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79F0B4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4CB4B7E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338132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5D5C89F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2C85C5F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4F158C9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0A75B6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0259D5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43116F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p w14:paraId="60E3C9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技术部分</w:t>
            </w:r>
          </w:p>
        </w:tc>
        <w:tc>
          <w:tcPr>
            <w:tcW w:w="1201" w:type="dxa"/>
            <w:vAlign w:val="center"/>
          </w:tcPr>
          <w:p w14:paraId="606C482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设计方案</w:t>
            </w:r>
          </w:p>
        </w:tc>
        <w:tc>
          <w:tcPr>
            <w:tcW w:w="683" w:type="dxa"/>
            <w:vAlign w:val="center"/>
          </w:tcPr>
          <w:p w14:paraId="639D3F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36分</w:t>
            </w:r>
          </w:p>
        </w:tc>
        <w:tc>
          <w:tcPr>
            <w:tcW w:w="7239" w:type="dxa"/>
            <w:vAlign w:val="top"/>
          </w:tcPr>
          <w:p w14:paraId="451C2B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供应商针对本项目提供：</w:t>
            </w:r>
          </w:p>
          <w:p w14:paraId="12ABFC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①设计大纲 ②项目重难点分析及对策 ③现场踏勘与数据采集方案 ④投资控制与限额设计措施 ⑤设计进度与质量保障体系⑥各专业协同管理等，每项6分，满分36分。</w:t>
            </w:r>
          </w:p>
          <w:p w14:paraId="6C00F7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方案每缺少一项（共6项）内容扣6分，方案每存在一处缺陷扣3分，每项最多扣6分，扣完为止。 </w:t>
            </w:r>
          </w:p>
          <w:p w14:paraId="4869DF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内容缺陷是指：存在不适用项目实际情况的情形、方案内容过于简略、凭空编造、方案中内容前后不一致、前后矛盾、存在与项目明显无关的文字内容、引用国家规范、标准失效、错误、地点区域错误、内容逻辑漏洞或原理错误、与项目实际情况及技术、服务要求无关。</w:t>
            </w:r>
          </w:p>
        </w:tc>
      </w:tr>
      <w:tr w14:paraId="2C79D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9" w:type="dxa"/>
            <w:vMerge w:val="continue"/>
            <w:tcBorders>
              <w:top w:val="nil"/>
              <w:bottom w:val="nil"/>
            </w:tcBorders>
            <w:vAlign w:val="center"/>
          </w:tcPr>
          <w:p w14:paraId="269E71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616" w:type="dxa"/>
            <w:vMerge w:val="continue"/>
            <w:vAlign w:val="center"/>
          </w:tcPr>
          <w:p w14:paraId="0F1F89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p>
        </w:tc>
        <w:tc>
          <w:tcPr>
            <w:tcW w:w="1201" w:type="dxa"/>
            <w:vAlign w:val="center"/>
          </w:tcPr>
          <w:p w14:paraId="0E72CA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项目进度保障措施</w:t>
            </w:r>
          </w:p>
        </w:tc>
        <w:tc>
          <w:tcPr>
            <w:tcW w:w="683" w:type="dxa"/>
            <w:vAlign w:val="center"/>
          </w:tcPr>
          <w:p w14:paraId="263C756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分</w:t>
            </w:r>
          </w:p>
        </w:tc>
        <w:tc>
          <w:tcPr>
            <w:tcW w:w="7239" w:type="dxa"/>
            <w:vAlign w:val="top"/>
          </w:tcPr>
          <w:p w14:paraId="06FAD1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供应商针对本项目提供：</w:t>
            </w:r>
          </w:p>
          <w:p w14:paraId="7EA4F3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①进度计划的合理性、②资源投入保障、③进度滞后补救措施等，每项 4 分，满分 12 分。</w:t>
            </w:r>
          </w:p>
          <w:p w14:paraId="6C4016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每缺少一项（共3项）内容扣4分，方案每存在一处缺陷扣2分，每项最多扣4分，扣完为止。 </w:t>
            </w:r>
          </w:p>
          <w:p w14:paraId="063287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内容缺陷是指：存在不适用项目实际情况的情形、方案内容过于简略、凭空编造、方案中内容前后不一致、前后矛盾、存在与项目明显无关的文字内容、引用国家规范、标准失效、错误、地点区域错误、内容逻辑漏洞或原理错误、与项目实际情况及技术、服务要求无关。</w:t>
            </w:r>
          </w:p>
        </w:tc>
      </w:tr>
      <w:tr w14:paraId="4A1F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19" w:type="dxa"/>
            <w:vMerge w:val="continue"/>
            <w:tcBorders>
              <w:top w:val="nil"/>
              <w:bottom w:val="nil"/>
            </w:tcBorders>
            <w:vAlign w:val="center"/>
          </w:tcPr>
          <w:p w14:paraId="43FF61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616" w:type="dxa"/>
            <w:vMerge w:val="continue"/>
            <w:vAlign w:val="center"/>
          </w:tcPr>
          <w:p w14:paraId="6FF38C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en-US"/>
              </w:rPr>
            </w:pPr>
          </w:p>
        </w:tc>
        <w:tc>
          <w:tcPr>
            <w:tcW w:w="1201" w:type="dxa"/>
            <w:vAlign w:val="center"/>
          </w:tcPr>
          <w:p w14:paraId="0A1C3A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color w:val="auto"/>
                <w:sz w:val="21"/>
                <w:szCs w:val="21"/>
                <w:lang w:val="en-US" w:eastAsia="zh-CN"/>
              </w:rPr>
              <w:t>项目质量控制方案</w:t>
            </w:r>
          </w:p>
        </w:tc>
        <w:tc>
          <w:tcPr>
            <w:tcW w:w="683" w:type="dxa"/>
            <w:vAlign w:val="center"/>
          </w:tcPr>
          <w:p w14:paraId="75DFBE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分</w:t>
            </w:r>
          </w:p>
        </w:tc>
        <w:tc>
          <w:tcPr>
            <w:tcW w:w="7239" w:type="dxa"/>
            <w:vAlign w:val="top"/>
          </w:tcPr>
          <w:p w14:paraId="490763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供应商针对本项目提供：</w:t>
            </w:r>
          </w:p>
          <w:p w14:paraId="2BA90C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①各专业设计深度控制、②错漏预防机制 ③外部审查配合方案</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 4 \* GB3 \* MERGEFORMAT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④</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成果验收与交付标准等，每项4分，满分16分。</w:t>
            </w:r>
          </w:p>
          <w:p w14:paraId="514F95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每缺少一项（共4项）内容扣4分，方案每存在一处缺陷扣2分，每项最多扣4分，扣完为止。 </w:t>
            </w:r>
          </w:p>
          <w:p w14:paraId="58EF72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内容缺陷是指：存在不适用项目实际情况的情形、方案内容过于简略、凭空编造、方案中内容前后不一致、前后矛盾、存在与项目明显无关的文字内容、引用国家规范、标准失效、错误、地点区域错误、内容逻辑漏洞或原理错误、与项目实际情况及技术、服务要求无关。</w:t>
            </w:r>
          </w:p>
        </w:tc>
      </w:tr>
      <w:tr w14:paraId="368C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1119" w:type="dxa"/>
            <w:vMerge w:val="continue"/>
            <w:tcBorders>
              <w:top w:val="nil"/>
              <w:bottom w:val="nil"/>
            </w:tcBorders>
            <w:vAlign w:val="center"/>
          </w:tcPr>
          <w:p w14:paraId="0A4C789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616" w:type="dxa"/>
            <w:vMerge w:val="continue"/>
            <w:vAlign w:val="center"/>
          </w:tcPr>
          <w:p w14:paraId="5E8DF23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p>
        </w:tc>
        <w:tc>
          <w:tcPr>
            <w:tcW w:w="1201" w:type="dxa"/>
            <w:vAlign w:val="center"/>
          </w:tcPr>
          <w:p w14:paraId="7E7F3B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服务承诺</w:t>
            </w:r>
          </w:p>
        </w:tc>
        <w:tc>
          <w:tcPr>
            <w:tcW w:w="683" w:type="dxa"/>
            <w:vAlign w:val="center"/>
          </w:tcPr>
          <w:p w14:paraId="58D5AF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7239" w:type="dxa"/>
            <w:vAlign w:val="top"/>
          </w:tcPr>
          <w:p w14:paraId="5BDB87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根据供应商提供的服务承诺，包含但不限于</w:t>
            </w:r>
          </w:p>
          <w:p w14:paraId="72714C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①现场服务响应承诺；②设计变更处理承诺等内容进行综合评价。</w:t>
            </w:r>
          </w:p>
          <w:p w14:paraId="344231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每缺少一项（共2项）内容扣3分，方案每存在一处缺陷扣 1.5 分，每项最多扣3分，扣完为止。 </w:t>
            </w:r>
          </w:p>
          <w:p w14:paraId="6BE8AA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内容缺陷是指：存在不适用项目实际情况的情形、方案内容过于简略、凭空编造、方案中内容前后不一致、前后矛盾、存在与项目明显无关的文字内容、引用国家规范、标准失效、错误、地点区域错误、内容逻辑漏洞或原理错误、与项目实际情况及技术、服务要求无关。</w:t>
            </w:r>
          </w:p>
        </w:tc>
      </w:tr>
    </w:tbl>
    <w:p w14:paraId="2BF85411">
      <w:pPr>
        <w:pStyle w:val="15"/>
        <w:numPr>
          <w:ilvl w:val="0"/>
          <w:numId w:val="0"/>
        </w:numPr>
        <w:spacing w:before="135" w:line="360" w:lineRule="auto"/>
        <w:jc w:val="both"/>
        <w:outlineLvl w:val="0"/>
        <w:rPr>
          <w:rFonts w:hint="eastAsia" w:cs="宋体"/>
          <w:sz w:val="36"/>
          <w:szCs w:val="36"/>
          <w:lang w:val="en-US" w:eastAsia="zh-CN"/>
        </w:rPr>
      </w:pPr>
    </w:p>
    <w:p w14:paraId="44DBA88B">
      <w:pPr>
        <w:pStyle w:val="15"/>
        <w:numPr>
          <w:ilvl w:val="0"/>
          <w:numId w:val="0"/>
        </w:numPr>
        <w:spacing w:before="135" w:line="360" w:lineRule="auto"/>
        <w:jc w:val="both"/>
        <w:outlineLvl w:val="0"/>
        <w:rPr>
          <w:rFonts w:hint="eastAsia" w:cs="宋体"/>
          <w:sz w:val="36"/>
          <w:szCs w:val="36"/>
          <w:lang w:val="en-US" w:eastAsia="zh-CN"/>
        </w:rPr>
      </w:pPr>
    </w:p>
    <w:p w14:paraId="589E2669">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44171C4B">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7D9CF3FB">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7B24E452">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0915F3F6">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42AAC828">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321DF7AA">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2F1408DE">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23D1B52B">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p w14:paraId="2C790B62">
      <w:pPr>
        <w:pStyle w:val="15"/>
        <w:numPr>
          <w:ilvl w:val="0"/>
          <w:numId w:val="0"/>
        </w:numPr>
        <w:spacing w:before="135" w:line="360" w:lineRule="auto"/>
        <w:ind w:firstLine="3240" w:firstLineChars="900"/>
        <w:jc w:val="both"/>
        <w:outlineLvl w:val="0"/>
        <w:rPr>
          <w:rFonts w:hint="default" w:ascii="宋体" w:hAnsi="宋体" w:eastAsia="宋体" w:cs="宋体"/>
          <w:sz w:val="36"/>
          <w:szCs w:val="36"/>
          <w:lang w:val="en-US" w:eastAsia="zh-CN"/>
        </w:rPr>
      </w:pPr>
    </w:p>
    <w:bookmarkEnd w:id="121"/>
    <w:p w14:paraId="14C9834F">
      <w:pPr>
        <w:pStyle w:val="15"/>
        <w:numPr>
          <w:ilvl w:val="0"/>
          <w:numId w:val="0"/>
        </w:numPr>
        <w:spacing w:before="101" w:line="224" w:lineRule="auto"/>
        <w:jc w:val="center"/>
        <w:outlineLvl w:val="1"/>
        <w:rPr>
          <w:b w:val="0"/>
          <w:bCs w:val="0"/>
          <w:spacing w:val="5"/>
          <w:sz w:val="31"/>
          <w:szCs w:val="31"/>
        </w:rPr>
      </w:pPr>
      <w:r>
        <w:rPr>
          <w:rFonts w:hint="eastAsia"/>
          <w:b w:val="0"/>
          <w:bCs w:val="0"/>
          <w:spacing w:val="5"/>
          <w:sz w:val="44"/>
          <w:szCs w:val="44"/>
          <w:lang w:val="en-US" w:eastAsia="zh-CN"/>
        </w:rPr>
        <w:t xml:space="preserve"> </w:t>
      </w:r>
      <w:bookmarkStart w:id="122" w:name="_Toc22155"/>
      <w:r>
        <w:rPr>
          <w:rFonts w:hint="eastAsia"/>
          <w:b w:val="0"/>
          <w:bCs w:val="0"/>
          <w:spacing w:val="5"/>
          <w:sz w:val="44"/>
          <w:szCs w:val="44"/>
          <w:lang w:val="en-US" w:eastAsia="zh-CN"/>
        </w:rPr>
        <w:t xml:space="preserve">第七章 </w:t>
      </w:r>
      <w:r>
        <w:rPr>
          <w:b w:val="0"/>
          <w:bCs w:val="0"/>
          <w:spacing w:val="5"/>
          <w:sz w:val="44"/>
          <w:szCs w:val="44"/>
        </w:rPr>
        <w:t>政府采购合同</w:t>
      </w:r>
      <w:bookmarkEnd w:id="122"/>
    </w:p>
    <w:p w14:paraId="758C4D7B">
      <w:pPr>
        <w:pStyle w:val="15"/>
        <w:numPr>
          <w:ilvl w:val="0"/>
          <w:numId w:val="0"/>
        </w:numPr>
        <w:spacing w:before="101" w:line="224" w:lineRule="auto"/>
        <w:jc w:val="center"/>
        <w:outlineLvl w:val="1"/>
        <w:rPr>
          <w:b w:val="0"/>
          <w:bCs w:val="0"/>
          <w:spacing w:val="5"/>
          <w:sz w:val="31"/>
          <w:szCs w:val="31"/>
        </w:rPr>
      </w:pPr>
    </w:p>
    <w:p w14:paraId="421E316E">
      <w:pPr>
        <w:pStyle w:val="15"/>
        <w:numPr>
          <w:ilvl w:val="0"/>
          <w:numId w:val="0"/>
        </w:numPr>
        <w:spacing w:before="101" w:line="224" w:lineRule="auto"/>
        <w:outlineLvl w:val="9"/>
        <w:rPr>
          <w:b/>
          <w:bCs/>
          <w:spacing w:val="5"/>
          <w:sz w:val="31"/>
          <w:szCs w:val="31"/>
        </w:rPr>
      </w:pPr>
    </w:p>
    <w:p w14:paraId="727E966C">
      <w:pPr>
        <w:rPr>
          <w:rFonts w:hint="eastAsia" w:ascii="Times New Roman" w:hAnsi="Times New Roman" w:eastAsia="华文中宋"/>
          <w:b/>
          <w:color w:val="000000"/>
          <w:sz w:val="52"/>
          <w:szCs w:val="52"/>
        </w:rPr>
      </w:pPr>
      <w:r>
        <w:rPr>
          <w:rFonts w:hint="eastAsia" w:ascii="Times New Roman" w:hAnsi="Times New Roman" w:eastAsia="仿宋_GB2312"/>
          <w:bCs/>
          <w:color w:val="000000"/>
          <w:sz w:val="30"/>
          <w:szCs w:val="30"/>
        </w:rPr>
        <w:t>GF—</w:t>
      </w:r>
      <w:r>
        <w:rPr>
          <w:rFonts w:hint="eastAsia" w:ascii="Times New Roman" w:hAnsi="Times New Roman" w:eastAsia="仿宋_GB2312"/>
          <w:bCs/>
          <w:color w:val="000000"/>
          <w:sz w:val="30"/>
          <w:szCs w:val="30"/>
          <w:lang w:val="en-US" w:eastAsia="zh-CN"/>
        </w:rPr>
        <w:t>2015</w:t>
      </w:r>
      <w:r>
        <w:rPr>
          <w:rFonts w:hint="eastAsia" w:ascii="Times New Roman" w:hAnsi="Times New Roman" w:eastAsia="仿宋_GB2312"/>
          <w:bCs/>
          <w:color w:val="000000"/>
          <w:sz w:val="30"/>
          <w:szCs w:val="30"/>
        </w:rPr>
        <w:t>—</w:t>
      </w:r>
      <w:r>
        <w:rPr>
          <w:rFonts w:hint="eastAsia" w:ascii="Times New Roman" w:hAnsi="Times New Roman" w:eastAsia="仿宋_GB2312"/>
          <w:bCs/>
          <w:color w:val="000000"/>
          <w:sz w:val="30"/>
          <w:szCs w:val="30"/>
          <w:lang w:val="en-US" w:eastAsia="zh-CN"/>
        </w:rPr>
        <w:t>0210</w:t>
      </w:r>
    </w:p>
    <w:p w14:paraId="383E0761">
      <w:pPr>
        <w:ind w:firstLine="5721" w:firstLineChars="1905"/>
        <w:rPr>
          <w:rFonts w:hint="eastAsia" w:ascii="Times New Roman" w:hAnsi="Times New Roman" w:eastAsia="华文中宋"/>
          <w:b/>
          <w:color w:val="000000"/>
          <w:sz w:val="30"/>
          <w:szCs w:val="30"/>
        </w:rPr>
      </w:pPr>
      <w:r>
        <w:rPr>
          <w:rFonts w:hint="eastAsia" w:ascii="Times New Roman" w:hAnsi="Times New Roman" w:eastAsia="华文中宋"/>
          <w:b/>
          <w:color w:val="000000"/>
          <w:sz w:val="30"/>
          <w:szCs w:val="30"/>
        </w:rPr>
        <w:t>合同编号：</w:t>
      </w:r>
      <w:r>
        <w:rPr>
          <w:rFonts w:hint="eastAsia" w:ascii="Times New Roman" w:hAnsi="Times New Roman" w:eastAsia="华文中宋"/>
          <w:b/>
          <w:color w:val="000000"/>
          <w:sz w:val="30"/>
          <w:szCs w:val="30"/>
          <w:u w:val="single"/>
        </w:rPr>
        <w:t xml:space="preserve">          </w:t>
      </w:r>
    </w:p>
    <w:p w14:paraId="17B2B863">
      <w:pPr>
        <w:jc w:val="center"/>
        <w:rPr>
          <w:rFonts w:ascii="Times New Roman" w:hAnsi="Times New Roman" w:eastAsia="华文中宋"/>
          <w:b/>
          <w:color w:val="000000"/>
          <w:sz w:val="30"/>
          <w:szCs w:val="30"/>
        </w:rPr>
      </w:pPr>
    </w:p>
    <w:p w14:paraId="3C023D0F">
      <w:pPr>
        <w:jc w:val="center"/>
        <w:rPr>
          <w:rFonts w:ascii="Times New Roman" w:hAnsi="Times New Roman" w:eastAsia="华文中宋"/>
          <w:b/>
          <w:color w:val="000000"/>
          <w:sz w:val="52"/>
          <w:szCs w:val="52"/>
        </w:rPr>
      </w:pPr>
    </w:p>
    <w:p w14:paraId="664D12FB">
      <w:pPr>
        <w:jc w:val="both"/>
        <w:rPr>
          <w:rFonts w:ascii="Times New Roman" w:hAnsi="Times New Roman" w:eastAsia="华文中宋"/>
          <w:b/>
          <w:color w:val="000000"/>
          <w:sz w:val="60"/>
          <w:szCs w:val="48"/>
        </w:rPr>
      </w:pPr>
    </w:p>
    <w:p w14:paraId="7ADD0190">
      <w:pPr>
        <w:jc w:val="center"/>
        <w:rPr>
          <w:rFonts w:hint="eastAsia" w:ascii="Times New Roman" w:hAnsi="Times New Roman" w:eastAsia="华文中宋"/>
          <w:b/>
          <w:color w:val="000000"/>
          <w:sz w:val="60"/>
          <w:szCs w:val="48"/>
        </w:rPr>
      </w:pPr>
      <w:r>
        <w:rPr>
          <w:rFonts w:ascii="Times New Roman" w:hAnsi="Times New Roman" w:eastAsia="华文中宋"/>
          <w:b/>
          <w:color w:val="000000"/>
          <w:sz w:val="60"/>
          <w:szCs w:val="48"/>
        </w:rPr>
        <w:t>建设工程</w:t>
      </w:r>
      <w:r>
        <w:rPr>
          <w:rFonts w:hint="eastAsia" w:ascii="Times New Roman" w:hAnsi="Times New Roman" w:eastAsia="华文中宋"/>
          <w:b/>
          <w:color w:val="000000"/>
          <w:sz w:val="60"/>
          <w:szCs w:val="48"/>
        </w:rPr>
        <w:t>设计</w:t>
      </w:r>
      <w:r>
        <w:rPr>
          <w:rFonts w:ascii="Times New Roman" w:hAnsi="Times New Roman" w:eastAsia="华文中宋"/>
          <w:b/>
          <w:color w:val="000000"/>
          <w:sz w:val="60"/>
          <w:szCs w:val="48"/>
        </w:rPr>
        <w:t>合同</w:t>
      </w:r>
      <w:r>
        <w:rPr>
          <w:rFonts w:hint="eastAsia" w:ascii="Times New Roman" w:hAnsi="Times New Roman" w:eastAsia="华文中宋"/>
          <w:b/>
          <w:color w:val="000000"/>
          <w:sz w:val="60"/>
          <w:szCs w:val="48"/>
        </w:rPr>
        <w:t>示范文本</w:t>
      </w:r>
    </w:p>
    <w:p w14:paraId="647F3663">
      <w:pPr>
        <w:jc w:val="center"/>
        <w:rPr>
          <w:rFonts w:hint="eastAsia" w:ascii="Times New Roman" w:hAnsi="Times New Roman" w:eastAsia="华文中宋"/>
          <w:b/>
          <w:color w:val="000000"/>
          <w:sz w:val="52"/>
          <w:szCs w:val="52"/>
        </w:rPr>
      </w:pPr>
    </w:p>
    <w:p w14:paraId="16A6E07B">
      <w:pPr>
        <w:jc w:val="center"/>
        <w:rPr>
          <w:rFonts w:ascii="Times New Roman" w:hAnsi="Times New Roman" w:eastAsia="华文中宋"/>
          <w:b/>
          <w:color w:val="000000"/>
          <w:sz w:val="52"/>
          <w:szCs w:val="52"/>
        </w:rPr>
      </w:pPr>
    </w:p>
    <w:p w14:paraId="5E2EA783">
      <w:pPr>
        <w:jc w:val="center"/>
        <w:rPr>
          <w:rFonts w:hint="eastAsia" w:ascii="Times New Roman" w:hAnsi="Times New Roman" w:eastAsia="华文中宋"/>
          <w:b/>
          <w:color w:val="000000"/>
          <w:sz w:val="52"/>
          <w:szCs w:val="52"/>
        </w:rPr>
      </w:pPr>
    </w:p>
    <w:p w14:paraId="4FB954BD">
      <w:pPr>
        <w:jc w:val="center"/>
        <w:rPr>
          <w:rFonts w:hint="eastAsia" w:ascii="Times New Roman" w:hAnsi="Times New Roman" w:eastAsia="华文中宋"/>
          <w:b/>
          <w:color w:val="000000"/>
          <w:sz w:val="52"/>
          <w:szCs w:val="52"/>
        </w:rPr>
      </w:pPr>
    </w:p>
    <w:p w14:paraId="1A9FA341">
      <w:pPr>
        <w:jc w:val="center"/>
        <w:rPr>
          <w:rFonts w:ascii="Times New Roman" w:hAnsi="Times New Roman" w:eastAsia="楷体_GB2312"/>
          <w:b/>
          <w:color w:val="000000"/>
          <w:sz w:val="72"/>
          <w:szCs w:val="72"/>
        </w:rPr>
      </w:pPr>
    </w:p>
    <w:p w14:paraId="37B2220C">
      <w:pPr>
        <w:jc w:val="center"/>
        <w:rPr>
          <w:rFonts w:ascii="Times New Roman" w:hAnsi="Times New Roman" w:eastAsia="黑体"/>
          <w:b/>
          <w:color w:val="000000"/>
          <w:sz w:val="52"/>
          <w:szCs w:val="52"/>
        </w:rPr>
      </w:pPr>
    </w:p>
    <w:p w14:paraId="4F6BD104">
      <w:pPr>
        <w:rPr>
          <w:rFonts w:ascii="Times New Roman" w:hAnsi="Times New Roman"/>
          <w:b/>
          <w:color w:val="000000"/>
          <w:sz w:val="28"/>
          <w:szCs w:val="28"/>
        </w:rPr>
      </w:pPr>
    </w:p>
    <w:p w14:paraId="0F002EAB">
      <w:pPr>
        <w:rPr>
          <w:rFonts w:ascii="Times New Roman" w:hAnsi="Times New Roman"/>
          <w:b/>
          <w:color w:val="000000"/>
          <w:sz w:val="28"/>
          <w:szCs w:val="28"/>
        </w:rPr>
      </w:pPr>
    </w:p>
    <w:p w14:paraId="5432FCBA">
      <w:pPr>
        <w:rPr>
          <w:rFonts w:hint="eastAsia" w:ascii="Times New Roman" w:hAnsi="Times New Roman"/>
          <w:b/>
          <w:color w:val="000000"/>
          <w:sz w:val="28"/>
          <w:szCs w:val="28"/>
        </w:rPr>
      </w:pPr>
    </w:p>
    <w:p w14:paraId="20C4778E">
      <w:pPr>
        <w:ind w:left="0" w:leftChars="0" w:right="3360" w:rightChars="1600" w:firstLine="2318" w:firstLineChars="11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3749040</wp:posOffset>
                </wp:positionH>
                <wp:positionV relativeFrom="paragraph">
                  <wp:posOffset>156210</wp:posOffset>
                </wp:positionV>
                <wp:extent cx="723900" cy="457200"/>
                <wp:effectExtent l="4445" t="4445" r="8255" b="8255"/>
                <wp:wrapNone/>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62C09CE">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6950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&#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D60JlmBAIAAAwEAAAOAAAAAAAAAAEAIAAAACgB&#10;AABkcnMvZTJvRG9jLnhtbFBLBQYAAAAABgAGAFkBAACeBQAAAAA=&#10;">
                <v:fill on="f" focussize="0,0"/>
                <v:stroke color="#FFFFFF" joinstyle="miter"/>
                <v:imagedata o:title=""/>
                <o:lock v:ext="edit" aspectratio="f"/>
                <v:textbox>
                  <w:txbxContent>
                    <w:p w14:paraId="362C09CE">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14:paraId="7D0A399B">
      <w:pPr>
        <w:tabs>
          <w:tab w:val="left" w:pos="5250"/>
        </w:tabs>
        <w:ind w:left="0" w:leftChars="0" w:right="2425" w:rightChars="1155" w:firstLine="2321" w:firstLineChars="725"/>
        <w:jc w:val="both"/>
        <w:rPr>
          <w:rFonts w:ascii="Times New Roman" w:hAnsi="Times New Roman"/>
          <w:b/>
          <w:color w:val="000000"/>
          <w:sz w:val="32"/>
          <w:szCs w:val="28"/>
        </w:rPr>
      </w:pPr>
      <w:r>
        <w:rPr>
          <w:rFonts w:ascii="Times New Roman" w:hAnsi="Times New Roman"/>
          <w:b/>
          <w:color w:val="000000"/>
          <w:sz w:val="32"/>
          <w:szCs w:val="28"/>
        </w:rPr>
        <w:t>国家工商行政管理总局</w:t>
      </w:r>
    </w:p>
    <w:p w14:paraId="4C55455D">
      <w:pPr>
        <w:pStyle w:val="15"/>
        <w:tabs>
          <w:tab w:val="left" w:pos="2086"/>
        </w:tabs>
        <w:spacing w:before="74" w:line="442" w:lineRule="auto"/>
        <w:ind w:right="77" w:firstLine="920" w:firstLineChars="400"/>
        <w:jc w:val="both"/>
        <w:rPr>
          <w:rFonts w:hint="default"/>
          <w:sz w:val="23"/>
          <w:szCs w:val="23"/>
          <w:u w:val="none" w:color="auto"/>
          <w:lang w:val="en-US" w:eastAsia="zh-CN"/>
        </w:rPr>
      </w:pPr>
    </w:p>
    <w:p w14:paraId="7D03E8BD">
      <w:pPr>
        <w:pStyle w:val="15"/>
        <w:tabs>
          <w:tab w:val="left" w:pos="2086"/>
        </w:tabs>
        <w:spacing w:before="74" w:line="442" w:lineRule="auto"/>
        <w:ind w:right="77" w:firstLine="920" w:firstLineChars="400"/>
        <w:jc w:val="both"/>
        <w:rPr>
          <w:rFonts w:hint="default"/>
          <w:sz w:val="23"/>
          <w:szCs w:val="23"/>
          <w:u w:val="none" w:color="auto"/>
          <w:lang w:val="en-US" w:eastAsia="zh-CN"/>
        </w:rPr>
      </w:pPr>
    </w:p>
    <w:p w14:paraId="59FD3EB7">
      <w:pPr>
        <w:pStyle w:val="15"/>
        <w:tabs>
          <w:tab w:val="left" w:pos="2086"/>
        </w:tabs>
        <w:spacing w:before="74" w:line="442" w:lineRule="auto"/>
        <w:ind w:right="77" w:firstLine="920" w:firstLineChars="400"/>
        <w:jc w:val="both"/>
        <w:rPr>
          <w:rFonts w:hint="default"/>
          <w:sz w:val="23"/>
          <w:szCs w:val="23"/>
          <w:u w:val="none" w:color="auto"/>
          <w:lang w:val="en-US" w:eastAsia="zh-CN"/>
        </w:rPr>
      </w:pPr>
    </w:p>
    <w:p w14:paraId="0E76BD4E">
      <w:pPr>
        <w:pStyle w:val="54"/>
        <w:spacing w:before="0" w:beforeLines="0" w:after="0" w:afterLines="0"/>
        <w:jc w:val="center"/>
        <w:rPr>
          <w:rFonts w:hint="eastAsia" w:ascii="Times New Roman" w:hAnsi="Times New Roman" w:eastAsia="华文中宋"/>
          <w:highlight w:val="none"/>
          <w:lang w:val="zh-CN"/>
        </w:rPr>
      </w:pPr>
      <w:r>
        <w:rPr>
          <w:rFonts w:hint="eastAsia" w:ascii="Times New Roman" w:hAnsi="Times New Roman" w:eastAsia="华文中宋"/>
          <w:highlight w:val="none"/>
          <w:lang w:val="zh-CN"/>
        </w:rPr>
        <w:t>说  明</w:t>
      </w:r>
    </w:p>
    <w:p w14:paraId="1DFEB870">
      <w:pPr>
        <w:rPr>
          <w:rFonts w:hint="eastAsia"/>
          <w:highlight w:val="none"/>
          <w:lang w:val="zh-CN"/>
        </w:rPr>
      </w:pPr>
    </w:p>
    <w:p w14:paraId="5B9059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eastAsia="仿宋_GB2312"/>
          <w:sz w:val="28"/>
          <w:szCs w:val="28"/>
          <w:highlight w:val="none"/>
        </w:rPr>
      </w:pPr>
      <w:r>
        <w:rPr>
          <w:rFonts w:hint="eastAsia" w:ascii="仿宋_GB2312" w:eastAsia="仿宋_GB2312"/>
          <w:sz w:val="28"/>
          <w:szCs w:val="28"/>
          <w:highlight w:val="none"/>
        </w:rPr>
        <w:t>为了指导建设工程设计合同当事人的签约行为，维护合同当事人的合法权益，依据《中华人民共和国</w:t>
      </w:r>
      <w:r>
        <w:rPr>
          <w:rFonts w:hint="eastAsia" w:ascii="仿宋_GB2312" w:eastAsia="仿宋_GB2312"/>
          <w:sz w:val="28"/>
          <w:szCs w:val="28"/>
          <w:highlight w:val="none"/>
          <w:lang w:val="en-US" w:eastAsia="zh-CN"/>
        </w:rPr>
        <w:t>民法典</w:t>
      </w:r>
      <w:r>
        <w:rPr>
          <w:rFonts w:hint="eastAsia" w:ascii="仿宋_GB2312" w:eastAsia="仿宋_GB2312"/>
          <w:sz w:val="28"/>
          <w:szCs w:val="28"/>
          <w:highlight w:val="none"/>
        </w:rPr>
        <w:t>》、《中华人民共和国建筑法》、《中华人民共和国招标投标法》以及相关法律法规，住房城乡建设部、工商总局对《建设工程设计合同（一）（民用建设工程设计合同）》（GF-2000-0209）进行了修订，制定了《建设工程设计合同示范文本（房屋建筑工程）》（GF-</w:t>
      </w:r>
      <w:r>
        <w:rPr>
          <w:rFonts w:hint="eastAsia" w:ascii="仿宋_GB2312" w:eastAsia="仿宋_GB2312"/>
          <w:sz w:val="28"/>
          <w:szCs w:val="28"/>
          <w:highlight w:val="none"/>
          <w:lang w:val="en-US" w:eastAsia="zh-CN"/>
        </w:rPr>
        <w:t>2015</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0209</w:t>
      </w:r>
      <w:r>
        <w:rPr>
          <w:rFonts w:hint="eastAsia" w:ascii="仿宋_GB2312" w:eastAsia="仿宋_GB2312"/>
          <w:sz w:val="28"/>
          <w:szCs w:val="28"/>
          <w:highlight w:val="none"/>
        </w:rPr>
        <w:t>）（以下简称《示范文本》）。为了便于合同当事人使用《示范文本》，现就有关问题说明如下：</w:t>
      </w:r>
    </w:p>
    <w:p w14:paraId="004AE17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bCs/>
          <w:sz w:val="28"/>
          <w:szCs w:val="28"/>
          <w:highlight w:val="none"/>
        </w:rPr>
      </w:pPr>
      <w:r>
        <w:rPr>
          <w:rFonts w:hint="eastAsia" w:ascii="黑体" w:hAnsi="黑体" w:eastAsia="黑体"/>
          <w:bCs/>
          <w:sz w:val="28"/>
          <w:szCs w:val="28"/>
          <w:highlight w:val="none"/>
        </w:rPr>
        <w:t>一、《示范文本》的组成</w:t>
      </w:r>
    </w:p>
    <w:p w14:paraId="47AE2D8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《示范文本》由合同协议书、通用合同条款和专用合同条款三部分组成。</w:t>
      </w:r>
    </w:p>
    <w:p w14:paraId="69C7F3A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（一）合同协议书</w:t>
      </w:r>
    </w:p>
    <w:p w14:paraId="411C63E2">
      <w:pPr>
        <w:keepNext w:val="0"/>
        <w:keepLines w:val="0"/>
        <w:pageBreakBefore w:val="0"/>
        <w:widowControl/>
        <w:kinsoku w:val="0"/>
        <w:wordWrap/>
        <w:overflowPunct/>
        <w:topLinePunct w:val="0"/>
        <w:autoSpaceDE w:val="0"/>
        <w:autoSpaceDN w:val="0"/>
        <w:bidi w:val="0"/>
        <w:adjustRightInd w:val="0"/>
        <w:snapToGrid w:val="0"/>
        <w:spacing w:line="360" w:lineRule="auto"/>
        <w:ind w:left="147" w:leftChars="70" w:firstLine="420" w:firstLineChars="150"/>
        <w:textAlignment w:val="baseline"/>
        <w:rPr>
          <w:rFonts w:hint="eastAsia" w:ascii="仿宋_GB2312" w:eastAsia="仿宋_GB2312"/>
          <w:sz w:val="28"/>
          <w:szCs w:val="28"/>
          <w:highlight w:val="none"/>
        </w:rPr>
      </w:pPr>
      <w:r>
        <w:rPr>
          <w:rFonts w:hint="eastAsia" w:ascii="仿宋_GB2312" w:eastAsia="仿宋_GB2312"/>
          <w:sz w:val="28"/>
          <w:szCs w:val="28"/>
          <w:highlight w:val="none"/>
        </w:rPr>
        <w:t>《示范文本》合同协议书集中约定了合同当事人基本的合同权利义务。</w:t>
      </w:r>
    </w:p>
    <w:p w14:paraId="2CB5CA2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（二）通用合同条款</w:t>
      </w:r>
    </w:p>
    <w:p w14:paraId="529CCA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通用合同条款是合同当事人根据《中华人民共和国建筑法》、《中华人民共和国合同法》等法律法规的规定，就工程设计的实施及相关事项，对合同当事人的权利义务作出的原则性约定。</w:t>
      </w:r>
    </w:p>
    <w:p w14:paraId="41A8C18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通用合同条款既考虑了现行法律法规对工程建设的有关要求，也考虑了工程设计管理的特殊需要。</w:t>
      </w:r>
    </w:p>
    <w:p w14:paraId="1EC486E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（三）专用合同条款</w:t>
      </w:r>
    </w:p>
    <w:p w14:paraId="2D6BFDB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w:t>
      </w:r>
      <w:r>
        <w:rPr>
          <w:rFonts w:hint="eastAsia" w:ascii="仿宋_GB2312" w:eastAsia="仿宋_GB2312"/>
          <w:sz w:val="28"/>
          <w:szCs w:val="28"/>
          <w:highlight w:val="none"/>
          <w:lang w:eastAsia="zh-CN"/>
        </w:rPr>
        <w:t>应</w:t>
      </w:r>
      <w:r>
        <w:rPr>
          <w:rFonts w:hint="eastAsia" w:ascii="仿宋_GB2312" w:eastAsia="仿宋_GB2312"/>
          <w:sz w:val="28"/>
          <w:szCs w:val="28"/>
          <w:highlight w:val="none"/>
        </w:rPr>
        <w:t>注意以下事项：</w:t>
      </w:r>
    </w:p>
    <w:p w14:paraId="265D5722">
      <w:pPr>
        <w:keepNext w:val="0"/>
        <w:keepLines w:val="0"/>
        <w:pageBreakBefore w:val="0"/>
        <w:widowControl/>
        <w:kinsoku w:val="0"/>
        <w:wordWrap/>
        <w:overflowPunct/>
        <w:topLinePunct w:val="0"/>
        <w:autoSpaceDE w:val="0"/>
        <w:autoSpaceDN w:val="0"/>
        <w:bidi w:val="0"/>
        <w:adjustRightInd w:val="0"/>
        <w:snapToGrid w:val="0"/>
        <w:spacing w:line="360" w:lineRule="auto"/>
        <w:ind w:right="25" w:rightChars="12"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专用合同条款的编号应与相应的通用合同条款的编号一致；</w:t>
      </w:r>
    </w:p>
    <w:p w14:paraId="467BCA0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合同当事人可以通过对专用合同条款的修改，满足具体房屋建筑工程的特殊要求，避免直接修改通用合同条款；</w:t>
      </w:r>
    </w:p>
    <w:p w14:paraId="0287056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在专用合同条款中有横道线的地方，合同当事人可针对相应的通用合同条款进行细化、完善、补充、修改或另行约定；如无细化、完善、补充、修改或另行约定，则填写“无”或划“/”。</w:t>
      </w:r>
    </w:p>
    <w:p w14:paraId="42BCDC6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b/>
          <w:sz w:val="28"/>
          <w:szCs w:val="28"/>
          <w:highlight w:val="none"/>
        </w:rPr>
      </w:pPr>
      <w:r>
        <w:rPr>
          <w:rFonts w:hint="eastAsia" w:ascii="黑体" w:hAnsi="黑体" w:eastAsia="黑体"/>
          <w:bCs/>
          <w:sz w:val="28"/>
          <w:szCs w:val="28"/>
          <w:highlight w:val="none"/>
        </w:rPr>
        <w:t>二、《示范文本》的性质和适用范围</w:t>
      </w:r>
    </w:p>
    <w:p w14:paraId="2EE4261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《示范文本》供合同双方当事人参照使用</w:t>
      </w:r>
      <w:r>
        <w:rPr>
          <w:rFonts w:hint="eastAsia" w:ascii="仿宋_GB2312" w:eastAsia="仿宋_GB2312"/>
          <w:sz w:val="28"/>
          <w:szCs w:val="28"/>
          <w:highlight w:val="none"/>
          <w:lang w:eastAsia="zh-CN"/>
        </w:rPr>
        <w:t>，可适用于方案设计招标投标、队伍比选等形式下的合同订立</w:t>
      </w:r>
      <w:r>
        <w:rPr>
          <w:rFonts w:hint="eastAsia" w:ascii="仿宋_GB2312" w:eastAsia="仿宋_GB2312"/>
          <w:sz w:val="28"/>
          <w:szCs w:val="28"/>
          <w:highlight w:val="none"/>
        </w:rPr>
        <w:t>。</w:t>
      </w:r>
    </w:p>
    <w:p w14:paraId="71C7D6E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r>
        <w:rPr>
          <w:rFonts w:hint="eastAsia" w:ascii="仿宋_GB2312" w:eastAsia="仿宋_GB2312"/>
          <w:sz w:val="28"/>
          <w:szCs w:val="28"/>
          <w:highlight w:val="none"/>
        </w:rPr>
        <w:t>《示范文本》适用于建设用地规划许可证范围内的建筑物构筑物设计、室外工程设计、民用建筑修建的地下工程设计及住宅小区、工厂厂前区、工厂生活区</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小区规划</w:t>
      </w:r>
      <w:r>
        <w:rPr>
          <w:rFonts w:hint="eastAsia" w:ascii="仿宋_GB2312" w:eastAsia="仿宋_GB2312"/>
          <w:sz w:val="28"/>
          <w:szCs w:val="28"/>
          <w:highlight w:val="none"/>
          <w:lang w:eastAsia="zh-CN"/>
        </w:rPr>
        <w:t>设计及</w:t>
      </w:r>
      <w:r>
        <w:rPr>
          <w:rFonts w:hint="eastAsia" w:ascii="仿宋_GB2312" w:eastAsia="仿宋_GB2312"/>
          <w:sz w:val="28"/>
          <w:szCs w:val="28"/>
          <w:highlight w:val="none"/>
        </w:rPr>
        <w:t>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4BD4857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47A73C2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221A656F">
      <w:pPr>
        <w:pStyle w:val="2"/>
        <w:rPr>
          <w:rFonts w:hint="eastAsia"/>
        </w:rPr>
      </w:pPr>
    </w:p>
    <w:p w14:paraId="27BE389F">
      <w:pPr>
        <w:pStyle w:val="6"/>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华文中宋"/>
          <w:b w:val="0"/>
          <w:color w:val="000000"/>
          <w:sz w:val="36"/>
          <w:szCs w:val="36"/>
          <w:highlight w:val="none"/>
        </w:rPr>
      </w:pPr>
      <w:bookmarkStart w:id="123" w:name="_Toc351203480"/>
      <w:r>
        <w:rPr>
          <w:rFonts w:ascii="华文中宋" w:hAnsi="华文中宋" w:eastAsia="华文中宋"/>
          <w:sz w:val="36"/>
          <w:szCs w:val="36"/>
          <w:highlight w:val="none"/>
        </w:rPr>
        <w:t>第一部分 合同协议书</w:t>
      </w:r>
      <w:bookmarkEnd w:id="123"/>
    </w:p>
    <w:p w14:paraId="17E2A4E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b/>
          <w:color w:val="000000"/>
          <w:sz w:val="24"/>
          <w:szCs w:val="24"/>
          <w:highlight w:val="none"/>
          <w:u w:val="single"/>
        </w:rPr>
        <w:t>                       </w:t>
      </w:r>
    </w:p>
    <w:p w14:paraId="03C0453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设计人（全称）：</w:t>
      </w:r>
      <w:r>
        <w:rPr>
          <w:rFonts w:hint="eastAsia" w:ascii="宋体" w:hAnsi="宋体" w:eastAsia="宋体" w:cs="宋体"/>
          <w:b/>
          <w:color w:val="000000"/>
          <w:sz w:val="24"/>
          <w:szCs w:val="24"/>
          <w:highlight w:val="none"/>
          <w:u w:val="single"/>
        </w:rPr>
        <w:t>                      </w:t>
      </w:r>
    </w:p>
    <w:p w14:paraId="1ADA685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w:t>
      </w:r>
      <w:r>
        <w:rPr>
          <w:rFonts w:hint="eastAsia" w:ascii="宋体" w:hAnsi="宋体" w:eastAsia="宋体" w:cs="宋体"/>
          <w:color w:val="000000"/>
          <w:sz w:val="24"/>
          <w:szCs w:val="24"/>
          <w:highlight w:val="none"/>
          <w:lang w:val="en-US" w:eastAsia="zh-CN"/>
        </w:rPr>
        <w:t>民法典</w:t>
      </w:r>
      <w:r>
        <w:rPr>
          <w:rFonts w:hint="eastAsia" w:ascii="宋体" w:hAnsi="宋体" w:eastAsia="宋体" w:cs="宋体"/>
          <w:color w:val="000000"/>
          <w:sz w:val="24"/>
          <w:szCs w:val="24"/>
          <w:highlight w:val="none"/>
        </w:rPr>
        <w:t>》、《中华人民共和国建筑法》及有关法律规定，遵循平等、自愿、公平和诚实信用的原则，双方就</w:t>
      </w:r>
    </w:p>
    <w:p w14:paraId="269656D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工程设计及有关事项协商一致，共同达成如下协议：</w:t>
      </w:r>
    </w:p>
    <w:p w14:paraId="566CDAA5">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ind w:left="0" w:leftChars="0" w:firstLine="0" w:firstLineChars="0"/>
        <w:jc w:val="both"/>
        <w:textAlignment w:val="baseline"/>
        <w:rPr>
          <w:rFonts w:hint="eastAsia" w:ascii="宋体" w:hAnsi="宋体" w:eastAsia="宋体" w:cs="宋体"/>
          <w:bCs w:val="0"/>
          <w:color w:val="000000"/>
          <w:sz w:val="24"/>
          <w:szCs w:val="24"/>
          <w:highlight w:val="none"/>
        </w:rPr>
      </w:pPr>
      <w:bookmarkStart w:id="124" w:name="_Toc351203481"/>
      <w:r>
        <w:rPr>
          <w:rFonts w:hint="eastAsia" w:ascii="宋体" w:hAnsi="宋体" w:eastAsia="宋体" w:cs="宋体"/>
          <w:b w:val="0"/>
          <w:color w:val="000000"/>
          <w:sz w:val="24"/>
          <w:szCs w:val="24"/>
          <w:highlight w:val="none"/>
        </w:rPr>
        <w:t>一、工程概况</w:t>
      </w:r>
      <w:bookmarkEnd w:id="124"/>
    </w:p>
    <w:p w14:paraId="79966BD3">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1.工程名称：</w:t>
      </w:r>
      <w:r>
        <w:rPr>
          <w:rFonts w:hint="eastAsia" w:ascii="宋体" w:hAnsi="宋体" w:eastAsia="宋体" w:cs="宋体"/>
          <w:bCs/>
          <w:color w:val="000000"/>
          <w:sz w:val="24"/>
          <w:szCs w:val="24"/>
          <w:highlight w:val="none"/>
          <w:u w:val="single"/>
        </w:rPr>
        <w:t xml:space="preserve">           </w:t>
      </w:r>
      <w:r>
        <w:rPr>
          <w:rFonts w:hint="eastAsia" w:ascii="宋体" w:hAnsi="宋体" w:eastAsia="宋体" w:cs="宋体"/>
          <w:bCs/>
          <w:color w:val="000000"/>
          <w:sz w:val="24"/>
          <w:szCs w:val="24"/>
          <w:highlight w:val="none"/>
          <w:u w:val="none"/>
        </w:rPr>
        <w:t>。</w:t>
      </w:r>
    </w:p>
    <w:p w14:paraId="008AAF04">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2.工程批准、核准或备案文号：</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none"/>
        </w:rPr>
        <w:t>。</w:t>
      </w:r>
    </w:p>
    <w:p w14:paraId="3A9A508E">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3.工程内容及规模：</w:t>
      </w:r>
      <w:r>
        <w:rPr>
          <w:rFonts w:hint="eastAsia" w:ascii="宋体" w:hAnsi="宋体" w:eastAsia="宋体" w:cs="宋体"/>
          <w:bCs/>
          <w:color w:val="000000"/>
          <w:sz w:val="24"/>
          <w:szCs w:val="24"/>
          <w:highlight w:val="none"/>
          <w:u w:val="single"/>
        </w:rPr>
        <w:t>      </w:t>
      </w:r>
      <w:r>
        <w:rPr>
          <w:rFonts w:hint="eastAsia" w:ascii="宋体" w:hAnsi="宋体" w:eastAsia="宋体" w:cs="宋体"/>
          <w:bCs/>
          <w:color w:val="000000"/>
          <w:sz w:val="24"/>
          <w:szCs w:val="24"/>
          <w:highlight w:val="none"/>
          <w:u w:val="none"/>
        </w:rPr>
        <w:t>。</w:t>
      </w:r>
    </w:p>
    <w:p w14:paraId="6B0EF924">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4.工程所在地详细地址：</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none"/>
        </w:rPr>
        <w:t>。</w:t>
      </w:r>
    </w:p>
    <w:p w14:paraId="742C2D6B">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5.工程投资估算：</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none"/>
        </w:rPr>
        <w:t>。</w:t>
      </w:r>
    </w:p>
    <w:p w14:paraId="6E0725EA">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6.工程进度安排：</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none"/>
        </w:rPr>
        <w:t xml:space="preserve"> 。</w:t>
      </w:r>
    </w:p>
    <w:p w14:paraId="4567B5C7">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7.工程主要技术标准：</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none"/>
        </w:rPr>
        <w:t xml:space="preserve"> 。</w:t>
      </w:r>
    </w:p>
    <w:p w14:paraId="3C596607">
      <w:pPr>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二、工程设计范围、阶段与服务内容</w:t>
      </w:r>
    </w:p>
    <w:p w14:paraId="3224472E">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1.工程设计范围：</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14:paraId="339C9148">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2.工程设计阶段：</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5469ADAB">
      <w:pPr>
        <w:keepNext w:val="0"/>
        <w:keepLines w:val="0"/>
        <w:pageBreakBefore w:val="0"/>
        <w:widowControl/>
        <w:kinsoku w:val="0"/>
        <w:wordWrap/>
        <w:overflowPunct/>
        <w:topLinePunct w:val="0"/>
        <w:autoSpaceDE w:val="0"/>
        <w:autoSpaceDN w:val="0"/>
        <w:bidi w:val="0"/>
        <w:adjustRightInd w:val="0"/>
        <w:snapToGrid w:val="0"/>
        <w:spacing w:line="460" w:lineRule="exact"/>
        <w:ind w:firstLine="470" w:firstLineChars="196"/>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3.工程设计服务内容：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CACEB5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工程设计范围、阶段与服务内容详见</w:t>
      </w:r>
      <w:r>
        <w:rPr>
          <w:rFonts w:hint="eastAsia" w:ascii="宋体" w:hAnsi="宋体" w:eastAsia="宋体" w:cs="宋体"/>
          <w:color w:val="000000"/>
          <w:sz w:val="24"/>
          <w:szCs w:val="24"/>
          <w:highlight w:val="none"/>
          <w:lang w:eastAsia="zh-CN"/>
        </w:rPr>
        <w:t>专用合同条款</w:t>
      </w:r>
      <w:r>
        <w:rPr>
          <w:rFonts w:hint="eastAsia" w:ascii="宋体" w:hAnsi="宋体" w:eastAsia="宋体" w:cs="宋体"/>
          <w:color w:val="000000"/>
          <w:sz w:val="24"/>
          <w:szCs w:val="24"/>
          <w:highlight w:val="none"/>
        </w:rPr>
        <w:t>附件1。</w:t>
      </w:r>
    </w:p>
    <w:p w14:paraId="12D70023">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 w:val="0"/>
          <w:color w:val="000000"/>
          <w:sz w:val="24"/>
          <w:szCs w:val="24"/>
          <w:highlight w:val="none"/>
        </w:rPr>
      </w:pPr>
      <w:bookmarkStart w:id="125" w:name="_Toc351203482"/>
      <w:r>
        <w:rPr>
          <w:rFonts w:hint="eastAsia" w:ascii="宋体" w:hAnsi="宋体" w:eastAsia="宋体" w:cs="宋体"/>
          <w:b w:val="0"/>
          <w:color w:val="000000"/>
          <w:sz w:val="24"/>
          <w:szCs w:val="24"/>
          <w:highlight w:val="none"/>
        </w:rPr>
        <w:t>三、</w:t>
      </w:r>
      <w:bookmarkEnd w:id="125"/>
      <w:r>
        <w:rPr>
          <w:rFonts w:hint="eastAsia" w:ascii="宋体" w:hAnsi="宋体" w:eastAsia="宋体" w:cs="宋体"/>
          <w:b w:val="0"/>
          <w:color w:val="000000"/>
          <w:sz w:val="24"/>
          <w:szCs w:val="24"/>
          <w:highlight w:val="none"/>
        </w:rPr>
        <w:t>工程设计周期</w:t>
      </w:r>
    </w:p>
    <w:p w14:paraId="1B527467">
      <w:pPr>
        <w:keepNext w:val="0"/>
        <w:keepLines w:val="0"/>
        <w:pageBreakBefore w:val="0"/>
        <w:widowControl/>
        <w:kinsoku w:val="0"/>
        <w:wordWrap/>
        <w:overflowPunct/>
        <w:topLinePunct w:val="0"/>
        <w:autoSpaceDE w:val="0"/>
        <w:autoSpaceDN w:val="0"/>
        <w:bidi w:val="0"/>
        <w:adjustRightInd w:val="0"/>
        <w:snapToGrid w:val="0"/>
        <w:spacing w:line="460" w:lineRule="exact"/>
        <w:ind w:firstLine="459"/>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计划开始设计日期：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14:paraId="60353B91">
      <w:pPr>
        <w:keepNext w:val="0"/>
        <w:keepLines w:val="0"/>
        <w:pageBreakBefore w:val="0"/>
        <w:widowControl/>
        <w:kinsoku w:val="0"/>
        <w:wordWrap/>
        <w:overflowPunct/>
        <w:topLinePunct w:val="0"/>
        <w:autoSpaceDE w:val="0"/>
        <w:autoSpaceDN w:val="0"/>
        <w:bidi w:val="0"/>
        <w:adjustRightInd w:val="0"/>
        <w:snapToGrid w:val="0"/>
        <w:spacing w:line="460" w:lineRule="exact"/>
        <w:ind w:firstLine="459"/>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计划完成设计日期：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14:paraId="543ABDFB">
      <w:pPr>
        <w:keepNext w:val="0"/>
        <w:keepLines w:val="0"/>
        <w:pageBreakBefore w:val="0"/>
        <w:widowControl/>
        <w:kinsoku w:val="0"/>
        <w:wordWrap/>
        <w:overflowPunct/>
        <w:topLinePunct w:val="0"/>
        <w:autoSpaceDE w:val="0"/>
        <w:autoSpaceDN w:val="0"/>
        <w:bidi w:val="0"/>
        <w:adjustRightInd w:val="0"/>
        <w:snapToGrid w:val="0"/>
        <w:spacing w:line="460" w:lineRule="exact"/>
        <w:ind w:firstLine="459"/>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具体工程设计周期以专用合同条款及其附件的约定为准。</w:t>
      </w:r>
    </w:p>
    <w:p w14:paraId="41DF8B0F">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bookmarkStart w:id="126" w:name="_Toc351203484"/>
      <w:r>
        <w:rPr>
          <w:rFonts w:hint="eastAsia" w:ascii="宋体" w:hAnsi="宋体" w:eastAsia="宋体" w:cs="宋体"/>
          <w:b w:val="0"/>
          <w:color w:val="000000"/>
          <w:sz w:val="24"/>
          <w:szCs w:val="24"/>
          <w:highlight w:val="none"/>
        </w:rPr>
        <w:t>四、合同价格形式与签约合同价</w:t>
      </w:r>
      <w:bookmarkEnd w:id="126"/>
      <w:r>
        <w:rPr>
          <w:rFonts w:hint="eastAsia" w:ascii="宋体" w:hAnsi="宋体" w:eastAsia="宋体" w:cs="宋体"/>
          <w:b w:val="0"/>
          <w:color w:val="000000"/>
          <w:sz w:val="24"/>
          <w:szCs w:val="24"/>
          <w:highlight w:val="none"/>
        </w:rPr>
        <w:tab/>
      </w:r>
    </w:p>
    <w:p w14:paraId="1E84979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1.合同价格形式：</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14:paraId="2982BDA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2.签约合同价为：</w:t>
      </w:r>
    </w:p>
    <w:p w14:paraId="7F2B7AFD">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5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14:paraId="5AFCEDA0">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 w:val="0"/>
          <w:color w:val="000000"/>
          <w:sz w:val="24"/>
          <w:szCs w:val="24"/>
          <w:highlight w:val="none"/>
        </w:rPr>
      </w:pPr>
      <w:bookmarkStart w:id="127" w:name="_Toc351203485"/>
      <w:r>
        <w:rPr>
          <w:rFonts w:hint="eastAsia" w:ascii="宋体" w:hAnsi="宋体" w:eastAsia="宋体" w:cs="宋体"/>
          <w:b w:val="0"/>
          <w:color w:val="000000"/>
          <w:sz w:val="24"/>
          <w:szCs w:val="24"/>
          <w:highlight w:val="none"/>
        </w:rPr>
        <w:t>五、</w:t>
      </w:r>
      <w:bookmarkEnd w:id="127"/>
      <w:r>
        <w:rPr>
          <w:rFonts w:hint="eastAsia" w:ascii="宋体" w:hAnsi="宋体" w:eastAsia="宋体" w:cs="宋体"/>
          <w:b w:val="0"/>
          <w:color w:val="000000"/>
          <w:sz w:val="24"/>
          <w:szCs w:val="24"/>
          <w:highlight w:val="none"/>
        </w:rPr>
        <w:t>发包人代表与设计人项目负责人</w:t>
      </w:r>
    </w:p>
    <w:p w14:paraId="2E384AB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25EC20F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设计人项目负责人：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14:paraId="2D603722">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128" w:name="_Toc351203486"/>
      <w:r>
        <w:rPr>
          <w:rFonts w:hint="eastAsia" w:ascii="宋体" w:hAnsi="宋体" w:eastAsia="宋体" w:cs="宋体"/>
          <w:b w:val="0"/>
          <w:color w:val="000000"/>
          <w:sz w:val="24"/>
          <w:szCs w:val="24"/>
          <w:highlight w:val="none"/>
        </w:rPr>
        <w:t>六、合同文件构成</w:t>
      </w:r>
      <w:bookmarkEnd w:id="128"/>
    </w:p>
    <w:p w14:paraId="520399E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14:paraId="39E2C2F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（1）专用合同条款及其附件； </w:t>
      </w:r>
    </w:p>
    <w:p w14:paraId="277E7A3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（2）通用合同条款； </w:t>
      </w:r>
    </w:p>
    <w:p w14:paraId="5E044A9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（3）中标通知书（如果有）；</w:t>
      </w:r>
    </w:p>
    <w:p w14:paraId="1AEE92F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（4）投标函及其附录（如果有）；</w:t>
      </w:r>
    </w:p>
    <w:p w14:paraId="2F3AA1A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（5）发包人要求；</w:t>
      </w:r>
    </w:p>
    <w:p w14:paraId="27D5CFF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（6）技术标准；</w:t>
      </w:r>
    </w:p>
    <w:p w14:paraId="3CED0CC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（7）发包人提供的上一阶段图纸（如果有）；</w:t>
      </w:r>
    </w:p>
    <w:p w14:paraId="31829EE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14:paraId="6D71EC0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在合同履行过程中形成的与合同有关的文件均构成合同文件组成部分。</w:t>
      </w:r>
    </w:p>
    <w:p w14:paraId="625377C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14:paraId="2929BB69">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129" w:name="_Toc351203487"/>
      <w:r>
        <w:rPr>
          <w:rFonts w:hint="eastAsia" w:ascii="宋体" w:hAnsi="宋体" w:eastAsia="宋体" w:cs="宋体"/>
          <w:b w:val="0"/>
          <w:color w:val="000000"/>
          <w:sz w:val="24"/>
          <w:szCs w:val="24"/>
          <w:highlight w:val="none"/>
        </w:rPr>
        <w:t>七、承诺</w:t>
      </w:r>
      <w:bookmarkEnd w:id="129"/>
    </w:p>
    <w:p w14:paraId="2F5FF95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1.发包人承诺按照法律规定履行项目审批手续，按照合同约定提供设计依据，并按合同约定的期限和方式支付合同价款。</w:t>
      </w:r>
    </w:p>
    <w:p w14:paraId="38BA14C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2.设计人承诺按照法律和技术标准规定及合同约定提供工程设计服务。</w:t>
      </w:r>
      <w:bookmarkStart w:id="130" w:name="_Toc351203488"/>
    </w:p>
    <w:p w14:paraId="4752CF5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八、词语含义</w:t>
      </w:r>
      <w:bookmarkEnd w:id="130"/>
    </w:p>
    <w:p w14:paraId="4E9F7EF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14:paraId="0D19B72C">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bookmarkStart w:id="131" w:name="_Toc351203490"/>
      <w:r>
        <w:rPr>
          <w:rFonts w:hint="eastAsia" w:ascii="宋体" w:hAnsi="宋体" w:eastAsia="宋体" w:cs="宋体"/>
          <w:b w:val="0"/>
          <w:color w:val="000000"/>
          <w:sz w:val="24"/>
          <w:szCs w:val="24"/>
          <w:highlight w:val="none"/>
        </w:rPr>
        <w:t>九、签订地点</w:t>
      </w:r>
      <w:bookmarkEnd w:id="131"/>
    </w:p>
    <w:p w14:paraId="5D4C616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签订。</w:t>
      </w:r>
    </w:p>
    <w:p w14:paraId="4DA8D2A3">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bookmarkStart w:id="132" w:name="_Toc351203491"/>
      <w:r>
        <w:rPr>
          <w:rFonts w:hint="eastAsia" w:ascii="宋体" w:hAnsi="宋体" w:eastAsia="宋体" w:cs="宋体"/>
          <w:b w:val="0"/>
          <w:color w:val="000000"/>
          <w:sz w:val="24"/>
          <w:szCs w:val="24"/>
          <w:highlight w:val="none"/>
        </w:rPr>
        <w:t>十、补充协议</w:t>
      </w:r>
      <w:bookmarkEnd w:id="132"/>
    </w:p>
    <w:p w14:paraId="5A81E99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14:paraId="7354A81D">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bookmarkStart w:id="133" w:name="_Toc351203492"/>
      <w:r>
        <w:rPr>
          <w:rFonts w:hint="eastAsia" w:ascii="宋体" w:hAnsi="宋体" w:eastAsia="宋体" w:cs="宋体"/>
          <w:b w:val="0"/>
          <w:color w:val="000000"/>
          <w:sz w:val="24"/>
          <w:szCs w:val="24"/>
          <w:highlight w:val="none"/>
        </w:rPr>
        <w:t>十一、合同生效</w:t>
      </w:r>
      <w:bookmarkEnd w:id="133"/>
    </w:p>
    <w:p w14:paraId="37C4B98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生效。</w:t>
      </w:r>
    </w:p>
    <w:p w14:paraId="1CABACCA">
      <w:pPr>
        <w:pStyle w:val="7"/>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60" w:lineRule="exact"/>
        <w:jc w:val="both"/>
        <w:textAlignment w:val="baseline"/>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134" w:name="_Toc351203493"/>
      <w:r>
        <w:rPr>
          <w:rFonts w:hint="eastAsia" w:ascii="宋体" w:hAnsi="宋体" w:eastAsia="宋体" w:cs="宋体"/>
          <w:b w:val="0"/>
          <w:color w:val="000000"/>
          <w:sz w:val="24"/>
          <w:szCs w:val="24"/>
          <w:highlight w:val="none"/>
        </w:rPr>
        <w:t>十二、合同份数</w:t>
      </w:r>
      <w:bookmarkEnd w:id="134"/>
    </w:p>
    <w:p w14:paraId="4B8DDC2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本合同正本一式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份，均具有同等法律效力，发包人执正本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份，设计人执正本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w:t>
      </w:r>
    </w:p>
    <w:p w14:paraId="58F84AB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p>
    <w:p w14:paraId="4A24F1A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发包人：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设计人：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lang w:eastAsia="zh-CN"/>
        </w:rPr>
        <w:t>）</w:t>
      </w:r>
    </w:p>
    <w:p w14:paraId="0E961E2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法定代表人或其委托代理人：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法定代表人或其委托代理人：</w:t>
      </w:r>
    </w:p>
    <w:p w14:paraId="35B90F6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（签字）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（签字）</w:t>
      </w:r>
    </w:p>
    <w:p w14:paraId="69EC628B">
      <w:pPr>
        <w:keepNext w:val="0"/>
        <w:keepLines w:val="0"/>
        <w:pageBreakBefore w:val="0"/>
        <w:widowControl/>
        <w:tabs>
          <w:tab w:val="left" w:pos="4410"/>
        </w:tabs>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p>
    <w:p w14:paraId="6B1B269B">
      <w:pPr>
        <w:keepNext w:val="0"/>
        <w:keepLines w:val="0"/>
        <w:pageBreakBefore w:val="0"/>
        <w:widowControl/>
        <w:tabs>
          <w:tab w:val="left" w:pos="4410"/>
        </w:tabs>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纳税人识别码：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纳税人识别码：</w:t>
      </w:r>
      <w:r>
        <w:rPr>
          <w:rFonts w:hint="eastAsia" w:ascii="宋体" w:hAnsi="宋体" w:eastAsia="宋体" w:cs="宋体"/>
          <w:color w:val="000000"/>
          <w:sz w:val="24"/>
          <w:szCs w:val="24"/>
          <w:highlight w:val="none"/>
          <w:u w:val="single"/>
        </w:rPr>
        <w:t xml:space="preserve">              </w:t>
      </w:r>
    </w:p>
    <w:p w14:paraId="4D56096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       </w:t>
      </w:r>
    </w:p>
    <w:p w14:paraId="07A1128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14:paraId="331E20B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u w:val="single"/>
        </w:rPr>
        <w:t xml:space="preserve">             </w:t>
      </w:r>
    </w:p>
    <w:p w14:paraId="68CB404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xml:space="preserve">             </w:t>
      </w:r>
    </w:p>
    <w:p w14:paraId="19CFF3B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话：</w:t>
      </w:r>
      <w:r>
        <w:rPr>
          <w:rFonts w:hint="eastAsia" w:ascii="宋体" w:hAnsi="宋体" w:eastAsia="宋体" w:cs="宋体"/>
          <w:color w:val="000000"/>
          <w:sz w:val="24"/>
          <w:szCs w:val="24"/>
          <w:highlight w:val="none"/>
          <w:u w:val="single"/>
        </w:rPr>
        <w:t xml:space="preserve">     </w:t>
      </w:r>
    </w:p>
    <w:p w14:paraId="7B3E657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  真：</w:t>
      </w:r>
      <w:r>
        <w:rPr>
          <w:rFonts w:hint="eastAsia" w:ascii="宋体" w:hAnsi="宋体" w:eastAsia="宋体" w:cs="宋体"/>
          <w:color w:val="000000"/>
          <w:sz w:val="24"/>
          <w:szCs w:val="24"/>
          <w:highlight w:val="none"/>
          <w:u w:val="single"/>
        </w:rPr>
        <w:t xml:space="preserve">     </w:t>
      </w:r>
    </w:p>
    <w:p w14:paraId="75E3651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电子信箱：</w:t>
      </w:r>
      <w:r>
        <w:rPr>
          <w:rFonts w:hint="eastAsia" w:ascii="宋体" w:hAnsi="宋体" w:eastAsia="宋体" w:cs="宋体"/>
          <w:color w:val="000000"/>
          <w:sz w:val="24"/>
          <w:szCs w:val="24"/>
          <w:highlight w:val="none"/>
          <w:u w:val="single"/>
        </w:rPr>
        <w:t xml:space="preserve">   </w:t>
      </w:r>
    </w:p>
    <w:p w14:paraId="5A95885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 xml:space="preserve">   </w:t>
      </w:r>
    </w:p>
    <w:p w14:paraId="6001210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账  号：</w:t>
      </w:r>
      <w:r>
        <w:rPr>
          <w:rFonts w:hint="eastAsia" w:ascii="宋体" w:hAnsi="宋体" w:eastAsia="宋体" w:cs="宋体"/>
          <w:color w:val="000000"/>
          <w:sz w:val="24"/>
          <w:szCs w:val="24"/>
          <w:highlight w:val="none"/>
          <w:u w:val="single"/>
        </w:rPr>
        <w:t xml:space="preserve">     </w:t>
      </w:r>
    </w:p>
    <w:p w14:paraId="22BF78E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  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     时  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3B30DA6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693AEF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3C9550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6E27F536">
      <w:pPr>
        <w:pStyle w:val="2"/>
        <w:rPr>
          <w:rFonts w:hint="eastAsia" w:ascii="仿宋_GB2312" w:eastAsia="仿宋_GB2312"/>
          <w:sz w:val="28"/>
          <w:szCs w:val="28"/>
          <w:highlight w:val="none"/>
        </w:rPr>
      </w:pPr>
    </w:p>
    <w:p w14:paraId="17DFBDA4">
      <w:pPr>
        <w:pStyle w:val="2"/>
        <w:rPr>
          <w:rFonts w:hint="eastAsia" w:ascii="仿宋_GB2312" w:eastAsia="仿宋_GB2312"/>
          <w:sz w:val="28"/>
          <w:szCs w:val="28"/>
          <w:highlight w:val="none"/>
        </w:rPr>
      </w:pPr>
    </w:p>
    <w:p w14:paraId="75EAF591">
      <w:pPr>
        <w:pStyle w:val="6"/>
        <w:jc w:val="center"/>
        <w:rPr>
          <w:rFonts w:hint="eastAsia" w:ascii="华文中宋" w:hAnsi="华文中宋" w:eastAsia="华文中宋"/>
          <w:b w:val="0"/>
          <w:bCs/>
          <w:sz w:val="40"/>
          <w:szCs w:val="40"/>
          <w:highlight w:val="none"/>
          <w:u w:val="none"/>
        </w:rPr>
      </w:pPr>
      <w:bookmarkStart w:id="135" w:name="_Toc351203494"/>
      <w:r>
        <w:rPr>
          <w:rFonts w:ascii="华文中宋" w:hAnsi="华文中宋" w:eastAsia="华文中宋"/>
          <w:b w:val="0"/>
          <w:bCs/>
          <w:sz w:val="40"/>
          <w:szCs w:val="40"/>
          <w:highlight w:val="none"/>
          <w:u w:val="none"/>
        </w:rPr>
        <w:t>第二部分 通用合同条款</w:t>
      </w:r>
      <w:bookmarkEnd w:id="135"/>
      <w:bookmarkStart w:id="136" w:name="_Toc337558727"/>
    </w:p>
    <w:p w14:paraId="2B50DD2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bCs/>
          <w:color w:val="000000"/>
          <w:sz w:val="24"/>
          <w:szCs w:val="24"/>
          <w:highlight w:val="none"/>
        </w:rPr>
      </w:pPr>
      <w:bookmarkStart w:id="137" w:name="_Toc351203495"/>
    </w:p>
    <w:p w14:paraId="545B37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bookmarkStart w:id="138" w:name="_Toc303538974"/>
      <w:bookmarkEnd w:id="138"/>
      <w:bookmarkStart w:id="139" w:name="_Toc303538973"/>
      <w:bookmarkEnd w:id="139"/>
      <w:bookmarkStart w:id="140" w:name="_Toc303538976"/>
      <w:bookmarkEnd w:id="140"/>
      <w:bookmarkStart w:id="141" w:name="_Toc303538975"/>
      <w:bookmarkEnd w:id="141"/>
      <w:bookmarkStart w:id="142" w:name="_Toc303538972"/>
      <w:bookmarkEnd w:id="142"/>
      <w:bookmarkStart w:id="143" w:name="_Toc296346528"/>
      <w:bookmarkStart w:id="144" w:name="_Toc296503027"/>
      <w:r>
        <w:rPr>
          <w:rFonts w:hint="eastAsia" w:ascii="宋体" w:hAnsi="宋体" w:eastAsia="宋体" w:cs="宋体"/>
          <w:bCs/>
          <w:color w:val="000000"/>
          <w:sz w:val="24"/>
          <w:szCs w:val="24"/>
          <w:highlight w:val="none"/>
        </w:rPr>
        <w:t xml:space="preserve"> 一般约定</w:t>
      </w:r>
      <w:bookmarkEnd w:id="136"/>
      <w:bookmarkEnd w:id="137"/>
      <w:bookmarkEnd w:id="143"/>
      <w:bookmarkEnd w:id="144"/>
    </w:p>
    <w:p w14:paraId="10906C9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45" w:name="_Toc296503028"/>
      <w:bookmarkStart w:id="146" w:name="_Toc296346529"/>
      <w:bookmarkStart w:id="147" w:name="_Toc337558728"/>
      <w:bookmarkStart w:id="148" w:name="_Toc351203496"/>
      <w:r>
        <w:rPr>
          <w:rFonts w:hint="eastAsia" w:ascii="宋体" w:hAnsi="宋体" w:eastAsia="宋体" w:cs="宋体"/>
          <w:bCs/>
          <w:color w:val="000000"/>
          <w:sz w:val="24"/>
          <w:szCs w:val="24"/>
          <w:highlight w:val="none"/>
        </w:rPr>
        <w:t>1.1 词语定义</w:t>
      </w:r>
      <w:bookmarkEnd w:id="145"/>
      <w:bookmarkEnd w:id="146"/>
      <w:bookmarkEnd w:id="147"/>
      <w:r>
        <w:rPr>
          <w:rFonts w:hint="eastAsia" w:ascii="宋体" w:hAnsi="宋体" w:eastAsia="宋体" w:cs="宋体"/>
          <w:bCs/>
          <w:color w:val="000000"/>
          <w:sz w:val="24"/>
          <w:szCs w:val="24"/>
          <w:highlight w:val="none"/>
        </w:rPr>
        <w:t>与解释</w:t>
      </w:r>
      <w:bookmarkEnd w:id="148"/>
    </w:p>
    <w:p w14:paraId="06E9CE4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合同协议书、通用合同条款、专用合同条款中的下列词语具有本款所赋予的含义：</w:t>
      </w:r>
    </w:p>
    <w:p w14:paraId="36759E4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 合同</w:t>
      </w:r>
    </w:p>
    <w:p w14:paraId="0BA8A10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14:paraId="38E2407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1.1.1.2 合同协议书：是指构成合同的由发包人和设计人共同签署的称为“合同协议书”的书面文件。</w:t>
      </w:r>
    </w:p>
    <w:p w14:paraId="1AB4CFB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1.1.1.3 中标通知书：是指构成合同的由发包人通知设计人中标的书面文件。</w:t>
      </w:r>
    </w:p>
    <w:p w14:paraId="06AA114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1.1.1.4 投标函：是指构成合同的由设计人填写并签署的用于投标的称为“投标函”的文件。</w:t>
      </w:r>
    </w:p>
    <w:p w14:paraId="4E65557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1.1.1.5 投标函附录：是指构成合同的附在投标函后的称为“投标函附录”的文件。</w:t>
      </w:r>
    </w:p>
    <w:p w14:paraId="3B625FD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1.1.1.6 发包人要求：</w:t>
      </w:r>
      <w:r>
        <w:rPr>
          <w:rFonts w:hint="eastAsia" w:ascii="宋体" w:hAnsi="宋体" w:eastAsia="宋体" w:cs="宋体"/>
          <w:bCs/>
          <w:color w:val="000000"/>
          <w:sz w:val="24"/>
          <w:szCs w:val="24"/>
          <w:highlight w:val="none"/>
          <w:lang w:eastAsia="zh-CN"/>
        </w:rPr>
        <w:t>是</w:t>
      </w:r>
      <w:r>
        <w:rPr>
          <w:rFonts w:hint="eastAsia" w:ascii="宋体" w:hAnsi="宋体" w:eastAsia="宋体" w:cs="宋体"/>
          <w:bCs/>
          <w:color w:val="000000"/>
          <w:sz w:val="24"/>
          <w:szCs w:val="24"/>
          <w:highlight w:val="none"/>
        </w:rPr>
        <w:t>指构成合同文件组成部分的，由发包人就工程项目的目的、范围、功能要求及工程设计文件审查的范围和内容等提出相应要求的书面文件，又称设计任务书。</w:t>
      </w:r>
    </w:p>
    <w:p w14:paraId="0B82D38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1.1.1.7 技术标准：是指构成合同的设计应当遵守的或指导设计的国家、行业或地方的技术标准和要求，以及合同约定的技术标准和要求。</w:t>
      </w:r>
    </w:p>
    <w:p w14:paraId="78B1C95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1.1.1.8 其他合同文件：是指经合同当事人约定的与工程设计有关的具有合同约束力的文件或书面协议。合同当事人可以在专用合同条款中进行约定。</w:t>
      </w:r>
    </w:p>
    <w:p w14:paraId="00C1DCD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 合同当事人及其他相关方</w:t>
      </w:r>
    </w:p>
    <w:p w14:paraId="34318F1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1.1.2.1 合同当事人：是指发包人和（或）设计人。</w:t>
      </w:r>
    </w:p>
    <w:p w14:paraId="0116FA9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1.1.2.2 发包人：是指与设计人签订合同协议书的当事人及取得该当事人资格的合法继承人。</w:t>
      </w:r>
    </w:p>
    <w:p w14:paraId="5C932DE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1.1.2.3 设计人：是指与发包人签订合同协议书的，具有相应工程设计资质的当事人及取得该当事人资格的合法继承人。</w:t>
      </w:r>
    </w:p>
    <w:p w14:paraId="12E9A73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1.1.2.4 分包人：</w:t>
      </w:r>
      <w:bookmarkStart w:id="149" w:name="#go5"/>
      <w:bookmarkEnd w:id="149"/>
      <w:r>
        <w:rPr>
          <w:rFonts w:hint="eastAsia" w:ascii="宋体" w:hAnsi="宋体" w:eastAsia="宋体" w:cs="宋体"/>
          <w:bCs/>
          <w:color w:val="000000"/>
          <w:sz w:val="24"/>
          <w:szCs w:val="24"/>
          <w:highlight w:val="none"/>
        </w:rPr>
        <w:t>是指按照法律规定和合同约定，分包部分工程设计工作，并与设计人签订分包合同的具有相应资质的法人。</w:t>
      </w:r>
    </w:p>
    <w:p w14:paraId="3E9E26A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1.1.2.5 发包人代表：是指由发包人指定负责工程设计方面在发包人授权范围内行使发包人权利的人。</w:t>
      </w:r>
    </w:p>
    <w:p w14:paraId="1F8512A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1.1.2.6 项目负责人：是指由设计人任命负责工程设计，在设计人授权范围内负责合同履行，且按照法律规定具有相应资格的项目主持人。</w:t>
      </w:r>
    </w:p>
    <w:p w14:paraId="70E3069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1.1.2.7 联合体：是指两个以上设计人联合，以一个设计人身份为发包人提供工程设计服务的临时性组织。</w:t>
      </w:r>
    </w:p>
    <w:p w14:paraId="5E66BFA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 工程设计服务、资料与文件</w:t>
      </w:r>
    </w:p>
    <w:p w14:paraId="7CD4E06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1.1.3.1 工程设计服务</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是指设计人按照合同约定履行的服务，包括工程设计基本服务、工程设计其他服务。</w:t>
      </w:r>
    </w:p>
    <w:p w14:paraId="297C520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06D00DE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7196616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1.1.3.4 暂停设计：是指发生设计人不能按照合同约定履行全部或部分义务情形而暂时中断工程设计服务的行为。</w:t>
      </w:r>
    </w:p>
    <w:p w14:paraId="5EC1FDE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1.1.3.5 工程设计资料：是指根据合同约定，发包人向设计人提供的用于完成工程设计范围与内容所需要的资料。</w:t>
      </w:r>
    </w:p>
    <w:p w14:paraId="359CA5A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1.1.3.6 工程设计文件：指按照合同约定和技术要求，由设计人向发包人提供的阶段性成果、最终工作成果等，且应当采用合同中双方约定的载体。</w:t>
      </w:r>
    </w:p>
    <w:p w14:paraId="4F21A31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 日期和期限</w:t>
      </w:r>
    </w:p>
    <w:p w14:paraId="633DEAF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7F82D58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0CA6768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1.1.4.3 设计周期又称设计工期：是指在合同协议书约定的设计人完成工程设计及相关服务所需的期限，包括按照合同约定所作的期限变更。</w:t>
      </w:r>
    </w:p>
    <w:p w14:paraId="45F3857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1.1.4.4 基准日期：招标发包的工程设计以投标截止日前28天的日期为基准日期，直接发包的工程设计以合同签订日前28天的日期为基准日期。</w:t>
      </w:r>
    </w:p>
    <w:p w14:paraId="3838526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1.1.4.5 天：除特别指明外，均指日历天。合同中按天计算时间的，开始当天不计入，从次日开始计算，期限最后一天的截止时间为当天24:00时。</w:t>
      </w:r>
    </w:p>
    <w:p w14:paraId="730DFE9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1.1.5 合同价格</w:t>
      </w:r>
    </w:p>
    <w:p w14:paraId="1E41279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1.1.5.1 签约合同价：是指发包人和设计人在合同协议书中确定的总金额。</w:t>
      </w:r>
    </w:p>
    <w:p w14:paraId="2F30C68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1.1.5.2 合同价格又称设计费：是指发包人用于支付设计人按照合同约定完成工程设计范围内全部工作的金额，包括合同履行过程中按合同约定发生的价格变化。</w:t>
      </w:r>
    </w:p>
    <w:p w14:paraId="1538755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1.1.6 其他</w:t>
      </w:r>
    </w:p>
    <w:p w14:paraId="77A580E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1.1.6.1 书面形式：是指合同书、信件和数据电文（包括电报、电传、传真、电子数据交换和电子邮件）等可以有形地表现所载内容的形式。</w:t>
      </w:r>
    </w:p>
    <w:p w14:paraId="3E167CE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50" w:name="_Toc337558729"/>
      <w:bookmarkStart w:id="151" w:name="_Toc296503029"/>
      <w:bookmarkStart w:id="152" w:name="_Toc351203497"/>
      <w:bookmarkStart w:id="153" w:name="_Toc296346530"/>
      <w:r>
        <w:rPr>
          <w:rFonts w:hint="eastAsia" w:ascii="宋体" w:hAnsi="宋体" w:eastAsia="宋体" w:cs="宋体"/>
          <w:bCs/>
          <w:color w:val="000000"/>
          <w:sz w:val="24"/>
          <w:szCs w:val="24"/>
          <w:highlight w:val="none"/>
        </w:rPr>
        <w:t>1.2</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语言文字</w:t>
      </w:r>
      <w:bookmarkEnd w:id="150"/>
      <w:bookmarkEnd w:id="151"/>
      <w:bookmarkEnd w:id="152"/>
      <w:bookmarkEnd w:id="153"/>
    </w:p>
    <w:p w14:paraId="73BCD0F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合同以中国的汉语简体文字编写、解释和说明。合同当事人在专用合同条款中约定使用两种以上语言时，汉语为优先解释和说明合同的语言。</w:t>
      </w:r>
    </w:p>
    <w:p w14:paraId="67A9577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54" w:name="_Toc296346531"/>
      <w:bookmarkStart w:id="155" w:name="_Toc337558730"/>
      <w:bookmarkStart w:id="156" w:name="_Toc351203498"/>
      <w:bookmarkStart w:id="157" w:name="_Toc296503030"/>
      <w:r>
        <w:rPr>
          <w:rFonts w:hint="eastAsia" w:ascii="宋体" w:hAnsi="宋体" w:eastAsia="宋体" w:cs="宋体"/>
          <w:bCs/>
          <w:color w:val="000000"/>
          <w:sz w:val="24"/>
          <w:szCs w:val="24"/>
          <w:highlight w:val="none"/>
        </w:rPr>
        <w:t>1.3</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法律</w:t>
      </w:r>
      <w:bookmarkEnd w:id="154"/>
      <w:bookmarkEnd w:id="155"/>
      <w:bookmarkEnd w:id="156"/>
      <w:bookmarkEnd w:id="157"/>
    </w:p>
    <w:p w14:paraId="0F37E2C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合同所称法律是指中华人民共和国法律、行政法规、部门规章，以及工程所在地的地方性法规、自治条例、单行条例和地方政府规章等。</w:t>
      </w:r>
    </w:p>
    <w:p w14:paraId="538D741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合同当事人可以在专用合同条款中约定合同适用的其他规范性文件。</w:t>
      </w:r>
    </w:p>
    <w:p w14:paraId="4D70A94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58" w:name="_Toc351203499"/>
      <w:r>
        <w:rPr>
          <w:rFonts w:hint="eastAsia" w:ascii="宋体" w:hAnsi="宋体" w:eastAsia="宋体" w:cs="宋体"/>
          <w:bCs/>
          <w:color w:val="000000"/>
          <w:sz w:val="24"/>
          <w:szCs w:val="24"/>
          <w:highlight w:val="none"/>
        </w:rPr>
        <w:t>1.4 技术标准</w:t>
      </w:r>
      <w:bookmarkEnd w:id="158"/>
    </w:p>
    <w:p w14:paraId="4819ACC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 适用于工程的现行有效的国家标准、行业标准、工程所在地的地方性标准，以及相应的规范、规程等，合同当事人有特别要求的，应在专用合同条款中约定。</w:t>
      </w:r>
    </w:p>
    <w:p w14:paraId="3F3DAD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 发包人要求使用国外技术标准的，发包人与设计人在专用合同条款中约定原文版本和中文译本提供方及提供标准的名称、份数、时间及费用承担等事项。</w:t>
      </w:r>
    </w:p>
    <w:p w14:paraId="5758B68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9CCD5A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59" w:name="_Toc351203500"/>
      <w:r>
        <w:rPr>
          <w:rFonts w:hint="eastAsia" w:ascii="宋体" w:hAnsi="宋体" w:eastAsia="宋体" w:cs="宋体"/>
          <w:bCs/>
          <w:color w:val="000000"/>
          <w:sz w:val="24"/>
          <w:szCs w:val="24"/>
          <w:highlight w:val="none"/>
        </w:rPr>
        <w:t>1</w:t>
      </w:r>
      <w:bookmarkStart w:id="160" w:name="_Toc337558731"/>
      <w:bookmarkStart w:id="161" w:name="_Toc296346532"/>
      <w:bookmarkStart w:id="162" w:name="_Toc296503031"/>
      <w:r>
        <w:rPr>
          <w:rFonts w:hint="eastAsia" w:ascii="宋体" w:hAnsi="宋体" w:eastAsia="宋体" w:cs="宋体"/>
          <w:bCs/>
          <w:color w:val="000000"/>
          <w:sz w:val="24"/>
          <w:szCs w:val="24"/>
          <w:highlight w:val="none"/>
        </w:rPr>
        <w:t>.5 合同文件的优先顺序</w:t>
      </w:r>
      <w:bookmarkEnd w:id="159"/>
    </w:p>
    <w:bookmarkEnd w:id="160"/>
    <w:bookmarkEnd w:id="161"/>
    <w:bookmarkEnd w:id="162"/>
    <w:p w14:paraId="2FAFC0F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组成合同的各项文件应互相解释，互为说明。除专用合同条款另有约定外，解释合同文件的优先顺序如下：</w:t>
      </w:r>
    </w:p>
    <w:p w14:paraId="174B730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（1）合同协议书；</w:t>
      </w:r>
    </w:p>
    <w:p w14:paraId="29C38B4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（2）专用合同条款及其附件； </w:t>
      </w:r>
    </w:p>
    <w:p w14:paraId="7072DA5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（3）通用合同条款； </w:t>
      </w:r>
    </w:p>
    <w:p w14:paraId="0DE8E3C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（4）中标通知书（如果有）；</w:t>
      </w:r>
    </w:p>
    <w:p w14:paraId="3053F41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（5）投标函及其附录（如果有）；</w:t>
      </w:r>
    </w:p>
    <w:p w14:paraId="2487CFF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（6）发包人要求；</w:t>
      </w:r>
    </w:p>
    <w:p w14:paraId="3315C77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（7）技术标准；</w:t>
      </w:r>
    </w:p>
    <w:p w14:paraId="04D5D32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（8）发包人提供的上一阶段图纸（如果有）；</w:t>
      </w:r>
    </w:p>
    <w:p w14:paraId="04798C0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（9）其他合同文件。</w:t>
      </w:r>
    </w:p>
    <w:p w14:paraId="5403706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上述各项合同文件包括合同当事人就该项合同文件所作出的补充和修改，属于同一类内容的文件，应以最新签署的为准。</w:t>
      </w:r>
    </w:p>
    <w:p w14:paraId="25F9A7F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在合同履行过程中形成的与合同有关的文件均构成合同文件组成部分，并根据其性质确定优先解释顺序。</w:t>
      </w:r>
    </w:p>
    <w:p w14:paraId="7CDBA5A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63" w:name="_Toc351203502"/>
      <w:r>
        <w:rPr>
          <w:rFonts w:hint="eastAsia" w:ascii="宋体" w:hAnsi="宋体" w:eastAsia="宋体" w:cs="宋体"/>
          <w:bCs/>
          <w:color w:val="000000"/>
          <w:sz w:val="24"/>
          <w:szCs w:val="24"/>
          <w:highlight w:val="none"/>
        </w:rPr>
        <w:t>1</w:t>
      </w:r>
      <w:bookmarkStart w:id="164" w:name="_Toc296503033"/>
      <w:bookmarkStart w:id="165" w:name="_Toc296346534"/>
      <w:bookmarkStart w:id="166" w:name="_Toc337558733"/>
      <w:r>
        <w:rPr>
          <w:rFonts w:hint="eastAsia" w:ascii="宋体" w:hAnsi="宋体" w:eastAsia="宋体" w:cs="宋体"/>
          <w:bCs/>
          <w:color w:val="000000"/>
          <w:sz w:val="24"/>
          <w:szCs w:val="24"/>
          <w:highlight w:val="none"/>
        </w:rPr>
        <w:t>.6 联络</w:t>
      </w:r>
      <w:bookmarkEnd w:id="163"/>
    </w:p>
    <w:bookmarkEnd w:id="164"/>
    <w:bookmarkEnd w:id="165"/>
    <w:bookmarkEnd w:id="166"/>
    <w:p w14:paraId="0AC29E6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 与合同有关的通知、批准、证明、证书、指示、指令、要求、请求、同意、确定和决定等，均应采用书面形式，并应在合同约定的期限内送达接收人和送达地点。</w:t>
      </w:r>
    </w:p>
    <w:p w14:paraId="34111E0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399C4DE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1.6.3 发包人和设计人应当及时签收另一方送达至送达地点和指定接收人的来往信函，如确有充分证据证明一方无正当理由拒不签收的，视为拒绝签收一方认可往来信函的内容。</w:t>
      </w:r>
    </w:p>
    <w:p w14:paraId="443F034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67" w:name="_Toc351203503"/>
      <w:r>
        <w:rPr>
          <w:rFonts w:hint="eastAsia" w:ascii="宋体" w:hAnsi="宋体" w:eastAsia="宋体" w:cs="宋体"/>
          <w:bCs/>
          <w:color w:val="000000"/>
          <w:sz w:val="24"/>
          <w:szCs w:val="24"/>
          <w:highlight w:val="none"/>
        </w:rPr>
        <w:t>1</w:t>
      </w:r>
      <w:bookmarkStart w:id="168" w:name="_Toc296346536"/>
      <w:bookmarkStart w:id="169" w:name="_Toc337558734"/>
      <w:bookmarkStart w:id="170" w:name="_Toc296503035"/>
      <w:r>
        <w:rPr>
          <w:rFonts w:hint="eastAsia" w:ascii="宋体" w:hAnsi="宋体" w:eastAsia="宋体" w:cs="宋体"/>
          <w:bCs/>
          <w:color w:val="000000"/>
          <w:sz w:val="24"/>
          <w:szCs w:val="24"/>
          <w:highlight w:val="none"/>
        </w:rPr>
        <w:t>.7 严禁贿赂</w:t>
      </w:r>
      <w:bookmarkEnd w:id="167"/>
    </w:p>
    <w:bookmarkEnd w:id="168"/>
    <w:bookmarkEnd w:id="169"/>
    <w:bookmarkEnd w:id="170"/>
    <w:p w14:paraId="0F4D6A8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合同当事人不得以贿赂或变相贿赂的方式，谋取非法利益或损害对方权益。因一方合同当事人的贿赂造成对方损失的，应赔偿损失，</w:t>
      </w:r>
      <w:r>
        <w:rPr>
          <w:rFonts w:hint="eastAsia" w:ascii="宋体" w:hAnsi="宋体" w:eastAsia="宋体" w:cs="宋体"/>
          <w:bCs/>
          <w:color w:val="000000"/>
          <w:sz w:val="24"/>
          <w:szCs w:val="24"/>
          <w:highlight w:val="none"/>
          <w:lang w:eastAsia="zh-CN"/>
        </w:rPr>
        <w:t>并</w:t>
      </w:r>
      <w:r>
        <w:rPr>
          <w:rFonts w:hint="eastAsia" w:ascii="宋体" w:hAnsi="宋体" w:eastAsia="宋体" w:cs="宋体"/>
          <w:bCs/>
          <w:color w:val="000000"/>
          <w:sz w:val="24"/>
          <w:szCs w:val="24"/>
          <w:highlight w:val="none"/>
        </w:rPr>
        <w:t>承担相应的法律责任。</w:t>
      </w:r>
    </w:p>
    <w:p w14:paraId="2B3F0EC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bookmarkStart w:id="171" w:name="_Toc337558738"/>
      <w:r>
        <w:rPr>
          <w:rFonts w:hint="eastAsia" w:ascii="宋体" w:hAnsi="宋体" w:eastAsia="宋体" w:cs="宋体"/>
          <w:bCs/>
          <w:color w:val="000000"/>
          <w:sz w:val="24"/>
          <w:szCs w:val="24"/>
          <w:highlight w:val="none"/>
        </w:rPr>
        <w:t>.8 保密</w:t>
      </w:r>
    </w:p>
    <w:bookmarkEnd w:id="171"/>
    <w:p w14:paraId="5A876E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除法律规定或合同另有约定外，未经发包人同意，设计人不得将发包人提供的图纸、文件以及声明需要保密的资料信息等商业秘密泄露给第三方。</w:t>
      </w:r>
    </w:p>
    <w:p w14:paraId="0050589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除法律规定或合同另有约定外，未经设计人同意，发包人不得将设计人提供的技术文件、技术成果、技术秘密及声明需要保密的资料信息等商业秘密泄露给第三方。</w:t>
      </w:r>
    </w:p>
    <w:p w14:paraId="5D829CE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保密期限由发包人与设计人在专用合同条款中约定。</w:t>
      </w:r>
    </w:p>
    <w:p w14:paraId="542B6E4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72" w:name="_Toc351203509"/>
      <w:r>
        <w:rPr>
          <w:rFonts w:hint="eastAsia" w:ascii="宋体" w:hAnsi="宋体" w:eastAsia="宋体" w:cs="宋体"/>
          <w:bCs/>
          <w:color w:val="000000"/>
          <w:sz w:val="24"/>
          <w:szCs w:val="24"/>
          <w:highlight w:val="none"/>
        </w:rPr>
        <w:t>2</w:t>
      </w:r>
      <w:bookmarkStart w:id="173" w:name="_Toc296503038"/>
      <w:bookmarkStart w:id="174" w:name="_Toc337558739"/>
      <w:bookmarkStart w:id="175" w:name="_Toc296346539"/>
      <w:bookmarkStart w:id="176" w:name="OLE_LINK1"/>
      <w:bookmarkStart w:id="177" w:name="OLE_LINK2"/>
      <w:r>
        <w:rPr>
          <w:rFonts w:hint="eastAsia" w:ascii="宋体" w:hAnsi="宋体" w:eastAsia="宋体" w:cs="宋体"/>
          <w:bCs/>
          <w:color w:val="000000"/>
          <w:sz w:val="24"/>
          <w:szCs w:val="24"/>
          <w:highlight w:val="none"/>
        </w:rPr>
        <w:t>. 发包人</w:t>
      </w:r>
      <w:bookmarkEnd w:id="172"/>
    </w:p>
    <w:bookmarkEnd w:id="173"/>
    <w:bookmarkEnd w:id="174"/>
    <w:bookmarkEnd w:id="175"/>
    <w:p w14:paraId="3F1A4BB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78" w:name="_Toc351203510"/>
      <w:r>
        <w:rPr>
          <w:rFonts w:hint="eastAsia" w:ascii="宋体" w:hAnsi="宋体" w:eastAsia="宋体" w:cs="宋体"/>
          <w:bCs/>
          <w:color w:val="000000"/>
          <w:sz w:val="24"/>
          <w:szCs w:val="24"/>
          <w:highlight w:val="none"/>
        </w:rPr>
        <w:t>2</w:t>
      </w:r>
      <w:bookmarkStart w:id="179" w:name="_Toc296503039"/>
      <w:bookmarkStart w:id="180" w:name="_Toc296346540"/>
      <w:bookmarkStart w:id="181" w:name="_Toc337558740"/>
      <w:r>
        <w:rPr>
          <w:rFonts w:hint="eastAsia" w:ascii="宋体" w:hAnsi="宋体" w:eastAsia="宋体" w:cs="宋体"/>
          <w:bCs/>
          <w:color w:val="000000"/>
          <w:sz w:val="24"/>
          <w:szCs w:val="24"/>
          <w:highlight w:val="none"/>
        </w:rPr>
        <w:t xml:space="preserve">.1 </w:t>
      </w:r>
      <w:bookmarkEnd w:id="178"/>
      <w:r>
        <w:rPr>
          <w:rFonts w:hint="eastAsia" w:ascii="宋体" w:hAnsi="宋体" w:eastAsia="宋体" w:cs="宋体"/>
          <w:bCs/>
          <w:color w:val="000000"/>
          <w:sz w:val="24"/>
          <w:szCs w:val="24"/>
          <w:highlight w:val="none"/>
        </w:rPr>
        <w:t>发包人一般义务</w:t>
      </w:r>
    </w:p>
    <w:p w14:paraId="045F975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 发包人应遵守法律，并办理法律规定由其办理的许可、核准或备案，包括但不限于建设用地规划许可证、建设工程规划许可证、建设工程方案设计批准、施工图设计审查等许可、核准或备案。</w:t>
      </w:r>
    </w:p>
    <w:p w14:paraId="2844EC6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074AF62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2.1.2 发包人应当负责工程设计的所有外部关系（包括但不限于当地政府主管部门等）的协调，为设计人履行合同提供必要的外部条件。</w:t>
      </w:r>
    </w:p>
    <w:p w14:paraId="416451D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 专用合同条款约定的其他义务。</w:t>
      </w:r>
    </w:p>
    <w:p w14:paraId="264B4DC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82" w:name="_Toc351203511"/>
      <w:r>
        <w:rPr>
          <w:rFonts w:hint="eastAsia" w:ascii="宋体" w:hAnsi="宋体" w:eastAsia="宋体" w:cs="宋体"/>
          <w:bCs/>
          <w:color w:val="000000"/>
          <w:sz w:val="24"/>
          <w:szCs w:val="24"/>
          <w:highlight w:val="none"/>
        </w:rPr>
        <w:t>2.2 发包人代表</w:t>
      </w:r>
      <w:bookmarkEnd w:id="182"/>
    </w:p>
    <w:p w14:paraId="76E467A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305034C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发包人代表不能按照合同约定履行其职责及义务，并导致合同无法继续正常履行的，设计人可以要求发包人撤换发包人代表。</w:t>
      </w:r>
    </w:p>
    <w:p w14:paraId="5F34DDC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 发包人决定</w:t>
      </w:r>
    </w:p>
    <w:p w14:paraId="5BAA494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2.3.1 发包人在法律允许的范围内有权对设计人的设计工作、设计项目和/或设计文件作出处理决定，设计人应按照发包人的决定执行，涉及设计周期和（或）设计费用等问题按本合同第11条〔工程设计变更与索赔〕的</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定处理。</w:t>
      </w:r>
    </w:p>
    <w:p w14:paraId="4A96003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2.3.2 发包人应在专用合同条款约定的期限内对设计人书面提出的事项作出书面决定，如发包人不在确定时间内作出书面决定，设计人的设计周期相应延长。</w:t>
      </w:r>
    </w:p>
    <w:bookmarkEnd w:id="176"/>
    <w:bookmarkEnd w:id="177"/>
    <w:bookmarkEnd w:id="179"/>
    <w:bookmarkEnd w:id="180"/>
    <w:bookmarkEnd w:id="181"/>
    <w:p w14:paraId="3AC1F98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bookmarkStart w:id="183" w:name="_Toc296346543"/>
      <w:bookmarkStart w:id="184" w:name="_Toc337558745"/>
      <w:bookmarkStart w:id="185" w:name="_Toc296503042"/>
      <w:r>
        <w:rPr>
          <w:rFonts w:hint="eastAsia" w:ascii="宋体" w:hAnsi="宋体" w:eastAsia="宋体" w:cs="宋体"/>
          <w:bCs/>
          <w:color w:val="000000"/>
          <w:sz w:val="24"/>
          <w:szCs w:val="24"/>
          <w:highlight w:val="none"/>
        </w:rPr>
        <w:t xml:space="preserve">.4 </w:t>
      </w:r>
      <w:bookmarkEnd w:id="183"/>
      <w:bookmarkEnd w:id="184"/>
      <w:bookmarkEnd w:id="185"/>
      <w:bookmarkStart w:id="186" w:name="_Toc351203515"/>
      <w:r>
        <w:rPr>
          <w:rFonts w:hint="eastAsia" w:ascii="宋体" w:hAnsi="宋体" w:eastAsia="宋体" w:cs="宋体"/>
          <w:bCs/>
          <w:color w:val="000000"/>
          <w:sz w:val="24"/>
          <w:szCs w:val="24"/>
          <w:highlight w:val="none"/>
        </w:rPr>
        <w:t>支付合同价款</w:t>
      </w:r>
      <w:bookmarkEnd w:id="186"/>
    </w:p>
    <w:p w14:paraId="01C2A9B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发包人应按合同约定向设计人及时足额支付合同价款。</w:t>
      </w:r>
    </w:p>
    <w:p w14:paraId="1714BD8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87" w:name="_Toc351203516"/>
      <w:r>
        <w:rPr>
          <w:rFonts w:hint="eastAsia" w:ascii="宋体" w:hAnsi="宋体" w:eastAsia="宋体" w:cs="宋体"/>
          <w:bCs/>
          <w:color w:val="000000"/>
          <w:sz w:val="24"/>
          <w:szCs w:val="24"/>
          <w:highlight w:val="none"/>
        </w:rPr>
        <w:t xml:space="preserve">2.5 </w:t>
      </w:r>
      <w:bookmarkEnd w:id="187"/>
      <w:r>
        <w:rPr>
          <w:rFonts w:hint="eastAsia" w:ascii="宋体" w:hAnsi="宋体" w:eastAsia="宋体" w:cs="宋体"/>
          <w:bCs/>
          <w:color w:val="000000"/>
          <w:sz w:val="24"/>
          <w:szCs w:val="24"/>
          <w:highlight w:val="none"/>
        </w:rPr>
        <w:t>设计文件接收</w:t>
      </w:r>
    </w:p>
    <w:p w14:paraId="72555D5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发包人应按合同约定及时接收设计人提交的工程设计文件。</w:t>
      </w:r>
    </w:p>
    <w:p w14:paraId="6A70DE5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88" w:name="_Toc351203518"/>
      <w:r>
        <w:rPr>
          <w:rFonts w:hint="eastAsia" w:ascii="宋体" w:hAnsi="宋体" w:eastAsia="宋体" w:cs="宋体"/>
          <w:bCs/>
          <w:color w:val="000000"/>
          <w:sz w:val="24"/>
          <w:szCs w:val="24"/>
          <w:highlight w:val="none"/>
        </w:rPr>
        <w:t>3</w:t>
      </w:r>
      <w:bookmarkStart w:id="189" w:name="_Toc296503045"/>
      <w:bookmarkStart w:id="190" w:name="_Toc337558746"/>
      <w:bookmarkStart w:id="191" w:name="_Toc296346546"/>
      <w:r>
        <w:rPr>
          <w:rFonts w:hint="eastAsia" w:ascii="宋体" w:hAnsi="宋体" w:eastAsia="宋体" w:cs="宋体"/>
          <w:bCs/>
          <w:color w:val="000000"/>
          <w:sz w:val="24"/>
          <w:szCs w:val="24"/>
          <w:highlight w:val="none"/>
        </w:rPr>
        <w:t>. 设计人</w:t>
      </w:r>
      <w:bookmarkEnd w:id="188"/>
    </w:p>
    <w:bookmarkEnd w:id="189"/>
    <w:bookmarkEnd w:id="190"/>
    <w:bookmarkEnd w:id="191"/>
    <w:p w14:paraId="217346F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92" w:name="_Toc351203519"/>
      <w:r>
        <w:rPr>
          <w:rFonts w:hint="eastAsia" w:ascii="宋体" w:hAnsi="宋体" w:eastAsia="宋体" w:cs="宋体"/>
          <w:bCs/>
          <w:color w:val="000000"/>
          <w:sz w:val="24"/>
          <w:szCs w:val="24"/>
          <w:highlight w:val="none"/>
        </w:rPr>
        <w:t>3</w:t>
      </w:r>
      <w:bookmarkStart w:id="193" w:name="_Toc296503046"/>
      <w:bookmarkStart w:id="194" w:name="_Toc296346547"/>
      <w:bookmarkStart w:id="195" w:name="_Toc337558747"/>
      <w:r>
        <w:rPr>
          <w:rFonts w:hint="eastAsia" w:ascii="宋体" w:hAnsi="宋体" w:eastAsia="宋体" w:cs="宋体"/>
          <w:bCs/>
          <w:color w:val="000000"/>
          <w:sz w:val="24"/>
          <w:szCs w:val="24"/>
          <w:highlight w:val="none"/>
        </w:rPr>
        <w:t>.1 设计人一般义务</w:t>
      </w:r>
      <w:bookmarkEnd w:id="192"/>
    </w:p>
    <w:bookmarkEnd w:id="193"/>
    <w:bookmarkEnd w:id="194"/>
    <w:bookmarkEnd w:id="195"/>
    <w:p w14:paraId="1E7D524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196" w:name="_Toc351203520"/>
      <w:r>
        <w:rPr>
          <w:rFonts w:hint="eastAsia" w:ascii="宋体" w:hAnsi="宋体" w:eastAsia="宋体" w:cs="宋体"/>
          <w:bCs/>
          <w:color w:val="000000"/>
          <w:sz w:val="24"/>
          <w:szCs w:val="24"/>
          <w:highlight w:val="none"/>
        </w:rPr>
        <w:t>3.1.1 设计人应遵守法律和有关技术标准的强制性规定，完成合同约定范围内的专业建设工程初步设计、施工图设计，提供符合技术标准及合同要求的工程设计文件，提供施工配合服务。</w:t>
      </w:r>
    </w:p>
    <w:p w14:paraId="790EDF7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2992A9A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3.1.2 设计人应当完成合同约定的工程设计其他服务。</w:t>
      </w:r>
    </w:p>
    <w:p w14:paraId="15DAD74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3.1.3 专用合同条款约定的其他义务。</w:t>
      </w:r>
    </w:p>
    <w:p w14:paraId="17CD12E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bookmarkStart w:id="197" w:name="_Toc296346548"/>
      <w:bookmarkStart w:id="198" w:name="_Toc296503047"/>
      <w:bookmarkStart w:id="199" w:name="_Toc337558748"/>
      <w:r>
        <w:rPr>
          <w:rFonts w:hint="eastAsia" w:ascii="宋体" w:hAnsi="宋体" w:eastAsia="宋体" w:cs="宋体"/>
          <w:bCs/>
          <w:color w:val="000000"/>
          <w:sz w:val="24"/>
          <w:szCs w:val="24"/>
          <w:highlight w:val="none"/>
        </w:rPr>
        <w:t xml:space="preserve">.2 </w:t>
      </w:r>
      <w:bookmarkEnd w:id="196"/>
      <w:r>
        <w:rPr>
          <w:rFonts w:hint="eastAsia" w:ascii="宋体" w:hAnsi="宋体" w:eastAsia="宋体" w:cs="宋体"/>
          <w:bCs/>
          <w:color w:val="000000"/>
          <w:sz w:val="24"/>
          <w:szCs w:val="24"/>
          <w:highlight w:val="none"/>
        </w:rPr>
        <w:t>项目负责人</w:t>
      </w:r>
    </w:p>
    <w:bookmarkEnd w:id="197"/>
    <w:bookmarkEnd w:id="198"/>
    <w:bookmarkEnd w:id="199"/>
    <w:p w14:paraId="05DC0EE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7390CFD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bCs/>
          <w:color w:val="000000"/>
          <w:sz w:val="24"/>
          <w:szCs w:val="24"/>
          <w:highlight w:val="none"/>
          <w:lang w:eastAsia="zh-CN"/>
        </w:rPr>
        <w:t>无正当理由不得拒绝更换</w:t>
      </w:r>
      <w:r>
        <w:rPr>
          <w:rFonts w:hint="eastAsia" w:ascii="宋体" w:hAnsi="宋体" w:eastAsia="宋体" w:cs="宋体"/>
          <w:bCs/>
          <w:color w:val="000000"/>
          <w:sz w:val="24"/>
          <w:szCs w:val="24"/>
          <w:highlight w:val="none"/>
        </w:rPr>
        <w:t>。</w:t>
      </w:r>
    </w:p>
    <w:p w14:paraId="7A73385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1B42FC5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00" w:name="_Toc351203521"/>
      <w:r>
        <w:rPr>
          <w:rFonts w:hint="eastAsia" w:ascii="宋体" w:hAnsi="宋体" w:eastAsia="宋体" w:cs="宋体"/>
          <w:bCs/>
          <w:color w:val="000000"/>
          <w:sz w:val="24"/>
          <w:szCs w:val="24"/>
          <w:highlight w:val="none"/>
        </w:rPr>
        <w:t>3</w:t>
      </w:r>
      <w:bookmarkStart w:id="201" w:name="_Toc296346549"/>
      <w:bookmarkStart w:id="202" w:name="_Toc296503048"/>
      <w:bookmarkStart w:id="203" w:name="_Toc337558749"/>
      <w:r>
        <w:rPr>
          <w:rFonts w:hint="eastAsia" w:ascii="宋体" w:hAnsi="宋体" w:eastAsia="宋体" w:cs="宋体"/>
          <w:bCs/>
          <w:color w:val="000000"/>
          <w:sz w:val="24"/>
          <w:szCs w:val="24"/>
          <w:highlight w:val="none"/>
        </w:rPr>
        <w:t xml:space="preserve">.3 </w:t>
      </w:r>
      <w:bookmarkEnd w:id="201"/>
      <w:bookmarkEnd w:id="202"/>
      <w:r>
        <w:rPr>
          <w:rFonts w:hint="eastAsia" w:ascii="宋体" w:hAnsi="宋体" w:eastAsia="宋体" w:cs="宋体"/>
          <w:bCs/>
          <w:color w:val="000000"/>
          <w:sz w:val="24"/>
          <w:szCs w:val="24"/>
          <w:highlight w:val="none"/>
        </w:rPr>
        <w:t>设计人人员</w:t>
      </w:r>
      <w:bookmarkEnd w:id="200"/>
    </w:p>
    <w:bookmarkEnd w:id="203"/>
    <w:p w14:paraId="5F52130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3.3.1 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另有约定外，设计人应在接到开始设计通知后7天内，向发包人提交设计人项目管理机构及人员安排的报告，其内容应包括建筑、结构、给排水、暖通、电气等专业负责人名单及其岗位、注册执业资格等。</w:t>
      </w:r>
    </w:p>
    <w:p w14:paraId="296D703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433C921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57D9F9B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04" w:name="_Toc351203523"/>
      <w:r>
        <w:rPr>
          <w:rFonts w:hint="eastAsia" w:ascii="宋体" w:hAnsi="宋体" w:eastAsia="宋体" w:cs="宋体"/>
          <w:bCs/>
          <w:color w:val="000000"/>
          <w:sz w:val="24"/>
          <w:szCs w:val="24"/>
          <w:highlight w:val="none"/>
        </w:rPr>
        <w:t>3</w:t>
      </w:r>
      <w:bookmarkStart w:id="205" w:name="_Toc337558751"/>
      <w:bookmarkStart w:id="206" w:name="_Toc296346552"/>
      <w:bookmarkStart w:id="207" w:name="_Toc296503051"/>
      <w:r>
        <w:rPr>
          <w:rFonts w:hint="eastAsia" w:ascii="宋体" w:hAnsi="宋体" w:eastAsia="宋体" w:cs="宋体"/>
          <w:bCs/>
          <w:color w:val="000000"/>
          <w:sz w:val="24"/>
          <w:szCs w:val="24"/>
          <w:highlight w:val="none"/>
        </w:rPr>
        <w:t>.4 设计分包</w:t>
      </w:r>
      <w:bookmarkEnd w:id="204"/>
    </w:p>
    <w:bookmarkEnd w:id="205"/>
    <w:bookmarkEnd w:id="206"/>
    <w:bookmarkEnd w:id="207"/>
    <w:p w14:paraId="2AD6B82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3.4.1 设计分包的一般约定</w:t>
      </w:r>
    </w:p>
    <w:p w14:paraId="5ECFE67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3CDE75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3.4.2 设计分包的确定</w:t>
      </w:r>
    </w:p>
    <w:p w14:paraId="6255035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5438C5E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3.4.3 设计分包管理</w:t>
      </w:r>
    </w:p>
    <w:p w14:paraId="0CDDD64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设计人应按照专用合同条款的约定向发包人提交分包人的主要工程设计人员名单、注册执业资格及执业经历等。</w:t>
      </w:r>
    </w:p>
    <w:p w14:paraId="22F5A43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3.4.4 分包工程设计费</w:t>
      </w:r>
    </w:p>
    <w:p w14:paraId="20CF66D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（1）除本项第（2）目约定的情况或专用合同条款另有约定外，分包工程设计费由设计人与分包人结算，未经设计人同意，发包人不得向分包人支付分包工程设计费；</w:t>
      </w:r>
    </w:p>
    <w:p w14:paraId="1EEA9D6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（2）生效的法院判决书或仲裁裁决书要求发包人向分包人支付分包工程设计费的，发包人有权从应付设计人合同价款中扣除该部分费用。</w:t>
      </w:r>
    </w:p>
    <w:p w14:paraId="3F9CFC1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08" w:name="_Toc351203526"/>
      <w:r>
        <w:rPr>
          <w:rFonts w:hint="eastAsia" w:ascii="宋体" w:hAnsi="宋体" w:eastAsia="宋体" w:cs="宋体"/>
          <w:bCs/>
          <w:color w:val="000000"/>
          <w:sz w:val="24"/>
          <w:szCs w:val="24"/>
          <w:highlight w:val="none"/>
        </w:rPr>
        <w:t>3.5 联合体</w:t>
      </w:r>
      <w:bookmarkEnd w:id="208"/>
    </w:p>
    <w:p w14:paraId="5C47C22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3.5.1 联合体各方应共同与发包人签订合同协议书。联合体各方应为履行合同向发包人承担连带责任。</w:t>
      </w:r>
    </w:p>
    <w:p w14:paraId="4965E69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3.5.2 联合体协议，应当约定联合体各成员工作分工，经发包人确认后作为合同附件。在履行合同过程中，未经发包人同意，不得修改联合体协议。</w:t>
      </w:r>
    </w:p>
    <w:p w14:paraId="20CF323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3.5.3 联合体牵头人负责与发包人联系，并接受指示，负责组织联合体各成员全面履行合同。</w:t>
      </w:r>
    </w:p>
    <w:p w14:paraId="03D24EF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3.5.4 发包人向联合体支付设计费用的方式在专用合同条款中约定。</w:t>
      </w:r>
    </w:p>
    <w:p w14:paraId="7155A23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 工程设计资料</w:t>
      </w:r>
    </w:p>
    <w:p w14:paraId="5DEA163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4.1 提供工程设计资料</w:t>
      </w:r>
    </w:p>
    <w:p w14:paraId="564D149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发包人应当在工程设计前或专用合同条款附件</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约定的时间向设计人提供工程设计所必需的工程设计资料，并对所提供资料的真实性、准确性和完整性负责。</w:t>
      </w:r>
    </w:p>
    <w:p w14:paraId="7C305A5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0A7B435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4.2 逾期提供的责任</w:t>
      </w:r>
    </w:p>
    <w:p w14:paraId="0EEB767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发包人提交上述文件和资料超过</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定期限的，超过</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定期限15天以内，设计人按本合同约定的交付工程设计文件时间相应顺延；超过</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定期限15天以</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时，设计人有权重新确定提交工程设计文件的时间。工程设计资料逾期提供导致增加了设计工作量的，设计人可以要求发包人另行支付相应设计费用，并相应延长设计周期。</w:t>
      </w:r>
    </w:p>
    <w:p w14:paraId="2B11FBB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09" w:name="_Toc351203532"/>
      <w:bookmarkStart w:id="210" w:name="_Toc337558758"/>
      <w:r>
        <w:rPr>
          <w:rFonts w:hint="eastAsia" w:ascii="宋体" w:hAnsi="宋体" w:eastAsia="宋体" w:cs="宋体"/>
          <w:bCs/>
          <w:color w:val="000000"/>
          <w:sz w:val="24"/>
          <w:szCs w:val="24"/>
          <w:highlight w:val="none"/>
        </w:rPr>
        <w:t>5. 工程设计</w:t>
      </w:r>
      <w:bookmarkEnd w:id="209"/>
      <w:r>
        <w:rPr>
          <w:rFonts w:hint="eastAsia" w:ascii="宋体" w:hAnsi="宋体" w:eastAsia="宋体" w:cs="宋体"/>
          <w:bCs/>
          <w:color w:val="000000"/>
          <w:sz w:val="24"/>
          <w:szCs w:val="24"/>
          <w:highlight w:val="none"/>
        </w:rPr>
        <w:t>要求</w:t>
      </w:r>
    </w:p>
    <w:bookmarkEnd w:id="210"/>
    <w:p w14:paraId="64A8C5D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11" w:name="_Toc351203533"/>
      <w:bookmarkStart w:id="212" w:name="_Toc337558759"/>
      <w:r>
        <w:rPr>
          <w:rFonts w:hint="eastAsia" w:ascii="宋体" w:hAnsi="宋体" w:eastAsia="宋体" w:cs="宋体"/>
          <w:bCs/>
          <w:color w:val="000000"/>
          <w:sz w:val="24"/>
          <w:szCs w:val="24"/>
          <w:highlight w:val="none"/>
        </w:rPr>
        <w:t>5.1 工程设计一般要求</w:t>
      </w:r>
    </w:p>
    <w:p w14:paraId="31E0D41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5.1.1 对发包人的要求</w:t>
      </w:r>
    </w:p>
    <w:p w14:paraId="7D5C8CD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5.1.1.1 发包人应当遵守法律和技术标准，不得以任何理由要求设计人违反法律和工程质量、安全标准进行工程设计，降低工程质量。</w:t>
      </w:r>
    </w:p>
    <w:p w14:paraId="05D571A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1125CA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5.1.1.3 发包人应当严格遵守主要技术指标控制的前提条件，由于发包人的原因导致工程设计文件超出主要技术指标控制值的，发包人承担相应责任。</w:t>
      </w:r>
    </w:p>
    <w:p w14:paraId="47610D9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 对设计人的要求</w:t>
      </w:r>
    </w:p>
    <w:p w14:paraId="6D798EF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5.1.2.1 设计人应当按法律和技术标准的强制性规定及发包人要求进行工程设计。有关工程设计的特殊标准或要求由合同当事人在专用合同条款中约定。</w:t>
      </w:r>
      <w:bookmarkEnd w:id="211"/>
    </w:p>
    <w:p w14:paraId="79643E8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设计人发现发包人提供的工程设计资料有问题的，设计人应当及时通知发包人并经发包人确认。</w:t>
      </w:r>
    </w:p>
    <w:bookmarkEnd w:id="212"/>
    <w:p w14:paraId="4EA5EBD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212A17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5.1.2.3 设计人应当根据建筑工程的使用功能和专业技术协调要求，合理确定基础类型、结构体系、结构布置、使用荷载及综合管线等。</w:t>
      </w:r>
    </w:p>
    <w:p w14:paraId="0695ABE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14:paraId="1FCB4E9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5.1.2.5 设计人在工程设计中选用的材料、设备，应当注明其规格、型号、性能等技术指标及适应性，满足</w:t>
      </w:r>
      <w:r>
        <w:rPr>
          <w:rFonts w:hint="eastAsia" w:ascii="宋体" w:hAnsi="宋体" w:eastAsia="宋体" w:cs="宋体"/>
          <w:bCs/>
          <w:color w:val="000000"/>
          <w:sz w:val="24"/>
          <w:szCs w:val="24"/>
          <w:highlight w:val="none"/>
          <w:lang w:eastAsia="zh-CN"/>
        </w:rPr>
        <w:t>质量、安全、</w:t>
      </w:r>
      <w:r>
        <w:rPr>
          <w:rFonts w:hint="eastAsia" w:ascii="宋体" w:hAnsi="宋体" w:eastAsia="宋体" w:cs="宋体"/>
          <w:bCs/>
          <w:color w:val="000000"/>
          <w:sz w:val="24"/>
          <w:szCs w:val="24"/>
          <w:highlight w:val="none"/>
        </w:rPr>
        <w:t>节能、环保</w:t>
      </w:r>
      <w:r>
        <w:rPr>
          <w:rFonts w:hint="eastAsia" w:ascii="宋体" w:hAnsi="宋体" w:eastAsia="宋体" w:cs="宋体"/>
          <w:bCs/>
          <w:color w:val="000000"/>
          <w:sz w:val="24"/>
          <w:szCs w:val="24"/>
          <w:highlight w:val="none"/>
          <w:lang w:eastAsia="zh-CN"/>
        </w:rPr>
        <w:t>等</w:t>
      </w:r>
      <w:r>
        <w:rPr>
          <w:rFonts w:hint="eastAsia" w:ascii="宋体" w:hAnsi="宋体" w:eastAsia="宋体" w:cs="宋体"/>
          <w:bCs/>
          <w:color w:val="000000"/>
          <w:sz w:val="24"/>
          <w:szCs w:val="24"/>
          <w:highlight w:val="none"/>
        </w:rPr>
        <w:t>要求。</w:t>
      </w:r>
    </w:p>
    <w:p w14:paraId="2D6BB7D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5.2 工程设计保证措施</w:t>
      </w:r>
    </w:p>
    <w:p w14:paraId="30D9A3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5.2.1 发包人的保证措施</w:t>
      </w:r>
    </w:p>
    <w:p w14:paraId="11E88DA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发包人应按照法律规定及合同约定完成与工程设计有关的各项工作。</w:t>
      </w:r>
    </w:p>
    <w:p w14:paraId="10348B9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5.2.2 设计人的保证措施</w:t>
      </w:r>
    </w:p>
    <w:p w14:paraId="4AD8227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5FFECDA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 工程设计文件的要求</w:t>
      </w:r>
    </w:p>
    <w:p w14:paraId="1162BF8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5.3.1 工程设计文件的编制应符合法律、技术标准的强制性规定及合同的要求。</w:t>
      </w:r>
    </w:p>
    <w:p w14:paraId="6C62053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5.3.2 工程设计依据应完整、准确、可靠，设计方案论证充分，计算成果可靠，并能够实施。</w:t>
      </w:r>
    </w:p>
    <w:p w14:paraId="41B3D40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5.3.3 工程设计文件的深度应满足本合同相应设计阶段的规定要求，并符合国家和行业现行有效的相关规定。</w:t>
      </w:r>
    </w:p>
    <w:p w14:paraId="68D60B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5.3.4 工程设计文件必须保证工程质量和施工安全等方面的要求，按照有关法律法规规定在工程设计文件中提出保障施工作业人员安全和预防生产安全事故的措施建议。</w:t>
      </w:r>
    </w:p>
    <w:p w14:paraId="5B295DD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5.3.5 应根据法律、技术标准要求，保证房屋建筑工程的合理使用寿命年限，并应在工程设计文件中注明相应的合理使用寿命年限。</w:t>
      </w:r>
    </w:p>
    <w:p w14:paraId="611D8A6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13" w:name="_Toc351203536"/>
      <w:bookmarkStart w:id="214" w:name="_Toc337558762"/>
      <w:r>
        <w:rPr>
          <w:rFonts w:hint="eastAsia" w:ascii="宋体" w:hAnsi="宋体" w:eastAsia="宋体" w:cs="宋体"/>
          <w:bCs/>
          <w:color w:val="000000"/>
          <w:sz w:val="24"/>
          <w:szCs w:val="24"/>
          <w:highlight w:val="none"/>
        </w:rPr>
        <w:t>5.4 不合格工程设计文件的处理</w:t>
      </w:r>
      <w:bookmarkEnd w:id="213"/>
    </w:p>
    <w:bookmarkEnd w:id="214"/>
    <w:p w14:paraId="237071C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5.4.1 因设计人原因造成工程设计文件不合格的，发包人有权要求设计人采取补救措施，直至达到合同要求的质量标准，并按第14.2款〔设计人违约责任〕的约定承担责任。 </w:t>
      </w:r>
    </w:p>
    <w:p w14:paraId="4506D05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5.4.2 因发包人原因造成工程设计文件不合格的，设计人应当采取补救措施，直至达到合同要求的质量标准，由此增加的设计费用和（或）设计周期的延长由发包人承担。</w:t>
      </w:r>
    </w:p>
    <w:p w14:paraId="5509AB7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15" w:name="_Toc351203542"/>
      <w:bookmarkStart w:id="216" w:name="_Toc337558767"/>
      <w:r>
        <w:rPr>
          <w:rFonts w:hint="eastAsia" w:ascii="宋体" w:hAnsi="宋体" w:eastAsia="宋体" w:cs="宋体"/>
          <w:bCs/>
          <w:color w:val="000000"/>
          <w:sz w:val="24"/>
          <w:szCs w:val="24"/>
          <w:highlight w:val="none"/>
        </w:rPr>
        <w:t>6. 工程设计进度</w:t>
      </w:r>
      <w:bookmarkEnd w:id="215"/>
      <w:r>
        <w:rPr>
          <w:rFonts w:hint="eastAsia" w:ascii="宋体" w:hAnsi="宋体" w:eastAsia="宋体" w:cs="宋体"/>
          <w:bCs/>
          <w:color w:val="000000"/>
          <w:sz w:val="24"/>
          <w:szCs w:val="24"/>
          <w:highlight w:val="none"/>
        </w:rPr>
        <w:t>与周期</w:t>
      </w:r>
    </w:p>
    <w:bookmarkEnd w:id="216"/>
    <w:p w14:paraId="7A83A6B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17" w:name="_Toc351203544"/>
      <w:bookmarkStart w:id="218" w:name="_Toc337558769"/>
      <w:bookmarkStart w:id="219" w:name="_Toc296346567"/>
      <w:bookmarkStart w:id="220" w:name="_Toc296503066"/>
      <w:r>
        <w:rPr>
          <w:rFonts w:hint="eastAsia" w:ascii="宋体" w:hAnsi="宋体" w:eastAsia="宋体" w:cs="宋体"/>
          <w:bCs/>
          <w:color w:val="000000"/>
          <w:sz w:val="24"/>
          <w:szCs w:val="24"/>
          <w:highlight w:val="none"/>
        </w:rPr>
        <w:t>6.1 工程设计进度计划</w:t>
      </w:r>
      <w:bookmarkEnd w:id="217"/>
    </w:p>
    <w:bookmarkEnd w:id="218"/>
    <w:p w14:paraId="0D0BBCA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6.1.1 工程设计进度计划的编制</w:t>
      </w:r>
    </w:p>
    <w:p w14:paraId="49FB5DB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6B94EE5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1FB9491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6.1.2 工程设计进度计划的修订</w:t>
      </w:r>
    </w:p>
    <w:p w14:paraId="23EFEBB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另有约定外，发包人应在收到修订的工程设计进度计划后5天内完成审核和批准或提出修改意见，否则视为发包人同意设计人提交的修订的工程设计进度计划。</w:t>
      </w:r>
    </w:p>
    <w:p w14:paraId="769F30C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21" w:name="_Toc351203545"/>
      <w:bookmarkStart w:id="222" w:name="_Toc337558770"/>
      <w:r>
        <w:rPr>
          <w:rFonts w:hint="eastAsia" w:ascii="宋体" w:hAnsi="宋体" w:eastAsia="宋体" w:cs="宋体"/>
          <w:bCs/>
          <w:color w:val="000000"/>
          <w:sz w:val="24"/>
          <w:szCs w:val="24"/>
          <w:highlight w:val="none"/>
        </w:rPr>
        <w:t xml:space="preserve">6.2 </w:t>
      </w:r>
      <w:bookmarkEnd w:id="221"/>
      <w:r>
        <w:rPr>
          <w:rFonts w:hint="eastAsia" w:ascii="宋体" w:hAnsi="宋体" w:eastAsia="宋体" w:cs="宋体"/>
          <w:bCs/>
          <w:color w:val="000000"/>
          <w:sz w:val="24"/>
          <w:szCs w:val="24"/>
          <w:highlight w:val="none"/>
        </w:rPr>
        <w:t>工程设计开始</w:t>
      </w:r>
    </w:p>
    <w:bookmarkEnd w:id="222"/>
    <w:p w14:paraId="0970977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发包人应按照法律规定获得工程设计所需的许可。发包人发出的开始设计通知应符合法律规定，</w:t>
      </w:r>
      <w:r>
        <w:rPr>
          <w:rFonts w:hint="eastAsia" w:ascii="宋体" w:hAnsi="宋体" w:eastAsia="宋体" w:cs="宋体"/>
          <w:bCs/>
          <w:color w:val="000000"/>
          <w:sz w:val="24"/>
          <w:szCs w:val="24"/>
          <w:highlight w:val="none"/>
          <w:lang w:eastAsia="zh-CN"/>
        </w:rPr>
        <w:t>一般</w:t>
      </w:r>
      <w:r>
        <w:rPr>
          <w:rFonts w:hint="eastAsia" w:ascii="宋体" w:hAnsi="宋体" w:eastAsia="宋体" w:cs="宋体"/>
          <w:bCs/>
          <w:color w:val="000000"/>
          <w:sz w:val="24"/>
          <w:szCs w:val="24"/>
          <w:highlight w:val="none"/>
        </w:rPr>
        <w:t>应在计划开始设计日期7天前向设计人发出开始工程设计工作通知，工程设计周期自开始设计通知中载明的开始设计的日期起算。</w:t>
      </w:r>
    </w:p>
    <w:p w14:paraId="797FD7E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设计人应当在收到发包人提供的工程设计资料及专用合同条款约定的定金或预付款后，开始工程设计工作。</w:t>
      </w:r>
    </w:p>
    <w:p w14:paraId="3260A6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各设计阶段的开始时间均以设计人收到的发包人发出开始设计工作的书面通知书中载明的开始设计的日期起算。</w:t>
      </w:r>
    </w:p>
    <w:bookmarkEnd w:id="219"/>
    <w:bookmarkEnd w:id="220"/>
    <w:p w14:paraId="6CD734D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23" w:name="_Toc351203547"/>
      <w:bookmarkStart w:id="224" w:name="_Toc296346574"/>
      <w:bookmarkStart w:id="225" w:name="_Toc337558772"/>
      <w:bookmarkStart w:id="226" w:name="_Toc296503073"/>
      <w:r>
        <w:rPr>
          <w:rFonts w:hint="eastAsia" w:ascii="宋体" w:hAnsi="宋体" w:eastAsia="宋体" w:cs="宋体"/>
          <w:bCs/>
          <w:color w:val="000000"/>
          <w:sz w:val="24"/>
          <w:szCs w:val="24"/>
          <w:highlight w:val="none"/>
        </w:rPr>
        <w:t>6.3 工程设计进度延误</w:t>
      </w:r>
      <w:bookmarkEnd w:id="223"/>
    </w:p>
    <w:bookmarkEnd w:id="224"/>
    <w:bookmarkEnd w:id="225"/>
    <w:bookmarkEnd w:id="226"/>
    <w:p w14:paraId="66B6468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6.3.1 因发包人原因导致工程设计进度延误</w:t>
      </w:r>
    </w:p>
    <w:p w14:paraId="7136FDF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在合同履行过程中，发包人导致工程设计进度延误的情形主要有： </w:t>
      </w:r>
    </w:p>
    <w:p w14:paraId="10E07E6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（1）发包人未能按合同约定提供工程设计资料或所提供的工程设计资料不符合合同约定或存在错误或疏漏的；</w:t>
      </w:r>
    </w:p>
    <w:p w14:paraId="2F79BBA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（2）发包人未能按合同约定日期足额支付定金或预付款、进度款的；</w:t>
      </w:r>
    </w:p>
    <w:p w14:paraId="7A979D0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（3）发包人提出影响设计周期的设计变更要求的；</w:t>
      </w:r>
    </w:p>
    <w:p w14:paraId="2394137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（4）专用合同条款中约定的其他情形。</w:t>
      </w:r>
    </w:p>
    <w:p w14:paraId="7EA25DB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因发包人原因未按计划开始设计日期开始设计的，发包人应按实际开始设计日期顺延完成设计日期。</w:t>
      </w:r>
    </w:p>
    <w:p w14:paraId="5925CF5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另有约定外，设计人应在发生上述情</w:t>
      </w:r>
      <w:r>
        <w:rPr>
          <w:rFonts w:hint="eastAsia" w:ascii="宋体" w:hAnsi="宋体" w:eastAsia="宋体" w:cs="宋体"/>
          <w:bCs/>
          <w:color w:val="000000"/>
          <w:sz w:val="24"/>
          <w:szCs w:val="24"/>
          <w:highlight w:val="none"/>
          <w:lang w:eastAsia="zh-CN"/>
        </w:rPr>
        <w:t>形</w:t>
      </w:r>
      <w:r>
        <w:rPr>
          <w:rFonts w:hint="eastAsia" w:ascii="宋体" w:hAnsi="宋体" w:eastAsia="宋体" w:cs="宋体"/>
          <w:bCs/>
          <w:color w:val="000000"/>
          <w:sz w:val="24"/>
          <w:szCs w:val="24"/>
          <w:highlight w:val="none"/>
        </w:rPr>
        <w:t>后5天内向发包人发出要求延期的书面通知，</w:t>
      </w:r>
      <w:r>
        <w:rPr>
          <w:rFonts w:hint="eastAsia" w:ascii="宋体" w:hAnsi="宋体" w:eastAsia="宋体" w:cs="宋体"/>
          <w:bCs/>
          <w:color w:val="000000"/>
          <w:sz w:val="24"/>
          <w:szCs w:val="24"/>
          <w:highlight w:val="none"/>
          <w:lang w:eastAsia="zh-CN"/>
        </w:rPr>
        <w:t>在</w:t>
      </w:r>
      <w:r>
        <w:rPr>
          <w:rFonts w:hint="eastAsia" w:ascii="宋体" w:hAnsi="宋体" w:eastAsia="宋体" w:cs="宋体"/>
          <w:bCs/>
          <w:color w:val="000000"/>
          <w:sz w:val="24"/>
          <w:szCs w:val="24"/>
          <w:highlight w:val="none"/>
        </w:rPr>
        <w:t>发生</w:t>
      </w:r>
      <w:r>
        <w:rPr>
          <w:rFonts w:hint="eastAsia" w:ascii="宋体" w:hAnsi="宋体" w:eastAsia="宋体" w:cs="宋体"/>
          <w:bCs/>
          <w:color w:val="000000"/>
          <w:sz w:val="24"/>
          <w:szCs w:val="24"/>
          <w:highlight w:val="none"/>
          <w:lang w:eastAsia="zh-CN"/>
        </w:rPr>
        <w:t>该</w:t>
      </w:r>
      <w:r>
        <w:rPr>
          <w:rFonts w:hint="eastAsia" w:ascii="宋体" w:hAnsi="宋体" w:eastAsia="宋体" w:cs="宋体"/>
          <w:bCs/>
          <w:color w:val="000000"/>
          <w:sz w:val="24"/>
          <w:szCs w:val="24"/>
          <w:highlight w:val="none"/>
        </w:rPr>
        <w:t>情</w:t>
      </w:r>
      <w:r>
        <w:rPr>
          <w:rFonts w:hint="eastAsia" w:ascii="宋体" w:hAnsi="宋体" w:eastAsia="宋体" w:cs="宋体"/>
          <w:bCs/>
          <w:color w:val="000000"/>
          <w:sz w:val="24"/>
          <w:szCs w:val="24"/>
          <w:highlight w:val="none"/>
          <w:lang w:eastAsia="zh-CN"/>
        </w:rPr>
        <w:t>形</w:t>
      </w:r>
      <w:r>
        <w:rPr>
          <w:rFonts w:hint="eastAsia" w:ascii="宋体" w:hAnsi="宋体" w:eastAsia="宋体" w:cs="宋体"/>
          <w:bCs/>
          <w:color w:val="000000"/>
          <w:sz w:val="24"/>
          <w:szCs w:val="24"/>
          <w:highlight w:val="none"/>
        </w:rPr>
        <w:t>后</w:t>
      </w:r>
      <w:r>
        <w:rPr>
          <w:rFonts w:hint="eastAsia" w:ascii="宋体" w:hAnsi="宋体" w:eastAsia="宋体" w:cs="宋体"/>
          <w:bCs/>
          <w:color w:val="000000"/>
          <w:sz w:val="24"/>
          <w:szCs w:val="24"/>
          <w:highlight w:val="none"/>
          <w:lang w:val="en-US" w:eastAsia="zh-CN"/>
        </w:rPr>
        <w:t>10</w:t>
      </w:r>
      <w:r>
        <w:rPr>
          <w:rFonts w:hint="eastAsia" w:ascii="宋体" w:hAnsi="宋体" w:eastAsia="宋体" w:cs="宋体"/>
          <w:bCs/>
          <w:color w:val="000000"/>
          <w:sz w:val="24"/>
          <w:szCs w:val="24"/>
          <w:highlight w:val="none"/>
        </w:rPr>
        <w:t>天内提交要求延期的详细说明供发包人审查。除专用合同条款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另有约定外，发包人收到设计人要求延期的详细说明后，应在5天内进行审查并就是否延长设计周期及延期天数向设计人进行书面答复。</w:t>
      </w:r>
    </w:p>
    <w:p w14:paraId="21E043B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如果发包人在收到设计人提交要求延期的详细说明后</w:t>
      </w:r>
      <w:r>
        <w:rPr>
          <w:rFonts w:hint="eastAsia" w:ascii="宋体" w:hAnsi="宋体" w:eastAsia="宋体" w:cs="宋体"/>
          <w:bCs/>
          <w:color w:val="000000"/>
          <w:sz w:val="24"/>
          <w:szCs w:val="24"/>
          <w:highlight w:val="none"/>
          <w:lang w:eastAsia="zh-CN"/>
        </w:rPr>
        <w:t>，在约定的期限内</w:t>
      </w:r>
      <w:r>
        <w:rPr>
          <w:rFonts w:hint="eastAsia" w:ascii="宋体" w:hAnsi="宋体" w:eastAsia="宋体" w:cs="宋体"/>
          <w:bCs/>
          <w:color w:val="000000"/>
          <w:sz w:val="24"/>
          <w:szCs w:val="24"/>
          <w:highlight w:val="none"/>
        </w:rPr>
        <w:t>未予答复，则视为设计人要求的延期已被发包人批准。如果设计人未能按本款</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定的时间内发出要求延期的通知并提交详细资料，则发包人可拒绝作出任何延期的决定。</w:t>
      </w:r>
    </w:p>
    <w:p w14:paraId="5AB5D93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发包人上述工程设计进度延误情形导致增加了设计工作量的，发包人应当另行支付相应设计费用。</w:t>
      </w:r>
    </w:p>
    <w:p w14:paraId="4F53F3D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6.3.2 因设计人原因导致工程设计进度延误</w:t>
      </w:r>
    </w:p>
    <w:p w14:paraId="6DC42B9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27" w:name="_Toc296503076"/>
      <w:bookmarkStart w:id="228" w:name="_Toc296346577"/>
      <w:r>
        <w:rPr>
          <w:rFonts w:hint="eastAsia" w:ascii="宋体" w:hAnsi="宋体" w:eastAsia="宋体" w:cs="宋体"/>
          <w:bCs/>
          <w:color w:val="000000"/>
          <w:sz w:val="24"/>
          <w:szCs w:val="24"/>
          <w:highlight w:val="none"/>
        </w:rPr>
        <w:t>因</w:t>
      </w:r>
      <w:bookmarkEnd w:id="227"/>
      <w:bookmarkEnd w:id="228"/>
      <w:r>
        <w:rPr>
          <w:rFonts w:hint="eastAsia" w:ascii="宋体" w:hAnsi="宋体" w:eastAsia="宋体" w:cs="宋体"/>
          <w:bCs/>
          <w:color w:val="000000"/>
          <w:sz w:val="24"/>
          <w:szCs w:val="24"/>
          <w:highlight w:val="none"/>
        </w:rPr>
        <w:t>设计人原因导致工程设计进度延误的，设计人应当按照第14.2款〔设计人违约责任〕承担责任。设计人支付逾期完成工程设计违约金后，不免除设计人继续完成工程设计的义务。</w:t>
      </w:r>
    </w:p>
    <w:p w14:paraId="6882F7B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29" w:name="_Toc351203550"/>
      <w:bookmarkStart w:id="230" w:name="_Toc296346578"/>
      <w:bookmarkStart w:id="231" w:name="_Toc337558775"/>
      <w:bookmarkStart w:id="232" w:name="_Toc296503077"/>
      <w:r>
        <w:rPr>
          <w:rFonts w:hint="eastAsia" w:ascii="宋体" w:hAnsi="宋体" w:eastAsia="宋体" w:cs="宋体"/>
          <w:bCs/>
          <w:color w:val="000000"/>
          <w:sz w:val="24"/>
          <w:szCs w:val="24"/>
          <w:highlight w:val="none"/>
        </w:rPr>
        <w:t>6.4 暂停</w:t>
      </w:r>
      <w:bookmarkEnd w:id="229"/>
      <w:r>
        <w:rPr>
          <w:rFonts w:hint="eastAsia" w:ascii="宋体" w:hAnsi="宋体" w:eastAsia="宋体" w:cs="宋体"/>
          <w:bCs/>
          <w:color w:val="000000"/>
          <w:sz w:val="24"/>
          <w:szCs w:val="24"/>
          <w:highlight w:val="none"/>
        </w:rPr>
        <w:t>设计</w:t>
      </w:r>
    </w:p>
    <w:bookmarkEnd w:id="230"/>
    <w:bookmarkEnd w:id="231"/>
    <w:bookmarkEnd w:id="232"/>
    <w:p w14:paraId="32B7404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6.4.1 发包人原因引起的暂停设计</w:t>
      </w:r>
    </w:p>
    <w:p w14:paraId="1BD31AE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因发包人原因引起暂停设计的，发包人应及时下达暂停设计指示。</w:t>
      </w:r>
    </w:p>
    <w:p w14:paraId="6DD9E8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因发包人原因引起的暂停设计，发包人应承担由此增加的设计费用和（或）延长的设计周期。</w:t>
      </w:r>
    </w:p>
    <w:p w14:paraId="4CFDF72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6.4.2 设计人原因引起的暂停设计</w:t>
      </w:r>
    </w:p>
    <w:p w14:paraId="2BD93BC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33EA97A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6.4.3 其他原因引起的暂停设计</w:t>
      </w:r>
    </w:p>
    <w:p w14:paraId="785395C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当出现非设计人原因造成的暂停设计，设计人应当尽快向发包人发出书面通知。</w:t>
      </w:r>
    </w:p>
    <w:p w14:paraId="5181CD8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在上述情形下设计人的设计服务暂停，设计人的设计周期应当相应延长，复工应有发包人与设计人共同确认的合理期限。</w:t>
      </w:r>
    </w:p>
    <w:p w14:paraId="2FE1D40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当发生本项</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定的情况，导致设计人增加设计工作量的，发包人应当另行支付相应设计费用。</w:t>
      </w:r>
    </w:p>
    <w:p w14:paraId="6CDE77C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6.4.4 暂停设计后的复工</w:t>
      </w:r>
    </w:p>
    <w:p w14:paraId="3302F5C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暂停设计后，发包人和设计人应采取有效措施积极消除暂停设计的影响。当工程具备复工条件时，发包人向设计人发出复工通知，设计人应按照复工通知要求复工。</w:t>
      </w:r>
    </w:p>
    <w:p w14:paraId="063088C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除设计人原因导致暂停设计外，设计人暂停设计后复工所增加的设计工作量，发包人应当另行支付相应设计费用。</w:t>
      </w:r>
    </w:p>
    <w:p w14:paraId="7214941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33" w:name="_Toc351203551"/>
      <w:r>
        <w:rPr>
          <w:rFonts w:hint="eastAsia" w:ascii="宋体" w:hAnsi="宋体" w:eastAsia="宋体" w:cs="宋体"/>
          <w:bCs/>
          <w:color w:val="000000"/>
          <w:sz w:val="24"/>
          <w:szCs w:val="24"/>
          <w:highlight w:val="none"/>
        </w:rPr>
        <w:t>6.5 提前</w:t>
      </w:r>
      <w:bookmarkEnd w:id="233"/>
      <w:r>
        <w:rPr>
          <w:rFonts w:hint="eastAsia" w:ascii="宋体" w:hAnsi="宋体" w:eastAsia="宋体" w:cs="宋体"/>
          <w:bCs/>
          <w:color w:val="000000"/>
          <w:sz w:val="24"/>
          <w:szCs w:val="24"/>
          <w:highlight w:val="none"/>
        </w:rPr>
        <w:t>交付工程设计文件</w:t>
      </w:r>
    </w:p>
    <w:p w14:paraId="3F37805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1AA5CF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23516A8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34" w:name="_Toc296346584"/>
      <w:bookmarkStart w:id="235" w:name="_Toc296503083"/>
      <w:r>
        <w:rPr>
          <w:rFonts w:hint="eastAsia" w:ascii="宋体" w:hAnsi="宋体" w:eastAsia="宋体" w:cs="宋体"/>
          <w:bCs/>
          <w:color w:val="000000"/>
          <w:sz w:val="24"/>
          <w:szCs w:val="24"/>
          <w:highlight w:val="none"/>
        </w:rPr>
        <w:t>7. 工程设计文件交付</w:t>
      </w:r>
    </w:p>
    <w:p w14:paraId="763608D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7.1 工程设计文件交付的内容</w:t>
      </w:r>
    </w:p>
    <w:p w14:paraId="68CAECF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7.1.1 工程设计图纸及设计说明。</w:t>
      </w:r>
    </w:p>
    <w:p w14:paraId="6D51753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7.1.2 发包人可以要求设计人提交专用合同条款约定的具体形式的电子版设计文件。</w:t>
      </w:r>
    </w:p>
    <w:p w14:paraId="4222286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7.2 工程设计文件的交付方式</w:t>
      </w:r>
    </w:p>
    <w:p w14:paraId="23A5F96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设计人交付工程设计文件给发包人，发包人应当出具书面签收单，内容包括图纸名称、图纸内容、图纸形式、份数、提交和签收日期、提交人与接收人的亲笔签名。</w:t>
      </w:r>
    </w:p>
    <w:p w14:paraId="35A6DD8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7.3 工程设计文件交付的时间和份数</w:t>
      </w:r>
    </w:p>
    <w:p w14:paraId="2EF8FC7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工程设计文件交付的名称、时间和份数在专用合同条款附件3中约定。</w:t>
      </w:r>
    </w:p>
    <w:p w14:paraId="560C367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 工程设计文件审查</w:t>
      </w:r>
    </w:p>
    <w:p w14:paraId="71FB6BF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8.1 设计人的工程设计文件应报发包人审查同意。审查的范围和内容在发包人要求中约定。审查的具体标准应符合法律规定、技术标准要求和本合同约定。</w:t>
      </w:r>
    </w:p>
    <w:p w14:paraId="2527E79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另有约定外，自发包人收到设计人的工程设计文件以及设计人的通知之日起，发包人对设计人的工程设计文件审查期不超过15天。</w:t>
      </w:r>
    </w:p>
    <w:p w14:paraId="544C347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3E8A40D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合同约定的审查期满，发包人没有做出审查结论也没有提出异议的，视为设计人的工程设计文件已获发包人同意。</w:t>
      </w:r>
    </w:p>
    <w:p w14:paraId="34364F6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420F83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8.3 工程（设计文件需政府有关部门审查或批准的，发包人应在审查同意设计人的工程设计文件后在专用合同条款约定的期限内，向政府有关部门报送工程设计文件，设计人应予以协助。</w:t>
      </w:r>
    </w:p>
    <w:p w14:paraId="60CC635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5424EE7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FDB66B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设计人按第7条〔工程设计</w:t>
      </w:r>
      <w:r>
        <w:rPr>
          <w:rFonts w:hint="eastAsia" w:ascii="宋体" w:hAnsi="宋体" w:eastAsia="宋体" w:cs="宋体"/>
          <w:bCs/>
          <w:color w:val="000000"/>
          <w:sz w:val="24"/>
          <w:szCs w:val="24"/>
          <w:highlight w:val="none"/>
          <w:lang w:eastAsia="zh-CN"/>
        </w:rPr>
        <w:t>文件交付</w:t>
      </w:r>
      <w:r>
        <w:rPr>
          <w:rFonts w:hint="eastAsia" w:ascii="宋体" w:hAnsi="宋体" w:eastAsia="宋体" w:cs="宋体"/>
          <w:bCs/>
          <w:color w:val="000000"/>
          <w:sz w:val="24"/>
          <w:szCs w:val="24"/>
          <w:highlight w:val="none"/>
        </w:rPr>
        <w:t>〕的约定向发包人提交工程设计文件，有义务参加发包人组织的设计审查会议，向审查者介绍、解答、解释其工程设计文件，并提供有关补充资料。</w:t>
      </w:r>
    </w:p>
    <w:p w14:paraId="5BE3B01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0CCE28C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8.5 因设计人原因，未能按第7条〔工程设计</w:t>
      </w:r>
      <w:r>
        <w:rPr>
          <w:rFonts w:hint="eastAsia" w:ascii="宋体" w:hAnsi="宋体" w:eastAsia="宋体" w:cs="宋体"/>
          <w:bCs/>
          <w:color w:val="000000"/>
          <w:sz w:val="24"/>
          <w:szCs w:val="24"/>
          <w:highlight w:val="none"/>
          <w:lang w:eastAsia="zh-CN"/>
        </w:rPr>
        <w:t>文件交付</w:t>
      </w:r>
      <w:r>
        <w:rPr>
          <w:rFonts w:hint="eastAsia" w:ascii="宋体" w:hAnsi="宋体" w:eastAsia="宋体" w:cs="宋体"/>
          <w:bCs/>
          <w:color w:val="000000"/>
          <w:sz w:val="24"/>
          <w:szCs w:val="24"/>
          <w:highlight w:val="none"/>
        </w:rPr>
        <w:t>〕约定的时间向发包人提交工程设计文件，致使工程设计文件审查无法进行或无法按期进行，造成设计周期延长、窝工损失及发包人增加费用的，设计人应按第14.2款〔设计人违约责任〕的约定承担责任。</w:t>
      </w:r>
    </w:p>
    <w:p w14:paraId="7204927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因发包人原因，致使工程设计文件审查无法进行或无法按期进行，造成设计周期延长、窝工损失及设计人增加的费用，由发包人承担。</w:t>
      </w:r>
    </w:p>
    <w:p w14:paraId="13C7BF7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1D0F1DA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因发包人原因造成工程设计文件不合格致使工程设计文件审查无法通过的，由此增加的设计费用和（或）延长的设计周期由发包人承担。</w:t>
      </w:r>
    </w:p>
    <w:p w14:paraId="2CCFAB3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8.7 工程设计文件的审查，不减轻或免除设计人依据法律应当承担的责任。</w:t>
      </w:r>
    </w:p>
    <w:p w14:paraId="6A7D171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 施工现场配合服务</w:t>
      </w:r>
    </w:p>
    <w:p w14:paraId="67690FE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9.1 除专用合同条款另有约定外，发包人应为设计人派赴现场的工作人员提供工作、生活及交通等方面的便利条件。</w:t>
      </w:r>
    </w:p>
    <w:p w14:paraId="120422D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51748C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36" w:name="_Toc351203567"/>
      <w:r>
        <w:rPr>
          <w:rFonts w:hint="eastAsia" w:ascii="宋体" w:hAnsi="宋体" w:eastAsia="宋体" w:cs="宋体"/>
          <w:bCs/>
          <w:color w:val="000000"/>
          <w:sz w:val="24"/>
          <w:szCs w:val="24"/>
          <w:highlight w:val="none"/>
        </w:rPr>
        <w:t>10. 合同价款与支付</w:t>
      </w:r>
    </w:p>
    <w:p w14:paraId="7495CAB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10.1 合同价款组成</w:t>
      </w:r>
    </w:p>
    <w:p w14:paraId="35C3034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发包人和设计人应当在专用合同条款附件6中明确约定合同价款各组成部分的具体数额</w:t>
      </w:r>
      <w:r>
        <w:rPr>
          <w:rFonts w:hint="eastAsia" w:ascii="宋体" w:hAnsi="宋体" w:eastAsia="宋体" w:cs="宋体"/>
          <w:bCs/>
          <w:color w:val="000000"/>
          <w:sz w:val="24"/>
          <w:szCs w:val="24"/>
          <w:highlight w:val="none"/>
          <w:lang w:eastAsia="zh-CN"/>
        </w:rPr>
        <w:t>，主要包括：</w:t>
      </w:r>
    </w:p>
    <w:p w14:paraId="63FBF5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（1）工程设计基本服务费用</w:t>
      </w:r>
      <w:r>
        <w:rPr>
          <w:rFonts w:hint="eastAsia" w:ascii="宋体" w:hAnsi="宋体" w:eastAsia="宋体" w:cs="宋体"/>
          <w:bCs/>
          <w:color w:val="000000"/>
          <w:sz w:val="24"/>
          <w:szCs w:val="24"/>
          <w:highlight w:val="none"/>
          <w:lang w:eastAsia="zh-CN"/>
        </w:rPr>
        <w:t>；</w:t>
      </w:r>
    </w:p>
    <w:p w14:paraId="551FE6C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（2）工程设计其他服务费用</w:t>
      </w:r>
      <w:r>
        <w:rPr>
          <w:rFonts w:hint="eastAsia" w:ascii="宋体" w:hAnsi="宋体" w:eastAsia="宋体" w:cs="宋体"/>
          <w:bCs/>
          <w:color w:val="000000"/>
          <w:sz w:val="24"/>
          <w:szCs w:val="24"/>
          <w:highlight w:val="none"/>
          <w:lang w:eastAsia="zh-CN"/>
        </w:rPr>
        <w:t>；</w:t>
      </w:r>
    </w:p>
    <w:p w14:paraId="024D4E5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（3）在未签订合同前发包人已经同意或接受或已经使用的设计人为发包人所做的各项工作的相应费用</w:t>
      </w:r>
      <w:r>
        <w:rPr>
          <w:rFonts w:hint="eastAsia" w:ascii="宋体" w:hAnsi="宋体" w:eastAsia="宋体" w:cs="宋体"/>
          <w:bCs/>
          <w:color w:val="000000"/>
          <w:sz w:val="24"/>
          <w:szCs w:val="24"/>
          <w:highlight w:val="none"/>
          <w:lang w:eastAsia="zh-CN"/>
        </w:rPr>
        <w:t>等。</w:t>
      </w:r>
    </w:p>
    <w:p w14:paraId="2496D7E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10.2 合同价格形式</w:t>
      </w:r>
    </w:p>
    <w:p w14:paraId="58D6F4A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发包人和设计人应在合同协议书中选择下列一种合同价格形式： </w:t>
      </w:r>
    </w:p>
    <w:p w14:paraId="3D642CF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（1）单价合同</w:t>
      </w:r>
    </w:p>
    <w:p w14:paraId="7D02E20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457E40E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（2）总价合同</w:t>
      </w:r>
    </w:p>
    <w:p w14:paraId="519A37C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5F1AED7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（3）其它价格形式</w:t>
      </w:r>
    </w:p>
    <w:p w14:paraId="5CC6AA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合同当事人可在专用合同条款中约定其他合同价格形式。</w:t>
      </w:r>
    </w:p>
    <w:p w14:paraId="4BCBE3E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10.3 定金或预付款</w:t>
      </w:r>
    </w:p>
    <w:p w14:paraId="26E7C15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10.3.1 定金或预付款的比例</w:t>
      </w:r>
    </w:p>
    <w:p w14:paraId="21210C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定金的比例不应超过合同总价款的20%。预付款的比例由发包人与设计人协商确定，一般不低于合同总价款的20%。</w:t>
      </w:r>
    </w:p>
    <w:p w14:paraId="61CCD6B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10.3.2 定金或预付款的支付</w:t>
      </w:r>
    </w:p>
    <w:p w14:paraId="1A993B6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定金或预付款的支付按照专用合同条款约定执行，但最迟应在开始设计通知载明的开始设计日期前专用合同条款约定的期限内支付。</w:t>
      </w:r>
    </w:p>
    <w:p w14:paraId="2EFA716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2F79AD7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10.4 进度款支付</w:t>
      </w:r>
    </w:p>
    <w:p w14:paraId="1771B51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10.4.1 发包人应当按照专用合同条款附件6约定的付款条件及时向设计人支付进度款。</w:t>
      </w:r>
    </w:p>
    <w:p w14:paraId="31DDE91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10.4.2 进度付款的修正</w:t>
      </w:r>
    </w:p>
    <w:p w14:paraId="73ECEA6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在对已付进度款进行汇总和复核中发现错误、遗漏或重复的，发包人和设计人均有权提出修正申请。经发包人和设计人同意的修正，应在下期进度付款中支付或扣除。</w:t>
      </w:r>
    </w:p>
    <w:p w14:paraId="60DBDE3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10.5 合同价款的结算与支付</w:t>
      </w:r>
    </w:p>
    <w:p w14:paraId="18A2464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10.5.1 对于采取固定总价形式的合同，发包人应当按照专用合同条款附件6的约定及时支付尾款。</w:t>
      </w:r>
    </w:p>
    <w:p w14:paraId="75924E7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0CB40B8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10.5.3 对于采取其他价格形式的，也应按专用合同条款的约定及时结算和支付。</w:t>
      </w:r>
    </w:p>
    <w:p w14:paraId="6C31F3B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10.6 支付账户</w:t>
      </w:r>
    </w:p>
    <w:p w14:paraId="3F0BB4C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发包人应将合同价款支付至合同协议书中约定的设计人账户。</w:t>
      </w:r>
    </w:p>
    <w:p w14:paraId="0BC0A2F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 工程设计变更与索赔</w:t>
      </w:r>
    </w:p>
    <w:p w14:paraId="32EE33E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1123B8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定，与发包人协商对合同价格和/或完工时间做可共同接受的修改。</w:t>
      </w:r>
    </w:p>
    <w:p w14:paraId="1C32DB1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 如果由于发包人要求更改而造成的项目复杂性的变更或性质的变更使得设计人的设计工作减少，发包人可按本条约定和专用合同条款附件7的</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定，与设计人协商对合同价格和/或完工时间做可共同接受的修改。</w:t>
      </w:r>
    </w:p>
    <w:p w14:paraId="0C2DF9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 基准日期后，与工程设计服务有关的法律、技术标准的强制性规定的颁布及修改，由此增加的设计费用和（或）延长的设计周期由发包人承担。</w:t>
      </w:r>
    </w:p>
    <w:p w14:paraId="44318F0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11.5 如果发生设计人认为有理由提出增加合同价款或延长设计周期的要求事项，除专用合同条款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另有约定外，设计人应于该事项发生后5天内书面通知发包人。除专用合同条款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另有约定外，在该事项发生后</w:t>
      </w:r>
      <w:r>
        <w:rPr>
          <w:rFonts w:hint="eastAsia" w:ascii="宋体" w:hAnsi="宋体" w:eastAsia="宋体" w:cs="宋体"/>
          <w:bCs/>
          <w:color w:val="000000"/>
          <w:sz w:val="24"/>
          <w:szCs w:val="24"/>
          <w:highlight w:val="none"/>
          <w:lang w:val="en-US" w:eastAsia="zh-CN"/>
        </w:rPr>
        <w:t>10</w:t>
      </w:r>
      <w:r>
        <w:rPr>
          <w:rFonts w:hint="eastAsia" w:ascii="宋体" w:hAnsi="宋体" w:eastAsia="宋体" w:cs="宋体"/>
          <w:bCs/>
          <w:color w:val="000000"/>
          <w:sz w:val="24"/>
          <w:szCs w:val="24"/>
          <w:highlight w:val="none"/>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bCs/>
          <w:color w:val="000000"/>
          <w:sz w:val="24"/>
          <w:szCs w:val="24"/>
          <w:highlight w:val="none"/>
          <w:lang w:eastAsia="zh-CN"/>
        </w:rPr>
        <w:t>对期限</w:t>
      </w:r>
      <w:r>
        <w:rPr>
          <w:rFonts w:hint="eastAsia" w:ascii="宋体" w:hAnsi="宋体" w:eastAsia="宋体" w:cs="宋体"/>
          <w:bCs/>
          <w:color w:val="000000"/>
          <w:sz w:val="24"/>
          <w:szCs w:val="24"/>
          <w:highlight w:val="none"/>
        </w:rPr>
        <w:t>另有约定外，发包人应在接到设计人书面声明后的5天内，予以书面答复。逾期未答复的，视为发包人同意设计人关于增加合同价款或延长设计周期的要求。</w:t>
      </w:r>
    </w:p>
    <w:p w14:paraId="7C1A0EC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 专业责任与保险</w:t>
      </w:r>
    </w:p>
    <w:p w14:paraId="2A790D6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12.1 设计人应运用一切合理的专业技术和经验知识，按照公认的职业标准尽其全部职责和谨慎、勤勉地履行其在本合同项下的责任和义务。</w:t>
      </w:r>
    </w:p>
    <w:p w14:paraId="05800B0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12.2 除专用合同条款另有约定外，设计人应具有发包人认可的、履行本合同所需要的工程设计责任保险并使其于合同责任期内保持有效。</w:t>
      </w:r>
    </w:p>
    <w:p w14:paraId="6B6C982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2B02AE4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 知识产权</w:t>
      </w:r>
    </w:p>
    <w:p w14:paraId="1244DCC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6CE0DA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035D47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7182FAE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13.4 合同当事人双方均有权在不损害对方利益和保密约定的前提下，在自己宣传用的印刷品或其他出版物上，或申报奖项时等情形下公布有关项目的文字和图片材料。</w:t>
      </w:r>
    </w:p>
    <w:p w14:paraId="1BEEC34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13.5 除专用合同条款另有约定外，设计人在合同签订前和签订时已确定采用的专利、专有技术的使用费应包含在签约合同价中。</w:t>
      </w:r>
    </w:p>
    <w:bookmarkEnd w:id="234"/>
    <w:bookmarkEnd w:id="235"/>
    <w:bookmarkEnd w:id="236"/>
    <w:p w14:paraId="31ED64A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37" w:name="_Toc351203603"/>
      <w:bookmarkStart w:id="238" w:name="_Toc337558820"/>
      <w:r>
        <w:rPr>
          <w:rFonts w:hint="eastAsia" w:ascii="宋体" w:hAnsi="宋体" w:eastAsia="宋体" w:cs="宋体"/>
          <w:bCs/>
          <w:color w:val="000000"/>
          <w:sz w:val="24"/>
          <w:szCs w:val="24"/>
          <w:highlight w:val="none"/>
        </w:rPr>
        <w:t>14. 违约</w:t>
      </w:r>
      <w:bookmarkEnd w:id="237"/>
      <w:r>
        <w:rPr>
          <w:rFonts w:hint="eastAsia" w:ascii="宋体" w:hAnsi="宋体" w:eastAsia="宋体" w:cs="宋体"/>
          <w:bCs/>
          <w:color w:val="000000"/>
          <w:sz w:val="24"/>
          <w:szCs w:val="24"/>
          <w:highlight w:val="none"/>
        </w:rPr>
        <w:t>责任</w:t>
      </w:r>
    </w:p>
    <w:bookmarkEnd w:id="238"/>
    <w:p w14:paraId="4067EAD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39" w:name="_Toc296346630"/>
      <w:bookmarkStart w:id="240" w:name="_Toc296503129"/>
      <w:bookmarkStart w:id="241" w:name="_Toc351203604"/>
      <w:bookmarkStart w:id="242" w:name="_Toc337558821"/>
      <w:r>
        <w:rPr>
          <w:rFonts w:hint="eastAsia" w:ascii="宋体" w:hAnsi="宋体" w:eastAsia="宋体" w:cs="宋体"/>
          <w:bCs/>
          <w:color w:val="000000"/>
          <w:sz w:val="24"/>
          <w:szCs w:val="24"/>
          <w:highlight w:val="none"/>
        </w:rPr>
        <w:t>14.1 发</w:t>
      </w:r>
      <w:bookmarkEnd w:id="239"/>
      <w:bookmarkEnd w:id="240"/>
      <w:r>
        <w:rPr>
          <w:rFonts w:hint="eastAsia" w:ascii="宋体" w:hAnsi="宋体" w:eastAsia="宋体" w:cs="宋体"/>
          <w:bCs/>
          <w:color w:val="000000"/>
          <w:sz w:val="24"/>
          <w:szCs w:val="24"/>
          <w:highlight w:val="none"/>
        </w:rPr>
        <w:t>包人违约</w:t>
      </w:r>
      <w:bookmarkEnd w:id="241"/>
      <w:r>
        <w:rPr>
          <w:rFonts w:hint="eastAsia" w:ascii="宋体" w:hAnsi="宋体" w:eastAsia="宋体" w:cs="宋体"/>
          <w:bCs/>
          <w:color w:val="000000"/>
          <w:sz w:val="24"/>
          <w:szCs w:val="24"/>
          <w:highlight w:val="none"/>
        </w:rPr>
        <w:t>责任</w:t>
      </w:r>
    </w:p>
    <w:bookmarkEnd w:id="242"/>
    <w:p w14:paraId="5114ED3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246C02A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14.1.2 发包人未按专用合同条款附件6</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定的金额和期限向设计人支付设计费</w:t>
      </w:r>
      <w:r>
        <w:rPr>
          <w:rFonts w:hint="eastAsia" w:ascii="宋体" w:hAnsi="宋体" w:eastAsia="宋体" w:cs="宋体"/>
          <w:bCs/>
          <w:color w:val="000000"/>
          <w:sz w:val="24"/>
          <w:szCs w:val="24"/>
          <w:highlight w:val="none"/>
          <w:lang w:eastAsia="zh-CN"/>
        </w:rPr>
        <w:t>的</w:t>
      </w:r>
      <w:r>
        <w:rPr>
          <w:rFonts w:hint="eastAsia" w:ascii="宋体" w:hAnsi="宋体" w:eastAsia="宋体" w:cs="宋体"/>
          <w:bCs/>
          <w:color w:val="000000"/>
          <w:sz w:val="24"/>
          <w:szCs w:val="24"/>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406C412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14.1.3 发包人的上级或设计审批部门对设计文件不进行审批或本合同工程停建、缓建，发包人应在事件发生之日起15天内按本合同第16条〔合同解除〕的约定向设计人结算并支付设计费。</w:t>
      </w:r>
    </w:p>
    <w:p w14:paraId="0EA3862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14.1.4 发包人擅自将设计人的设计文件用于本工程以外的工程或交第三方使用时，应承担相应法律责任，并应赔偿设计人因此遭受的损失。</w:t>
      </w:r>
    </w:p>
    <w:p w14:paraId="790CA00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43" w:name="_Toc351203605"/>
      <w:bookmarkStart w:id="244" w:name="_Toc296503131"/>
      <w:bookmarkStart w:id="245" w:name="_Toc296346632"/>
      <w:bookmarkStart w:id="246" w:name="_Toc337558822"/>
      <w:r>
        <w:rPr>
          <w:rFonts w:hint="eastAsia" w:ascii="宋体" w:hAnsi="宋体" w:eastAsia="宋体" w:cs="宋体"/>
          <w:bCs/>
          <w:color w:val="000000"/>
          <w:sz w:val="24"/>
          <w:szCs w:val="24"/>
          <w:highlight w:val="none"/>
        </w:rPr>
        <w:t>14.2 设计人违约</w:t>
      </w:r>
      <w:bookmarkEnd w:id="243"/>
      <w:r>
        <w:rPr>
          <w:rFonts w:hint="eastAsia" w:ascii="宋体" w:hAnsi="宋体" w:eastAsia="宋体" w:cs="宋体"/>
          <w:bCs/>
          <w:color w:val="000000"/>
          <w:sz w:val="24"/>
          <w:szCs w:val="24"/>
          <w:highlight w:val="none"/>
        </w:rPr>
        <w:t>责任</w:t>
      </w:r>
    </w:p>
    <w:bookmarkEnd w:id="244"/>
    <w:bookmarkEnd w:id="245"/>
    <w:bookmarkEnd w:id="246"/>
    <w:p w14:paraId="65F579E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14.2.1 合同生效后，设计人因自身原因要求终止或解除合同，设计人应按发包人已支付的定金金额双倍返还给发包人或设计人按照专用合同条款约定向发包人支付违约金。</w:t>
      </w:r>
    </w:p>
    <w:p w14:paraId="60DA246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14.2.2 由于设计人原因，未按专用合同条款附件3</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定的时间交付工程设计文件的，应按专用合同条款的约定向发包人支付违约金，前述违约金经双方确认后可在发包人应付设计费中扣减。</w:t>
      </w:r>
    </w:p>
    <w:p w14:paraId="56F6DFE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0777DC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14.2.4 由于设计人原因，工程设计文件超出发包人与设计人书面约定的主要技术指标控制值比例的，设计人应当按照专用合同条款的约定承担违约责任。</w:t>
      </w:r>
    </w:p>
    <w:p w14:paraId="1028930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14.2.5 设计人未经发包人同意擅自对工程设计进行分包的，发包人有权要求设计人解除未经发包人同意的设计分包合同，设计人应当按照专用合同条款的约定承担违约责任。</w:t>
      </w:r>
    </w:p>
    <w:p w14:paraId="229A7D1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47" w:name="_Toc351203607"/>
      <w:bookmarkStart w:id="248" w:name="_Toc337558823"/>
      <w:bookmarkStart w:id="249" w:name="_Toc296503116"/>
      <w:bookmarkStart w:id="250" w:name="_Toc296346617"/>
      <w:r>
        <w:rPr>
          <w:rFonts w:hint="eastAsia" w:ascii="宋体" w:hAnsi="宋体" w:eastAsia="宋体" w:cs="宋体"/>
          <w:bCs/>
          <w:color w:val="000000"/>
          <w:sz w:val="24"/>
          <w:szCs w:val="24"/>
          <w:highlight w:val="none"/>
        </w:rPr>
        <w:t>15. 不可抗力</w:t>
      </w:r>
      <w:bookmarkEnd w:id="247"/>
      <w:r>
        <w:rPr>
          <w:rFonts w:hint="eastAsia" w:ascii="宋体" w:hAnsi="宋体" w:eastAsia="宋体" w:cs="宋体"/>
          <w:bCs/>
          <w:color w:val="000000"/>
          <w:sz w:val="24"/>
          <w:szCs w:val="24"/>
          <w:highlight w:val="none"/>
        </w:rPr>
        <w:t xml:space="preserve"> </w:t>
      </w:r>
      <w:bookmarkEnd w:id="248"/>
      <w:bookmarkEnd w:id="249"/>
      <w:bookmarkEnd w:id="250"/>
    </w:p>
    <w:p w14:paraId="2291EA5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51" w:name="_Toc351203608"/>
      <w:bookmarkStart w:id="252" w:name="_Toc337558824"/>
      <w:bookmarkStart w:id="253" w:name="_Toc296346618"/>
      <w:bookmarkStart w:id="254" w:name="_Toc296503117"/>
      <w:r>
        <w:rPr>
          <w:rFonts w:hint="eastAsia" w:ascii="宋体" w:hAnsi="宋体" w:eastAsia="宋体" w:cs="宋体"/>
          <w:bCs/>
          <w:color w:val="000000"/>
          <w:sz w:val="24"/>
          <w:szCs w:val="24"/>
          <w:highlight w:val="none"/>
        </w:rPr>
        <w:t>15.1 不可抗力的确认</w:t>
      </w:r>
      <w:bookmarkEnd w:id="251"/>
    </w:p>
    <w:bookmarkEnd w:id="252"/>
    <w:bookmarkEnd w:id="253"/>
    <w:bookmarkEnd w:id="254"/>
    <w:p w14:paraId="5682088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F83025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7DD1DB9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55" w:name="_Toc351203609"/>
      <w:bookmarkStart w:id="256" w:name="_Toc296346619"/>
      <w:bookmarkStart w:id="257" w:name="_Toc337558825"/>
      <w:bookmarkStart w:id="258" w:name="_Toc296503118"/>
      <w:r>
        <w:rPr>
          <w:rFonts w:hint="eastAsia" w:ascii="宋体" w:hAnsi="宋体" w:eastAsia="宋体" w:cs="宋体"/>
          <w:bCs/>
          <w:color w:val="000000"/>
          <w:sz w:val="24"/>
          <w:szCs w:val="24"/>
          <w:highlight w:val="none"/>
        </w:rPr>
        <w:t>15.2 不可抗力的通知</w:t>
      </w:r>
      <w:bookmarkEnd w:id="255"/>
    </w:p>
    <w:bookmarkEnd w:id="256"/>
    <w:bookmarkEnd w:id="257"/>
    <w:bookmarkEnd w:id="258"/>
    <w:p w14:paraId="0BD131A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14:paraId="5C782EC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1E6AB48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59" w:name="_Toc351203610"/>
      <w:bookmarkStart w:id="260" w:name="_Toc296503119"/>
      <w:bookmarkStart w:id="261" w:name="_Toc337558826"/>
      <w:bookmarkStart w:id="262" w:name="_Toc296346620"/>
      <w:r>
        <w:rPr>
          <w:rFonts w:hint="eastAsia" w:ascii="宋体" w:hAnsi="宋体" w:eastAsia="宋体" w:cs="宋体"/>
          <w:bCs/>
          <w:color w:val="000000"/>
          <w:sz w:val="24"/>
          <w:szCs w:val="24"/>
          <w:highlight w:val="none"/>
        </w:rPr>
        <w:t>15.3 不可抗力后果的承担</w:t>
      </w:r>
      <w:bookmarkEnd w:id="259"/>
    </w:p>
    <w:bookmarkEnd w:id="260"/>
    <w:bookmarkEnd w:id="261"/>
    <w:bookmarkEnd w:id="262"/>
    <w:p w14:paraId="7B3CC48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不可抗力引起的后果及造成的损失由合同当事人按照法律规定及合同约定各自承担。不可抗力发生前已完成的工程设计应当按照合同约定进行支付。</w:t>
      </w:r>
    </w:p>
    <w:p w14:paraId="05B19DD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不可抗力发生后，合同当事人均应采取措施尽量避免和减少损失的扩大，任何一方当事人没有采取有效措施导致损失扩大的，应对扩大的损失承担责任。</w:t>
      </w:r>
    </w:p>
    <w:p w14:paraId="07C0E26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因合同一方迟延履行合同义务，在迟延履行期间遭遇不可抗力的，不免除其违约责任。</w:t>
      </w:r>
    </w:p>
    <w:p w14:paraId="65038BE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 合同解除</w:t>
      </w:r>
    </w:p>
    <w:p w14:paraId="4F2D6AF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 发包人与设计人协商一致，可以解除合同。</w:t>
      </w:r>
    </w:p>
    <w:p w14:paraId="5FA2A29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16.2 有下列情形之一的，</w:t>
      </w:r>
      <w:r>
        <w:rPr>
          <w:rFonts w:hint="eastAsia" w:ascii="宋体" w:hAnsi="宋体" w:eastAsia="宋体" w:cs="宋体"/>
          <w:bCs/>
          <w:color w:val="000000"/>
          <w:sz w:val="24"/>
          <w:szCs w:val="24"/>
          <w:highlight w:val="none"/>
          <w:lang w:eastAsia="zh-CN"/>
        </w:rPr>
        <w:t>合同当事人一方或双方</w:t>
      </w:r>
      <w:r>
        <w:rPr>
          <w:rFonts w:hint="eastAsia" w:ascii="宋体" w:hAnsi="宋体" w:eastAsia="宋体" w:cs="宋体"/>
          <w:bCs/>
          <w:color w:val="000000"/>
          <w:sz w:val="24"/>
          <w:szCs w:val="24"/>
          <w:highlight w:val="none"/>
        </w:rPr>
        <w:t>可以解除合同：</w:t>
      </w:r>
    </w:p>
    <w:p w14:paraId="7992AAF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（1）设计人工程设计文件存在重大质量问题，经发包人催告后,在合理期限内修改后仍不能满足国家现行深度要求或不能达到合同约定的设计质量要求的，发包人可以解除合同；</w:t>
      </w:r>
    </w:p>
    <w:p w14:paraId="1A54AFE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（2）发包人未按合同约定支付设计费用，经设计人催告后，在30天内仍未支付的，设计人可以解除合同；</w:t>
      </w:r>
    </w:p>
    <w:p w14:paraId="600EF78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（3）暂停设计期限已连续超过180天，专用合同条款另有约定的除外；</w:t>
      </w:r>
    </w:p>
    <w:p w14:paraId="61FADE3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（4）因不可抗力致使合同无法履行；</w:t>
      </w:r>
    </w:p>
    <w:p w14:paraId="2835756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（5）因一方违约致使合同无法实际履行或实际履行已无必要；</w:t>
      </w:r>
    </w:p>
    <w:p w14:paraId="2C4DB22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（6）因本工程项目条件发生重大变化，使合同无法继续履行。</w:t>
      </w:r>
    </w:p>
    <w:p w14:paraId="3BF0196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16.3 任何一方因故需解除合同时，应提前30天书面通知对方，对合同中的遗留问题应取得一致意见并形成书面协议。</w:t>
      </w:r>
    </w:p>
    <w:p w14:paraId="7F28B04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16.4 合同解除后，发包人除应按</w:t>
      </w:r>
      <w:r>
        <w:rPr>
          <w:rFonts w:hint="eastAsia" w:ascii="宋体" w:hAnsi="宋体" w:eastAsia="宋体" w:cs="宋体"/>
          <w:bCs/>
          <w:color w:val="000000"/>
          <w:sz w:val="24"/>
          <w:szCs w:val="24"/>
          <w:highlight w:val="none"/>
          <w:lang w:eastAsia="zh-CN"/>
        </w:rPr>
        <w:t>第</w:t>
      </w:r>
      <w:r>
        <w:rPr>
          <w:rFonts w:hint="eastAsia" w:ascii="宋体" w:hAnsi="宋体" w:eastAsia="宋体" w:cs="宋体"/>
          <w:bCs/>
          <w:color w:val="000000"/>
          <w:sz w:val="24"/>
          <w:szCs w:val="24"/>
          <w:highlight w:val="none"/>
        </w:rPr>
        <w:t>14.1.1</w:t>
      </w:r>
      <w:r>
        <w:rPr>
          <w:rFonts w:hint="eastAsia" w:ascii="宋体" w:hAnsi="宋体" w:eastAsia="宋体" w:cs="宋体"/>
          <w:bCs/>
          <w:color w:val="000000"/>
          <w:sz w:val="24"/>
          <w:szCs w:val="24"/>
          <w:highlight w:val="none"/>
          <w:lang w:eastAsia="zh-CN"/>
        </w:rPr>
        <w:t>项</w:t>
      </w:r>
      <w:r>
        <w:rPr>
          <w:rFonts w:hint="eastAsia" w:ascii="宋体" w:hAnsi="宋体" w:eastAsia="宋体" w:cs="宋体"/>
          <w:bCs/>
          <w:color w:val="000000"/>
          <w:sz w:val="24"/>
          <w:szCs w:val="24"/>
          <w:highlight w:val="none"/>
        </w:rPr>
        <w:t>的约定及专用合同条款约定期限内向设计人支付已完工作的设计费外，应当向设计人支付由于非设计人原因合同解除导致设计人增加的设计费用，违约一方应当承担相应的违约责任。</w:t>
      </w:r>
    </w:p>
    <w:p w14:paraId="52751DF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63" w:name="_Toc351203626"/>
      <w:bookmarkStart w:id="264" w:name="_Toc337558840"/>
      <w:bookmarkStart w:id="265" w:name="_Toc296503146"/>
      <w:bookmarkStart w:id="266" w:name="_Toc296346647"/>
      <w:r>
        <w:rPr>
          <w:rFonts w:hint="eastAsia" w:ascii="宋体" w:hAnsi="宋体" w:eastAsia="宋体" w:cs="宋体"/>
          <w:bCs/>
          <w:color w:val="000000"/>
          <w:sz w:val="24"/>
          <w:szCs w:val="24"/>
          <w:highlight w:val="none"/>
        </w:rPr>
        <w:t>17. 争议解决</w:t>
      </w:r>
      <w:bookmarkEnd w:id="263"/>
    </w:p>
    <w:bookmarkEnd w:id="264"/>
    <w:bookmarkEnd w:id="265"/>
    <w:bookmarkEnd w:id="266"/>
    <w:p w14:paraId="02FD915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67" w:name="_Toc351203627"/>
      <w:bookmarkStart w:id="268" w:name="_Toc296503147"/>
      <w:bookmarkStart w:id="269" w:name="_Toc296346648"/>
      <w:bookmarkStart w:id="270" w:name="_Toc337558841"/>
      <w:r>
        <w:rPr>
          <w:rFonts w:hint="eastAsia" w:ascii="宋体" w:hAnsi="宋体" w:eastAsia="宋体" w:cs="宋体"/>
          <w:bCs/>
          <w:color w:val="000000"/>
          <w:sz w:val="24"/>
          <w:szCs w:val="24"/>
          <w:highlight w:val="none"/>
        </w:rPr>
        <w:t>17.1 和解</w:t>
      </w:r>
      <w:bookmarkEnd w:id="267"/>
    </w:p>
    <w:bookmarkEnd w:id="268"/>
    <w:bookmarkEnd w:id="269"/>
    <w:bookmarkEnd w:id="270"/>
    <w:p w14:paraId="2F3A44C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合同当事人可以就争议自行和解，自行和解达成协议的经双方签字并盖章后作为合同补充文件，双方均应遵照执行。</w:t>
      </w:r>
    </w:p>
    <w:p w14:paraId="3101516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71" w:name="_Toc351203628"/>
      <w:bookmarkStart w:id="272" w:name="_Toc296346649"/>
      <w:bookmarkStart w:id="273" w:name="_Toc337558842"/>
      <w:bookmarkStart w:id="274" w:name="_Toc296503148"/>
      <w:r>
        <w:rPr>
          <w:rFonts w:hint="eastAsia" w:ascii="宋体" w:hAnsi="宋体" w:eastAsia="宋体" w:cs="宋体"/>
          <w:bCs/>
          <w:color w:val="000000"/>
          <w:sz w:val="24"/>
          <w:szCs w:val="24"/>
          <w:highlight w:val="none"/>
        </w:rPr>
        <w:t>17.2 调解</w:t>
      </w:r>
      <w:bookmarkEnd w:id="271"/>
    </w:p>
    <w:bookmarkEnd w:id="272"/>
    <w:bookmarkEnd w:id="273"/>
    <w:bookmarkEnd w:id="274"/>
    <w:p w14:paraId="3D60B85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合同当事人可以就争议请求相关行政主管部门、行业协会或其他第三方进行调解，调解达成协议的，经双方签字并盖章后作为合同补充文件，双方均应遵照执行。</w:t>
      </w:r>
    </w:p>
    <w:p w14:paraId="3B55F46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75" w:name="_Toc351203629"/>
      <w:bookmarkStart w:id="276" w:name="_Toc296503149"/>
      <w:bookmarkStart w:id="277" w:name="_Toc296346650"/>
      <w:bookmarkStart w:id="278" w:name="_Toc337558843"/>
      <w:r>
        <w:rPr>
          <w:rFonts w:hint="eastAsia" w:ascii="宋体" w:hAnsi="宋体" w:eastAsia="宋体" w:cs="宋体"/>
          <w:bCs/>
          <w:color w:val="000000"/>
          <w:sz w:val="24"/>
          <w:szCs w:val="24"/>
          <w:highlight w:val="none"/>
        </w:rPr>
        <w:t>17.3 争议评审</w:t>
      </w:r>
      <w:bookmarkEnd w:id="275"/>
    </w:p>
    <w:bookmarkEnd w:id="276"/>
    <w:bookmarkEnd w:id="277"/>
    <w:bookmarkEnd w:id="278"/>
    <w:p w14:paraId="076F61D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合同当事人在专用合同条款中约定采取争议评审方式解决争议以及评审规则，并按下列约定执行： </w:t>
      </w:r>
    </w:p>
    <w:p w14:paraId="166E8C1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17.3.1 争议评审小组的确定</w:t>
      </w:r>
    </w:p>
    <w:p w14:paraId="548F8E6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04507CE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937811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除专用合同条款另有约定外，评审所发生的费用由发包人和设计人各承担一半。</w:t>
      </w:r>
    </w:p>
    <w:p w14:paraId="57056B8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17.3.2 争议评审小组的决定</w:t>
      </w:r>
    </w:p>
    <w:p w14:paraId="132D596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67ED257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17.3.3 争议评审小组决定的效力</w:t>
      </w:r>
    </w:p>
    <w:p w14:paraId="2883214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争议评审小组作出的书面决定经合同当事人签字确认后，对双方具有约束力，双方应遵照执行。</w:t>
      </w:r>
    </w:p>
    <w:p w14:paraId="346D81D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任何一方当事人不接受争议评审小组决定或不履行争议评审小组决定的，双方可选择采用其他争议解决方式。</w:t>
      </w:r>
    </w:p>
    <w:p w14:paraId="001D4A6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79" w:name="_Toc351203630"/>
      <w:bookmarkStart w:id="280" w:name="_Toc296503150"/>
      <w:bookmarkStart w:id="281" w:name="_Toc296346651"/>
      <w:bookmarkStart w:id="282" w:name="_Toc337558844"/>
      <w:r>
        <w:rPr>
          <w:rFonts w:hint="eastAsia" w:ascii="宋体" w:hAnsi="宋体" w:eastAsia="宋体" w:cs="宋体"/>
          <w:bCs/>
          <w:color w:val="000000"/>
          <w:sz w:val="24"/>
          <w:szCs w:val="24"/>
          <w:highlight w:val="none"/>
        </w:rPr>
        <w:t>17.4 仲裁或诉讼</w:t>
      </w:r>
      <w:bookmarkEnd w:id="279"/>
    </w:p>
    <w:bookmarkEnd w:id="280"/>
    <w:bookmarkEnd w:id="281"/>
    <w:bookmarkEnd w:id="282"/>
    <w:p w14:paraId="053B95C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因合同及合同有关事项产生的争议，合同当事人可以在专用合同条款中约定以下一种方式解决争议：</w:t>
      </w:r>
    </w:p>
    <w:p w14:paraId="2C49544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（1）向约定的仲裁委员会申请仲裁；</w:t>
      </w:r>
    </w:p>
    <w:p w14:paraId="2F38F97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（2）向有管辖权的人民法院起诉。</w:t>
      </w:r>
    </w:p>
    <w:p w14:paraId="318B38C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bookmarkStart w:id="283" w:name="_Toc351203631"/>
      <w:bookmarkStart w:id="284" w:name="_Toc296346653"/>
      <w:bookmarkStart w:id="285" w:name="_Toc296503152"/>
      <w:bookmarkStart w:id="286" w:name="_Toc337558845"/>
      <w:r>
        <w:rPr>
          <w:rFonts w:hint="eastAsia" w:ascii="宋体" w:hAnsi="宋体" w:eastAsia="宋体" w:cs="宋体"/>
          <w:bCs/>
          <w:color w:val="000000"/>
          <w:sz w:val="24"/>
          <w:szCs w:val="24"/>
          <w:highlight w:val="none"/>
        </w:rPr>
        <w:t>17.5争议解决条款效力</w:t>
      </w:r>
      <w:bookmarkEnd w:id="283"/>
    </w:p>
    <w:bookmarkEnd w:id="284"/>
    <w:bookmarkEnd w:id="285"/>
    <w:bookmarkEnd w:id="286"/>
    <w:p w14:paraId="3B7FE82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合同有关争议解决的条款独立存在，合同的变更、解除、终止、无效或者被撤销均不影响其效力。</w:t>
      </w:r>
    </w:p>
    <w:p w14:paraId="2F95ED1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ascii="Times New Roman" w:hAnsi="Times New Roman" w:eastAsia="仿宋_GB2312"/>
          <w:bCs/>
          <w:color w:val="000000"/>
          <w:sz w:val="24"/>
          <w:szCs w:val="24"/>
          <w:highlight w:val="none"/>
        </w:rPr>
      </w:pPr>
    </w:p>
    <w:p w14:paraId="4AC4AD3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ascii="Times New Roman" w:hAnsi="Times New Roman" w:eastAsia="仿宋_GB2312"/>
          <w:bCs/>
          <w:color w:val="000000"/>
          <w:sz w:val="24"/>
          <w:szCs w:val="24"/>
          <w:highlight w:val="none"/>
        </w:rPr>
      </w:pPr>
    </w:p>
    <w:p w14:paraId="2D529A9C">
      <w:pPr>
        <w:keepNext w:val="0"/>
        <w:keepLines w:val="0"/>
        <w:pageBreakBefore w:val="0"/>
        <w:widowControl/>
        <w:kinsoku w:val="0"/>
        <w:wordWrap/>
        <w:overflowPunct/>
        <w:topLinePunct w:val="0"/>
        <w:autoSpaceDE w:val="0"/>
        <w:autoSpaceDN w:val="0"/>
        <w:bidi w:val="0"/>
        <w:adjustRightInd w:val="0"/>
        <w:snapToGrid w:val="0"/>
        <w:spacing w:line="460" w:lineRule="exact"/>
        <w:ind w:firstLine="2000" w:firstLineChars="500"/>
        <w:textAlignment w:val="baseline"/>
        <w:rPr>
          <w:rFonts w:ascii="华文中宋" w:hAnsi="华文中宋" w:eastAsia="华文中宋"/>
          <w:sz w:val="40"/>
          <w:szCs w:val="40"/>
          <w:highlight w:val="none"/>
        </w:rPr>
      </w:pPr>
      <w:r>
        <w:rPr>
          <w:rFonts w:ascii="华文中宋" w:hAnsi="华文中宋" w:eastAsia="华文中宋"/>
          <w:sz w:val="40"/>
          <w:szCs w:val="40"/>
          <w:highlight w:val="none"/>
        </w:rPr>
        <w:t xml:space="preserve">第三部分 </w:t>
      </w:r>
      <w:r>
        <w:rPr>
          <w:rFonts w:hint="eastAsia" w:ascii="华文中宋" w:hAnsi="华文中宋" w:eastAsia="华文中宋"/>
          <w:sz w:val="40"/>
          <w:szCs w:val="40"/>
          <w:highlight w:val="none"/>
        </w:rPr>
        <w:t>专用合同条款</w:t>
      </w:r>
    </w:p>
    <w:p w14:paraId="1F0A389A">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p>
    <w:p w14:paraId="169DFEE9">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 一般约定</w:t>
      </w:r>
    </w:p>
    <w:p w14:paraId="00418686">
      <w:pPr>
        <w:keepNext w:val="0"/>
        <w:keepLines w:val="0"/>
        <w:pageBreakBefore w:val="0"/>
        <w:widowControl w:val="0"/>
        <w:tabs>
          <w:tab w:val="center" w:pos="4710"/>
        </w:tabs>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 词语定义与解释</w:t>
      </w:r>
    </w:p>
    <w:p w14:paraId="54E7F08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1.1.1 合同</w:t>
      </w:r>
    </w:p>
    <w:p w14:paraId="62604866">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1.1.1.8 其他合同文件包括：</w:t>
      </w:r>
      <w:r>
        <w:rPr>
          <w:rFonts w:hint="eastAsia" w:ascii="宋体" w:hAnsi="宋体" w:eastAsia="宋体" w:cs="宋体"/>
          <w:b w:val="0"/>
          <w:bCs w:val="0"/>
          <w:color w:val="000000"/>
          <w:sz w:val="24"/>
          <w:szCs w:val="24"/>
          <w:highlight w:val="none"/>
          <w:u w:val="single"/>
        </w:rPr>
        <w:t xml:space="preserve">                      </w:t>
      </w:r>
    </w:p>
    <w:p w14:paraId="7D0E3D3B">
      <w:pPr>
        <w:pageBreakBefore w:val="0"/>
        <w:wordWrap/>
        <w:overflowPunct/>
        <w:topLinePunct w:val="0"/>
        <w:bidi w:val="0"/>
        <w:spacing w:line="460" w:lineRule="exact"/>
        <w:ind w:left="1650" w:hanging="1320" w:hangingChars="55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63B334A9">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1.3 法律 </w:t>
      </w:r>
    </w:p>
    <w:p w14:paraId="2B8DAACC">
      <w:pPr>
        <w:pageBreakBefore w:val="0"/>
        <w:wordWrap/>
        <w:overflowPunct/>
        <w:topLinePunct w:val="0"/>
        <w:autoSpaceDE w:val="0"/>
        <w:autoSpaceDN w:val="0"/>
        <w:bidi w:val="0"/>
        <w:adjustRightInd w:val="0"/>
        <w:spacing w:line="460" w:lineRule="exact"/>
        <w:ind w:left="596" w:leftChars="284"/>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适用于合同的其他规范性文件：</w:t>
      </w:r>
      <w:r>
        <w:rPr>
          <w:rFonts w:hint="eastAsia" w:ascii="宋体" w:hAnsi="宋体" w:eastAsia="宋体" w:cs="宋体"/>
          <w:b w:val="0"/>
          <w:bCs w:val="0"/>
          <w:color w:val="000000"/>
          <w:sz w:val="24"/>
          <w:szCs w:val="24"/>
          <w:highlight w:val="none"/>
          <w:u w:val="single"/>
        </w:rPr>
        <w:t xml:space="preserve">      </w:t>
      </w:r>
    </w:p>
    <w:p w14:paraId="276D4A5A">
      <w:pPr>
        <w:pageBreakBefore w:val="0"/>
        <w:wordWrap/>
        <w:overflowPunct/>
        <w:topLinePunct w:val="0"/>
        <w:autoSpaceDE w:val="0"/>
        <w:autoSpaceDN w:val="0"/>
        <w:bidi w:val="0"/>
        <w:adjustRightInd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76B7C67A">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 技术标准</w:t>
      </w:r>
    </w:p>
    <w:p w14:paraId="4DF93E65">
      <w:pPr>
        <w:pageBreakBefore w:val="0"/>
        <w:wordWrap/>
        <w:overflowPunct/>
        <w:topLinePunct w:val="0"/>
        <w:bidi w:val="0"/>
        <w:spacing w:line="460" w:lineRule="exact"/>
        <w:ind w:left="596" w:leftChars="284"/>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1.4.1 适用于工程的技术标准包括：</w:t>
      </w:r>
      <w:r>
        <w:rPr>
          <w:rFonts w:hint="eastAsia" w:ascii="宋体" w:hAnsi="宋体" w:eastAsia="宋体" w:cs="宋体"/>
          <w:b w:val="0"/>
          <w:bCs w:val="0"/>
          <w:color w:val="000000"/>
          <w:sz w:val="24"/>
          <w:szCs w:val="24"/>
          <w:highlight w:val="none"/>
          <w:u w:val="single"/>
        </w:rPr>
        <w:t>          </w:t>
      </w:r>
      <w:r>
        <w:rPr>
          <w:rFonts w:hint="eastAsia" w:ascii="宋体" w:hAnsi="宋体" w:eastAsia="宋体" w:cs="宋体"/>
          <w:b w:val="0"/>
          <w:bCs w:val="0"/>
          <w:color w:val="000000"/>
          <w:sz w:val="24"/>
          <w:szCs w:val="24"/>
          <w:highlight w:val="none"/>
        </w:rPr>
        <w:t xml:space="preserve">  </w:t>
      </w:r>
    </w:p>
    <w:p w14:paraId="40F53222">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sz w:val="24"/>
          <w:szCs w:val="24"/>
          <w:highlight w:val="none"/>
        </w:rPr>
        <w:t>。</w:t>
      </w:r>
    </w:p>
    <w:p w14:paraId="039089A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1.4.2 国外技术标准原文版本和中文译本的提供方：</w:t>
      </w:r>
      <w:r>
        <w:rPr>
          <w:rFonts w:hint="eastAsia" w:ascii="宋体" w:hAnsi="宋体" w:eastAsia="宋体" w:cs="宋体"/>
          <w:b w:val="0"/>
          <w:bCs w:val="0"/>
          <w:color w:val="000000"/>
          <w:kern w:val="0"/>
          <w:sz w:val="24"/>
          <w:szCs w:val="24"/>
          <w:highlight w:val="none"/>
          <w:u w:val="single"/>
        </w:rPr>
        <w:t xml:space="preserve">         </w:t>
      </w:r>
    </w:p>
    <w:p w14:paraId="6BA6D6BE">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6AE5AA7">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提供国外技术标准的名称：</w:t>
      </w:r>
      <w:r>
        <w:rPr>
          <w:rFonts w:hint="eastAsia" w:ascii="宋体" w:hAnsi="宋体" w:eastAsia="宋体" w:cs="宋体"/>
          <w:b w:val="0"/>
          <w:bCs w:val="0"/>
          <w:color w:val="000000"/>
          <w:kern w:val="0"/>
          <w:sz w:val="24"/>
          <w:szCs w:val="24"/>
          <w:highlight w:val="none"/>
          <w:u w:val="single"/>
        </w:rPr>
        <w:t xml:space="preserve">                              </w:t>
      </w:r>
    </w:p>
    <w:p w14:paraId="79445C07">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kern w:val="0"/>
          <w:sz w:val="24"/>
          <w:szCs w:val="24"/>
          <w:highlight w:val="none"/>
        </w:rPr>
        <w:t>;</w:t>
      </w:r>
    </w:p>
    <w:p w14:paraId="1687C78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提供国外技术标准的份数：</w:t>
      </w:r>
      <w:r>
        <w:rPr>
          <w:rFonts w:hint="eastAsia" w:ascii="宋体" w:hAnsi="宋体" w:eastAsia="宋体" w:cs="宋体"/>
          <w:b w:val="0"/>
          <w:bCs w:val="0"/>
          <w:color w:val="000000"/>
          <w:kern w:val="0"/>
          <w:sz w:val="24"/>
          <w:szCs w:val="24"/>
          <w:highlight w:val="none"/>
          <w:u w:val="single"/>
        </w:rPr>
        <w:t xml:space="preserve">                             </w:t>
      </w:r>
    </w:p>
    <w:p w14:paraId="3D8B6897">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kern w:val="0"/>
          <w:sz w:val="24"/>
          <w:szCs w:val="24"/>
          <w:highlight w:val="none"/>
        </w:rPr>
        <w:t>；</w:t>
      </w:r>
    </w:p>
    <w:p w14:paraId="1111B4B2">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提供国外技术标准的时间：</w:t>
      </w:r>
      <w:r>
        <w:rPr>
          <w:rFonts w:hint="eastAsia" w:ascii="宋体" w:hAnsi="宋体" w:eastAsia="宋体" w:cs="宋体"/>
          <w:b w:val="0"/>
          <w:bCs w:val="0"/>
          <w:color w:val="000000"/>
          <w:kern w:val="0"/>
          <w:sz w:val="24"/>
          <w:szCs w:val="24"/>
          <w:highlight w:val="none"/>
          <w:u w:val="single"/>
        </w:rPr>
        <w:t xml:space="preserve">                              </w:t>
      </w:r>
    </w:p>
    <w:p w14:paraId="2E26C62D">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kern w:val="0"/>
          <w:sz w:val="24"/>
          <w:szCs w:val="24"/>
          <w:highlight w:val="none"/>
        </w:rPr>
        <w:t>；</w:t>
      </w:r>
    </w:p>
    <w:p w14:paraId="29A96852">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提供国外技术标准的费用承担：</w:t>
      </w:r>
      <w:r>
        <w:rPr>
          <w:rFonts w:hint="eastAsia" w:ascii="宋体" w:hAnsi="宋体" w:eastAsia="宋体" w:cs="宋体"/>
          <w:b w:val="0"/>
          <w:bCs w:val="0"/>
          <w:color w:val="000000"/>
          <w:kern w:val="0"/>
          <w:sz w:val="24"/>
          <w:szCs w:val="24"/>
          <w:highlight w:val="none"/>
          <w:u w:val="single"/>
        </w:rPr>
        <w:t xml:space="preserve">                         </w:t>
      </w:r>
    </w:p>
    <w:p w14:paraId="32FEF655">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24F8E5A4">
      <w:pPr>
        <w:pageBreakBefore w:val="0"/>
        <w:wordWrap/>
        <w:overflowPunct/>
        <w:topLinePunct w:val="0"/>
        <w:bidi w:val="0"/>
        <w:spacing w:line="460" w:lineRule="exact"/>
        <w:ind w:left="596" w:leftChars="284"/>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1.4.3 发包人对工程的技术标准和功能要求的特殊要求：</w:t>
      </w:r>
    </w:p>
    <w:p w14:paraId="03046F2C">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                </w:t>
      </w:r>
    </w:p>
    <w:p w14:paraId="2CC44548">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5686A641">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 合同文件的优先顺序</w:t>
      </w:r>
    </w:p>
    <w:p w14:paraId="377EC99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合同文件组成及优先顺序为：</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color="auto"/>
        </w:rPr>
        <w:t xml:space="preserve">                                                                                            。</w:t>
      </w:r>
    </w:p>
    <w:p w14:paraId="329ABDF1">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1.6 联络</w:t>
      </w:r>
    </w:p>
    <w:p w14:paraId="4C5FAB27">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1.6.1 发包人和设计人应当在</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rPr>
        <w:t>天内将与合同有关的通知、批准、证明、证书、指示、指令、要求、请求、同意、确定和决定等书面函件送达对方当事人。</w:t>
      </w:r>
    </w:p>
    <w:p w14:paraId="2BA5EBC8">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1.6.2 发包人与设计人联系信息</w:t>
      </w:r>
    </w:p>
    <w:p w14:paraId="03DE9AA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发包人接收文件的地点：</w:t>
      </w: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kern w:val="0"/>
          <w:sz w:val="24"/>
          <w:szCs w:val="24"/>
          <w:highlight w:val="none"/>
        </w:rPr>
        <w:t>；</w:t>
      </w:r>
    </w:p>
    <w:p w14:paraId="1E3CB0BC">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kern w:val="0"/>
          <w:sz w:val="24"/>
          <w:szCs w:val="24"/>
          <w:highlight w:val="none"/>
        </w:rPr>
        <w:t>发包人指定的接收人为：</w:t>
      </w: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sz w:val="24"/>
          <w:szCs w:val="24"/>
          <w:highlight w:val="none"/>
        </w:rPr>
        <w:t>；</w:t>
      </w:r>
    </w:p>
    <w:p w14:paraId="6C64690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发包人指定的联系电话及传真号码：</w:t>
      </w:r>
      <w:r>
        <w:rPr>
          <w:rFonts w:hint="eastAsia" w:ascii="宋体" w:hAnsi="宋体" w:eastAsia="宋体" w:cs="宋体"/>
          <w:b w:val="0"/>
          <w:bCs w:val="0"/>
          <w:color w:val="000000"/>
          <w:sz w:val="24"/>
          <w:szCs w:val="24"/>
          <w:highlight w:val="none"/>
          <w:u w:val="single"/>
        </w:rPr>
        <w:t xml:space="preserve">              </w:t>
      </w:r>
      <w:r>
        <w:rPr>
          <w:rFonts w:hint="eastAsia" w:ascii="宋体" w:hAnsi="宋体" w:eastAsia="宋体" w:cs="宋体"/>
          <w:b w:val="0"/>
          <w:bCs w:val="0"/>
          <w:color w:val="000000"/>
          <w:sz w:val="24"/>
          <w:szCs w:val="24"/>
          <w:highlight w:val="none"/>
        </w:rPr>
        <w:t>；</w:t>
      </w:r>
    </w:p>
    <w:p w14:paraId="1BE902B7">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发包人指定的电子邮箱：</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3D83D92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设计人接收文件的地点：</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kern w:val="0"/>
          <w:sz w:val="24"/>
          <w:szCs w:val="24"/>
          <w:highlight w:val="none"/>
        </w:rPr>
        <w:t>；</w:t>
      </w:r>
    </w:p>
    <w:p w14:paraId="1343040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kern w:val="0"/>
          <w:sz w:val="24"/>
          <w:szCs w:val="24"/>
          <w:highlight w:val="none"/>
        </w:rPr>
        <w:t>设计人指定的接收人为：</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w:t>
      </w:r>
    </w:p>
    <w:p w14:paraId="3AA2745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设计人指定的联系电话及传真号码：</w:t>
      </w:r>
      <w:r>
        <w:rPr>
          <w:rFonts w:hint="eastAsia" w:ascii="宋体" w:hAnsi="宋体" w:eastAsia="宋体" w:cs="宋体"/>
          <w:b w:val="0"/>
          <w:bCs w:val="0"/>
          <w:color w:val="000000"/>
          <w:sz w:val="24"/>
          <w:szCs w:val="24"/>
          <w:highlight w:val="none"/>
          <w:u w:val="single"/>
        </w:rPr>
        <w:t xml:space="preserve">              </w:t>
      </w:r>
      <w:r>
        <w:rPr>
          <w:rFonts w:hint="eastAsia" w:ascii="宋体" w:hAnsi="宋体" w:eastAsia="宋体" w:cs="宋体"/>
          <w:b w:val="0"/>
          <w:bCs w:val="0"/>
          <w:color w:val="000000"/>
          <w:sz w:val="24"/>
          <w:szCs w:val="24"/>
          <w:highlight w:val="none"/>
        </w:rPr>
        <w:t>；</w:t>
      </w:r>
    </w:p>
    <w:p w14:paraId="75D2475C">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设计人</w:t>
      </w:r>
      <w:r>
        <w:rPr>
          <w:rFonts w:hint="eastAsia" w:ascii="宋体" w:hAnsi="宋体" w:eastAsia="宋体" w:cs="宋体"/>
          <w:b w:val="0"/>
          <w:bCs w:val="0"/>
          <w:color w:val="000000"/>
          <w:kern w:val="0"/>
          <w:sz w:val="24"/>
          <w:szCs w:val="24"/>
          <w:highlight w:val="none"/>
        </w:rPr>
        <w:t>指定的电子邮箱：</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0130E71C">
      <w:pPr>
        <w:pStyle w:val="8"/>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 保密</w:t>
      </w:r>
    </w:p>
    <w:p w14:paraId="7439DA4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保密期限：</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1082AABC">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 发包人</w:t>
      </w:r>
    </w:p>
    <w:p w14:paraId="3E9014EE">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2.1 发包人一般义务</w:t>
      </w:r>
    </w:p>
    <w:p w14:paraId="4B7E5B5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2.1.3 发包人其他义务：</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2342D5A">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 发包人代表</w:t>
      </w:r>
    </w:p>
    <w:p w14:paraId="03199E65">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发包人代表：</w:t>
      </w:r>
    </w:p>
    <w:p w14:paraId="0B3C9643">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姓    名：</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7374DE4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身份证号：</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0B5FFDC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职    务：</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6099E4C7">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联系电话：</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BE46FA8">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电子信箱：</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1EE66396">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通信地址：</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p>
    <w:p w14:paraId="0CD1072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发包人对发包人代表的授权范围如下：</w:t>
      </w:r>
      <w:r>
        <w:rPr>
          <w:rFonts w:hint="eastAsia" w:ascii="宋体" w:hAnsi="宋体" w:eastAsia="宋体" w:cs="宋体"/>
          <w:b w:val="0"/>
          <w:bCs w:val="0"/>
          <w:color w:val="000000"/>
          <w:sz w:val="24"/>
          <w:szCs w:val="24"/>
          <w:highlight w:val="none"/>
          <w:u w:val="single"/>
        </w:rPr>
        <w:t xml:space="preserve">       </w:t>
      </w:r>
    </w:p>
    <w:p w14:paraId="6A556EB7">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2450C61">
      <w:pPr>
        <w:pageBreakBefore w:val="0"/>
        <w:wordWrap/>
        <w:overflowPunct/>
        <w:topLinePunct w:val="0"/>
        <w:bidi w:val="0"/>
        <w:spacing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发包人更换发包人代表的，应当提前</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天书面通知设计人。</w:t>
      </w:r>
    </w:p>
    <w:p w14:paraId="0309B2AF">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2.3 发包人决定</w:t>
      </w:r>
    </w:p>
    <w:p w14:paraId="4BD7B69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2.3.2 发包人应在</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天内对设计人书面提出的事项作出书面决定。</w:t>
      </w:r>
    </w:p>
    <w:p w14:paraId="02C9ED0C">
      <w:pPr>
        <w:pStyle w:val="7"/>
        <w:keepLines w:val="0"/>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 设计人</w:t>
      </w:r>
    </w:p>
    <w:p w14:paraId="14E4DED9">
      <w:pPr>
        <w:pStyle w:val="8"/>
        <w:keepNext/>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 设计人一般义务</w:t>
      </w:r>
    </w:p>
    <w:p w14:paraId="31D7BECB">
      <w:pPr>
        <w:keepNext/>
        <w:pageBreakBefore w:val="0"/>
        <w:wordWrap/>
        <w:overflowPunct/>
        <w:topLinePunct w:val="0"/>
        <w:bidi w:val="0"/>
        <w:spacing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3.1.1 设计人</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（需/不需）</w:t>
      </w:r>
      <w:r>
        <w:rPr>
          <w:rFonts w:hint="eastAsia" w:ascii="宋体" w:hAnsi="宋体" w:eastAsia="宋体" w:cs="宋体"/>
          <w:b w:val="0"/>
          <w:bCs w:val="0"/>
          <w:color w:val="000000"/>
          <w:kern w:val="0"/>
          <w:sz w:val="24"/>
          <w:szCs w:val="24"/>
          <w:highlight w:val="none"/>
        </w:rPr>
        <w:t>配合发包人办理有关许可、批准或备案手续。</w:t>
      </w:r>
    </w:p>
    <w:p w14:paraId="101BD215">
      <w:pPr>
        <w:pageBreakBefore w:val="0"/>
        <w:wordWrap/>
        <w:overflowPunct/>
        <w:topLinePunct w:val="0"/>
        <w:bidi w:val="0"/>
        <w:spacing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3.1.3 设计人其他义务：</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67927EBA">
      <w:pPr>
        <w:pStyle w:val="8"/>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3.2 项目负责人</w:t>
      </w:r>
    </w:p>
    <w:p w14:paraId="59D2329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rPr>
        <w:t xml:space="preserve">3.2.1 </w:t>
      </w:r>
      <w:r>
        <w:rPr>
          <w:rFonts w:hint="eastAsia" w:ascii="宋体" w:hAnsi="宋体" w:eastAsia="宋体" w:cs="宋体"/>
          <w:b w:val="0"/>
          <w:bCs w:val="0"/>
          <w:color w:val="000000"/>
          <w:sz w:val="24"/>
          <w:szCs w:val="24"/>
          <w:highlight w:val="none"/>
        </w:rPr>
        <w:t>项目负责人</w:t>
      </w:r>
    </w:p>
    <w:p w14:paraId="568CA2F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姓    名：</w:t>
      </w: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sz w:val="24"/>
          <w:szCs w:val="24"/>
          <w:highlight w:val="none"/>
        </w:rPr>
        <w:t>；</w:t>
      </w:r>
    </w:p>
    <w:p w14:paraId="19BF7CD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执业资格及等级：</w:t>
      </w:r>
      <w:r>
        <w:rPr>
          <w:rFonts w:hint="eastAsia" w:ascii="宋体" w:hAnsi="宋体" w:eastAsia="宋体" w:cs="宋体"/>
          <w:b w:val="0"/>
          <w:bCs w:val="0"/>
          <w:color w:val="000000"/>
          <w:sz w:val="24"/>
          <w:szCs w:val="24"/>
          <w:highlight w:val="none"/>
          <w:u w:val="single"/>
        </w:rPr>
        <w:t xml:space="preserve">              </w:t>
      </w:r>
      <w:r>
        <w:rPr>
          <w:rFonts w:hint="eastAsia" w:ascii="宋体" w:hAnsi="宋体" w:eastAsia="宋体" w:cs="宋体"/>
          <w:b w:val="0"/>
          <w:bCs w:val="0"/>
          <w:color w:val="000000"/>
          <w:sz w:val="24"/>
          <w:szCs w:val="24"/>
          <w:highlight w:val="none"/>
        </w:rPr>
        <w:t>；</w:t>
      </w:r>
    </w:p>
    <w:p w14:paraId="47D27B8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注册证书号：</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w:t>
      </w:r>
    </w:p>
    <w:p w14:paraId="2C0FE8C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联系电话：</w:t>
      </w:r>
      <w:r>
        <w:rPr>
          <w:rFonts w:hint="eastAsia" w:ascii="宋体" w:hAnsi="宋体" w:eastAsia="宋体" w:cs="宋体"/>
          <w:b w:val="0"/>
          <w:bCs w:val="0"/>
          <w:color w:val="000000"/>
          <w:sz w:val="24"/>
          <w:szCs w:val="24"/>
          <w:highlight w:val="none"/>
          <w:u w:val="single"/>
        </w:rPr>
        <w:t>  </w:t>
      </w:r>
      <w:r>
        <w:rPr>
          <w:rFonts w:hint="eastAsia" w:ascii="宋体" w:hAnsi="宋体" w:eastAsia="宋体" w:cs="宋体"/>
          <w:b w:val="0"/>
          <w:bCs w:val="0"/>
          <w:color w:val="000000"/>
          <w:sz w:val="24"/>
          <w:szCs w:val="24"/>
          <w:highlight w:val="none"/>
        </w:rPr>
        <w:t>；</w:t>
      </w:r>
    </w:p>
    <w:p w14:paraId="6B1C24AF">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电子信箱：</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60EFA35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通信地址：</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02FCA12C">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设计人对项目负责人的授权范围如下：</w:t>
      </w:r>
      <w:r>
        <w:rPr>
          <w:rFonts w:hint="eastAsia" w:ascii="宋体" w:hAnsi="宋体" w:eastAsia="宋体" w:cs="宋体"/>
          <w:b w:val="0"/>
          <w:bCs w:val="0"/>
          <w:color w:val="000000"/>
          <w:sz w:val="24"/>
          <w:szCs w:val="24"/>
          <w:highlight w:val="none"/>
          <w:u w:val="single"/>
        </w:rPr>
        <w:t xml:space="preserve">         </w:t>
      </w:r>
    </w:p>
    <w:p w14:paraId="71D13FDF">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9DC4F8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3.2.2 设计人更换项目负责人的，应提前</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天书面通知发包人。</w:t>
      </w:r>
    </w:p>
    <w:p w14:paraId="081F46D1">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设计人擅自更换项目负责人的违约责任：</w:t>
      </w:r>
      <w:r>
        <w:rPr>
          <w:rFonts w:hint="eastAsia" w:ascii="宋体" w:hAnsi="宋体" w:eastAsia="宋体" w:cs="宋体"/>
          <w:b w:val="0"/>
          <w:bCs w:val="0"/>
          <w:color w:val="000000"/>
          <w:sz w:val="24"/>
          <w:szCs w:val="24"/>
          <w:highlight w:val="none"/>
          <w:u w:val="single"/>
        </w:rPr>
        <w:t xml:space="preserve">               </w:t>
      </w:r>
    </w:p>
    <w:p w14:paraId="25402077">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sz w:val="24"/>
          <w:szCs w:val="24"/>
          <w:highlight w:val="none"/>
        </w:rPr>
        <w:t>。</w:t>
      </w:r>
    </w:p>
    <w:p w14:paraId="48084E00">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3.2.3 设计人应在收到书面更换通知后</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天内更换项目负责人。</w:t>
      </w:r>
    </w:p>
    <w:p w14:paraId="59791EB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设计人无正当理由拒绝更换项目负责人的违约责任：</w:t>
      </w:r>
      <w:r>
        <w:rPr>
          <w:rFonts w:hint="eastAsia" w:ascii="宋体" w:hAnsi="宋体" w:eastAsia="宋体" w:cs="宋体"/>
          <w:b w:val="0"/>
          <w:bCs w:val="0"/>
          <w:color w:val="000000"/>
          <w:sz w:val="24"/>
          <w:szCs w:val="24"/>
          <w:highlight w:val="none"/>
          <w:u w:val="single"/>
        </w:rPr>
        <w:t xml:space="preserve">         </w:t>
      </w:r>
    </w:p>
    <w:p w14:paraId="2DDCA9AC">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p>
    <w:p w14:paraId="485ACBF1">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54B6B88C">
      <w:pPr>
        <w:pStyle w:val="8"/>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3.3 设计人人员</w:t>
      </w:r>
    </w:p>
    <w:p w14:paraId="45242BA5">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3.3.1 设计人提交项目管理机构及人员安排报告的期限</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749F7CFB">
      <w:pPr>
        <w:pageBreakBefore w:val="0"/>
        <w:wordWrap/>
        <w:overflowPunct/>
        <w:topLinePunct w:val="0"/>
        <w:bidi w:val="0"/>
        <w:spacing w:line="460" w:lineRule="exact"/>
        <w:ind w:left="300" w:leftChars="143" w:firstLine="240" w:firstLineChars="1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3.3.3 设计人无正当理由拒绝撤换主要设计人员的违约责任：</w:t>
      </w:r>
    </w:p>
    <w:p w14:paraId="5257F77C">
      <w:pPr>
        <w:pageBreakBefore w:val="0"/>
        <w:wordWrap/>
        <w:overflowPunct/>
        <w:topLinePunct w:val="0"/>
        <w:bidi w:val="0"/>
        <w:spacing w:line="460" w:lineRule="exact"/>
        <w:ind w:left="300" w:hanging="240" w:hangingChars="1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                                      </w:t>
      </w:r>
    </w:p>
    <w:p w14:paraId="3284FB1B">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5667CD7">
      <w:pPr>
        <w:pStyle w:val="8"/>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3.4 设计分包</w:t>
      </w:r>
    </w:p>
    <w:p w14:paraId="56E76D4B">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3.4.1 设计分包的一般约定</w:t>
      </w:r>
    </w:p>
    <w:p w14:paraId="7CFBC016">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禁止设计分包的工程包括：</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5976EECA">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sz w:val="24"/>
          <w:szCs w:val="24"/>
          <w:highlight w:val="none"/>
        </w:rPr>
        <w:t>主体结构、关键性工作的范围：</w:t>
      </w:r>
      <w:r>
        <w:rPr>
          <w:rFonts w:hint="eastAsia" w:ascii="宋体" w:hAnsi="宋体" w:eastAsia="宋体" w:cs="宋体"/>
          <w:b w:val="0"/>
          <w:bCs w:val="0"/>
          <w:color w:val="000000"/>
          <w:sz w:val="24"/>
          <w:szCs w:val="24"/>
          <w:highlight w:val="none"/>
          <w:u w:val="single"/>
        </w:rPr>
        <w:t xml:space="preserve">                      </w:t>
      </w:r>
    </w:p>
    <w:p w14:paraId="13E169AA">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2792921">
      <w:pPr>
        <w:pageBreakBefore w:val="0"/>
        <w:wordWrap/>
        <w:overflowPunct/>
        <w:topLinePunct w:val="0"/>
        <w:bidi w:val="0"/>
        <w:spacing w:line="46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3.4.2设计分包的确定</w:t>
      </w:r>
    </w:p>
    <w:p w14:paraId="5CE7F21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sz w:val="24"/>
          <w:szCs w:val="24"/>
          <w:highlight w:val="none"/>
        </w:rPr>
        <w:t>允许分包的专业工程包括：</w:t>
      </w:r>
      <w:r>
        <w:rPr>
          <w:rFonts w:hint="eastAsia" w:ascii="宋体" w:hAnsi="宋体" w:eastAsia="宋体" w:cs="宋体"/>
          <w:b w:val="0"/>
          <w:bCs w:val="0"/>
          <w:color w:val="000000"/>
          <w:sz w:val="24"/>
          <w:szCs w:val="24"/>
          <w:highlight w:val="none"/>
          <w:u w:val="single"/>
        </w:rPr>
        <w:t xml:space="preserve">                         </w:t>
      </w:r>
    </w:p>
    <w:p w14:paraId="1C54FA6A">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8D4FD8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其他关于分包的约定：</w:t>
      </w:r>
      <w:r>
        <w:rPr>
          <w:rFonts w:hint="eastAsia" w:ascii="宋体" w:hAnsi="宋体" w:eastAsia="宋体" w:cs="宋体"/>
          <w:b w:val="0"/>
          <w:bCs w:val="0"/>
          <w:color w:val="000000"/>
          <w:sz w:val="24"/>
          <w:szCs w:val="24"/>
          <w:highlight w:val="none"/>
          <w:u w:val="single"/>
        </w:rPr>
        <w:t xml:space="preserve">                                 </w:t>
      </w:r>
    </w:p>
    <w:p w14:paraId="38B6CC90">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E84C84B">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3.4.3 设计人向发包人提交有关分包人资料包括：</w:t>
      </w:r>
      <w:r>
        <w:rPr>
          <w:rFonts w:hint="eastAsia" w:ascii="宋体" w:hAnsi="宋体" w:eastAsia="宋体" w:cs="宋体"/>
          <w:b w:val="0"/>
          <w:bCs w:val="0"/>
          <w:color w:val="000000"/>
          <w:sz w:val="24"/>
          <w:szCs w:val="24"/>
          <w:highlight w:val="none"/>
          <w:u w:val="single"/>
        </w:rPr>
        <w:t xml:space="preserve">           </w:t>
      </w:r>
    </w:p>
    <w:p w14:paraId="3ADE84CC">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569778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 xml:space="preserve">3.4.4 分包工程设计费支付方式： </w:t>
      </w:r>
      <w:r>
        <w:rPr>
          <w:rFonts w:hint="eastAsia" w:ascii="宋体" w:hAnsi="宋体" w:eastAsia="宋体" w:cs="宋体"/>
          <w:b w:val="0"/>
          <w:bCs w:val="0"/>
          <w:color w:val="000000"/>
          <w:sz w:val="24"/>
          <w:szCs w:val="24"/>
          <w:highlight w:val="none"/>
          <w:u w:val="single"/>
        </w:rPr>
        <w:t xml:space="preserve">                       </w:t>
      </w:r>
    </w:p>
    <w:p w14:paraId="72E4989A">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0629A20">
      <w:pPr>
        <w:pStyle w:val="8"/>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4"/>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3.5 联合体</w:t>
      </w:r>
    </w:p>
    <w:p w14:paraId="653B9071">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3.5.4 发包人向联合体支付设计费用的方式：</w:t>
      </w:r>
      <w:r>
        <w:rPr>
          <w:rFonts w:hint="eastAsia" w:ascii="宋体" w:hAnsi="宋体" w:eastAsia="宋体" w:cs="宋体"/>
          <w:b w:val="0"/>
          <w:bCs w:val="0"/>
          <w:color w:val="000000"/>
          <w:sz w:val="24"/>
          <w:szCs w:val="24"/>
          <w:highlight w:val="none"/>
          <w:u w:val="single"/>
        </w:rPr>
        <w:t xml:space="preserve">               </w:t>
      </w:r>
    </w:p>
    <w:p w14:paraId="55FB69EC">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0D9DDC1">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 工程设计要求</w:t>
      </w:r>
    </w:p>
    <w:p w14:paraId="11695D1B">
      <w:pPr>
        <w:pStyle w:val="8"/>
        <w:pageBreakBefore w:val="0"/>
        <w:wordWrap/>
        <w:overflowPunct/>
        <w:topLinePunct w:val="0"/>
        <w:bidi w:val="0"/>
        <w:spacing w:before="120" w:beforeLines="0"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5.1 工程设计一般要求</w:t>
      </w:r>
    </w:p>
    <w:p w14:paraId="5551CF7B">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5.1.2.1</w:t>
      </w:r>
      <w:r>
        <w:rPr>
          <w:rFonts w:hint="eastAsia" w:ascii="宋体" w:hAnsi="宋体" w:eastAsia="宋体" w:cs="宋体"/>
          <w:b w:val="0"/>
          <w:bCs w:val="0"/>
          <w:color w:val="000000"/>
          <w:sz w:val="24"/>
          <w:szCs w:val="24"/>
          <w:highlight w:val="none"/>
        </w:rPr>
        <w:t xml:space="preserve"> 工程设计的特殊标准或要求：</w:t>
      </w:r>
      <w:r>
        <w:rPr>
          <w:rFonts w:hint="eastAsia" w:ascii="宋体" w:hAnsi="宋体" w:eastAsia="宋体" w:cs="宋体"/>
          <w:b w:val="0"/>
          <w:bCs w:val="0"/>
          <w:sz w:val="24"/>
          <w:szCs w:val="24"/>
          <w:highlight w:val="none"/>
          <w:u w:val="single"/>
        </w:rPr>
        <w:t xml:space="preserve">                    </w:t>
      </w:r>
    </w:p>
    <w:p w14:paraId="19AD6600">
      <w:pPr>
        <w:pageBreakBefore w:val="0"/>
        <w:wordWrap/>
        <w:overflowPunct/>
        <w:topLinePunct w:val="0"/>
        <w:bidi w:val="0"/>
        <w:spacing w:line="46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2347AFDA">
      <w:pPr>
        <w:pageBreakBefore w:val="0"/>
        <w:wordWrap/>
        <w:overflowPunct/>
        <w:topLinePunct w:val="0"/>
        <w:bidi w:val="0"/>
        <w:spacing w:line="460" w:lineRule="exact"/>
        <w:ind w:firstLine="504" w:firstLineChars="21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5.1.2.2 工程设计适用的技术标准：</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26F7675E">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5.1.2.4 工程设计文件的</w:t>
      </w:r>
      <w:r>
        <w:rPr>
          <w:rFonts w:hint="eastAsia" w:ascii="宋体" w:hAnsi="宋体" w:eastAsia="宋体" w:cs="宋体"/>
          <w:b w:val="0"/>
          <w:bCs w:val="0"/>
          <w:color w:val="000000"/>
          <w:kern w:val="0"/>
          <w:sz w:val="24"/>
          <w:szCs w:val="24"/>
          <w:highlight w:val="none"/>
        </w:rPr>
        <w:t>主要技术指标控制值</w:t>
      </w:r>
      <w:r>
        <w:rPr>
          <w:rFonts w:hint="eastAsia" w:ascii="宋体" w:hAnsi="宋体" w:eastAsia="宋体" w:cs="宋体"/>
          <w:b w:val="0"/>
          <w:bCs w:val="0"/>
          <w:sz w:val="24"/>
          <w:szCs w:val="24"/>
          <w:highlight w:val="none"/>
        </w:rPr>
        <w:t>及比例：</w:t>
      </w:r>
      <w:r>
        <w:rPr>
          <w:rFonts w:hint="eastAsia" w:ascii="宋体" w:hAnsi="宋体" w:eastAsia="宋体" w:cs="宋体"/>
          <w:b w:val="0"/>
          <w:bCs w:val="0"/>
          <w:sz w:val="24"/>
          <w:szCs w:val="24"/>
          <w:highlight w:val="none"/>
          <w:u w:val="single"/>
        </w:rPr>
        <w:t xml:space="preserve">       </w:t>
      </w:r>
    </w:p>
    <w:p w14:paraId="5357DC29">
      <w:pPr>
        <w:pageBreakBefore w:val="0"/>
        <w:wordWrap/>
        <w:overflowPunct/>
        <w:topLinePunct w:val="0"/>
        <w:bidi w:val="0"/>
        <w:spacing w:line="46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 xml:space="preserve">。       </w:t>
      </w:r>
    </w:p>
    <w:p w14:paraId="314BEBA7">
      <w:pPr>
        <w:pStyle w:val="8"/>
        <w:pageBreakBefore w:val="0"/>
        <w:wordWrap/>
        <w:overflowPunct/>
        <w:topLinePunct w:val="0"/>
        <w:bidi w:val="0"/>
        <w:spacing w:before="120" w:beforeLines="0"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5.3 工程设计文件的要求</w:t>
      </w:r>
    </w:p>
    <w:p w14:paraId="1AFCCA4D">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5.3.3 工程设计文件深度规定：</w:t>
      </w:r>
      <w:r>
        <w:rPr>
          <w:rFonts w:hint="eastAsia" w:ascii="宋体" w:hAnsi="宋体" w:eastAsia="宋体" w:cs="宋体"/>
          <w:b w:val="0"/>
          <w:bCs w:val="0"/>
          <w:sz w:val="24"/>
          <w:szCs w:val="24"/>
          <w:highlight w:val="none"/>
          <w:u w:val="single"/>
        </w:rPr>
        <w:t xml:space="preserve">                           </w:t>
      </w:r>
    </w:p>
    <w:p w14:paraId="7A3FD082">
      <w:pPr>
        <w:pageBreakBefore w:val="0"/>
        <w:wordWrap/>
        <w:overflowPunct/>
        <w:topLinePunct w:val="0"/>
        <w:bidi w:val="0"/>
        <w:spacing w:line="460" w:lineRule="exact"/>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sz w:val="24"/>
          <w:szCs w:val="24"/>
          <w:highlight w:val="none"/>
        </w:rPr>
        <w:t xml:space="preserve"> </w:t>
      </w:r>
    </w:p>
    <w:p w14:paraId="392E0B77">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5.3.5 建筑物及其功能设施的合理使用寿命年限：</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rPr>
        <w:br w:type="textWrapping"/>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19339991">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 工程设计进度与周期</w:t>
      </w:r>
    </w:p>
    <w:p w14:paraId="627D2ECD">
      <w:pPr>
        <w:pStyle w:val="8"/>
        <w:pageBreakBefore w:val="0"/>
        <w:wordWrap/>
        <w:overflowPunct/>
        <w:topLinePunct w:val="0"/>
        <w:bidi w:val="0"/>
        <w:spacing w:before="120" w:beforeLines="0"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6.1 工程设计进度计划</w:t>
      </w:r>
    </w:p>
    <w:p w14:paraId="7AF2E900">
      <w:pPr>
        <w:pageBreakBefore w:val="0"/>
        <w:wordWrap/>
        <w:overflowPunct/>
        <w:topLinePunct w:val="0"/>
        <w:autoSpaceDE w:val="0"/>
        <w:autoSpaceDN w:val="0"/>
        <w:bidi w:val="0"/>
        <w:adjustRightInd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6.1.1 工程设计进度计划的编制</w:t>
      </w:r>
    </w:p>
    <w:p w14:paraId="228D8297">
      <w:pPr>
        <w:pageBreakBefore w:val="0"/>
        <w:wordWrap/>
        <w:overflowPunct/>
        <w:topLinePunct w:val="0"/>
        <w:autoSpaceDE w:val="0"/>
        <w:autoSpaceDN w:val="0"/>
        <w:bidi w:val="0"/>
        <w:adjustRightInd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sz w:val="24"/>
          <w:szCs w:val="24"/>
          <w:highlight w:val="none"/>
        </w:rPr>
        <w:t>合</w:t>
      </w:r>
      <w:r>
        <w:rPr>
          <w:rFonts w:hint="eastAsia" w:ascii="宋体" w:hAnsi="宋体" w:eastAsia="宋体" w:cs="宋体"/>
          <w:b w:val="0"/>
          <w:bCs w:val="0"/>
          <w:color w:val="000000"/>
          <w:kern w:val="0"/>
          <w:sz w:val="24"/>
          <w:szCs w:val="24"/>
          <w:highlight w:val="none"/>
        </w:rPr>
        <w:t>同当事人约定的工程设计进度计划提交的时间：</w:t>
      </w:r>
      <w:r>
        <w:rPr>
          <w:rFonts w:hint="eastAsia" w:ascii="宋体" w:hAnsi="宋体" w:eastAsia="宋体" w:cs="宋体"/>
          <w:b w:val="0"/>
          <w:bCs w:val="0"/>
          <w:color w:val="000000"/>
          <w:kern w:val="0"/>
          <w:sz w:val="24"/>
          <w:szCs w:val="24"/>
          <w:highlight w:val="none"/>
          <w:u w:val="single"/>
        </w:rPr>
        <w:t xml:space="preserve">         </w:t>
      </w:r>
    </w:p>
    <w:p w14:paraId="61594F11">
      <w:pPr>
        <w:pageBreakBefore w:val="0"/>
        <w:wordWrap/>
        <w:overflowPunct/>
        <w:topLinePunct w:val="0"/>
        <w:autoSpaceDE w:val="0"/>
        <w:autoSpaceDN w:val="0"/>
        <w:bidi w:val="0"/>
        <w:adjustRightInd w:val="0"/>
        <w:spacing w:line="460" w:lineRule="exact"/>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20735892">
      <w:pPr>
        <w:pageBreakBefore w:val="0"/>
        <w:wordWrap/>
        <w:overflowPunct/>
        <w:topLinePunct w:val="0"/>
        <w:autoSpaceDE w:val="0"/>
        <w:autoSpaceDN w:val="0"/>
        <w:bidi w:val="0"/>
        <w:adjustRightInd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color w:val="000000"/>
          <w:sz w:val="24"/>
          <w:szCs w:val="24"/>
          <w:highlight w:val="none"/>
        </w:rPr>
        <w:t>合</w:t>
      </w:r>
      <w:r>
        <w:rPr>
          <w:rFonts w:hint="eastAsia" w:ascii="宋体" w:hAnsi="宋体" w:eastAsia="宋体" w:cs="宋体"/>
          <w:b w:val="0"/>
          <w:bCs w:val="0"/>
          <w:color w:val="000000"/>
          <w:kern w:val="0"/>
          <w:sz w:val="24"/>
          <w:szCs w:val="24"/>
          <w:highlight w:val="none"/>
        </w:rPr>
        <w:t>同当事人约定的工程设计进度计划应包括的内容：</w:t>
      </w:r>
      <w:r>
        <w:rPr>
          <w:rFonts w:hint="eastAsia" w:ascii="宋体" w:hAnsi="宋体" w:eastAsia="宋体" w:cs="宋体"/>
          <w:b w:val="0"/>
          <w:bCs w:val="0"/>
          <w:sz w:val="24"/>
          <w:szCs w:val="24"/>
          <w:highlight w:val="none"/>
          <w:u w:val="single"/>
        </w:rPr>
        <w:t xml:space="preserve">       </w:t>
      </w:r>
    </w:p>
    <w:p w14:paraId="13E93E60">
      <w:pPr>
        <w:pageBreakBefore w:val="0"/>
        <w:wordWrap/>
        <w:overflowPunct/>
        <w:topLinePunct w:val="0"/>
        <w:autoSpaceDE w:val="0"/>
        <w:autoSpaceDN w:val="0"/>
        <w:bidi w:val="0"/>
        <w:adjustRightInd w:val="0"/>
        <w:spacing w:line="460" w:lineRule="exact"/>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21F716F">
      <w:pPr>
        <w:pageBreakBefore w:val="0"/>
        <w:wordWrap/>
        <w:overflowPunct/>
        <w:topLinePunct w:val="0"/>
        <w:autoSpaceDE w:val="0"/>
        <w:autoSpaceDN w:val="0"/>
        <w:bidi w:val="0"/>
        <w:adjustRightInd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6.1.2</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工程设计进度计划的修订</w:t>
      </w:r>
    </w:p>
    <w:p w14:paraId="7FC694D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发包人在收到工程设计进度计划后确认或提出修改意见的期限：</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60F722A6">
      <w:pPr>
        <w:pStyle w:val="8"/>
        <w:pageBreakBefore w:val="0"/>
        <w:wordWrap/>
        <w:overflowPunct/>
        <w:topLinePunct w:val="0"/>
        <w:bidi w:val="0"/>
        <w:spacing w:before="120" w:beforeLines="0"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6.3 工程设计进度延误</w:t>
      </w:r>
    </w:p>
    <w:p w14:paraId="1E29CB94">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6.3.1 </w:t>
      </w:r>
      <w:r>
        <w:rPr>
          <w:rFonts w:hint="eastAsia" w:ascii="宋体" w:hAnsi="宋体" w:eastAsia="宋体" w:cs="宋体"/>
          <w:b w:val="0"/>
          <w:bCs w:val="0"/>
          <w:color w:val="000000"/>
          <w:kern w:val="0"/>
          <w:sz w:val="24"/>
          <w:szCs w:val="24"/>
          <w:highlight w:val="none"/>
        </w:rPr>
        <w:t>因发包人原因导致工程设计进度延误</w:t>
      </w:r>
    </w:p>
    <w:p w14:paraId="09C931B8">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（4）因发包人原因导致工程设计进度延误的其他情形：</w:t>
      </w:r>
      <w:r>
        <w:rPr>
          <w:rFonts w:hint="eastAsia" w:ascii="宋体" w:hAnsi="宋体" w:eastAsia="宋体" w:cs="宋体"/>
          <w:b w:val="0"/>
          <w:bCs w:val="0"/>
          <w:sz w:val="24"/>
          <w:szCs w:val="24"/>
          <w:highlight w:val="none"/>
          <w:u w:val="single"/>
        </w:rPr>
        <w:t xml:space="preserve">    </w:t>
      </w:r>
    </w:p>
    <w:p w14:paraId="5FB227A8">
      <w:pPr>
        <w:pageBreakBefore w:val="0"/>
        <w:wordWrap/>
        <w:overflowPunct/>
        <w:topLinePunct w:val="0"/>
        <w:bidi w:val="0"/>
        <w:spacing w:line="46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08F0D97F">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设计人应在发生</w:t>
      </w:r>
      <w:r>
        <w:rPr>
          <w:rFonts w:hint="eastAsia" w:ascii="宋体" w:hAnsi="宋体" w:eastAsia="宋体" w:cs="宋体"/>
          <w:b w:val="0"/>
          <w:bCs w:val="0"/>
          <w:color w:val="000000"/>
          <w:kern w:val="0"/>
          <w:sz w:val="24"/>
          <w:szCs w:val="24"/>
          <w:highlight w:val="none"/>
        </w:rPr>
        <w:t>进度延误的情形</w:t>
      </w:r>
      <w:r>
        <w:rPr>
          <w:rFonts w:hint="eastAsia" w:ascii="宋体" w:hAnsi="宋体" w:eastAsia="宋体" w:cs="宋体"/>
          <w:b w:val="0"/>
          <w:bCs w:val="0"/>
          <w:sz w:val="24"/>
          <w:szCs w:val="24"/>
          <w:highlight w:val="none"/>
        </w:rPr>
        <w:t>后</w:t>
      </w:r>
      <w:r>
        <w:rPr>
          <w:rFonts w:hint="eastAsia" w:ascii="宋体" w:hAnsi="宋体" w:eastAsia="宋体" w:cs="宋体"/>
          <w:b w:val="0"/>
          <w:bCs w:val="0"/>
          <w:sz w:val="24"/>
          <w:szCs w:val="24"/>
          <w:highlight w:val="none"/>
          <w:u w:val="single" w:color="auto"/>
          <w:lang w:val="en-US" w:eastAsia="zh-CN"/>
        </w:rPr>
        <w:t xml:space="preserve">   </w:t>
      </w:r>
      <w:r>
        <w:rPr>
          <w:rFonts w:hint="eastAsia" w:ascii="宋体" w:hAnsi="宋体" w:eastAsia="宋体" w:cs="宋体"/>
          <w:b w:val="0"/>
          <w:bCs w:val="0"/>
          <w:sz w:val="24"/>
          <w:szCs w:val="24"/>
          <w:highlight w:val="none"/>
        </w:rPr>
        <w:t>天内向发包人发出要求延期的书面通知，在</w:t>
      </w:r>
      <w:r>
        <w:rPr>
          <w:rFonts w:hint="eastAsia" w:ascii="宋体" w:hAnsi="宋体" w:eastAsia="宋体" w:cs="宋体"/>
          <w:b w:val="0"/>
          <w:bCs w:val="0"/>
          <w:sz w:val="24"/>
          <w:szCs w:val="24"/>
          <w:highlight w:val="none"/>
          <w:lang w:eastAsia="zh-CN"/>
        </w:rPr>
        <w:t>发生该情形</w:t>
      </w:r>
      <w:r>
        <w:rPr>
          <w:rFonts w:hint="eastAsia" w:ascii="宋体" w:hAnsi="宋体" w:eastAsia="宋体" w:cs="宋体"/>
          <w:b w:val="0"/>
          <w:bCs w:val="0"/>
          <w:sz w:val="24"/>
          <w:szCs w:val="24"/>
          <w:highlight w:val="none"/>
        </w:rPr>
        <w:t>后</w:t>
      </w:r>
      <w:r>
        <w:rPr>
          <w:rFonts w:hint="eastAsia" w:ascii="宋体" w:hAnsi="宋体" w:eastAsia="宋体" w:cs="宋体"/>
          <w:b w:val="0"/>
          <w:bCs w:val="0"/>
          <w:sz w:val="24"/>
          <w:szCs w:val="24"/>
          <w:highlight w:val="none"/>
          <w:u w:val="single" w:color="auto"/>
          <w:lang w:val="en-US" w:eastAsia="zh-CN"/>
        </w:rPr>
        <w:t xml:space="preserve">   </w:t>
      </w:r>
      <w:r>
        <w:rPr>
          <w:rFonts w:hint="eastAsia" w:ascii="宋体" w:hAnsi="宋体" w:eastAsia="宋体" w:cs="宋体"/>
          <w:b w:val="0"/>
          <w:bCs w:val="0"/>
          <w:sz w:val="24"/>
          <w:szCs w:val="24"/>
          <w:highlight w:val="none"/>
        </w:rPr>
        <w:t>天内提交要求延期的详细说明。</w:t>
      </w:r>
    </w:p>
    <w:p w14:paraId="15B80422">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发包人收到设计人要求延期的详细说明后，应在</w:t>
      </w:r>
      <w:r>
        <w:rPr>
          <w:rFonts w:hint="eastAsia" w:ascii="宋体" w:hAnsi="宋体" w:eastAsia="宋体" w:cs="宋体"/>
          <w:b w:val="0"/>
          <w:bCs w:val="0"/>
          <w:sz w:val="24"/>
          <w:szCs w:val="24"/>
          <w:highlight w:val="none"/>
          <w:u w:val="single" w:color="auto"/>
          <w:lang w:val="en-US" w:eastAsia="zh-CN"/>
        </w:rPr>
        <w:t xml:space="preserve">   </w:t>
      </w:r>
      <w:r>
        <w:rPr>
          <w:rFonts w:hint="eastAsia" w:ascii="宋体" w:hAnsi="宋体" w:eastAsia="宋体" w:cs="宋体"/>
          <w:b w:val="0"/>
          <w:bCs w:val="0"/>
          <w:sz w:val="24"/>
          <w:szCs w:val="24"/>
          <w:highlight w:val="none"/>
        </w:rPr>
        <w:t>天内进行审查并书面答复。</w:t>
      </w:r>
    </w:p>
    <w:p w14:paraId="467D48E1">
      <w:pPr>
        <w:pStyle w:val="8"/>
        <w:pageBreakBefore w:val="0"/>
        <w:wordWrap/>
        <w:overflowPunct/>
        <w:topLinePunct w:val="0"/>
        <w:bidi w:val="0"/>
        <w:spacing w:before="120" w:beforeLines="0"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6.5 提前交付工程设计文件</w:t>
      </w:r>
    </w:p>
    <w:p w14:paraId="14AE545E">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6.5.2 提前交付工程设计文件的奖励：</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7D7AB459">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 工程设计文件交付</w:t>
      </w:r>
    </w:p>
    <w:p w14:paraId="11595E2F">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7.1 工程设计文件交付的内容</w:t>
      </w:r>
    </w:p>
    <w:p w14:paraId="6F8481F9">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7.1.2 发包人要求设计人提交电子版设计文件的具体形式为：</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2C83BCE0">
      <w:pPr>
        <w:pStyle w:val="7"/>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3"/>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8. 工程设计文件审查</w:t>
      </w:r>
    </w:p>
    <w:p w14:paraId="3077E11E">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8.1 发包人对设计人的设计文件审查期限不超过</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天。</w:t>
      </w:r>
    </w:p>
    <w:p w14:paraId="29F50E32">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8.3 发包人应在审查同意设计人的工程设计文件后在</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天内，向政府有关部门报送工程设计文件。</w:t>
      </w:r>
    </w:p>
    <w:p w14:paraId="4545D71C">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8.4 工程设计审查形式及时间安排：</w:t>
      </w:r>
      <w:r>
        <w:rPr>
          <w:rFonts w:hint="eastAsia" w:ascii="宋体" w:hAnsi="宋体" w:eastAsia="宋体" w:cs="宋体"/>
          <w:b w:val="0"/>
          <w:bCs w:val="0"/>
          <w:sz w:val="24"/>
          <w:szCs w:val="24"/>
          <w:highlight w:val="none"/>
          <w:u w:val="single"/>
        </w:rPr>
        <w:t xml:space="preserve">                      </w:t>
      </w:r>
    </w:p>
    <w:p w14:paraId="48633E54">
      <w:pPr>
        <w:pageBreakBefore w:val="0"/>
        <w:wordWrap/>
        <w:overflowPunct/>
        <w:topLinePunct w:val="0"/>
        <w:bidi w:val="0"/>
        <w:spacing w:line="460" w:lineRule="exact"/>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A2A67BE">
      <w:pPr>
        <w:pageBreakBefore w:val="0"/>
        <w:wordWrap/>
        <w:overflowPunct/>
        <w:topLinePunct w:val="0"/>
        <w:bidi w:val="0"/>
        <w:spacing w:before="120" w:beforeLines="0" w:after="120" w:afterLines="0" w:line="460" w:lineRule="exact"/>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color w:val="000000"/>
          <w:sz w:val="24"/>
          <w:szCs w:val="24"/>
          <w:highlight w:val="none"/>
        </w:rPr>
        <w:t>9. 施工现场配合服务</w:t>
      </w:r>
    </w:p>
    <w:p w14:paraId="32E76B61">
      <w:pPr>
        <w:pageBreakBefore w:val="0"/>
        <w:wordWrap/>
        <w:overflowPunct/>
        <w:topLinePunct w:val="0"/>
        <w:bidi w:val="0"/>
        <w:spacing w:line="460" w:lineRule="exact"/>
        <w:ind w:firstLine="360" w:firstLineChars="15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9.1 发包人为设计人派赴现场的工作人员提供便利条件的内容包括：</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7F34CA81">
      <w:pPr>
        <w:pageBreakBefore w:val="0"/>
        <w:wordWrap/>
        <w:overflowPunct/>
        <w:topLinePunct w:val="0"/>
        <w:bidi w:val="0"/>
        <w:spacing w:line="460" w:lineRule="exact"/>
        <w:ind w:firstLine="360" w:firstLineChars="15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9.2 设计人应当在交付施工图设计文件并经审查合格后</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时间内提供施工现场配合服务。</w:t>
      </w:r>
    </w:p>
    <w:p w14:paraId="4B54ABC8">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 合同价款与支付</w:t>
      </w:r>
    </w:p>
    <w:p w14:paraId="4BD6B40C">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10.2 合同价格形式</w:t>
      </w:r>
    </w:p>
    <w:p w14:paraId="60E5B2A5">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（1）单价合同</w:t>
      </w:r>
    </w:p>
    <w:p w14:paraId="71BDD9EC">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单价包含的风险范围：</w:t>
      </w:r>
      <w:r>
        <w:rPr>
          <w:rFonts w:hint="eastAsia" w:ascii="宋体" w:hAnsi="宋体" w:eastAsia="宋体" w:cs="宋体"/>
          <w:b w:val="0"/>
          <w:bCs w:val="0"/>
          <w:color w:val="000000"/>
          <w:sz w:val="24"/>
          <w:szCs w:val="24"/>
          <w:highlight w:val="none"/>
          <w:u w:val="single"/>
        </w:rPr>
        <w:t xml:space="preserve">                                  </w:t>
      </w:r>
    </w:p>
    <w:p w14:paraId="0823327D">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02BD10F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风险费用的计算方法：</w:t>
      </w:r>
      <w:r>
        <w:rPr>
          <w:rFonts w:hint="eastAsia" w:ascii="宋体" w:hAnsi="宋体" w:eastAsia="宋体" w:cs="宋体"/>
          <w:b w:val="0"/>
          <w:bCs w:val="0"/>
          <w:color w:val="000000"/>
          <w:sz w:val="24"/>
          <w:szCs w:val="24"/>
          <w:highlight w:val="none"/>
          <w:u w:val="single"/>
        </w:rPr>
        <w:t xml:space="preserve">                                  </w:t>
      </w:r>
    </w:p>
    <w:p w14:paraId="1CEC1FB6">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5DF3A43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风险范围以外合同价格的调整方法：</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34F1E4E2">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4AD8D05">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（2）总价合同</w:t>
      </w:r>
    </w:p>
    <w:p w14:paraId="22452327">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总价包含的风险范围：</w:t>
      </w:r>
      <w:r>
        <w:rPr>
          <w:rFonts w:hint="eastAsia" w:ascii="宋体" w:hAnsi="宋体" w:eastAsia="宋体" w:cs="宋体"/>
          <w:b w:val="0"/>
          <w:bCs w:val="0"/>
          <w:color w:val="000000"/>
          <w:sz w:val="24"/>
          <w:szCs w:val="24"/>
          <w:highlight w:val="none"/>
          <w:u w:val="single"/>
        </w:rPr>
        <w:t xml:space="preserve">                                  </w:t>
      </w:r>
    </w:p>
    <w:p w14:paraId="2DB66978">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4A84A3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风险费用的计算方法：</w:t>
      </w:r>
      <w:r>
        <w:rPr>
          <w:rFonts w:hint="eastAsia" w:ascii="宋体" w:hAnsi="宋体" w:eastAsia="宋体" w:cs="宋体"/>
          <w:b w:val="0"/>
          <w:bCs w:val="0"/>
          <w:color w:val="000000"/>
          <w:sz w:val="24"/>
          <w:szCs w:val="24"/>
          <w:highlight w:val="none"/>
          <w:u w:val="single"/>
        </w:rPr>
        <w:t xml:space="preserve">                                  </w:t>
      </w:r>
    </w:p>
    <w:p w14:paraId="597A31B7">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2B75A6E">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风险范围以外合同价格的调整方法：</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38430C04">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A340D3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（3）其他价格形式：</w:t>
      </w:r>
      <w:r>
        <w:rPr>
          <w:rFonts w:hint="eastAsia" w:ascii="宋体" w:hAnsi="宋体" w:eastAsia="宋体" w:cs="宋体"/>
          <w:b w:val="0"/>
          <w:bCs w:val="0"/>
          <w:color w:val="000000"/>
          <w:sz w:val="24"/>
          <w:szCs w:val="24"/>
          <w:highlight w:val="none"/>
          <w:u w:val="single"/>
        </w:rPr>
        <w:t xml:space="preserve">                                   </w:t>
      </w:r>
    </w:p>
    <w:p w14:paraId="36C8F448">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6D228C58">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60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10.3 定金或预付款</w:t>
      </w:r>
    </w:p>
    <w:p w14:paraId="4E9702FB">
      <w:pPr>
        <w:pageBreakBefore w:val="0"/>
        <w:wordWrap/>
        <w:overflowPunct/>
        <w:topLinePunct w:val="0"/>
        <w:bidi w:val="0"/>
        <w:spacing w:line="460" w:lineRule="exact"/>
        <w:ind w:firstLine="6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10.3.1 定金或预付款的比例</w:t>
      </w:r>
    </w:p>
    <w:p w14:paraId="1DFE6085">
      <w:pPr>
        <w:pageBreakBefore w:val="0"/>
        <w:wordWrap/>
        <w:overflowPunct/>
        <w:topLinePunct w:val="0"/>
        <w:bidi w:val="0"/>
        <w:spacing w:line="460" w:lineRule="exact"/>
        <w:ind w:firstLine="6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定金的比例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或预付款的比例</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49151071">
      <w:pPr>
        <w:pageBreakBefore w:val="0"/>
        <w:wordWrap/>
        <w:overflowPunct/>
        <w:topLinePunct w:val="0"/>
        <w:bidi w:val="0"/>
        <w:spacing w:line="460" w:lineRule="exact"/>
        <w:ind w:firstLine="6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10.3.2 定金或预付款的支付</w:t>
      </w:r>
    </w:p>
    <w:p w14:paraId="01B5D5DF">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定金或预付款的支付时间：</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，但</w:t>
      </w:r>
      <w:r>
        <w:rPr>
          <w:rFonts w:hint="eastAsia" w:ascii="宋体" w:hAnsi="宋体" w:eastAsia="宋体" w:cs="宋体"/>
          <w:b w:val="0"/>
          <w:bCs w:val="0"/>
          <w:color w:val="000000"/>
          <w:kern w:val="0"/>
          <w:sz w:val="24"/>
          <w:szCs w:val="24"/>
          <w:highlight w:val="none"/>
        </w:rPr>
        <w:t>最迟应在开始设计通知载明的开始设计日期</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天前支付。</w:t>
      </w:r>
    </w:p>
    <w:p w14:paraId="6E97C703">
      <w:pPr>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lang w:eastAsia="zh-CN"/>
        </w:rPr>
        <w:t>工程设计变更与索赔</w:t>
      </w:r>
    </w:p>
    <w:p w14:paraId="466FEFFC">
      <w:pPr>
        <w:pageBreakBefore w:val="0"/>
        <w:wordWrap/>
        <w:overflowPunct/>
        <w:topLinePunct w:val="0"/>
        <w:bidi w:val="0"/>
        <w:spacing w:line="46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11.5 设计人应于认为有理由提出增加合同价款或延长设计周期的要求事项发生后</w:t>
      </w:r>
      <w:r>
        <w:rPr>
          <w:rFonts w:hint="eastAsia" w:ascii="宋体" w:hAnsi="宋体" w:eastAsia="宋体" w:cs="宋体"/>
          <w:b w:val="0"/>
          <w:bCs w:val="0"/>
          <w:kern w:val="0"/>
          <w:sz w:val="24"/>
          <w:szCs w:val="24"/>
          <w:highlight w:val="none"/>
          <w:u w:val="single" w:color="auto"/>
          <w:lang w:val="en-US" w:eastAsia="zh-CN"/>
        </w:rPr>
        <w:t xml:space="preserve">    </w:t>
      </w:r>
      <w:r>
        <w:rPr>
          <w:rFonts w:hint="eastAsia" w:ascii="宋体" w:hAnsi="宋体" w:eastAsia="宋体" w:cs="宋体"/>
          <w:b w:val="0"/>
          <w:bCs w:val="0"/>
          <w:kern w:val="0"/>
          <w:sz w:val="24"/>
          <w:szCs w:val="24"/>
          <w:highlight w:val="none"/>
        </w:rPr>
        <w:t>天内书面通知发包人。</w:t>
      </w:r>
    </w:p>
    <w:p w14:paraId="6900E8A7">
      <w:pPr>
        <w:pageBreakBefore w:val="0"/>
        <w:wordWrap/>
        <w:overflowPunct/>
        <w:topLinePunct w:val="0"/>
        <w:bidi w:val="0"/>
        <w:spacing w:line="46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设计人应在该事项发生后</w:t>
      </w:r>
      <w:r>
        <w:rPr>
          <w:rFonts w:hint="eastAsia" w:ascii="宋体" w:hAnsi="宋体" w:eastAsia="宋体" w:cs="宋体"/>
          <w:b w:val="0"/>
          <w:bCs w:val="0"/>
          <w:kern w:val="0"/>
          <w:sz w:val="24"/>
          <w:szCs w:val="24"/>
          <w:highlight w:val="none"/>
          <w:u w:val="single" w:color="auto"/>
          <w:lang w:val="en-US" w:eastAsia="zh-CN"/>
        </w:rPr>
        <w:t xml:space="preserve">    </w:t>
      </w:r>
      <w:r>
        <w:rPr>
          <w:rFonts w:hint="eastAsia" w:ascii="宋体" w:hAnsi="宋体" w:eastAsia="宋体" w:cs="宋体"/>
          <w:b w:val="0"/>
          <w:bCs w:val="0"/>
          <w:kern w:val="0"/>
          <w:sz w:val="24"/>
          <w:szCs w:val="24"/>
          <w:highlight w:val="none"/>
        </w:rPr>
        <w:t>天内向发包人提供证明设计人要求的书面声明。</w:t>
      </w:r>
    </w:p>
    <w:p w14:paraId="1C045D4C">
      <w:pPr>
        <w:pageBreakBefore w:val="0"/>
        <w:wordWrap/>
        <w:overflowPunct/>
        <w:topLinePunct w:val="0"/>
        <w:bidi w:val="0"/>
        <w:spacing w:line="46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发包人应在接到设计人书面声明后的</w:t>
      </w:r>
      <w:r>
        <w:rPr>
          <w:rFonts w:hint="eastAsia" w:ascii="宋体" w:hAnsi="宋体" w:eastAsia="宋体" w:cs="宋体"/>
          <w:b w:val="0"/>
          <w:bCs w:val="0"/>
          <w:kern w:val="0"/>
          <w:sz w:val="24"/>
          <w:szCs w:val="24"/>
          <w:highlight w:val="none"/>
          <w:u w:val="single" w:color="auto"/>
          <w:lang w:val="en-US" w:eastAsia="zh-CN"/>
        </w:rPr>
        <w:t xml:space="preserve">    </w:t>
      </w:r>
      <w:r>
        <w:rPr>
          <w:rFonts w:hint="eastAsia" w:ascii="宋体" w:hAnsi="宋体" w:eastAsia="宋体" w:cs="宋体"/>
          <w:b w:val="0"/>
          <w:bCs w:val="0"/>
          <w:kern w:val="0"/>
          <w:sz w:val="24"/>
          <w:szCs w:val="24"/>
          <w:highlight w:val="none"/>
        </w:rPr>
        <w:t>天内，予以书面答复。</w:t>
      </w:r>
    </w:p>
    <w:p w14:paraId="0C0BD271">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12. 专业责任与保险</w:t>
      </w:r>
    </w:p>
    <w:p w14:paraId="1A010E8E">
      <w:pPr>
        <w:pageBreakBefore w:val="0"/>
        <w:wordWrap/>
        <w:overflowPunct/>
        <w:topLinePunct w:val="0"/>
        <w:bidi w:val="0"/>
        <w:spacing w:line="460" w:lineRule="exact"/>
        <w:ind w:firstLine="600" w:firstLineChars="25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12.2 设计人</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（需/不需）有发包人认可的工程设计责任保险。</w:t>
      </w:r>
    </w:p>
    <w:p w14:paraId="786ED1F7">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 知识产权</w:t>
      </w:r>
    </w:p>
    <w:p w14:paraId="314DD34F">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b w:val="0"/>
          <w:bCs w:val="0"/>
          <w:color w:val="000000"/>
          <w:sz w:val="24"/>
          <w:szCs w:val="24"/>
          <w:highlight w:val="none"/>
          <w:u w:val="single"/>
        </w:rPr>
        <w:t xml:space="preserve">                      </w:t>
      </w:r>
    </w:p>
    <w:p w14:paraId="49271E1E">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710DF645">
      <w:pPr>
        <w:pageBreakBefore w:val="0"/>
        <w:wordWrap/>
        <w:overflowPunct/>
        <w:topLinePunct w:val="0"/>
        <w:bidi w:val="0"/>
        <w:spacing w:line="460" w:lineRule="exact"/>
        <w:ind w:left="596" w:leftChars="284"/>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关于发包人提供的上述文件的使用限制的要求：</w:t>
      </w:r>
      <w:r>
        <w:rPr>
          <w:rFonts w:hint="eastAsia" w:ascii="宋体" w:hAnsi="宋体" w:eastAsia="宋体" w:cs="宋体"/>
          <w:b w:val="0"/>
          <w:bCs w:val="0"/>
          <w:color w:val="000000"/>
          <w:sz w:val="24"/>
          <w:szCs w:val="24"/>
          <w:highlight w:val="none"/>
          <w:u w:val="single"/>
        </w:rPr>
        <w:t xml:space="preserve">            </w:t>
      </w:r>
    </w:p>
    <w:p w14:paraId="21C35F80">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7C549142">
      <w:pPr>
        <w:pageBreakBefore w:val="0"/>
        <w:wordWrap/>
        <w:overflowPunct/>
        <w:topLinePunct w:val="0"/>
        <w:bidi w:val="0"/>
        <w:spacing w:line="460" w:lineRule="exact"/>
        <w:ind w:left="596" w:leftChars="284"/>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 关于设计人为实施工程所编制文件的著作权的归属：</w:t>
      </w:r>
      <w:r>
        <w:rPr>
          <w:rFonts w:hint="eastAsia" w:ascii="宋体" w:hAnsi="宋体" w:eastAsia="宋体" w:cs="宋体"/>
          <w:b w:val="0"/>
          <w:bCs w:val="0"/>
          <w:color w:val="000000"/>
          <w:sz w:val="24"/>
          <w:szCs w:val="24"/>
          <w:highlight w:val="none"/>
          <w:u w:val="single"/>
        </w:rPr>
        <w:t xml:space="preserve">    </w:t>
      </w:r>
    </w:p>
    <w:p w14:paraId="23DF33A9">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                        </w:t>
      </w:r>
      <w:r>
        <w:rPr>
          <w:rFonts w:hint="eastAsia" w:ascii="宋体" w:hAnsi="宋体" w:eastAsia="宋体" w:cs="宋体"/>
          <w:b w:val="0"/>
          <w:bCs w:val="0"/>
          <w:color w:val="000000"/>
          <w:sz w:val="24"/>
          <w:szCs w:val="24"/>
          <w:highlight w:val="none"/>
        </w:rPr>
        <w:t>。</w:t>
      </w:r>
    </w:p>
    <w:p w14:paraId="0F2B4FE2">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关于设计人提供的上述文件的使用限制的要求：</w:t>
      </w:r>
      <w:r>
        <w:rPr>
          <w:rFonts w:hint="eastAsia" w:ascii="宋体" w:hAnsi="宋体" w:eastAsia="宋体" w:cs="宋体"/>
          <w:b w:val="0"/>
          <w:bCs w:val="0"/>
          <w:color w:val="000000"/>
          <w:sz w:val="24"/>
          <w:szCs w:val="24"/>
          <w:highlight w:val="none"/>
          <w:u w:val="single"/>
        </w:rPr>
        <w:t>   </w:t>
      </w:r>
    </w:p>
    <w:p w14:paraId="3EBE3CCE">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                 </w:t>
      </w:r>
      <w:r>
        <w:rPr>
          <w:rFonts w:hint="eastAsia" w:ascii="宋体" w:hAnsi="宋体" w:eastAsia="宋体" w:cs="宋体"/>
          <w:b w:val="0"/>
          <w:bCs w:val="0"/>
          <w:color w:val="000000"/>
          <w:sz w:val="24"/>
          <w:szCs w:val="24"/>
          <w:highlight w:val="none"/>
        </w:rPr>
        <w:t>。</w:t>
      </w:r>
    </w:p>
    <w:p w14:paraId="7C0B2B5D">
      <w:pPr>
        <w:pageBreakBefore w:val="0"/>
        <w:wordWrap/>
        <w:overflowPunct/>
        <w:topLinePunct w:val="0"/>
        <w:bidi w:val="0"/>
        <w:spacing w:line="460" w:lineRule="exact"/>
        <w:ind w:firstLine="6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13.5 设计人在设计过程中所采用的专利、专有技术的使用费的承担方式：</w:t>
      </w:r>
      <w:r>
        <w:rPr>
          <w:rFonts w:hint="eastAsia" w:ascii="宋体" w:hAnsi="宋体" w:eastAsia="宋体" w:cs="宋体"/>
          <w:b w:val="0"/>
          <w:bCs w:val="0"/>
          <w:color w:val="000000"/>
          <w:sz w:val="24"/>
          <w:szCs w:val="24"/>
          <w:highlight w:val="none"/>
          <w:u w:val="single"/>
        </w:rPr>
        <w:t xml:space="preserve">                                                </w:t>
      </w:r>
    </w:p>
    <w:p w14:paraId="0BD586FC">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22C76248">
      <w:pPr>
        <w:pStyle w:val="7"/>
        <w:pageBreakBefore w:val="0"/>
        <w:wordWrap/>
        <w:overflowPunct/>
        <w:topLinePunct w:val="0"/>
        <w:bidi w:val="0"/>
        <w:spacing w:before="120" w:beforeLines="0" w:after="120" w:afterLines="0"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 违约责任</w:t>
      </w:r>
    </w:p>
    <w:p w14:paraId="02A3D835">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14.1 发包人违约责任</w:t>
      </w:r>
    </w:p>
    <w:p w14:paraId="64ABB3FF">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14.1.1 发包人支付设计人的违约金：</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079D5C8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14.1.2 发包人逾期支付设计费的违约金</w:t>
      </w:r>
      <w:r>
        <w:rPr>
          <w:rFonts w:hint="eastAsia" w:ascii="宋体" w:hAnsi="宋体" w:eastAsia="宋体" w:cs="宋体"/>
          <w:b w:val="0"/>
          <w:bCs w:val="0"/>
          <w:color w:val="000000"/>
          <w:kern w:val="0"/>
          <w:sz w:val="24"/>
          <w:szCs w:val="24"/>
          <w:highlight w:val="none"/>
          <w:u w:val="none" w:color="auto"/>
          <w:lang w:eastAsia="zh-CN"/>
        </w:rPr>
        <w:t>：</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86FF4B8">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14.2 设计人违约责任</w:t>
      </w:r>
    </w:p>
    <w:p w14:paraId="23AEDE28">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14.2.1 设计人支付发包人的违约金：</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7421070">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14.2.2 设计人逾期交付工程设计文件的违约金：</w:t>
      </w:r>
      <w:r>
        <w:rPr>
          <w:rFonts w:hint="eastAsia" w:ascii="宋体" w:hAnsi="宋体" w:eastAsia="宋体" w:cs="宋体"/>
          <w:b w:val="0"/>
          <w:bCs w:val="0"/>
          <w:color w:val="000000"/>
          <w:kern w:val="0"/>
          <w:sz w:val="24"/>
          <w:szCs w:val="24"/>
          <w:highlight w:val="none"/>
          <w:u w:val="single"/>
        </w:rPr>
        <w:t xml:space="preserve">            </w:t>
      </w:r>
    </w:p>
    <w:p w14:paraId="74F56185">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67421FC">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设计人逾期交付工程设计文件的违约金的上限：</w:t>
      </w:r>
      <w:r>
        <w:rPr>
          <w:rFonts w:hint="eastAsia" w:ascii="宋体" w:hAnsi="宋体" w:eastAsia="宋体" w:cs="宋体"/>
          <w:b w:val="0"/>
          <w:bCs w:val="0"/>
          <w:color w:val="000000"/>
          <w:kern w:val="0"/>
          <w:sz w:val="24"/>
          <w:szCs w:val="24"/>
          <w:highlight w:val="none"/>
          <w:u w:val="single"/>
        </w:rPr>
        <w:t xml:space="preserve">           </w:t>
      </w:r>
    </w:p>
    <w:p w14:paraId="606F05BF">
      <w:pPr>
        <w:pageBreakBefore w:val="0"/>
        <w:wordWrap/>
        <w:overflowPunct/>
        <w:topLinePunct w:val="0"/>
        <w:bidi w:val="0"/>
        <w:spacing w:line="460" w:lineRule="exact"/>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sz w:val="24"/>
          <w:szCs w:val="24"/>
          <w:highlight w:val="none"/>
        </w:rPr>
        <w:t xml:space="preserve">    </w:t>
      </w:r>
    </w:p>
    <w:p w14:paraId="28A2C7B6">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14.2.3 设计人设计文件不合格的损失赔偿金的上限</w:t>
      </w:r>
      <w:r>
        <w:rPr>
          <w:rFonts w:hint="eastAsia" w:ascii="宋体" w:hAnsi="宋体" w:eastAsia="宋体" w:cs="宋体"/>
          <w:b w:val="0"/>
          <w:bCs w:val="0"/>
          <w:color w:val="000000"/>
          <w:sz w:val="24"/>
          <w:szCs w:val="24"/>
          <w:highlight w:val="none"/>
          <w:u w:val="none" w:color="auto"/>
          <w:lang w:eastAsia="zh-CN"/>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none" w:color="auto"/>
        </w:rPr>
        <w:t xml:space="preserve"> </w:t>
      </w:r>
    </w:p>
    <w:p w14:paraId="71D9C080">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0CB9DADD">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sz w:val="24"/>
          <w:szCs w:val="24"/>
          <w:highlight w:val="none"/>
        </w:rPr>
        <w:t>14.2.4 设计人工程设计文件超出</w:t>
      </w:r>
      <w:r>
        <w:rPr>
          <w:rFonts w:hint="eastAsia" w:ascii="宋体" w:hAnsi="宋体" w:eastAsia="宋体" w:cs="宋体"/>
          <w:b w:val="0"/>
          <w:bCs w:val="0"/>
          <w:color w:val="000000"/>
          <w:kern w:val="0"/>
          <w:sz w:val="24"/>
          <w:szCs w:val="24"/>
          <w:highlight w:val="none"/>
        </w:rPr>
        <w:t>主要技术指标控制值比例</w:t>
      </w:r>
      <w:r>
        <w:rPr>
          <w:rFonts w:hint="eastAsia" w:ascii="宋体" w:hAnsi="宋体" w:eastAsia="宋体" w:cs="宋体"/>
          <w:b w:val="0"/>
          <w:bCs w:val="0"/>
          <w:color w:val="000000"/>
          <w:sz w:val="24"/>
          <w:szCs w:val="24"/>
          <w:highlight w:val="none"/>
        </w:rPr>
        <w:t>的违约责任：</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u w:val="single"/>
        </w:rPr>
        <w:t xml:space="preserve">                                                </w:t>
      </w:r>
    </w:p>
    <w:p w14:paraId="4E199EAD">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11C9C4AD">
      <w:pPr>
        <w:pageBreakBefore w:val="0"/>
        <w:wordWrap/>
        <w:overflowPunct/>
        <w:topLinePunct w:val="0"/>
        <w:bidi w:val="0"/>
        <w:spacing w:line="460" w:lineRule="exact"/>
        <w:ind w:firstLine="480" w:firstLineChars="200"/>
        <w:jc w:val="left"/>
        <w:rPr>
          <w:rFonts w:hint="eastAsia" w:ascii="宋体" w:hAnsi="宋体" w:eastAsia="宋体" w:cs="宋体"/>
          <w:b w:val="0"/>
          <w:bCs w:val="0"/>
          <w:kern w:val="0"/>
          <w:sz w:val="24"/>
          <w:szCs w:val="24"/>
          <w:highlight w:val="none"/>
          <w:u w:val="single"/>
        </w:rPr>
      </w:pPr>
      <w:r>
        <w:rPr>
          <w:rFonts w:hint="eastAsia" w:ascii="宋体" w:hAnsi="宋体" w:eastAsia="宋体" w:cs="宋体"/>
          <w:b w:val="0"/>
          <w:bCs w:val="0"/>
          <w:kern w:val="0"/>
          <w:sz w:val="24"/>
          <w:szCs w:val="24"/>
          <w:highlight w:val="none"/>
        </w:rPr>
        <w:t>14.2.5 设计人未经发包人同意擅自对工程设计进行分包的违约责任：</w:t>
      </w:r>
      <w:r>
        <w:rPr>
          <w:rFonts w:hint="eastAsia" w:ascii="宋体" w:hAnsi="宋体" w:eastAsia="宋体" w:cs="宋体"/>
          <w:b w:val="0"/>
          <w:bCs w:val="0"/>
          <w:kern w:val="0"/>
          <w:sz w:val="24"/>
          <w:szCs w:val="24"/>
          <w:highlight w:val="none"/>
          <w:u w:val="single"/>
        </w:rPr>
        <w:t xml:space="preserve">                                                    </w:t>
      </w:r>
    </w:p>
    <w:p w14:paraId="27D0FC61">
      <w:pPr>
        <w:pageBreakBefore w:val="0"/>
        <w:wordWrap/>
        <w:overflowPunct/>
        <w:topLinePunct w:val="0"/>
        <w:bidi w:val="0"/>
        <w:spacing w:line="460" w:lineRule="exact"/>
        <w:jc w:val="left"/>
        <w:rPr>
          <w:rFonts w:hint="eastAsia" w:ascii="宋体" w:hAnsi="宋体" w:eastAsia="宋体" w:cs="宋体"/>
          <w:b w:val="0"/>
          <w:bCs w:val="0"/>
          <w:kern w:val="0"/>
          <w:sz w:val="24"/>
          <w:szCs w:val="24"/>
          <w:highlight w:val="none"/>
          <w:u w:val="single"/>
        </w:rPr>
      </w:pPr>
      <w:r>
        <w:rPr>
          <w:rFonts w:hint="eastAsia" w:ascii="宋体" w:hAnsi="宋体" w:eastAsia="宋体" w:cs="宋体"/>
          <w:b w:val="0"/>
          <w:bCs w:val="0"/>
          <w:kern w:val="0"/>
          <w:sz w:val="24"/>
          <w:szCs w:val="24"/>
          <w:highlight w:val="none"/>
          <w:u w:val="single"/>
        </w:rPr>
        <w:t xml:space="preserve">                                                         </w:t>
      </w:r>
      <w:r>
        <w:rPr>
          <w:rFonts w:hint="eastAsia" w:ascii="宋体" w:hAnsi="宋体" w:eastAsia="宋体" w:cs="宋体"/>
          <w:b w:val="0"/>
          <w:bCs w:val="0"/>
          <w:kern w:val="0"/>
          <w:sz w:val="24"/>
          <w:szCs w:val="24"/>
          <w:highlight w:val="none"/>
        </w:rPr>
        <w:t>。</w:t>
      </w:r>
    </w:p>
    <w:p w14:paraId="46046272">
      <w:pPr>
        <w:pStyle w:val="7"/>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3"/>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15. 不可抗力 </w:t>
      </w:r>
    </w:p>
    <w:p w14:paraId="48373CD6">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15.1 不可抗力的确认</w:t>
      </w:r>
    </w:p>
    <w:p w14:paraId="04516CB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除通用合同条款约定的不可抗力事件之外，视为不可抗力的其他情形：</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1AA592B6">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 xml:space="preserve">16. 合同解除 </w:t>
      </w:r>
    </w:p>
    <w:p w14:paraId="10BBBA13">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16.2 </w:t>
      </w:r>
      <w:r>
        <w:rPr>
          <w:rFonts w:hint="eastAsia" w:ascii="宋体" w:hAnsi="宋体" w:eastAsia="宋体" w:cs="宋体"/>
          <w:b w:val="0"/>
          <w:bCs w:val="0"/>
          <w:color w:val="000000"/>
          <w:sz w:val="24"/>
          <w:szCs w:val="24"/>
          <w:highlight w:val="none"/>
        </w:rPr>
        <w:t>有下列情形之一的，可以解除合同：</w:t>
      </w:r>
    </w:p>
    <w:p w14:paraId="1F1C96BA">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（3）暂停设计期限已连续超过</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天。</w:t>
      </w:r>
    </w:p>
    <w:p w14:paraId="6D9866F1">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 xml:space="preserve">16.4 </w:t>
      </w:r>
      <w:r>
        <w:rPr>
          <w:rFonts w:hint="eastAsia" w:ascii="宋体" w:hAnsi="宋体" w:eastAsia="宋体" w:cs="宋体"/>
          <w:b w:val="0"/>
          <w:bCs w:val="0"/>
          <w:color w:val="000000"/>
          <w:sz w:val="24"/>
          <w:szCs w:val="24"/>
          <w:highlight w:val="none"/>
        </w:rPr>
        <w:t>发包人向设计人支付已完工作设计费的期限为</w:t>
      </w:r>
      <w:r>
        <w:rPr>
          <w:rFonts w:hint="eastAsia" w:ascii="宋体" w:hAnsi="宋体" w:eastAsia="宋体" w:cs="宋体"/>
          <w:b w:val="0"/>
          <w:bCs w:val="0"/>
          <w:color w:val="000000"/>
          <w:sz w:val="24"/>
          <w:szCs w:val="24"/>
          <w:highlight w:val="none"/>
          <w:u w:val="single" w:color="auto"/>
        </w:rPr>
        <w:t xml:space="preserve">     </w:t>
      </w:r>
      <w:r>
        <w:rPr>
          <w:rFonts w:hint="eastAsia" w:ascii="宋体" w:hAnsi="宋体" w:eastAsia="宋体" w:cs="宋体"/>
          <w:b w:val="0"/>
          <w:bCs w:val="0"/>
          <w:color w:val="000000"/>
          <w:sz w:val="24"/>
          <w:szCs w:val="24"/>
          <w:highlight w:val="none"/>
        </w:rPr>
        <w:t>天内。</w:t>
      </w:r>
    </w:p>
    <w:p w14:paraId="75A390AC">
      <w:pPr>
        <w:pStyle w:val="7"/>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3"/>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 争议解决</w:t>
      </w:r>
    </w:p>
    <w:p w14:paraId="5ED19447">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17.3 争议评审</w:t>
      </w:r>
    </w:p>
    <w:p w14:paraId="5E9A4DBE">
      <w:pPr>
        <w:pageBreakBefore w:val="0"/>
        <w:wordWrap/>
        <w:overflowPunct/>
        <w:topLinePunct w:val="0"/>
        <w:bidi w:val="0"/>
        <w:spacing w:line="460" w:lineRule="exact"/>
        <w:ind w:left="149" w:leftChars="71" w:firstLine="360" w:firstLineChars="15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合同当事人是否同意将工程争议提交争议评审小组决定：</w:t>
      </w:r>
      <w:r>
        <w:rPr>
          <w:rFonts w:hint="eastAsia" w:ascii="宋体" w:hAnsi="宋体" w:eastAsia="宋体" w:cs="宋体"/>
          <w:b w:val="0"/>
          <w:bCs w:val="0"/>
          <w:color w:val="000000"/>
          <w:sz w:val="24"/>
          <w:szCs w:val="24"/>
          <w:highlight w:val="none"/>
          <w:u w:val="single"/>
        </w:rPr>
        <w:t xml:space="preserve">    </w:t>
      </w:r>
    </w:p>
    <w:p w14:paraId="7D288226">
      <w:pPr>
        <w:pageBreakBefore w:val="0"/>
        <w:wordWrap/>
        <w:overflowPunct/>
        <w:topLinePunct w:val="0"/>
        <w:bidi w:val="0"/>
        <w:spacing w:line="4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7A682442">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17.3.1 争议评审小组的确定</w:t>
      </w:r>
    </w:p>
    <w:p w14:paraId="30AD3A95">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争议评审小组成员的确定：</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6ECF6D01">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选定争议评审员的期限：</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3B1CA4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rPr>
        <w:t>评审所发生的费用</w:t>
      </w:r>
      <w:r>
        <w:rPr>
          <w:rFonts w:hint="eastAsia" w:ascii="宋体" w:hAnsi="宋体" w:eastAsia="宋体" w:cs="宋体"/>
          <w:b w:val="0"/>
          <w:bCs w:val="0"/>
          <w:color w:val="000000"/>
          <w:sz w:val="24"/>
          <w:szCs w:val="24"/>
          <w:highlight w:val="none"/>
        </w:rPr>
        <w:t>承担方式：</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23B60C13">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其他事项的约定：</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30C15F96">
      <w:pPr>
        <w:pageBreakBefore w:val="0"/>
        <w:wordWrap/>
        <w:overflowPunct/>
        <w:topLinePunct w:val="0"/>
        <w:autoSpaceDE w:val="0"/>
        <w:autoSpaceDN w:val="0"/>
        <w:bidi w:val="0"/>
        <w:adjustRightInd w:val="0"/>
        <w:spacing w:line="460" w:lineRule="exact"/>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17.3.2 争议评审小组的决定</w:t>
      </w:r>
    </w:p>
    <w:p w14:paraId="58748C1F">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合同当事人关于本事项的约定：</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14:paraId="003A24E1">
      <w:pPr>
        <w:keepNext w:val="0"/>
        <w:keepLines w:val="0"/>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480" w:firstLineChars="20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17.4 仲裁或诉讼</w:t>
      </w:r>
    </w:p>
    <w:p w14:paraId="67045FF3">
      <w:pPr>
        <w:pageBreakBefore w:val="0"/>
        <w:wordWrap/>
        <w:overflowPunct/>
        <w:topLinePunct w:val="0"/>
        <w:bidi w:val="0"/>
        <w:spacing w:after="120" w:afterLines="0"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因合同及合同有关事项发生的争议，按下列第</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种方式解决：</w:t>
      </w:r>
    </w:p>
    <w:p w14:paraId="4DBB0284">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（1）向</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仲裁委员会申请仲裁；</w:t>
      </w:r>
    </w:p>
    <w:p w14:paraId="5128B069">
      <w:pPr>
        <w:pageBreakBefore w:val="0"/>
        <w:wordWrap/>
        <w:overflowPunct/>
        <w:topLinePunct w:val="0"/>
        <w:bidi w:val="0"/>
        <w:spacing w:line="46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（2）向</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人民法院起诉。</w:t>
      </w:r>
    </w:p>
    <w:p w14:paraId="1475EEED">
      <w:pPr>
        <w:pStyle w:val="7"/>
        <w:keepNext/>
        <w:keepLines/>
        <w:pageBreakBefore w:val="0"/>
        <w:widowControl w:val="0"/>
        <w:kinsoku/>
        <w:wordWrap/>
        <w:overflowPunct/>
        <w:topLinePunct w:val="0"/>
        <w:autoSpaceDE/>
        <w:autoSpaceDN/>
        <w:bidi w:val="0"/>
        <w:adjustRightInd/>
        <w:snapToGrid/>
        <w:spacing w:before="120" w:beforeLines="0" w:after="120" w:afterLines="0" w:line="460" w:lineRule="exact"/>
        <w:ind w:left="0" w:leftChars="0" w:right="0" w:rightChars="0" w:firstLine="0" w:firstLineChars="0"/>
        <w:jc w:val="left"/>
        <w:textAlignment w:val="auto"/>
        <w:outlineLvl w:val="3"/>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 其他（如果没有，填“无”）</w:t>
      </w:r>
    </w:p>
    <w:p w14:paraId="43297961">
      <w:pPr>
        <w:pageBreakBefore w:val="0"/>
        <w:wordWrap/>
        <w:overflowPunct/>
        <w:topLinePunct w:val="0"/>
        <w:bidi w:val="0"/>
        <w:spacing w:line="46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u w:val="single"/>
        </w:rPr>
        <w:t xml:space="preserve">                                                                               </w:t>
      </w:r>
    </w:p>
    <w:p w14:paraId="72C9502A">
      <w:pPr>
        <w:pageBreakBefore w:val="0"/>
        <w:wordWrap/>
        <w:overflowPunct/>
        <w:topLinePunct w:val="0"/>
        <w:bidi w:val="0"/>
        <w:spacing w:line="460" w:lineRule="exact"/>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none" w:color="auto"/>
          <w:lang w:eastAsia="zh-CN"/>
        </w:rPr>
        <w:t>。</w:t>
      </w:r>
      <w:r>
        <w:rPr>
          <w:rFonts w:hint="eastAsia" w:ascii="宋体" w:hAnsi="宋体" w:eastAsia="宋体" w:cs="宋体"/>
          <w:b w:val="0"/>
          <w:bCs w:val="0"/>
          <w:sz w:val="24"/>
          <w:szCs w:val="24"/>
          <w:highlight w:val="none"/>
          <w:u w:val="none" w:color="auto"/>
        </w:rPr>
        <w:t xml:space="preserve"> </w:t>
      </w:r>
    </w:p>
    <w:p w14:paraId="71E491E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rPr>
      </w:pPr>
    </w:p>
    <w:p w14:paraId="19EEE7C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w:t>
      </w:r>
    </w:p>
    <w:p w14:paraId="629B44AA">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7D88A8D8">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108E0BD7">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7EA2E3E6">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658AAB1C">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3FB21225">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7C1181C8">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60F1FEFB">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3DAD9066">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1D395941">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1D493478">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7FE29B66">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0F752E46">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25C78EF9">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15E8E465">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53C77B5A">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2C290AE1">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4466C90B">
      <w:pPr>
        <w:pStyle w:val="15"/>
        <w:tabs>
          <w:tab w:val="left" w:pos="2086"/>
        </w:tabs>
        <w:spacing w:before="74" w:line="442" w:lineRule="auto"/>
        <w:ind w:right="77" w:firstLine="880" w:firstLineChars="400"/>
        <w:jc w:val="both"/>
        <w:rPr>
          <w:rFonts w:hint="default"/>
          <w:sz w:val="22"/>
          <w:szCs w:val="22"/>
          <w:u w:val="none" w:color="auto"/>
          <w:lang w:val="en-US" w:eastAsia="zh-CN"/>
        </w:rPr>
      </w:pPr>
    </w:p>
    <w:p w14:paraId="5B69974C">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附件：</w:t>
      </w:r>
    </w:p>
    <w:p w14:paraId="0E7DC628">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附件1：工程设计范围、阶段</w:t>
      </w:r>
      <w:r>
        <w:rPr>
          <w:rFonts w:hint="eastAsia" w:ascii="宋体" w:hAnsi="宋体" w:eastAsia="宋体" w:cs="宋体"/>
          <w:color w:val="000000"/>
          <w:sz w:val="24"/>
          <w:szCs w:val="24"/>
          <w:lang w:eastAsia="zh-CN"/>
        </w:rPr>
        <w:t>与</w:t>
      </w:r>
      <w:r>
        <w:rPr>
          <w:rFonts w:hint="eastAsia" w:ascii="宋体" w:hAnsi="宋体" w:eastAsia="宋体" w:cs="宋体"/>
          <w:color w:val="000000"/>
          <w:sz w:val="24"/>
          <w:szCs w:val="24"/>
        </w:rPr>
        <w:t>服务内容</w:t>
      </w:r>
    </w:p>
    <w:p w14:paraId="456DF441">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附件2：发包人向设计人提交的有关资料及文件一览表</w:t>
      </w:r>
    </w:p>
    <w:p w14:paraId="71F26984">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附件3：设计人向发包人交付的工程设计文件目录</w:t>
      </w:r>
    </w:p>
    <w:p w14:paraId="5E6597F7">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附件4：设计人主要设计人员表</w:t>
      </w:r>
    </w:p>
    <w:p w14:paraId="228A3135">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附件5: 设计进度表</w:t>
      </w:r>
    </w:p>
    <w:p w14:paraId="40DDEE12">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附件6: 设计费明细及支付</w:t>
      </w:r>
      <w:r>
        <w:rPr>
          <w:rFonts w:hint="eastAsia" w:ascii="宋体" w:hAnsi="宋体" w:eastAsia="宋体" w:cs="宋体"/>
          <w:color w:val="000000"/>
          <w:sz w:val="24"/>
          <w:szCs w:val="24"/>
          <w:lang w:eastAsia="zh-CN"/>
        </w:rPr>
        <w:t>方式</w:t>
      </w:r>
    </w:p>
    <w:p w14:paraId="1F2C2667">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附件7: 设计变更计费依据和方法</w:t>
      </w:r>
    </w:p>
    <w:p w14:paraId="0027D7DC">
      <w:pPr>
        <w:jc w:val="center"/>
        <w:rPr>
          <w:rFonts w:hint="eastAsia" w:ascii="宋体" w:hAnsi="宋体" w:eastAsia="宋体" w:cs="宋体"/>
          <w:color w:val="000000"/>
          <w:sz w:val="24"/>
          <w:szCs w:val="24"/>
        </w:rPr>
      </w:pPr>
      <w:bookmarkStart w:id="287" w:name="_Toc278309716"/>
      <w:bookmarkStart w:id="288" w:name="_Toc278231956"/>
    </w:p>
    <w:p w14:paraId="0D3AEDE4">
      <w:pPr>
        <w:jc w:val="center"/>
        <w:rPr>
          <w:rFonts w:hint="eastAsia" w:ascii="宋体" w:hAnsi="宋体" w:eastAsia="宋体" w:cs="宋体"/>
          <w:color w:val="000000"/>
          <w:sz w:val="28"/>
          <w:szCs w:val="28"/>
        </w:rPr>
      </w:pPr>
    </w:p>
    <w:p w14:paraId="00DE204B">
      <w:pPr>
        <w:jc w:val="center"/>
        <w:rPr>
          <w:rFonts w:hint="eastAsia" w:ascii="宋体" w:hAnsi="宋体" w:eastAsia="宋体" w:cs="宋体"/>
          <w:color w:val="000000"/>
          <w:sz w:val="28"/>
          <w:szCs w:val="28"/>
        </w:rPr>
      </w:pPr>
    </w:p>
    <w:p w14:paraId="32B33AF9">
      <w:pPr>
        <w:jc w:val="center"/>
        <w:rPr>
          <w:rFonts w:hint="eastAsia" w:ascii="宋体" w:hAnsi="宋体" w:eastAsia="宋体" w:cs="宋体"/>
          <w:color w:val="000000"/>
          <w:sz w:val="28"/>
          <w:szCs w:val="28"/>
        </w:rPr>
      </w:pPr>
    </w:p>
    <w:p w14:paraId="19C29096">
      <w:pPr>
        <w:jc w:val="center"/>
        <w:rPr>
          <w:rFonts w:hint="eastAsia" w:ascii="宋体" w:hAnsi="宋体" w:eastAsia="宋体" w:cs="宋体"/>
          <w:color w:val="000000"/>
          <w:sz w:val="28"/>
          <w:szCs w:val="28"/>
        </w:rPr>
      </w:pPr>
    </w:p>
    <w:p w14:paraId="5CB5A4FB">
      <w:pPr>
        <w:jc w:val="center"/>
        <w:rPr>
          <w:rFonts w:hint="eastAsia" w:ascii="宋体" w:hAnsi="宋体" w:eastAsia="宋体" w:cs="宋体"/>
          <w:color w:val="000000"/>
          <w:sz w:val="28"/>
          <w:szCs w:val="28"/>
        </w:rPr>
      </w:pPr>
    </w:p>
    <w:p w14:paraId="77877EBE">
      <w:pPr>
        <w:jc w:val="center"/>
        <w:rPr>
          <w:rFonts w:hint="eastAsia" w:ascii="宋体" w:hAnsi="宋体" w:eastAsia="宋体" w:cs="宋体"/>
          <w:color w:val="000000"/>
          <w:sz w:val="28"/>
          <w:szCs w:val="28"/>
        </w:rPr>
      </w:pPr>
    </w:p>
    <w:p w14:paraId="2706598D">
      <w:pPr>
        <w:jc w:val="center"/>
        <w:rPr>
          <w:rFonts w:hint="eastAsia" w:ascii="宋体" w:hAnsi="宋体" w:eastAsia="宋体" w:cs="宋体"/>
          <w:color w:val="000000"/>
          <w:sz w:val="28"/>
          <w:szCs w:val="28"/>
        </w:rPr>
      </w:pPr>
    </w:p>
    <w:p w14:paraId="1C9BDB57">
      <w:pPr>
        <w:jc w:val="center"/>
        <w:rPr>
          <w:rFonts w:hint="eastAsia" w:ascii="宋体" w:hAnsi="宋体" w:eastAsia="宋体" w:cs="宋体"/>
          <w:color w:val="000000"/>
          <w:sz w:val="28"/>
          <w:szCs w:val="28"/>
        </w:rPr>
      </w:pPr>
    </w:p>
    <w:p w14:paraId="4CD3F736">
      <w:pPr>
        <w:jc w:val="center"/>
        <w:rPr>
          <w:rFonts w:hint="eastAsia" w:ascii="宋体" w:hAnsi="宋体" w:eastAsia="宋体" w:cs="宋体"/>
          <w:color w:val="000000"/>
          <w:sz w:val="28"/>
          <w:szCs w:val="28"/>
        </w:rPr>
      </w:pPr>
    </w:p>
    <w:p w14:paraId="02BAE37B">
      <w:pPr>
        <w:jc w:val="center"/>
        <w:rPr>
          <w:rFonts w:hint="eastAsia" w:ascii="宋体" w:hAnsi="宋体" w:eastAsia="宋体" w:cs="宋体"/>
          <w:color w:val="000000"/>
          <w:sz w:val="28"/>
          <w:szCs w:val="28"/>
        </w:rPr>
      </w:pPr>
    </w:p>
    <w:p w14:paraId="0F5486C0">
      <w:pPr>
        <w:rPr>
          <w:rFonts w:hint="eastAsia" w:ascii="宋体" w:hAnsi="宋体" w:eastAsia="宋体" w:cs="宋体"/>
          <w:color w:val="000000"/>
          <w:sz w:val="28"/>
          <w:szCs w:val="28"/>
        </w:rPr>
      </w:pPr>
    </w:p>
    <w:p w14:paraId="670D4E27">
      <w:pPr>
        <w:rPr>
          <w:rFonts w:hint="eastAsia" w:ascii="宋体" w:hAnsi="宋体" w:eastAsia="宋体" w:cs="宋体"/>
          <w:color w:val="000000"/>
          <w:sz w:val="28"/>
          <w:szCs w:val="28"/>
        </w:rPr>
      </w:pPr>
    </w:p>
    <w:p w14:paraId="2C8BE037">
      <w:pPr>
        <w:rPr>
          <w:rFonts w:hint="eastAsia" w:ascii="宋体" w:hAnsi="宋体" w:eastAsia="宋体" w:cs="宋体"/>
          <w:color w:val="000000"/>
          <w:sz w:val="28"/>
          <w:szCs w:val="28"/>
        </w:rPr>
      </w:pPr>
    </w:p>
    <w:p w14:paraId="62AEB828">
      <w:pPr>
        <w:rPr>
          <w:rFonts w:hint="eastAsia" w:ascii="宋体" w:hAnsi="宋体" w:eastAsia="宋体" w:cs="宋体"/>
          <w:color w:val="000000"/>
          <w:sz w:val="28"/>
          <w:szCs w:val="28"/>
        </w:rPr>
      </w:pPr>
    </w:p>
    <w:p w14:paraId="5A34CE1F">
      <w:pPr>
        <w:rPr>
          <w:rFonts w:hint="eastAsia" w:ascii="宋体" w:hAnsi="宋体" w:eastAsia="宋体" w:cs="宋体"/>
          <w:color w:val="000000"/>
          <w:sz w:val="28"/>
          <w:szCs w:val="28"/>
        </w:rPr>
      </w:pPr>
    </w:p>
    <w:p w14:paraId="425659B7">
      <w:pPr>
        <w:rPr>
          <w:rFonts w:hint="eastAsia" w:ascii="宋体" w:hAnsi="宋体" w:eastAsia="宋体" w:cs="宋体"/>
          <w:color w:val="000000"/>
          <w:sz w:val="28"/>
          <w:szCs w:val="28"/>
        </w:rPr>
      </w:pPr>
    </w:p>
    <w:p w14:paraId="3796EDC0">
      <w:pPr>
        <w:rPr>
          <w:rFonts w:hint="eastAsia" w:ascii="宋体" w:hAnsi="宋体" w:eastAsia="宋体" w:cs="宋体"/>
          <w:color w:val="000000"/>
          <w:sz w:val="28"/>
          <w:szCs w:val="28"/>
        </w:rPr>
      </w:pPr>
    </w:p>
    <w:p w14:paraId="0E43F194">
      <w:pPr>
        <w:rPr>
          <w:rFonts w:hint="eastAsia" w:ascii="宋体" w:hAnsi="宋体" w:eastAsia="宋体" w:cs="宋体"/>
          <w:color w:val="000000"/>
          <w:sz w:val="28"/>
          <w:szCs w:val="28"/>
        </w:rPr>
      </w:pPr>
    </w:p>
    <w:p w14:paraId="2BB49500">
      <w:pPr>
        <w:rPr>
          <w:rFonts w:hint="eastAsia" w:ascii="宋体" w:hAnsi="宋体" w:eastAsia="宋体" w:cs="宋体"/>
          <w:color w:val="000000"/>
          <w:sz w:val="28"/>
          <w:szCs w:val="28"/>
        </w:rPr>
      </w:pPr>
    </w:p>
    <w:p w14:paraId="1F979133">
      <w:pPr>
        <w:pStyle w:val="2"/>
        <w:rPr>
          <w:rFonts w:hint="eastAsia" w:ascii="宋体" w:hAnsi="宋体" w:eastAsia="宋体" w:cs="宋体"/>
          <w:color w:val="000000"/>
          <w:sz w:val="28"/>
          <w:szCs w:val="28"/>
        </w:rPr>
      </w:pPr>
    </w:p>
    <w:p w14:paraId="148C8126">
      <w:pPr>
        <w:pStyle w:val="2"/>
        <w:rPr>
          <w:rFonts w:hint="eastAsia" w:ascii="宋体" w:hAnsi="宋体" w:eastAsia="宋体" w:cs="宋体"/>
          <w:color w:val="000000"/>
          <w:sz w:val="28"/>
          <w:szCs w:val="28"/>
        </w:rPr>
      </w:pPr>
    </w:p>
    <w:p w14:paraId="6E6A174C">
      <w:pPr>
        <w:pStyle w:val="2"/>
        <w:rPr>
          <w:rFonts w:hint="eastAsia" w:ascii="宋体" w:hAnsi="宋体" w:eastAsia="宋体" w:cs="宋体"/>
          <w:color w:val="000000"/>
          <w:sz w:val="28"/>
          <w:szCs w:val="28"/>
          <w:lang w:val="en-US" w:eastAsia="zh-CN"/>
        </w:rPr>
      </w:pPr>
    </w:p>
    <w:p w14:paraId="0BBAE72A">
      <w:pPr>
        <w:rPr>
          <w:rFonts w:hint="eastAsia" w:ascii="宋体" w:hAnsi="宋体" w:eastAsia="宋体" w:cs="宋体"/>
          <w:color w:val="000000"/>
          <w:sz w:val="28"/>
          <w:szCs w:val="28"/>
        </w:rPr>
      </w:pPr>
    </w:p>
    <w:p w14:paraId="0EFC4418">
      <w:pPr>
        <w:rPr>
          <w:rFonts w:hint="eastAsia" w:ascii="宋体" w:hAnsi="宋体" w:eastAsia="宋体" w:cs="宋体"/>
          <w:color w:val="000000"/>
          <w:sz w:val="28"/>
          <w:szCs w:val="28"/>
        </w:rPr>
      </w:pPr>
    </w:p>
    <w:p w14:paraId="6E73612A">
      <w:pPr>
        <w:jc w:val="both"/>
        <w:rPr>
          <w:rFonts w:hint="eastAsia" w:ascii="宋体" w:hAnsi="宋体" w:eastAsia="宋体" w:cs="宋体"/>
          <w:color w:val="000000"/>
          <w:sz w:val="28"/>
          <w:szCs w:val="28"/>
        </w:rPr>
      </w:pPr>
    </w:p>
    <w:p w14:paraId="1E0E7650">
      <w:pPr>
        <w:rPr>
          <w:rFonts w:hint="eastAsia" w:ascii="宋体" w:hAnsi="宋体" w:eastAsia="宋体" w:cs="宋体"/>
          <w:b/>
          <w:sz w:val="28"/>
          <w:szCs w:val="28"/>
        </w:rPr>
      </w:pPr>
      <w:r>
        <w:rPr>
          <w:rFonts w:hint="eastAsia" w:ascii="宋体" w:hAnsi="宋体" w:eastAsia="宋体" w:cs="宋体"/>
          <w:b/>
          <w:sz w:val="28"/>
          <w:szCs w:val="28"/>
        </w:rPr>
        <w:t>附件1：</w:t>
      </w:r>
    </w:p>
    <w:p w14:paraId="0F3897B2">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工程设计范围、阶段</w:t>
      </w:r>
      <w:r>
        <w:rPr>
          <w:rFonts w:hint="eastAsia" w:ascii="宋体" w:hAnsi="宋体" w:eastAsia="宋体" w:cs="宋体"/>
          <w:color w:val="000000"/>
          <w:sz w:val="28"/>
          <w:szCs w:val="28"/>
          <w:lang w:eastAsia="zh-CN"/>
        </w:rPr>
        <w:t>与</w:t>
      </w:r>
      <w:r>
        <w:rPr>
          <w:rFonts w:hint="eastAsia" w:ascii="宋体" w:hAnsi="宋体" w:eastAsia="宋体" w:cs="宋体"/>
          <w:color w:val="000000"/>
          <w:sz w:val="28"/>
          <w:szCs w:val="28"/>
        </w:rPr>
        <w:t>服务内容</w:t>
      </w:r>
      <w:bookmarkEnd w:id="287"/>
      <w:bookmarkEnd w:id="288"/>
    </w:p>
    <w:p w14:paraId="045B1424">
      <w:pPr>
        <w:ind w:firstLine="526" w:firstLineChars="187"/>
        <w:rPr>
          <w:rFonts w:hint="eastAsia" w:ascii="宋体" w:hAnsi="宋体" w:eastAsia="宋体" w:cs="宋体"/>
          <w:b/>
          <w:sz w:val="28"/>
          <w:szCs w:val="28"/>
        </w:rPr>
      </w:pPr>
    </w:p>
    <w:p w14:paraId="720790D7">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sz w:val="28"/>
          <w:szCs w:val="28"/>
        </w:rPr>
      </w:pPr>
    </w:p>
    <w:p w14:paraId="212AA8A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sz w:val="28"/>
          <w:szCs w:val="28"/>
        </w:rPr>
        <w:t>一、本工程设计范围</w:t>
      </w:r>
    </w:p>
    <w:p w14:paraId="03B4B9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4B6D4CA">
      <w:pPr>
        <w:keepNext w:val="0"/>
        <w:keepLines w:val="0"/>
        <w:pageBreakBefore w:val="0"/>
        <w:widowControl/>
        <w:kinsoku w:val="0"/>
        <w:wordWrap/>
        <w:overflowPunct/>
        <w:topLinePunct w:val="0"/>
        <w:autoSpaceDE w:val="0"/>
        <w:autoSpaceDN w:val="0"/>
        <w:bidi w:val="0"/>
        <w:adjustRightInd w:val="0"/>
        <w:snapToGrid w:val="0"/>
        <w:spacing w:line="360" w:lineRule="auto"/>
        <w:ind w:firstLine="526" w:firstLineChars="187"/>
        <w:textAlignment w:val="baseline"/>
        <w:rPr>
          <w:rFonts w:hint="eastAsia" w:ascii="宋体" w:hAnsi="宋体" w:eastAsia="宋体" w:cs="宋体"/>
          <w:sz w:val="28"/>
          <w:szCs w:val="28"/>
        </w:rPr>
      </w:pPr>
      <w:r>
        <w:rPr>
          <w:rFonts w:hint="eastAsia" w:ascii="宋体" w:hAnsi="宋体" w:eastAsia="宋体" w:cs="宋体"/>
          <w:b/>
          <w:sz w:val="28"/>
          <w:szCs w:val="28"/>
        </w:rPr>
        <w:t>二、本工程设计阶段划分</w:t>
      </w:r>
    </w:p>
    <w:p w14:paraId="56B75D60">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r>
        <w:rPr>
          <w:rFonts w:hint="eastAsia" w:ascii="宋体" w:hAnsi="宋体" w:eastAsia="宋体" w:cs="宋体"/>
          <w:sz w:val="28"/>
          <w:szCs w:val="28"/>
        </w:rPr>
        <w:t>初步（基础）设计、非标准设备设计（如有）、施工图设计及施工配合四个阶段。</w:t>
      </w:r>
    </w:p>
    <w:p w14:paraId="51A4DE6D">
      <w:pPr>
        <w:keepNext w:val="0"/>
        <w:keepLines w:val="0"/>
        <w:pageBreakBefore w:val="0"/>
        <w:widowControl/>
        <w:kinsoku w:val="0"/>
        <w:wordWrap/>
        <w:overflowPunct/>
        <w:topLinePunct w:val="0"/>
        <w:autoSpaceDE w:val="0"/>
        <w:autoSpaceDN w:val="0"/>
        <w:bidi w:val="0"/>
        <w:adjustRightInd w:val="0"/>
        <w:snapToGrid w:val="0"/>
        <w:spacing w:line="360" w:lineRule="auto"/>
        <w:ind w:firstLine="526" w:firstLineChars="187"/>
        <w:textAlignment w:val="baseline"/>
        <w:rPr>
          <w:rFonts w:hint="eastAsia" w:ascii="宋体" w:hAnsi="宋体" w:eastAsia="宋体" w:cs="宋体"/>
          <w:b/>
          <w:sz w:val="28"/>
          <w:szCs w:val="28"/>
        </w:rPr>
      </w:pPr>
      <w:r>
        <w:rPr>
          <w:rFonts w:hint="eastAsia" w:ascii="宋体" w:hAnsi="宋体" w:eastAsia="宋体" w:cs="宋体"/>
          <w:b/>
          <w:sz w:val="28"/>
          <w:szCs w:val="28"/>
        </w:rPr>
        <w:t>三、各阶段服务内容</w:t>
      </w:r>
    </w:p>
    <w:p w14:paraId="3B441DA0">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初步（基础）设计阶段</w:t>
      </w:r>
    </w:p>
    <w:p w14:paraId="10D8E577">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p>
    <w:p w14:paraId="499171E3">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非标准设备设计阶段（如有）</w:t>
      </w:r>
    </w:p>
    <w:p w14:paraId="37B5714C">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p>
    <w:p w14:paraId="5C4D4087">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施工图设计阶段</w:t>
      </w:r>
    </w:p>
    <w:p w14:paraId="707EA367">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p>
    <w:p w14:paraId="75A6685B">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施工配合阶段（包括设计技术交底、解决施工中设计技术问题、参加试车（试运行）考核和竣工验收）</w:t>
      </w:r>
    </w:p>
    <w:p w14:paraId="6070D197">
      <w:pPr>
        <w:keepNext w:val="0"/>
        <w:keepLines w:val="0"/>
        <w:pageBreakBefore w:val="0"/>
        <w:widowControl/>
        <w:kinsoku w:val="0"/>
        <w:wordWrap/>
        <w:overflowPunct/>
        <w:topLinePunct w:val="0"/>
        <w:autoSpaceDE w:val="0"/>
        <w:autoSpaceDN w:val="0"/>
        <w:bidi w:val="0"/>
        <w:adjustRightInd w:val="0"/>
        <w:snapToGrid w:val="0"/>
        <w:spacing w:line="360" w:lineRule="auto"/>
        <w:ind w:firstLine="523" w:firstLineChars="187"/>
        <w:textAlignment w:val="baseline"/>
        <w:rPr>
          <w:rFonts w:hint="eastAsia" w:ascii="宋体" w:hAnsi="宋体" w:eastAsia="宋体" w:cs="宋体"/>
          <w:sz w:val="28"/>
          <w:szCs w:val="28"/>
        </w:rPr>
      </w:pPr>
    </w:p>
    <w:p w14:paraId="0214CFC1">
      <w:pPr>
        <w:pStyle w:val="5"/>
        <w:jc w:val="center"/>
        <w:rPr>
          <w:rFonts w:hint="eastAsia" w:ascii="宋体" w:hAnsi="宋体" w:eastAsia="宋体" w:cs="宋体"/>
          <w:b w:val="0"/>
          <w:bCs w:val="0"/>
          <w:color w:val="000000"/>
          <w:sz w:val="28"/>
          <w:szCs w:val="28"/>
        </w:rPr>
      </w:pPr>
      <w:bookmarkStart w:id="289" w:name="_Toc278231958"/>
      <w:bookmarkStart w:id="290" w:name="_Toc278309718"/>
    </w:p>
    <w:p w14:paraId="581D38E3">
      <w:pPr>
        <w:rPr>
          <w:rFonts w:hint="eastAsia" w:ascii="宋体" w:hAnsi="宋体" w:eastAsia="宋体" w:cs="宋体"/>
          <w:sz w:val="28"/>
          <w:szCs w:val="28"/>
        </w:rPr>
      </w:pPr>
    </w:p>
    <w:p w14:paraId="46590754">
      <w:pPr>
        <w:rPr>
          <w:rFonts w:hint="eastAsia" w:ascii="宋体" w:hAnsi="宋体" w:eastAsia="宋体" w:cs="宋体"/>
          <w:sz w:val="28"/>
          <w:szCs w:val="28"/>
        </w:rPr>
      </w:pPr>
    </w:p>
    <w:p w14:paraId="4FDC3ACE">
      <w:pPr>
        <w:rPr>
          <w:rFonts w:hint="eastAsia" w:ascii="宋体" w:hAnsi="宋体" w:eastAsia="宋体" w:cs="宋体"/>
          <w:sz w:val="28"/>
          <w:szCs w:val="28"/>
        </w:rPr>
      </w:pPr>
    </w:p>
    <w:p w14:paraId="3D4DC625">
      <w:pPr>
        <w:rPr>
          <w:rFonts w:hint="eastAsia" w:ascii="宋体" w:hAnsi="宋体" w:eastAsia="宋体" w:cs="宋体"/>
          <w:sz w:val="28"/>
          <w:szCs w:val="28"/>
        </w:rPr>
      </w:pPr>
    </w:p>
    <w:p w14:paraId="6307D6D8">
      <w:pPr>
        <w:rPr>
          <w:rFonts w:hint="eastAsia" w:ascii="宋体" w:hAnsi="宋体" w:eastAsia="宋体" w:cs="宋体"/>
          <w:sz w:val="28"/>
          <w:szCs w:val="28"/>
        </w:rPr>
      </w:pPr>
    </w:p>
    <w:p w14:paraId="2FBD0102">
      <w:pPr>
        <w:rPr>
          <w:rFonts w:hint="eastAsia" w:ascii="宋体" w:hAnsi="宋体" w:eastAsia="宋体" w:cs="宋体"/>
          <w:sz w:val="28"/>
          <w:szCs w:val="28"/>
        </w:rPr>
      </w:pPr>
    </w:p>
    <w:p w14:paraId="31BC57A1">
      <w:pPr>
        <w:rPr>
          <w:rFonts w:hint="eastAsia" w:ascii="宋体" w:hAnsi="宋体" w:eastAsia="宋体" w:cs="宋体"/>
          <w:sz w:val="28"/>
          <w:szCs w:val="28"/>
        </w:rPr>
      </w:pPr>
    </w:p>
    <w:p w14:paraId="11B0C710">
      <w:pPr>
        <w:pStyle w:val="2"/>
        <w:rPr>
          <w:rFonts w:hint="eastAsia"/>
        </w:rPr>
      </w:pPr>
      <w:r>
        <w:rPr>
          <w:rFonts w:hint="eastAsia"/>
        </w:rPr>
        <w:br w:type="textWrapping"/>
      </w:r>
    </w:p>
    <w:p w14:paraId="219ECCD3">
      <w:pPr>
        <w:rPr>
          <w:rFonts w:hint="eastAsia" w:ascii="宋体" w:hAnsi="宋体" w:eastAsia="宋体" w:cs="宋体"/>
          <w:b/>
          <w:sz w:val="28"/>
          <w:szCs w:val="28"/>
        </w:rPr>
      </w:pPr>
      <w:r>
        <w:rPr>
          <w:rFonts w:hint="eastAsia" w:ascii="宋体" w:hAnsi="宋体" w:eastAsia="宋体" w:cs="宋体"/>
          <w:b/>
          <w:sz w:val="28"/>
          <w:szCs w:val="28"/>
        </w:rPr>
        <w:t xml:space="preserve">附件2： </w:t>
      </w:r>
    </w:p>
    <w:p w14:paraId="1ED76174">
      <w:pPr>
        <w:spacing w:line="440" w:lineRule="exact"/>
        <w:jc w:val="center"/>
        <w:rPr>
          <w:rFonts w:hint="eastAsia" w:ascii="宋体" w:hAnsi="宋体" w:eastAsia="宋体" w:cs="宋体"/>
          <w:color w:val="000000"/>
          <w:sz w:val="28"/>
          <w:szCs w:val="28"/>
        </w:rPr>
      </w:pPr>
    </w:p>
    <w:p w14:paraId="1F53ADB3">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发包人向设计人提交的有关资料及文件一览表</w:t>
      </w:r>
      <w:bookmarkEnd w:id="289"/>
      <w:bookmarkEnd w:id="290"/>
    </w:p>
    <w:p w14:paraId="077944C1">
      <w:pPr>
        <w:spacing w:line="440" w:lineRule="exact"/>
        <w:jc w:val="center"/>
        <w:rPr>
          <w:rFonts w:hint="eastAsia" w:ascii="宋体" w:hAnsi="宋体" w:eastAsia="宋体" w:cs="宋体"/>
          <w:color w:val="000000"/>
          <w:sz w:val="28"/>
          <w:szCs w:val="28"/>
        </w:rPr>
      </w:pPr>
    </w:p>
    <w:tbl>
      <w:tblPr>
        <w:tblStyle w:val="30"/>
        <w:tblW w:w="9526"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011"/>
        <w:gridCol w:w="721"/>
        <w:gridCol w:w="2885"/>
        <w:gridCol w:w="1087"/>
      </w:tblGrid>
      <w:tr w14:paraId="7B6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22" w:type="dxa"/>
            <w:noWrap w:val="0"/>
            <w:vAlign w:val="center"/>
          </w:tcPr>
          <w:p w14:paraId="23A1360E">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11" w:type="dxa"/>
            <w:noWrap w:val="0"/>
            <w:vAlign w:val="center"/>
          </w:tcPr>
          <w:p w14:paraId="3D6F253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资料及文件名称</w:t>
            </w:r>
          </w:p>
        </w:tc>
        <w:tc>
          <w:tcPr>
            <w:tcW w:w="721" w:type="dxa"/>
            <w:noWrap w:val="0"/>
            <w:vAlign w:val="center"/>
          </w:tcPr>
          <w:p w14:paraId="3989CAA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份数</w:t>
            </w:r>
          </w:p>
        </w:tc>
        <w:tc>
          <w:tcPr>
            <w:tcW w:w="2885" w:type="dxa"/>
            <w:noWrap w:val="0"/>
            <w:vAlign w:val="center"/>
          </w:tcPr>
          <w:p w14:paraId="421DF66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提交日期</w:t>
            </w:r>
          </w:p>
        </w:tc>
        <w:tc>
          <w:tcPr>
            <w:tcW w:w="1087" w:type="dxa"/>
            <w:noWrap w:val="0"/>
            <w:vAlign w:val="center"/>
          </w:tcPr>
          <w:p w14:paraId="549BC291">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有关事宜</w:t>
            </w:r>
          </w:p>
        </w:tc>
      </w:tr>
      <w:tr w14:paraId="75C0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1D3811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011" w:type="dxa"/>
            <w:noWrap w:val="0"/>
            <w:vAlign w:val="center"/>
          </w:tcPr>
          <w:p w14:paraId="3661613F">
            <w:pPr>
              <w:spacing w:line="360" w:lineRule="auto"/>
              <w:rPr>
                <w:rFonts w:hint="eastAsia" w:ascii="宋体" w:hAnsi="宋体" w:eastAsia="宋体" w:cs="宋体"/>
                <w:sz w:val="21"/>
                <w:szCs w:val="21"/>
              </w:rPr>
            </w:pPr>
            <w:r>
              <w:rPr>
                <w:rFonts w:hint="eastAsia" w:ascii="宋体" w:hAnsi="宋体" w:eastAsia="宋体" w:cs="宋体"/>
                <w:sz w:val="21"/>
                <w:szCs w:val="21"/>
              </w:rPr>
              <w:t>项目立项报告和审批文件</w:t>
            </w:r>
          </w:p>
        </w:tc>
        <w:tc>
          <w:tcPr>
            <w:tcW w:w="721" w:type="dxa"/>
            <w:noWrap w:val="0"/>
            <w:vAlign w:val="center"/>
          </w:tcPr>
          <w:p w14:paraId="3B02926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各1</w:t>
            </w:r>
          </w:p>
        </w:tc>
        <w:tc>
          <w:tcPr>
            <w:tcW w:w="2885" w:type="dxa"/>
            <w:noWrap w:val="0"/>
            <w:vAlign w:val="center"/>
          </w:tcPr>
          <w:p w14:paraId="38E24A39">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restart"/>
            <w:noWrap w:val="0"/>
            <w:vAlign w:val="center"/>
          </w:tcPr>
          <w:p w14:paraId="33DCAAB7">
            <w:pPr>
              <w:spacing w:line="360" w:lineRule="auto"/>
              <w:jc w:val="center"/>
              <w:rPr>
                <w:rFonts w:hint="eastAsia" w:ascii="宋体" w:hAnsi="宋体" w:eastAsia="宋体" w:cs="宋体"/>
                <w:sz w:val="21"/>
                <w:szCs w:val="21"/>
              </w:rPr>
            </w:pPr>
          </w:p>
        </w:tc>
      </w:tr>
      <w:tr w14:paraId="4B5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0F3719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011" w:type="dxa"/>
            <w:noWrap w:val="0"/>
            <w:vAlign w:val="center"/>
          </w:tcPr>
          <w:p w14:paraId="51B6C257">
            <w:pPr>
              <w:spacing w:line="360" w:lineRule="auto"/>
              <w:rPr>
                <w:rFonts w:hint="eastAsia" w:ascii="宋体" w:hAnsi="宋体" w:eastAsia="宋体" w:cs="宋体"/>
                <w:sz w:val="21"/>
                <w:szCs w:val="21"/>
              </w:rPr>
            </w:pPr>
            <w:r>
              <w:rPr>
                <w:rFonts w:hint="eastAsia" w:ascii="宋体" w:hAnsi="宋体" w:eastAsia="宋体" w:cs="宋体"/>
                <w:sz w:val="21"/>
                <w:szCs w:val="21"/>
              </w:rPr>
              <w:t>发包人要求即设计任务书（含对工艺、土建、设备等专业的具体要求）</w:t>
            </w:r>
          </w:p>
        </w:tc>
        <w:tc>
          <w:tcPr>
            <w:tcW w:w="721" w:type="dxa"/>
            <w:noWrap w:val="0"/>
            <w:vAlign w:val="center"/>
          </w:tcPr>
          <w:p w14:paraId="204558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6BAA839E">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continue"/>
            <w:noWrap w:val="0"/>
            <w:vAlign w:val="center"/>
          </w:tcPr>
          <w:p w14:paraId="6F2D3A49">
            <w:pPr>
              <w:spacing w:line="360" w:lineRule="auto"/>
              <w:jc w:val="center"/>
              <w:rPr>
                <w:rFonts w:hint="eastAsia" w:ascii="宋体" w:hAnsi="宋体" w:eastAsia="宋体" w:cs="宋体"/>
                <w:sz w:val="21"/>
                <w:szCs w:val="21"/>
              </w:rPr>
            </w:pPr>
          </w:p>
        </w:tc>
      </w:tr>
      <w:tr w14:paraId="33FA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22" w:type="dxa"/>
            <w:noWrap w:val="0"/>
            <w:vAlign w:val="center"/>
          </w:tcPr>
          <w:p w14:paraId="1D73A6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011" w:type="dxa"/>
            <w:noWrap w:val="0"/>
            <w:vAlign w:val="center"/>
          </w:tcPr>
          <w:p w14:paraId="0DB43482">
            <w:pPr>
              <w:spacing w:line="360" w:lineRule="auto"/>
              <w:rPr>
                <w:rFonts w:hint="eastAsia" w:ascii="宋体" w:hAnsi="宋体" w:eastAsia="宋体" w:cs="宋体"/>
                <w:sz w:val="21"/>
                <w:szCs w:val="21"/>
              </w:rPr>
            </w:pPr>
            <w:r>
              <w:rPr>
                <w:rFonts w:hint="eastAsia" w:ascii="宋体" w:hAnsi="宋体" w:eastAsia="宋体" w:cs="宋体"/>
                <w:sz w:val="21"/>
                <w:szCs w:val="21"/>
              </w:rPr>
              <w:t>厂址选择报告、土地使用协议、建筑红线图，建筑钉桩图</w:t>
            </w:r>
          </w:p>
        </w:tc>
        <w:tc>
          <w:tcPr>
            <w:tcW w:w="721" w:type="dxa"/>
            <w:noWrap w:val="0"/>
            <w:vAlign w:val="center"/>
          </w:tcPr>
          <w:p w14:paraId="0E7515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各1</w:t>
            </w:r>
          </w:p>
        </w:tc>
        <w:tc>
          <w:tcPr>
            <w:tcW w:w="2885" w:type="dxa"/>
            <w:noWrap w:val="0"/>
            <w:vAlign w:val="center"/>
          </w:tcPr>
          <w:p w14:paraId="56F59AD1">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continue"/>
            <w:noWrap w:val="0"/>
            <w:vAlign w:val="center"/>
          </w:tcPr>
          <w:p w14:paraId="5423EED8">
            <w:pPr>
              <w:spacing w:line="360" w:lineRule="auto"/>
              <w:jc w:val="center"/>
              <w:rPr>
                <w:rFonts w:hint="eastAsia" w:ascii="宋体" w:hAnsi="宋体" w:eastAsia="宋体" w:cs="宋体"/>
                <w:sz w:val="21"/>
                <w:szCs w:val="21"/>
              </w:rPr>
            </w:pPr>
          </w:p>
        </w:tc>
      </w:tr>
      <w:tr w14:paraId="129A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22" w:type="dxa"/>
            <w:noWrap w:val="0"/>
            <w:vAlign w:val="center"/>
          </w:tcPr>
          <w:p w14:paraId="2FED8F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4011" w:type="dxa"/>
            <w:noWrap w:val="0"/>
            <w:vAlign w:val="center"/>
          </w:tcPr>
          <w:p w14:paraId="7CAA5F54">
            <w:pPr>
              <w:spacing w:line="360" w:lineRule="auto"/>
              <w:rPr>
                <w:rFonts w:hint="eastAsia" w:ascii="宋体" w:hAnsi="宋体" w:eastAsia="宋体" w:cs="宋体"/>
                <w:sz w:val="21"/>
                <w:szCs w:val="21"/>
              </w:rPr>
            </w:pPr>
            <w:r>
              <w:rPr>
                <w:rFonts w:hint="eastAsia" w:ascii="宋体" w:hAnsi="宋体" w:eastAsia="宋体" w:cs="宋体"/>
                <w:sz w:val="21"/>
                <w:szCs w:val="21"/>
              </w:rPr>
              <w:t>当地规划部门的规划意见书</w:t>
            </w:r>
          </w:p>
        </w:tc>
        <w:tc>
          <w:tcPr>
            <w:tcW w:w="721" w:type="dxa"/>
            <w:noWrap w:val="0"/>
            <w:vAlign w:val="center"/>
          </w:tcPr>
          <w:p w14:paraId="49B3DB8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50A7B529">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continue"/>
            <w:noWrap w:val="0"/>
            <w:vAlign w:val="center"/>
          </w:tcPr>
          <w:p w14:paraId="185E690E">
            <w:pPr>
              <w:spacing w:line="360" w:lineRule="auto"/>
              <w:jc w:val="center"/>
              <w:rPr>
                <w:rFonts w:hint="eastAsia" w:ascii="宋体" w:hAnsi="宋体" w:eastAsia="宋体" w:cs="宋体"/>
                <w:sz w:val="21"/>
                <w:szCs w:val="21"/>
              </w:rPr>
            </w:pPr>
          </w:p>
        </w:tc>
      </w:tr>
      <w:tr w14:paraId="1454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3D3CA90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4011" w:type="dxa"/>
            <w:noWrap w:val="0"/>
            <w:vAlign w:val="center"/>
          </w:tcPr>
          <w:p w14:paraId="1700558F">
            <w:pPr>
              <w:spacing w:line="360" w:lineRule="auto"/>
              <w:rPr>
                <w:rFonts w:hint="eastAsia" w:ascii="宋体" w:hAnsi="宋体" w:eastAsia="宋体" w:cs="宋体"/>
                <w:sz w:val="21"/>
                <w:szCs w:val="21"/>
              </w:rPr>
            </w:pPr>
            <w:r>
              <w:rPr>
                <w:rFonts w:hint="eastAsia" w:ascii="宋体" w:hAnsi="宋体" w:eastAsia="宋体" w:cs="宋体"/>
                <w:sz w:val="21"/>
                <w:szCs w:val="21"/>
              </w:rPr>
              <w:t>自然资源、气象条件、地形地貌、水文及工程详细地质勘察报告</w:t>
            </w:r>
          </w:p>
        </w:tc>
        <w:tc>
          <w:tcPr>
            <w:tcW w:w="721" w:type="dxa"/>
            <w:noWrap w:val="0"/>
            <w:vAlign w:val="center"/>
          </w:tcPr>
          <w:p w14:paraId="4C9276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各1</w:t>
            </w:r>
          </w:p>
        </w:tc>
        <w:tc>
          <w:tcPr>
            <w:tcW w:w="2885" w:type="dxa"/>
            <w:noWrap w:val="0"/>
            <w:vAlign w:val="center"/>
          </w:tcPr>
          <w:p w14:paraId="343F0374">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continue"/>
            <w:noWrap w:val="0"/>
            <w:vAlign w:val="center"/>
          </w:tcPr>
          <w:p w14:paraId="07622EB5">
            <w:pPr>
              <w:spacing w:line="360" w:lineRule="auto"/>
              <w:jc w:val="center"/>
              <w:rPr>
                <w:rFonts w:hint="eastAsia" w:ascii="宋体" w:hAnsi="宋体" w:eastAsia="宋体" w:cs="宋体"/>
                <w:sz w:val="21"/>
                <w:szCs w:val="21"/>
              </w:rPr>
            </w:pPr>
          </w:p>
        </w:tc>
      </w:tr>
      <w:tr w14:paraId="6CEF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22" w:type="dxa"/>
            <w:noWrap w:val="0"/>
            <w:vAlign w:val="center"/>
          </w:tcPr>
          <w:p w14:paraId="4473B7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4011" w:type="dxa"/>
            <w:noWrap w:val="0"/>
            <w:vAlign w:val="center"/>
          </w:tcPr>
          <w:p w14:paraId="32095B56">
            <w:pPr>
              <w:spacing w:line="360" w:lineRule="auto"/>
              <w:rPr>
                <w:rFonts w:hint="eastAsia" w:ascii="宋体" w:hAnsi="宋体" w:eastAsia="宋体" w:cs="宋体"/>
                <w:sz w:val="21"/>
                <w:szCs w:val="21"/>
              </w:rPr>
            </w:pPr>
            <w:r>
              <w:rPr>
                <w:rFonts w:hint="eastAsia" w:ascii="宋体" w:hAnsi="宋体" w:eastAsia="宋体" w:cs="宋体"/>
                <w:sz w:val="21"/>
                <w:szCs w:val="21"/>
              </w:rPr>
              <w:t>各阶段主管部门的审批意见</w:t>
            </w:r>
          </w:p>
        </w:tc>
        <w:tc>
          <w:tcPr>
            <w:tcW w:w="721" w:type="dxa"/>
            <w:noWrap w:val="0"/>
            <w:vAlign w:val="center"/>
          </w:tcPr>
          <w:p w14:paraId="45B768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各1</w:t>
            </w:r>
          </w:p>
        </w:tc>
        <w:tc>
          <w:tcPr>
            <w:tcW w:w="2885" w:type="dxa"/>
            <w:noWrap w:val="0"/>
            <w:vAlign w:val="center"/>
          </w:tcPr>
          <w:p w14:paraId="65AF92F9">
            <w:pPr>
              <w:spacing w:line="360" w:lineRule="auto"/>
              <w:rPr>
                <w:rFonts w:hint="eastAsia" w:ascii="宋体" w:hAnsi="宋体" w:eastAsia="宋体" w:cs="宋体"/>
                <w:sz w:val="21"/>
                <w:szCs w:val="21"/>
              </w:rPr>
            </w:pPr>
            <w:r>
              <w:rPr>
                <w:rFonts w:hint="eastAsia" w:ascii="宋体" w:hAnsi="宋体" w:eastAsia="宋体" w:cs="宋体"/>
                <w:sz w:val="21"/>
                <w:szCs w:val="21"/>
              </w:rPr>
              <w:t>下一个阶段设计开始3天前提供上一个阶段审批意见</w:t>
            </w:r>
          </w:p>
        </w:tc>
        <w:tc>
          <w:tcPr>
            <w:tcW w:w="1087" w:type="dxa"/>
            <w:vMerge w:val="continue"/>
            <w:noWrap w:val="0"/>
            <w:vAlign w:val="center"/>
          </w:tcPr>
          <w:p w14:paraId="17CD1AF3">
            <w:pPr>
              <w:spacing w:line="360" w:lineRule="auto"/>
              <w:jc w:val="center"/>
              <w:rPr>
                <w:rFonts w:hint="eastAsia" w:ascii="宋体" w:hAnsi="宋体" w:eastAsia="宋体" w:cs="宋体"/>
                <w:sz w:val="21"/>
                <w:szCs w:val="21"/>
              </w:rPr>
            </w:pPr>
          </w:p>
        </w:tc>
      </w:tr>
      <w:tr w14:paraId="2155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22" w:type="dxa"/>
            <w:noWrap w:val="0"/>
            <w:vAlign w:val="center"/>
          </w:tcPr>
          <w:p w14:paraId="472638B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4011" w:type="dxa"/>
            <w:noWrap w:val="0"/>
            <w:vAlign w:val="center"/>
          </w:tcPr>
          <w:p w14:paraId="151C13F5">
            <w:pPr>
              <w:spacing w:line="360" w:lineRule="auto"/>
              <w:rPr>
                <w:rFonts w:hint="eastAsia" w:ascii="宋体" w:hAnsi="宋体" w:eastAsia="宋体" w:cs="宋体"/>
                <w:sz w:val="21"/>
                <w:szCs w:val="21"/>
              </w:rPr>
            </w:pPr>
            <w:r>
              <w:rPr>
                <w:rFonts w:hint="eastAsia" w:ascii="宋体" w:hAnsi="宋体" w:eastAsia="宋体" w:cs="宋体"/>
                <w:sz w:val="21"/>
                <w:szCs w:val="21"/>
              </w:rPr>
              <w:t>初步设计确认单</w:t>
            </w:r>
            <w:r>
              <w:rPr>
                <w:rFonts w:hint="eastAsia" w:ascii="宋体" w:hAnsi="宋体" w:eastAsia="宋体" w:cs="宋体"/>
                <w:sz w:val="21"/>
                <w:szCs w:val="21"/>
                <w:lang w:eastAsia="zh-CN"/>
              </w:rPr>
              <w:t>（</w:t>
            </w:r>
            <w:r>
              <w:rPr>
                <w:rFonts w:hint="eastAsia" w:ascii="宋体" w:hAnsi="宋体" w:eastAsia="宋体" w:cs="宋体"/>
                <w:sz w:val="21"/>
                <w:szCs w:val="21"/>
              </w:rPr>
              <w:t>含非标准设备设计图开工令</w:t>
            </w:r>
            <w:r>
              <w:rPr>
                <w:rFonts w:hint="eastAsia" w:ascii="宋体" w:hAnsi="宋体" w:eastAsia="宋体" w:cs="宋体"/>
                <w:sz w:val="21"/>
                <w:szCs w:val="21"/>
                <w:lang w:eastAsia="zh-CN"/>
              </w:rPr>
              <w:t>）</w:t>
            </w:r>
          </w:p>
        </w:tc>
        <w:tc>
          <w:tcPr>
            <w:tcW w:w="721" w:type="dxa"/>
            <w:noWrap w:val="0"/>
            <w:vAlign w:val="center"/>
          </w:tcPr>
          <w:p w14:paraId="51E3FF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2E012F8E">
            <w:pPr>
              <w:spacing w:line="360" w:lineRule="auto"/>
              <w:rPr>
                <w:rFonts w:hint="eastAsia" w:ascii="宋体" w:hAnsi="宋体" w:eastAsia="宋体" w:cs="宋体"/>
                <w:sz w:val="21"/>
                <w:szCs w:val="21"/>
              </w:rPr>
            </w:pPr>
            <w:r>
              <w:rPr>
                <w:rFonts w:hint="eastAsia" w:ascii="宋体" w:hAnsi="宋体" w:eastAsia="宋体" w:cs="宋体"/>
                <w:sz w:val="21"/>
                <w:szCs w:val="21"/>
              </w:rPr>
              <w:t>施工图设计开始3天前</w:t>
            </w:r>
          </w:p>
        </w:tc>
        <w:tc>
          <w:tcPr>
            <w:tcW w:w="1087" w:type="dxa"/>
            <w:vMerge w:val="continue"/>
            <w:noWrap w:val="0"/>
            <w:vAlign w:val="center"/>
          </w:tcPr>
          <w:p w14:paraId="6D64D247">
            <w:pPr>
              <w:spacing w:line="360" w:lineRule="auto"/>
              <w:jc w:val="center"/>
              <w:rPr>
                <w:rFonts w:hint="eastAsia" w:ascii="宋体" w:hAnsi="宋体" w:eastAsia="宋体" w:cs="宋体"/>
                <w:sz w:val="21"/>
                <w:szCs w:val="21"/>
              </w:rPr>
            </w:pPr>
          </w:p>
        </w:tc>
      </w:tr>
      <w:tr w14:paraId="2FA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628D71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4011" w:type="dxa"/>
            <w:noWrap w:val="0"/>
            <w:vAlign w:val="center"/>
          </w:tcPr>
          <w:p w14:paraId="04031A02">
            <w:pPr>
              <w:spacing w:line="360" w:lineRule="auto"/>
              <w:rPr>
                <w:rFonts w:hint="eastAsia" w:ascii="宋体" w:hAnsi="宋体" w:eastAsia="宋体" w:cs="宋体"/>
                <w:sz w:val="21"/>
                <w:szCs w:val="21"/>
              </w:rPr>
            </w:pPr>
            <w:r>
              <w:rPr>
                <w:rFonts w:hint="eastAsia" w:ascii="宋体" w:hAnsi="宋体" w:eastAsia="宋体" w:cs="宋体"/>
                <w:sz w:val="21"/>
                <w:szCs w:val="21"/>
              </w:rPr>
              <w:t>非标准设备设计确认单</w:t>
            </w:r>
            <w:r>
              <w:rPr>
                <w:rFonts w:hint="eastAsia" w:ascii="宋体" w:hAnsi="宋体" w:eastAsia="宋体" w:cs="宋体"/>
                <w:sz w:val="21"/>
                <w:szCs w:val="21"/>
                <w:lang w:eastAsia="zh-CN"/>
              </w:rPr>
              <w:t>（</w:t>
            </w:r>
            <w:r>
              <w:rPr>
                <w:rFonts w:hint="eastAsia" w:ascii="宋体" w:hAnsi="宋体" w:eastAsia="宋体" w:cs="宋体"/>
                <w:sz w:val="21"/>
                <w:szCs w:val="21"/>
              </w:rPr>
              <w:t>含施工图设计开工令</w:t>
            </w:r>
            <w:r>
              <w:rPr>
                <w:rFonts w:hint="eastAsia" w:ascii="宋体" w:hAnsi="宋体" w:eastAsia="宋体" w:cs="宋体"/>
                <w:sz w:val="21"/>
                <w:szCs w:val="21"/>
                <w:lang w:eastAsia="zh-CN"/>
              </w:rPr>
              <w:t>）</w:t>
            </w:r>
          </w:p>
        </w:tc>
        <w:tc>
          <w:tcPr>
            <w:tcW w:w="721" w:type="dxa"/>
            <w:noWrap w:val="0"/>
            <w:vAlign w:val="center"/>
          </w:tcPr>
          <w:p w14:paraId="45C99C3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5672A2B2">
            <w:pPr>
              <w:spacing w:line="360" w:lineRule="auto"/>
              <w:rPr>
                <w:rFonts w:hint="eastAsia" w:ascii="宋体" w:hAnsi="宋体" w:eastAsia="宋体" w:cs="宋体"/>
                <w:sz w:val="21"/>
                <w:szCs w:val="21"/>
              </w:rPr>
            </w:pPr>
            <w:r>
              <w:rPr>
                <w:rFonts w:hint="eastAsia" w:ascii="宋体" w:hAnsi="宋体" w:eastAsia="宋体" w:cs="宋体"/>
                <w:sz w:val="21"/>
                <w:szCs w:val="21"/>
              </w:rPr>
              <w:t>施工图设计开始3天前</w:t>
            </w:r>
          </w:p>
        </w:tc>
        <w:tc>
          <w:tcPr>
            <w:tcW w:w="1087" w:type="dxa"/>
            <w:vMerge w:val="continue"/>
            <w:noWrap w:val="0"/>
            <w:vAlign w:val="center"/>
          </w:tcPr>
          <w:p w14:paraId="09F0B513">
            <w:pPr>
              <w:spacing w:line="360" w:lineRule="auto"/>
              <w:jc w:val="center"/>
              <w:rPr>
                <w:rFonts w:hint="eastAsia" w:ascii="宋体" w:hAnsi="宋体" w:eastAsia="宋体" w:cs="宋体"/>
                <w:sz w:val="21"/>
                <w:szCs w:val="21"/>
              </w:rPr>
            </w:pPr>
          </w:p>
        </w:tc>
      </w:tr>
      <w:tr w14:paraId="00B1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14A5CB7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4011" w:type="dxa"/>
            <w:noWrap w:val="0"/>
            <w:vAlign w:val="center"/>
          </w:tcPr>
          <w:p w14:paraId="2D393AA3">
            <w:pPr>
              <w:spacing w:line="360" w:lineRule="auto"/>
              <w:rPr>
                <w:rFonts w:hint="eastAsia" w:ascii="宋体" w:hAnsi="宋体" w:eastAsia="宋体" w:cs="宋体"/>
                <w:sz w:val="21"/>
                <w:szCs w:val="21"/>
              </w:rPr>
            </w:pPr>
            <w:r>
              <w:rPr>
                <w:rFonts w:hint="eastAsia" w:ascii="宋体" w:hAnsi="宋体" w:eastAsia="宋体" w:cs="宋体"/>
                <w:sz w:val="21"/>
                <w:szCs w:val="21"/>
              </w:rPr>
              <w:t>工程所在地地形图（1/500）电子版及区域位置图</w:t>
            </w:r>
          </w:p>
        </w:tc>
        <w:tc>
          <w:tcPr>
            <w:tcW w:w="721" w:type="dxa"/>
            <w:noWrap w:val="0"/>
            <w:vAlign w:val="center"/>
          </w:tcPr>
          <w:p w14:paraId="4B996FE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5B8B5034">
            <w:pPr>
              <w:spacing w:line="360" w:lineRule="auto"/>
              <w:rPr>
                <w:rFonts w:hint="eastAsia" w:ascii="宋体" w:hAnsi="宋体" w:eastAsia="宋体" w:cs="宋体"/>
                <w:sz w:val="21"/>
                <w:szCs w:val="21"/>
              </w:rPr>
            </w:pPr>
            <w:r>
              <w:rPr>
                <w:rFonts w:hint="eastAsia" w:ascii="宋体" w:hAnsi="宋体" w:eastAsia="宋体" w:cs="宋体"/>
                <w:sz w:val="21"/>
                <w:szCs w:val="21"/>
              </w:rPr>
              <w:t>施工图设计开始3天前</w:t>
            </w:r>
          </w:p>
        </w:tc>
        <w:tc>
          <w:tcPr>
            <w:tcW w:w="1087" w:type="dxa"/>
            <w:vMerge w:val="continue"/>
            <w:noWrap w:val="0"/>
            <w:vAlign w:val="center"/>
          </w:tcPr>
          <w:p w14:paraId="3F26AFA4">
            <w:pPr>
              <w:spacing w:line="360" w:lineRule="auto"/>
              <w:jc w:val="center"/>
              <w:rPr>
                <w:rFonts w:hint="eastAsia" w:ascii="宋体" w:hAnsi="宋体" w:eastAsia="宋体" w:cs="宋体"/>
                <w:sz w:val="21"/>
                <w:szCs w:val="21"/>
              </w:rPr>
            </w:pPr>
          </w:p>
        </w:tc>
      </w:tr>
      <w:tr w14:paraId="143D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22" w:type="dxa"/>
            <w:noWrap w:val="0"/>
            <w:vAlign w:val="center"/>
          </w:tcPr>
          <w:p w14:paraId="7697A5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4011" w:type="dxa"/>
            <w:noWrap w:val="0"/>
            <w:vAlign w:val="center"/>
          </w:tcPr>
          <w:p w14:paraId="6936CA2D">
            <w:pPr>
              <w:spacing w:line="360" w:lineRule="auto"/>
              <w:rPr>
                <w:rFonts w:hint="eastAsia" w:ascii="宋体" w:hAnsi="宋体" w:eastAsia="宋体" w:cs="宋体"/>
                <w:sz w:val="21"/>
                <w:szCs w:val="21"/>
              </w:rPr>
            </w:pPr>
            <w:r>
              <w:rPr>
                <w:rFonts w:hint="eastAsia" w:ascii="宋体" w:hAnsi="宋体" w:eastAsia="宋体" w:cs="宋体"/>
                <w:sz w:val="21"/>
                <w:szCs w:val="21"/>
              </w:rPr>
              <w:t>交通、原料、外部供水、排水、供电、电信等位置、标高、坐标、管径或能力等资料</w:t>
            </w:r>
          </w:p>
        </w:tc>
        <w:tc>
          <w:tcPr>
            <w:tcW w:w="721" w:type="dxa"/>
            <w:noWrap w:val="0"/>
            <w:vAlign w:val="center"/>
          </w:tcPr>
          <w:p w14:paraId="6AEE30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4FB60710">
            <w:pPr>
              <w:spacing w:line="360" w:lineRule="auto"/>
              <w:rPr>
                <w:rFonts w:hint="eastAsia" w:ascii="宋体" w:hAnsi="宋体" w:eastAsia="宋体" w:cs="宋体"/>
                <w:sz w:val="21"/>
                <w:szCs w:val="21"/>
              </w:rPr>
            </w:pPr>
            <w:r>
              <w:rPr>
                <w:rFonts w:hint="eastAsia" w:ascii="宋体" w:hAnsi="宋体" w:eastAsia="宋体" w:cs="宋体"/>
                <w:sz w:val="21"/>
                <w:szCs w:val="21"/>
              </w:rPr>
              <w:t>初步设计开始3天前</w:t>
            </w:r>
          </w:p>
        </w:tc>
        <w:tc>
          <w:tcPr>
            <w:tcW w:w="1087" w:type="dxa"/>
            <w:vMerge w:val="continue"/>
            <w:noWrap w:val="0"/>
            <w:vAlign w:val="center"/>
          </w:tcPr>
          <w:p w14:paraId="448660F8">
            <w:pPr>
              <w:spacing w:line="360" w:lineRule="auto"/>
              <w:jc w:val="center"/>
              <w:rPr>
                <w:rFonts w:hint="eastAsia" w:ascii="宋体" w:hAnsi="宋体" w:eastAsia="宋体" w:cs="宋体"/>
                <w:sz w:val="21"/>
                <w:szCs w:val="21"/>
              </w:rPr>
            </w:pPr>
          </w:p>
        </w:tc>
      </w:tr>
      <w:tr w14:paraId="3CFF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383184B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4011" w:type="dxa"/>
            <w:noWrap w:val="0"/>
            <w:vAlign w:val="center"/>
          </w:tcPr>
          <w:p w14:paraId="3814BCF5">
            <w:pPr>
              <w:spacing w:line="360" w:lineRule="auto"/>
              <w:rPr>
                <w:rFonts w:hint="eastAsia" w:ascii="宋体" w:hAnsi="宋体" w:eastAsia="宋体" w:cs="宋体"/>
                <w:sz w:val="21"/>
                <w:szCs w:val="21"/>
              </w:rPr>
            </w:pPr>
            <w:r>
              <w:rPr>
                <w:rFonts w:hint="eastAsia" w:ascii="宋体" w:hAnsi="宋体" w:eastAsia="宋体" w:cs="宋体"/>
                <w:sz w:val="21"/>
                <w:szCs w:val="21"/>
              </w:rPr>
              <w:t>其它设计资料</w:t>
            </w:r>
          </w:p>
        </w:tc>
        <w:tc>
          <w:tcPr>
            <w:tcW w:w="721" w:type="dxa"/>
            <w:noWrap w:val="0"/>
            <w:vAlign w:val="center"/>
          </w:tcPr>
          <w:p w14:paraId="17C270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235808E3">
            <w:pPr>
              <w:spacing w:line="360" w:lineRule="auto"/>
              <w:rPr>
                <w:rFonts w:hint="eastAsia" w:ascii="宋体" w:hAnsi="宋体" w:eastAsia="宋体" w:cs="宋体"/>
                <w:sz w:val="21"/>
                <w:szCs w:val="21"/>
              </w:rPr>
            </w:pPr>
            <w:r>
              <w:rPr>
                <w:rFonts w:hint="eastAsia" w:ascii="宋体" w:hAnsi="宋体" w:eastAsia="宋体" w:cs="宋体"/>
                <w:sz w:val="21"/>
                <w:szCs w:val="21"/>
              </w:rPr>
              <w:t>各设计阶段设计开始3天前</w:t>
            </w:r>
          </w:p>
        </w:tc>
        <w:tc>
          <w:tcPr>
            <w:tcW w:w="1087" w:type="dxa"/>
            <w:vMerge w:val="continue"/>
            <w:noWrap w:val="0"/>
            <w:vAlign w:val="center"/>
          </w:tcPr>
          <w:p w14:paraId="21F25CE2">
            <w:pPr>
              <w:spacing w:line="360" w:lineRule="auto"/>
              <w:jc w:val="center"/>
              <w:rPr>
                <w:rFonts w:hint="eastAsia" w:ascii="宋体" w:hAnsi="宋体" w:eastAsia="宋体" w:cs="宋体"/>
                <w:sz w:val="21"/>
                <w:szCs w:val="21"/>
              </w:rPr>
            </w:pPr>
          </w:p>
        </w:tc>
      </w:tr>
      <w:tr w14:paraId="01DC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2" w:type="dxa"/>
            <w:noWrap w:val="0"/>
            <w:vAlign w:val="center"/>
          </w:tcPr>
          <w:p w14:paraId="4BC21E3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4011" w:type="dxa"/>
            <w:noWrap w:val="0"/>
            <w:vAlign w:val="center"/>
          </w:tcPr>
          <w:p w14:paraId="7BC19027">
            <w:pPr>
              <w:spacing w:line="360" w:lineRule="auto"/>
              <w:rPr>
                <w:rFonts w:hint="eastAsia" w:ascii="宋体" w:hAnsi="宋体" w:eastAsia="宋体" w:cs="宋体"/>
                <w:sz w:val="21"/>
                <w:szCs w:val="21"/>
              </w:rPr>
            </w:pPr>
            <w:r>
              <w:rPr>
                <w:rFonts w:hint="eastAsia" w:ascii="宋体" w:hAnsi="宋体" w:eastAsia="宋体" w:cs="宋体"/>
                <w:sz w:val="21"/>
                <w:szCs w:val="21"/>
              </w:rPr>
              <w:t>竣工验收报告</w:t>
            </w:r>
          </w:p>
        </w:tc>
        <w:tc>
          <w:tcPr>
            <w:tcW w:w="721" w:type="dxa"/>
            <w:noWrap w:val="0"/>
            <w:vAlign w:val="center"/>
          </w:tcPr>
          <w:p w14:paraId="6F0325C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85" w:type="dxa"/>
            <w:noWrap w:val="0"/>
            <w:vAlign w:val="center"/>
          </w:tcPr>
          <w:p w14:paraId="3990ECF0">
            <w:pPr>
              <w:spacing w:line="360" w:lineRule="auto"/>
              <w:rPr>
                <w:rFonts w:hint="eastAsia" w:ascii="宋体" w:hAnsi="宋体" w:eastAsia="宋体" w:cs="宋体"/>
                <w:sz w:val="21"/>
                <w:szCs w:val="21"/>
              </w:rPr>
            </w:pPr>
            <w:r>
              <w:rPr>
                <w:rFonts w:hint="eastAsia" w:ascii="宋体" w:hAnsi="宋体" w:eastAsia="宋体" w:cs="宋体"/>
                <w:sz w:val="21"/>
                <w:szCs w:val="21"/>
              </w:rPr>
              <w:t>工程竣工验收通过后5天内</w:t>
            </w:r>
          </w:p>
        </w:tc>
        <w:tc>
          <w:tcPr>
            <w:tcW w:w="1087" w:type="dxa"/>
            <w:vMerge w:val="continue"/>
            <w:noWrap w:val="0"/>
            <w:vAlign w:val="center"/>
          </w:tcPr>
          <w:p w14:paraId="680F3D18">
            <w:pPr>
              <w:spacing w:line="360" w:lineRule="auto"/>
              <w:jc w:val="center"/>
              <w:rPr>
                <w:rFonts w:hint="eastAsia" w:ascii="宋体" w:hAnsi="宋体" w:eastAsia="宋体" w:cs="宋体"/>
                <w:sz w:val="21"/>
                <w:szCs w:val="21"/>
              </w:rPr>
            </w:pPr>
          </w:p>
        </w:tc>
      </w:tr>
    </w:tbl>
    <w:p w14:paraId="294F305B">
      <w:pPr>
        <w:spacing w:after="156" w:afterLines="50" w:line="400" w:lineRule="exact"/>
        <w:ind w:firstLine="374" w:firstLineChars="170"/>
        <w:rPr>
          <w:rFonts w:hint="eastAsia" w:ascii="宋体" w:hAnsi="宋体" w:eastAsia="宋体" w:cs="宋体"/>
          <w:kern w:val="0"/>
          <w:sz w:val="22"/>
          <w:szCs w:val="22"/>
        </w:rPr>
      </w:pPr>
      <w:r>
        <w:rPr>
          <w:rFonts w:hint="eastAsia" w:ascii="宋体" w:hAnsi="宋体" w:eastAsia="宋体" w:cs="宋体"/>
          <w:kern w:val="0"/>
          <w:sz w:val="22"/>
          <w:szCs w:val="22"/>
        </w:rPr>
        <w:t>（上表内容仅供参考，发包人和设计人应当根据行业特点及项目具体情况详细列举）</w:t>
      </w:r>
    </w:p>
    <w:p w14:paraId="435C481A">
      <w:pPr>
        <w:rPr>
          <w:rFonts w:hint="eastAsia" w:ascii="宋体" w:hAnsi="宋体" w:eastAsia="宋体" w:cs="宋体"/>
          <w:b/>
          <w:sz w:val="24"/>
          <w:szCs w:val="24"/>
        </w:rPr>
      </w:pPr>
      <w:bookmarkStart w:id="291" w:name="_Toc278231959"/>
      <w:bookmarkStart w:id="292" w:name="_Toc278309719"/>
    </w:p>
    <w:p w14:paraId="4474EC11">
      <w:pPr>
        <w:pStyle w:val="2"/>
        <w:rPr>
          <w:rFonts w:hint="eastAsia"/>
        </w:rPr>
      </w:pPr>
    </w:p>
    <w:p w14:paraId="3A1377A0">
      <w:pPr>
        <w:rPr>
          <w:rFonts w:hint="eastAsia" w:ascii="宋体" w:hAnsi="宋体" w:eastAsia="宋体" w:cs="宋体"/>
          <w:b/>
          <w:sz w:val="24"/>
          <w:szCs w:val="24"/>
        </w:rPr>
      </w:pPr>
      <w:r>
        <w:rPr>
          <w:rFonts w:hint="eastAsia" w:ascii="宋体" w:hAnsi="宋体" w:eastAsia="宋体" w:cs="宋体"/>
          <w:b/>
          <w:sz w:val="24"/>
          <w:szCs w:val="24"/>
        </w:rPr>
        <w:t xml:space="preserve">附件3：  </w:t>
      </w:r>
    </w:p>
    <w:p w14:paraId="1B3B7C80">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设计人向发包人交付的工程设计文件</w:t>
      </w:r>
      <w:bookmarkEnd w:id="291"/>
      <w:bookmarkEnd w:id="292"/>
      <w:r>
        <w:rPr>
          <w:rFonts w:hint="eastAsia" w:ascii="宋体" w:hAnsi="宋体" w:eastAsia="宋体" w:cs="宋体"/>
          <w:color w:val="000000"/>
          <w:sz w:val="24"/>
          <w:szCs w:val="24"/>
        </w:rPr>
        <w:t>目录</w:t>
      </w:r>
    </w:p>
    <w:p w14:paraId="19A6BF98">
      <w:pPr>
        <w:spacing w:after="156" w:afterLines="50" w:line="400" w:lineRule="exact"/>
        <w:ind w:firstLine="410" w:firstLineChars="170"/>
        <w:rPr>
          <w:rFonts w:hint="eastAsia" w:ascii="宋体" w:hAnsi="宋体" w:eastAsia="宋体" w:cs="宋体"/>
          <w:b/>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AB3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63F2CA7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785" w:type="dxa"/>
            <w:noWrap w:val="0"/>
            <w:vAlign w:val="center"/>
          </w:tcPr>
          <w:p w14:paraId="1D60480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资料及文件名称</w:t>
            </w:r>
          </w:p>
        </w:tc>
        <w:tc>
          <w:tcPr>
            <w:tcW w:w="720" w:type="dxa"/>
            <w:noWrap w:val="0"/>
            <w:vAlign w:val="center"/>
          </w:tcPr>
          <w:p w14:paraId="1C9DCA6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份数</w:t>
            </w:r>
          </w:p>
        </w:tc>
        <w:tc>
          <w:tcPr>
            <w:tcW w:w="2885" w:type="dxa"/>
            <w:noWrap w:val="0"/>
            <w:vAlign w:val="center"/>
          </w:tcPr>
          <w:p w14:paraId="7ECB401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提交日期</w:t>
            </w:r>
          </w:p>
        </w:tc>
        <w:tc>
          <w:tcPr>
            <w:tcW w:w="1087" w:type="dxa"/>
            <w:noWrap w:val="0"/>
            <w:vAlign w:val="center"/>
          </w:tcPr>
          <w:p w14:paraId="79D3E1B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有关事宜</w:t>
            </w:r>
          </w:p>
        </w:tc>
      </w:tr>
      <w:tr w14:paraId="083D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C84EFE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785" w:type="dxa"/>
            <w:noWrap w:val="0"/>
            <w:vAlign w:val="center"/>
          </w:tcPr>
          <w:p w14:paraId="747E22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初步（</w:t>
            </w:r>
            <w:r>
              <w:rPr>
                <w:rFonts w:hint="eastAsia" w:ascii="宋体" w:hAnsi="宋体" w:eastAsia="宋体" w:cs="宋体"/>
                <w:sz w:val="24"/>
                <w:szCs w:val="24"/>
                <w:lang w:eastAsia="zh-CN"/>
              </w:rPr>
              <w:t>基础</w:t>
            </w:r>
            <w:r>
              <w:rPr>
                <w:rFonts w:hint="eastAsia" w:ascii="宋体" w:hAnsi="宋体" w:eastAsia="宋体" w:cs="宋体"/>
                <w:sz w:val="24"/>
                <w:szCs w:val="24"/>
              </w:rPr>
              <w:t>）设计文件</w:t>
            </w:r>
          </w:p>
        </w:tc>
        <w:tc>
          <w:tcPr>
            <w:tcW w:w="720" w:type="dxa"/>
            <w:noWrap w:val="0"/>
            <w:vAlign w:val="center"/>
          </w:tcPr>
          <w:p w14:paraId="7F5DCDA6">
            <w:pPr>
              <w:spacing w:line="360" w:lineRule="auto"/>
              <w:jc w:val="center"/>
              <w:rPr>
                <w:rFonts w:hint="eastAsia" w:ascii="宋体" w:hAnsi="宋体" w:eastAsia="宋体" w:cs="宋体"/>
                <w:b/>
                <w:sz w:val="24"/>
                <w:szCs w:val="24"/>
              </w:rPr>
            </w:pPr>
          </w:p>
        </w:tc>
        <w:tc>
          <w:tcPr>
            <w:tcW w:w="2885" w:type="dxa"/>
            <w:noWrap w:val="0"/>
            <w:vAlign w:val="center"/>
          </w:tcPr>
          <w:p w14:paraId="571EE55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eastAsia="宋体" w:cs="宋体"/>
                <w:b/>
                <w:sz w:val="24"/>
                <w:szCs w:val="24"/>
              </w:rPr>
              <w:t>天</w:t>
            </w:r>
          </w:p>
        </w:tc>
        <w:tc>
          <w:tcPr>
            <w:tcW w:w="1087" w:type="dxa"/>
            <w:vMerge w:val="restart"/>
            <w:noWrap w:val="0"/>
            <w:vAlign w:val="center"/>
          </w:tcPr>
          <w:p w14:paraId="61CC00C5">
            <w:pPr>
              <w:spacing w:line="360" w:lineRule="auto"/>
              <w:jc w:val="center"/>
              <w:rPr>
                <w:rFonts w:hint="eastAsia" w:ascii="宋体" w:hAnsi="宋体" w:eastAsia="宋体" w:cs="宋体"/>
                <w:sz w:val="24"/>
                <w:szCs w:val="24"/>
              </w:rPr>
            </w:pPr>
          </w:p>
        </w:tc>
      </w:tr>
      <w:tr w14:paraId="1D4F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5EBF6E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785" w:type="dxa"/>
            <w:noWrap w:val="0"/>
            <w:vAlign w:val="center"/>
          </w:tcPr>
          <w:p w14:paraId="226080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非标准设备设计文件</w:t>
            </w:r>
          </w:p>
        </w:tc>
        <w:tc>
          <w:tcPr>
            <w:tcW w:w="720" w:type="dxa"/>
            <w:noWrap w:val="0"/>
            <w:vAlign w:val="center"/>
          </w:tcPr>
          <w:p w14:paraId="058DEBE2">
            <w:pPr>
              <w:spacing w:line="360" w:lineRule="auto"/>
              <w:jc w:val="center"/>
              <w:rPr>
                <w:rFonts w:hint="eastAsia" w:ascii="宋体" w:hAnsi="宋体" w:eastAsia="宋体" w:cs="宋体"/>
                <w:b/>
                <w:sz w:val="24"/>
                <w:szCs w:val="24"/>
              </w:rPr>
            </w:pPr>
          </w:p>
        </w:tc>
        <w:tc>
          <w:tcPr>
            <w:tcW w:w="2885" w:type="dxa"/>
            <w:noWrap w:val="0"/>
            <w:vAlign w:val="center"/>
          </w:tcPr>
          <w:p w14:paraId="462AD07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eastAsia="宋体" w:cs="宋体"/>
                <w:b/>
                <w:sz w:val="24"/>
                <w:szCs w:val="24"/>
              </w:rPr>
              <w:t>天</w:t>
            </w:r>
          </w:p>
        </w:tc>
        <w:tc>
          <w:tcPr>
            <w:tcW w:w="1087" w:type="dxa"/>
            <w:vMerge w:val="continue"/>
            <w:noWrap w:val="0"/>
            <w:vAlign w:val="center"/>
          </w:tcPr>
          <w:p w14:paraId="26452E0E">
            <w:pPr>
              <w:spacing w:line="360" w:lineRule="auto"/>
              <w:jc w:val="center"/>
              <w:rPr>
                <w:rFonts w:hint="eastAsia" w:ascii="宋体" w:hAnsi="宋体" w:eastAsia="宋体" w:cs="宋体"/>
                <w:sz w:val="24"/>
                <w:szCs w:val="24"/>
              </w:rPr>
            </w:pPr>
          </w:p>
        </w:tc>
      </w:tr>
      <w:tr w14:paraId="0A3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2C31F83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785" w:type="dxa"/>
            <w:noWrap w:val="0"/>
            <w:vAlign w:val="center"/>
          </w:tcPr>
          <w:p w14:paraId="4E0A09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施工图设计文件</w:t>
            </w:r>
          </w:p>
        </w:tc>
        <w:tc>
          <w:tcPr>
            <w:tcW w:w="720" w:type="dxa"/>
            <w:noWrap w:val="0"/>
            <w:vAlign w:val="center"/>
          </w:tcPr>
          <w:p w14:paraId="0448A4AF">
            <w:pPr>
              <w:spacing w:line="360" w:lineRule="auto"/>
              <w:jc w:val="center"/>
              <w:rPr>
                <w:rFonts w:hint="eastAsia" w:ascii="宋体" w:hAnsi="宋体" w:eastAsia="宋体" w:cs="宋体"/>
                <w:b/>
                <w:sz w:val="24"/>
                <w:szCs w:val="24"/>
              </w:rPr>
            </w:pPr>
          </w:p>
        </w:tc>
        <w:tc>
          <w:tcPr>
            <w:tcW w:w="2885" w:type="dxa"/>
            <w:noWrap w:val="0"/>
            <w:vAlign w:val="center"/>
          </w:tcPr>
          <w:p w14:paraId="5B45900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eastAsia="宋体" w:cs="宋体"/>
                <w:b/>
                <w:sz w:val="24"/>
                <w:szCs w:val="24"/>
              </w:rPr>
              <w:t>天</w:t>
            </w:r>
          </w:p>
        </w:tc>
        <w:tc>
          <w:tcPr>
            <w:tcW w:w="1087" w:type="dxa"/>
            <w:vMerge w:val="continue"/>
            <w:noWrap w:val="0"/>
            <w:vAlign w:val="center"/>
          </w:tcPr>
          <w:p w14:paraId="54178C95">
            <w:pPr>
              <w:spacing w:line="360" w:lineRule="auto"/>
              <w:jc w:val="center"/>
              <w:rPr>
                <w:rFonts w:hint="eastAsia" w:ascii="宋体" w:hAnsi="宋体" w:eastAsia="宋体" w:cs="宋体"/>
                <w:sz w:val="24"/>
                <w:szCs w:val="24"/>
              </w:rPr>
            </w:pPr>
          </w:p>
        </w:tc>
      </w:tr>
    </w:tbl>
    <w:p w14:paraId="1173498F">
      <w:pPr>
        <w:autoSpaceDE w:val="0"/>
        <w:autoSpaceDN w:val="0"/>
        <w:adjustRightInd w:val="0"/>
        <w:spacing w:line="360" w:lineRule="auto"/>
        <w:ind w:left="1120" w:hanging="960" w:hangingChars="400"/>
        <w:jc w:val="left"/>
        <w:rPr>
          <w:rFonts w:hint="eastAsia" w:ascii="宋体" w:hAnsi="宋体" w:eastAsia="宋体" w:cs="宋体"/>
          <w:sz w:val="24"/>
          <w:szCs w:val="24"/>
        </w:rPr>
      </w:pPr>
    </w:p>
    <w:p w14:paraId="1E5D1AAC">
      <w:pPr>
        <w:autoSpaceDE w:val="0"/>
        <w:autoSpaceDN w:val="0"/>
        <w:adjustRightInd w:val="0"/>
        <w:spacing w:line="360" w:lineRule="auto"/>
        <w:ind w:left="-105" w:leftChars="-50" w:firstLine="89" w:firstLineChars="37"/>
        <w:jc w:val="left"/>
        <w:rPr>
          <w:rFonts w:hint="eastAsia" w:ascii="宋体" w:hAnsi="宋体" w:eastAsia="宋体" w:cs="宋体"/>
          <w:b/>
          <w:sz w:val="24"/>
          <w:szCs w:val="24"/>
        </w:rPr>
      </w:pPr>
      <w:r>
        <w:rPr>
          <w:rFonts w:hint="eastAsia" w:ascii="宋体" w:hAnsi="宋体" w:eastAsia="宋体" w:cs="宋体"/>
          <w:b/>
          <w:sz w:val="24"/>
          <w:szCs w:val="24"/>
        </w:rPr>
        <w:t>特别约定：</w:t>
      </w:r>
    </w:p>
    <w:p w14:paraId="6E70D148">
      <w:pPr>
        <w:keepNext w:val="0"/>
        <w:keepLines w:val="0"/>
        <w:pageBreakBefore w:val="0"/>
        <w:widowControl w:val="0"/>
        <w:kinsoku/>
        <w:wordWrap/>
        <w:overflowPunct/>
        <w:topLinePunct w:val="0"/>
        <w:autoSpaceDE w:val="0"/>
        <w:autoSpaceDN w:val="0"/>
        <w:bidi w:val="0"/>
        <w:adjustRightInd w:val="0"/>
        <w:snapToGrid/>
        <w:spacing w:before="0" w:beforeLines="0" w:after="0" w:afterLines="0" w:line="240" w:lineRule="auto"/>
        <w:ind w:left="-105" w:leftChars="-5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在发包人所提供的设计资料（含设计确认单、规划部门批文、政府各部门批文等）能满足设计人进行各阶段设计的前提下开始计算各阶段的设计时间。</w:t>
      </w:r>
    </w:p>
    <w:p w14:paraId="393004F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上述设计时间不包括法定的节假日。</w:t>
      </w:r>
    </w:p>
    <w:p w14:paraId="734030F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图纸交付地点：设计人工作地</w:t>
      </w:r>
      <w:r>
        <w:rPr>
          <w:rFonts w:hint="eastAsia" w:ascii="宋体" w:hAnsi="宋体" w:eastAsia="宋体" w:cs="宋体"/>
          <w:sz w:val="24"/>
          <w:szCs w:val="24"/>
          <w:lang w:eastAsia="zh-CN"/>
        </w:rPr>
        <w:t>（</w:t>
      </w:r>
      <w:r>
        <w:rPr>
          <w:rFonts w:hint="eastAsia" w:ascii="宋体" w:hAnsi="宋体" w:eastAsia="宋体" w:cs="宋体"/>
          <w:sz w:val="24"/>
          <w:szCs w:val="24"/>
        </w:rPr>
        <w:t>或发包人指定地</w:t>
      </w:r>
      <w:r>
        <w:rPr>
          <w:rFonts w:hint="eastAsia" w:ascii="宋体" w:hAnsi="宋体" w:eastAsia="宋体" w:cs="宋体"/>
          <w:sz w:val="24"/>
          <w:szCs w:val="24"/>
          <w:lang w:eastAsia="zh-CN"/>
        </w:rPr>
        <w:t>）</w:t>
      </w:r>
      <w:r>
        <w:rPr>
          <w:rFonts w:hint="eastAsia" w:ascii="宋体" w:hAnsi="宋体" w:eastAsia="宋体" w:cs="宋体"/>
          <w:sz w:val="24"/>
          <w:szCs w:val="24"/>
        </w:rPr>
        <w:t>。发包人要求设计人提供电子版设计文件时，设计人有权对电子版设计文件采取加密、设置访问权限、限期使用等保护措施</w:t>
      </w:r>
      <w:r>
        <w:rPr>
          <w:rFonts w:hint="eastAsia" w:ascii="宋体" w:hAnsi="宋体" w:eastAsia="宋体" w:cs="宋体"/>
          <w:b/>
          <w:sz w:val="24"/>
          <w:szCs w:val="24"/>
        </w:rPr>
        <w:t>。</w:t>
      </w:r>
    </w:p>
    <w:p w14:paraId="0E09B1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如发包人要求提供超过合同约定份数的工程设计文件，则设计人仍应按发包人的要求提供，但发包人应向设计人支付工本费。</w:t>
      </w:r>
    </w:p>
    <w:p w14:paraId="63972EB2">
      <w:pPr>
        <w:spacing w:before="156" w:beforeLines="50" w:after="156" w:afterLines="50" w:line="440" w:lineRule="exact"/>
        <w:jc w:val="left"/>
        <w:rPr>
          <w:rFonts w:hint="eastAsia" w:ascii="宋体" w:hAnsi="宋体" w:eastAsia="宋体" w:cs="宋体"/>
          <w:color w:val="000000"/>
          <w:sz w:val="28"/>
          <w:szCs w:val="28"/>
        </w:rPr>
      </w:pPr>
    </w:p>
    <w:p w14:paraId="22C555C9">
      <w:pPr>
        <w:spacing w:before="156" w:beforeLines="50" w:after="156" w:afterLines="50" w:line="440" w:lineRule="exact"/>
        <w:jc w:val="left"/>
        <w:rPr>
          <w:rFonts w:hint="eastAsia" w:ascii="宋体" w:hAnsi="宋体" w:eastAsia="宋体" w:cs="宋体"/>
          <w:color w:val="000000"/>
          <w:sz w:val="28"/>
          <w:szCs w:val="28"/>
        </w:rPr>
      </w:pPr>
    </w:p>
    <w:p w14:paraId="2FA2EBBA">
      <w:pPr>
        <w:spacing w:before="156" w:beforeLines="50" w:after="156" w:afterLines="50" w:line="440" w:lineRule="exact"/>
        <w:jc w:val="left"/>
        <w:rPr>
          <w:rFonts w:hint="eastAsia" w:ascii="宋体" w:hAnsi="宋体" w:eastAsia="宋体" w:cs="宋体"/>
          <w:color w:val="000000"/>
          <w:sz w:val="28"/>
          <w:szCs w:val="28"/>
        </w:rPr>
      </w:pPr>
    </w:p>
    <w:p w14:paraId="75C97F29">
      <w:pPr>
        <w:spacing w:before="156" w:beforeLines="50" w:after="156" w:afterLines="50" w:line="440" w:lineRule="exact"/>
        <w:jc w:val="left"/>
        <w:rPr>
          <w:rFonts w:hint="eastAsia" w:ascii="宋体" w:hAnsi="宋体" w:eastAsia="宋体" w:cs="宋体"/>
          <w:color w:val="000000"/>
          <w:sz w:val="28"/>
          <w:szCs w:val="28"/>
        </w:rPr>
      </w:pPr>
    </w:p>
    <w:p w14:paraId="16B80ED5">
      <w:pPr>
        <w:spacing w:before="156" w:beforeLines="50" w:after="156" w:afterLines="50" w:line="440" w:lineRule="exact"/>
        <w:jc w:val="left"/>
        <w:rPr>
          <w:rFonts w:hint="eastAsia" w:ascii="宋体" w:hAnsi="宋体" w:eastAsia="宋体" w:cs="宋体"/>
          <w:color w:val="000000"/>
          <w:sz w:val="28"/>
          <w:szCs w:val="28"/>
        </w:rPr>
      </w:pPr>
    </w:p>
    <w:p w14:paraId="3ECC9513">
      <w:pPr>
        <w:pStyle w:val="2"/>
        <w:rPr>
          <w:rFonts w:hint="eastAsia" w:ascii="宋体" w:hAnsi="宋体" w:eastAsia="宋体" w:cs="宋体"/>
          <w:color w:val="000000"/>
          <w:sz w:val="28"/>
          <w:szCs w:val="28"/>
        </w:rPr>
      </w:pPr>
    </w:p>
    <w:p w14:paraId="356DDD2D">
      <w:pPr>
        <w:pStyle w:val="2"/>
        <w:rPr>
          <w:rFonts w:hint="eastAsia" w:ascii="宋体" w:hAnsi="宋体" w:eastAsia="宋体" w:cs="宋体"/>
          <w:color w:val="000000"/>
          <w:sz w:val="28"/>
          <w:szCs w:val="28"/>
        </w:rPr>
      </w:pPr>
    </w:p>
    <w:p w14:paraId="39C00620">
      <w:pPr>
        <w:pStyle w:val="2"/>
        <w:rPr>
          <w:rFonts w:hint="eastAsia" w:ascii="宋体" w:hAnsi="宋体" w:eastAsia="宋体" w:cs="宋体"/>
          <w:color w:val="000000"/>
          <w:sz w:val="28"/>
          <w:szCs w:val="28"/>
        </w:rPr>
      </w:pPr>
    </w:p>
    <w:p w14:paraId="2C30B7DB">
      <w:pPr>
        <w:pStyle w:val="2"/>
        <w:rPr>
          <w:rFonts w:hint="eastAsia" w:ascii="宋体" w:hAnsi="宋体" w:eastAsia="宋体" w:cs="宋体"/>
          <w:color w:val="000000"/>
          <w:sz w:val="28"/>
          <w:szCs w:val="28"/>
        </w:rPr>
      </w:pPr>
    </w:p>
    <w:p w14:paraId="349C4B81">
      <w:pPr>
        <w:pStyle w:val="2"/>
        <w:rPr>
          <w:rFonts w:hint="eastAsia" w:ascii="宋体" w:hAnsi="宋体" w:eastAsia="宋体" w:cs="宋体"/>
          <w:color w:val="000000"/>
          <w:sz w:val="28"/>
          <w:szCs w:val="28"/>
        </w:rPr>
      </w:pPr>
    </w:p>
    <w:p w14:paraId="2E35549A">
      <w:pPr>
        <w:rPr>
          <w:rFonts w:hint="eastAsia" w:ascii="宋体" w:hAnsi="宋体" w:eastAsia="宋体" w:cs="宋体"/>
          <w:b/>
          <w:color w:val="000000"/>
          <w:sz w:val="28"/>
          <w:szCs w:val="28"/>
        </w:rPr>
      </w:pPr>
      <w:r>
        <w:rPr>
          <w:rFonts w:hint="eastAsia" w:ascii="宋体" w:hAnsi="宋体" w:eastAsia="宋体" w:cs="宋体"/>
          <w:b/>
          <w:sz w:val="28"/>
          <w:szCs w:val="28"/>
        </w:rPr>
        <w:t>附件4：</w:t>
      </w:r>
      <w:r>
        <w:rPr>
          <w:rFonts w:hint="eastAsia" w:ascii="宋体" w:hAnsi="宋体" w:eastAsia="宋体" w:cs="宋体"/>
          <w:b/>
          <w:color w:val="000000"/>
          <w:sz w:val="28"/>
          <w:szCs w:val="28"/>
        </w:rPr>
        <w:t xml:space="preserve">             </w:t>
      </w:r>
    </w:p>
    <w:p w14:paraId="55CDA66A">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设计人主要设计人员表</w:t>
      </w:r>
    </w:p>
    <w:p w14:paraId="5FBD2408">
      <w:pPr>
        <w:spacing w:line="440" w:lineRule="exact"/>
        <w:rPr>
          <w:rFonts w:hint="eastAsia" w:ascii="宋体" w:hAnsi="宋体" w:eastAsia="宋体" w:cs="宋体"/>
          <w:color w:val="000000"/>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AD6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12" w:space="0"/>
              <w:bottom w:val="double" w:color="auto" w:sz="6" w:space="0"/>
            </w:tcBorders>
            <w:noWrap w:val="0"/>
            <w:vAlign w:val="center"/>
          </w:tcPr>
          <w:p w14:paraId="7CC3BC7C">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名    称</w:t>
            </w:r>
          </w:p>
        </w:tc>
        <w:tc>
          <w:tcPr>
            <w:tcW w:w="1418" w:type="dxa"/>
            <w:tcBorders>
              <w:top w:val="single" w:color="auto" w:sz="12" w:space="0"/>
              <w:bottom w:val="double" w:color="auto" w:sz="6" w:space="0"/>
            </w:tcBorders>
            <w:noWrap w:val="0"/>
            <w:vAlign w:val="center"/>
          </w:tcPr>
          <w:p w14:paraId="5398D4E9">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姓名</w:t>
            </w:r>
          </w:p>
        </w:tc>
        <w:tc>
          <w:tcPr>
            <w:tcW w:w="1134" w:type="dxa"/>
            <w:tcBorders>
              <w:top w:val="single" w:color="auto" w:sz="12" w:space="0"/>
              <w:bottom w:val="double" w:color="auto" w:sz="6" w:space="0"/>
            </w:tcBorders>
            <w:noWrap w:val="0"/>
            <w:vAlign w:val="center"/>
          </w:tcPr>
          <w:p w14:paraId="10E232BA">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职务</w:t>
            </w:r>
          </w:p>
        </w:tc>
        <w:tc>
          <w:tcPr>
            <w:tcW w:w="1134" w:type="dxa"/>
            <w:tcBorders>
              <w:top w:val="single" w:color="auto" w:sz="12" w:space="0"/>
              <w:bottom w:val="double" w:color="auto" w:sz="6" w:space="0"/>
            </w:tcBorders>
            <w:noWrap w:val="0"/>
            <w:vAlign w:val="center"/>
          </w:tcPr>
          <w:p w14:paraId="1BAAA00D">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注册执业资格或职称</w:t>
            </w:r>
          </w:p>
        </w:tc>
        <w:tc>
          <w:tcPr>
            <w:tcW w:w="4252" w:type="dxa"/>
            <w:tcBorders>
              <w:top w:val="single" w:color="auto" w:sz="12" w:space="0"/>
              <w:bottom w:val="double" w:color="auto" w:sz="6" w:space="0"/>
            </w:tcBorders>
            <w:noWrap w:val="0"/>
            <w:vAlign w:val="center"/>
          </w:tcPr>
          <w:p w14:paraId="62ABD5E6">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承担过的主要项目</w:t>
            </w:r>
          </w:p>
        </w:tc>
      </w:tr>
      <w:tr w14:paraId="241E2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14:paraId="69CEDE0E">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一、总部人员</w:t>
            </w:r>
          </w:p>
        </w:tc>
      </w:tr>
      <w:tr w14:paraId="5AAD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14:paraId="12EDC774">
            <w:pPr>
              <w:pStyle w:val="15"/>
              <w:keepNext/>
              <w:spacing w:after="0" w:afterLines="0" w:line="440" w:lineRule="exact"/>
              <w:ind w:left="63" w:right="63"/>
              <w:rPr>
                <w:rFonts w:hint="eastAsia" w:ascii="宋体" w:hAnsi="宋体" w:eastAsia="宋体" w:cs="宋体"/>
                <w:color w:val="000000"/>
                <w:sz w:val="28"/>
                <w:szCs w:val="28"/>
              </w:rPr>
            </w:pPr>
          </w:p>
        </w:tc>
        <w:tc>
          <w:tcPr>
            <w:tcW w:w="1418" w:type="dxa"/>
            <w:tcBorders>
              <w:top w:val="nil"/>
            </w:tcBorders>
            <w:noWrap w:val="0"/>
            <w:vAlign w:val="center"/>
          </w:tcPr>
          <w:p w14:paraId="4EA3EAB6">
            <w:pPr>
              <w:pStyle w:val="15"/>
              <w:keepNext/>
              <w:spacing w:after="0" w:afterLines="0" w:line="440" w:lineRule="exact"/>
              <w:ind w:left="63" w:right="63"/>
              <w:rPr>
                <w:rFonts w:hint="eastAsia" w:ascii="宋体" w:hAnsi="宋体" w:eastAsia="宋体" w:cs="宋体"/>
                <w:color w:val="000000"/>
                <w:sz w:val="28"/>
                <w:szCs w:val="28"/>
              </w:rPr>
            </w:pPr>
          </w:p>
        </w:tc>
        <w:tc>
          <w:tcPr>
            <w:tcW w:w="1134" w:type="dxa"/>
            <w:tcBorders>
              <w:top w:val="nil"/>
            </w:tcBorders>
            <w:noWrap w:val="0"/>
            <w:vAlign w:val="center"/>
          </w:tcPr>
          <w:p w14:paraId="7F9D3DE8">
            <w:pPr>
              <w:pStyle w:val="15"/>
              <w:keepNext/>
              <w:spacing w:after="0" w:afterLines="0" w:line="440" w:lineRule="exact"/>
              <w:ind w:left="63" w:right="63"/>
              <w:rPr>
                <w:rFonts w:hint="eastAsia" w:ascii="宋体" w:hAnsi="宋体" w:eastAsia="宋体" w:cs="宋体"/>
                <w:color w:val="000000"/>
                <w:sz w:val="28"/>
                <w:szCs w:val="28"/>
              </w:rPr>
            </w:pPr>
          </w:p>
        </w:tc>
        <w:tc>
          <w:tcPr>
            <w:tcW w:w="1134" w:type="dxa"/>
            <w:tcBorders>
              <w:top w:val="nil"/>
            </w:tcBorders>
            <w:noWrap w:val="0"/>
            <w:vAlign w:val="center"/>
          </w:tcPr>
          <w:p w14:paraId="3CA2ED94">
            <w:pPr>
              <w:pStyle w:val="15"/>
              <w:keepNext/>
              <w:spacing w:after="0" w:afterLines="0" w:line="440" w:lineRule="exact"/>
              <w:ind w:left="63" w:right="63"/>
              <w:rPr>
                <w:rFonts w:hint="eastAsia" w:ascii="宋体" w:hAnsi="宋体" w:eastAsia="宋体" w:cs="宋体"/>
                <w:color w:val="000000"/>
                <w:sz w:val="28"/>
                <w:szCs w:val="28"/>
              </w:rPr>
            </w:pPr>
          </w:p>
        </w:tc>
        <w:tc>
          <w:tcPr>
            <w:tcW w:w="4252" w:type="dxa"/>
            <w:tcBorders>
              <w:top w:val="nil"/>
            </w:tcBorders>
            <w:noWrap w:val="0"/>
            <w:vAlign w:val="center"/>
          </w:tcPr>
          <w:p w14:paraId="2F620A65">
            <w:pPr>
              <w:pStyle w:val="15"/>
              <w:keepNext/>
              <w:spacing w:after="0" w:afterLines="0" w:line="440" w:lineRule="exact"/>
              <w:ind w:left="63" w:right="63"/>
              <w:rPr>
                <w:rFonts w:hint="eastAsia" w:ascii="宋体" w:hAnsi="宋体" w:eastAsia="宋体" w:cs="宋体"/>
                <w:color w:val="000000"/>
                <w:sz w:val="28"/>
                <w:szCs w:val="28"/>
              </w:rPr>
            </w:pPr>
          </w:p>
        </w:tc>
      </w:tr>
      <w:tr w14:paraId="7B94A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14:paraId="17F765AE">
            <w:pPr>
              <w:pStyle w:val="15"/>
              <w:keepNext/>
              <w:spacing w:after="0" w:afterLines="0" w:line="440" w:lineRule="exact"/>
              <w:ind w:left="63" w:right="63"/>
              <w:rPr>
                <w:rFonts w:hint="eastAsia" w:ascii="宋体" w:hAnsi="宋体" w:eastAsia="宋体" w:cs="宋体"/>
                <w:color w:val="000000"/>
                <w:sz w:val="28"/>
                <w:szCs w:val="28"/>
              </w:rPr>
            </w:pPr>
          </w:p>
        </w:tc>
        <w:tc>
          <w:tcPr>
            <w:tcW w:w="1418" w:type="dxa"/>
            <w:noWrap w:val="0"/>
            <w:vAlign w:val="center"/>
          </w:tcPr>
          <w:p w14:paraId="02AD6A04">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58826856">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6EFD4AA3">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486B6D86">
            <w:pPr>
              <w:pStyle w:val="15"/>
              <w:keepNext/>
              <w:spacing w:after="0" w:afterLines="0" w:line="440" w:lineRule="exact"/>
              <w:ind w:left="63" w:right="63"/>
              <w:rPr>
                <w:rFonts w:hint="eastAsia" w:ascii="宋体" w:hAnsi="宋体" w:eastAsia="宋体" w:cs="宋体"/>
                <w:color w:val="000000"/>
                <w:sz w:val="28"/>
                <w:szCs w:val="28"/>
              </w:rPr>
            </w:pPr>
          </w:p>
        </w:tc>
      </w:tr>
      <w:tr w14:paraId="0B137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14:paraId="02FDCC66">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二、项目组成员</w:t>
            </w:r>
          </w:p>
        </w:tc>
      </w:tr>
      <w:tr w14:paraId="2610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55FC8B94">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项目负责人</w:t>
            </w:r>
          </w:p>
        </w:tc>
        <w:tc>
          <w:tcPr>
            <w:tcW w:w="1418" w:type="dxa"/>
            <w:noWrap w:val="0"/>
            <w:vAlign w:val="center"/>
          </w:tcPr>
          <w:p w14:paraId="60742339">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603C5228">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2ED06A80">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02ECFD9E">
            <w:pPr>
              <w:pStyle w:val="15"/>
              <w:keepNext/>
              <w:spacing w:after="0" w:afterLines="0" w:line="440" w:lineRule="exact"/>
              <w:ind w:left="63" w:right="63"/>
              <w:rPr>
                <w:rFonts w:hint="eastAsia" w:ascii="宋体" w:hAnsi="宋体" w:eastAsia="宋体" w:cs="宋体"/>
                <w:color w:val="000000"/>
                <w:sz w:val="28"/>
                <w:szCs w:val="28"/>
              </w:rPr>
            </w:pPr>
          </w:p>
        </w:tc>
      </w:tr>
      <w:tr w14:paraId="17EC9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56FDFD89">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项目</w:t>
            </w:r>
          </w:p>
          <w:p w14:paraId="6576D529">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副负责人</w:t>
            </w:r>
          </w:p>
        </w:tc>
        <w:tc>
          <w:tcPr>
            <w:tcW w:w="1418" w:type="dxa"/>
            <w:noWrap w:val="0"/>
            <w:vAlign w:val="center"/>
          </w:tcPr>
          <w:p w14:paraId="453E47FF">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5A596489">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39F7FCA8">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3C733D30">
            <w:pPr>
              <w:pStyle w:val="15"/>
              <w:keepNext/>
              <w:spacing w:after="0" w:afterLines="0" w:line="440" w:lineRule="exact"/>
              <w:ind w:left="63" w:right="63"/>
              <w:rPr>
                <w:rFonts w:hint="eastAsia" w:ascii="宋体" w:hAnsi="宋体" w:eastAsia="宋体" w:cs="宋体"/>
                <w:color w:val="000000"/>
                <w:sz w:val="28"/>
                <w:szCs w:val="28"/>
              </w:rPr>
            </w:pPr>
          </w:p>
        </w:tc>
      </w:tr>
      <w:tr w14:paraId="093CB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09E403D9">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专业</w:t>
            </w:r>
          </w:p>
          <w:p w14:paraId="13DAAAA7">
            <w:pPr>
              <w:pStyle w:val="15"/>
              <w:keepNext/>
              <w:spacing w:after="0" w:afterLines="0" w:line="440" w:lineRule="exact"/>
              <w:ind w:left="63" w:right="63"/>
              <w:rPr>
                <w:rFonts w:hint="eastAsia" w:ascii="宋体" w:hAnsi="宋体" w:eastAsia="宋体" w:cs="宋体"/>
                <w:color w:val="000000"/>
                <w:sz w:val="28"/>
                <w:szCs w:val="28"/>
              </w:rPr>
            </w:pPr>
            <w:r>
              <w:rPr>
                <w:rFonts w:hint="eastAsia" w:ascii="宋体" w:hAnsi="宋体" w:eastAsia="宋体" w:cs="宋体"/>
                <w:color w:val="000000"/>
                <w:sz w:val="28"/>
                <w:szCs w:val="28"/>
              </w:rPr>
              <w:t>负责人</w:t>
            </w:r>
          </w:p>
        </w:tc>
        <w:tc>
          <w:tcPr>
            <w:tcW w:w="1418" w:type="dxa"/>
            <w:noWrap w:val="0"/>
            <w:vAlign w:val="center"/>
          </w:tcPr>
          <w:p w14:paraId="2657EDD7">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15F3D57B">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158EF138">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0F22F24F">
            <w:pPr>
              <w:pStyle w:val="15"/>
              <w:keepNext/>
              <w:spacing w:after="0" w:afterLines="0" w:line="440" w:lineRule="exact"/>
              <w:ind w:left="63" w:right="63"/>
              <w:rPr>
                <w:rFonts w:hint="eastAsia" w:ascii="宋体" w:hAnsi="宋体" w:eastAsia="宋体" w:cs="宋体"/>
                <w:color w:val="000000"/>
                <w:sz w:val="28"/>
                <w:szCs w:val="28"/>
              </w:rPr>
            </w:pPr>
          </w:p>
        </w:tc>
      </w:tr>
      <w:tr w14:paraId="22912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3A447785">
            <w:pPr>
              <w:pStyle w:val="15"/>
              <w:keepNext/>
              <w:spacing w:after="0" w:afterLines="0" w:line="440" w:lineRule="exact"/>
              <w:ind w:left="63" w:right="63"/>
              <w:rPr>
                <w:rFonts w:hint="eastAsia" w:ascii="宋体" w:hAnsi="宋体" w:eastAsia="宋体" w:cs="宋体"/>
                <w:color w:val="000000"/>
                <w:sz w:val="28"/>
                <w:szCs w:val="28"/>
              </w:rPr>
            </w:pPr>
          </w:p>
        </w:tc>
        <w:tc>
          <w:tcPr>
            <w:tcW w:w="1418" w:type="dxa"/>
            <w:noWrap w:val="0"/>
            <w:vAlign w:val="center"/>
          </w:tcPr>
          <w:p w14:paraId="07401E3F">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49953310">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12F8F0EE">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56AFD65F">
            <w:pPr>
              <w:pStyle w:val="15"/>
              <w:keepNext/>
              <w:spacing w:after="0" w:afterLines="0" w:line="440" w:lineRule="exact"/>
              <w:ind w:left="63" w:right="63"/>
              <w:rPr>
                <w:rFonts w:hint="eastAsia" w:ascii="宋体" w:hAnsi="宋体" w:eastAsia="宋体" w:cs="宋体"/>
                <w:color w:val="000000"/>
                <w:sz w:val="28"/>
                <w:szCs w:val="28"/>
              </w:rPr>
            </w:pPr>
          </w:p>
        </w:tc>
      </w:tr>
      <w:tr w14:paraId="58B7C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310CE556">
            <w:pPr>
              <w:pStyle w:val="15"/>
              <w:keepNext/>
              <w:spacing w:after="0" w:afterLines="0" w:line="440" w:lineRule="exact"/>
              <w:ind w:left="63" w:right="63"/>
              <w:rPr>
                <w:rFonts w:hint="eastAsia" w:ascii="宋体" w:hAnsi="宋体" w:eastAsia="宋体" w:cs="宋体"/>
                <w:color w:val="000000"/>
                <w:sz w:val="28"/>
                <w:szCs w:val="28"/>
              </w:rPr>
            </w:pPr>
          </w:p>
        </w:tc>
        <w:tc>
          <w:tcPr>
            <w:tcW w:w="1418" w:type="dxa"/>
            <w:noWrap w:val="0"/>
            <w:vAlign w:val="center"/>
          </w:tcPr>
          <w:p w14:paraId="61D11AEC">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4EAABD71">
            <w:pPr>
              <w:pStyle w:val="15"/>
              <w:keepNext/>
              <w:spacing w:after="0" w:afterLines="0" w:line="440" w:lineRule="exact"/>
              <w:ind w:left="63" w:right="63"/>
              <w:rPr>
                <w:rFonts w:hint="eastAsia" w:ascii="宋体" w:hAnsi="宋体" w:eastAsia="宋体" w:cs="宋体"/>
                <w:color w:val="000000"/>
                <w:sz w:val="28"/>
                <w:szCs w:val="28"/>
              </w:rPr>
            </w:pPr>
          </w:p>
        </w:tc>
        <w:tc>
          <w:tcPr>
            <w:tcW w:w="1134" w:type="dxa"/>
            <w:noWrap w:val="0"/>
            <w:vAlign w:val="center"/>
          </w:tcPr>
          <w:p w14:paraId="3C8305EC">
            <w:pPr>
              <w:pStyle w:val="15"/>
              <w:keepNext/>
              <w:spacing w:after="0" w:afterLines="0" w:line="440" w:lineRule="exact"/>
              <w:ind w:left="63" w:right="63"/>
              <w:rPr>
                <w:rFonts w:hint="eastAsia" w:ascii="宋体" w:hAnsi="宋体" w:eastAsia="宋体" w:cs="宋体"/>
                <w:color w:val="000000"/>
                <w:sz w:val="28"/>
                <w:szCs w:val="28"/>
              </w:rPr>
            </w:pPr>
          </w:p>
        </w:tc>
        <w:tc>
          <w:tcPr>
            <w:tcW w:w="4252" w:type="dxa"/>
            <w:noWrap w:val="0"/>
            <w:vAlign w:val="center"/>
          </w:tcPr>
          <w:p w14:paraId="4AB91DF9">
            <w:pPr>
              <w:pStyle w:val="15"/>
              <w:keepNext/>
              <w:spacing w:after="0" w:afterLines="0" w:line="440" w:lineRule="exact"/>
              <w:ind w:left="63" w:right="63"/>
              <w:rPr>
                <w:rFonts w:hint="eastAsia" w:ascii="宋体" w:hAnsi="宋体" w:eastAsia="宋体" w:cs="宋体"/>
                <w:color w:val="000000"/>
                <w:sz w:val="28"/>
                <w:szCs w:val="28"/>
              </w:rPr>
            </w:pPr>
          </w:p>
        </w:tc>
      </w:tr>
      <w:tr w14:paraId="0D87E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12" w:space="0"/>
            </w:tcBorders>
            <w:noWrap w:val="0"/>
            <w:vAlign w:val="center"/>
          </w:tcPr>
          <w:p w14:paraId="0373B169">
            <w:pPr>
              <w:pStyle w:val="15"/>
              <w:keepNext/>
              <w:spacing w:after="0" w:afterLines="0" w:line="440" w:lineRule="exact"/>
              <w:ind w:left="63" w:right="63"/>
              <w:rPr>
                <w:rFonts w:hint="eastAsia" w:ascii="宋体" w:hAnsi="宋体" w:eastAsia="宋体" w:cs="宋体"/>
                <w:color w:val="000000"/>
                <w:sz w:val="28"/>
                <w:szCs w:val="28"/>
              </w:rPr>
            </w:pPr>
          </w:p>
        </w:tc>
        <w:tc>
          <w:tcPr>
            <w:tcW w:w="1418" w:type="dxa"/>
            <w:tcBorders>
              <w:bottom w:val="single" w:color="auto" w:sz="12" w:space="0"/>
            </w:tcBorders>
            <w:noWrap w:val="0"/>
            <w:vAlign w:val="center"/>
          </w:tcPr>
          <w:p w14:paraId="3E580B00">
            <w:pPr>
              <w:pStyle w:val="15"/>
              <w:keepNext/>
              <w:spacing w:after="0" w:afterLines="0" w:line="440" w:lineRule="exact"/>
              <w:ind w:left="63" w:right="63"/>
              <w:rPr>
                <w:rFonts w:hint="eastAsia" w:ascii="宋体" w:hAnsi="宋体" w:eastAsia="宋体" w:cs="宋体"/>
                <w:color w:val="000000"/>
                <w:sz w:val="28"/>
                <w:szCs w:val="28"/>
              </w:rPr>
            </w:pPr>
          </w:p>
        </w:tc>
        <w:tc>
          <w:tcPr>
            <w:tcW w:w="1134" w:type="dxa"/>
            <w:tcBorders>
              <w:bottom w:val="single" w:color="auto" w:sz="12" w:space="0"/>
            </w:tcBorders>
            <w:noWrap w:val="0"/>
            <w:vAlign w:val="center"/>
          </w:tcPr>
          <w:p w14:paraId="6ABC0E21">
            <w:pPr>
              <w:pStyle w:val="15"/>
              <w:keepNext/>
              <w:spacing w:after="0" w:afterLines="0" w:line="440" w:lineRule="exact"/>
              <w:ind w:left="63" w:right="63"/>
              <w:rPr>
                <w:rFonts w:hint="eastAsia" w:ascii="宋体" w:hAnsi="宋体" w:eastAsia="宋体" w:cs="宋体"/>
                <w:color w:val="000000"/>
                <w:sz w:val="28"/>
                <w:szCs w:val="28"/>
              </w:rPr>
            </w:pPr>
          </w:p>
        </w:tc>
        <w:tc>
          <w:tcPr>
            <w:tcW w:w="1134" w:type="dxa"/>
            <w:tcBorders>
              <w:bottom w:val="single" w:color="auto" w:sz="12" w:space="0"/>
            </w:tcBorders>
            <w:noWrap w:val="0"/>
            <w:vAlign w:val="center"/>
          </w:tcPr>
          <w:p w14:paraId="48F04F9D">
            <w:pPr>
              <w:pStyle w:val="15"/>
              <w:keepNext/>
              <w:spacing w:after="0" w:afterLines="0" w:line="440" w:lineRule="exact"/>
              <w:ind w:left="63" w:right="63"/>
              <w:rPr>
                <w:rFonts w:hint="eastAsia" w:ascii="宋体" w:hAnsi="宋体" w:eastAsia="宋体" w:cs="宋体"/>
                <w:color w:val="000000"/>
                <w:sz w:val="28"/>
                <w:szCs w:val="28"/>
              </w:rPr>
            </w:pPr>
          </w:p>
        </w:tc>
        <w:tc>
          <w:tcPr>
            <w:tcW w:w="4252" w:type="dxa"/>
            <w:tcBorders>
              <w:bottom w:val="single" w:color="auto" w:sz="12" w:space="0"/>
            </w:tcBorders>
            <w:noWrap w:val="0"/>
            <w:vAlign w:val="center"/>
          </w:tcPr>
          <w:p w14:paraId="2360983B">
            <w:pPr>
              <w:pStyle w:val="15"/>
              <w:keepNext/>
              <w:spacing w:after="0" w:afterLines="0" w:line="440" w:lineRule="exact"/>
              <w:ind w:left="63" w:right="63"/>
              <w:rPr>
                <w:rFonts w:hint="eastAsia" w:ascii="宋体" w:hAnsi="宋体" w:eastAsia="宋体" w:cs="宋体"/>
                <w:color w:val="000000"/>
                <w:sz w:val="28"/>
                <w:szCs w:val="28"/>
              </w:rPr>
            </w:pPr>
          </w:p>
        </w:tc>
      </w:tr>
    </w:tbl>
    <w:p w14:paraId="0FE54162">
      <w:pPr>
        <w:spacing w:line="440" w:lineRule="exact"/>
        <w:rPr>
          <w:rFonts w:hint="eastAsia" w:ascii="宋体" w:hAnsi="宋体" w:eastAsia="宋体" w:cs="宋体"/>
          <w:color w:val="000000"/>
          <w:sz w:val="28"/>
          <w:szCs w:val="28"/>
        </w:rPr>
      </w:pPr>
    </w:p>
    <w:p w14:paraId="74506035">
      <w:pPr>
        <w:spacing w:line="440" w:lineRule="exact"/>
        <w:rPr>
          <w:rFonts w:hint="eastAsia" w:ascii="宋体" w:hAnsi="宋体" w:eastAsia="宋体" w:cs="宋体"/>
          <w:color w:val="000000"/>
          <w:sz w:val="28"/>
          <w:szCs w:val="28"/>
        </w:rPr>
      </w:pPr>
    </w:p>
    <w:p w14:paraId="76821239">
      <w:pPr>
        <w:spacing w:line="440" w:lineRule="exact"/>
        <w:rPr>
          <w:rFonts w:hint="eastAsia" w:ascii="宋体" w:hAnsi="宋体" w:eastAsia="宋体" w:cs="宋体"/>
          <w:color w:val="000000"/>
          <w:sz w:val="28"/>
          <w:szCs w:val="28"/>
        </w:rPr>
      </w:pPr>
    </w:p>
    <w:p w14:paraId="1DE225ED">
      <w:pPr>
        <w:spacing w:line="440" w:lineRule="exact"/>
        <w:rPr>
          <w:rFonts w:hint="eastAsia" w:ascii="宋体" w:hAnsi="宋体" w:eastAsia="宋体" w:cs="宋体"/>
          <w:color w:val="000000"/>
          <w:sz w:val="28"/>
          <w:szCs w:val="28"/>
        </w:rPr>
      </w:pPr>
    </w:p>
    <w:p w14:paraId="3EA142E9">
      <w:pPr>
        <w:spacing w:line="440" w:lineRule="exact"/>
        <w:rPr>
          <w:rFonts w:hint="eastAsia" w:ascii="宋体" w:hAnsi="宋体" w:eastAsia="宋体" w:cs="宋体"/>
          <w:color w:val="000000"/>
          <w:sz w:val="28"/>
          <w:szCs w:val="28"/>
        </w:rPr>
      </w:pPr>
    </w:p>
    <w:p w14:paraId="745F74FE">
      <w:pPr>
        <w:spacing w:line="440" w:lineRule="exact"/>
        <w:rPr>
          <w:rFonts w:hint="eastAsia" w:ascii="宋体" w:hAnsi="宋体" w:eastAsia="宋体" w:cs="宋体"/>
          <w:color w:val="000000"/>
          <w:sz w:val="28"/>
          <w:szCs w:val="28"/>
        </w:rPr>
      </w:pPr>
    </w:p>
    <w:p w14:paraId="06D41413">
      <w:pPr>
        <w:spacing w:line="440" w:lineRule="exact"/>
        <w:rPr>
          <w:rFonts w:hint="eastAsia" w:ascii="宋体" w:hAnsi="宋体" w:eastAsia="宋体" w:cs="宋体"/>
          <w:color w:val="000000"/>
          <w:sz w:val="28"/>
          <w:szCs w:val="28"/>
        </w:rPr>
      </w:pPr>
    </w:p>
    <w:p w14:paraId="2CB1A94E">
      <w:pPr>
        <w:spacing w:line="440" w:lineRule="exact"/>
        <w:rPr>
          <w:rFonts w:hint="eastAsia" w:ascii="宋体" w:hAnsi="宋体" w:eastAsia="宋体" w:cs="宋体"/>
          <w:color w:val="000000"/>
          <w:sz w:val="28"/>
          <w:szCs w:val="28"/>
        </w:rPr>
      </w:pPr>
    </w:p>
    <w:p w14:paraId="69A6433B">
      <w:pPr>
        <w:spacing w:line="440" w:lineRule="exact"/>
        <w:rPr>
          <w:rFonts w:hint="eastAsia" w:ascii="宋体" w:hAnsi="宋体" w:eastAsia="宋体" w:cs="宋体"/>
          <w:color w:val="000000"/>
          <w:sz w:val="28"/>
          <w:szCs w:val="28"/>
        </w:rPr>
      </w:pPr>
    </w:p>
    <w:p w14:paraId="13147F53">
      <w:pPr>
        <w:spacing w:line="440" w:lineRule="exact"/>
        <w:rPr>
          <w:rFonts w:hint="eastAsia" w:ascii="宋体" w:hAnsi="宋体" w:eastAsia="宋体" w:cs="宋体"/>
          <w:color w:val="000000"/>
          <w:sz w:val="28"/>
          <w:szCs w:val="28"/>
        </w:rPr>
      </w:pPr>
    </w:p>
    <w:p w14:paraId="2E754652">
      <w:pPr>
        <w:spacing w:line="440" w:lineRule="exact"/>
        <w:rPr>
          <w:rFonts w:hint="eastAsia" w:ascii="宋体" w:hAnsi="宋体" w:eastAsia="宋体" w:cs="宋体"/>
          <w:color w:val="000000"/>
          <w:sz w:val="28"/>
          <w:szCs w:val="28"/>
        </w:rPr>
      </w:pPr>
    </w:p>
    <w:p w14:paraId="6AC542D8">
      <w:pPr>
        <w:spacing w:line="440" w:lineRule="exact"/>
        <w:rPr>
          <w:rFonts w:hint="eastAsia" w:ascii="宋体" w:hAnsi="宋体" w:eastAsia="宋体" w:cs="宋体"/>
          <w:color w:val="000000"/>
          <w:sz w:val="28"/>
          <w:szCs w:val="28"/>
        </w:rPr>
      </w:pPr>
    </w:p>
    <w:p w14:paraId="54244B5E">
      <w:pPr>
        <w:spacing w:line="440" w:lineRule="exact"/>
        <w:rPr>
          <w:rFonts w:hint="eastAsia" w:ascii="宋体" w:hAnsi="宋体" w:eastAsia="宋体" w:cs="宋体"/>
          <w:color w:val="000000"/>
          <w:sz w:val="28"/>
          <w:szCs w:val="28"/>
        </w:rPr>
      </w:pPr>
    </w:p>
    <w:p w14:paraId="48016AAD">
      <w:pPr>
        <w:rPr>
          <w:rFonts w:hint="eastAsia" w:ascii="宋体" w:hAnsi="宋体" w:eastAsia="宋体" w:cs="宋体"/>
          <w:color w:val="000000"/>
          <w:sz w:val="28"/>
          <w:szCs w:val="28"/>
        </w:rPr>
      </w:pPr>
      <w:r>
        <w:rPr>
          <w:rFonts w:hint="eastAsia" w:ascii="宋体" w:hAnsi="宋体" w:eastAsia="宋体" w:cs="宋体"/>
          <w:b/>
          <w:sz w:val="28"/>
          <w:szCs w:val="28"/>
        </w:rPr>
        <w:t xml:space="preserve">附件5： </w:t>
      </w:r>
      <w:r>
        <w:rPr>
          <w:rFonts w:hint="eastAsia" w:ascii="宋体" w:hAnsi="宋体" w:eastAsia="宋体" w:cs="宋体"/>
          <w:b/>
          <w:color w:val="000000"/>
          <w:sz w:val="28"/>
          <w:szCs w:val="28"/>
        </w:rPr>
        <w:t xml:space="preserve">   </w:t>
      </w:r>
      <w:r>
        <w:rPr>
          <w:rFonts w:hint="eastAsia" w:ascii="宋体" w:hAnsi="宋体" w:eastAsia="宋体" w:cs="宋体"/>
          <w:color w:val="000000"/>
          <w:sz w:val="28"/>
          <w:szCs w:val="28"/>
        </w:rPr>
        <w:t xml:space="preserve">         </w:t>
      </w:r>
    </w:p>
    <w:p w14:paraId="639B052B">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设计进度表</w:t>
      </w:r>
    </w:p>
    <w:p w14:paraId="227D656D">
      <w:pPr>
        <w:spacing w:line="440" w:lineRule="exact"/>
        <w:rPr>
          <w:rFonts w:hint="eastAsia" w:ascii="宋体" w:hAnsi="宋体" w:eastAsia="宋体" w:cs="宋体"/>
          <w:color w:val="000000"/>
          <w:sz w:val="28"/>
          <w:szCs w:val="28"/>
        </w:rPr>
      </w:pPr>
    </w:p>
    <w:p w14:paraId="6D13AF06">
      <w:pPr>
        <w:spacing w:line="440" w:lineRule="exact"/>
        <w:rPr>
          <w:rFonts w:hint="eastAsia" w:ascii="宋体" w:hAnsi="宋体" w:eastAsia="宋体" w:cs="宋体"/>
          <w:color w:val="000000"/>
          <w:sz w:val="28"/>
          <w:szCs w:val="28"/>
        </w:rPr>
      </w:pPr>
    </w:p>
    <w:p w14:paraId="63DB6993">
      <w:pPr>
        <w:spacing w:line="440" w:lineRule="exact"/>
        <w:rPr>
          <w:rFonts w:hint="eastAsia" w:ascii="宋体" w:hAnsi="宋体" w:eastAsia="宋体" w:cs="宋体"/>
          <w:color w:val="000000"/>
          <w:sz w:val="28"/>
          <w:szCs w:val="28"/>
        </w:rPr>
      </w:pPr>
    </w:p>
    <w:p w14:paraId="5EF80F71">
      <w:pPr>
        <w:spacing w:line="440" w:lineRule="exact"/>
        <w:rPr>
          <w:rFonts w:hint="eastAsia" w:ascii="宋体" w:hAnsi="宋体" w:eastAsia="宋体" w:cs="宋体"/>
          <w:color w:val="000000"/>
          <w:sz w:val="28"/>
          <w:szCs w:val="28"/>
        </w:rPr>
      </w:pPr>
    </w:p>
    <w:p w14:paraId="4D7D6B89">
      <w:pPr>
        <w:spacing w:line="440" w:lineRule="exact"/>
        <w:rPr>
          <w:rFonts w:hint="eastAsia" w:ascii="宋体" w:hAnsi="宋体" w:eastAsia="宋体" w:cs="宋体"/>
          <w:color w:val="000000"/>
          <w:sz w:val="28"/>
          <w:szCs w:val="28"/>
        </w:rPr>
      </w:pPr>
    </w:p>
    <w:p w14:paraId="75B81580">
      <w:pPr>
        <w:spacing w:line="440" w:lineRule="exact"/>
        <w:rPr>
          <w:rFonts w:hint="eastAsia" w:ascii="宋体" w:hAnsi="宋体" w:eastAsia="宋体" w:cs="宋体"/>
          <w:color w:val="000000"/>
          <w:sz w:val="28"/>
          <w:szCs w:val="28"/>
        </w:rPr>
      </w:pPr>
    </w:p>
    <w:p w14:paraId="4187CB24">
      <w:pPr>
        <w:spacing w:line="440" w:lineRule="exact"/>
        <w:rPr>
          <w:rFonts w:hint="eastAsia" w:ascii="宋体" w:hAnsi="宋体" w:eastAsia="宋体" w:cs="宋体"/>
          <w:color w:val="000000"/>
          <w:sz w:val="28"/>
          <w:szCs w:val="28"/>
        </w:rPr>
      </w:pPr>
    </w:p>
    <w:p w14:paraId="6471E86C">
      <w:pPr>
        <w:spacing w:line="440" w:lineRule="exact"/>
        <w:rPr>
          <w:rFonts w:hint="eastAsia" w:ascii="宋体" w:hAnsi="宋体" w:eastAsia="宋体" w:cs="宋体"/>
          <w:color w:val="000000"/>
          <w:sz w:val="28"/>
          <w:szCs w:val="28"/>
        </w:rPr>
      </w:pPr>
    </w:p>
    <w:p w14:paraId="3C65AF7D">
      <w:pPr>
        <w:spacing w:line="440" w:lineRule="exact"/>
        <w:rPr>
          <w:rFonts w:hint="eastAsia" w:ascii="宋体" w:hAnsi="宋体" w:eastAsia="宋体" w:cs="宋体"/>
          <w:color w:val="000000"/>
          <w:sz w:val="28"/>
          <w:szCs w:val="28"/>
        </w:rPr>
      </w:pPr>
    </w:p>
    <w:p w14:paraId="401F0329">
      <w:pPr>
        <w:spacing w:line="440" w:lineRule="exact"/>
        <w:rPr>
          <w:rFonts w:hint="eastAsia" w:ascii="宋体" w:hAnsi="宋体" w:eastAsia="宋体" w:cs="宋体"/>
          <w:color w:val="000000"/>
          <w:sz w:val="28"/>
          <w:szCs w:val="28"/>
        </w:rPr>
      </w:pPr>
    </w:p>
    <w:p w14:paraId="45BC7873">
      <w:pPr>
        <w:spacing w:line="440" w:lineRule="exact"/>
        <w:rPr>
          <w:rFonts w:hint="eastAsia" w:ascii="宋体" w:hAnsi="宋体" w:eastAsia="宋体" w:cs="宋体"/>
          <w:color w:val="000000"/>
          <w:sz w:val="28"/>
          <w:szCs w:val="28"/>
        </w:rPr>
      </w:pPr>
    </w:p>
    <w:p w14:paraId="50FF3F6C">
      <w:pPr>
        <w:spacing w:line="440" w:lineRule="exact"/>
        <w:rPr>
          <w:rFonts w:hint="eastAsia" w:ascii="宋体" w:hAnsi="宋体" w:eastAsia="宋体" w:cs="宋体"/>
          <w:color w:val="000000"/>
          <w:sz w:val="28"/>
          <w:szCs w:val="28"/>
        </w:rPr>
      </w:pPr>
    </w:p>
    <w:p w14:paraId="0D62A719">
      <w:pPr>
        <w:spacing w:line="440" w:lineRule="exact"/>
        <w:rPr>
          <w:rFonts w:hint="eastAsia" w:ascii="宋体" w:hAnsi="宋体" w:eastAsia="宋体" w:cs="宋体"/>
          <w:color w:val="000000"/>
          <w:sz w:val="28"/>
          <w:szCs w:val="28"/>
        </w:rPr>
      </w:pPr>
    </w:p>
    <w:p w14:paraId="304ED367">
      <w:pPr>
        <w:spacing w:line="440" w:lineRule="exact"/>
        <w:rPr>
          <w:rFonts w:hint="eastAsia" w:ascii="宋体" w:hAnsi="宋体" w:eastAsia="宋体" w:cs="宋体"/>
          <w:color w:val="000000"/>
          <w:sz w:val="28"/>
          <w:szCs w:val="28"/>
        </w:rPr>
      </w:pPr>
    </w:p>
    <w:p w14:paraId="4A90575D">
      <w:pPr>
        <w:spacing w:line="440" w:lineRule="exact"/>
        <w:rPr>
          <w:rFonts w:hint="eastAsia" w:ascii="宋体" w:hAnsi="宋体" w:eastAsia="宋体" w:cs="宋体"/>
          <w:color w:val="000000"/>
          <w:sz w:val="28"/>
          <w:szCs w:val="28"/>
        </w:rPr>
      </w:pPr>
    </w:p>
    <w:p w14:paraId="78650B1A">
      <w:pPr>
        <w:spacing w:line="440" w:lineRule="exact"/>
        <w:rPr>
          <w:rFonts w:hint="eastAsia" w:ascii="宋体" w:hAnsi="宋体" w:eastAsia="宋体" w:cs="宋体"/>
          <w:color w:val="000000"/>
          <w:sz w:val="28"/>
          <w:szCs w:val="28"/>
        </w:rPr>
      </w:pPr>
    </w:p>
    <w:p w14:paraId="20D315A7">
      <w:pPr>
        <w:spacing w:line="440" w:lineRule="exact"/>
        <w:rPr>
          <w:rFonts w:hint="eastAsia" w:ascii="宋体" w:hAnsi="宋体" w:eastAsia="宋体" w:cs="宋体"/>
          <w:color w:val="000000"/>
          <w:sz w:val="28"/>
          <w:szCs w:val="28"/>
        </w:rPr>
      </w:pPr>
    </w:p>
    <w:p w14:paraId="2549AB11">
      <w:pPr>
        <w:spacing w:line="440" w:lineRule="exact"/>
        <w:rPr>
          <w:rFonts w:hint="eastAsia" w:ascii="宋体" w:hAnsi="宋体" w:eastAsia="宋体" w:cs="宋体"/>
          <w:color w:val="000000"/>
          <w:sz w:val="28"/>
          <w:szCs w:val="28"/>
        </w:rPr>
      </w:pPr>
    </w:p>
    <w:p w14:paraId="73D3EB87">
      <w:pPr>
        <w:spacing w:line="440" w:lineRule="exact"/>
        <w:rPr>
          <w:rFonts w:hint="eastAsia" w:ascii="宋体" w:hAnsi="宋体" w:eastAsia="宋体" w:cs="宋体"/>
          <w:color w:val="000000"/>
          <w:sz w:val="28"/>
          <w:szCs w:val="28"/>
        </w:rPr>
      </w:pPr>
    </w:p>
    <w:p w14:paraId="14620EDF">
      <w:pPr>
        <w:spacing w:line="440" w:lineRule="exact"/>
        <w:rPr>
          <w:rFonts w:hint="eastAsia" w:ascii="宋体" w:hAnsi="宋体" w:eastAsia="宋体" w:cs="宋体"/>
          <w:color w:val="000000"/>
          <w:sz w:val="28"/>
          <w:szCs w:val="28"/>
        </w:rPr>
      </w:pPr>
    </w:p>
    <w:p w14:paraId="34EDE14D">
      <w:pPr>
        <w:spacing w:line="440" w:lineRule="exact"/>
        <w:rPr>
          <w:rFonts w:hint="eastAsia" w:ascii="宋体" w:hAnsi="宋体" w:eastAsia="宋体" w:cs="宋体"/>
          <w:color w:val="000000"/>
          <w:sz w:val="28"/>
          <w:szCs w:val="28"/>
        </w:rPr>
      </w:pPr>
    </w:p>
    <w:p w14:paraId="6B9E17CF">
      <w:pPr>
        <w:spacing w:line="440" w:lineRule="exact"/>
        <w:rPr>
          <w:rFonts w:hint="eastAsia" w:ascii="宋体" w:hAnsi="宋体" w:eastAsia="宋体" w:cs="宋体"/>
          <w:color w:val="000000"/>
          <w:sz w:val="28"/>
          <w:szCs w:val="28"/>
        </w:rPr>
      </w:pPr>
    </w:p>
    <w:p w14:paraId="12FE3317">
      <w:pPr>
        <w:spacing w:line="440" w:lineRule="exact"/>
        <w:rPr>
          <w:rFonts w:hint="eastAsia" w:ascii="宋体" w:hAnsi="宋体" w:eastAsia="宋体" w:cs="宋体"/>
          <w:color w:val="000000"/>
          <w:sz w:val="28"/>
          <w:szCs w:val="28"/>
        </w:rPr>
      </w:pPr>
    </w:p>
    <w:p w14:paraId="487B853A">
      <w:pPr>
        <w:spacing w:line="440" w:lineRule="exact"/>
        <w:rPr>
          <w:rFonts w:hint="eastAsia" w:ascii="宋体" w:hAnsi="宋体" w:eastAsia="宋体" w:cs="宋体"/>
          <w:color w:val="000000"/>
          <w:sz w:val="28"/>
          <w:szCs w:val="28"/>
        </w:rPr>
      </w:pPr>
    </w:p>
    <w:p w14:paraId="2D05DB3A">
      <w:pPr>
        <w:spacing w:line="440" w:lineRule="exact"/>
        <w:rPr>
          <w:rFonts w:hint="eastAsia" w:ascii="宋体" w:hAnsi="宋体" w:eastAsia="宋体" w:cs="宋体"/>
          <w:color w:val="000000"/>
          <w:sz w:val="28"/>
          <w:szCs w:val="28"/>
        </w:rPr>
      </w:pPr>
    </w:p>
    <w:p w14:paraId="79230A05">
      <w:pPr>
        <w:spacing w:line="440" w:lineRule="exact"/>
        <w:rPr>
          <w:rFonts w:hint="eastAsia" w:ascii="宋体" w:hAnsi="宋体" w:eastAsia="宋体" w:cs="宋体"/>
          <w:color w:val="000000"/>
          <w:sz w:val="28"/>
          <w:szCs w:val="28"/>
        </w:rPr>
      </w:pPr>
    </w:p>
    <w:p w14:paraId="6FAF02BB">
      <w:pPr>
        <w:spacing w:line="440" w:lineRule="exact"/>
        <w:rPr>
          <w:rFonts w:hint="eastAsia" w:ascii="宋体" w:hAnsi="宋体" w:eastAsia="宋体" w:cs="宋体"/>
          <w:color w:val="000000"/>
          <w:sz w:val="28"/>
          <w:szCs w:val="28"/>
        </w:rPr>
      </w:pPr>
    </w:p>
    <w:p w14:paraId="0EED5197">
      <w:pPr>
        <w:spacing w:line="440" w:lineRule="exact"/>
        <w:rPr>
          <w:rFonts w:hint="eastAsia" w:ascii="宋体" w:hAnsi="宋体" w:eastAsia="宋体" w:cs="宋体"/>
          <w:color w:val="000000"/>
          <w:sz w:val="28"/>
          <w:szCs w:val="28"/>
          <w:lang w:eastAsia="zh-CN"/>
        </w:rPr>
      </w:pPr>
    </w:p>
    <w:p w14:paraId="1013FC39">
      <w:pPr>
        <w:spacing w:line="440" w:lineRule="exact"/>
        <w:rPr>
          <w:rFonts w:hint="eastAsia" w:ascii="宋体" w:hAnsi="宋体" w:eastAsia="宋体" w:cs="宋体"/>
          <w:color w:val="000000"/>
          <w:sz w:val="28"/>
          <w:szCs w:val="28"/>
        </w:rPr>
      </w:pPr>
    </w:p>
    <w:p w14:paraId="27FBEFA9">
      <w:pPr>
        <w:spacing w:line="440" w:lineRule="exact"/>
        <w:rPr>
          <w:rFonts w:hint="eastAsia" w:ascii="宋体" w:hAnsi="宋体" w:eastAsia="宋体" w:cs="宋体"/>
          <w:color w:val="000000"/>
          <w:sz w:val="28"/>
          <w:szCs w:val="28"/>
        </w:rPr>
      </w:pPr>
    </w:p>
    <w:p w14:paraId="7A8561D0">
      <w:pPr>
        <w:keepNext w:val="0"/>
        <w:keepLines w:val="0"/>
        <w:pageBreakBefore w:val="0"/>
        <w:wordWrap/>
        <w:overflowPunct/>
        <w:topLinePunct w:val="0"/>
        <w:bidi w:val="0"/>
        <w:spacing w:line="360" w:lineRule="auto"/>
        <w:rPr>
          <w:rFonts w:hint="eastAsia" w:ascii="宋体" w:hAnsi="宋体" w:eastAsia="宋体" w:cs="宋体"/>
          <w:b/>
          <w:color w:val="000000"/>
          <w:sz w:val="24"/>
          <w:szCs w:val="24"/>
        </w:rPr>
      </w:pPr>
      <w:r>
        <w:rPr>
          <w:rFonts w:hint="eastAsia" w:ascii="宋体" w:hAnsi="宋体" w:eastAsia="宋体" w:cs="宋体"/>
          <w:b/>
          <w:sz w:val="24"/>
          <w:szCs w:val="24"/>
        </w:rPr>
        <w:t>附件6：</w:t>
      </w:r>
      <w:r>
        <w:rPr>
          <w:rFonts w:hint="eastAsia" w:ascii="宋体" w:hAnsi="宋体" w:eastAsia="宋体" w:cs="宋体"/>
          <w:b/>
          <w:color w:val="000000"/>
          <w:sz w:val="24"/>
          <w:szCs w:val="24"/>
        </w:rPr>
        <w:t xml:space="preserve">            </w:t>
      </w:r>
    </w:p>
    <w:p w14:paraId="5ED9CB4B">
      <w:pPr>
        <w:keepNext w:val="0"/>
        <w:keepLines w:val="0"/>
        <w:pageBreakBefore w:val="0"/>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设计费明细及支付</w:t>
      </w:r>
      <w:r>
        <w:rPr>
          <w:rFonts w:hint="eastAsia" w:ascii="宋体" w:hAnsi="宋体" w:eastAsia="宋体" w:cs="宋体"/>
          <w:color w:val="000000"/>
          <w:sz w:val="24"/>
          <w:szCs w:val="24"/>
          <w:lang w:eastAsia="zh-CN"/>
        </w:rPr>
        <w:t>方式</w:t>
      </w:r>
    </w:p>
    <w:p w14:paraId="0D06C7AA">
      <w:pPr>
        <w:keepNext w:val="0"/>
        <w:keepLines w:val="0"/>
        <w:pageBreakBefore w:val="0"/>
        <w:wordWrap/>
        <w:overflowPunct/>
        <w:topLinePunct w:val="0"/>
        <w:bidi w:val="0"/>
        <w:spacing w:line="360" w:lineRule="auto"/>
        <w:rPr>
          <w:rFonts w:hint="eastAsia" w:ascii="宋体" w:hAnsi="宋体" w:eastAsia="宋体" w:cs="宋体"/>
          <w:color w:val="000000"/>
          <w:sz w:val="24"/>
          <w:szCs w:val="24"/>
        </w:rPr>
      </w:pPr>
    </w:p>
    <w:p w14:paraId="0F1B7A24">
      <w:pPr>
        <w:keepNext w:val="0"/>
        <w:keepLines w:val="0"/>
        <w:pageBreakBefore w:val="0"/>
        <w:wordWrap/>
        <w:overflowPunct/>
        <w:topLinePunct w:val="0"/>
        <w:bidi w:val="0"/>
        <w:spacing w:line="360" w:lineRule="auto"/>
        <w:ind w:firstLine="448" w:firstLineChars="187"/>
        <w:rPr>
          <w:rFonts w:hint="eastAsia" w:ascii="宋体" w:hAnsi="宋体" w:eastAsia="宋体" w:cs="宋体"/>
          <w:color w:val="000000"/>
          <w:sz w:val="24"/>
          <w:szCs w:val="24"/>
        </w:rPr>
      </w:pPr>
      <w:r>
        <w:rPr>
          <w:rFonts w:hint="eastAsia" w:ascii="宋体" w:hAnsi="宋体" w:eastAsia="宋体" w:cs="宋体"/>
          <w:color w:val="000000"/>
          <w:sz w:val="24"/>
          <w:szCs w:val="24"/>
        </w:rPr>
        <w:t>一、设计费总额：</w:t>
      </w:r>
      <w:r>
        <w:rPr>
          <w:rFonts w:hint="eastAsia" w:ascii="宋体" w:hAnsi="宋体" w:eastAsia="宋体" w:cs="宋体"/>
          <w:color w:val="000000"/>
          <w:sz w:val="24"/>
          <w:szCs w:val="24"/>
          <w:u w:val="single"/>
        </w:rPr>
        <w:t xml:space="preserve">                                   </w:t>
      </w:r>
    </w:p>
    <w:p w14:paraId="0CF68055">
      <w:pPr>
        <w:keepNext w:val="0"/>
        <w:keepLines w:val="0"/>
        <w:pageBreakBefore w:val="0"/>
        <w:wordWrap/>
        <w:overflowPunct/>
        <w:topLinePunct w:val="0"/>
        <w:bidi w:val="0"/>
        <w:spacing w:line="360" w:lineRule="auto"/>
        <w:ind w:firstLine="448" w:firstLineChars="187"/>
        <w:rPr>
          <w:rFonts w:hint="eastAsia" w:ascii="宋体" w:hAnsi="宋体" w:eastAsia="宋体" w:cs="宋体"/>
          <w:color w:val="000000"/>
          <w:sz w:val="24"/>
          <w:szCs w:val="24"/>
        </w:rPr>
      </w:pPr>
      <w:r>
        <w:rPr>
          <w:rFonts w:hint="eastAsia" w:ascii="宋体" w:hAnsi="宋体" w:eastAsia="宋体" w:cs="宋体"/>
          <w:color w:val="000000"/>
          <w:sz w:val="24"/>
          <w:szCs w:val="24"/>
        </w:rPr>
        <w:t>二、设计费总额构成：</w:t>
      </w:r>
    </w:p>
    <w:p w14:paraId="6E2DF991">
      <w:pPr>
        <w:keepNext w:val="0"/>
        <w:keepLines w:val="0"/>
        <w:pageBreakBefore w:val="0"/>
        <w:wordWrap/>
        <w:overflowPunct/>
        <w:topLinePunct w:val="0"/>
        <w:bidi w:val="0"/>
        <w:spacing w:line="360" w:lineRule="auto"/>
        <w:ind w:firstLine="540"/>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工程设计基本服务费用：固定总价</w:t>
      </w:r>
      <w:r>
        <w:rPr>
          <w:rFonts w:hint="eastAsia" w:ascii="宋体" w:hAnsi="宋体" w:eastAsia="宋体" w:cs="宋体"/>
          <w:color w:val="000000"/>
          <w:sz w:val="24"/>
          <w:szCs w:val="24"/>
          <w:u w:val="none" w:color="auto"/>
        </w:rPr>
        <w:t>：</w:t>
      </w:r>
      <w:r>
        <w:rPr>
          <w:rFonts w:hint="eastAsia" w:ascii="宋体" w:hAnsi="宋体" w:eastAsia="宋体" w:cs="宋体"/>
          <w:color w:val="000000"/>
          <w:sz w:val="24"/>
          <w:szCs w:val="24"/>
          <w:u w:val="single"/>
        </w:rPr>
        <w:t xml:space="preserve">                </w:t>
      </w:r>
    </w:p>
    <w:p w14:paraId="19748F64">
      <w:pPr>
        <w:keepNext w:val="0"/>
        <w:keepLines w:val="0"/>
        <w:pageBreakBefore w:val="0"/>
        <w:wordWrap/>
        <w:overflowPunct/>
        <w:topLinePunct w:val="0"/>
        <w:bidi w:val="0"/>
        <w:spacing w:line="360" w:lineRule="auto"/>
        <w:ind w:left="0" w:leftChars="0" w:firstLine="3199" w:firstLineChars="1333"/>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固定单价（实际投资额×</w:t>
      </w:r>
      <w:r>
        <w:rPr>
          <w:rFonts w:hint="eastAsia" w:ascii="宋体" w:hAnsi="宋体" w:eastAsia="宋体" w:cs="宋体"/>
          <w:sz w:val="24"/>
          <w:szCs w:val="24"/>
        </w:rPr>
        <w:t>费率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B12896">
      <w:pPr>
        <w:keepNext w:val="0"/>
        <w:keepLines w:val="0"/>
        <w:pageBreakBefore w:val="0"/>
        <w:wordWrap/>
        <w:overflowPunct/>
        <w:topLinePunct w:val="0"/>
        <w:bidi w:val="0"/>
        <w:spacing w:line="360" w:lineRule="auto"/>
        <w:ind w:firstLine="540"/>
        <w:rPr>
          <w:rFonts w:hint="eastAsia" w:ascii="宋体" w:hAnsi="宋体" w:eastAsia="宋体" w:cs="宋体"/>
          <w:color w:val="000000"/>
          <w:sz w:val="24"/>
          <w:szCs w:val="24"/>
          <w:u w:val="single"/>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工程设计其他服务费用：</w:t>
      </w:r>
      <w:r>
        <w:rPr>
          <w:rFonts w:hint="eastAsia" w:ascii="宋体" w:hAnsi="宋体" w:eastAsia="宋体" w:cs="宋体"/>
          <w:color w:val="000000"/>
          <w:sz w:val="24"/>
          <w:szCs w:val="24"/>
          <w:u w:val="single"/>
        </w:rPr>
        <w:t xml:space="preserve">                             </w:t>
      </w:r>
    </w:p>
    <w:p w14:paraId="79E81648">
      <w:pPr>
        <w:keepNext w:val="0"/>
        <w:keepLines w:val="0"/>
        <w:pageBreakBefore w:val="0"/>
        <w:wordWrap/>
        <w:overflowPunct/>
        <w:topLinePunct w:val="0"/>
        <w:bidi w:val="0"/>
        <w:spacing w:line="360" w:lineRule="auto"/>
        <w:ind w:firstLine="54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合同签订前设计人已完成工作的费用：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9E390E1">
      <w:pPr>
        <w:keepNext w:val="0"/>
        <w:keepLines w:val="0"/>
        <w:pageBreakBefore w:val="0"/>
        <w:wordWrap/>
        <w:overflowPunct/>
        <w:topLinePunct w:val="0"/>
        <w:bidi w:val="0"/>
        <w:spacing w:line="360" w:lineRule="auto"/>
        <w:ind w:firstLine="54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特别约定：</w:t>
      </w:r>
    </w:p>
    <w:p w14:paraId="71D9ADA1">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工程设计基本服务费用包含设计人员赴工地现场的旅差费</w:t>
      </w:r>
    </w:p>
    <w:p w14:paraId="75C4E08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人次日，每人每次不超2天；不含长期驻现场的设计工地代表和现场服务费。</w:t>
      </w:r>
    </w:p>
    <w:p w14:paraId="6C83B4EB">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建议参照本单位年人均产值确定人工费标准</w:t>
      </w:r>
      <w:r>
        <w:rPr>
          <w:rFonts w:hint="eastAsia" w:ascii="宋体" w:hAnsi="宋体" w:eastAsia="宋体" w:cs="宋体"/>
          <w:sz w:val="24"/>
          <w:szCs w:val="24"/>
          <w:lang w:eastAsia="zh-CN"/>
        </w:rPr>
        <w:t>）</w:t>
      </w:r>
    </w:p>
    <w:p w14:paraId="25EEC57C">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其它：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709EFB1">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三、设计费明细计算表</w:t>
      </w:r>
    </w:p>
    <w:p w14:paraId="79FA018E">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p>
    <w:p w14:paraId="017F21EC">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szCs w:val="24"/>
        </w:rPr>
      </w:pPr>
    </w:p>
    <w:p w14:paraId="601B7544">
      <w:pPr>
        <w:keepNext w:val="0"/>
        <w:keepLines w:val="0"/>
        <w:pageBreakBefore w:val="0"/>
        <w:wordWrap/>
        <w:overflowPunct/>
        <w:topLinePunct w:val="0"/>
        <w:bidi w:val="0"/>
        <w:spacing w:line="360" w:lineRule="auto"/>
        <w:ind w:firstLine="448" w:firstLineChars="187"/>
        <w:rPr>
          <w:rFonts w:hint="eastAsia" w:ascii="宋体" w:hAnsi="宋体" w:eastAsia="宋体" w:cs="宋体"/>
          <w:sz w:val="24"/>
          <w:szCs w:val="24"/>
        </w:rPr>
      </w:pPr>
      <w:r>
        <w:rPr>
          <w:rFonts w:hint="eastAsia" w:ascii="宋体" w:hAnsi="宋体" w:eastAsia="宋体" w:cs="宋体"/>
          <w:sz w:val="24"/>
          <w:szCs w:val="24"/>
        </w:rPr>
        <w:t>四、设计费支付方式</w:t>
      </w:r>
    </w:p>
    <w:p w14:paraId="0C11FC4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本合同生效后7天内，发包人向设计人支付设计费总额的</w:t>
      </w:r>
      <w:r>
        <w:rPr>
          <w:rFonts w:hint="eastAsia" w:ascii="宋体" w:hAnsi="宋体" w:eastAsia="宋体" w:cs="宋体"/>
          <w:sz w:val="24"/>
          <w:szCs w:val="24"/>
          <w:u w:val="single"/>
        </w:rPr>
        <w:t xml:space="preserve">   </w:t>
      </w:r>
      <w:r>
        <w:rPr>
          <w:rFonts w:hint="eastAsia" w:ascii="宋体" w:hAnsi="宋体" w:eastAsia="宋体" w:cs="宋体"/>
          <w:sz w:val="24"/>
          <w:szCs w:val="24"/>
        </w:rPr>
        <w:t>%作为定金或预付款，计</w:t>
      </w:r>
      <w:r>
        <w:rPr>
          <w:rFonts w:hint="eastAsia" w:ascii="宋体" w:hAnsi="宋体" w:eastAsia="宋体" w:cs="宋体"/>
          <w:sz w:val="24"/>
          <w:szCs w:val="24"/>
          <w:u w:val="single"/>
        </w:rPr>
        <w:t xml:space="preserve">        </w:t>
      </w:r>
      <w:r>
        <w:rPr>
          <w:rFonts w:hint="eastAsia" w:ascii="宋体" w:hAnsi="宋体" w:eastAsia="宋体" w:cs="宋体"/>
          <w:sz w:val="24"/>
          <w:szCs w:val="24"/>
        </w:rPr>
        <w:t>元，设计合同履行完毕后，定金或预付款抵作部分设计费。</w:t>
      </w:r>
    </w:p>
    <w:p w14:paraId="64A05A5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设计人向发包人提交初步设计文件后</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天内，发包人向设计人支付设计费总额的20%,计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030B4AC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设计人向发包人提交主要非标准设备设计文件后</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天内，发包人向设计人支付设计费总额的15%,计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5514DF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设计人向发包人提交施工图设计文件后7天内，发包人向设计人支付设计费总额的30%，计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18D71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试车（试运行）考核完成后7天内，发包人向设计人支付设计费总额的10%，计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F40C2A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工程竣工验收后7天内, 发包人向设计人支付全部剩余设计费，共计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BDE108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：上述支付方式供发包人、设计人参考使用。</w:t>
      </w:r>
    </w:p>
    <w:p w14:paraId="1BD7E29D">
      <w:pPr>
        <w:spacing w:line="440" w:lineRule="exact"/>
        <w:rPr>
          <w:rFonts w:hint="eastAsia" w:ascii="宋体" w:hAnsi="宋体" w:eastAsia="宋体" w:cs="宋体"/>
          <w:color w:val="000000"/>
          <w:sz w:val="28"/>
          <w:szCs w:val="28"/>
        </w:rPr>
      </w:pPr>
    </w:p>
    <w:p w14:paraId="1E42EF00">
      <w:pPr>
        <w:spacing w:line="440" w:lineRule="exact"/>
        <w:rPr>
          <w:rFonts w:hint="eastAsia" w:ascii="宋体" w:hAnsi="宋体" w:eastAsia="宋体" w:cs="宋体"/>
          <w:color w:val="000000"/>
          <w:sz w:val="28"/>
          <w:szCs w:val="28"/>
        </w:rPr>
      </w:pPr>
    </w:p>
    <w:p w14:paraId="3788C474">
      <w:pPr>
        <w:spacing w:line="440" w:lineRule="exact"/>
        <w:rPr>
          <w:rFonts w:hint="eastAsia" w:ascii="宋体" w:hAnsi="宋体" w:eastAsia="宋体" w:cs="宋体"/>
          <w:color w:val="000000"/>
          <w:sz w:val="28"/>
          <w:szCs w:val="28"/>
        </w:rPr>
      </w:pPr>
    </w:p>
    <w:p w14:paraId="0361889A">
      <w:pPr>
        <w:spacing w:line="440" w:lineRule="exact"/>
        <w:rPr>
          <w:rFonts w:hint="eastAsia" w:ascii="宋体" w:hAnsi="宋体" w:eastAsia="宋体" w:cs="宋体"/>
          <w:color w:val="000000"/>
          <w:sz w:val="28"/>
          <w:szCs w:val="28"/>
        </w:rPr>
      </w:pPr>
    </w:p>
    <w:p w14:paraId="6A54115D">
      <w:pPr>
        <w:spacing w:line="440" w:lineRule="exact"/>
        <w:rPr>
          <w:rFonts w:hint="eastAsia" w:ascii="宋体" w:hAnsi="宋体" w:eastAsia="宋体" w:cs="宋体"/>
          <w:color w:val="000000"/>
          <w:sz w:val="28"/>
          <w:szCs w:val="28"/>
        </w:rPr>
      </w:pPr>
    </w:p>
    <w:p w14:paraId="63203956">
      <w:pPr>
        <w:spacing w:line="440" w:lineRule="exact"/>
        <w:rPr>
          <w:rFonts w:hint="eastAsia" w:ascii="宋体" w:hAnsi="宋体" w:eastAsia="宋体" w:cs="宋体"/>
          <w:color w:val="000000"/>
          <w:sz w:val="28"/>
          <w:szCs w:val="28"/>
        </w:rPr>
      </w:pPr>
    </w:p>
    <w:p w14:paraId="2659629B">
      <w:pPr>
        <w:spacing w:line="440" w:lineRule="exact"/>
        <w:rPr>
          <w:rFonts w:hint="eastAsia" w:ascii="宋体" w:hAnsi="宋体" w:eastAsia="宋体" w:cs="宋体"/>
          <w:color w:val="000000"/>
          <w:sz w:val="28"/>
          <w:szCs w:val="28"/>
        </w:rPr>
      </w:pPr>
    </w:p>
    <w:p w14:paraId="0471C72D">
      <w:pPr>
        <w:spacing w:line="440" w:lineRule="exact"/>
        <w:rPr>
          <w:rFonts w:hint="eastAsia" w:ascii="宋体" w:hAnsi="宋体" w:eastAsia="宋体" w:cs="宋体"/>
          <w:color w:val="000000"/>
          <w:sz w:val="28"/>
          <w:szCs w:val="28"/>
        </w:rPr>
      </w:pPr>
    </w:p>
    <w:p w14:paraId="645A8859">
      <w:pPr>
        <w:spacing w:line="440" w:lineRule="exact"/>
        <w:rPr>
          <w:rFonts w:hint="eastAsia" w:ascii="宋体" w:hAnsi="宋体" w:eastAsia="宋体" w:cs="宋体"/>
          <w:color w:val="000000"/>
          <w:sz w:val="28"/>
          <w:szCs w:val="28"/>
        </w:rPr>
      </w:pPr>
    </w:p>
    <w:p w14:paraId="3AB87203">
      <w:pPr>
        <w:spacing w:line="440" w:lineRule="exact"/>
        <w:rPr>
          <w:rFonts w:hint="eastAsia" w:ascii="宋体" w:hAnsi="宋体" w:eastAsia="宋体" w:cs="宋体"/>
          <w:color w:val="000000"/>
          <w:sz w:val="28"/>
          <w:szCs w:val="28"/>
        </w:rPr>
      </w:pPr>
    </w:p>
    <w:p w14:paraId="472459B3">
      <w:pPr>
        <w:spacing w:line="440" w:lineRule="exact"/>
        <w:rPr>
          <w:rFonts w:hint="eastAsia" w:ascii="宋体" w:hAnsi="宋体" w:eastAsia="宋体" w:cs="宋体"/>
          <w:color w:val="000000"/>
          <w:sz w:val="28"/>
          <w:szCs w:val="28"/>
        </w:rPr>
      </w:pPr>
    </w:p>
    <w:p w14:paraId="75269CA1">
      <w:pPr>
        <w:spacing w:line="440" w:lineRule="exact"/>
        <w:rPr>
          <w:rFonts w:hint="eastAsia" w:ascii="宋体" w:hAnsi="宋体" w:eastAsia="宋体" w:cs="宋体"/>
          <w:color w:val="000000"/>
          <w:sz w:val="28"/>
          <w:szCs w:val="28"/>
        </w:rPr>
      </w:pPr>
    </w:p>
    <w:p w14:paraId="1FF7FE0A">
      <w:pPr>
        <w:spacing w:line="440" w:lineRule="exact"/>
        <w:rPr>
          <w:rFonts w:hint="eastAsia" w:ascii="宋体" w:hAnsi="宋体" w:eastAsia="宋体" w:cs="宋体"/>
          <w:color w:val="000000"/>
          <w:sz w:val="28"/>
          <w:szCs w:val="28"/>
        </w:rPr>
      </w:pPr>
    </w:p>
    <w:p w14:paraId="5B8D0487">
      <w:pPr>
        <w:spacing w:line="440" w:lineRule="exact"/>
        <w:rPr>
          <w:rFonts w:hint="eastAsia" w:ascii="宋体" w:hAnsi="宋体" w:eastAsia="宋体" w:cs="宋体"/>
          <w:color w:val="000000"/>
          <w:sz w:val="28"/>
          <w:szCs w:val="28"/>
        </w:rPr>
      </w:pPr>
    </w:p>
    <w:p w14:paraId="7B1C64FB">
      <w:pPr>
        <w:pStyle w:val="2"/>
        <w:rPr>
          <w:rFonts w:hint="eastAsia" w:ascii="宋体" w:hAnsi="宋体" w:eastAsia="宋体" w:cs="宋体"/>
          <w:color w:val="000000"/>
          <w:sz w:val="28"/>
          <w:szCs w:val="28"/>
        </w:rPr>
      </w:pPr>
    </w:p>
    <w:p w14:paraId="40C49EBC">
      <w:pPr>
        <w:pStyle w:val="2"/>
        <w:rPr>
          <w:rFonts w:hint="eastAsia" w:ascii="宋体" w:hAnsi="宋体" w:eastAsia="宋体" w:cs="宋体"/>
          <w:color w:val="000000"/>
          <w:sz w:val="28"/>
          <w:szCs w:val="28"/>
        </w:rPr>
      </w:pPr>
    </w:p>
    <w:p w14:paraId="666A4CD1">
      <w:pPr>
        <w:pStyle w:val="2"/>
        <w:rPr>
          <w:rFonts w:hint="eastAsia" w:ascii="宋体" w:hAnsi="宋体" w:eastAsia="宋体" w:cs="宋体"/>
          <w:color w:val="000000"/>
          <w:sz w:val="28"/>
          <w:szCs w:val="28"/>
        </w:rPr>
      </w:pPr>
    </w:p>
    <w:p w14:paraId="396AC7C5">
      <w:pPr>
        <w:pStyle w:val="2"/>
        <w:rPr>
          <w:rFonts w:hint="eastAsia" w:ascii="宋体" w:hAnsi="宋体" w:eastAsia="宋体" w:cs="宋体"/>
          <w:color w:val="000000"/>
          <w:sz w:val="28"/>
          <w:szCs w:val="28"/>
        </w:rPr>
      </w:pPr>
    </w:p>
    <w:p w14:paraId="54F3B430">
      <w:pPr>
        <w:pStyle w:val="2"/>
        <w:rPr>
          <w:rFonts w:hint="eastAsia" w:ascii="宋体" w:hAnsi="宋体" w:eastAsia="宋体" w:cs="宋体"/>
          <w:color w:val="000000"/>
          <w:sz w:val="28"/>
          <w:szCs w:val="28"/>
        </w:rPr>
      </w:pPr>
    </w:p>
    <w:p w14:paraId="7AA7213E">
      <w:pPr>
        <w:pStyle w:val="2"/>
        <w:rPr>
          <w:rFonts w:hint="eastAsia" w:ascii="宋体" w:hAnsi="宋体" w:eastAsia="宋体" w:cs="宋体"/>
          <w:color w:val="000000"/>
          <w:sz w:val="28"/>
          <w:szCs w:val="28"/>
        </w:rPr>
      </w:pPr>
    </w:p>
    <w:p w14:paraId="583B80EB">
      <w:pPr>
        <w:pStyle w:val="2"/>
        <w:rPr>
          <w:rFonts w:hint="eastAsia" w:ascii="宋体" w:hAnsi="宋体" w:eastAsia="宋体" w:cs="宋体"/>
          <w:color w:val="000000"/>
          <w:sz w:val="28"/>
          <w:szCs w:val="28"/>
        </w:rPr>
      </w:pPr>
    </w:p>
    <w:p w14:paraId="51FAD45A">
      <w:pPr>
        <w:pStyle w:val="2"/>
        <w:rPr>
          <w:rFonts w:hint="eastAsia" w:ascii="宋体" w:hAnsi="宋体" w:eastAsia="宋体" w:cs="宋体"/>
          <w:color w:val="000000"/>
          <w:sz w:val="28"/>
          <w:szCs w:val="28"/>
        </w:rPr>
      </w:pPr>
    </w:p>
    <w:p w14:paraId="0FB31961">
      <w:pPr>
        <w:pStyle w:val="2"/>
        <w:rPr>
          <w:rFonts w:hint="eastAsia" w:ascii="宋体" w:hAnsi="宋体" w:eastAsia="宋体" w:cs="宋体"/>
          <w:color w:val="000000"/>
          <w:sz w:val="28"/>
          <w:szCs w:val="28"/>
        </w:rPr>
      </w:pPr>
    </w:p>
    <w:p w14:paraId="6A4232B6">
      <w:pPr>
        <w:pStyle w:val="2"/>
        <w:rPr>
          <w:rFonts w:hint="eastAsia" w:ascii="宋体" w:hAnsi="宋体" w:eastAsia="宋体" w:cs="宋体"/>
          <w:color w:val="000000"/>
          <w:sz w:val="28"/>
          <w:szCs w:val="28"/>
        </w:rPr>
      </w:pPr>
    </w:p>
    <w:p w14:paraId="71F08487">
      <w:pPr>
        <w:pStyle w:val="2"/>
        <w:rPr>
          <w:rFonts w:hint="eastAsia" w:ascii="宋体" w:hAnsi="宋体" w:eastAsia="宋体" w:cs="宋体"/>
          <w:color w:val="000000"/>
          <w:sz w:val="28"/>
          <w:szCs w:val="28"/>
        </w:rPr>
      </w:pPr>
    </w:p>
    <w:p w14:paraId="4CF39994">
      <w:pPr>
        <w:rPr>
          <w:rFonts w:hint="eastAsia" w:ascii="宋体" w:hAnsi="宋体" w:eastAsia="宋体" w:cs="宋体"/>
          <w:b/>
          <w:color w:val="000000"/>
          <w:sz w:val="28"/>
          <w:szCs w:val="28"/>
        </w:rPr>
      </w:pPr>
      <w:r>
        <w:rPr>
          <w:rFonts w:hint="eastAsia" w:ascii="宋体" w:hAnsi="宋体" w:eastAsia="宋体" w:cs="宋体"/>
          <w:b/>
          <w:sz w:val="28"/>
          <w:szCs w:val="28"/>
        </w:rPr>
        <w:t xml:space="preserve">附件7 ： </w:t>
      </w:r>
      <w:r>
        <w:rPr>
          <w:rFonts w:hint="eastAsia" w:ascii="宋体" w:hAnsi="宋体" w:eastAsia="宋体" w:cs="宋体"/>
          <w:b/>
          <w:color w:val="000000"/>
          <w:sz w:val="28"/>
          <w:szCs w:val="28"/>
        </w:rPr>
        <w:t xml:space="preserve">            </w:t>
      </w:r>
    </w:p>
    <w:p w14:paraId="5A75B9B4">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设计变更计费依据和方法</w:t>
      </w:r>
    </w:p>
    <w:p w14:paraId="26DCC45B">
      <w:pPr>
        <w:pStyle w:val="15"/>
        <w:tabs>
          <w:tab w:val="left" w:pos="2086"/>
        </w:tabs>
        <w:spacing w:before="74" w:line="442" w:lineRule="auto"/>
        <w:ind w:right="77" w:firstLine="1200" w:firstLineChars="400"/>
        <w:jc w:val="both"/>
        <w:rPr>
          <w:rFonts w:hint="eastAsia" w:ascii="宋体" w:hAnsi="宋体" w:eastAsia="宋体" w:cs="宋体"/>
          <w:sz w:val="30"/>
          <w:szCs w:val="30"/>
          <w:u w:val="none" w:color="auto"/>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0936">
    <w:pPr>
      <w:pStyle w:val="15"/>
      <w:tabs>
        <w:tab w:val="left" w:pos="567"/>
      </w:tabs>
      <w:spacing w:line="14" w:lineRule="auto"/>
      <w:rPr>
        <w:sz w:val="20"/>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D0BFB">
                          <w:pPr>
                            <w:pStyle w:val="1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023D0BFB">
                    <w:pPr>
                      <w:pStyle w:val="1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4681220</wp:posOffset>
              </wp:positionH>
              <wp:positionV relativeFrom="page">
                <wp:posOffset>9909175</wp:posOffset>
              </wp:positionV>
              <wp:extent cx="941070" cy="1397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941070" cy="139700"/>
                      </a:xfrm>
                      <a:prstGeom prst="rect">
                        <a:avLst/>
                      </a:prstGeom>
                      <a:noFill/>
                      <a:ln>
                        <a:noFill/>
                      </a:ln>
                      <a:effectLst/>
                    </wps:spPr>
                    <wps:txbx>
                      <w:txbxContent>
                        <w:p w14:paraId="55DF256F">
                          <w:pPr>
                            <w:spacing w:before="0" w:line="220" w:lineRule="exact"/>
                            <w:ind w:left="20" w:right="0" w:firstLine="0"/>
                            <w:jc w:val="left"/>
                            <w:rPr>
                              <w:rFonts w:hint="eastAsia" w:ascii="宋体" w:eastAsia="宋体"/>
                              <w:sz w:val="18"/>
                            </w:rPr>
                          </w:pPr>
                        </w:p>
                      </w:txbxContent>
                    </wps:txbx>
                    <wps:bodyPr lIns="0" tIns="0" rIns="0" bIns="0" upright="1"/>
                  </wps:wsp>
                </a:graphicData>
              </a:graphic>
            </wp:anchor>
          </w:drawing>
        </mc:Choice>
        <mc:Fallback>
          <w:pict>
            <v:shape id="_x0000_s1026" o:spid="_x0000_s1026" o:spt="202" type="#_x0000_t202" style="position:absolute;left:0pt;margin-left:368.6pt;margin-top:780.25pt;height:11pt;width:74.1pt;mso-position-horizontal-relative:page;mso-position-vertical-relative:page;z-index:-251656192;mso-width-relative:page;mso-height-relative:page;" filled="f" stroked="f" coordsize="21600,21600" o:gfxdata="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3chtvbAAAADQEAAA8AAAAAAAAAAQAgAAAAIgAAAGRycy9kb3ducmV2&#10;LnhtbFBLAQIUABQAAAAIAIdO4kB7ieLEwAEAAIEDAAAOAAAAAAAAAAEAIAAAACoBAABkcnMvZTJv&#10;RG9jLnhtbFBLBQYAAAAABgAGAFkBAABcBQAAAAA=&#10;">
              <v:fill on="f" focussize="0,0"/>
              <v:stroke on="f"/>
              <v:imagedata o:title=""/>
              <o:lock v:ext="edit" aspectratio="f"/>
              <v:textbox inset="0mm,0mm,0mm,0mm">
                <w:txbxContent>
                  <w:p w14:paraId="55DF256F">
                    <w:pPr>
                      <w:spacing w:before="0" w:line="220" w:lineRule="exact"/>
                      <w:ind w:left="20" w:right="0" w:firstLine="0"/>
                      <w:jc w:val="left"/>
                      <w:rPr>
                        <w:rFonts w:hint="eastAsia" w:ascii="宋体" w:eastAsia="宋体"/>
                        <w:sz w:val="18"/>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2052320</wp:posOffset>
              </wp:positionH>
              <wp:positionV relativeFrom="page">
                <wp:posOffset>9918700</wp:posOffset>
              </wp:positionV>
              <wp:extent cx="2082800" cy="1397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082800" cy="139700"/>
                      </a:xfrm>
                      <a:prstGeom prst="rect">
                        <a:avLst/>
                      </a:prstGeom>
                      <a:noFill/>
                      <a:ln>
                        <a:noFill/>
                      </a:ln>
                      <a:effectLst/>
                    </wps:spPr>
                    <wps:txbx>
                      <w:txbxContent>
                        <w:p w14:paraId="6DE68648">
                          <w:pPr>
                            <w:spacing w:before="0" w:line="220" w:lineRule="exact"/>
                            <w:ind w:left="20" w:right="0" w:firstLine="0"/>
                            <w:jc w:val="left"/>
                            <w:rPr>
                              <w:rFonts w:hint="eastAsia" w:ascii="宋体" w:eastAsia="宋体"/>
                              <w:sz w:val="18"/>
                            </w:rPr>
                          </w:pPr>
                        </w:p>
                      </w:txbxContent>
                    </wps:txbx>
                    <wps:bodyPr lIns="0" tIns="0" rIns="0" bIns="0" upright="1"/>
                  </wps:wsp>
                </a:graphicData>
              </a:graphic>
            </wp:anchor>
          </w:drawing>
        </mc:Choice>
        <mc:Fallback>
          <w:pict>
            <v:shape id="_x0000_s1026" o:spid="_x0000_s1026" o:spt="202" type="#_x0000_t202" style="position:absolute;left:0pt;margin-left:161.6pt;margin-top:781pt;height:11pt;width:164pt;mso-position-horizontal-relative:page;mso-position-vertical-relative:page;z-index:-251657216;mso-width-relative:page;mso-height-relative:page;" filled="f" stroked="f" coordsize="21600,21600" o:gfxdata="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EIOjaAAAADQEAAA8AAAAAAAAAAQAgAAAAIgAAAGRycy9kb3ducmV2Lnht&#10;bFBLAQIUABQAAAAIAIdO4kBn54zRvgEAAIIDAAAOAAAAAAAAAAEAIAAAACkBAABkcnMvZTJvRG9j&#10;LnhtbFBLBQYAAAAABgAGAFkBAABZBQAAAAA=&#10;">
              <v:fill on="f" focussize="0,0"/>
              <v:stroke on="f"/>
              <v:imagedata o:title=""/>
              <o:lock v:ext="edit" aspectratio="f"/>
              <v:textbox inset="0mm,0mm,0mm,0mm">
                <w:txbxContent>
                  <w:p w14:paraId="6DE68648">
                    <w:pPr>
                      <w:spacing w:before="0" w:line="220" w:lineRule="exact"/>
                      <w:ind w:left="20" w:right="0" w:firstLine="0"/>
                      <w:jc w:val="left"/>
                      <w:rPr>
                        <w:rFonts w:hint="eastAsia" w:ascii="宋体" w:eastAsia="宋体"/>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AD7A">
    <w:pPr>
      <w:pStyle w:val="15"/>
      <w:spacing w:line="180" w:lineRule="auto"/>
      <w:ind w:left="4283"/>
      <w:rPr>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B5235">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AB5235">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46B1">
    <w:pPr>
      <w:pStyle w:val="15"/>
      <w:spacing w:line="180" w:lineRule="auto"/>
      <w:ind w:left="4182"/>
      <w:rPr>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2ED1">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F22ED1">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73FB">
    <w:pPr>
      <w:pStyle w:val="20"/>
      <w:pBdr>
        <w:bottom w:val="none" w:color="auto" w:sz="0" w:space="1"/>
      </w:pBdr>
      <w:jc w:val="both"/>
      <w:rPr>
        <w:rFonts w:hint="eastAsia"/>
        <w:lang w:val="en-US" w:eastAsia="zh-CN"/>
      </w:rPr>
    </w:pPr>
    <w:r>
      <w:rPr>
        <w:rFonts w:hint="eastAsia"/>
        <w:lang w:val="en-US" w:eastAsia="zh-CN"/>
      </w:rPr>
      <w:t xml:space="preserve">           </w:t>
    </w:r>
  </w:p>
  <w:p w14:paraId="2CEC2D1B">
    <w:pPr>
      <w:pStyle w:val="20"/>
      <w:pBdr>
        <w:bottom w:val="none" w:color="auto" w:sz="0" w:space="1"/>
      </w:pBdr>
      <w:jc w:val="both"/>
      <w:rPr>
        <w:rFonts w:hint="eastAsia"/>
        <w:lang w:val="en-US" w:eastAsia="zh-CN"/>
      </w:rPr>
    </w:pPr>
  </w:p>
  <w:p w14:paraId="25531A5D">
    <w:pPr>
      <w:pStyle w:val="20"/>
      <w:pBdr>
        <w:bottom w:val="none" w:color="auto" w:sz="0" w:space="1"/>
      </w:pBdr>
      <w:rPr>
        <w:lang w:val="en-US" w:eastAsia="zh-CN"/>
      </w:rPr>
    </w:pPr>
    <w:r>
      <w:rPr>
        <w:rFonts w:hint="eastAsia"/>
        <w:lang w:val="en-US" w:eastAsia="zh-CN"/>
      </w:rPr>
      <w:t xml:space="preserve">      </w:t>
    </w:r>
  </w:p>
  <w:p w14:paraId="2D25291E">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5F1F">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D2F6">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33B3C"/>
    <w:multiLevelType w:val="singleLevel"/>
    <w:tmpl w:val="80C33B3C"/>
    <w:lvl w:ilvl="0" w:tentative="0">
      <w:start w:val="1"/>
      <w:numFmt w:val="decimal"/>
      <w:suff w:val="nothing"/>
      <w:lvlText w:val="（%1）"/>
      <w:lvlJc w:val="left"/>
    </w:lvl>
  </w:abstractNum>
  <w:abstractNum w:abstractNumId="1">
    <w:nsid w:val="87F7BC62"/>
    <w:multiLevelType w:val="singleLevel"/>
    <w:tmpl w:val="87F7BC62"/>
    <w:lvl w:ilvl="0" w:tentative="0">
      <w:start w:val="1"/>
      <w:numFmt w:val="decimal"/>
      <w:suff w:val="nothing"/>
      <w:lvlText w:val="（%1）"/>
      <w:lvlJc w:val="left"/>
    </w:lvl>
  </w:abstractNum>
  <w:abstractNum w:abstractNumId="2">
    <w:nsid w:val="88975E6E"/>
    <w:multiLevelType w:val="singleLevel"/>
    <w:tmpl w:val="88975E6E"/>
    <w:lvl w:ilvl="0" w:tentative="0">
      <w:start w:val="9"/>
      <w:numFmt w:val="decimal"/>
      <w:lvlText w:val="%1."/>
      <w:lvlJc w:val="left"/>
      <w:pPr>
        <w:tabs>
          <w:tab w:val="left" w:pos="312"/>
        </w:tabs>
      </w:pPr>
    </w:lvl>
  </w:abstractNum>
  <w:abstractNum w:abstractNumId="3">
    <w:nsid w:val="93967813"/>
    <w:multiLevelType w:val="singleLevel"/>
    <w:tmpl w:val="93967813"/>
    <w:lvl w:ilvl="0" w:tentative="0">
      <w:start w:val="2"/>
      <w:numFmt w:val="decimal"/>
      <w:suff w:val="nothing"/>
      <w:lvlText w:val="%1、"/>
      <w:lvlJc w:val="left"/>
    </w:lvl>
  </w:abstractNum>
  <w:abstractNum w:abstractNumId="4">
    <w:nsid w:val="99064504"/>
    <w:multiLevelType w:val="singleLevel"/>
    <w:tmpl w:val="99064504"/>
    <w:lvl w:ilvl="0" w:tentative="0">
      <w:start w:val="1"/>
      <w:numFmt w:val="decimal"/>
      <w:lvlText w:val="(%1)"/>
      <w:lvlJc w:val="left"/>
      <w:pPr>
        <w:tabs>
          <w:tab w:val="left" w:pos="312"/>
        </w:tabs>
      </w:pPr>
    </w:lvl>
  </w:abstractNum>
  <w:abstractNum w:abstractNumId="5">
    <w:nsid w:val="C5D19322"/>
    <w:multiLevelType w:val="singleLevel"/>
    <w:tmpl w:val="C5D19322"/>
    <w:lvl w:ilvl="0" w:tentative="0">
      <w:start w:val="1"/>
      <w:numFmt w:val="decimal"/>
      <w:suff w:val="nothing"/>
      <w:lvlText w:val="（%1）"/>
      <w:lvlJc w:val="left"/>
      <w:pPr>
        <w:ind w:left="-60"/>
      </w:pPr>
    </w:lvl>
  </w:abstractNum>
  <w:abstractNum w:abstractNumId="6">
    <w:nsid w:val="EA8D05CB"/>
    <w:multiLevelType w:val="singleLevel"/>
    <w:tmpl w:val="EA8D05CB"/>
    <w:lvl w:ilvl="0" w:tentative="0">
      <w:start w:val="3"/>
      <w:numFmt w:val="chineseCounting"/>
      <w:suff w:val="space"/>
      <w:lvlText w:val="第%1章"/>
      <w:lvlJc w:val="left"/>
      <w:rPr>
        <w:rFonts w:hint="eastAsia"/>
      </w:rPr>
    </w:lvl>
  </w:abstractNum>
  <w:abstractNum w:abstractNumId="7">
    <w:nsid w:val="1BE40BFA"/>
    <w:multiLevelType w:val="singleLevel"/>
    <w:tmpl w:val="1BE40BFA"/>
    <w:lvl w:ilvl="0" w:tentative="0">
      <w:start w:val="8"/>
      <w:numFmt w:val="chineseCounting"/>
      <w:suff w:val="nothing"/>
      <w:lvlText w:val="%1、"/>
      <w:lvlJc w:val="left"/>
      <w:rPr>
        <w:rFonts w:hint="eastAsia"/>
      </w:rPr>
    </w:lvl>
  </w:abstractNum>
  <w:abstractNum w:abstractNumId="8">
    <w:nsid w:val="24187323"/>
    <w:multiLevelType w:val="singleLevel"/>
    <w:tmpl w:val="24187323"/>
    <w:lvl w:ilvl="0" w:tentative="0">
      <w:start w:val="1"/>
      <w:numFmt w:val="decimal"/>
      <w:suff w:val="nothing"/>
      <w:lvlText w:val="%1、"/>
      <w:lvlJc w:val="left"/>
    </w:lvl>
  </w:abstractNum>
  <w:abstractNum w:abstractNumId="9">
    <w:nsid w:val="25B66A62"/>
    <w:multiLevelType w:val="singleLevel"/>
    <w:tmpl w:val="25B66A62"/>
    <w:lvl w:ilvl="0" w:tentative="0">
      <w:start w:val="2"/>
      <w:numFmt w:val="chineseCounting"/>
      <w:suff w:val="space"/>
      <w:lvlText w:val="第%1章"/>
      <w:lvlJc w:val="left"/>
      <w:rPr>
        <w:rFonts w:hint="eastAsia"/>
      </w:rPr>
    </w:lvl>
  </w:abstractNum>
  <w:abstractNum w:abstractNumId="10">
    <w:nsid w:val="2990CB5F"/>
    <w:multiLevelType w:val="singleLevel"/>
    <w:tmpl w:val="2990CB5F"/>
    <w:lvl w:ilvl="0" w:tentative="0">
      <w:start w:val="1"/>
      <w:numFmt w:val="chineseCounting"/>
      <w:suff w:val="nothing"/>
      <w:lvlText w:val="%1、"/>
      <w:lvlJc w:val="left"/>
      <w:rPr>
        <w:rFonts w:hint="eastAsia"/>
      </w:rPr>
    </w:lvl>
  </w:abstractNum>
  <w:abstractNum w:abstractNumId="11">
    <w:nsid w:val="2FF842F1"/>
    <w:multiLevelType w:val="singleLevel"/>
    <w:tmpl w:val="2FF842F1"/>
    <w:lvl w:ilvl="0" w:tentative="0">
      <w:start w:val="1"/>
      <w:numFmt w:val="decimal"/>
      <w:suff w:val="nothing"/>
      <w:lvlText w:val="（%1）"/>
      <w:lvlJc w:val="left"/>
    </w:lvl>
  </w:abstractNum>
  <w:abstractNum w:abstractNumId="12">
    <w:nsid w:val="425C0715"/>
    <w:multiLevelType w:val="singleLevel"/>
    <w:tmpl w:val="425C0715"/>
    <w:lvl w:ilvl="0" w:tentative="0">
      <w:start w:val="1"/>
      <w:numFmt w:val="chineseCounting"/>
      <w:suff w:val="nothing"/>
      <w:lvlText w:val="%1、"/>
      <w:lvlJc w:val="left"/>
      <w:rPr>
        <w:rFonts w:hint="eastAsia"/>
      </w:rPr>
    </w:lvl>
  </w:abstractNum>
  <w:abstractNum w:abstractNumId="13">
    <w:nsid w:val="5028496D"/>
    <w:multiLevelType w:val="singleLevel"/>
    <w:tmpl w:val="5028496D"/>
    <w:lvl w:ilvl="0" w:tentative="0">
      <w:start w:val="8"/>
      <w:numFmt w:val="decimal"/>
      <w:suff w:val="nothing"/>
      <w:lvlText w:val="%1、"/>
      <w:lvlJc w:val="left"/>
    </w:lvl>
  </w:abstractNum>
  <w:abstractNum w:abstractNumId="14">
    <w:nsid w:val="564534E8"/>
    <w:multiLevelType w:val="singleLevel"/>
    <w:tmpl w:val="564534E8"/>
    <w:lvl w:ilvl="0" w:tentative="0">
      <w:start w:val="1"/>
      <w:numFmt w:val="decimal"/>
      <w:suff w:val="nothing"/>
      <w:lvlText w:val="%1、"/>
      <w:lvlJc w:val="left"/>
      <w:pPr>
        <w:ind w:left="360" w:leftChars="0" w:firstLine="0" w:firstLineChars="0"/>
      </w:pPr>
    </w:lvl>
  </w:abstractNum>
  <w:abstractNum w:abstractNumId="15">
    <w:nsid w:val="69F2557E"/>
    <w:multiLevelType w:val="singleLevel"/>
    <w:tmpl w:val="69F2557E"/>
    <w:lvl w:ilvl="0" w:tentative="0">
      <w:start w:val="1"/>
      <w:numFmt w:val="chineseCounting"/>
      <w:suff w:val="space"/>
      <w:lvlText w:val="第%1部分"/>
      <w:lvlJc w:val="left"/>
      <w:rPr>
        <w:rFonts w:hint="eastAsia"/>
      </w:rPr>
    </w:lvl>
  </w:abstractNum>
  <w:abstractNum w:abstractNumId="16">
    <w:nsid w:val="6C466B82"/>
    <w:multiLevelType w:val="singleLevel"/>
    <w:tmpl w:val="6C466B82"/>
    <w:lvl w:ilvl="0" w:tentative="0">
      <w:start w:val="2"/>
      <w:numFmt w:val="decimal"/>
      <w:suff w:val="space"/>
      <w:lvlText w:val="%1."/>
      <w:lvlJc w:val="left"/>
    </w:lvl>
  </w:abstractNum>
  <w:abstractNum w:abstractNumId="17">
    <w:nsid w:val="6E300C15"/>
    <w:multiLevelType w:val="singleLevel"/>
    <w:tmpl w:val="6E300C15"/>
    <w:lvl w:ilvl="0" w:tentative="0">
      <w:start w:val="1"/>
      <w:numFmt w:val="decimal"/>
      <w:suff w:val="nothing"/>
      <w:lvlText w:val="（%1）"/>
      <w:lvlJc w:val="left"/>
    </w:lvl>
  </w:abstractNum>
  <w:abstractNum w:abstractNumId="18">
    <w:nsid w:val="7CE6472E"/>
    <w:multiLevelType w:val="singleLevel"/>
    <w:tmpl w:val="7CE6472E"/>
    <w:lvl w:ilvl="0" w:tentative="0">
      <w:start w:val="2"/>
      <w:numFmt w:val="chineseCounting"/>
      <w:suff w:val="space"/>
      <w:lvlText w:val="第%1部分"/>
      <w:lvlJc w:val="left"/>
      <w:rPr>
        <w:rFonts w:hint="eastAsia"/>
      </w:rPr>
    </w:lvl>
  </w:abstractNum>
  <w:num w:numId="1">
    <w:abstractNumId w:val="9"/>
  </w:num>
  <w:num w:numId="2">
    <w:abstractNumId w:val="15"/>
  </w:num>
  <w:num w:numId="3">
    <w:abstractNumId w:val="8"/>
  </w:num>
  <w:num w:numId="4">
    <w:abstractNumId w:val="2"/>
  </w:num>
  <w:num w:numId="5">
    <w:abstractNumId w:val="18"/>
  </w:num>
  <w:num w:numId="6">
    <w:abstractNumId w:val="3"/>
  </w:num>
  <w:num w:numId="7">
    <w:abstractNumId w:val="5"/>
  </w:num>
  <w:num w:numId="8">
    <w:abstractNumId w:val="16"/>
  </w:num>
  <w:num w:numId="9">
    <w:abstractNumId w:val="13"/>
  </w:num>
  <w:num w:numId="10">
    <w:abstractNumId w:val="6"/>
  </w:num>
  <w:num w:numId="11">
    <w:abstractNumId w:val="10"/>
  </w:num>
  <w:num w:numId="12">
    <w:abstractNumId w:val="12"/>
  </w:num>
  <w:num w:numId="13">
    <w:abstractNumId w:val="7"/>
  </w:num>
  <w:num w:numId="14">
    <w:abstractNumId w:val="1"/>
  </w:num>
  <w:num w:numId="15">
    <w:abstractNumId w:val="17"/>
  </w:num>
  <w:num w:numId="16">
    <w:abstractNumId w:val="11"/>
  </w:num>
  <w:num w:numId="17">
    <w:abstractNumId w:val="14"/>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VlM2IzZmNlNWNmMjg4NWZlZTdkYjM4OTc1ODQifQ=="/>
  </w:docVars>
  <w:rsids>
    <w:rsidRoot w:val="0C575BD3"/>
    <w:rsid w:val="00382DEE"/>
    <w:rsid w:val="00416146"/>
    <w:rsid w:val="00433EEA"/>
    <w:rsid w:val="008E0C60"/>
    <w:rsid w:val="009D0EA3"/>
    <w:rsid w:val="00AB35C0"/>
    <w:rsid w:val="00AB7A64"/>
    <w:rsid w:val="00B22BA0"/>
    <w:rsid w:val="00B5443F"/>
    <w:rsid w:val="00B66E7A"/>
    <w:rsid w:val="01042CD0"/>
    <w:rsid w:val="010A29DC"/>
    <w:rsid w:val="0119677B"/>
    <w:rsid w:val="011E1FE4"/>
    <w:rsid w:val="01200B56"/>
    <w:rsid w:val="01207B0A"/>
    <w:rsid w:val="019D115B"/>
    <w:rsid w:val="01E7687A"/>
    <w:rsid w:val="02177EED"/>
    <w:rsid w:val="021A27AB"/>
    <w:rsid w:val="02290C40"/>
    <w:rsid w:val="02301FCF"/>
    <w:rsid w:val="023260EE"/>
    <w:rsid w:val="02985DC6"/>
    <w:rsid w:val="02A5520C"/>
    <w:rsid w:val="02B063CF"/>
    <w:rsid w:val="02D432A2"/>
    <w:rsid w:val="02D54924"/>
    <w:rsid w:val="02DA4630"/>
    <w:rsid w:val="035728C4"/>
    <w:rsid w:val="03942A31"/>
    <w:rsid w:val="03B10EED"/>
    <w:rsid w:val="03B727D7"/>
    <w:rsid w:val="03BB354B"/>
    <w:rsid w:val="03DE3CAC"/>
    <w:rsid w:val="04051239"/>
    <w:rsid w:val="04424131"/>
    <w:rsid w:val="044A30F0"/>
    <w:rsid w:val="04BB3044"/>
    <w:rsid w:val="04D95FAF"/>
    <w:rsid w:val="05177476"/>
    <w:rsid w:val="05432019"/>
    <w:rsid w:val="05465FAD"/>
    <w:rsid w:val="054D733B"/>
    <w:rsid w:val="055C1AD8"/>
    <w:rsid w:val="056921F6"/>
    <w:rsid w:val="05A36F5B"/>
    <w:rsid w:val="05D67331"/>
    <w:rsid w:val="063B3638"/>
    <w:rsid w:val="06A905A2"/>
    <w:rsid w:val="06BF1B73"/>
    <w:rsid w:val="06BF5310"/>
    <w:rsid w:val="06C54CB0"/>
    <w:rsid w:val="06F46B30"/>
    <w:rsid w:val="070103DE"/>
    <w:rsid w:val="072E6CF9"/>
    <w:rsid w:val="0749768F"/>
    <w:rsid w:val="079E5C2C"/>
    <w:rsid w:val="07DD49A7"/>
    <w:rsid w:val="07E13D6B"/>
    <w:rsid w:val="08241FC1"/>
    <w:rsid w:val="08275C22"/>
    <w:rsid w:val="084D31AF"/>
    <w:rsid w:val="08A47272"/>
    <w:rsid w:val="08CC04B1"/>
    <w:rsid w:val="08D062B9"/>
    <w:rsid w:val="08F04266"/>
    <w:rsid w:val="09120680"/>
    <w:rsid w:val="091F0FEF"/>
    <w:rsid w:val="09905A49"/>
    <w:rsid w:val="09A32944"/>
    <w:rsid w:val="09D92F4C"/>
    <w:rsid w:val="09DC47EA"/>
    <w:rsid w:val="0A0C1573"/>
    <w:rsid w:val="0A6D18E6"/>
    <w:rsid w:val="0A8F5D00"/>
    <w:rsid w:val="0A94151B"/>
    <w:rsid w:val="0A9E5F43"/>
    <w:rsid w:val="0AA540D6"/>
    <w:rsid w:val="0AE0030A"/>
    <w:rsid w:val="0AEC4F01"/>
    <w:rsid w:val="0AEF054D"/>
    <w:rsid w:val="0B183F48"/>
    <w:rsid w:val="0B7A42BB"/>
    <w:rsid w:val="0B98013A"/>
    <w:rsid w:val="0BDF6813"/>
    <w:rsid w:val="0C346B5F"/>
    <w:rsid w:val="0C575BD3"/>
    <w:rsid w:val="0C721436"/>
    <w:rsid w:val="0C762CD4"/>
    <w:rsid w:val="0D29243C"/>
    <w:rsid w:val="0D2C7836"/>
    <w:rsid w:val="0D35493D"/>
    <w:rsid w:val="0D366907"/>
    <w:rsid w:val="0D4D33F8"/>
    <w:rsid w:val="0D676AC1"/>
    <w:rsid w:val="0D927FE1"/>
    <w:rsid w:val="0D9553DC"/>
    <w:rsid w:val="0E72571D"/>
    <w:rsid w:val="0E794CFD"/>
    <w:rsid w:val="0E7C5C49"/>
    <w:rsid w:val="0E7D2A40"/>
    <w:rsid w:val="0EB126E9"/>
    <w:rsid w:val="0EC35F79"/>
    <w:rsid w:val="0EEC3721"/>
    <w:rsid w:val="0EF6634E"/>
    <w:rsid w:val="0F0D5446"/>
    <w:rsid w:val="0F2F360E"/>
    <w:rsid w:val="0F334EAC"/>
    <w:rsid w:val="0F3F5F47"/>
    <w:rsid w:val="0F410B24"/>
    <w:rsid w:val="0F501F02"/>
    <w:rsid w:val="0F900551"/>
    <w:rsid w:val="0FA77648"/>
    <w:rsid w:val="0FAC4C5F"/>
    <w:rsid w:val="0FCE1079"/>
    <w:rsid w:val="0FD22917"/>
    <w:rsid w:val="0FDA5C70"/>
    <w:rsid w:val="102B0279"/>
    <w:rsid w:val="1030763E"/>
    <w:rsid w:val="109D1177"/>
    <w:rsid w:val="10BB15FD"/>
    <w:rsid w:val="10BC7123"/>
    <w:rsid w:val="111B209C"/>
    <w:rsid w:val="1171641D"/>
    <w:rsid w:val="117D2D56"/>
    <w:rsid w:val="11B30526"/>
    <w:rsid w:val="11EE155E"/>
    <w:rsid w:val="126637EB"/>
    <w:rsid w:val="12C702A0"/>
    <w:rsid w:val="12D44BF8"/>
    <w:rsid w:val="12D76496"/>
    <w:rsid w:val="1314418F"/>
    <w:rsid w:val="131E5E73"/>
    <w:rsid w:val="13631AD8"/>
    <w:rsid w:val="13653AA2"/>
    <w:rsid w:val="1393060F"/>
    <w:rsid w:val="13A21BE5"/>
    <w:rsid w:val="13C06F2A"/>
    <w:rsid w:val="13F217DA"/>
    <w:rsid w:val="14276FAA"/>
    <w:rsid w:val="143A4F2F"/>
    <w:rsid w:val="143F0797"/>
    <w:rsid w:val="14551D69"/>
    <w:rsid w:val="14860174"/>
    <w:rsid w:val="14CF5677"/>
    <w:rsid w:val="14D94748"/>
    <w:rsid w:val="14DE3B0C"/>
    <w:rsid w:val="150712B5"/>
    <w:rsid w:val="152D05F0"/>
    <w:rsid w:val="154871D8"/>
    <w:rsid w:val="157D3325"/>
    <w:rsid w:val="16041350"/>
    <w:rsid w:val="16287735"/>
    <w:rsid w:val="163836F0"/>
    <w:rsid w:val="163D2AB4"/>
    <w:rsid w:val="164B3423"/>
    <w:rsid w:val="1663076D"/>
    <w:rsid w:val="16976668"/>
    <w:rsid w:val="16B0772A"/>
    <w:rsid w:val="16BE59A3"/>
    <w:rsid w:val="16E8375D"/>
    <w:rsid w:val="16F07B27"/>
    <w:rsid w:val="171C6ED7"/>
    <w:rsid w:val="17375756"/>
    <w:rsid w:val="17424826"/>
    <w:rsid w:val="17544559"/>
    <w:rsid w:val="17716EB9"/>
    <w:rsid w:val="177249E0"/>
    <w:rsid w:val="17773DA4"/>
    <w:rsid w:val="17812958"/>
    <w:rsid w:val="17AD1749"/>
    <w:rsid w:val="17DE3E23"/>
    <w:rsid w:val="17E72CD8"/>
    <w:rsid w:val="17FA1432"/>
    <w:rsid w:val="18003D99"/>
    <w:rsid w:val="18187335"/>
    <w:rsid w:val="183277C9"/>
    <w:rsid w:val="18357EE7"/>
    <w:rsid w:val="183B1275"/>
    <w:rsid w:val="18814758"/>
    <w:rsid w:val="18A1732B"/>
    <w:rsid w:val="18AB1F57"/>
    <w:rsid w:val="18AD3F21"/>
    <w:rsid w:val="18C13529"/>
    <w:rsid w:val="19053D5D"/>
    <w:rsid w:val="190569DB"/>
    <w:rsid w:val="19145D4E"/>
    <w:rsid w:val="19240F9F"/>
    <w:rsid w:val="19520625"/>
    <w:rsid w:val="196B7938"/>
    <w:rsid w:val="19704F4F"/>
    <w:rsid w:val="19EA3417"/>
    <w:rsid w:val="19F65454"/>
    <w:rsid w:val="1A3D12D5"/>
    <w:rsid w:val="1A5B175B"/>
    <w:rsid w:val="1A6B4094"/>
    <w:rsid w:val="1A98475D"/>
    <w:rsid w:val="1A9E7CF8"/>
    <w:rsid w:val="1AA475A6"/>
    <w:rsid w:val="1AD0039B"/>
    <w:rsid w:val="1B3C333B"/>
    <w:rsid w:val="1B527002"/>
    <w:rsid w:val="1B7E3953"/>
    <w:rsid w:val="1BBE01F3"/>
    <w:rsid w:val="1C646FED"/>
    <w:rsid w:val="1C715266"/>
    <w:rsid w:val="1CF55E97"/>
    <w:rsid w:val="1CFC0FD3"/>
    <w:rsid w:val="1CFD255F"/>
    <w:rsid w:val="1D3369BF"/>
    <w:rsid w:val="1D5D57EA"/>
    <w:rsid w:val="1D7F1C04"/>
    <w:rsid w:val="1DAF4298"/>
    <w:rsid w:val="1DE657E0"/>
    <w:rsid w:val="1DE75D27"/>
    <w:rsid w:val="1E036392"/>
    <w:rsid w:val="1E1660C5"/>
    <w:rsid w:val="1E256308"/>
    <w:rsid w:val="1E82375A"/>
    <w:rsid w:val="1EBD4792"/>
    <w:rsid w:val="1F176598"/>
    <w:rsid w:val="1FE30229"/>
    <w:rsid w:val="1FF71F26"/>
    <w:rsid w:val="206E043A"/>
    <w:rsid w:val="207145FB"/>
    <w:rsid w:val="20A774A8"/>
    <w:rsid w:val="20AE6A88"/>
    <w:rsid w:val="211C7E96"/>
    <w:rsid w:val="2123644E"/>
    <w:rsid w:val="21533CD8"/>
    <w:rsid w:val="2165317E"/>
    <w:rsid w:val="21725D08"/>
    <w:rsid w:val="219D08AB"/>
    <w:rsid w:val="21BA76AF"/>
    <w:rsid w:val="21C4408A"/>
    <w:rsid w:val="21E87D78"/>
    <w:rsid w:val="21F66939"/>
    <w:rsid w:val="22192627"/>
    <w:rsid w:val="223B434C"/>
    <w:rsid w:val="22407BB4"/>
    <w:rsid w:val="227855A0"/>
    <w:rsid w:val="22897B67"/>
    <w:rsid w:val="22943A5C"/>
    <w:rsid w:val="22B440FE"/>
    <w:rsid w:val="22D14CB0"/>
    <w:rsid w:val="22F664C5"/>
    <w:rsid w:val="22FC6747"/>
    <w:rsid w:val="231A0405"/>
    <w:rsid w:val="231D11EA"/>
    <w:rsid w:val="235651B5"/>
    <w:rsid w:val="2379775D"/>
    <w:rsid w:val="2383244E"/>
    <w:rsid w:val="238E494F"/>
    <w:rsid w:val="239A7798"/>
    <w:rsid w:val="23DD1433"/>
    <w:rsid w:val="24013373"/>
    <w:rsid w:val="24194B61"/>
    <w:rsid w:val="24280900"/>
    <w:rsid w:val="242A28CA"/>
    <w:rsid w:val="243C084F"/>
    <w:rsid w:val="243C43AB"/>
    <w:rsid w:val="244D65B8"/>
    <w:rsid w:val="24653A21"/>
    <w:rsid w:val="247E6FDC"/>
    <w:rsid w:val="248875F1"/>
    <w:rsid w:val="249944D1"/>
    <w:rsid w:val="24AF4B7D"/>
    <w:rsid w:val="24CF169B"/>
    <w:rsid w:val="24DB0727"/>
    <w:rsid w:val="24ED38F7"/>
    <w:rsid w:val="24F5112A"/>
    <w:rsid w:val="2556149D"/>
    <w:rsid w:val="255B4D05"/>
    <w:rsid w:val="257A518B"/>
    <w:rsid w:val="25A20B86"/>
    <w:rsid w:val="25A46830"/>
    <w:rsid w:val="25B763DF"/>
    <w:rsid w:val="25C12DBA"/>
    <w:rsid w:val="25C40AFC"/>
    <w:rsid w:val="25EE5B79"/>
    <w:rsid w:val="25EE7927"/>
    <w:rsid w:val="26285689"/>
    <w:rsid w:val="26695200"/>
    <w:rsid w:val="266C3655"/>
    <w:rsid w:val="268D0EEE"/>
    <w:rsid w:val="269C3827"/>
    <w:rsid w:val="26B66697"/>
    <w:rsid w:val="26DF689D"/>
    <w:rsid w:val="274243CE"/>
    <w:rsid w:val="27462496"/>
    <w:rsid w:val="27A97FAA"/>
    <w:rsid w:val="27EB6814"/>
    <w:rsid w:val="27FF5E1C"/>
    <w:rsid w:val="283A7A7E"/>
    <w:rsid w:val="28410665"/>
    <w:rsid w:val="284D6B87"/>
    <w:rsid w:val="2858552C"/>
    <w:rsid w:val="28667C49"/>
    <w:rsid w:val="28862099"/>
    <w:rsid w:val="28887BBF"/>
    <w:rsid w:val="289D72E9"/>
    <w:rsid w:val="28EB41A7"/>
    <w:rsid w:val="29080D00"/>
    <w:rsid w:val="290A0F1C"/>
    <w:rsid w:val="290F208E"/>
    <w:rsid w:val="29A273A6"/>
    <w:rsid w:val="29AC5B2F"/>
    <w:rsid w:val="29D07A70"/>
    <w:rsid w:val="29D15519"/>
    <w:rsid w:val="29DD6BF3"/>
    <w:rsid w:val="2A043BBD"/>
    <w:rsid w:val="2A0E0598"/>
    <w:rsid w:val="2A202079"/>
    <w:rsid w:val="2A351FC9"/>
    <w:rsid w:val="2A5A558B"/>
    <w:rsid w:val="2A816FBC"/>
    <w:rsid w:val="2A8645D2"/>
    <w:rsid w:val="2ADB426C"/>
    <w:rsid w:val="2AEF03C9"/>
    <w:rsid w:val="2B591CE7"/>
    <w:rsid w:val="2B6A7A50"/>
    <w:rsid w:val="2B8C79C6"/>
    <w:rsid w:val="2BA74800"/>
    <w:rsid w:val="2BCC24B9"/>
    <w:rsid w:val="2BFB2D9E"/>
    <w:rsid w:val="2C075AA9"/>
    <w:rsid w:val="2C167BD8"/>
    <w:rsid w:val="2C3638C9"/>
    <w:rsid w:val="2C666469"/>
    <w:rsid w:val="2C676750"/>
    <w:rsid w:val="2C85580C"/>
    <w:rsid w:val="2CD47877"/>
    <w:rsid w:val="2CEB696E"/>
    <w:rsid w:val="2D085772"/>
    <w:rsid w:val="2D095047"/>
    <w:rsid w:val="2D14247A"/>
    <w:rsid w:val="2D776454"/>
    <w:rsid w:val="2DC518B5"/>
    <w:rsid w:val="2DDC6306"/>
    <w:rsid w:val="2DE03FF9"/>
    <w:rsid w:val="2DE41D3C"/>
    <w:rsid w:val="2DE57862"/>
    <w:rsid w:val="2DED6716"/>
    <w:rsid w:val="2DF3752E"/>
    <w:rsid w:val="2E3D144C"/>
    <w:rsid w:val="2E7B1F74"/>
    <w:rsid w:val="2F000DF7"/>
    <w:rsid w:val="2F0E4B96"/>
    <w:rsid w:val="2F1E302B"/>
    <w:rsid w:val="2F2263DC"/>
    <w:rsid w:val="2F320885"/>
    <w:rsid w:val="2F7470EF"/>
    <w:rsid w:val="2FCA4F61"/>
    <w:rsid w:val="2FEA115F"/>
    <w:rsid w:val="3082583C"/>
    <w:rsid w:val="30A25EDE"/>
    <w:rsid w:val="30BA3228"/>
    <w:rsid w:val="30C714A1"/>
    <w:rsid w:val="30DD2A72"/>
    <w:rsid w:val="311A7459"/>
    <w:rsid w:val="311F22C5"/>
    <w:rsid w:val="312E1520"/>
    <w:rsid w:val="31321010"/>
    <w:rsid w:val="31376626"/>
    <w:rsid w:val="31396D28"/>
    <w:rsid w:val="31490108"/>
    <w:rsid w:val="316118F5"/>
    <w:rsid w:val="31903F88"/>
    <w:rsid w:val="319C0B7F"/>
    <w:rsid w:val="31F14A27"/>
    <w:rsid w:val="323B0398"/>
    <w:rsid w:val="324D211C"/>
    <w:rsid w:val="325B4596"/>
    <w:rsid w:val="325D030E"/>
    <w:rsid w:val="326A47D9"/>
    <w:rsid w:val="32B31CDC"/>
    <w:rsid w:val="32E16842"/>
    <w:rsid w:val="32FE389F"/>
    <w:rsid w:val="33164948"/>
    <w:rsid w:val="33380434"/>
    <w:rsid w:val="333D5A4A"/>
    <w:rsid w:val="33446DD8"/>
    <w:rsid w:val="334D2131"/>
    <w:rsid w:val="33501C21"/>
    <w:rsid w:val="33647AF5"/>
    <w:rsid w:val="33857B1D"/>
    <w:rsid w:val="33EF0441"/>
    <w:rsid w:val="345117AD"/>
    <w:rsid w:val="3486725C"/>
    <w:rsid w:val="34AC732B"/>
    <w:rsid w:val="34F605A6"/>
    <w:rsid w:val="351F5D4F"/>
    <w:rsid w:val="355260B9"/>
    <w:rsid w:val="35647C06"/>
    <w:rsid w:val="35935DF5"/>
    <w:rsid w:val="359A53D6"/>
    <w:rsid w:val="35CC1532"/>
    <w:rsid w:val="35DC59EE"/>
    <w:rsid w:val="35FA7C22"/>
    <w:rsid w:val="360A60B7"/>
    <w:rsid w:val="367479D5"/>
    <w:rsid w:val="3699743B"/>
    <w:rsid w:val="36A71B58"/>
    <w:rsid w:val="36AC716F"/>
    <w:rsid w:val="36F40B16"/>
    <w:rsid w:val="371D006C"/>
    <w:rsid w:val="371E0C7C"/>
    <w:rsid w:val="3733163E"/>
    <w:rsid w:val="37384EA6"/>
    <w:rsid w:val="373A29CC"/>
    <w:rsid w:val="3748158D"/>
    <w:rsid w:val="375241BA"/>
    <w:rsid w:val="375F2C0A"/>
    <w:rsid w:val="37985945"/>
    <w:rsid w:val="37FA03AE"/>
    <w:rsid w:val="3862667F"/>
    <w:rsid w:val="386A72E1"/>
    <w:rsid w:val="387243E8"/>
    <w:rsid w:val="388C7258"/>
    <w:rsid w:val="38AC6D32"/>
    <w:rsid w:val="38C06F01"/>
    <w:rsid w:val="38C20ECB"/>
    <w:rsid w:val="38F66DC7"/>
    <w:rsid w:val="3914724D"/>
    <w:rsid w:val="391B4A01"/>
    <w:rsid w:val="39385E8A"/>
    <w:rsid w:val="399A1E48"/>
    <w:rsid w:val="39A405D1"/>
    <w:rsid w:val="39A700C1"/>
    <w:rsid w:val="39DC24FF"/>
    <w:rsid w:val="39EB26A4"/>
    <w:rsid w:val="3A3E4582"/>
    <w:rsid w:val="3A475C9C"/>
    <w:rsid w:val="3A563FC1"/>
    <w:rsid w:val="3A667F7C"/>
    <w:rsid w:val="3A8521B0"/>
    <w:rsid w:val="3A8B1791"/>
    <w:rsid w:val="3AC56A51"/>
    <w:rsid w:val="3AF61300"/>
    <w:rsid w:val="3B037579"/>
    <w:rsid w:val="3B516536"/>
    <w:rsid w:val="3B9E42F1"/>
    <w:rsid w:val="3BA743A8"/>
    <w:rsid w:val="3BB56AC5"/>
    <w:rsid w:val="3BE52240"/>
    <w:rsid w:val="3BF27D19"/>
    <w:rsid w:val="3C0161AE"/>
    <w:rsid w:val="3C074E47"/>
    <w:rsid w:val="3C090BBF"/>
    <w:rsid w:val="3C1D192B"/>
    <w:rsid w:val="3C320116"/>
    <w:rsid w:val="3C3E2F5F"/>
    <w:rsid w:val="3C885F88"/>
    <w:rsid w:val="3CA37266"/>
    <w:rsid w:val="3CB362AC"/>
    <w:rsid w:val="3CC2593E"/>
    <w:rsid w:val="3CDB255C"/>
    <w:rsid w:val="3CF7310E"/>
    <w:rsid w:val="3CF75B8E"/>
    <w:rsid w:val="3D3D6D72"/>
    <w:rsid w:val="3D6E1622"/>
    <w:rsid w:val="3DC72AE0"/>
    <w:rsid w:val="3E3F1912"/>
    <w:rsid w:val="3EA572C5"/>
    <w:rsid w:val="3EC76201"/>
    <w:rsid w:val="3EED2A1A"/>
    <w:rsid w:val="3EF50E21"/>
    <w:rsid w:val="3F1E2BD3"/>
    <w:rsid w:val="3F253F62"/>
    <w:rsid w:val="3F291CBE"/>
    <w:rsid w:val="3FA4132B"/>
    <w:rsid w:val="3FC25C55"/>
    <w:rsid w:val="3FD17C46"/>
    <w:rsid w:val="400022D9"/>
    <w:rsid w:val="40181D19"/>
    <w:rsid w:val="403E177F"/>
    <w:rsid w:val="40534611"/>
    <w:rsid w:val="406C796F"/>
    <w:rsid w:val="40721429"/>
    <w:rsid w:val="408A49C4"/>
    <w:rsid w:val="40A47108"/>
    <w:rsid w:val="40AE1ECA"/>
    <w:rsid w:val="40B3559D"/>
    <w:rsid w:val="40B530C4"/>
    <w:rsid w:val="40C003E6"/>
    <w:rsid w:val="413B181B"/>
    <w:rsid w:val="41483F38"/>
    <w:rsid w:val="415428DD"/>
    <w:rsid w:val="415E19AD"/>
    <w:rsid w:val="416A0352"/>
    <w:rsid w:val="416A65A4"/>
    <w:rsid w:val="41A2189A"/>
    <w:rsid w:val="41A35612"/>
    <w:rsid w:val="41A51487"/>
    <w:rsid w:val="41FA2C91"/>
    <w:rsid w:val="422E75D1"/>
    <w:rsid w:val="425F3C2F"/>
    <w:rsid w:val="425F781A"/>
    <w:rsid w:val="42750D5C"/>
    <w:rsid w:val="428554D4"/>
    <w:rsid w:val="42CD6DEA"/>
    <w:rsid w:val="42DC0DDB"/>
    <w:rsid w:val="42FA74B4"/>
    <w:rsid w:val="430B16C1"/>
    <w:rsid w:val="43326C4D"/>
    <w:rsid w:val="434D3A87"/>
    <w:rsid w:val="435B2648"/>
    <w:rsid w:val="43754D8C"/>
    <w:rsid w:val="43845CEF"/>
    <w:rsid w:val="43911BC6"/>
    <w:rsid w:val="43A15B81"/>
    <w:rsid w:val="43B14016"/>
    <w:rsid w:val="43C24475"/>
    <w:rsid w:val="43DD4E0B"/>
    <w:rsid w:val="43E35B41"/>
    <w:rsid w:val="43EC504E"/>
    <w:rsid w:val="44913E48"/>
    <w:rsid w:val="44986F84"/>
    <w:rsid w:val="44D53D34"/>
    <w:rsid w:val="44FB3278"/>
    <w:rsid w:val="45322F35"/>
    <w:rsid w:val="45462508"/>
    <w:rsid w:val="45464C32"/>
    <w:rsid w:val="45C06792"/>
    <w:rsid w:val="45CF2E79"/>
    <w:rsid w:val="45D466E2"/>
    <w:rsid w:val="45E83F3B"/>
    <w:rsid w:val="463B406B"/>
    <w:rsid w:val="465D6ADD"/>
    <w:rsid w:val="47412E3C"/>
    <w:rsid w:val="474B29D4"/>
    <w:rsid w:val="475E6263"/>
    <w:rsid w:val="478E5573"/>
    <w:rsid w:val="47A125F4"/>
    <w:rsid w:val="47A345BE"/>
    <w:rsid w:val="47BE4F54"/>
    <w:rsid w:val="47D61F37"/>
    <w:rsid w:val="47D93B3C"/>
    <w:rsid w:val="47E36768"/>
    <w:rsid w:val="47F70466"/>
    <w:rsid w:val="48052B82"/>
    <w:rsid w:val="480A63EB"/>
    <w:rsid w:val="48174664"/>
    <w:rsid w:val="483223DC"/>
    <w:rsid w:val="48641F02"/>
    <w:rsid w:val="487B2E45"/>
    <w:rsid w:val="48AE6D76"/>
    <w:rsid w:val="48CE3090"/>
    <w:rsid w:val="48D32C81"/>
    <w:rsid w:val="48DD765B"/>
    <w:rsid w:val="49135577"/>
    <w:rsid w:val="492E6109"/>
    <w:rsid w:val="49303C2F"/>
    <w:rsid w:val="49366D6C"/>
    <w:rsid w:val="494D2A33"/>
    <w:rsid w:val="495711BC"/>
    <w:rsid w:val="4959798C"/>
    <w:rsid w:val="495D70FC"/>
    <w:rsid w:val="49641B2B"/>
    <w:rsid w:val="49A45881"/>
    <w:rsid w:val="49C97F8D"/>
    <w:rsid w:val="49E862B8"/>
    <w:rsid w:val="49F17862"/>
    <w:rsid w:val="49F44C5D"/>
    <w:rsid w:val="4A580E5D"/>
    <w:rsid w:val="4AAA603E"/>
    <w:rsid w:val="4AD64D94"/>
    <w:rsid w:val="4AE253FD"/>
    <w:rsid w:val="4B1F03FF"/>
    <w:rsid w:val="4B296B88"/>
    <w:rsid w:val="4B455B4B"/>
    <w:rsid w:val="4B4C2876"/>
    <w:rsid w:val="4B554CA4"/>
    <w:rsid w:val="4B577B99"/>
    <w:rsid w:val="4BA821A3"/>
    <w:rsid w:val="4BB5666E"/>
    <w:rsid w:val="4BC0573E"/>
    <w:rsid w:val="4BDC3BFA"/>
    <w:rsid w:val="4C15710C"/>
    <w:rsid w:val="4C373527"/>
    <w:rsid w:val="4C4A325A"/>
    <w:rsid w:val="4C653BF0"/>
    <w:rsid w:val="4C786019"/>
    <w:rsid w:val="4C8524E4"/>
    <w:rsid w:val="4CA54934"/>
    <w:rsid w:val="4CB86415"/>
    <w:rsid w:val="4CDF7E46"/>
    <w:rsid w:val="4CE94821"/>
    <w:rsid w:val="4D1F46E6"/>
    <w:rsid w:val="4D203FBB"/>
    <w:rsid w:val="4D3833FE"/>
    <w:rsid w:val="4D4D1254"/>
    <w:rsid w:val="4D665E71"/>
    <w:rsid w:val="4D7F0CE1"/>
    <w:rsid w:val="4DA150FB"/>
    <w:rsid w:val="4DBC3CE3"/>
    <w:rsid w:val="4E32118A"/>
    <w:rsid w:val="4EAA7FE0"/>
    <w:rsid w:val="4EC118DA"/>
    <w:rsid w:val="4EC76DE4"/>
    <w:rsid w:val="4EDD2163"/>
    <w:rsid w:val="4EEC23A6"/>
    <w:rsid w:val="4F084FD9"/>
    <w:rsid w:val="4F256D26"/>
    <w:rsid w:val="4F5D32A4"/>
    <w:rsid w:val="4F764366"/>
    <w:rsid w:val="4F7D56F4"/>
    <w:rsid w:val="4FE70DC0"/>
    <w:rsid w:val="50016325"/>
    <w:rsid w:val="502D0EC8"/>
    <w:rsid w:val="503A35E5"/>
    <w:rsid w:val="508807F5"/>
    <w:rsid w:val="50962F12"/>
    <w:rsid w:val="50AB0F45"/>
    <w:rsid w:val="50EC27DC"/>
    <w:rsid w:val="510D2AA8"/>
    <w:rsid w:val="514A7858"/>
    <w:rsid w:val="5179233C"/>
    <w:rsid w:val="51816421"/>
    <w:rsid w:val="51843F18"/>
    <w:rsid w:val="51894824"/>
    <w:rsid w:val="51A80137"/>
    <w:rsid w:val="51D27F79"/>
    <w:rsid w:val="51D6733E"/>
    <w:rsid w:val="51DD247A"/>
    <w:rsid w:val="5207117A"/>
    <w:rsid w:val="521C11F4"/>
    <w:rsid w:val="524D5852"/>
    <w:rsid w:val="52576EAA"/>
    <w:rsid w:val="525E180D"/>
    <w:rsid w:val="526E7576"/>
    <w:rsid w:val="52880638"/>
    <w:rsid w:val="52C63551"/>
    <w:rsid w:val="52DB4C0C"/>
    <w:rsid w:val="52F51F42"/>
    <w:rsid w:val="53177C0E"/>
    <w:rsid w:val="53605111"/>
    <w:rsid w:val="537A08C9"/>
    <w:rsid w:val="5385101B"/>
    <w:rsid w:val="53D55AFF"/>
    <w:rsid w:val="53F51CFD"/>
    <w:rsid w:val="53FD32A8"/>
    <w:rsid w:val="5406215C"/>
    <w:rsid w:val="541A1764"/>
    <w:rsid w:val="541A54D4"/>
    <w:rsid w:val="54424CE4"/>
    <w:rsid w:val="54455E89"/>
    <w:rsid w:val="545253A1"/>
    <w:rsid w:val="547321A4"/>
    <w:rsid w:val="54815C87"/>
    <w:rsid w:val="54930741"/>
    <w:rsid w:val="54A43723"/>
    <w:rsid w:val="54AF45A2"/>
    <w:rsid w:val="54B27BEE"/>
    <w:rsid w:val="55236D3E"/>
    <w:rsid w:val="558A26B0"/>
    <w:rsid w:val="55A734CB"/>
    <w:rsid w:val="55DE5A31"/>
    <w:rsid w:val="55EC7130"/>
    <w:rsid w:val="55F66200"/>
    <w:rsid w:val="56004989"/>
    <w:rsid w:val="56397366"/>
    <w:rsid w:val="56821842"/>
    <w:rsid w:val="5683587B"/>
    <w:rsid w:val="56BA0FDC"/>
    <w:rsid w:val="56D71B8E"/>
    <w:rsid w:val="56EB73E7"/>
    <w:rsid w:val="56FD7377"/>
    <w:rsid w:val="570A5ABF"/>
    <w:rsid w:val="571B00C0"/>
    <w:rsid w:val="571E77BD"/>
    <w:rsid w:val="57323268"/>
    <w:rsid w:val="578A30A4"/>
    <w:rsid w:val="578C0BCA"/>
    <w:rsid w:val="57A24893"/>
    <w:rsid w:val="57AF48B9"/>
    <w:rsid w:val="57E502DB"/>
    <w:rsid w:val="57EE718F"/>
    <w:rsid w:val="58490869"/>
    <w:rsid w:val="58711B6E"/>
    <w:rsid w:val="587F428B"/>
    <w:rsid w:val="58BA3515"/>
    <w:rsid w:val="58BC3A0A"/>
    <w:rsid w:val="58BE1257"/>
    <w:rsid w:val="58FA6008"/>
    <w:rsid w:val="591A2206"/>
    <w:rsid w:val="5955323E"/>
    <w:rsid w:val="597A3BB3"/>
    <w:rsid w:val="5980475F"/>
    <w:rsid w:val="59C208D3"/>
    <w:rsid w:val="59C81C62"/>
    <w:rsid w:val="59CD1026"/>
    <w:rsid w:val="5A0C1B4F"/>
    <w:rsid w:val="5A113609"/>
    <w:rsid w:val="5A1F5D26"/>
    <w:rsid w:val="5A2C21F1"/>
    <w:rsid w:val="5A513A05"/>
    <w:rsid w:val="5A7F0572"/>
    <w:rsid w:val="5AAB580B"/>
    <w:rsid w:val="5B2555BE"/>
    <w:rsid w:val="5B2D4231"/>
    <w:rsid w:val="5B411CCC"/>
    <w:rsid w:val="5B6339F0"/>
    <w:rsid w:val="5B721E85"/>
    <w:rsid w:val="5B726329"/>
    <w:rsid w:val="5B773940"/>
    <w:rsid w:val="5BB66216"/>
    <w:rsid w:val="5BB73D3C"/>
    <w:rsid w:val="5BF62AB6"/>
    <w:rsid w:val="5C366DE5"/>
    <w:rsid w:val="5C480E38"/>
    <w:rsid w:val="5C621EFA"/>
    <w:rsid w:val="5C8C341B"/>
    <w:rsid w:val="5CCF43C6"/>
    <w:rsid w:val="5D0345E7"/>
    <w:rsid w:val="5D066D29"/>
    <w:rsid w:val="5D070A86"/>
    <w:rsid w:val="5D1C654D"/>
    <w:rsid w:val="5D323FC2"/>
    <w:rsid w:val="5D453F36"/>
    <w:rsid w:val="5D577585"/>
    <w:rsid w:val="5D5922A0"/>
    <w:rsid w:val="5D752101"/>
    <w:rsid w:val="5DA75D48"/>
    <w:rsid w:val="5DEF1EB3"/>
    <w:rsid w:val="5E5D506F"/>
    <w:rsid w:val="5ED30E8D"/>
    <w:rsid w:val="5ED74E21"/>
    <w:rsid w:val="5EF13A09"/>
    <w:rsid w:val="5F0674B4"/>
    <w:rsid w:val="5F5D2E4C"/>
    <w:rsid w:val="5F926F9A"/>
    <w:rsid w:val="5FA32F55"/>
    <w:rsid w:val="5FB07420"/>
    <w:rsid w:val="5FD56E87"/>
    <w:rsid w:val="5FE64BF0"/>
    <w:rsid w:val="5FFC2665"/>
    <w:rsid w:val="60196D73"/>
    <w:rsid w:val="60341DFF"/>
    <w:rsid w:val="603F7553"/>
    <w:rsid w:val="604C0EF7"/>
    <w:rsid w:val="60793CB6"/>
    <w:rsid w:val="6082700E"/>
    <w:rsid w:val="60A96349"/>
    <w:rsid w:val="60C45117"/>
    <w:rsid w:val="60E47381"/>
    <w:rsid w:val="6109503A"/>
    <w:rsid w:val="611F03B9"/>
    <w:rsid w:val="613D1187"/>
    <w:rsid w:val="614B38A4"/>
    <w:rsid w:val="616D085D"/>
    <w:rsid w:val="617B6173"/>
    <w:rsid w:val="61B551C2"/>
    <w:rsid w:val="61D2367E"/>
    <w:rsid w:val="61E11B13"/>
    <w:rsid w:val="61EB473F"/>
    <w:rsid w:val="61F335F4"/>
    <w:rsid w:val="62864468"/>
    <w:rsid w:val="628E2E55"/>
    <w:rsid w:val="629B43B7"/>
    <w:rsid w:val="62A87B74"/>
    <w:rsid w:val="62B12114"/>
    <w:rsid w:val="62D11B87"/>
    <w:rsid w:val="630F26B0"/>
    <w:rsid w:val="631321A0"/>
    <w:rsid w:val="63442359"/>
    <w:rsid w:val="637013A0"/>
    <w:rsid w:val="63D731CD"/>
    <w:rsid w:val="63DA0F0F"/>
    <w:rsid w:val="64025D70"/>
    <w:rsid w:val="640F6E0B"/>
    <w:rsid w:val="641F6922"/>
    <w:rsid w:val="64410F8F"/>
    <w:rsid w:val="64412D3D"/>
    <w:rsid w:val="648F5856"/>
    <w:rsid w:val="64D61014"/>
    <w:rsid w:val="65000502"/>
    <w:rsid w:val="65055B18"/>
    <w:rsid w:val="65222B6E"/>
    <w:rsid w:val="65346DA8"/>
    <w:rsid w:val="65404DA2"/>
    <w:rsid w:val="65510D5D"/>
    <w:rsid w:val="6569254B"/>
    <w:rsid w:val="6584182D"/>
    <w:rsid w:val="658C7FE7"/>
    <w:rsid w:val="659770B8"/>
    <w:rsid w:val="65BF216B"/>
    <w:rsid w:val="65D26342"/>
    <w:rsid w:val="65EE2A50"/>
    <w:rsid w:val="6603474E"/>
    <w:rsid w:val="6612673F"/>
    <w:rsid w:val="66154481"/>
    <w:rsid w:val="6621264F"/>
    <w:rsid w:val="664408C2"/>
    <w:rsid w:val="665C5C0C"/>
    <w:rsid w:val="6660394E"/>
    <w:rsid w:val="66815672"/>
    <w:rsid w:val="66CD4D5B"/>
    <w:rsid w:val="66EC3434"/>
    <w:rsid w:val="672D1356"/>
    <w:rsid w:val="672F1572"/>
    <w:rsid w:val="675863D3"/>
    <w:rsid w:val="67A1421E"/>
    <w:rsid w:val="67AC2BC3"/>
    <w:rsid w:val="67EF200D"/>
    <w:rsid w:val="68120C78"/>
    <w:rsid w:val="68356714"/>
    <w:rsid w:val="68760C27"/>
    <w:rsid w:val="68945B31"/>
    <w:rsid w:val="68AF4719"/>
    <w:rsid w:val="68C11AC8"/>
    <w:rsid w:val="69006D22"/>
    <w:rsid w:val="69112CDD"/>
    <w:rsid w:val="69344026"/>
    <w:rsid w:val="693E3CEF"/>
    <w:rsid w:val="695A0B28"/>
    <w:rsid w:val="69787200"/>
    <w:rsid w:val="697D65C5"/>
    <w:rsid w:val="6A072332"/>
    <w:rsid w:val="6A097153"/>
    <w:rsid w:val="6A607D3F"/>
    <w:rsid w:val="6A721EA2"/>
    <w:rsid w:val="6A8C2916"/>
    <w:rsid w:val="6A9A4F55"/>
    <w:rsid w:val="6AAE27AE"/>
    <w:rsid w:val="6AB62F2F"/>
    <w:rsid w:val="6ADE3093"/>
    <w:rsid w:val="6B07083C"/>
    <w:rsid w:val="6B170353"/>
    <w:rsid w:val="6B217424"/>
    <w:rsid w:val="6B4E48AF"/>
    <w:rsid w:val="6B601CFA"/>
    <w:rsid w:val="6B6932A5"/>
    <w:rsid w:val="6B7457A6"/>
    <w:rsid w:val="6B882FFF"/>
    <w:rsid w:val="6BEF307E"/>
    <w:rsid w:val="6BF16DF6"/>
    <w:rsid w:val="6C022DB1"/>
    <w:rsid w:val="6C315445"/>
    <w:rsid w:val="6C450EF0"/>
    <w:rsid w:val="6C492150"/>
    <w:rsid w:val="6C735A5D"/>
    <w:rsid w:val="6C9B157A"/>
    <w:rsid w:val="6CD7423E"/>
    <w:rsid w:val="6CF43042"/>
    <w:rsid w:val="6CFE7A1D"/>
    <w:rsid w:val="6D3A657B"/>
    <w:rsid w:val="6D3B47CD"/>
    <w:rsid w:val="6D45328D"/>
    <w:rsid w:val="6DA34120"/>
    <w:rsid w:val="6DAA54AF"/>
    <w:rsid w:val="6DB77BCC"/>
    <w:rsid w:val="6DC24EEE"/>
    <w:rsid w:val="6DF57072"/>
    <w:rsid w:val="6DF8446C"/>
    <w:rsid w:val="6E7D2BC3"/>
    <w:rsid w:val="6E82185F"/>
    <w:rsid w:val="6E82467D"/>
    <w:rsid w:val="6E8E4DD0"/>
    <w:rsid w:val="6EA84B60"/>
    <w:rsid w:val="6EA91C0A"/>
    <w:rsid w:val="6F1277AF"/>
    <w:rsid w:val="6F26770C"/>
    <w:rsid w:val="6F3911E0"/>
    <w:rsid w:val="6F834209"/>
    <w:rsid w:val="6FEC6252"/>
    <w:rsid w:val="70223A22"/>
    <w:rsid w:val="704A4D27"/>
    <w:rsid w:val="704E0CBB"/>
    <w:rsid w:val="70950698"/>
    <w:rsid w:val="70BA056A"/>
    <w:rsid w:val="70CB40BA"/>
    <w:rsid w:val="70DA254F"/>
    <w:rsid w:val="71072C18"/>
    <w:rsid w:val="71436346"/>
    <w:rsid w:val="716517E6"/>
    <w:rsid w:val="719941B8"/>
    <w:rsid w:val="71A5490B"/>
    <w:rsid w:val="71B44B4E"/>
    <w:rsid w:val="71C50B09"/>
    <w:rsid w:val="71D1650D"/>
    <w:rsid w:val="7205184D"/>
    <w:rsid w:val="7229553C"/>
    <w:rsid w:val="725D3437"/>
    <w:rsid w:val="72620A4E"/>
    <w:rsid w:val="72914E8F"/>
    <w:rsid w:val="72A9667D"/>
    <w:rsid w:val="72C25048"/>
    <w:rsid w:val="72C41543"/>
    <w:rsid w:val="72C619A7"/>
    <w:rsid w:val="732360E2"/>
    <w:rsid w:val="7335359A"/>
    <w:rsid w:val="733F25F6"/>
    <w:rsid w:val="73B24DCA"/>
    <w:rsid w:val="73E831D5"/>
    <w:rsid w:val="73EA0CFB"/>
    <w:rsid w:val="73EA2AA9"/>
    <w:rsid w:val="740A127E"/>
    <w:rsid w:val="7421183B"/>
    <w:rsid w:val="745919DD"/>
    <w:rsid w:val="745D70B1"/>
    <w:rsid w:val="747800B5"/>
    <w:rsid w:val="747E1443"/>
    <w:rsid w:val="748B71CF"/>
    <w:rsid w:val="74917121"/>
    <w:rsid w:val="74A40EAA"/>
    <w:rsid w:val="751C1388"/>
    <w:rsid w:val="752A799F"/>
    <w:rsid w:val="753F6E24"/>
    <w:rsid w:val="75422471"/>
    <w:rsid w:val="75956A44"/>
    <w:rsid w:val="75B45D10"/>
    <w:rsid w:val="760342F6"/>
    <w:rsid w:val="76116A13"/>
    <w:rsid w:val="76390CB0"/>
    <w:rsid w:val="763B5477"/>
    <w:rsid w:val="763C3364"/>
    <w:rsid w:val="765E32DA"/>
    <w:rsid w:val="76740D50"/>
    <w:rsid w:val="76A60936"/>
    <w:rsid w:val="76C021E7"/>
    <w:rsid w:val="76C577FD"/>
    <w:rsid w:val="76CA0970"/>
    <w:rsid w:val="770C2D36"/>
    <w:rsid w:val="77183DD1"/>
    <w:rsid w:val="771A36A5"/>
    <w:rsid w:val="7720323B"/>
    <w:rsid w:val="773109EF"/>
    <w:rsid w:val="775841CD"/>
    <w:rsid w:val="77752FD1"/>
    <w:rsid w:val="77B07B65"/>
    <w:rsid w:val="77BF5FFA"/>
    <w:rsid w:val="77E45A61"/>
    <w:rsid w:val="77EB6DF0"/>
    <w:rsid w:val="7826607A"/>
    <w:rsid w:val="78315B42"/>
    <w:rsid w:val="78424C0F"/>
    <w:rsid w:val="786A065C"/>
    <w:rsid w:val="78745037"/>
    <w:rsid w:val="78774B27"/>
    <w:rsid w:val="788306BD"/>
    <w:rsid w:val="788D2DA6"/>
    <w:rsid w:val="78C07FD1"/>
    <w:rsid w:val="78EF290F"/>
    <w:rsid w:val="795D5ACB"/>
    <w:rsid w:val="795E02D6"/>
    <w:rsid w:val="79654980"/>
    <w:rsid w:val="796E1A86"/>
    <w:rsid w:val="7972663B"/>
    <w:rsid w:val="79856DD0"/>
    <w:rsid w:val="799F60E4"/>
    <w:rsid w:val="79BF6786"/>
    <w:rsid w:val="79CF5C16"/>
    <w:rsid w:val="79D00993"/>
    <w:rsid w:val="79D7762B"/>
    <w:rsid w:val="7A181268"/>
    <w:rsid w:val="7A8A28F0"/>
    <w:rsid w:val="7A8D418E"/>
    <w:rsid w:val="7AE244DA"/>
    <w:rsid w:val="7AF73115"/>
    <w:rsid w:val="7AFB37ED"/>
    <w:rsid w:val="7AFD57B8"/>
    <w:rsid w:val="7B31720F"/>
    <w:rsid w:val="7B5B428C"/>
    <w:rsid w:val="7B9D2AF7"/>
    <w:rsid w:val="7BAB5214"/>
    <w:rsid w:val="7BDF0A19"/>
    <w:rsid w:val="7C23124E"/>
    <w:rsid w:val="7C52568F"/>
    <w:rsid w:val="7C63164A"/>
    <w:rsid w:val="7C6D071B"/>
    <w:rsid w:val="7C833A9B"/>
    <w:rsid w:val="7C8A0E47"/>
    <w:rsid w:val="7C8B294F"/>
    <w:rsid w:val="7C9712F4"/>
    <w:rsid w:val="7CA73C2D"/>
    <w:rsid w:val="7CE521C3"/>
    <w:rsid w:val="7CF80C65"/>
    <w:rsid w:val="7D0B583E"/>
    <w:rsid w:val="7D221505"/>
    <w:rsid w:val="7D43322A"/>
    <w:rsid w:val="7D6513F2"/>
    <w:rsid w:val="7D6733BC"/>
    <w:rsid w:val="7D68449D"/>
    <w:rsid w:val="7D9F4904"/>
    <w:rsid w:val="7DB639FC"/>
    <w:rsid w:val="7DD65233"/>
    <w:rsid w:val="7DD82C14"/>
    <w:rsid w:val="7E1352F2"/>
    <w:rsid w:val="7E260B81"/>
    <w:rsid w:val="7E370FE0"/>
    <w:rsid w:val="7E584AB3"/>
    <w:rsid w:val="7E797E6C"/>
    <w:rsid w:val="7E7F64E4"/>
    <w:rsid w:val="7ED54355"/>
    <w:rsid w:val="7EF50554"/>
    <w:rsid w:val="7F364DF4"/>
    <w:rsid w:val="7F3E014D"/>
    <w:rsid w:val="7F4C0ABC"/>
    <w:rsid w:val="7F7818B1"/>
    <w:rsid w:val="7FE900B8"/>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3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1"/>
    <w:pPr>
      <w:ind w:left="156"/>
      <w:jc w:val="center"/>
      <w:outlineLvl w:val="3"/>
    </w:pPr>
    <w:rPr>
      <w:rFonts w:ascii="微软雅黑" w:hAnsi="微软雅黑" w:eastAsia="微软雅黑" w:cs="微软雅黑"/>
      <w:sz w:val="32"/>
      <w:szCs w:val="32"/>
      <w:lang w:val="zh-CN" w:eastAsia="zh-CN" w:bidi="zh-CN"/>
    </w:rPr>
  </w:style>
  <w:style w:type="paragraph" w:styleId="8">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360" w:lineRule="auto"/>
      <w:ind w:firstLine="570"/>
    </w:pPr>
    <w:rPr>
      <w:sz w:val="24"/>
    </w:rPr>
  </w:style>
  <w:style w:type="paragraph" w:styleId="9">
    <w:name w:val="table of authorities"/>
    <w:basedOn w:val="1"/>
    <w:next w:val="1"/>
    <w:qFormat/>
    <w:uiPriority w:val="0"/>
    <w:pPr>
      <w:ind w:left="420" w:leftChars="200"/>
    </w:pPr>
  </w:style>
  <w:style w:type="paragraph" w:styleId="10">
    <w:name w:val="index 8"/>
    <w:basedOn w:val="1"/>
    <w:next w:val="1"/>
    <w:qFormat/>
    <w:uiPriority w:val="0"/>
    <w:pPr>
      <w:ind w:left="1400" w:leftChars="1400"/>
    </w:pPr>
    <w:rPr>
      <w:rFonts w:ascii="Times New Roman" w:hAnsi="Times New Roman"/>
      <w:szCs w:val="18"/>
    </w:rPr>
  </w:style>
  <w:style w:type="paragraph" w:styleId="11">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12">
    <w:name w:val="index 5"/>
    <w:basedOn w:val="1"/>
    <w:next w:val="1"/>
    <w:qFormat/>
    <w:uiPriority w:val="2"/>
    <w:pPr>
      <w:ind w:left="1680"/>
    </w:pPr>
  </w:style>
  <w:style w:type="paragraph" w:styleId="13">
    <w:name w:val="toa heading"/>
    <w:basedOn w:val="1"/>
    <w:next w:val="1"/>
    <w:unhideWhenUsed/>
    <w:qFormat/>
    <w:uiPriority w:val="99"/>
    <w:pPr>
      <w:spacing w:before="120" w:beforeLines="0"/>
    </w:pPr>
    <w:rPr>
      <w:rFonts w:ascii="Cambria" w:hAnsi="Cambria" w:cs="Times New Roman"/>
      <w:sz w:val="24"/>
      <w:szCs w:val="24"/>
    </w:rPr>
  </w:style>
  <w:style w:type="paragraph" w:styleId="14">
    <w:name w:val="annotation text"/>
    <w:basedOn w:val="1"/>
    <w:qFormat/>
    <w:uiPriority w:val="0"/>
    <w:pPr>
      <w:jc w:val="left"/>
    </w:pPr>
  </w:style>
  <w:style w:type="paragraph" w:styleId="15">
    <w:name w:val="Body Text"/>
    <w:basedOn w:val="1"/>
    <w:semiHidden/>
    <w:qFormat/>
    <w:uiPriority w:val="0"/>
    <w:rPr>
      <w:rFonts w:ascii="宋体" w:hAnsi="宋体" w:eastAsia="宋体" w:cs="宋体"/>
      <w:sz w:val="29"/>
      <w:szCs w:val="29"/>
      <w:lang w:val="en-US" w:eastAsia="en-US" w:bidi="ar-SA"/>
    </w:rPr>
  </w:style>
  <w:style w:type="paragraph" w:styleId="16">
    <w:name w:val="toc 3"/>
    <w:basedOn w:val="1"/>
    <w:next w:val="1"/>
    <w:qFormat/>
    <w:uiPriority w:val="0"/>
    <w:pPr>
      <w:ind w:left="840" w:leftChars="400"/>
    </w:pPr>
  </w:style>
  <w:style w:type="paragraph" w:styleId="17">
    <w:name w:val="Plain Text"/>
    <w:basedOn w:val="1"/>
    <w:next w:val="11"/>
    <w:qFormat/>
    <w:uiPriority w:val="0"/>
    <w:rPr>
      <w:rFonts w:ascii="宋体" w:hAnsi="Courier New"/>
      <w:szCs w:val="20"/>
    </w:rPr>
  </w:style>
  <w:style w:type="paragraph" w:styleId="18">
    <w:name w:val="Body Text Indent 2"/>
    <w:basedOn w:val="1"/>
    <w:qFormat/>
    <w:uiPriority w:val="0"/>
    <w:pPr>
      <w:spacing w:after="120" w:afterLines="0" w:line="480" w:lineRule="auto"/>
      <w:ind w:left="420" w:leftChars="200"/>
    </w:pPr>
  </w:style>
  <w:style w:type="paragraph" w:styleId="1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basedOn w:val="1"/>
    <w:next w:val="1"/>
    <w:link w:val="53"/>
    <w:qFormat/>
    <w:uiPriority w:val="0"/>
    <w:pPr>
      <w:wordWrap w:val="0"/>
      <w:spacing w:after="60"/>
      <w:jc w:val="center"/>
    </w:pPr>
    <w:rPr>
      <w:rFonts w:ascii="Calibri" w:hAnsi="Calibri" w:eastAsia="宋体" w:cs="Times New Roman"/>
      <w:sz w:val="24"/>
      <w:lang w:val="en-US" w:eastAsia="zh-CN" w:bidi="ar-SA"/>
    </w:rPr>
  </w:style>
  <w:style w:type="paragraph" w:styleId="23">
    <w:name w:val="List"/>
    <w:basedOn w:val="1"/>
    <w:unhideWhenUsed/>
    <w:qFormat/>
    <w:uiPriority w:val="99"/>
    <w:pPr>
      <w:ind w:left="200" w:hanging="200" w:hangingChars="200"/>
      <w:contextualSpacing/>
    </w:pPr>
  </w:style>
  <w:style w:type="paragraph" w:styleId="24">
    <w:name w:val="footnote text"/>
    <w:basedOn w:val="1"/>
    <w:next w:val="15"/>
    <w:qFormat/>
    <w:uiPriority w:val="0"/>
    <w:pPr>
      <w:snapToGrid w:val="0"/>
      <w:jc w:val="left"/>
    </w:pPr>
    <w:rPr>
      <w:sz w:val="18"/>
    </w:rPr>
  </w:style>
  <w:style w:type="paragraph" w:styleId="25">
    <w:name w:val="toc 6"/>
    <w:basedOn w:val="1"/>
    <w:next w:val="1"/>
    <w:qFormat/>
    <w:uiPriority w:val="39"/>
    <w:pPr>
      <w:ind w:left="2100" w:leftChars="1000"/>
    </w:pPr>
  </w:style>
  <w:style w:type="paragraph" w:styleId="26">
    <w:name w:val="toc 2"/>
    <w:basedOn w:val="1"/>
    <w:next w:val="1"/>
    <w:qFormat/>
    <w:uiPriority w:val="0"/>
    <w:pPr>
      <w:ind w:left="420" w:leftChars="200"/>
    </w:pPr>
  </w:style>
  <w:style w:type="paragraph" w:styleId="27">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28">
    <w:name w:val="Title"/>
    <w:basedOn w:val="1"/>
    <w:next w:val="1"/>
    <w:link w:val="52"/>
    <w:qFormat/>
    <w:uiPriority w:val="10"/>
    <w:pPr>
      <w:spacing w:before="60" w:after="60"/>
      <w:jc w:val="center"/>
      <w:outlineLvl w:val="0"/>
    </w:pPr>
    <w:rPr>
      <w:rFonts w:ascii="Cambria" w:hAnsi="Cambria" w:cs="Times New Roman"/>
      <w:b/>
      <w:bCs/>
      <w:szCs w:val="32"/>
    </w:rPr>
  </w:style>
  <w:style w:type="paragraph" w:styleId="29">
    <w:name w:val="Body Text First Indent"/>
    <w:basedOn w:val="15"/>
    <w:next w:val="1"/>
    <w:qFormat/>
    <w:uiPriority w:val="99"/>
    <w:pPr>
      <w:spacing w:after="120"/>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Hyperlink"/>
    <w:basedOn w:val="32"/>
    <w:qFormat/>
    <w:uiPriority w:val="0"/>
    <w:rPr>
      <w:color w:val="0000FF"/>
      <w:u w:val="single"/>
    </w:rPr>
  </w:style>
  <w:style w:type="character" w:styleId="35">
    <w:name w:val="annotation reference"/>
    <w:qFormat/>
    <w:uiPriority w:val="0"/>
    <w:rPr>
      <w:rFonts w:cs="Times New Roman"/>
      <w:sz w:val="21"/>
      <w:szCs w:val="21"/>
    </w:rPr>
  </w:style>
  <w:style w:type="paragraph" w:customStyle="1" w:styleId="36">
    <w:name w:val="正文样式"/>
    <w:basedOn w:val="1"/>
    <w:qFormat/>
    <w:uiPriority w:val="0"/>
    <w:pPr>
      <w:ind w:firstLine="480" w:firstLineChars="200"/>
    </w:pPr>
  </w:style>
  <w:style w:type="paragraph" w:customStyle="1" w:styleId="37">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8">
    <w:name w:val="标题 3 Char"/>
    <w:link w:val="6"/>
    <w:autoRedefine/>
    <w:qFormat/>
    <w:uiPriority w:val="0"/>
    <w:rPr>
      <w:rFonts w:ascii="宋体"/>
      <w:b/>
      <w:kern w:val="0"/>
      <w:sz w:val="24"/>
      <w:szCs w:val="20"/>
      <w:u w:val="singl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autoRedefine/>
    <w:semiHidden/>
    <w:qFormat/>
    <w:uiPriority w:val="0"/>
    <w:rPr>
      <w:rFonts w:ascii="Arial" w:hAnsi="Arial" w:eastAsia="Arial" w:cs="Arial"/>
      <w:sz w:val="21"/>
      <w:szCs w:val="21"/>
      <w:lang w:val="en-US" w:eastAsia="en-US" w:bidi="ar-SA"/>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 w:type="paragraph" w:customStyle="1" w:styleId="44">
    <w:name w:val="null3"/>
    <w:hidden/>
    <w:qFormat/>
    <w:uiPriority w:val="0"/>
    <w:rPr>
      <w:rFonts w:hint="eastAsia" w:asciiTheme="minorHAnsi" w:hAnsiTheme="minorHAnsi" w:eastAsiaTheme="minorEastAsia" w:cstheme="minorBidi"/>
      <w:lang w:val="en-US" w:eastAsia="zh-Hans"/>
    </w:rPr>
  </w:style>
  <w:style w:type="character" w:customStyle="1" w:styleId="45">
    <w:name w:val="font31"/>
    <w:basedOn w:val="32"/>
    <w:qFormat/>
    <w:uiPriority w:val="0"/>
    <w:rPr>
      <w:rFonts w:hint="eastAsia" w:ascii="宋体" w:hAnsi="宋体" w:eastAsia="宋体" w:cs="宋体"/>
      <w:color w:val="000000"/>
      <w:sz w:val="16"/>
      <w:szCs w:val="16"/>
      <w:u w:val="none"/>
    </w:rPr>
  </w:style>
  <w:style w:type="character" w:customStyle="1" w:styleId="46">
    <w:name w:val="font11"/>
    <w:basedOn w:val="32"/>
    <w:qFormat/>
    <w:uiPriority w:val="0"/>
    <w:rPr>
      <w:rFonts w:hint="default" w:ascii="Tahoma" w:hAnsi="Tahoma" w:eastAsia="Tahoma" w:cs="Tahoma"/>
      <w:color w:val="000000"/>
      <w:sz w:val="16"/>
      <w:szCs w:val="16"/>
      <w:u w:val="none"/>
    </w:rPr>
  </w:style>
  <w:style w:type="character" w:customStyle="1" w:styleId="47">
    <w:name w:val="font41"/>
    <w:basedOn w:val="32"/>
    <w:qFormat/>
    <w:uiPriority w:val="0"/>
    <w:rPr>
      <w:rFonts w:hint="eastAsia" w:ascii="宋体" w:hAnsi="宋体" w:eastAsia="宋体" w:cs="宋体"/>
      <w:color w:val="000000"/>
      <w:sz w:val="16"/>
      <w:szCs w:val="16"/>
      <w:u w:val="none"/>
    </w:rPr>
  </w:style>
  <w:style w:type="paragraph" w:customStyle="1" w:styleId="48">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9">
    <w:name w:val="_Style 6"/>
    <w:basedOn w:val="4"/>
    <w:next w:val="1"/>
    <w:qFormat/>
    <w:uiPriority w:val="0"/>
    <w:pPr>
      <w:widowControl w:val="0"/>
      <w:spacing w:line="576" w:lineRule="auto"/>
      <w:jc w:val="both"/>
      <w:outlineLvl w:val="9"/>
    </w:pPr>
    <w:rPr>
      <w:rFonts w:ascii="Calibri" w:hAnsi="Calibri" w:cs="Times New Roman"/>
    </w:rPr>
  </w:style>
  <w:style w:type="paragraph" w:customStyle="1" w:styleId="50">
    <w:name w:val="p0"/>
    <w:basedOn w:val="1"/>
    <w:qFormat/>
    <w:uiPriority w:val="0"/>
    <w:pPr>
      <w:jc w:val="both"/>
    </w:pPr>
    <w:rPr>
      <w:rFonts w:ascii="Times New Roman" w:hAnsi="Times New Roman" w:cs="Times New Roman"/>
      <w:sz w:val="21"/>
      <w:szCs w:val="21"/>
    </w:rPr>
  </w:style>
  <w:style w:type="character" w:customStyle="1" w:styleId="51">
    <w:name w:val="15"/>
    <w:qFormat/>
    <w:uiPriority w:val="0"/>
    <w:rPr>
      <w:rFonts w:hint="default" w:ascii="Times New Roman" w:hAnsi="Times New Roman" w:cs="Times New Roman"/>
      <w:color w:val="464445"/>
      <w:u w:val="none"/>
    </w:rPr>
  </w:style>
  <w:style w:type="character" w:customStyle="1" w:styleId="52">
    <w:name w:val="标题 Char"/>
    <w:link w:val="28"/>
    <w:qFormat/>
    <w:uiPriority w:val="10"/>
    <w:rPr>
      <w:rFonts w:ascii="Cambria" w:hAnsi="Cambria" w:cs="Times New Roman"/>
      <w:b/>
      <w:bCs/>
      <w:szCs w:val="32"/>
    </w:rPr>
  </w:style>
  <w:style w:type="character" w:customStyle="1" w:styleId="53">
    <w:name w:val="副标题 Char"/>
    <w:basedOn w:val="32"/>
    <w:link w:val="22"/>
    <w:qFormat/>
    <w:uiPriority w:val="11"/>
    <w:rPr>
      <w:rFonts w:ascii="Calibri" w:hAnsi="Calibri" w:eastAsia="宋体" w:cs="Times New Roman"/>
      <w:sz w:val="24"/>
      <w:lang w:val="en-US" w:eastAsia="zh-CN" w:bidi="ar-SA"/>
    </w:rPr>
  </w:style>
  <w:style w:type="paragraph" w:customStyle="1" w:styleId="54">
    <w:name w:val="TOC 标题"/>
    <w:basedOn w:val="4"/>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15991</Words>
  <Characters>16690</Characters>
  <Lines>0</Lines>
  <Paragraphs>0</Paragraphs>
  <TotalTime>79</TotalTime>
  <ScaleCrop>false</ScaleCrop>
  <LinksUpToDate>false</LinksUpToDate>
  <CharactersWithSpaces>18852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2024-05-25T02:00:00Z</dcterms:created>
  <dc:creator>❤️轨迹</dc:creator>
  <cp:lastModifiedBy>❤️轨迹</cp:lastModifiedBy>
  <cp:lastPrinted>2025-04-02T15:55:00Z</cp:lastPrinted>
  <dcterms:modified xsi:type="dcterms:W3CDTF">2026-04-24T12:16:02Z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2CCCD53CAB98483DBDA9D8AED27B21FE_13</vt:lpwstr>
  </property>
  <property fmtid="{D5CDD505-2E9C-101B-9397-08002B2CF9AE}" pid="4" name="KSOTemplateDocerSaveRecord">
    <vt:lpwstr>eyJoZGlkIjoiZDE4NmI0NzY3ZmYyMzMxYTJhNzVhM2RmMmIxZjQxYTciLCJ1c2VySWQiOiI2MTg4MzE0NDQifQ==</vt:lpwstr>
  </property>
</Properties>
</file>