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4F7D5">
      <w:pPr>
        <w:tabs>
          <w:tab w:val="center" w:pos="4509"/>
        </w:tabs>
        <w:spacing w:line="700" w:lineRule="exact"/>
        <w:jc w:val="center"/>
        <w:outlineLvl w:val="0"/>
        <w:rPr>
          <w:rFonts w:hint="eastAsia" w:ascii="宋体" w:hAnsi="宋体" w:eastAsia="宋体" w:cs="宋体"/>
          <w:b/>
          <w:bCs/>
          <w:color w:val="000000" w:themeColor="text1"/>
          <w:spacing w:val="7"/>
          <w:sz w:val="52"/>
          <w:szCs w:val="52"/>
          <w:highlight w:val="none"/>
          <w:lang w:eastAsia="zh-CN"/>
          <w14:textFill>
            <w14:solidFill>
              <w14:schemeClr w14:val="tx1"/>
            </w14:solidFill>
          </w14:textFill>
        </w:rPr>
      </w:pPr>
      <w:bookmarkStart w:id="0" w:name="_Toc20587"/>
      <w:bookmarkStart w:id="1" w:name="_Toc1386"/>
      <w:bookmarkStart w:id="2" w:name="_Toc21910"/>
      <w:r>
        <w:rPr>
          <w:rFonts w:hint="eastAsia" w:ascii="宋体" w:hAnsi="宋体" w:cs="宋体"/>
          <w:b/>
          <w:bCs/>
          <w:color w:val="000000" w:themeColor="text1"/>
          <w:spacing w:val="7"/>
          <w:sz w:val="52"/>
          <w:szCs w:val="52"/>
          <w:highlight w:val="none"/>
          <w:lang w:eastAsia="zh-CN"/>
          <w14:textFill>
            <w14:solidFill>
              <w14:schemeClr w14:val="tx1"/>
            </w14:solidFill>
          </w14:textFill>
        </w:rPr>
        <w:t>新疆哈密市伊吾县淖毛湖镇基础设施配套建设项目-工程材料检测服务</w:t>
      </w:r>
      <w:bookmarkEnd w:id="0"/>
      <w:bookmarkEnd w:id="1"/>
      <w:bookmarkEnd w:id="2"/>
    </w:p>
    <w:p w14:paraId="7E42500D">
      <w:pPr>
        <w:pStyle w:val="8"/>
        <w:spacing w:line="273" w:lineRule="auto"/>
        <w:rPr>
          <w:rFonts w:hint="eastAsia" w:ascii="宋体" w:hAnsi="宋体" w:eastAsia="宋体" w:cs="宋体"/>
          <w:color w:val="000000" w:themeColor="text1"/>
          <w:highlight w:val="none"/>
          <w14:textFill>
            <w14:solidFill>
              <w14:schemeClr w14:val="tx1"/>
            </w14:solidFill>
          </w14:textFill>
        </w:rPr>
      </w:pPr>
    </w:p>
    <w:p w14:paraId="0DA859E1">
      <w:pPr>
        <w:pStyle w:val="8"/>
        <w:spacing w:line="273" w:lineRule="auto"/>
        <w:rPr>
          <w:rFonts w:hint="eastAsia" w:ascii="宋体" w:hAnsi="宋体" w:eastAsia="宋体" w:cs="宋体"/>
          <w:color w:val="000000" w:themeColor="text1"/>
          <w:highlight w:val="none"/>
          <w14:textFill>
            <w14:solidFill>
              <w14:schemeClr w14:val="tx1"/>
            </w14:solidFill>
          </w14:textFill>
        </w:rPr>
      </w:pPr>
    </w:p>
    <w:p w14:paraId="4B5FBAF8">
      <w:pPr>
        <w:spacing w:before="231" w:line="222" w:lineRule="auto"/>
        <w:ind w:firstLine="1422" w:firstLineChars="200"/>
        <w:jc w:val="both"/>
        <w:outlineLvl w:val="0"/>
        <w:rPr>
          <w:rFonts w:hint="eastAsia" w:ascii="宋体" w:hAnsi="宋体" w:eastAsia="宋体" w:cs="宋体"/>
          <w:b/>
          <w:bCs/>
          <w:color w:val="000000" w:themeColor="text1"/>
          <w:spacing w:val="-1"/>
          <w:sz w:val="71"/>
          <w:szCs w:val="71"/>
          <w:highlight w:val="none"/>
          <w14:textFill>
            <w14:solidFill>
              <w14:schemeClr w14:val="tx1"/>
            </w14:solidFill>
          </w14:textFill>
        </w:rPr>
      </w:pPr>
      <w:bookmarkStart w:id="3" w:name="_Toc8829"/>
      <w:bookmarkStart w:id="4" w:name="_Toc5385"/>
      <w:bookmarkStart w:id="5" w:name="_Toc19872"/>
      <w:bookmarkStart w:id="6" w:name="_Toc16917"/>
      <w:bookmarkStart w:id="7" w:name="_Toc19851"/>
      <w:bookmarkStart w:id="8" w:name="_Toc22972"/>
      <w:bookmarkStart w:id="9" w:name="_Toc16860"/>
      <w:bookmarkStart w:id="10" w:name="_Toc17885"/>
      <w:r>
        <w:rPr>
          <w:rFonts w:hint="eastAsia" w:ascii="宋体" w:hAnsi="宋体" w:eastAsia="宋体" w:cs="宋体"/>
          <w:b/>
          <w:bCs/>
          <w:color w:val="000000" w:themeColor="text1"/>
          <w:spacing w:val="-1"/>
          <w:sz w:val="71"/>
          <w:szCs w:val="71"/>
          <w:highlight w:val="none"/>
          <w14:textFill>
            <w14:solidFill>
              <w14:schemeClr w14:val="tx1"/>
            </w14:solidFill>
          </w14:textFill>
        </w:rPr>
        <w:t>竞争性磋商文件</w:t>
      </w:r>
      <w:bookmarkEnd w:id="3"/>
      <w:bookmarkEnd w:id="4"/>
      <w:bookmarkEnd w:id="5"/>
      <w:bookmarkEnd w:id="6"/>
      <w:bookmarkEnd w:id="7"/>
      <w:bookmarkEnd w:id="8"/>
      <w:bookmarkEnd w:id="9"/>
      <w:bookmarkEnd w:id="10"/>
    </w:p>
    <w:p w14:paraId="348791D5">
      <w:pPr>
        <w:pStyle w:val="3"/>
        <w:rPr>
          <w:rFonts w:hint="eastAsia" w:ascii="宋体" w:hAnsi="宋体" w:eastAsia="宋体" w:cs="宋体"/>
          <w:color w:val="000000" w:themeColor="text1"/>
          <w:highlight w:val="none"/>
          <w14:textFill>
            <w14:solidFill>
              <w14:schemeClr w14:val="tx1"/>
            </w14:solidFill>
          </w14:textFill>
        </w:rPr>
      </w:pPr>
    </w:p>
    <w:p w14:paraId="7D4674D4">
      <w:pPr>
        <w:spacing w:line="225" w:lineRule="auto"/>
        <w:rPr>
          <w:rFonts w:hint="eastAsia" w:ascii="宋体" w:hAnsi="宋体" w:eastAsia="宋体" w:cs="宋体"/>
          <w:color w:val="000000" w:themeColor="text1"/>
          <w:sz w:val="31"/>
          <w:szCs w:val="31"/>
          <w:highlight w:val="none"/>
          <w14:textFill>
            <w14:solidFill>
              <w14:schemeClr w14:val="tx1"/>
            </w14:solidFill>
          </w14:textFill>
        </w:rPr>
      </w:pPr>
    </w:p>
    <w:p w14:paraId="4ED9555A">
      <w:pPr>
        <w:tabs>
          <w:tab w:val="center" w:pos="4509"/>
        </w:tabs>
        <w:spacing w:line="700" w:lineRule="exact"/>
        <w:ind w:firstLine="671" w:firstLineChars="200"/>
        <w:outlineLvl w:val="0"/>
        <w:rPr>
          <w:rFonts w:hint="eastAsia" w:ascii="宋体" w:hAnsi="宋体" w:cs="宋体"/>
          <w:b/>
          <w:bCs/>
          <w:color w:val="000000" w:themeColor="text1"/>
          <w:spacing w:val="7"/>
          <w:sz w:val="32"/>
          <w:szCs w:val="32"/>
          <w:highlight w:val="none"/>
          <w:lang w:val="en-US" w:eastAsia="zh-CN"/>
          <w14:textFill>
            <w14:solidFill>
              <w14:schemeClr w14:val="tx1"/>
            </w14:solidFill>
          </w14:textFill>
        </w:rPr>
      </w:pPr>
      <w:bookmarkStart w:id="11" w:name="_Toc25250"/>
      <w:bookmarkStart w:id="12" w:name="_Toc8520"/>
      <w:bookmarkStart w:id="13" w:name="_Toc30658"/>
      <w:bookmarkStart w:id="14" w:name="_Toc25640"/>
      <w:bookmarkStart w:id="15" w:name="_Toc12664"/>
      <w:bookmarkStart w:id="16" w:name="_Toc15487"/>
      <w:bookmarkStart w:id="17" w:name="_Toc8072"/>
      <w:bookmarkStart w:id="18" w:name="_Toc8345"/>
      <w:bookmarkStart w:id="19" w:name="_Toc28409"/>
      <w:bookmarkStart w:id="20" w:name="_Toc30354"/>
      <w:bookmarkStart w:id="21" w:name="_Toc17870"/>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t>项目编号：</w:t>
      </w:r>
      <w:bookmarkEnd w:id="11"/>
      <w:bookmarkEnd w:id="12"/>
      <w:bookmarkEnd w:id="13"/>
      <w:bookmarkStart w:id="22" w:name="_Toc29800"/>
      <w:bookmarkStart w:id="23" w:name="_Toc22213"/>
      <w:bookmarkStart w:id="24" w:name="_Toc7727"/>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fldChar w:fldCharType="begin"/>
      </w:r>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instrText xml:space="preserve"> HYPERLINK "https://www.zcygov.cn/project-center/_procurement_/project-result-detail/7268869048822661174?utm=web-project-center-front.42c12ca3.0.0.2105c180218f11ef852f9d57cc4bcfd0" \t "https://www.zcygov.cn/project-center/_procurement_/self-project/_blank" </w:instrText>
      </w:r>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fldChar w:fldCharType="separate"/>
      </w:r>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t>202</w:t>
      </w:r>
      <w:r>
        <w:rPr>
          <w:rFonts w:hint="eastAsia" w:ascii="宋体" w:hAnsi="宋体" w:eastAsia="宋体" w:cs="宋体"/>
          <w:b/>
          <w:bCs/>
          <w:color w:val="000000" w:themeColor="text1"/>
          <w:spacing w:val="7"/>
          <w:sz w:val="32"/>
          <w:szCs w:val="32"/>
          <w:highlight w:val="none"/>
          <w:lang w:val="en-US" w:eastAsia="zh-CN"/>
          <w14:textFill>
            <w14:solidFill>
              <w14:schemeClr w14:val="tx1"/>
            </w14:solidFill>
          </w14:textFill>
        </w:rPr>
        <w:t>6</w:t>
      </w:r>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t>-XJXZ-</w:t>
      </w:r>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fldChar w:fldCharType="end"/>
      </w:r>
      <w:bookmarkEnd w:id="14"/>
      <w:r>
        <w:rPr>
          <w:rFonts w:hint="eastAsia" w:ascii="宋体" w:hAnsi="宋体" w:eastAsia="宋体" w:cs="宋体"/>
          <w:b/>
          <w:bCs/>
          <w:color w:val="000000" w:themeColor="text1"/>
          <w:spacing w:val="7"/>
          <w:sz w:val="32"/>
          <w:szCs w:val="32"/>
          <w:highlight w:val="none"/>
          <w:lang w:val="en-US" w:eastAsia="zh-CN"/>
          <w14:textFill>
            <w14:solidFill>
              <w14:schemeClr w14:val="tx1"/>
            </w14:solidFill>
          </w14:textFill>
        </w:rPr>
        <w:t>030</w:t>
      </w:r>
      <w:bookmarkEnd w:id="15"/>
      <w:bookmarkEnd w:id="16"/>
      <w:bookmarkEnd w:id="17"/>
      <w:bookmarkEnd w:id="18"/>
      <w:bookmarkStart w:id="25" w:name="_Toc16844"/>
      <w:bookmarkStart w:id="26" w:name="_Toc4693"/>
      <w:bookmarkStart w:id="27" w:name="_Toc7117"/>
      <w:bookmarkStart w:id="28" w:name="_Toc1692"/>
      <w:bookmarkStart w:id="29" w:name="_Toc3431"/>
      <w:r>
        <w:rPr>
          <w:rFonts w:hint="eastAsia" w:ascii="宋体" w:hAnsi="宋体" w:cs="宋体"/>
          <w:b/>
          <w:bCs/>
          <w:color w:val="000000" w:themeColor="text1"/>
          <w:spacing w:val="7"/>
          <w:sz w:val="32"/>
          <w:szCs w:val="32"/>
          <w:highlight w:val="none"/>
          <w:lang w:val="en-US" w:eastAsia="zh-CN"/>
          <w14:textFill>
            <w14:solidFill>
              <w14:schemeClr w14:val="tx1"/>
            </w14:solidFill>
          </w14:textFill>
        </w:rPr>
        <w:t>3</w:t>
      </w:r>
      <w:bookmarkEnd w:id="19"/>
      <w:bookmarkEnd w:id="20"/>
      <w:bookmarkEnd w:id="21"/>
    </w:p>
    <w:p w14:paraId="41841FC5">
      <w:pPr>
        <w:tabs>
          <w:tab w:val="center" w:pos="4509"/>
        </w:tabs>
        <w:spacing w:line="700" w:lineRule="exact"/>
        <w:ind w:firstLine="671" w:firstLineChars="200"/>
        <w:outlineLvl w:val="0"/>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pPr>
      <w:bookmarkStart w:id="30" w:name="_Toc3425"/>
      <w:bookmarkStart w:id="31" w:name="_Toc22027"/>
      <w:bookmarkStart w:id="32" w:name="_Toc31920"/>
      <w:r>
        <w:rPr>
          <w:rFonts w:hint="eastAsia" w:ascii="宋体" w:hAnsi="宋体" w:cs="宋体"/>
          <w:b/>
          <w:bCs/>
          <w:color w:val="000000" w:themeColor="text1"/>
          <w:spacing w:val="7"/>
          <w:sz w:val="32"/>
          <w:szCs w:val="32"/>
          <w:highlight w:val="none"/>
          <w:lang w:val="en-US" w:eastAsia="zh-CN"/>
          <w14:textFill>
            <w14:solidFill>
              <w14:schemeClr w14:val="tx1"/>
            </w14:solidFill>
          </w14:textFill>
        </w:rPr>
        <w:t>采 购 人</w:t>
      </w:r>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t>：伊吾县淖毛湖镇人民政府(盖章)</w:t>
      </w:r>
      <w:bookmarkEnd w:id="22"/>
      <w:bookmarkEnd w:id="23"/>
      <w:bookmarkEnd w:id="25"/>
      <w:bookmarkEnd w:id="26"/>
      <w:bookmarkEnd w:id="27"/>
      <w:bookmarkEnd w:id="28"/>
      <w:bookmarkEnd w:id="29"/>
      <w:bookmarkEnd w:id="30"/>
      <w:bookmarkEnd w:id="31"/>
      <w:bookmarkEnd w:id="32"/>
    </w:p>
    <w:p w14:paraId="75B6D626">
      <w:pPr>
        <w:tabs>
          <w:tab w:val="center" w:pos="4509"/>
        </w:tabs>
        <w:spacing w:line="700" w:lineRule="exact"/>
        <w:ind w:firstLine="671" w:firstLineChars="200"/>
        <w:outlineLvl w:val="0"/>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pPr>
      <w:bookmarkStart w:id="33" w:name="_Toc10673"/>
      <w:bookmarkStart w:id="34" w:name="_Toc19710"/>
      <w:bookmarkStart w:id="35" w:name="_Toc703"/>
      <w:bookmarkStart w:id="36" w:name="_Toc16452"/>
      <w:bookmarkStart w:id="37" w:name="_Toc9882"/>
      <w:bookmarkStart w:id="38" w:name="_Toc26566"/>
      <w:bookmarkStart w:id="39" w:name="_Toc10871"/>
      <w:bookmarkStart w:id="40" w:name="_Toc1084"/>
      <w:r>
        <w:rPr>
          <w:rFonts w:hint="eastAsia" w:ascii="宋体" w:hAnsi="宋体" w:eastAsia="宋体" w:cs="宋体"/>
          <w:b/>
          <w:bCs/>
          <w:color w:val="000000" w:themeColor="text1"/>
          <w:spacing w:val="7"/>
          <w:sz w:val="32"/>
          <w:szCs w:val="32"/>
          <w:highlight w:val="none"/>
          <w:lang w:val="en-US" w:eastAsia="zh-CN"/>
          <w14:textFill>
            <w14:solidFill>
              <w14:schemeClr w14:val="tx1"/>
            </w14:solidFill>
          </w14:textFill>
        </w:rPr>
        <w:t>联系地址：</w:t>
      </w:r>
      <w:bookmarkEnd w:id="33"/>
      <w:bookmarkStart w:id="41" w:name="_Toc28730"/>
      <w:r>
        <w:rPr>
          <w:rFonts w:hint="eastAsia" w:ascii="宋体" w:hAnsi="宋体" w:eastAsia="宋体" w:cs="宋体"/>
          <w:b/>
          <w:bCs/>
          <w:color w:val="000000" w:themeColor="text1"/>
          <w:spacing w:val="7"/>
          <w:sz w:val="32"/>
          <w:szCs w:val="32"/>
          <w:highlight w:val="none"/>
          <w:lang w:eastAsia="zh-CN"/>
          <w14:textFill>
            <w14:solidFill>
              <w14:schemeClr w14:val="tx1"/>
            </w14:solidFill>
          </w14:textFill>
        </w:rPr>
        <w:t>淖毛湖镇幸福西路790号</w:t>
      </w:r>
      <w:bookmarkEnd w:id="34"/>
      <w:bookmarkEnd w:id="35"/>
      <w:bookmarkEnd w:id="36"/>
      <w:bookmarkEnd w:id="37"/>
      <w:bookmarkEnd w:id="38"/>
      <w:bookmarkEnd w:id="39"/>
      <w:bookmarkEnd w:id="40"/>
    </w:p>
    <w:p w14:paraId="5936D6E1">
      <w:pPr>
        <w:tabs>
          <w:tab w:val="center" w:pos="4509"/>
        </w:tabs>
        <w:spacing w:line="700" w:lineRule="exact"/>
        <w:ind w:firstLine="671" w:firstLineChars="200"/>
        <w:outlineLvl w:val="0"/>
        <w:rPr>
          <w:rFonts w:hint="eastAsia" w:ascii="宋体" w:hAnsi="宋体" w:eastAsia="宋体" w:cs="宋体"/>
          <w:b/>
          <w:bCs/>
          <w:color w:val="000000" w:themeColor="text1"/>
          <w:spacing w:val="7"/>
          <w:sz w:val="32"/>
          <w:szCs w:val="32"/>
          <w:highlight w:val="none"/>
          <w:lang w:val="en-US" w:eastAsia="zh-CN"/>
          <w14:textFill>
            <w14:solidFill>
              <w14:schemeClr w14:val="tx1"/>
            </w14:solidFill>
          </w14:textFill>
        </w:rPr>
      </w:pPr>
      <w:bookmarkStart w:id="42" w:name="_Toc10985"/>
      <w:bookmarkStart w:id="43" w:name="_Toc31979"/>
      <w:bookmarkStart w:id="44" w:name="_Toc12294"/>
      <w:bookmarkStart w:id="45" w:name="_Toc12308"/>
      <w:bookmarkStart w:id="46" w:name="_Toc8897"/>
      <w:bookmarkStart w:id="47" w:name="_Toc3786"/>
      <w:bookmarkStart w:id="48" w:name="_Toc3927"/>
      <w:r>
        <w:rPr>
          <w:rFonts w:hint="eastAsia" w:ascii="宋体" w:hAnsi="宋体" w:eastAsia="宋体" w:cs="宋体"/>
          <w:b/>
          <w:bCs/>
          <w:color w:val="000000" w:themeColor="text1"/>
          <w:spacing w:val="7"/>
          <w:sz w:val="32"/>
          <w:szCs w:val="32"/>
          <w:highlight w:val="none"/>
          <w:lang w:val="en-US" w:eastAsia="zh-CN"/>
          <w14:textFill>
            <w14:solidFill>
              <w14:schemeClr w14:val="tx1"/>
            </w14:solidFill>
          </w14:textFill>
        </w:rPr>
        <w:t>联 系 人：</w:t>
      </w:r>
      <w:bookmarkEnd w:id="41"/>
      <w:bookmarkEnd w:id="42"/>
      <w:bookmarkEnd w:id="43"/>
      <w:bookmarkEnd w:id="44"/>
      <w:bookmarkEnd w:id="45"/>
      <w:bookmarkEnd w:id="46"/>
      <w:bookmarkEnd w:id="47"/>
      <w:bookmarkEnd w:id="48"/>
      <w:bookmarkStart w:id="49" w:name="_Toc24562"/>
      <w:r>
        <w:rPr>
          <w:rFonts w:hint="eastAsia" w:ascii="宋体" w:hAnsi="宋体" w:cs="宋体"/>
          <w:b/>
          <w:bCs/>
          <w:color w:val="000000" w:themeColor="text1"/>
          <w:spacing w:val="7"/>
          <w:sz w:val="32"/>
          <w:szCs w:val="32"/>
          <w:highlight w:val="none"/>
          <w:lang w:val="en-US" w:eastAsia="zh-CN"/>
          <w14:textFill>
            <w14:solidFill>
              <w14:schemeClr w14:val="tx1"/>
            </w14:solidFill>
          </w14:textFill>
        </w:rPr>
        <w:t>赵子骞</w:t>
      </w:r>
    </w:p>
    <w:p w14:paraId="6519C5C3">
      <w:pPr>
        <w:tabs>
          <w:tab w:val="center" w:pos="4509"/>
        </w:tabs>
        <w:spacing w:line="700" w:lineRule="exact"/>
        <w:ind w:firstLine="671" w:firstLineChars="200"/>
        <w:outlineLvl w:val="0"/>
        <w:rPr>
          <w:rFonts w:hint="eastAsia" w:ascii="宋体" w:hAnsi="宋体" w:eastAsia="宋体" w:cs="宋体"/>
          <w:b/>
          <w:bCs/>
          <w:color w:val="000000" w:themeColor="text1"/>
          <w:sz w:val="32"/>
          <w:szCs w:val="32"/>
          <w:highlight w:val="none"/>
          <w:lang w:eastAsia="zh-CN"/>
          <w14:textFill>
            <w14:solidFill>
              <w14:schemeClr w14:val="tx1"/>
            </w14:solidFill>
          </w14:textFill>
        </w:rPr>
      </w:pPr>
      <w:bookmarkStart w:id="50" w:name="_Toc16284"/>
      <w:bookmarkStart w:id="51" w:name="_Toc16954"/>
      <w:bookmarkStart w:id="52" w:name="_Toc20477"/>
      <w:bookmarkStart w:id="53" w:name="_Toc21824"/>
      <w:bookmarkStart w:id="54" w:name="_Toc26902"/>
      <w:bookmarkStart w:id="55" w:name="_Toc16855"/>
      <w:bookmarkStart w:id="56" w:name="_Toc26801"/>
      <w:r>
        <w:rPr>
          <w:rFonts w:hint="eastAsia" w:ascii="宋体" w:hAnsi="宋体" w:eastAsia="宋体" w:cs="宋体"/>
          <w:b/>
          <w:bCs/>
          <w:color w:val="000000" w:themeColor="text1"/>
          <w:spacing w:val="7"/>
          <w:sz w:val="32"/>
          <w:szCs w:val="32"/>
          <w:highlight w:val="none"/>
          <w:lang w:val="en-US" w:eastAsia="zh-CN"/>
          <w14:textFill>
            <w14:solidFill>
              <w14:schemeClr w14:val="tx1"/>
            </w14:solidFill>
          </w14:textFill>
        </w:rPr>
        <w:t>联系电话：</w:t>
      </w:r>
      <w:bookmarkEnd w:id="49"/>
      <w:bookmarkEnd w:id="50"/>
      <w:bookmarkEnd w:id="51"/>
      <w:bookmarkEnd w:id="52"/>
      <w:bookmarkEnd w:id="53"/>
      <w:bookmarkEnd w:id="54"/>
      <w:bookmarkEnd w:id="55"/>
      <w:bookmarkEnd w:id="56"/>
      <w:r>
        <w:rPr>
          <w:rFonts w:hint="eastAsia" w:ascii="宋体" w:hAnsi="宋体" w:cs="宋体"/>
          <w:b/>
          <w:bCs/>
          <w:color w:val="000000" w:themeColor="text1"/>
          <w:sz w:val="32"/>
          <w:szCs w:val="32"/>
          <w:highlight w:val="none"/>
          <w:lang w:val="en-US" w:eastAsia="zh-CN"/>
          <w14:textFill>
            <w14:solidFill>
              <w14:schemeClr w14:val="tx1"/>
            </w14:solidFill>
          </w14:textFill>
        </w:rPr>
        <w:t>18799659160</w:t>
      </w:r>
    </w:p>
    <w:bookmarkEnd w:id="24"/>
    <w:p w14:paraId="213080E0">
      <w:pPr>
        <w:spacing w:line="700" w:lineRule="exac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167640</wp:posOffset>
                </wp:positionV>
                <wp:extent cx="5000625" cy="0"/>
                <wp:effectExtent l="6350" t="6350" r="6350" b="635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rnd"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19.5pt;margin-top:13.2pt;height:0pt;width:393.75pt;z-index:251659264;mso-width-relative:page;mso-height-relative:page;" filled="f" stroked="t" coordsize="21600,21600" o:gfxdata="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jdhVjaAAAACAEAAA8AAAAAAAAAAQAgAAAAIgAAAGRycy9kb3ducmV2&#10;LnhtbFBLAQIUABQAAAAIAIdO4kB/l7+o+gEAAPMDAAAOAAAAAAAAAAEAIAAAACkBAABkcnMvZTJv&#10;RG9jLnhtbFBLBQYAAAAABgAGAFkBAACVBQAAAAA=&#10;">
                <v:fill on="f" focussize="0,0"/>
                <v:stroke weight="1pt" color="#000000" joinstyle="round" dashstyle="1 1" endcap="round"/>
                <v:imagedata o:title=""/>
                <o:lock v:ext="edit" aspectratio="f"/>
              </v:line>
            </w:pict>
          </mc:Fallback>
        </mc:AlternateContent>
      </w:r>
    </w:p>
    <w:p w14:paraId="76B6F31C">
      <w:pPr>
        <w:tabs>
          <w:tab w:val="center" w:pos="4509"/>
        </w:tabs>
        <w:spacing w:line="700" w:lineRule="exact"/>
        <w:ind w:firstLine="643" w:firstLineChars="200"/>
        <w:rPr>
          <w:rFonts w:hint="eastAsia" w:ascii="宋体" w:hAnsi="宋体" w:eastAsia="宋体" w:cs="宋体"/>
          <w:b/>
          <w:bCs/>
          <w:color w:val="000000" w:themeColor="text1"/>
          <w:spacing w:val="-20"/>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采购</w:t>
      </w:r>
      <w:r>
        <w:rPr>
          <w:rFonts w:hint="eastAsia" w:ascii="宋体" w:hAnsi="宋体" w:eastAsia="宋体" w:cs="宋体"/>
          <w:b/>
          <w:bCs/>
          <w:color w:val="000000" w:themeColor="text1"/>
          <w:sz w:val="32"/>
          <w:szCs w:val="32"/>
          <w:highlight w:val="none"/>
          <w:lang w:eastAsia="zh-CN"/>
          <w14:textFill>
            <w14:solidFill>
              <w14:schemeClr w14:val="tx1"/>
            </w14:solidFill>
          </w14:textFill>
        </w:rPr>
        <w:t>代理机构</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pacing w:val="-20"/>
          <w:sz w:val="32"/>
          <w:szCs w:val="32"/>
          <w:highlight w:val="none"/>
          <w14:textFill>
            <w14:solidFill>
              <w14:schemeClr w14:val="tx1"/>
            </w14:solidFill>
          </w14:textFill>
        </w:rPr>
        <w:t xml:space="preserve">新疆新招工程项目咨询管理有限公司（盖章） </w:t>
      </w:r>
    </w:p>
    <w:p w14:paraId="26902900">
      <w:pPr>
        <w:tabs>
          <w:tab w:val="center" w:pos="4509"/>
        </w:tabs>
        <w:spacing w:line="700" w:lineRule="exact"/>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联 系 人：</w:t>
      </w:r>
      <w:r>
        <w:rPr>
          <w:rFonts w:hint="eastAsia" w:ascii="宋体" w:hAnsi="宋体" w:cs="宋体"/>
          <w:b/>
          <w:bCs/>
          <w:color w:val="000000" w:themeColor="text1"/>
          <w:sz w:val="32"/>
          <w:szCs w:val="32"/>
          <w:highlight w:val="none"/>
          <w:lang w:val="en-US" w:eastAsia="zh-CN"/>
          <w14:textFill>
            <w14:solidFill>
              <w14:schemeClr w14:val="tx1"/>
            </w14:solidFill>
          </w14:textFill>
        </w:rPr>
        <w:t>潘虹</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p>
    <w:p w14:paraId="651AAEA7">
      <w:pPr>
        <w:tabs>
          <w:tab w:val="center" w:pos="4509"/>
        </w:tabs>
        <w:spacing w:line="700" w:lineRule="exact"/>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联系电话：</w:t>
      </w: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18199157251 </w:t>
      </w:r>
      <w:r>
        <w:rPr>
          <w:rFonts w:hint="eastAsia" w:ascii="宋体" w:hAnsi="宋体" w:eastAsia="宋体" w:cs="宋体"/>
          <w:b/>
          <w:bCs/>
          <w:color w:val="000000" w:themeColor="text1"/>
          <w:sz w:val="32"/>
          <w:szCs w:val="32"/>
          <w:highlight w:val="none"/>
          <w14:textFill>
            <w14:solidFill>
              <w14:schemeClr w14:val="tx1"/>
            </w14:solidFill>
          </w14:textFill>
        </w:rPr>
        <w:t>0991-6870655</w:t>
      </w:r>
      <w:r>
        <w:rPr>
          <w:rFonts w:hint="eastAsia" w:ascii="宋体" w:hAnsi="宋体" w:cs="宋体"/>
          <w:b/>
          <w:bCs/>
          <w:color w:val="000000" w:themeColor="text1"/>
          <w:sz w:val="32"/>
          <w:szCs w:val="32"/>
          <w:highlight w:val="none"/>
          <w:lang w:eastAsia="zh-CN"/>
          <w14:textFill>
            <w14:solidFill>
              <w14:schemeClr w14:val="tx1"/>
            </w14:solidFill>
          </w14:textFill>
        </w:rPr>
        <w:t>（</w:t>
      </w:r>
      <w:r>
        <w:rPr>
          <w:rFonts w:hint="eastAsia" w:ascii="宋体" w:hAnsi="宋体" w:cs="宋体"/>
          <w:b/>
          <w:bCs/>
          <w:color w:val="000000" w:themeColor="text1"/>
          <w:sz w:val="32"/>
          <w:szCs w:val="32"/>
          <w:highlight w:val="none"/>
          <w:lang w:val="en-US" w:eastAsia="zh-CN"/>
          <w14:textFill>
            <w14:solidFill>
              <w14:schemeClr w14:val="tx1"/>
            </w14:solidFill>
          </w14:textFill>
        </w:rPr>
        <w:t>办</w:t>
      </w:r>
      <w:r>
        <w:rPr>
          <w:rFonts w:hint="eastAsia" w:ascii="宋体" w:hAnsi="宋体" w:cs="宋体"/>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p>
    <w:p w14:paraId="47304257">
      <w:pPr>
        <w:tabs>
          <w:tab w:val="center" w:pos="4509"/>
        </w:tabs>
        <w:spacing w:line="700" w:lineRule="exact"/>
        <w:ind w:left="2244" w:leftChars="304" w:hanging="1606" w:hangingChars="5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联系</w:t>
      </w:r>
      <w:r>
        <w:rPr>
          <w:rFonts w:hint="eastAsia" w:ascii="宋体" w:hAnsi="宋体" w:eastAsia="宋体" w:cs="宋体"/>
          <w:b/>
          <w:bCs/>
          <w:color w:val="000000" w:themeColor="text1"/>
          <w:sz w:val="32"/>
          <w:szCs w:val="32"/>
          <w:highlight w:val="none"/>
          <w14:textFill>
            <w14:solidFill>
              <w14:schemeClr w14:val="tx1"/>
            </w14:solidFill>
          </w14:textFill>
        </w:rPr>
        <w:t>地址：新疆乌鲁木齐市水磨沟区六道湾路1166号首府中央花苑1栋22层2202-2205</w:t>
      </w:r>
    </w:p>
    <w:p w14:paraId="2E2C51D0">
      <w:pPr>
        <w:pStyle w:val="3"/>
        <w:rPr>
          <w:rFonts w:hint="eastAsia" w:ascii="宋体" w:hAnsi="宋体" w:eastAsia="宋体" w:cs="宋体"/>
          <w:color w:val="000000" w:themeColor="text1"/>
          <w:highlight w:val="none"/>
          <w14:textFill>
            <w14:solidFill>
              <w14:schemeClr w14:val="tx1"/>
            </w14:solidFill>
          </w14:textFill>
        </w:rPr>
      </w:pPr>
    </w:p>
    <w:p w14:paraId="1E612D1D">
      <w:pPr>
        <w:tabs>
          <w:tab w:val="center" w:pos="4509"/>
        </w:tabs>
        <w:spacing w:line="700" w:lineRule="exact"/>
        <w:ind w:left="559" w:leftChars="266"/>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二〇二</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bCs/>
          <w:color w:val="000000" w:themeColor="text1"/>
          <w:sz w:val="32"/>
          <w:szCs w:val="32"/>
          <w:highlight w:val="none"/>
          <w:lang w:eastAsia="zh-CN"/>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sz w:val="32"/>
          <w:szCs w:val="32"/>
          <w:highlight w:val="none"/>
          <w:lang w:eastAsia="zh-CN"/>
          <w14:textFill>
            <w14:solidFill>
              <w14:schemeClr w14:val="tx1"/>
            </w14:solidFill>
          </w14:textFill>
        </w:rPr>
        <w:t>月</w:t>
      </w:r>
    </w:p>
    <w:p w14:paraId="56E6512C">
      <w:pPr>
        <w:pStyle w:val="3"/>
        <w:rPr>
          <w:rFonts w:hint="eastAsia" w:ascii="宋体" w:hAnsi="宋体" w:eastAsia="宋体" w:cs="宋体"/>
          <w:color w:val="000000" w:themeColor="text1"/>
          <w:highlight w:val="none"/>
          <w:lang w:eastAsia="zh-CN"/>
          <w14:textFill>
            <w14:solidFill>
              <w14:schemeClr w14:val="tx1"/>
            </w14:solidFill>
          </w14:textFill>
        </w:rPr>
        <w:sectPr>
          <w:pgSz w:w="11906" w:h="16838"/>
          <w:pgMar w:top="1440" w:right="1797" w:bottom="1440" w:left="1797" w:header="851" w:footer="992" w:gutter="0"/>
          <w:pgNumType w:fmt="decimal"/>
          <w:cols w:space="720" w:num="1"/>
          <w:docGrid w:linePitch="312" w:charSpace="0"/>
        </w:sectPr>
      </w:pPr>
    </w:p>
    <w:sdt>
      <w:sdtPr>
        <w:rPr>
          <w:rFonts w:ascii="宋体" w:hAnsi="宋体" w:eastAsia="宋体" w:cs="Times New Roman"/>
          <w:color w:val="000000" w:themeColor="text1"/>
          <w:kern w:val="2"/>
          <w:sz w:val="32"/>
          <w:szCs w:val="40"/>
          <w:highlight w:val="none"/>
          <w:lang w:val="en-US" w:eastAsia="zh-CN" w:bidi="ar-SA"/>
          <w14:textFill>
            <w14:solidFill>
              <w14:schemeClr w14:val="tx1"/>
            </w14:solidFill>
          </w14:textFill>
        </w:rPr>
        <w:id w:val="147471305"/>
        <w15:color w:val="DBDBDB"/>
        <w:docPartObj>
          <w:docPartGallery w:val="Table of Contents"/>
          <w:docPartUnique/>
        </w:docPartObj>
      </w:sdtPr>
      <w:sdtEndPr>
        <w:rPr>
          <w:rFonts w:ascii="宋体" w:hAnsi="宋体" w:eastAsia="宋体" w:cs="Times New Roman"/>
          <w:color w:val="000000" w:themeColor="text1"/>
          <w:kern w:val="2"/>
          <w:sz w:val="28"/>
          <w:szCs w:val="36"/>
          <w:highlight w:val="none"/>
          <w:lang w:val="en-US" w:eastAsia="zh-CN" w:bidi="ar-SA"/>
          <w14:textFill>
            <w14:solidFill>
              <w14:schemeClr w14:val="tx1"/>
            </w14:solidFill>
          </w14:textFill>
        </w:rPr>
      </w:sdtEndPr>
      <w:sdtContent>
        <w:p w14:paraId="201955E5">
          <w:pPr>
            <w:pageBreakBefore w:val="0"/>
            <w:widowControl w:val="0"/>
            <w:kinsoku/>
            <w:wordWrap/>
            <w:overflowPunct/>
            <w:topLinePunct w:val="0"/>
            <w:bidi w:val="0"/>
            <w:snapToGrid/>
            <w:spacing w:line="380" w:lineRule="exact"/>
            <w:jc w:val="center"/>
            <w:textAlignment w:val="auto"/>
            <w:rPr>
              <w:color w:val="000000" w:themeColor="text1"/>
              <w:highlight w:val="none"/>
              <w14:textFill>
                <w14:solidFill>
                  <w14:schemeClr w14:val="tx1"/>
                </w14:solidFill>
              </w14:textFill>
            </w:rPr>
          </w:pPr>
          <w:r>
            <w:rPr>
              <w:rFonts w:ascii="宋体" w:hAnsi="宋体" w:eastAsia="宋体"/>
              <w:color w:val="000000" w:themeColor="text1"/>
              <w:sz w:val="32"/>
              <w:szCs w:val="40"/>
              <w:highlight w:val="none"/>
              <w14:textFill>
                <w14:solidFill>
                  <w14:schemeClr w14:val="tx1"/>
                </w14:solidFill>
              </w14:textFill>
            </w:rPr>
            <w:t>目</w:t>
          </w:r>
          <w:r>
            <w:rPr>
              <w:rFonts w:hint="eastAsia" w:ascii="宋体" w:hAnsi="宋体" w:eastAsia="宋体"/>
              <w:color w:val="000000" w:themeColor="text1"/>
              <w:sz w:val="32"/>
              <w:szCs w:val="40"/>
              <w:highlight w:val="none"/>
              <w:lang w:val="en-US" w:eastAsia="zh-CN"/>
              <w14:textFill>
                <w14:solidFill>
                  <w14:schemeClr w14:val="tx1"/>
                </w14:solidFill>
              </w14:textFill>
            </w:rPr>
            <w:t xml:space="preserve">  </w:t>
          </w:r>
          <w:r>
            <w:rPr>
              <w:rFonts w:ascii="宋体" w:hAnsi="宋体" w:eastAsia="宋体"/>
              <w:color w:val="000000" w:themeColor="text1"/>
              <w:sz w:val="32"/>
              <w:szCs w:val="40"/>
              <w:highlight w:val="none"/>
              <w14:textFill>
                <w14:solidFill>
                  <w14:schemeClr w14:val="tx1"/>
                </w14:solidFill>
              </w14:textFill>
            </w:rPr>
            <w:t>录</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"1-3" \h \u </w:instrText>
          </w:r>
          <w:r>
            <w:rPr>
              <w:color w:val="000000" w:themeColor="text1"/>
              <w:highlight w:val="none"/>
              <w14:textFill>
                <w14:solidFill>
                  <w14:schemeClr w14:val="tx1"/>
                </w14:solidFill>
              </w14:textFill>
            </w:rPr>
            <w:fldChar w:fldCharType="separate"/>
          </w:r>
        </w:p>
        <w:p w14:paraId="425495F9">
          <w:pPr>
            <w:pStyle w:val="15"/>
            <w:pageBreakBefore w:val="0"/>
            <w:widowControl w:val="0"/>
            <w:tabs>
              <w:tab w:val="right" w:leader="dot" w:pos="8312"/>
            </w:tabs>
            <w:kinsoku/>
            <w:wordWrap/>
            <w:overflowPunct/>
            <w:topLinePunct w:val="0"/>
            <w:bidi w:val="0"/>
            <w:snapToGrid/>
            <w:spacing w:line="380" w:lineRule="exact"/>
            <w:textAlignment w:val="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_Toc12385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szCs w:val="32"/>
              <w:highlight w:val="none"/>
              <w:lang w:val="en-US" w:eastAsia="zh-CN"/>
              <w14:textFill>
                <w14:solidFill>
                  <w14:schemeClr w14:val="tx1"/>
                </w14:solidFill>
              </w14:textFill>
            </w:rPr>
            <w:t xml:space="preserve">第一章 </w:t>
          </w:r>
          <w:r>
            <w:rPr>
              <w:rFonts w:hint="eastAsia" w:ascii="宋体" w:hAnsi="宋体" w:cs="宋体"/>
              <w:b/>
              <w:bCs/>
              <w:color w:val="000000" w:themeColor="text1"/>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32"/>
              <w:highlight w:val="none"/>
              <w14:textFill>
                <w14:solidFill>
                  <w14:schemeClr w14:val="tx1"/>
                </w14:solidFill>
              </w14:textFill>
            </w:rPr>
            <w:t>磋商</w:t>
          </w:r>
          <w:r>
            <w:rPr>
              <w:rFonts w:hint="eastAsia" w:ascii="宋体" w:hAnsi="宋体" w:eastAsia="宋体" w:cs="宋体"/>
              <w:b/>
              <w:bCs/>
              <w:color w:val="000000" w:themeColor="text1"/>
              <w:szCs w:val="32"/>
              <w:highlight w:val="none"/>
              <w:lang w:eastAsia="zh-CN"/>
              <w14:textFill>
                <w14:solidFill>
                  <w14:schemeClr w14:val="tx1"/>
                </w14:solidFill>
              </w14:textFill>
            </w:rPr>
            <w:t>公告</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_Toc12385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1</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7F9CDDA6">
          <w:pPr>
            <w:pStyle w:val="15"/>
            <w:pageBreakBefore w:val="0"/>
            <w:widowControl w:val="0"/>
            <w:tabs>
              <w:tab w:val="right" w:leader="dot" w:pos="8312"/>
            </w:tabs>
            <w:kinsoku/>
            <w:wordWrap/>
            <w:overflowPunct/>
            <w:topLinePunct w:val="0"/>
            <w:bidi w:val="0"/>
            <w:snapToGrid/>
            <w:spacing w:line="380" w:lineRule="exact"/>
            <w:textAlignment w:val="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_Toc3099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szCs w:val="32"/>
              <w:highlight w:val="none"/>
              <w14:textFill>
                <w14:solidFill>
                  <w14:schemeClr w14:val="tx1"/>
                </w14:solidFill>
              </w14:textFill>
            </w:rPr>
            <w:t>第</w:t>
          </w:r>
          <w:r>
            <w:rPr>
              <w:rFonts w:hint="eastAsia" w:ascii="宋体" w:hAnsi="宋体" w:eastAsia="宋体" w:cs="宋体"/>
              <w:b/>
              <w:bCs/>
              <w:color w:val="000000" w:themeColor="text1"/>
              <w:szCs w:val="32"/>
              <w:highlight w:val="none"/>
              <w:lang w:val="en-US" w:eastAsia="zh-CN"/>
              <w14:textFill>
                <w14:solidFill>
                  <w14:schemeClr w14:val="tx1"/>
                </w14:solidFill>
              </w14:textFill>
            </w:rPr>
            <w:t>二</w:t>
          </w:r>
          <w:r>
            <w:rPr>
              <w:rFonts w:hint="eastAsia" w:ascii="宋体" w:hAnsi="宋体" w:eastAsia="宋体" w:cs="宋体"/>
              <w:b/>
              <w:bCs/>
              <w:color w:val="000000" w:themeColor="text1"/>
              <w:szCs w:val="32"/>
              <w:highlight w:val="none"/>
              <w14:textFill>
                <w14:solidFill>
                  <w14:schemeClr w14:val="tx1"/>
                </w14:solidFill>
              </w14:textFill>
            </w:rPr>
            <w:t xml:space="preserve">章 </w:t>
          </w:r>
          <w:r>
            <w:rPr>
              <w:rFonts w:hint="eastAsia" w:ascii="宋体" w:hAnsi="宋体" w:cs="宋体"/>
              <w:b/>
              <w:bCs/>
              <w:color w:val="000000" w:themeColor="text1"/>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32"/>
              <w:highlight w:val="none"/>
              <w14:textFill>
                <w14:solidFill>
                  <w14:schemeClr w14:val="tx1"/>
                </w14:solidFill>
              </w14:textFill>
            </w:rPr>
            <w:t>供应商须知资料表</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_Toc3099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5</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5558C372">
          <w:pPr>
            <w:pStyle w:val="17"/>
            <w:pageBreakBefore w:val="0"/>
            <w:widowControl w:val="0"/>
            <w:tabs>
              <w:tab w:val="right" w:leader="dot" w:pos="8312"/>
            </w:tabs>
            <w:kinsoku/>
            <w:wordWrap/>
            <w:overflowPunct/>
            <w:topLinePunct w:val="0"/>
            <w:bidi w:val="0"/>
            <w:snapToGrid/>
            <w:spacing w:line="380" w:lineRule="exact"/>
            <w:ind w:left="0" w:leftChars="0" w:firstLine="0" w:firstLineChars="0"/>
            <w:textAlignment w:val="auto"/>
            <w:rPr>
              <w:rFonts w:hint="default" w:eastAsia="宋体"/>
              <w:b/>
              <w:bCs/>
              <w:color w:val="000000" w:themeColor="text1"/>
              <w:highlight w:val="none"/>
              <w:lang w:val="en-US" w:eastAsia="zh-CN"/>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_Toc31859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szCs w:val="32"/>
              <w:highlight w:val="none"/>
              <w:lang w:val="en-US" w:eastAsia="zh-CN"/>
              <w14:textFill>
                <w14:solidFill>
                  <w14:schemeClr w14:val="tx1"/>
                </w14:solidFill>
              </w14:textFill>
            </w:rPr>
            <w:t xml:space="preserve">第三章  </w:t>
          </w:r>
          <w:r>
            <w:rPr>
              <w:rFonts w:hint="eastAsia" w:ascii="宋体" w:hAnsi="宋体" w:eastAsia="宋体" w:cs="宋体"/>
              <w:b/>
              <w:bCs/>
              <w:color w:val="000000" w:themeColor="text1"/>
              <w:szCs w:val="32"/>
              <w:highlight w:val="none"/>
              <w14:textFill>
                <w14:solidFill>
                  <w14:schemeClr w14:val="tx1"/>
                </w14:solidFill>
              </w14:textFill>
            </w:rPr>
            <w:t>供应商须知</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_Toc31859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13</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26DE858A">
          <w:pPr>
            <w:pStyle w:val="15"/>
            <w:pageBreakBefore w:val="0"/>
            <w:widowControl w:val="0"/>
            <w:tabs>
              <w:tab w:val="right" w:leader="dot" w:pos="8312"/>
            </w:tabs>
            <w:kinsoku/>
            <w:wordWrap/>
            <w:overflowPunct/>
            <w:topLinePunct w:val="0"/>
            <w:bidi w:val="0"/>
            <w:snapToGrid/>
            <w:spacing w:line="380" w:lineRule="exact"/>
            <w:textAlignment w:val="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_Toc26577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highlight w:val="none"/>
              <w:lang w:val="en-US" w:eastAsia="zh-CN"/>
              <w14:textFill>
                <w14:solidFill>
                  <w14:schemeClr w14:val="tx1"/>
                </w14:solidFill>
              </w14:textFill>
            </w:rPr>
            <w:t xml:space="preserve">第四章  </w:t>
          </w:r>
          <w:r>
            <w:rPr>
              <w:rFonts w:hint="eastAsia" w:ascii="宋体" w:hAnsi="宋体" w:eastAsia="宋体" w:cs="宋体"/>
              <w:b/>
              <w:bCs/>
              <w:color w:val="000000" w:themeColor="text1"/>
              <w:highlight w:val="none"/>
              <w14:textFill>
                <w14:solidFill>
                  <w14:schemeClr w14:val="tx1"/>
                </w14:solidFill>
              </w14:textFill>
            </w:rPr>
            <w:t>项目服务需求</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_Toc26577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34</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3945A464">
          <w:pPr>
            <w:pStyle w:val="15"/>
            <w:pageBreakBefore w:val="0"/>
            <w:widowControl w:val="0"/>
            <w:tabs>
              <w:tab w:val="right" w:leader="dot" w:pos="8312"/>
            </w:tabs>
            <w:kinsoku/>
            <w:wordWrap/>
            <w:overflowPunct/>
            <w:topLinePunct w:val="0"/>
            <w:bidi w:val="0"/>
            <w:snapToGrid/>
            <w:spacing w:line="380" w:lineRule="exact"/>
            <w:textAlignment w:val="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_Toc18754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highlight w:val="none"/>
              <w:lang w:val="en-US" w:eastAsia="zh-CN"/>
              <w14:textFill>
                <w14:solidFill>
                  <w14:schemeClr w14:val="tx1"/>
                </w14:solidFill>
              </w14:textFill>
            </w:rPr>
            <w:t>第五</w:t>
          </w:r>
          <w:r>
            <w:rPr>
              <w:rFonts w:hint="eastAsia" w:ascii="宋体" w:hAnsi="宋体" w:eastAsia="宋体" w:cs="宋体"/>
              <w:b/>
              <w:bCs/>
              <w:color w:val="000000" w:themeColor="text1"/>
              <w:highlight w:val="none"/>
              <w14:textFill>
                <w14:solidFill>
                  <w14:schemeClr w14:val="tx1"/>
                </w14:solidFill>
              </w14:textFill>
            </w:rPr>
            <w:t xml:space="preserve">章 </w:t>
          </w:r>
          <w:r>
            <w:rPr>
              <w:rFonts w:hint="eastAsia" w:ascii="宋体" w:hAnsi="宋体" w:eastAsia="宋体" w:cs="宋体"/>
              <w:b/>
              <w:bCs/>
              <w:color w:val="000000" w:themeColor="text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highlight w:val="none"/>
              <w14:textFill>
                <w14:solidFill>
                  <w14:schemeClr w14:val="tx1"/>
                </w14:solidFill>
              </w14:textFill>
            </w:rPr>
            <w:t>评审方法和标准</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_Toc18754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35</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3C9D7B87">
          <w:pPr>
            <w:pStyle w:val="15"/>
            <w:pageBreakBefore w:val="0"/>
            <w:widowControl w:val="0"/>
            <w:tabs>
              <w:tab w:val="right" w:leader="dot" w:pos="8312"/>
            </w:tabs>
            <w:kinsoku/>
            <w:wordWrap/>
            <w:overflowPunct/>
            <w:topLinePunct w:val="0"/>
            <w:bidi w:val="0"/>
            <w:snapToGrid/>
            <w:spacing w:line="380" w:lineRule="exact"/>
            <w:textAlignment w:val="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_Toc29461 </w:instrText>
          </w:r>
          <w:r>
            <w:rPr>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highlight w:val="none"/>
              <w14:textFill>
                <w14:solidFill>
                  <w14:schemeClr w14:val="tx1"/>
                </w14:solidFill>
              </w14:textFill>
            </w:rPr>
            <w:t>第</w:t>
          </w:r>
          <w:r>
            <w:rPr>
              <w:rFonts w:hint="eastAsia" w:ascii="宋体" w:hAnsi="宋体" w:eastAsia="宋体" w:cs="宋体"/>
              <w:b/>
              <w:bCs/>
              <w:color w:val="000000" w:themeColor="text1"/>
              <w:highlight w:val="none"/>
              <w:lang w:val="en-US" w:eastAsia="zh-CN"/>
              <w14:textFill>
                <w14:solidFill>
                  <w14:schemeClr w14:val="tx1"/>
                </w14:solidFill>
              </w14:textFill>
            </w:rPr>
            <w:t>六</w:t>
          </w:r>
          <w:r>
            <w:rPr>
              <w:rFonts w:hint="eastAsia" w:ascii="宋体" w:hAnsi="宋体" w:eastAsia="宋体" w:cs="宋体"/>
              <w:b/>
              <w:bCs/>
              <w:color w:val="000000" w:themeColor="text1"/>
              <w:highlight w:val="none"/>
              <w14:textFill>
                <w14:solidFill>
                  <w14:schemeClr w14:val="tx1"/>
                </w14:solidFill>
              </w14:textFill>
            </w:rPr>
            <w:t>章  服务合同</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_Toc29461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50</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3B75557C">
          <w:pPr>
            <w:pStyle w:val="15"/>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HYPERLINK \l _Toc8232 </w:instrText>
          </w:r>
          <w:r>
            <w:rPr>
              <w:b/>
              <w:bCs/>
              <w:color w:val="000000" w:themeColor="text1"/>
              <w:highlight w:val="none"/>
              <w14:textFill>
                <w14:solidFill>
                  <w14:schemeClr w14:val="tx1"/>
                </w14:solidFill>
              </w14:textFill>
            </w:rPr>
            <w:fldChar w:fldCharType="separate"/>
          </w:r>
          <w:r>
            <w:rPr>
              <w:rFonts w:hint="eastAsia" w:hAnsi="宋体" w:cs="宋体"/>
              <w:b/>
              <w:bCs/>
              <w:color w:val="000000" w:themeColor="text1"/>
              <w:highlight w:val="none"/>
              <w:lang w:val="en-US" w:eastAsia="zh-CN"/>
              <w14:textFill>
                <w14:solidFill>
                  <w14:schemeClr w14:val="tx1"/>
                </w14:solidFill>
              </w14:textFill>
            </w:rPr>
            <w:t xml:space="preserve">第七章  </w:t>
          </w:r>
          <w:r>
            <w:rPr>
              <w:rFonts w:hint="eastAsia" w:ascii="宋体" w:hAnsi="宋体" w:eastAsia="宋体" w:cs="宋体"/>
              <w:b/>
              <w:bCs/>
              <w:color w:val="000000" w:themeColor="text1"/>
              <w:highlight w:val="none"/>
              <w14:textFill>
                <w14:solidFill>
                  <w14:schemeClr w14:val="tx1"/>
                </w14:solidFill>
              </w14:textFill>
            </w:rPr>
            <w:t>响应文件格式</w:t>
          </w:r>
          <w:r>
            <w:rPr>
              <w:b/>
              <w:bCs/>
              <w:color w:val="000000" w:themeColor="text1"/>
              <w:highlight w:val="none"/>
              <w14:textFill>
                <w14:solidFill>
                  <w14:schemeClr w14:val="tx1"/>
                </w14:solidFill>
              </w14:textFill>
            </w:rPr>
            <w:tab/>
          </w:r>
          <w:r>
            <w:rPr>
              <w:b/>
              <w:bCs/>
              <w:color w:val="000000" w:themeColor="text1"/>
              <w:highlight w:val="none"/>
              <w14:textFill>
                <w14:solidFill>
                  <w14:schemeClr w14:val="tx1"/>
                </w14:solidFill>
              </w14:textFill>
            </w:rPr>
            <w:fldChar w:fldCharType="begin"/>
          </w:r>
          <w:r>
            <w:rPr>
              <w:b/>
              <w:bCs/>
              <w:color w:val="000000" w:themeColor="text1"/>
              <w:highlight w:val="none"/>
              <w14:textFill>
                <w14:solidFill>
                  <w14:schemeClr w14:val="tx1"/>
                </w14:solidFill>
              </w14:textFill>
            </w:rPr>
            <w:instrText xml:space="preserve"> PAGEREF _Toc8232 \h </w:instrText>
          </w:r>
          <w:r>
            <w:rPr>
              <w:b/>
              <w:bCs/>
              <w:color w:val="000000" w:themeColor="text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61</w:t>
          </w:r>
          <w:r>
            <w:rPr>
              <w:b/>
              <w:bCs/>
              <w:color w:val="000000" w:themeColor="text1"/>
              <w:highlight w:val="none"/>
              <w14:textFill>
                <w14:solidFill>
                  <w14:schemeClr w14:val="tx1"/>
                </w14:solidFill>
              </w14:textFill>
            </w:rPr>
            <w:fldChar w:fldCharType="end"/>
          </w:r>
          <w:r>
            <w:rPr>
              <w:b/>
              <w:bCs/>
              <w:color w:val="000000" w:themeColor="text1"/>
              <w:highlight w:val="none"/>
              <w14:textFill>
                <w14:solidFill>
                  <w14:schemeClr w14:val="tx1"/>
                </w14:solidFill>
              </w14:textFill>
            </w:rPr>
            <w:fldChar w:fldCharType="end"/>
          </w:r>
        </w:p>
        <w:p w14:paraId="0C480860">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_Toc10302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1、</w:t>
          </w:r>
          <w:r>
            <w:rPr>
              <w:rFonts w:hint="eastAsia" w:ascii="宋体" w:hAnsi="宋体" w:eastAsia="宋体" w:cs="宋体"/>
              <w:color w:val="000000" w:themeColor="text1"/>
              <w:szCs w:val="24"/>
              <w:highlight w:val="none"/>
              <w14:textFill>
                <w14:solidFill>
                  <w14:schemeClr w14:val="tx1"/>
                </w14:solidFill>
              </w14:textFill>
            </w:rPr>
            <w:t>磋商书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B02B2E">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_Toc24190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lang w:val="en-US" w:eastAsia="zh-CN"/>
              <w14:textFill>
                <w14:solidFill>
                  <w14:schemeClr w14:val="tx1"/>
                </w14:solidFill>
              </w14:textFill>
            </w:rPr>
            <w:t>1.1、</w:t>
          </w:r>
          <w:r>
            <w:rPr>
              <w:rFonts w:hint="eastAsia" w:ascii="宋体" w:hAnsi="宋体" w:eastAsia="宋体" w:cs="宋体"/>
              <w:color w:val="000000" w:themeColor="text1"/>
              <w:szCs w:val="28"/>
              <w:highlight w:val="none"/>
              <w14:textFill>
                <w14:solidFill>
                  <w14:schemeClr w14:val="tx1"/>
                </w14:solidFill>
              </w14:textFill>
            </w:rPr>
            <w:t>磋商报价一览表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41CA75">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_Toc12579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2、法人或者其他组织的营业执照等证明文件，自然人的身份证明；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B141CA">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_Toc30259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3、法定代表人资格证明书或法人授权委托书及被授权人身份证(</w:t>
          </w:r>
          <w:r>
            <w:rPr>
              <w:rFonts w:hint="eastAsia" w:ascii="宋体" w:hAnsi="宋体" w:eastAsia="宋体" w:cs="宋体"/>
              <w:color w:val="000000" w:themeColor="text1"/>
              <w:szCs w:val="24"/>
              <w:highlight w:val="none"/>
              <w:lang w:eastAsia="zh-CN"/>
              <w14:textFill>
                <w14:solidFill>
                  <w14:schemeClr w14:val="tx1"/>
                </w14:solidFill>
              </w14:textFill>
            </w:rPr>
            <w:t>响应文件</w:t>
          </w:r>
          <w:r>
            <w:rPr>
              <w:rFonts w:hint="eastAsia" w:ascii="宋体" w:hAnsi="宋体" w:eastAsia="宋体" w:cs="宋体"/>
              <w:color w:val="000000" w:themeColor="text1"/>
              <w:szCs w:val="24"/>
              <w:highlight w:val="none"/>
              <w14:textFill>
                <w14:solidFill>
                  <w14:schemeClr w14:val="tx1"/>
                </w14:solidFill>
              </w14:textFill>
            </w:rPr>
            <w:t>格式二，自然人投标的无需提供)；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CE04964">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_Toc22645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3.1</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638FA7">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_Toc9226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3.2</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法定代表人授权委托书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C79E6E">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_Toc5678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4.1</w:t>
          </w:r>
          <w:r>
            <w:rPr>
              <w:rFonts w:hint="eastAsia" w:ascii="宋体" w:hAnsi="宋体" w:eastAsia="宋体" w:cs="宋体"/>
              <w:color w:val="000000" w:themeColor="text1"/>
              <w:szCs w:val="24"/>
              <w:highlight w:val="none"/>
              <w14:textFill>
                <w14:solidFill>
                  <w14:schemeClr w14:val="tx1"/>
                </w14:solidFill>
              </w14:textFill>
            </w:rPr>
            <w:t>、合法有效的营业执照</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40A3060">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_Toc32077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4.2、具有良好的商业信誉和健全的财务会计制度的证明文件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979A482">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_Toc6844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4.3、根据项目需求提供履行合同所必需的设备和专业技术能力的加盖单位公章的书面承诺函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A579E00">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_Toc26557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4.4、提供参加本次政府采购活动前近12个月内任意一个月的依法缴纳税收和社会保障资金的相关材料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48E921">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_Toc28103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4.5、提供参加本次政府采购活动前3年内在经营活动中没有重大违法记录的书面承诺函并加盖单位公章</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0B43D0">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_Toc14314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5、法律、行政法规规定的其他条件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EA901E">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_Toc14748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6、不参与围标串标承诺书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8BEE59">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_Toc9765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7、磋商保证金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69A528">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_Toc5603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t>8、不存在与参加本项目的其它供应商负责人为同一人或者存在直接控股、管理关系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B08D3F">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_Toc18442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t>9、中小企业声明函（工程、服务）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8C0E11">
          <w:pPr>
            <w:pStyle w:val="11"/>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_Toc2332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0"/>
              <w:szCs w:val="24"/>
              <w:highlight w:val="none"/>
              <w:lang w:val="en-US" w:eastAsia="zh-CN" w:bidi="ar-SA"/>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B7076C0">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_Toc27715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10</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针对本次项目《反商业贿赂承诺书》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27240F">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须知资料表要求的其他资格证明文件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96B589">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_Toc29975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12、</w:t>
          </w:r>
          <w:r>
            <w:rPr>
              <w:rFonts w:hint="eastAsia" w:ascii="宋体" w:hAnsi="宋体" w:eastAsia="宋体" w:cs="宋体"/>
              <w:color w:val="000000" w:themeColor="text1"/>
              <w:szCs w:val="24"/>
              <w:highlight w:val="none"/>
              <w14:textFill>
                <w14:solidFill>
                  <w14:schemeClr w14:val="tx1"/>
                </w14:solidFill>
              </w14:textFill>
            </w:rPr>
            <w:t>具备履行合同所必须的专业技术能力表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7E46A6">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_Toc27867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12.1</w:t>
          </w:r>
          <w:r>
            <w:rPr>
              <w:rFonts w:hint="eastAsia" w:ascii="宋体" w:hAnsi="宋体" w:eastAsia="宋体" w:cs="宋体"/>
              <w:color w:val="000000" w:themeColor="text1"/>
              <w:szCs w:val="24"/>
              <w:highlight w:val="none"/>
              <w14:textFill>
                <w14:solidFill>
                  <w14:schemeClr w14:val="tx1"/>
                </w14:solidFill>
              </w14:textFill>
            </w:rPr>
            <w:t>项目负责人简历表(附项目负责人类似项目业绩)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7DE28D">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_Toc2200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13、企业类似业绩</w:t>
          </w:r>
          <w:r>
            <w:rPr>
              <w:rFonts w:hint="eastAsia" w:ascii="宋体" w:hAnsi="宋体" w:eastAsia="宋体" w:cs="宋体"/>
              <w:color w:val="000000" w:themeColor="text1"/>
              <w:szCs w:val="24"/>
              <w:highlight w:val="none"/>
              <w14:textFill>
                <w14:solidFill>
                  <w14:schemeClr w14:val="tx1"/>
                </w14:solidFill>
              </w14:textFill>
            </w:rPr>
            <w:t>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CD6E38">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_Toc17527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lang w:val="en-US" w:eastAsia="zh-CN"/>
              <w14:textFill>
                <w14:solidFill>
                  <w14:schemeClr w14:val="tx1"/>
                </w14:solidFill>
              </w14:textFill>
            </w:rPr>
            <w:t>14、</w:t>
          </w:r>
          <w:r>
            <w:rPr>
              <w:rFonts w:hint="eastAsia" w:ascii="宋体" w:hAnsi="宋体" w:eastAsia="宋体" w:cs="宋体"/>
              <w:bCs/>
              <w:color w:val="000000" w:themeColor="text1"/>
              <w:szCs w:val="24"/>
              <w:highlight w:val="none"/>
              <w14:textFill>
                <w14:solidFill>
                  <w14:schemeClr w14:val="tx1"/>
                </w14:solidFill>
              </w14:textFill>
            </w:rPr>
            <w:t>提供有利于磋商的其他证明材料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CBC06A">
          <w:pPr>
            <w:pStyle w:val="17"/>
            <w:pageBreakBefore w:val="0"/>
            <w:widowControl w:val="0"/>
            <w:tabs>
              <w:tab w:val="right" w:leader="dot" w:pos="8312"/>
            </w:tabs>
            <w:kinsoku/>
            <w:wordWrap/>
            <w:overflowPunct/>
            <w:topLinePunct w:val="0"/>
            <w:bidi w:val="0"/>
            <w:snapToGrid/>
            <w:spacing w:line="38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_Toc23300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kern w:val="0"/>
              <w:szCs w:val="20"/>
              <w:highlight w:val="none"/>
              <w14:textFill>
                <w14:solidFill>
                  <w14:schemeClr w14:val="tx1"/>
                </w14:solidFill>
              </w14:textFill>
            </w:rPr>
            <w:t>响应文件格式范本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F64CEC">
          <w:pPr>
            <w:pageBreakBefore w:val="0"/>
            <w:widowControl w:val="0"/>
            <w:kinsoku/>
            <w:wordWrap/>
            <w:overflowPunct/>
            <w:topLinePunct w:val="0"/>
            <w:bidi w:val="0"/>
            <w:snapToGrid/>
            <w:spacing w:before="0" w:beforeLines="0" w:after="0" w:afterLines="0" w:line="380" w:lineRule="exact"/>
            <w:ind w:left="0" w:leftChars="0" w:right="0" w:rightChars="0" w:firstLine="0" w:firstLineChars="0"/>
            <w:jc w:val="both"/>
            <w:textAlignment w:val="auto"/>
            <w:rPr>
              <w:color w:val="000000" w:themeColor="text1"/>
              <w:highlight w:val="none"/>
              <w14:textFill>
                <w14:solidFill>
                  <w14:schemeClr w14:val="tx1"/>
                </w14:solidFill>
              </w14:textFill>
            </w:rPr>
            <w:sectPr>
              <w:footerReference r:id="rId3" w:type="default"/>
              <w:pgSz w:w="11906" w:h="16838"/>
              <w:pgMar w:top="1440" w:right="1797" w:bottom="1440" w:left="1797" w:header="851" w:footer="992" w:gutter="0"/>
              <w:pgNumType w:fmt="decimal" w:start="1"/>
              <w:cols w:space="720" w:num="1"/>
              <w:docGrid w:linePitch="312" w:charSpace="0"/>
            </w:sectPr>
          </w:pPr>
        </w:p>
        <w:p w14:paraId="05CF6D47">
          <w:pPr>
            <w:pageBreakBefore w:val="0"/>
            <w:widowControl w:val="0"/>
            <w:kinsoku/>
            <w:wordWrap/>
            <w:overflowPunct/>
            <w:topLinePunct w:val="0"/>
            <w:bidi w:val="0"/>
            <w:snapToGrid/>
            <w:spacing w:before="0" w:beforeLines="0" w:after="0" w:afterLines="0" w:line="380" w:lineRule="exact"/>
            <w:ind w:left="0" w:leftChars="0" w:right="0" w:rightChars="0" w:firstLine="0" w:firstLineChars="0"/>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bookmarkStart w:id="57" w:name="_Toc2737"/>
          <w:bookmarkStart w:id="58" w:name="_Toc12385"/>
        </w:p>
      </w:sdtContent>
    </w:sdt>
    <w:p w14:paraId="46C527D0">
      <w:pPr>
        <w:pStyle w:val="3"/>
        <w:tabs>
          <w:tab w:val="left" w:pos="0"/>
        </w:tabs>
        <w:spacing w:before="0" w:after="0" w:line="340" w:lineRule="exact"/>
        <w:jc w:val="center"/>
        <w:rPr>
          <w:rFonts w:hint="eastAsia" w:ascii="宋体" w:hAnsi="宋体" w:eastAsia="宋体" w:cs="宋体"/>
          <w:b/>
          <w:bCs/>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Cs w:val="32"/>
          <w:highlight w:val="none"/>
          <w:lang w:val="en-US" w:eastAsia="zh-CN"/>
          <w14:textFill>
            <w14:solidFill>
              <w14:schemeClr w14:val="tx1"/>
            </w14:solidFill>
          </w14:textFill>
        </w:rPr>
        <w:t>第一章 磋商公告</w:t>
      </w:r>
      <w:bookmarkEnd w:id="57"/>
      <w:bookmarkEnd w:id="58"/>
    </w:p>
    <w:p w14:paraId="371D4FB2">
      <w:pPr>
        <w:spacing w:line="400" w:lineRule="exact"/>
        <w:jc w:val="both"/>
        <w:rPr>
          <w:rFonts w:hint="eastAsia" w:ascii="宋体" w:hAnsi="宋体" w:eastAsia="宋体" w:cs="宋体"/>
          <w:b/>
          <w:bCs/>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u w:val="none"/>
          <w:lang w:val="en-US" w:eastAsia="zh-CN"/>
          <w14:textFill>
            <w14:solidFill>
              <w14:schemeClr w14:val="tx1"/>
            </w14:solidFill>
          </w14:textFill>
        </w:rPr>
        <w:t>新疆哈密市伊吾县淖毛湖镇基础设施配套建设项目-工程材料检测</w:t>
      </w:r>
    </w:p>
    <w:p w14:paraId="319A98D6">
      <w:pPr>
        <w:spacing w:line="400" w:lineRule="exact"/>
        <w:jc w:val="center"/>
        <w:rPr>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u w:val="none"/>
          <w:lang w:val="en-US" w:eastAsia="zh-CN"/>
          <w14:textFill>
            <w14:solidFill>
              <w14:schemeClr w14:val="tx1"/>
            </w14:solidFill>
          </w14:textFill>
        </w:rPr>
        <w:t>服务竞争性磋商公告</w:t>
      </w:r>
    </w:p>
    <w:p w14:paraId="618F71E2">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40" w:lineRule="exact"/>
        <w:ind w:left="0" w:right="0"/>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59" w:name="_Toc3770"/>
      <w:bookmarkStart w:id="60" w:name="_Toc12764"/>
      <w:bookmarkStart w:id="61" w:name="_Toc9153"/>
      <w:bookmarkStart w:id="62" w:name="_Toc25367"/>
      <w:bookmarkStart w:id="63" w:name="_Toc31894"/>
      <w:bookmarkStart w:id="64" w:name="_Toc31949"/>
      <w:bookmarkStart w:id="65" w:name="_Toc14441"/>
      <w:r>
        <w:rPr>
          <w:rStyle w:val="23"/>
          <w:rFonts w:hint="eastAsia" w:ascii="宋体" w:hAnsi="宋体" w:eastAsia="宋体" w:cs="宋体"/>
          <w:b/>
          <w:bCs/>
          <w:i w:val="0"/>
          <w:iCs w:val="0"/>
          <w:caps w:val="0"/>
          <w:color w:val="000000" w:themeColor="text1"/>
          <w:spacing w:val="0"/>
          <w:sz w:val="24"/>
          <w:szCs w:val="24"/>
          <w:highlight w:val="none"/>
          <w14:textFill>
            <w14:solidFill>
              <w14:schemeClr w14:val="tx1"/>
            </w14:solidFill>
          </w14:textFill>
        </w:rPr>
        <w:t>项目概况</w:t>
      </w:r>
      <w:bookmarkEnd w:id="59"/>
      <w:bookmarkEnd w:id="60"/>
      <w:bookmarkEnd w:id="61"/>
      <w:bookmarkEnd w:id="62"/>
      <w:bookmarkEnd w:id="63"/>
      <w:bookmarkEnd w:id="64"/>
      <w:bookmarkEnd w:id="65"/>
    </w:p>
    <w:p w14:paraId="35D28CD8">
      <w:pPr>
        <w:pStyle w:val="1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40" w:lineRule="exact"/>
        <w:ind w:left="0" w:right="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新疆哈密市伊吾县淖毛湖镇基础设施配套建设项目-工程材料检测服务</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的潜在供应商应通过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政采云http://www.ccgp-xinjiang.gov.cn/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获取磋商文件，并于2026年</w:t>
      </w:r>
      <w:r>
        <w:rPr>
          <w:rFonts w:hint="eastAsia" w:ascii="宋体" w:hAnsi="宋体" w:cs="宋体"/>
          <w:color w:val="000000" w:themeColor="text1"/>
          <w:sz w:val="24"/>
          <w:szCs w:val="24"/>
          <w:highlight w:val="none"/>
          <w:u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cs="宋体"/>
          <w:color w:val="000000" w:themeColor="text1"/>
          <w:sz w:val="24"/>
          <w:szCs w:val="24"/>
          <w:highlight w:val="none"/>
          <w:u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日上午</w:t>
      </w:r>
      <w:r>
        <w:rPr>
          <w:rFonts w:hint="eastAsia" w:ascii="宋体" w:hAnsi="宋体" w:cs="宋体"/>
          <w:color w:val="000000" w:themeColor="text1"/>
          <w:sz w:val="24"/>
          <w:szCs w:val="24"/>
          <w:highlight w:val="none"/>
          <w:u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（北京时间）前提交响应文件。</w:t>
      </w:r>
    </w:p>
    <w:p w14:paraId="681D5026">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firstLine="0"/>
        <w:jc w:val="both"/>
        <w:textAlignment w:val="auto"/>
        <w:outlineLvl w:val="1"/>
        <w:rPr>
          <w:rFonts w:hint="eastAsia" w:ascii="宋体" w:hAnsi="宋体" w:eastAsia="宋体" w:cs="宋体"/>
          <w:b/>
          <w:bCs/>
          <w:i w:val="0"/>
          <w:iCs w:val="0"/>
          <w:caps w:val="0"/>
          <w:color w:val="000000" w:themeColor="text1"/>
          <w:spacing w:val="0"/>
          <w:sz w:val="22"/>
          <w:szCs w:val="22"/>
          <w:highlight w:val="none"/>
          <w14:textFill>
            <w14:solidFill>
              <w14:schemeClr w14:val="tx1"/>
            </w14:solidFill>
          </w14:textFill>
        </w:rPr>
      </w:pPr>
      <w:bookmarkStart w:id="66" w:name="_Toc16200"/>
      <w:bookmarkStart w:id="67" w:name="_Toc1375"/>
      <w:bookmarkStart w:id="68" w:name="_Toc19907"/>
      <w:bookmarkStart w:id="69" w:name="_Toc18509"/>
      <w:bookmarkStart w:id="70" w:name="_Toc30429"/>
      <w:bookmarkStart w:id="71" w:name="_Toc5437"/>
      <w:bookmarkStart w:id="72" w:name="_Toc24232"/>
      <w:r>
        <w:rPr>
          <w:rStyle w:val="23"/>
          <w:rFonts w:hint="eastAsia" w:ascii="宋体" w:hAnsi="宋体" w:eastAsia="宋体" w:cs="宋体"/>
          <w:b/>
          <w:bCs/>
          <w:i w:val="0"/>
          <w:iCs w:val="0"/>
          <w:caps w:val="0"/>
          <w:color w:val="000000" w:themeColor="text1"/>
          <w:spacing w:val="0"/>
          <w:sz w:val="24"/>
          <w:szCs w:val="24"/>
          <w:highlight w:val="none"/>
          <w14:textFill>
            <w14:solidFill>
              <w14:schemeClr w14:val="tx1"/>
            </w14:solidFill>
          </w14:textFill>
        </w:rPr>
        <w:t>一、项目基本情况</w:t>
      </w:r>
      <w:bookmarkEnd w:id="66"/>
      <w:bookmarkEnd w:id="67"/>
      <w:bookmarkEnd w:id="68"/>
      <w:bookmarkEnd w:id="69"/>
      <w:bookmarkEnd w:id="70"/>
      <w:bookmarkEnd w:id="71"/>
      <w:bookmarkEnd w:id="72"/>
    </w:p>
    <w:p w14:paraId="55C3B07C">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240" w:firstLineChars="100"/>
        <w:jc w:val="both"/>
        <w:textAlignment w:val="auto"/>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项目编号：</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instrText xml:space="preserve"> HYPERLINK "https://www.zcygov.cn/project-center/_procurement_/project-result-detail/7268869048822661174?utm=web-project-center-front.42c12ca3.0.0.2105c180218f11ef852f9d57cc4bcfd0" \t "https://www.zcygov.cn/project-center/_procurement_/self-project/_blank" </w:instrTex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2026-XJXZ-</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030</w:t>
      </w:r>
      <w:r>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3</w:t>
      </w:r>
    </w:p>
    <w:p w14:paraId="45B75F69">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240" w:firstLineChars="100"/>
        <w:jc w:val="both"/>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项目名称：</w:t>
      </w:r>
      <w:r>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新疆哈密市伊吾县淖毛湖镇基础设施配套建设项目-工程材料检测服务</w:t>
      </w:r>
    </w:p>
    <w:p w14:paraId="061BD120">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240" w:firstLineChars="100"/>
        <w:jc w:val="both"/>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采购方式：竞争性磋商</w:t>
      </w:r>
    </w:p>
    <w:p w14:paraId="28C15740">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jc w:val="both"/>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预算金额（万元）：</w:t>
      </w:r>
      <w:r>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25</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万元</w:t>
      </w:r>
    </w:p>
    <w:p w14:paraId="77379A19">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240" w:firstLineChars="100"/>
        <w:jc w:val="both"/>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最高限价（万元）：</w:t>
      </w:r>
      <w:r>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25万元</w:t>
      </w:r>
    </w:p>
    <w:p w14:paraId="70F058C8">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240" w:firstLineChars="100"/>
        <w:jc w:val="both"/>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采购需求：</w:t>
      </w:r>
      <w:r>
        <w:rPr>
          <w:rFonts w:hint="default" w:ascii="宋体" w:hAnsi="宋体" w:eastAsia="宋体" w:cs="宋体"/>
          <w:color w:val="000000" w:themeColor="text1"/>
          <w:kern w:val="2"/>
          <w:sz w:val="24"/>
          <w:szCs w:val="24"/>
          <w:highlight w:val="none"/>
          <w:u w:val="none"/>
          <w:lang w:val="en-US" w:eastAsia="zh-CN" w:bidi="ar-SA"/>
          <w14:textFill>
            <w14:solidFill>
              <w14:schemeClr w14:val="tx1"/>
            </w14:solidFill>
          </w14:textFill>
        </w:rPr>
        <w:t>按照《建设工程质量管理条例》、《建设工程质量检测管理办法》的要求对新疆哈密市伊吾县淖毛湖镇供水、排水管网改造项目（二期）涉及结构安全的试块、试件以及有关材料进行检测，对进入施工现场的建筑材料、建筑构配件、设备以及工程实体质量等进行检测。</w:t>
      </w:r>
    </w:p>
    <w:p w14:paraId="44C66307">
      <w:pPr>
        <w:spacing w:before="75" w:after="75" w:line="360" w:lineRule="auto"/>
        <w:ind w:firstLine="420"/>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服务期：自合同签订之日起至本项目竣工验收完毕。</w:t>
      </w:r>
    </w:p>
    <w:p w14:paraId="4C2A8459">
      <w:pPr>
        <w:pStyle w:val="18"/>
        <w:keepNext w:val="0"/>
        <w:keepLines w:val="0"/>
        <w:pageBreakBefore w:val="0"/>
        <w:widowControl/>
        <w:numPr>
          <w:ilvl w:val="0"/>
          <w:numId w:val="0"/>
        </w:numPr>
        <w:suppressLineNumbers w:val="0"/>
        <w:kinsoku/>
        <w:wordWrap w:val="0"/>
        <w:overflowPunct/>
        <w:topLinePunct w:val="0"/>
        <w:autoSpaceDE/>
        <w:autoSpaceDN/>
        <w:bidi w:val="0"/>
        <w:adjustRightInd/>
        <w:snapToGrid/>
        <w:spacing w:before="60" w:beforeAutospacing="0" w:after="60" w:afterAutospacing="0" w:line="440" w:lineRule="exact"/>
        <w:ind w:left="240" w:leftChars="0" w:right="0" w:rightChars="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本项目（否）接受联合体投标</w:t>
      </w:r>
    </w:p>
    <w:p w14:paraId="678FAAB2">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40" w:lineRule="exact"/>
        <w:ind w:left="0" w:right="0" w:firstLine="0"/>
        <w:jc w:val="both"/>
        <w:textAlignment w:val="auto"/>
        <w:outlineLvl w:val="1"/>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bookmarkStart w:id="73" w:name="_Toc960"/>
      <w:bookmarkStart w:id="74" w:name="_Toc17609"/>
      <w:bookmarkStart w:id="75" w:name="_Toc25499"/>
      <w:bookmarkStart w:id="76" w:name="_Toc1053"/>
      <w:bookmarkStart w:id="77" w:name="_Toc29252"/>
      <w:bookmarkStart w:id="78" w:name="_Toc10330"/>
      <w:bookmarkStart w:id="79" w:name="_Toc22795"/>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二、申请人的资格要求</w:t>
      </w:r>
      <w:bookmarkEnd w:id="73"/>
      <w:bookmarkEnd w:id="74"/>
      <w:bookmarkEnd w:id="75"/>
      <w:bookmarkEnd w:id="76"/>
      <w:bookmarkEnd w:id="77"/>
      <w:bookmarkEnd w:id="78"/>
      <w:bookmarkEnd w:id="79"/>
    </w:p>
    <w:p w14:paraId="1BBC93FB">
      <w:pPr>
        <w:keepNext w:val="0"/>
        <w:keepLines w:val="0"/>
        <w:pageBreakBefore w:val="0"/>
        <w:widowControl/>
        <w:suppressLineNumbers w:val="0"/>
        <w:kinsoku/>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1.满足《中华人民共和国政府采购法》第二十二条规定；</w:t>
      </w:r>
    </w:p>
    <w:p w14:paraId="6ABBB6CF">
      <w:pPr>
        <w:keepNext w:val="0"/>
        <w:keepLines w:val="0"/>
        <w:pageBreakBefore w:val="0"/>
        <w:widowControl/>
        <w:suppressLineNumbers w:val="0"/>
        <w:kinsoku/>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2.落实政府采购政策需满足的资格要求：本项目属于专门面向中小企业采购；</w:t>
      </w:r>
    </w:p>
    <w:p w14:paraId="3B28F86B">
      <w:pPr>
        <w:keepNext w:val="0"/>
        <w:keepLines w:val="0"/>
        <w:pageBreakBefore w:val="0"/>
        <w:widowControl/>
        <w:suppressLineNumbers w:val="0"/>
        <w:kinsoku/>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3.本项目的特定资格要求：</w:t>
      </w:r>
    </w:p>
    <w:p w14:paraId="6B2A0F72">
      <w:pPr>
        <w:keepNext w:val="0"/>
        <w:keepLines w:val="0"/>
        <w:pageBreakBefore w:val="0"/>
        <w:widowControl/>
        <w:suppressLineNumbers w:val="0"/>
        <w:kinsoku/>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（1）供应商</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具备省级及以上建设行政主管部门颁发的相关检测资质及计量认证（CMA）证书；</w:t>
      </w:r>
    </w:p>
    <w:p w14:paraId="0000342F">
      <w:pPr>
        <w:keepNext w:val="0"/>
        <w:keepLines w:val="0"/>
        <w:pageBreakBefore w:val="0"/>
        <w:widowControl/>
        <w:suppressLineNumbers w:val="0"/>
        <w:kinsoku/>
        <w:overflowPunct/>
        <w:topLinePunct w:val="0"/>
        <w:autoSpaceDE/>
        <w:autoSpaceDN/>
        <w:bidi w:val="0"/>
        <w:adjustRightInd/>
        <w:snapToGrid/>
        <w:spacing w:line="440" w:lineRule="exact"/>
        <w:ind w:firstLine="240" w:firstLineChars="100"/>
        <w:jc w:val="both"/>
        <w:textAlignment w:val="auto"/>
        <w:rPr>
          <w:rFonts w:hint="default"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 xml:space="preserve">（2）项目负责人必须具备中级及以上专业技术职称。 </w:t>
      </w:r>
    </w:p>
    <w:p w14:paraId="64641288">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三、获取采购文件</w:t>
      </w:r>
    </w:p>
    <w:p w14:paraId="08ADD145">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时间：</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2026年</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05</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月</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08</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日至2026年</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05</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月</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14</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日</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，每天</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00:00~23:59</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（北京时间，法定节假日除外）</w:t>
      </w:r>
    </w:p>
    <w:p w14:paraId="6673030D">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地点：</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政采云平台http://www.zcygov.cn/</w:t>
      </w:r>
    </w:p>
    <w:p w14:paraId="7C1310B6">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方式：</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政采云http://www.ccgp-xinjiang.gov.cn/</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（线上下载（供应商登陆政采云平台→ 项目采购 → 获取磋商文件，通过后可下载磋商文件））</w:t>
      </w:r>
    </w:p>
    <w:p w14:paraId="2962D974">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四、响应文件提交 </w:t>
      </w:r>
    </w:p>
    <w:p w14:paraId="25174C58">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截止时间：</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2026年</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05</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月</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19</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日上午</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10</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30</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（北京时间）</w:t>
      </w:r>
    </w:p>
    <w:p w14:paraId="779D2D15">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地点：</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政采云平台http://www.zcygov.cn/</w:t>
      </w:r>
    </w:p>
    <w:p w14:paraId="67554F95">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五、响应文件开启 </w:t>
      </w:r>
    </w:p>
    <w:p w14:paraId="0491E349">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开启时间：</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2026年</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05</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月</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19</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日上午</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10</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w:t>
      </w:r>
      <w:r>
        <w:rPr>
          <w:rFonts w:hint="eastAsia" w:ascii="宋体" w:hAnsi="宋体" w:cs="宋体"/>
          <w:b w:val="0"/>
          <w:bCs w:val="0"/>
          <w:color w:val="000000" w:themeColor="text1"/>
          <w:kern w:val="2"/>
          <w:sz w:val="24"/>
          <w:szCs w:val="24"/>
          <w:highlight w:val="none"/>
          <w:u w:val="single"/>
          <w:lang w:val="en-US" w:eastAsia="zh-CN" w:bidi="ar-SA"/>
          <w14:textFill>
            <w14:solidFill>
              <w14:schemeClr w14:val="tx1"/>
            </w14:solidFill>
          </w14:textFill>
        </w:rPr>
        <w:t>30</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（北京时间）</w:t>
      </w:r>
    </w:p>
    <w:p w14:paraId="5DDDEFEC">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地点：</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政采云平台http://www.zcygov.cn/</w:t>
      </w:r>
    </w:p>
    <w:p w14:paraId="093F1606">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六、公告期限</w:t>
      </w:r>
    </w:p>
    <w:p w14:paraId="5757146C">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自本公告发布之日起5个工作日。</w:t>
      </w:r>
    </w:p>
    <w:p w14:paraId="1B617B4E">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七、其他补充事宜 </w:t>
      </w:r>
    </w:p>
    <w:p w14:paraId="4DBEEA42">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1、本项目实行网上投标，采用电子投标文件。</w:t>
      </w:r>
    </w:p>
    <w:p w14:paraId="781CA697">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1A5EF60">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1ECF6267">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4、其他事项：</w:t>
      </w:r>
    </w:p>
    <w:p w14:paraId="0A1B241C">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firstLine="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2.本项目实行网上投标，采用电子投标文件(供应商须使用CA加密设备通过政采云电子投标客户端制作投标文件)。若供应商参与投标，自行承担投标一切费用。</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3.各供应商应在开标前应确保成为新疆维吾尔自治区政府采购网正式注册入库供应商，并完成CA数字证书申领。因未注册入库、未办理CA数字证书等原因造成无法投标或投标失败等后果由供应商自行承担。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5.供应商在开标时须使用制作加密电子投标文件所使用的CA锁及电脑，电脑须提前配置好浏览器（建议使用谷歌浏览器），以便开标时解锁。</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6.</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磋商保证金</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缴纳及确认时间：凡拟参加本次招标项目的供应商，必须在开标前将</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磋商保证金</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汇入指定账户。</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磋商保证金</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汇款凭证上用途栏应注明:招标项目名称+</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磋商保证金</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8.政采云线上获取招标文件方法：供应商登陆政采云平台http://www.zcygov.cn/，在线申请获取采购文件（登录政府采购云平台 → 项目采购 → 获取采购文件 → 申请，审核通过后可下载招标文件，如有操作性问题，可与政采云在线客服进行咨询，咨询电话：95763）  </w:t>
      </w:r>
    </w:p>
    <w:p w14:paraId="7CF216D2">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特别提示：</w:t>
      </w:r>
    </w:p>
    <w:p w14:paraId="3D82922B">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36376A93">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2、超过200万元的货物和服务采购项目，预留该部分采购项目预算总额的30%以上专门面向中小企业采购，其中预留给小微企业的比例不低于60%。</w:t>
      </w:r>
    </w:p>
    <w:p w14:paraId="11FA2DA1">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4A3EA805">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4、对于未预留份额专门面向中小企业的采购项目，以及预留份额项目中的非预留部分采购包，采购人、采购代理机构应当对符合规定的小微企业报价给予10%</w:t>
      </w:r>
      <w:r>
        <w:rPr>
          <w:rFonts w:hint="default" w:ascii="Times New Roman" w:hAnsi="Times New Roman" w:eastAsia="宋体" w:cs="Times New Roman"/>
          <w:b/>
          <w:bCs/>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20%（工程项目为3%</w:t>
      </w:r>
      <w:r>
        <w:rPr>
          <w:rFonts w:hint="default" w:ascii="Times New Roman" w:hAnsi="Times New Roman" w:eastAsia="宋体" w:cs="Times New Roman"/>
          <w:b/>
          <w:bCs/>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default" w:ascii="Times New Roman" w:hAnsi="Times New Roman" w:eastAsia="宋体" w:cs="Times New Roman"/>
          <w:b/>
          <w:bCs/>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5%作为其价格分。</w:t>
      </w:r>
    </w:p>
    <w:p w14:paraId="193EA93E">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default" w:ascii="Times New Roman" w:hAnsi="Times New Roman" w:eastAsia="宋体" w:cs="Times New Roman"/>
          <w:b/>
          <w:bCs/>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6%（工程项目为1%</w:t>
      </w:r>
      <w:r>
        <w:rPr>
          <w:rFonts w:hint="default" w:ascii="Times New Roman" w:hAnsi="Times New Roman" w:eastAsia="宋体" w:cs="Times New Roman"/>
          <w:b/>
          <w:bCs/>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default" w:ascii="Times New Roman" w:hAnsi="Times New Roman" w:eastAsia="宋体" w:cs="Times New Roman"/>
          <w:b/>
          <w:bCs/>
          <w:color w:val="000000" w:themeColor="text1"/>
          <w:kern w:val="2"/>
          <w:sz w:val="24"/>
          <w:szCs w:val="24"/>
          <w:highlight w:val="none"/>
          <w:u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2%作为其价格分。</w:t>
      </w:r>
    </w:p>
    <w:p w14:paraId="0F471E41">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八、凡对本次招标提出询问，请按以下方式联系</w:t>
      </w:r>
    </w:p>
    <w:p w14:paraId="654B4444">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1.采购人信息</w:t>
      </w:r>
    </w:p>
    <w:p w14:paraId="6DB09E1F">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采购单位：伊吾县淖毛湖镇人民政府</w:t>
      </w:r>
    </w:p>
    <w:p w14:paraId="6206600D">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联 系 人：</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赵子骞</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xml:space="preserve">          </w:t>
      </w:r>
    </w:p>
    <w:p w14:paraId="2381B907">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xml:space="preserve">联系电话： </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18799659160</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xml:space="preserve"> </w:t>
      </w:r>
    </w:p>
    <w:p w14:paraId="44B74D2D">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2.采购代理机构信息</w:t>
      </w:r>
    </w:p>
    <w:p w14:paraId="5F197195">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代理机构：新疆新招工程项目咨询管理有限公司</w:t>
      </w:r>
    </w:p>
    <w:p w14:paraId="343EE3B1">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联系地址：新疆乌鲁木齐市水磨沟区六道湾路1166号首府中央花苑1栋22层2202-2205</w:t>
      </w:r>
    </w:p>
    <w:p w14:paraId="0AC9259C">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联 系 人:</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潘虹</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xml:space="preserve">                 </w:t>
      </w:r>
    </w:p>
    <w:p w14:paraId="631BA955">
      <w:pPr>
        <w:pStyle w:val="7"/>
        <w:keepNext w:val="0"/>
        <w:keepLines w:val="0"/>
        <w:pageBreakBefore w:val="0"/>
        <w:kinsoku/>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联系电话：</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 xml:space="preserve">18199157251 </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0991-6870655</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（办）</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 xml:space="preserve">         </w:t>
      </w:r>
    </w:p>
    <w:p w14:paraId="610E11C1">
      <w:pPr>
        <w:keepNext w:val="0"/>
        <w:keepLines w:val="0"/>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000000" w:themeColor="text1"/>
          <w:highlight w:val="none"/>
          <w14:textFill>
            <w14:solidFill>
              <w14:schemeClr w14:val="tx1"/>
            </w14:solidFill>
          </w14:textFill>
        </w:rPr>
      </w:pPr>
    </w:p>
    <w:p w14:paraId="70CDC142">
      <w:pPr>
        <w:rPr>
          <w:rFonts w:hint="eastAsia" w:ascii="宋体" w:hAnsi="宋体" w:eastAsia="宋体" w:cs="宋体"/>
          <w:color w:val="000000" w:themeColor="text1"/>
          <w:highlight w:val="none"/>
          <w14:textFill>
            <w14:solidFill>
              <w14:schemeClr w14:val="tx1"/>
            </w14:solidFill>
          </w14:textFill>
        </w:rPr>
      </w:pPr>
    </w:p>
    <w:p w14:paraId="6660D1DC">
      <w:pPr>
        <w:rPr>
          <w:rFonts w:hint="eastAsia" w:ascii="宋体" w:hAnsi="宋体" w:eastAsia="宋体" w:cs="宋体"/>
          <w:color w:val="000000" w:themeColor="text1"/>
          <w:highlight w:val="none"/>
          <w14:textFill>
            <w14:solidFill>
              <w14:schemeClr w14:val="tx1"/>
            </w14:solidFill>
          </w14:textFill>
        </w:rPr>
      </w:pPr>
    </w:p>
    <w:p w14:paraId="5D641E07">
      <w:pPr>
        <w:rPr>
          <w:rFonts w:hint="eastAsia" w:ascii="宋体" w:hAnsi="宋体" w:eastAsia="宋体" w:cs="宋体"/>
          <w:color w:val="000000" w:themeColor="text1"/>
          <w:highlight w:val="none"/>
          <w14:textFill>
            <w14:solidFill>
              <w14:schemeClr w14:val="tx1"/>
            </w14:solidFill>
          </w14:textFill>
        </w:rPr>
      </w:pPr>
    </w:p>
    <w:p w14:paraId="007776E8">
      <w:pPr>
        <w:rPr>
          <w:rFonts w:hint="eastAsia" w:ascii="宋体" w:hAnsi="宋体" w:eastAsia="宋体" w:cs="宋体"/>
          <w:color w:val="000000" w:themeColor="text1"/>
          <w:highlight w:val="none"/>
          <w14:textFill>
            <w14:solidFill>
              <w14:schemeClr w14:val="tx1"/>
            </w14:solidFill>
          </w14:textFill>
        </w:rPr>
      </w:pPr>
    </w:p>
    <w:p w14:paraId="45BD5A5D">
      <w:pPr>
        <w:rPr>
          <w:rFonts w:hint="eastAsia" w:ascii="宋体" w:hAnsi="宋体" w:eastAsia="宋体" w:cs="宋体"/>
          <w:color w:val="000000" w:themeColor="text1"/>
          <w:highlight w:val="none"/>
          <w14:textFill>
            <w14:solidFill>
              <w14:schemeClr w14:val="tx1"/>
            </w14:solidFill>
          </w14:textFill>
        </w:rPr>
      </w:pPr>
    </w:p>
    <w:p w14:paraId="3A9D6F37">
      <w:pPr>
        <w:rPr>
          <w:rFonts w:hint="eastAsia" w:ascii="宋体" w:hAnsi="宋体" w:eastAsia="宋体" w:cs="宋体"/>
          <w:color w:val="000000" w:themeColor="text1"/>
          <w:highlight w:val="none"/>
          <w14:textFill>
            <w14:solidFill>
              <w14:schemeClr w14:val="tx1"/>
            </w14:solidFill>
          </w14:textFill>
        </w:rPr>
      </w:pPr>
    </w:p>
    <w:p w14:paraId="16126718">
      <w:pPr>
        <w:rPr>
          <w:rFonts w:hint="eastAsia" w:ascii="宋体" w:hAnsi="宋体" w:eastAsia="宋体" w:cs="宋体"/>
          <w:color w:val="000000" w:themeColor="text1"/>
          <w:highlight w:val="none"/>
          <w14:textFill>
            <w14:solidFill>
              <w14:schemeClr w14:val="tx1"/>
            </w14:solidFill>
          </w14:textFill>
        </w:rPr>
      </w:pPr>
    </w:p>
    <w:p w14:paraId="27CD41FC">
      <w:pPr>
        <w:rPr>
          <w:rFonts w:hint="eastAsia" w:ascii="宋体" w:hAnsi="宋体" w:eastAsia="宋体" w:cs="宋体"/>
          <w:color w:val="000000" w:themeColor="text1"/>
          <w:highlight w:val="none"/>
          <w14:textFill>
            <w14:solidFill>
              <w14:schemeClr w14:val="tx1"/>
            </w14:solidFill>
          </w14:textFill>
        </w:rPr>
      </w:pPr>
    </w:p>
    <w:p w14:paraId="5119FE46">
      <w:pPr>
        <w:rPr>
          <w:rFonts w:hint="eastAsia" w:ascii="宋体" w:hAnsi="宋体" w:eastAsia="宋体" w:cs="宋体"/>
          <w:color w:val="000000" w:themeColor="text1"/>
          <w:highlight w:val="none"/>
          <w14:textFill>
            <w14:solidFill>
              <w14:schemeClr w14:val="tx1"/>
            </w14:solidFill>
          </w14:textFill>
        </w:rPr>
      </w:pPr>
    </w:p>
    <w:p w14:paraId="27FE5461">
      <w:pPr>
        <w:rPr>
          <w:rFonts w:hint="eastAsia" w:ascii="宋体" w:hAnsi="宋体" w:eastAsia="宋体" w:cs="宋体"/>
          <w:color w:val="000000" w:themeColor="text1"/>
          <w:highlight w:val="none"/>
          <w14:textFill>
            <w14:solidFill>
              <w14:schemeClr w14:val="tx1"/>
            </w14:solidFill>
          </w14:textFill>
        </w:rPr>
      </w:pPr>
    </w:p>
    <w:p w14:paraId="72F7F322">
      <w:pPr>
        <w:pStyle w:val="2"/>
        <w:tabs>
          <w:tab w:val="left" w:pos="0"/>
        </w:tabs>
        <w:spacing w:before="0" w:after="0" w:line="240" w:lineRule="atLeast"/>
        <w:ind w:firstLine="2650" w:firstLineChars="600"/>
        <w:jc w:val="both"/>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 w:val="44"/>
          <w:szCs w:val="24"/>
          <w:highlight w:val="none"/>
          <w:lang w:val="en-US" w:eastAsia="zh-CN"/>
          <w14:textFill>
            <w14:solidFill>
              <w14:schemeClr w14:val="tx1"/>
            </w14:solidFill>
          </w14:textFill>
        </w:rPr>
        <w:t xml:space="preserve">  </w:t>
      </w:r>
      <w:bookmarkStart w:id="80" w:name="_Toc9549"/>
      <w:bookmarkStart w:id="81" w:name="_Toc3099"/>
      <w:r>
        <w:rPr>
          <w:rFonts w:hint="eastAsia" w:ascii="宋体" w:hAnsi="宋体" w:eastAsia="宋体" w:cs="宋体"/>
          <w:color w:val="000000" w:themeColor="text1"/>
          <w:szCs w:val="32"/>
          <w:highlight w:val="none"/>
          <w14:textFill>
            <w14:solidFill>
              <w14:schemeClr w14:val="tx1"/>
            </w14:solidFill>
          </w14:textFill>
        </w:rPr>
        <w:t>第</w:t>
      </w:r>
      <w:r>
        <w:rPr>
          <w:rFonts w:hint="eastAsia" w:ascii="宋体" w:hAnsi="宋体" w:eastAsia="宋体" w:cs="宋体"/>
          <w:color w:val="000000" w:themeColor="text1"/>
          <w:szCs w:val="32"/>
          <w:highlight w:val="none"/>
          <w:lang w:val="en-US" w:eastAsia="zh-CN"/>
          <w14:textFill>
            <w14:solidFill>
              <w14:schemeClr w14:val="tx1"/>
            </w14:solidFill>
          </w14:textFill>
        </w:rPr>
        <w:t>二</w:t>
      </w:r>
      <w:r>
        <w:rPr>
          <w:rFonts w:hint="eastAsia" w:ascii="宋体" w:hAnsi="宋体" w:eastAsia="宋体" w:cs="宋体"/>
          <w:color w:val="000000" w:themeColor="text1"/>
          <w:szCs w:val="32"/>
          <w:highlight w:val="none"/>
          <w14:textFill>
            <w14:solidFill>
              <w14:schemeClr w14:val="tx1"/>
            </w14:solidFill>
          </w14:textFill>
        </w:rPr>
        <w:t>章 供应商须知资料表</w:t>
      </w:r>
      <w:bookmarkEnd w:id="80"/>
      <w:bookmarkEnd w:id="81"/>
    </w:p>
    <w:p w14:paraId="0CB12C95">
      <w:pPr>
        <w:spacing w:line="240" w:lineRule="atLeast"/>
        <w:ind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本表是本</w:t>
      </w:r>
      <w:r>
        <w:rPr>
          <w:rFonts w:hint="eastAsia" w:ascii="宋体" w:hAnsi="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项目的具体资料，是对供应商须知的具体补充和修改，如有矛盾，应以本资料表为准。</w:t>
      </w:r>
    </w:p>
    <w:tbl>
      <w:tblPr>
        <w:tblStyle w:val="21"/>
        <w:tblW w:w="92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5"/>
        <w:gridCol w:w="8312"/>
      </w:tblGrid>
      <w:tr w14:paraId="502C4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955" w:type="dxa"/>
            <w:vAlign w:val="center"/>
          </w:tcPr>
          <w:p w14:paraId="0E490206">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条款号</w:t>
            </w:r>
          </w:p>
        </w:tc>
        <w:tc>
          <w:tcPr>
            <w:tcW w:w="8312" w:type="dxa"/>
            <w:vAlign w:val="center"/>
          </w:tcPr>
          <w:p w14:paraId="4899BE1D">
            <w:pPr>
              <w:spacing w:line="240" w:lineRule="atLeast"/>
              <w:ind w:left="1080" w:leftChars="257" w:hanging="54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内      容</w:t>
            </w:r>
          </w:p>
        </w:tc>
      </w:tr>
      <w:tr w14:paraId="34560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 w:hRule="atLeast"/>
          <w:jc w:val="center"/>
        </w:trPr>
        <w:tc>
          <w:tcPr>
            <w:tcW w:w="955" w:type="dxa"/>
            <w:vAlign w:val="center"/>
          </w:tcPr>
          <w:p w14:paraId="47F068E0">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w:t>
            </w:r>
          </w:p>
        </w:tc>
        <w:tc>
          <w:tcPr>
            <w:tcW w:w="8312" w:type="dxa"/>
            <w:vAlign w:val="center"/>
          </w:tcPr>
          <w:p w14:paraId="6BE561EB">
            <w:pPr>
              <w:pStyle w:val="18"/>
              <w:keepNext w:val="0"/>
              <w:keepLines w:val="0"/>
              <w:widowControl/>
              <w:suppressLineNumbers w:val="0"/>
              <w:spacing w:before="75" w:beforeAutospacing="0" w:after="75" w:afterAutospacing="0"/>
              <w:ind w:left="0" w:right="0" w:firstLine="0"/>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xml:space="preserve">采购单位：伊吾县淖毛湖镇人民政府 </w:t>
            </w:r>
          </w:p>
          <w:p w14:paraId="0F676AD2">
            <w:pPr>
              <w:spacing w:line="240" w:lineRule="atLeast"/>
              <w:ind w:firstLine="0" w:firstLineChars="0"/>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 系 人：</w:t>
            </w:r>
            <w:r>
              <w:rPr>
                <w:rFonts w:hint="eastAsia" w:ascii="宋体" w:hAnsi="宋体" w:cs="宋体"/>
                <w:color w:val="000000" w:themeColor="text1"/>
                <w:sz w:val="24"/>
                <w:highlight w:val="none"/>
                <w:u w:val="none"/>
                <w:lang w:val="en-US" w:eastAsia="zh-CN"/>
                <w14:textFill>
                  <w14:solidFill>
                    <w14:schemeClr w14:val="tx1"/>
                  </w14:solidFill>
                </w14:textFill>
              </w:rPr>
              <w:t>赵子骞</w:t>
            </w:r>
            <w:r>
              <w:rPr>
                <w:rFonts w:hint="eastAsia" w:ascii="宋体" w:hAnsi="宋体" w:eastAsia="宋体" w:cs="宋体"/>
                <w:color w:val="000000" w:themeColor="text1"/>
                <w:sz w:val="24"/>
                <w:highlight w:val="none"/>
                <w:u w:val="none"/>
                <w14:textFill>
                  <w14:solidFill>
                    <w14:schemeClr w14:val="tx1"/>
                  </w14:solidFill>
                </w14:textFill>
              </w:rPr>
              <w:t xml:space="preserve">        </w:t>
            </w:r>
          </w:p>
          <w:p w14:paraId="729A0D52">
            <w:pPr>
              <w:spacing w:line="240" w:lineRule="atLeas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联系电话：</w:t>
            </w:r>
            <w:r>
              <w:rPr>
                <w:rFonts w:hint="eastAsia" w:ascii="宋体" w:hAnsi="宋体" w:cs="宋体"/>
                <w:color w:val="000000" w:themeColor="text1"/>
                <w:sz w:val="24"/>
                <w:highlight w:val="none"/>
                <w:u w:val="none"/>
                <w:lang w:eastAsia="zh-CN"/>
                <w14:textFill>
                  <w14:solidFill>
                    <w14:schemeClr w14:val="tx1"/>
                  </w14:solidFill>
                </w14:textFill>
              </w:rPr>
              <w:t>18799659160</w:t>
            </w:r>
          </w:p>
        </w:tc>
      </w:tr>
      <w:tr w14:paraId="6ACAB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8" w:hRule="atLeast"/>
          <w:jc w:val="center"/>
        </w:trPr>
        <w:tc>
          <w:tcPr>
            <w:tcW w:w="955" w:type="dxa"/>
            <w:vAlign w:val="center"/>
          </w:tcPr>
          <w:p w14:paraId="33AB2542">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p>
        </w:tc>
        <w:tc>
          <w:tcPr>
            <w:tcW w:w="8312" w:type="dxa"/>
            <w:vAlign w:val="center"/>
          </w:tcPr>
          <w:p w14:paraId="10BFD5CD">
            <w:pPr>
              <w:pStyle w:val="18"/>
              <w:keepNext w:val="0"/>
              <w:keepLines w:val="0"/>
              <w:widowControl/>
              <w:suppressLineNumbers w:val="0"/>
              <w:spacing w:before="75" w:beforeAutospacing="0" w:after="75" w:afterAutospacing="0"/>
              <w:ind w:left="0" w:right="0" w:firstLine="0"/>
              <w:rPr>
                <w:rFonts w:hint="eastAsia" w:ascii="宋体" w:hAnsi="宋体" w:eastAsia="宋体" w:cs="宋体"/>
                <w:b w:val="0"/>
                <w:bCs w:val="0"/>
                <w:i w:val="0"/>
                <w:iCs w:val="0"/>
                <w:caps w:val="0"/>
                <w:color w:val="000000" w:themeColor="text1"/>
                <w:spacing w:val="0"/>
                <w:kern w:val="2"/>
                <w:sz w:val="24"/>
                <w:szCs w:val="24"/>
                <w:highlight w:val="none"/>
                <w:u w:val="none"/>
                <w:shd w:val="clear"/>
                <w:lang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代理机构：</w:t>
            </w:r>
            <w:r>
              <w:rPr>
                <w:rFonts w:hint="eastAsia" w:ascii="宋体" w:hAnsi="宋体" w:eastAsia="宋体" w:cs="宋体"/>
                <w:b w:val="0"/>
                <w:bCs w:val="0"/>
                <w:i w:val="0"/>
                <w:iCs w:val="0"/>
                <w:caps w:val="0"/>
                <w:color w:val="000000" w:themeColor="text1"/>
                <w:spacing w:val="0"/>
                <w:kern w:val="2"/>
                <w:sz w:val="24"/>
                <w:szCs w:val="24"/>
                <w:highlight w:val="none"/>
                <w:u w:val="none"/>
                <w:shd w:val="clear"/>
                <w:lang w:eastAsia="zh-CN"/>
                <w14:textFill>
                  <w14:solidFill>
                    <w14:schemeClr w14:val="tx1"/>
                  </w14:solidFill>
                </w14:textFill>
              </w:rPr>
              <w:t>新疆新招工程项目咨询管理有限公司</w:t>
            </w:r>
          </w:p>
          <w:p w14:paraId="373A38B8">
            <w:pPr>
              <w:pStyle w:val="18"/>
              <w:keepNext w:val="0"/>
              <w:keepLines w:val="0"/>
              <w:widowControl/>
              <w:suppressLineNumbers w:val="0"/>
              <w:spacing w:before="75" w:beforeAutospacing="0" w:after="75" w:afterAutospacing="0"/>
              <w:ind w:left="0" w:right="0" w:firstLine="0"/>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xml:space="preserve">联 系 人: </w:t>
            </w:r>
            <w:r>
              <w:rPr>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潘虹</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xml:space="preserve">    </w:t>
            </w:r>
          </w:p>
          <w:p w14:paraId="00AB691A">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联系电话：</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 xml:space="preserve">18199157251 </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0991-6870655</w:t>
            </w:r>
            <w:r>
              <w:rPr>
                <w:rFonts w:hint="eastAsia" w:ascii="宋体" w:hAnsi="宋体" w:cs="宋体"/>
                <w:b w:val="0"/>
                <w:bCs w:val="0"/>
                <w:color w:val="000000" w:themeColor="text1"/>
                <w:kern w:val="2"/>
                <w:sz w:val="24"/>
                <w:szCs w:val="24"/>
                <w:highlight w:val="none"/>
                <w:u w:val="none"/>
                <w:lang w:val="en-US" w:eastAsia="zh-CN" w:bidi="ar-SA"/>
                <w14:textFill>
                  <w14:solidFill>
                    <w14:schemeClr w14:val="tx1"/>
                  </w14:solidFill>
                </w14:textFill>
              </w:rPr>
              <w:t>（办）</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 xml:space="preserve"> </w:t>
            </w:r>
            <w:r>
              <w:rPr>
                <w:rFonts w:hint="eastAsia" w:ascii="宋体" w:hAnsi="宋体" w:eastAsia="宋体" w:cs="宋体"/>
                <w:color w:val="000000" w:themeColor="text1"/>
                <w:sz w:val="24"/>
                <w:highlight w:val="none"/>
                <w:u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tc>
      </w:tr>
      <w:tr w14:paraId="788A8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 w:type="dxa"/>
            <w:vAlign w:val="center"/>
          </w:tcPr>
          <w:p w14:paraId="38C5035E">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1.3.4</w:t>
            </w:r>
          </w:p>
        </w:tc>
        <w:tc>
          <w:tcPr>
            <w:tcW w:w="8312" w:type="dxa"/>
            <w:vAlign w:val="center"/>
          </w:tcPr>
          <w:p w14:paraId="0358A971">
            <w:pPr>
              <w:pStyle w:val="7"/>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合格供应商的资格要求：</w:t>
            </w:r>
          </w:p>
          <w:p w14:paraId="2A9D0AA7">
            <w:pPr>
              <w:keepNext w:val="0"/>
              <w:keepLines w:val="0"/>
              <w:pageBreakBefore w:val="0"/>
              <w:widowControl/>
              <w:suppressLineNumbers w:val="0"/>
              <w:kinsoku/>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u w:val="none"/>
                <w:rtl w:val="0"/>
                <w:lang w:val="en-US" w:eastAsia="zh-CN"/>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24"/>
                <w:highlight w:val="none"/>
                <w14:textFill>
                  <w14:solidFill>
                    <w14:schemeClr w14:val="tx1"/>
                  </w14:solidFill>
                </w14:textFill>
              </w:rPr>
              <w:t>满</w:t>
            </w:r>
            <w:r>
              <w:rPr>
                <w:rFonts w:hint="eastAsia" w:ascii="宋体" w:hAnsi="宋体" w:eastAsia="宋体" w:cs="宋体"/>
                <w:b/>
                <w:bCs/>
                <w:color w:val="000000" w:themeColor="text1"/>
                <w:sz w:val="24"/>
                <w:szCs w:val="24"/>
                <w:highlight w:val="none"/>
                <w:u w:val="none"/>
                <w:rtl w:val="0"/>
                <w:lang w:val="en-US" w:eastAsia="zh-CN"/>
                <w14:textFill>
                  <w14:solidFill>
                    <w14:schemeClr w14:val="tx1"/>
                  </w14:solidFill>
                </w14:textFill>
              </w:rPr>
              <w:t>足《中华人民共和国政府采购法》第二十二条规定；</w:t>
            </w:r>
          </w:p>
          <w:p w14:paraId="5CBCC541">
            <w:pPr>
              <w:keepNext w:val="0"/>
              <w:keepLines w:val="0"/>
              <w:pageBreakBefore w:val="0"/>
              <w:widowControl/>
              <w:suppressLineNumbers w:val="0"/>
              <w:kinsoku/>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 xml:space="preserve">（1）具有独立承担民事责任的能力； </w:t>
            </w:r>
          </w:p>
          <w:p w14:paraId="0434F16B">
            <w:pPr>
              <w:keepNext w:val="0"/>
              <w:keepLines w:val="0"/>
              <w:pageBreakBefore w:val="0"/>
              <w:widowControl/>
              <w:suppressLineNumbers w:val="0"/>
              <w:kinsoku/>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 xml:space="preserve">（2）具有健全的财务会计制度； </w:t>
            </w:r>
          </w:p>
          <w:p w14:paraId="5331EFBD">
            <w:pPr>
              <w:keepNext w:val="0"/>
              <w:keepLines w:val="0"/>
              <w:pageBreakBefore w:val="0"/>
              <w:widowControl/>
              <w:suppressLineNumbers w:val="0"/>
              <w:kinsoku/>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 xml:space="preserve">（3）具有履行合同所必需的设备和专业技术能力； </w:t>
            </w:r>
          </w:p>
          <w:p w14:paraId="38B62516">
            <w:pPr>
              <w:keepNext w:val="0"/>
              <w:keepLines w:val="0"/>
              <w:pageBreakBefore w:val="0"/>
              <w:widowControl/>
              <w:suppressLineNumbers w:val="0"/>
              <w:kinsoku/>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 xml:space="preserve">（4）有依法缴纳税收和社会保障资金的良好记录； </w:t>
            </w:r>
          </w:p>
          <w:p w14:paraId="536DEC38">
            <w:pPr>
              <w:keepNext w:val="0"/>
              <w:keepLines w:val="0"/>
              <w:pageBreakBefore w:val="0"/>
              <w:widowControl/>
              <w:suppressLineNumbers w:val="0"/>
              <w:kinsoku/>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 xml:space="preserve">（5）参加政府采购活动前三年内，在经营活动中没有重大违法记录； </w:t>
            </w:r>
          </w:p>
          <w:p w14:paraId="50382A28">
            <w:pPr>
              <w:keepNext w:val="0"/>
              <w:keepLines w:val="0"/>
              <w:pageBreakBefore w:val="0"/>
              <w:widowControl/>
              <w:suppressLineNumbers w:val="0"/>
              <w:kinsoku/>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（6）法律、行政法规规定的其他条件。</w:t>
            </w:r>
          </w:p>
          <w:p w14:paraId="03A18B00">
            <w:pPr>
              <w:keepNext w:val="0"/>
              <w:keepLines w:val="0"/>
              <w:pageBreakBefore w:val="0"/>
              <w:widowControl/>
              <w:suppressLineNumbers w:val="0"/>
              <w:kinsoku/>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2.落实政府采购政策需满足的资格要求：专门面向中小企业；</w:t>
            </w:r>
          </w:p>
          <w:p w14:paraId="2CBD975B">
            <w:pPr>
              <w:keepNext w:val="0"/>
              <w:keepLines w:val="0"/>
              <w:pageBreakBefore w:val="0"/>
              <w:widowControl/>
              <w:suppressLineNumbers w:val="0"/>
              <w:kinsoku/>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3.本项目的特定资格要求：</w:t>
            </w:r>
          </w:p>
          <w:p w14:paraId="2177901E">
            <w:pPr>
              <w:keepNext w:val="0"/>
              <w:keepLines w:val="0"/>
              <w:pageBreakBefore w:val="0"/>
              <w:widowControl/>
              <w:suppressLineNumbers w:val="0"/>
              <w:kinsoku/>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（1）供应商需具备省级及以上建设行政主管部门颁发的相关检测资质及计量认证（CMA）证书；</w:t>
            </w:r>
          </w:p>
          <w:p w14:paraId="37717AB5">
            <w:pPr>
              <w:keepNext w:val="0"/>
              <w:keepLines w:val="0"/>
              <w:pageBreakBefore w:val="0"/>
              <w:widowControl/>
              <w:suppressLineNumbers w:val="0"/>
              <w:kinsoku/>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 xml:space="preserve">（2）项目负责人必须具备中级及以上专业技术职称。 </w:t>
            </w:r>
          </w:p>
          <w:p w14:paraId="71E54E58">
            <w:pPr>
              <w:keepNext w:val="0"/>
              <w:keepLines w:val="0"/>
              <w:pageBreakBefore w:val="0"/>
              <w:widowControl/>
              <w:suppressLineNumbers w:val="0"/>
              <w:kinsoku/>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其他说明：</w:t>
            </w:r>
            <w:r>
              <w:rPr>
                <w:rFonts w:hint="eastAsia" w:ascii="宋体" w:hAnsi="宋体" w:eastAsia="宋体" w:cs="宋体"/>
                <w:b/>
                <w:bCs/>
                <w:color w:val="000000" w:themeColor="text1"/>
                <w:sz w:val="24"/>
                <w:szCs w:val="24"/>
                <w:highlight w:val="none"/>
                <w:u w:val="none"/>
                <w:rtl w:val="0"/>
                <w:lang w:val="en-US" w:eastAsia="zh-CN"/>
                <w14:textFill>
                  <w14:solidFill>
                    <w14:schemeClr w14:val="tx1"/>
                  </w14:solidFill>
                </w14:textFill>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6B6CF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jc w:val="center"/>
        </w:trPr>
        <w:tc>
          <w:tcPr>
            <w:tcW w:w="955" w:type="dxa"/>
            <w:vAlign w:val="center"/>
          </w:tcPr>
          <w:p w14:paraId="313B9FFC">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1.3.5</w:t>
            </w:r>
          </w:p>
        </w:tc>
        <w:tc>
          <w:tcPr>
            <w:tcW w:w="8312" w:type="dxa"/>
            <w:vAlign w:val="center"/>
          </w:tcPr>
          <w:p w14:paraId="6E19E64A">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是否允许采购进口产品：</w:t>
            </w:r>
            <w:r>
              <w:rPr>
                <w:rFonts w:hint="eastAsia" w:ascii="宋体" w:hAnsi="宋体" w:eastAsia="宋体" w:cs="宋体"/>
                <w:color w:val="000000" w:themeColor="text1"/>
                <w:sz w:val="24"/>
                <w:highlight w:val="none"/>
                <w:u w:val="single"/>
                <w14:textFill>
                  <w14:solidFill>
                    <w14:schemeClr w14:val="tx1"/>
                  </w14:solidFill>
                </w14:textFill>
              </w:rPr>
              <w:t xml:space="preserve">  否  </w:t>
            </w:r>
          </w:p>
        </w:tc>
      </w:tr>
      <w:tr w14:paraId="1C51F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55" w:type="dxa"/>
            <w:vAlign w:val="center"/>
          </w:tcPr>
          <w:p w14:paraId="5479BAE3">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1.3.6</w:t>
            </w:r>
          </w:p>
        </w:tc>
        <w:tc>
          <w:tcPr>
            <w:tcW w:w="8312" w:type="dxa"/>
            <w:vAlign w:val="center"/>
          </w:tcPr>
          <w:p w14:paraId="7360FD7F">
            <w:pPr>
              <w:pStyle w:val="16"/>
              <w:spacing w:line="240" w:lineRule="atLeast"/>
              <w:rPr>
                <w:rFonts w:hint="eastAsia" w:ascii="宋体" w:hAnsi="宋体" w:eastAsia="宋体" w:cs="宋体"/>
                <w:b/>
                <w:bCs/>
                <w:color w:val="000000" w:themeColor="text1"/>
                <w:kern w:val="0"/>
                <w:sz w:val="24"/>
                <w:highlight w:val="none"/>
                <w:u w:val="single"/>
                <w:lang w:bidi="ar"/>
                <w14:textFill>
                  <w14:solidFill>
                    <w14:schemeClr w14:val="tx1"/>
                  </w14:solidFill>
                </w14:textFill>
              </w:rPr>
            </w:pPr>
            <w:r>
              <w:rPr>
                <w:rFonts w:hint="eastAsia" w:ascii="宋体" w:hAnsi="宋体" w:eastAsia="宋体" w:cs="宋体"/>
                <w:b/>
                <w:bCs/>
                <w:color w:val="000000" w:themeColor="text1"/>
                <w:kern w:val="0"/>
                <w:sz w:val="24"/>
                <w:highlight w:val="none"/>
                <w:lang w:bidi="ar"/>
                <w14:textFill>
                  <w14:solidFill>
                    <w14:schemeClr w14:val="tx1"/>
                  </w14:solidFill>
                </w14:textFill>
              </w:rPr>
              <w:t>是否为专门面向中小企业采购：</w:t>
            </w:r>
            <w:r>
              <w:rPr>
                <w:rFonts w:hint="eastAsia" w:ascii="宋体" w:hAnsi="宋体" w:eastAsia="宋体" w:cs="宋体"/>
                <w:b/>
                <w:bCs/>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b/>
                <w:bCs/>
                <w:color w:val="000000" w:themeColor="text1"/>
                <w:kern w:val="0"/>
                <w:sz w:val="24"/>
                <w:highlight w:val="none"/>
                <w:u w:val="single"/>
                <w:lang w:val="en-US" w:eastAsia="zh-CN" w:bidi="ar"/>
                <w14:textFill>
                  <w14:solidFill>
                    <w14:schemeClr w14:val="tx1"/>
                  </w14:solidFill>
                </w14:textFill>
              </w:rPr>
              <w:t>是</w:t>
            </w:r>
            <w:r>
              <w:rPr>
                <w:rFonts w:hint="eastAsia" w:ascii="宋体" w:hAnsi="宋体" w:eastAsia="宋体" w:cs="宋体"/>
                <w:b/>
                <w:bCs/>
                <w:color w:val="000000" w:themeColor="text1"/>
                <w:kern w:val="0"/>
                <w:sz w:val="24"/>
                <w:highlight w:val="none"/>
                <w:u w:val="single"/>
                <w:lang w:bidi="ar"/>
                <w14:textFill>
                  <w14:solidFill>
                    <w14:schemeClr w14:val="tx1"/>
                  </w14:solidFill>
                </w14:textFill>
              </w:rPr>
              <w:t xml:space="preserve">  </w:t>
            </w:r>
          </w:p>
          <w:p w14:paraId="73D1478B">
            <w:pPr>
              <w:pStyle w:val="1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注：在磋商文件明确要求：潜在投标企业属于中小微企业的，请在</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中提供“中小企业声明函”，如果未提供或提供虚假的“中小企业声明函”，投标企业将承担由此造成的一切不利后果。</w:t>
            </w:r>
          </w:p>
        </w:tc>
      </w:tr>
      <w:tr w14:paraId="0F37F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955" w:type="dxa"/>
            <w:vAlign w:val="center"/>
          </w:tcPr>
          <w:p w14:paraId="1CFD4640">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w:t>
            </w:r>
          </w:p>
        </w:tc>
        <w:tc>
          <w:tcPr>
            <w:tcW w:w="8312" w:type="dxa"/>
            <w:vAlign w:val="center"/>
          </w:tcPr>
          <w:p w14:paraId="369B8124">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是否允许联合体磋商：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否</w:t>
            </w:r>
            <w:r>
              <w:rPr>
                <w:rFonts w:hint="eastAsia" w:ascii="宋体" w:hAnsi="宋体" w:eastAsia="宋体" w:cs="宋体"/>
                <w:color w:val="000000" w:themeColor="text1"/>
                <w:sz w:val="24"/>
                <w:highlight w:val="none"/>
                <w:u w:val="single"/>
                <w14:textFill>
                  <w14:solidFill>
                    <w14:schemeClr w14:val="tx1"/>
                  </w14:solidFill>
                </w14:textFill>
              </w:rPr>
              <w:t xml:space="preserve">   </w:t>
            </w:r>
          </w:p>
        </w:tc>
      </w:tr>
      <w:tr w14:paraId="5318E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955" w:type="dxa"/>
            <w:vAlign w:val="center"/>
          </w:tcPr>
          <w:p w14:paraId="6DF3DA13">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1.4.8</w:t>
            </w:r>
          </w:p>
        </w:tc>
        <w:tc>
          <w:tcPr>
            <w:tcW w:w="8312" w:type="dxa"/>
            <w:vAlign w:val="center"/>
          </w:tcPr>
          <w:p w14:paraId="0749F53B">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联合体的其他资格要求：无</w:t>
            </w:r>
          </w:p>
        </w:tc>
      </w:tr>
      <w:tr w14:paraId="43CF6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55" w:type="dxa"/>
            <w:vAlign w:val="center"/>
          </w:tcPr>
          <w:p w14:paraId="7FD29D0C">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p>
        </w:tc>
        <w:tc>
          <w:tcPr>
            <w:tcW w:w="8312" w:type="dxa"/>
            <w:vAlign w:val="center"/>
          </w:tcPr>
          <w:p w14:paraId="42E8FF7F">
            <w:pPr>
              <w:pStyle w:val="5"/>
              <w:spacing w:line="400" w:lineRule="exact"/>
              <w:ind w:firstLine="0"/>
              <w:rPr>
                <w:rFonts w:hint="eastAsia" w:ascii="宋体" w:hAnsi="宋体" w:eastAsia="宋体" w:cs="宋体"/>
                <w:b/>
                <w:bCs/>
                <w:color w:val="000000" w:themeColor="text1"/>
                <w:kern w:val="2"/>
                <w:szCs w:val="24"/>
                <w:highlight w:val="none"/>
                <w14:textFill>
                  <w14:solidFill>
                    <w14:schemeClr w14:val="tx1"/>
                  </w14:solidFill>
                </w14:textFill>
              </w:rPr>
            </w:pPr>
            <w:r>
              <w:rPr>
                <w:rFonts w:hint="eastAsia" w:ascii="宋体" w:hAnsi="宋体" w:eastAsia="宋体" w:cs="宋体"/>
                <w:b/>
                <w:bCs/>
                <w:color w:val="000000" w:themeColor="text1"/>
                <w:kern w:val="2"/>
                <w:szCs w:val="24"/>
                <w:highlight w:val="none"/>
                <w14:textFill>
                  <w14:solidFill>
                    <w14:schemeClr w14:val="tx1"/>
                  </w14:solidFill>
                </w14:textFill>
              </w:rPr>
              <w:t>项目预算金额：</w:t>
            </w:r>
            <w:r>
              <w:rPr>
                <w:rFonts w:hint="eastAsia" w:hAnsi="宋体" w:cs="宋体"/>
                <w:b/>
                <w:bCs/>
                <w:color w:val="000000" w:themeColor="text1"/>
                <w:kern w:val="2"/>
                <w:szCs w:val="24"/>
                <w:highlight w:val="none"/>
                <w:lang w:val="en-US" w:eastAsia="zh-CN"/>
                <w14:textFill>
                  <w14:solidFill>
                    <w14:schemeClr w14:val="tx1"/>
                  </w14:solidFill>
                </w14:textFill>
              </w:rPr>
              <w:t>25万元</w:t>
            </w:r>
          </w:p>
          <w:p w14:paraId="0DD03791">
            <w:pPr>
              <w:pStyle w:val="5"/>
              <w:spacing w:line="400" w:lineRule="exact"/>
              <w:ind w:firstLine="0"/>
              <w:rPr>
                <w:rFonts w:hint="default" w:ascii="宋体" w:hAnsi="宋体" w:eastAsia="宋体" w:cs="宋体"/>
                <w:b/>
                <w:bCs/>
                <w:color w:val="000000" w:themeColor="text1"/>
                <w:kern w:val="2"/>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Cs w:val="24"/>
                <w:highlight w:val="none"/>
                <w14:textFill>
                  <w14:solidFill>
                    <w14:schemeClr w14:val="tx1"/>
                  </w14:solidFill>
                </w14:textFill>
              </w:rPr>
              <w:t>注：如供应商的投标报价超出采购预算将作无效投标处理。</w:t>
            </w:r>
          </w:p>
        </w:tc>
      </w:tr>
      <w:tr w14:paraId="43B2F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955" w:type="dxa"/>
            <w:vAlign w:val="center"/>
          </w:tcPr>
          <w:p w14:paraId="189D8F1B">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w:t>
            </w:r>
          </w:p>
        </w:tc>
        <w:tc>
          <w:tcPr>
            <w:tcW w:w="8312" w:type="dxa"/>
            <w:vAlign w:val="center"/>
          </w:tcPr>
          <w:p w14:paraId="750848CC">
            <w:pPr>
              <w:spacing w:line="400" w:lineRule="exact"/>
              <w:ind w:left="0" w:firstLine="0" w:firstLineChars="0"/>
              <w:rPr>
                <w:rFonts w:hint="eastAsia" w:ascii="宋体" w:hAnsi="宋体" w:eastAsia="宋体" w:cs="宋体"/>
                <w:b/>
                <w:bCs/>
                <w:iCs/>
                <w:color w:val="000000" w:themeColor="text1"/>
                <w:sz w:val="24"/>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保证金形式：☑保函  ☑电汇  ☑支票</w:t>
            </w:r>
            <w:r>
              <w:rPr>
                <w:rFonts w:hint="eastAsia" w:ascii="宋体" w:hAnsi="宋体" w:eastAsia="宋体" w:cs="宋体"/>
                <w:b/>
                <w:bCs/>
                <w:i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iCs/>
                <w:color w:val="000000" w:themeColor="text1"/>
                <w:sz w:val="24"/>
                <w:highlight w:val="none"/>
                <w14:textFill>
                  <w14:solidFill>
                    <w14:schemeClr w14:val="tx1"/>
                  </w14:solidFill>
                </w14:textFill>
              </w:rPr>
              <w:t xml:space="preserve">☑企业账户网银汇款 </w:t>
            </w:r>
          </w:p>
          <w:p w14:paraId="0958BC9B">
            <w:pPr>
              <w:spacing w:line="400" w:lineRule="exact"/>
              <w:ind w:left="0" w:firstLine="0" w:firstLineChars="0"/>
              <w:rPr>
                <w:rFonts w:hint="eastAsia" w:ascii="宋体" w:hAnsi="宋体" w:eastAsia="宋体" w:cs="宋体"/>
                <w:b/>
                <w:bCs/>
                <w:iCs/>
                <w:color w:val="000000" w:themeColor="text1"/>
                <w:sz w:val="24"/>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保证金数额：</w:t>
            </w:r>
            <w:r>
              <w:rPr>
                <w:rFonts w:hint="eastAsia" w:ascii="宋体" w:hAnsi="宋体" w:cs="宋体"/>
                <w:b/>
                <w:bCs/>
                <w:iCs/>
                <w:color w:val="000000" w:themeColor="text1"/>
                <w:sz w:val="24"/>
                <w:highlight w:val="none"/>
                <w:lang w:val="en-US" w:eastAsia="zh-CN"/>
                <w14:textFill>
                  <w14:solidFill>
                    <w14:schemeClr w14:val="tx1"/>
                  </w14:solidFill>
                </w14:textFill>
              </w:rPr>
              <w:t>5</w:t>
            </w:r>
            <w:r>
              <w:rPr>
                <w:rFonts w:hint="eastAsia" w:ascii="宋体" w:hAnsi="宋体" w:eastAsia="宋体" w:cs="宋体"/>
                <w:b/>
                <w:bCs/>
                <w:iCs/>
                <w:color w:val="000000" w:themeColor="text1"/>
                <w:sz w:val="24"/>
                <w:highlight w:val="none"/>
                <w:lang w:val="en-US" w:eastAsia="zh-CN"/>
                <w14:textFill>
                  <w14:solidFill>
                    <w14:schemeClr w14:val="tx1"/>
                  </w14:solidFill>
                </w14:textFill>
              </w:rPr>
              <w:t>00</w:t>
            </w:r>
            <w:r>
              <w:rPr>
                <w:rFonts w:hint="eastAsia" w:ascii="宋体" w:hAnsi="宋体" w:cs="宋体"/>
                <w:b/>
                <w:bCs/>
                <w:iCs/>
                <w:color w:val="000000" w:themeColor="text1"/>
                <w:sz w:val="24"/>
                <w:highlight w:val="none"/>
                <w:lang w:val="en-US" w:eastAsia="zh-CN"/>
                <w14:textFill>
                  <w14:solidFill>
                    <w14:schemeClr w14:val="tx1"/>
                  </w14:solidFill>
                </w14:textFill>
              </w:rPr>
              <w:t>0</w:t>
            </w:r>
            <w:r>
              <w:rPr>
                <w:rFonts w:hint="eastAsia" w:ascii="宋体" w:hAnsi="宋体" w:eastAsia="宋体" w:cs="宋体"/>
                <w:b/>
                <w:bCs/>
                <w:iCs/>
                <w:color w:val="000000" w:themeColor="text1"/>
                <w:sz w:val="24"/>
                <w:highlight w:val="none"/>
                <w14:textFill>
                  <w14:solidFill>
                    <w14:schemeClr w14:val="tx1"/>
                  </w14:solidFill>
                </w14:textFill>
              </w:rPr>
              <w:t>.00元（</w:t>
            </w:r>
            <w:r>
              <w:rPr>
                <w:rFonts w:hint="eastAsia" w:ascii="宋体" w:hAnsi="宋体" w:cs="宋体"/>
                <w:b/>
                <w:bCs/>
                <w:iCs/>
                <w:color w:val="000000" w:themeColor="text1"/>
                <w:sz w:val="24"/>
                <w:highlight w:val="none"/>
                <w:lang w:val="en-US" w:eastAsia="zh-CN"/>
                <w14:textFill>
                  <w14:solidFill>
                    <w14:schemeClr w14:val="tx1"/>
                  </w14:solidFill>
                </w14:textFill>
              </w:rPr>
              <w:t>伍仟元整</w:t>
            </w:r>
            <w:r>
              <w:rPr>
                <w:rFonts w:hint="eastAsia" w:ascii="宋体" w:hAnsi="宋体" w:eastAsia="宋体" w:cs="宋体"/>
                <w:b/>
                <w:bCs/>
                <w:iCs/>
                <w:color w:val="000000" w:themeColor="text1"/>
                <w:sz w:val="24"/>
                <w:highlight w:val="none"/>
                <w14:textFill>
                  <w14:solidFill>
                    <w14:schemeClr w14:val="tx1"/>
                  </w14:solidFill>
                </w14:textFill>
              </w:rPr>
              <w:t>）</w:t>
            </w:r>
          </w:p>
          <w:p w14:paraId="338BA84C">
            <w:pPr>
              <w:spacing w:line="400" w:lineRule="exact"/>
              <w:ind w:left="0" w:firstLine="0" w:firstLineChars="0"/>
              <w:rPr>
                <w:rFonts w:hint="eastAsia" w:ascii="宋体" w:hAnsi="宋体" w:eastAsia="宋体" w:cs="宋体"/>
                <w:b/>
                <w:bCs/>
                <w:iCs/>
                <w:color w:val="000000" w:themeColor="text1"/>
                <w:sz w:val="24"/>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账户名：</w:t>
            </w:r>
            <w:r>
              <w:rPr>
                <w:rFonts w:hint="eastAsia" w:ascii="宋体" w:hAnsi="宋体" w:eastAsia="宋体" w:cs="宋体"/>
                <w:b/>
                <w:bCs/>
                <w:iCs/>
                <w:color w:val="000000" w:themeColor="text1"/>
                <w:sz w:val="24"/>
                <w:highlight w:val="none"/>
                <w:lang w:eastAsia="zh-CN"/>
                <w14:textFill>
                  <w14:solidFill>
                    <w14:schemeClr w14:val="tx1"/>
                  </w14:solidFill>
                </w14:textFill>
              </w:rPr>
              <w:t>新疆新招工程项目咨询管理有限公司</w:t>
            </w:r>
          </w:p>
          <w:p w14:paraId="0272CD8D">
            <w:pPr>
              <w:spacing w:line="400" w:lineRule="exact"/>
              <w:ind w:left="0" w:firstLine="0" w:firstLineChars="0"/>
              <w:rPr>
                <w:rFonts w:hint="eastAsia" w:ascii="宋体" w:hAnsi="宋体" w:eastAsia="宋体" w:cs="宋体"/>
                <w:b/>
                <w:bCs/>
                <w:iCs/>
                <w:color w:val="000000" w:themeColor="text1"/>
                <w:sz w:val="24"/>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账  号：3002016909200338508</w:t>
            </w:r>
          </w:p>
          <w:p w14:paraId="25B3D169">
            <w:pPr>
              <w:spacing w:line="400" w:lineRule="exact"/>
              <w:ind w:left="0" w:firstLine="0" w:firstLineChars="0"/>
              <w:rPr>
                <w:rFonts w:hint="eastAsia" w:ascii="宋体" w:hAnsi="宋体" w:eastAsia="宋体" w:cs="宋体"/>
                <w:b/>
                <w:bCs/>
                <w:iCs/>
                <w:color w:val="000000" w:themeColor="text1"/>
                <w:sz w:val="24"/>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开户行：中国工商银行股份有限公司乌鲁木齐人民路支行</w:t>
            </w:r>
          </w:p>
          <w:p w14:paraId="6BBBA441">
            <w:pPr>
              <w:spacing w:line="400" w:lineRule="exact"/>
              <w:ind w:left="0" w:firstLine="0" w:firstLineChars="0"/>
              <w:rPr>
                <w:rFonts w:hint="eastAsia" w:ascii="宋体" w:hAnsi="宋体" w:eastAsia="宋体" w:cs="宋体"/>
                <w:b/>
                <w:bCs/>
                <w:iCs/>
                <w:color w:val="000000" w:themeColor="text1"/>
                <w:sz w:val="24"/>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行号：102881001691</w:t>
            </w:r>
          </w:p>
          <w:p w14:paraId="64BAF459">
            <w:pPr>
              <w:spacing w:line="400" w:lineRule="exact"/>
              <w:ind w:left="0" w:firstLine="0" w:firstLineChars="0"/>
              <w:rPr>
                <w:rFonts w:hint="eastAsia" w:ascii="宋体" w:hAnsi="宋体" w:eastAsia="宋体" w:cs="宋体"/>
                <w:b/>
                <w:bCs/>
                <w:iCs/>
                <w:color w:val="000000" w:themeColor="text1"/>
                <w:sz w:val="24"/>
                <w:highlight w:val="none"/>
                <w:lang w:val="en-US" w:eastAsia="zh-CN"/>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财务电话：</w:t>
            </w:r>
            <w:r>
              <w:rPr>
                <w:rFonts w:hint="eastAsia" w:ascii="宋体" w:hAnsi="宋体" w:eastAsia="宋体" w:cs="宋体"/>
                <w:b/>
                <w:bCs/>
                <w:iCs/>
                <w:color w:val="000000" w:themeColor="text1"/>
                <w:sz w:val="24"/>
                <w:highlight w:val="none"/>
                <w:lang w:val="en-US" w:eastAsia="zh-CN"/>
                <w14:textFill>
                  <w14:solidFill>
                    <w14:schemeClr w14:val="tx1"/>
                  </w14:solidFill>
                </w14:textFill>
              </w:rPr>
              <w:t>0991-2801456</w:t>
            </w:r>
          </w:p>
          <w:p w14:paraId="4673B17F">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iCs/>
                <w:color w:val="000000" w:themeColor="text1"/>
                <w:sz w:val="24"/>
                <w:highlight w:val="none"/>
                <w14:textFill>
                  <w14:solidFill>
                    <w14:schemeClr w14:val="tx1"/>
                  </w14:solidFill>
                </w14:textFill>
              </w:rPr>
              <w:t>到账截止时间：</w:t>
            </w:r>
            <w:r>
              <w:rPr>
                <w:rFonts w:hint="eastAsia" w:ascii="宋体" w:hAnsi="宋体" w:eastAsia="宋体" w:cs="宋体"/>
                <w:b/>
                <w:bCs/>
                <w:iCs/>
                <w:color w:val="000000" w:themeColor="text1"/>
                <w:sz w:val="24"/>
                <w:highlight w:val="none"/>
                <w:lang w:eastAsia="zh-CN"/>
                <w14:textFill>
                  <w14:solidFill>
                    <w14:schemeClr w14:val="tx1"/>
                  </w14:solidFill>
                </w14:textFill>
              </w:rPr>
              <w:t>202</w:t>
            </w:r>
            <w:r>
              <w:rPr>
                <w:rFonts w:hint="eastAsia" w:ascii="宋体" w:hAnsi="宋体" w:eastAsia="宋体" w:cs="宋体"/>
                <w:b/>
                <w:bCs/>
                <w:iCs/>
                <w:color w:val="000000" w:themeColor="text1"/>
                <w:sz w:val="24"/>
                <w:highlight w:val="none"/>
                <w:lang w:val="en-US" w:eastAsia="zh-CN"/>
                <w14:textFill>
                  <w14:solidFill>
                    <w14:schemeClr w14:val="tx1"/>
                  </w14:solidFill>
                </w14:textFill>
              </w:rPr>
              <w:t>6</w:t>
            </w:r>
            <w:r>
              <w:rPr>
                <w:rFonts w:hint="eastAsia" w:ascii="宋体" w:hAnsi="宋体" w:eastAsia="宋体" w:cs="宋体"/>
                <w:b/>
                <w:bCs/>
                <w:iCs/>
                <w:color w:val="000000" w:themeColor="text1"/>
                <w:sz w:val="24"/>
                <w:highlight w:val="none"/>
                <w:lang w:eastAsia="zh-CN"/>
                <w14:textFill>
                  <w14:solidFill>
                    <w14:schemeClr w14:val="tx1"/>
                  </w14:solidFill>
                </w14:textFill>
              </w:rPr>
              <w:t>年</w:t>
            </w:r>
            <w:r>
              <w:rPr>
                <w:rFonts w:hint="eastAsia" w:ascii="宋体" w:hAnsi="宋体" w:cs="宋体"/>
                <w:b/>
                <w:bCs/>
                <w:iCs/>
                <w:color w:val="000000" w:themeColor="text1"/>
                <w:sz w:val="24"/>
                <w:highlight w:val="none"/>
                <w:lang w:val="en-US" w:eastAsia="zh-CN"/>
                <w14:textFill>
                  <w14:solidFill>
                    <w14:schemeClr w14:val="tx1"/>
                  </w14:solidFill>
                </w14:textFill>
              </w:rPr>
              <w:t>05</w:t>
            </w:r>
            <w:r>
              <w:rPr>
                <w:rFonts w:hint="eastAsia" w:ascii="宋体" w:hAnsi="宋体" w:eastAsia="宋体" w:cs="宋体"/>
                <w:b/>
                <w:bCs/>
                <w:iCs/>
                <w:color w:val="000000" w:themeColor="text1"/>
                <w:sz w:val="24"/>
                <w:highlight w:val="none"/>
                <w:lang w:eastAsia="zh-CN"/>
                <w14:textFill>
                  <w14:solidFill>
                    <w14:schemeClr w14:val="tx1"/>
                  </w14:solidFill>
                </w14:textFill>
              </w:rPr>
              <w:t>月</w:t>
            </w:r>
            <w:r>
              <w:rPr>
                <w:rFonts w:hint="eastAsia" w:ascii="宋体" w:hAnsi="宋体" w:cs="宋体"/>
                <w:b/>
                <w:bCs/>
                <w:iCs/>
                <w:color w:val="000000" w:themeColor="text1"/>
                <w:sz w:val="24"/>
                <w:highlight w:val="none"/>
                <w:lang w:val="en-US" w:eastAsia="zh-CN"/>
                <w14:textFill>
                  <w14:solidFill>
                    <w14:schemeClr w14:val="tx1"/>
                  </w14:solidFill>
                </w14:textFill>
              </w:rPr>
              <w:t>19</w:t>
            </w:r>
            <w:r>
              <w:rPr>
                <w:rFonts w:hint="eastAsia" w:ascii="宋体" w:hAnsi="宋体" w:eastAsia="宋体" w:cs="宋体"/>
                <w:b/>
                <w:bCs/>
                <w:iCs/>
                <w:color w:val="000000" w:themeColor="text1"/>
                <w:sz w:val="24"/>
                <w:highlight w:val="none"/>
                <w:lang w:eastAsia="zh-CN"/>
                <w14:textFill>
                  <w14:solidFill>
                    <w14:schemeClr w14:val="tx1"/>
                  </w14:solidFill>
                </w14:textFill>
              </w:rPr>
              <w:t>日上午</w:t>
            </w:r>
            <w:r>
              <w:rPr>
                <w:rFonts w:hint="eastAsia" w:ascii="宋体" w:hAnsi="宋体" w:cs="宋体"/>
                <w:b/>
                <w:bCs/>
                <w:iCs/>
                <w:color w:val="000000" w:themeColor="text1"/>
                <w:sz w:val="24"/>
                <w:highlight w:val="none"/>
                <w:lang w:val="en-US" w:eastAsia="zh-CN"/>
                <w14:textFill>
                  <w14:solidFill>
                    <w14:schemeClr w14:val="tx1"/>
                  </w14:solidFill>
                </w14:textFill>
              </w:rPr>
              <w:t>10</w:t>
            </w:r>
            <w:r>
              <w:rPr>
                <w:rFonts w:hint="eastAsia" w:ascii="宋体" w:hAnsi="宋体" w:eastAsia="宋体" w:cs="宋体"/>
                <w:b/>
                <w:bCs/>
                <w:iCs/>
                <w:color w:val="000000" w:themeColor="text1"/>
                <w:sz w:val="24"/>
                <w:highlight w:val="none"/>
                <w:lang w:eastAsia="zh-CN"/>
                <w14:textFill>
                  <w14:solidFill>
                    <w14:schemeClr w14:val="tx1"/>
                  </w14:solidFill>
                </w14:textFill>
              </w:rPr>
              <w:t>:</w:t>
            </w:r>
            <w:r>
              <w:rPr>
                <w:rFonts w:hint="eastAsia" w:ascii="宋体" w:hAnsi="宋体" w:cs="宋体"/>
                <w:b/>
                <w:bCs/>
                <w:iCs/>
                <w:color w:val="000000" w:themeColor="text1"/>
                <w:sz w:val="24"/>
                <w:highlight w:val="none"/>
                <w:lang w:val="en-US" w:eastAsia="zh-CN"/>
                <w14:textFill>
                  <w14:solidFill>
                    <w14:schemeClr w14:val="tx1"/>
                  </w14:solidFill>
                </w14:textFill>
              </w:rPr>
              <w:t>30</w:t>
            </w:r>
            <w:r>
              <w:rPr>
                <w:rFonts w:hint="eastAsia" w:ascii="宋体" w:hAnsi="宋体" w:eastAsia="宋体" w:cs="宋体"/>
                <w:b/>
                <w:bCs/>
                <w:iCs/>
                <w:color w:val="000000" w:themeColor="text1"/>
                <w:sz w:val="24"/>
                <w:highlight w:val="none"/>
                <w14:textFill>
                  <w14:solidFill>
                    <w14:schemeClr w14:val="tx1"/>
                  </w14:solidFill>
                </w14:textFill>
              </w:rPr>
              <w:t>（北京时间）。</w:t>
            </w:r>
          </w:p>
          <w:p w14:paraId="65CC916A">
            <w:pPr>
              <w:spacing w:line="400" w:lineRule="exact"/>
              <w:rPr>
                <w:rFonts w:hint="eastAsia" w:ascii="宋体" w:hAnsi="宋体" w:eastAsia="宋体" w:cs="宋体"/>
                <w:iCs/>
                <w:color w:val="000000" w:themeColor="text1"/>
                <w:sz w:val="24"/>
                <w:highlight w:val="none"/>
                <w:lang w:val="en-US" w:eastAsia="zh-CN"/>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注：磋商响应截止时间，我公司财务人员未查询到汇款记录，以无效标处理。</w:t>
            </w:r>
          </w:p>
          <w:p w14:paraId="144748CC">
            <w:pPr>
              <w:spacing w:line="400" w:lineRule="exact"/>
              <w:rPr>
                <w:rFonts w:hint="eastAsia" w:ascii="宋体" w:hAnsi="宋体" w:eastAsia="宋体" w:cs="宋体"/>
                <w:iCs/>
                <w:color w:val="000000" w:themeColor="text1"/>
                <w:sz w:val="24"/>
                <w:highlight w:val="none"/>
                <w:lang w:val="en-US" w:eastAsia="zh-CN"/>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1.《中华人民共和国政府采购法实施条例》第三十三条：磋商文件要求</w:t>
            </w:r>
            <w:r>
              <w:rPr>
                <w:rFonts w:hint="eastAsia" w:ascii="宋体" w:hAnsi="宋体" w:cs="宋体"/>
                <w:iCs/>
                <w:color w:val="000000" w:themeColor="text1"/>
                <w:sz w:val="24"/>
                <w:highlight w:val="none"/>
                <w:lang w:val="en-US" w:eastAsia="zh-CN"/>
                <w14:textFill>
                  <w14:solidFill>
                    <w14:schemeClr w14:val="tx1"/>
                  </w14:solidFill>
                </w14:textFill>
              </w:rPr>
              <w:t>供应商</w:t>
            </w:r>
            <w:r>
              <w:rPr>
                <w:rFonts w:hint="eastAsia" w:ascii="宋体" w:hAnsi="宋体" w:eastAsia="宋体" w:cs="宋体"/>
                <w:iCs/>
                <w:color w:val="000000" w:themeColor="text1"/>
                <w:sz w:val="24"/>
                <w:highlight w:val="none"/>
                <w:lang w:val="en-US" w:eastAsia="zh-CN"/>
                <w14:textFill>
                  <w14:solidFill>
                    <w14:schemeClr w14:val="tx1"/>
                  </w14:solidFill>
                </w14:textFill>
              </w:rPr>
              <w:t>提交保证金的，保证金不得超过采购项目预算金额的2%。保证金应当以支票、汇票、本票或者金融机构、担保机构出具的保函等非现金形式提交。</w:t>
            </w:r>
            <w:r>
              <w:rPr>
                <w:rFonts w:hint="eastAsia" w:ascii="宋体" w:hAnsi="宋体" w:cs="宋体"/>
                <w:iCs/>
                <w:color w:val="000000" w:themeColor="text1"/>
                <w:sz w:val="24"/>
                <w:highlight w:val="none"/>
                <w:lang w:val="en-US" w:eastAsia="zh-CN"/>
                <w14:textFill>
                  <w14:solidFill>
                    <w14:schemeClr w14:val="tx1"/>
                  </w14:solidFill>
                </w14:textFill>
              </w:rPr>
              <w:t>供应商</w:t>
            </w:r>
            <w:r>
              <w:rPr>
                <w:rFonts w:hint="eastAsia" w:ascii="宋体" w:hAnsi="宋体" w:eastAsia="宋体" w:cs="宋体"/>
                <w:iCs/>
                <w:color w:val="000000" w:themeColor="text1"/>
                <w:sz w:val="24"/>
                <w:highlight w:val="none"/>
                <w:lang w:val="en-US" w:eastAsia="zh-CN"/>
                <w14:textFill>
                  <w14:solidFill>
                    <w14:schemeClr w14:val="tx1"/>
                  </w14:solidFill>
                </w14:textFill>
              </w:rPr>
              <w:t>未按照磋商文件要求提交</w:t>
            </w:r>
            <w:r>
              <w:rPr>
                <w:rFonts w:hint="eastAsia" w:ascii="宋体" w:hAnsi="宋体" w:cs="宋体"/>
                <w:iCs/>
                <w:color w:val="000000" w:themeColor="text1"/>
                <w:sz w:val="24"/>
                <w:highlight w:val="none"/>
                <w:lang w:val="en-US" w:eastAsia="zh-CN"/>
                <w14:textFill>
                  <w14:solidFill>
                    <w14:schemeClr w14:val="tx1"/>
                  </w14:solidFill>
                </w14:textFill>
              </w:rPr>
              <w:t>磋商保证金</w:t>
            </w:r>
            <w:r>
              <w:rPr>
                <w:rFonts w:hint="eastAsia" w:ascii="宋体" w:hAnsi="宋体" w:eastAsia="宋体" w:cs="宋体"/>
                <w:iCs/>
                <w:color w:val="000000" w:themeColor="text1"/>
                <w:sz w:val="24"/>
                <w:highlight w:val="none"/>
                <w:lang w:val="en-US" w:eastAsia="zh-CN"/>
                <w14:textFill>
                  <w14:solidFill>
                    <w14:schemeClr w14:val="tx1"/>
                  </w14:solidFill>
                </w14:textFill>
              </w:rPr>
              <w:t>的，投标无效。</w:t>
            </w:r>
          </w:p>
          <w:p w14:paraId="5633CB4D">
            <w:pPr>
              <w:spacing w:line="400" w:lineRule="exact"/>
              <w:rPr>
                <w:rFonts w:hint="eastAsia" w:ascii="宋体" w:hAnsi="宋体" w:eastAsia="宋体" w:cs="宋体"/>
                <w:iCs/>
                <w:color w:val="000000" w:themeColor="text1"/>
                <w:sz w:val="24"/>
                <w:highlight w:val="none"/>
                <w:lang w:val="en-US" w:eastAsia="zh-CN"/>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2.根据《关于在政府采购活动中进一步推动开展信用担保工作的通知》，鼓励使用电子保函。</w:t>
            </w:r>
          </w:p>
          <w:p w14:paraId="33EB00E0">
            <w:pPr>
              <w:spacing w:line="400" w:lineRule="exact"/>
              <w:rPr>
                <w:rFonts w:hint="eastAsia" w:ascii="宋体" w:hAnsi="宋体" w:eastAsia="宋体" w:cs="宋体"/>
                <w:iCs/>
                <w:color w:val="000000" w:themeColor="text1"/>
                <w:sz w:val="24"/>
                <w:highlight w:val="none"/>
                <w:lang w:val="en-US" w:eastAsia="zh-CN"/>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3.使用保函的，保函的有效期不得低于投标有效期。</w:t>
            </w:r>
          </w:p>
          <w:p w14:paraId="7F50B5F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4.退还保证金：开评标结束后，根据《政府采购竞争性磋商采购方式管理暂行办法》（财库[2014]214号）第三十一条采购人或者采购代理机构应当在采购活动结束后及时退还供应商的磋商保证金，但因供应商自身原因导致无法及时退还的除外。未成交供应商的磋商保证金应当在成交通知书发出后5个工作日内日退还，成交供应商的磋商保证金应当在采购合同签订后5个工作日内退还。</w:t>
            </w:r>
          </w:p>
        </w:tc>
      </w:tr>
      <w:tr w14:paraId="0AD38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jc w:val="center"/>
        </w:trPr>
        <w:tc>
          <w:tcPr>
            <w:tcW w:w="955" w:type="dxa"/>
            <w:vAlign w:val="center"/>
          </w:tcPr>
          <w:p w14:paraId="40E4597C">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w:t>
            </w:r>
          </w:p>
        </w:tc>
        <w:tc>
          <w:tcPr>
            <w:tcW w:w="8312" w:type="dxa"/>
            <w:vAlign w:val="center"/>
          </w:tcPr>
          <w:p w14:paraId="181B86E7">
            <w:pPr>
              <w:spacing w:line="240" w:lineRule="atLeas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磋商有效期：</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eastAsia="宋体" w:cs="宋体"/>
                <w:color w:val="000000" w:themeColor="text1"/>
                <w:sz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highlight w:val="none"/>
                <w:u w:val="single"/>
                <w14:textFill>
                  <w14:solidFill>
                    <w14:schemeClr w14:val="tx1"/>
                  </w14:solidFill>
                </w14:textFill>
              </w:rPr>
              <w:t>0　</w:t>
            </w:r>
            <w:r>
              <w:rPr>
                <w:rFonts w:hint="eastAsia" w:ascii="宋体" w:hAnsi="宋体" w:eastAsia="宋体" w:cs="宋体"/>
                <w:color w:val="000000" w:themeColor="text1"/>
                <w:sz w:val="24"/>
                <w:highlight w:val="none"/>
                <w14:textFill>
                  <w14:solidFill>
                    <w14:schemeClr w14:val="tx1"/>
                  </w14:solidFill>
                </w14:textFill>
              </w:rPr>
              <w:t>日历日</w:t>
            </w:r>
          </w:p>
        </w:tc>
      </w:tr>
      <w:tr w14:paraId="0EC7E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955" w:type="dxa"/>
            <w:vAlign w:val="center"/>
          </w:tcPr>
          <w:p w14:paraId="5641E8F0">
            <w:pPr>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w:t>
            </w:r>
          </w:p>
        </w:tc>
        <w:tc>
          <w:tcPr>
            <w:tcW w:w="8312" w:type="dxa"/>
            <w:vAlign w:val="center"/>
          </w:tcPr>
          <w:p w14:paraId="1304A2CC">
            <w:pPr>
              <w:spacing w:line="240" w:lineRule="atLeast"/>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 xml:space="preserve">包括： </w:t>
            </w:r>
          </w:p>
          <w:p w14:paraId="033AF7DF">
            <w:pPr>
              <w:spacing w:line="240" w:lineRule="atLeast"/>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1、加密的电子</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文件，在投标截止时间前通过新疆维吾尔自治区政府采购网上传；</w:t>
            </w:r>
          </w:p>
          <w:p w14:paraId="5158DFF6">
            <w:pPr>
              <w:spacing w:line="240" w:lineRule="atLeast"/>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注：加密的电子</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为使用政采云电子投标客户端制作生成的加密版</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。未加密的电子</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应与加密的电子</w:t>
            </w:r>
            <w:r>
              <w:rPr>
                <w:rFonts w:hint="eastAsia" w:ascii="宋体" w:hAnsi="宋体" w:cs="宋体"/>
                <w:b/>
                <w:bCs/>
                <w:color w:val="000000" w:themeColor="text1"/>
                <w:kern w:val="0"/>
                <w:sz w:val="24"/>
                <w:szCs w:val="24"/>
                <w:highlight w:val="none"/>
                <w:u w:val="none"/>
                <w:lang w:val="en-US" w:eastAsia="zh-CN"/>
                <w14:textFill>
                  <w14:solidFill>
                    <w14:schemeClr w14:val="tx1"/>
                  </w14:solidFill>
                </w14:textFill>
              </w:rPr>
              <w:t>响应文件</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 xml:space="preserve">为同时生成的版本。 </w:t>
            </w:r>
          </w:p>
          <w:p w14:paraId="43B7CFFA">
            <w:pPr>
              <w:spacing w:line="400" w:lineRule="exac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备注：因</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自身原因导致解密失败的，将导致其投标被拒绝且</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被退回；但因网上招标系统故障导致所有</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均解密失败时，使用</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未加密的电子</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进行开评标。未发送未加密电子</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导致解密失败的，由</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自行承担责任，默认解密时长为：30分钟。</w:t>
            </w:r>
          </w:p>
        </w:tc>
      </w:tr>
      <w:tr w14:paraId="6EE84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jc w:val="center"/>
        </w:trPr>
        <w:tc>
          <w:tcPr>
            <w:tcW w:w="955" w:type="dxa"/>
            <w:vAlign w:val="center"/>
          </w:tcPr>
          <w:p w14:paraId="09BCF51F">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16.1</w:t>
            </w:r>
          </w:p>
        </w:tc>
        <w:tc>
          <w:tcPr>
            <w:tcW w:w="8312" w:type="dxa"/>
            <w:vAlign w:val="center"/>
          </w:tcPr>
          <w:p w14:paraId="2E906B6B">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磋商截止时间：</w:t>
            </w:r>
            <w:r>
              <w:rPr>
                <w:rFonts w:hint="eastAsia" w:ascii="宋体" w:hAnsi="宋体" w:eastAsia="宋体" w:cs="宋体"/>
                <w:color w:val="000000" w:themeColor="text1"/>
                <w:sz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highlight w:val="none"/>
                <w:u w:val="single"/>
                <w:lang w:eastAsia="zh-CN"/>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05</w:t>
            </w:r>
            <w:r>
              <w:rPr>
                <w:rFonts w:hint="eastAsia" w:ascii="宋体" w:hAnsi="宋体" w:eastAsia="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19</w:t>
            </w:r>
            <w:r>
              <w:rPr>
                <w:rFonts w:hint="eastAsia" w:ascii="宋体" w:hAnsi="宋体" w:eastAsia="宋体" w:cs="宋体"/>
                <w:color w:val="000000" w:themeColor="text1"/>
                <w:sz w:val="24"/>
                <w:highlight w:val="none"/>
                <w:u w:val="single"/>
                <w:lang w:eastAsia="zh-CN"/>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上</w:t>
            </w:r>
            <w:r>
              <w:rPr>
                <w:rFonts w:hint="eastAsia" w:ascii="宋体" w:hAnsi="宋体" w:eastAsia="宋体" w:cs="宋体"/>
                <w:color w:val="000000" w:themeColor="text1"/>
                <w:sz w:val="24"/>
                <w:highlight w:val="none"/>
                <w:u w:val="single"/>
                <w:lang w:eastAsia="zh-CN"/>
                <w14:textFill>
                  <w14:solidFill>
                    <w14:schemeClr w14:val="tx1"/>
                  </w14:solidFill>
                </w14:textFill>
              </w:rPr>
              <w:t>午</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highlight w:val="none"/>
                <w:u w:val="single"/>
                <w14:textFill>
                  <w14:solidFill>
                    <w14:schemeClr w14:val="tx1"/>
                  </w14:solidFill>
                </w14:textFill>
              </w:rPr>
              <w:t>（北京时间）</w:t>
            </w:r>
            <w:r>
              <w:rPr>
                <w:rFonts w:hint="eastAsia" w:ascii="宋体" w:hAnsi="宋体" w:eastAsia="宋体" w:cs="宋体"/>
                <w:color w:val="000000" w:themeColor="text1"/>
                <w:sz w:val="24"/>
                <w:highlight w:val="none"/>
                <w14:textFill>
                  <w14:solidFill>
                    <w14:schemeClr w14:val="tx1"/>
                  </w14:solidFill>
                </w14:textFill>
              </w:rPr>
              <w:t>。</w:t>
            </w:r>
          </w:p>
        </w:tc>
      </w:tr>
      <w:tr w14:paraId="134CF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jc w:val="center"/>
        </w:trPr>
        <w:tc>
          <w:tcPr>
            <w:tcW w:w="955" w:type="dxa"/>
            <w:vAlign w:val="center"/>
          </w:tcPr>
          <w:p w14:paraId="669A7D71">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18.1</w:t>
            </w:r>
          </w:p>
        </w:tc>
        <w:tc>
          <w:tcPr>
            <w:tcW w:w="8312" w:type="dxa"/>
            <w:vAlign w:val="center"/>
          </w:tcPr>
          <w:p w14:paraId="515359FD">
            <w:pPr>
              <w:spacing w:line="240" w:lineRule="atLeas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w:t>
            </w:r>
            <w:r>
              <w:rPr>
                <w:rFonts w:hint="eastAsia" w:ascii="宋体" w:hAnsi="宋体" w:eastAsia="宋体" w:cs="宋体"/>
                <w:color w:val="000000" w:themeColor="text1"/>
                <w:kern w:val="0"/>
                <w:sz w:val="24"/>
                <w:highlight w:val="none"/>
                <w14:textFill>
                  <w14:solidFill>
                    <w14:schemeClr w14:val="tx1"/>
                  </w14:solidFill>
                </w14:textFill>
              </w:rPr>
              <w:t>时间</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highlight w:val="none"/>
                <w:u w:val="single"/>
                <w:lang w:eastAsia="zh-CN"/>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05</w:t>
            </w:r>
            <w:r>
              <w:rPr>
                <w:rFonts w:hint="eastAsia" w:ascii="宋体" w:hAnsi="宋体" w:eastAsia="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19</w:t>
            </w:r>
            <w:r>
              <w:rPr>
                <w:rFonts w:hint="eastAsia" w:ascii="宋体" w:hAnsi="宋体" w:eastAsia="宋体" w:cs="宋体"/>
                <w:color w:val="000000" w:themeColor="text1"/>
                <w:sz w:val="24"/>
                <w:highlight w:val="none"/>
                <w:u w:val="single"/>
                <w:lang w:eastAsia="zh-CN"/>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上</w:t>
            </w:r>
            <w:r>
              <w:rPr>
                <w:rFonts w:hint="eastAsia" w:ascii="宋体" w:hAnsi="宋体" w:eastAsia="宋体" w:cs="宋体"/>
                <w:color w:val="000000" w:themeColor="text1"/>
                <w:sz w:val="24"/>
                <w:highlight w:val="none"/>
                <w:u w:val="single"/>
                <w:lang w:eastAsia="zh-CN"/>
                <w14:textFill>
                  <w14:solidFill>
                    <w14:schemeClr w14:val="tx1"/>
                  </w14:solidFill>
                </w14:textFill>
              </w:rPr>
              <w:t>午</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3</w:t>
            </w:r>
            <w:bookmarkStart w:id="589" w:name="_GoBack"/>
            <w:bookmarkEnd w:id="589"/>
            <w:r>
              <w:rPr>
                <w:rFonts w:hint="eastAsia" w:ascii="宋体" w:hAnsi="宋体" w:cs="宋体"/>
                <w:color w:val="000000" w:themeColor="text1"/>
                <w:sz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highlight w:val="none"/>
                <w:u w:val="single"/>
                <w14:textFill>
                  <w14:solidFill>
                    <w14:schemeClr w14:val="tx1"/>
                  </w14:solidFill>
                </w14:textFill>
              </w:rPr>
              <w:t>（北京时间）。</w:t>
            </w:r>
          </w:p>
          <w:p w14:paraId="313ECADB">
            <w:pPr>
              <w:spacing w:line="240" w:lineRule="atLeas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磋商地点：</w:t>
            </w:r>
            <w:r>
              <w:rPr>
                <w:rFonts w:hint="eastAsia" w:ascii="宋体" w:hAnsi="宋体" w:eastAsia="宋体" w:cs="宋体"/>
                <w:color w:val="000000" w:themeColor="text1"/>
                <w:sz w:val="24"/>
                <w:highlight w:val="none"/>
                <w:u w:val="single"/>
                <w:lang w:eastAsia="zh-CN"/>
                <w14:textFill>
                  <w14:solidFill>
                    <w14:schemeClr w14:val="tx1"/>
                  </w14:solidFill>
                </w14:textFill>
              </w:rPr>
              <w:t>政采云平台</w:t>
            </w:r>
          </w:p>
        </w:tc>
      </w:tr>
      <w:tr w14:paraId="2BF2F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4" w:hRule="atLeast"/>
          <w:jc w:val="center"/>
        </w:trPr>
        <w:tc>
          <w:tcPr>
            <w:tcW w:w="955" w:type="dxa"/>
            <w:vAlign w:val="center"/>
          </w:tcPr>
          <w:p w14:paraId="4B6034C5">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23.2</w:t>
            </w:r>
          </w:p>
        </w:tc>
        <w:tc>
          <w:tcPr>
            <w:tcW w:w="8312" w:type="dxa"/>
            <w:vAlign w:val="center"/>
          </w:tcPr>
          <w:p w14:paraId="32BB265B">
            <w:pPr>
              <w:spacing w:line="240" w:lineRule="atLeast"/>
              <w:rPr>
                <w:rFonts w:hint="eastAsia" w:ascii="宋体" w:hAnsi="宋体" w:eastAsia="宋体" w:cs="宋体"/>
                <w:i/>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评标方法：</w:t>
            </w:r>
            <w:r>
              <w:rPr>
                <w:rFonts w:hint="eastAsia" w:ascii="宋体" w:hAnsi="宋体" w:eastAsia="宋体" w:cs="宋体"/>
                <w:b/>
                <w:bCs/>
                <w:color w:val="000000" w:themeColor="text1"/>
                <w:sz w:val="24"/>
                <w:highlight w:val="none"/>
                <w:u w:val="single"/>
                <w:lang w:eastAsia="zh-CN"/>
                <w14:textFill>
                  <w14:solidFill>
                    <w14:schemeClr w14:val="tx1"/>
                  </w14:solidFill>
                </w14:textFill>
              </w:rPr>
              <w:t>综合评分法</w:t>
            </w:r>
            <w:r>
              <w:rPr>
                <w:rFonts w:hint="eastAsia" w:ascii="宋体" w:hAnsi="宋体" w:eastAsia="宋体" w:cs="宋体"/>
                <w:b/>
                <w:bCs/>
                <w:color w:val="000000" w:themeColor="text1"/>
                <w:sz w:val="24"/>
                <w:highlight w:val="none"/>
                <w14:textFill>
                  <w14:solidFill>
                    <w14:schemeClr w14:val="tx1"/>
                  </w14:solidFill>
                </w14:textFill>
              </w:rPr>
              <w:t>　</w:t>
            </w:r>
            <w:r>
              <w:rPr>
                <w:rFonts w:hint="eastAsia" w:ascii="宋体" w:hAnsi="宋体" w:eastAsia="宋体" w:cs="宋体"/>
                <w:color w:val="000000" w:themeColor="text1"/>
                <w:sz w:val="24"/>
                <w:highlight w:val="none"/>
                <w14:textFill>
                  <w14:solidFill>
                    <w14:schemeClr w14:val="tx1"/>
                  </w14:solidFill>
                </w14:textFill>
              </w:rPr>
              <w:t>　　　　</w:t>
            </w:r>
          </w:p>
        </w:tc>
      </w:tr>
      <w:tr w14:paraId="6EF7E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jc w:val="center"/>
        </w:trPr>
        <w:tc>
          <w:tcPr>
            <w:tcW w:w="955" w:type="dxa"/>
            <w:vAlign w:val="center"/>
          </w:tcPr>
          <w:p w14:paraId="5F35476A">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27.1</w:t>
            </w:r>
          </w:p>
        </w:tc>
        <w:tc>
          <w:tcPr>
            <w:tcW w:w="8312" w:type="dxa"/>
            <w:vAlign w:val="center"/>
          </w:tcPr>
          <w:p w14:paraId="14CA2B51">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推荐成交候选供应商的数量：</w:t>
            </w:r>
            <w:r>
              <w:rPr>
                <w:rFonts w:hint="eastAsia" w:ascii="宋体" w:hAnsi="宋体" w:eastAsia="宋体" w:cs="宋体"/>
                <w:color w:val="000000" w:themeColor="text1"/>
                <w:sz w:val="24"/>
                <w:highlight w:val="none"/>
                <w:u w:val="single"/>
                <w14:textFill>
                  <w14:solidFill>
                    <w14:schemeClr w14:val="tx1"/>
                  </w14:solidFill>
                </w14:textFill>
              </w:rPr>
              <w:t>　   3　　</w:t>
            </w:r>
          </w:p>
        </w:tc>
      </w:tr>
      <w:tr w14:paraId="1CB0B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 w:type="dxa"/>
            <w:vAlign w:val="center"/>
          </w:tcPr>
          <w:p w14:paraId="6A7CB522">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27.2</w:t>
            </w:r>
          </w:p>
        </w:tc>
        <w:tc>
          <w:tcPr>
            <w:tcW w:w="8312" w:type="dxa"/>
            <w:vAlign w:val="center"/>
          </w:tcPr>
          <w:p w14:paraId="141A873F">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组成：</w:t>
            </w:r>
            <w:r>
              <w:rPr>
                <w:rFonts w:hint="eastAsia" w:ascii="宋体" w:hAnsi="宋体" w:cs="宋体"/>
                <w:color w:val="000000" w:themeColor="text1"/>
                <w:sz w:val="24"/>
                <w:highlight w:val="none"/>
                <w:u w:val="single"/>
                <w:lang w:eastAsia="zh-CN"/>
                <w14:textFill>
                  <w14:solidFill>
                    <w14:schemeClr w14:val="tx1"/>
                  </w14:solidFill>
                </w14:textFill>
              </w:rPr>
              <w:t>磋商小组</w:t>
            </w:r>
            <w:r>
              <w:rPr>
                <w:rFonts w:hint="eastAsia" w:ascii="宋体" w:hAnsi="宋体" w:eastAsia="宋体" w:cs="宋体"/>
                <w:color w:val="000000" w:themeColor="text1"/>
                <w:sz w:val="24"/>
                <w:highlight w:val="none"/>
                <w:u w:val="single"/>
                <w14:textFill>
                  <w14:solidFill>
                    <w14:schemeClr w14:val="tx1"/>
                  </w14:solidFill>
                </w14:textFill>
              </w:rPr>
              <w:t>人数为3人以上单数组成，其中</w:t>
            </w:r>
            <w:r>
              <w:rPr>
                <w:rFonts w:hint="eastAsia" w:ascii="宋体" w:hAnsi="宋体" w:cs="宋体"/>
                <w:color w:val="000000" w:themeColor="text1"/>
                <w:sz w:val="24"/>
                <w:highlight w:val="none"/>
                <w:u w:val="single"/>
                <w:lang w:eastAsia="zh-CN"/>
                <w14:textFill>
                  <w14:solidFill>
                    <w14:schemeClr w14:val="tx1"/>
                  </w14:solidFill>
                </w14:textFill>
              </w:rPr>
              <w:t>磋商小组</w:t>
            </w:r>
            <w:r>
              <w:rPr>
                <w:rFonts w:hint="eastAsia" w:ascii="宋体" w:hAnsi="宋体" w:eastAsia="宋体" w:cs="宋体"/>
                <w:color w:val="000000" w:themeColor="text1"/>
                <w:sz w:val="24"/>
                <w:highlight w:val="none"/>
                <w:u w:val="single"/>
                <w14:textFill>
                  <w14:solidFill>
                    <w14:schemeClr w14:val="tx1"/>
                  </w14:solidFill>
                </w14:textFill>
              </w:rPr>
              <w:t>人数不得少于</w:t>
            </w:r>
            <w:r>
              <w:rPr>
                <w:rFonts w:hint="eastAsia" w:ascii="宋体" w:hAnsi="宋体" w:cs="宋体"/>
                <w:color w:val="000000" w:themeColor="text1"/>
                <w:sz w:val="24"/>
                <w:highlight w:val="none"/>
                <w:u w:val="single"/>
                <w:lang w:eastAsia="zh-CN"/>
                <w14:textFill>
                  <w14:solidFill>
                    <w14:schemeClr w14:val="tx1"/>
                  </w14:solidFill>
                </w14:textFill>
              </w:rPr>
              <w:t>磋商小组</w:t>
            </w:r>
            <w:r>
              <w:rPr>
                <w:rFonts w:hint="eastAsia" w:ascii="宋体" w:hAnsi="宋体" w:eastAsia="宋体" w:cs="宋体"/>
                <w:color w:val="000000" w:themeColor="text1"/>
                <w:sz w:val="24"/>
                <w:highlight w:val="none"/>
                <w:u w:val="single"/>
                <w14:textFill>
                  <w14:solidFill>
                    <w14:schemeClr w14:val="tx1"/>
                  </w14:solidFill>
                </w14:textFill>
              </w:rPr>
              <w:t>成员总数的2/3。</w:t>
            </w:r>
          </w:p>
          <w:p w14:paraId="7D8BACA6">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成员确定方式：</w:t>
            </w:r>
            <w:r>
              <w:rPr>
                <w:rFonts w:hint="eastAsia" w:ascii="宋体" w:hAnsi="宋体" w:eastAsia="宋体" w:cs="宋体"/>
                <w:color w:val="000000" w:themeColor="text1"/>
                <w:sz w:val="24"/>
                <w:highlight w:val="none"/>
                <w:u w:val="single"/>
                <w14:textFill>
                  <w14:solidFill>
                    <w14:schemeClr w14:val="tx1"/>
                  </w14:solidFill>
                </w14:textFill>
              </w:rPr>
              <w:t>专家随机抽取</w:t>
            </w:r>
          </w:p>
        </w:tc>
      </w:tr>
      <w:tr w14:paraId="207D6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955" w:type="dxa"/>
            <w:vAlign w:val="center"/>
          </w:tcPr>
          <w:p w14:paraId="01A054C9">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27.3</w:t>
            </w:r>
          </w:p>
        </w:tc>
        <w:tc>
          <w:tcPr>
            <w:tcW w:w="8312" w:type="dxa"/>
            <w:vAlign w:val="center"/>
          </w:tcPr>
          <w:p w14:paraId="308FE248">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是否委托</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直接确定成交人：</w:t>
            </w:r>
            <w:r>
              <w:rPr>
                <w:rFonts w:hint="eastAsia" w:ascii="宋体" w:hAnsi="宋体" w:eastAsia="宋体" w:cs="宋体"/>
                <w:color w:val="000000" w:themeColor="text1"/>
                <w:sz w:val="24"/>
                <w:highlight w:val="none"/>
                <w:u w:val="single"/>
                <w14:textFill>
                  <w14:solidFill>
                    <w14:schemeClr w14:val="tx1"/>
                  </w14:solidFill>
                </w14:textFill>
              </w:rPr>
              <w:t xml:space="preserve">  否  </w:t>
            </w:r>
            <w:r>
              <w:rPr>
                <w:rFonts w:hint="eastAsia" w:ascii="宋体" w:hAnsi="宋体" w:eastAsia="宋体" w:cs="宋体"/>
                <w:color w:val="000000" w:themeColor="text1"/>
                <w:sz w:val="24"/>
                <w:highlight w:val="none"/>
                <w14:textFill>
                  <w14:solidFill>
                    <w14:schemeClr w14:val="tx1"/>
                  </w14:solidFill>
                </w14:textFill>
              </w:rPr>
              <w:t xml:space="preserve"> </w:t>
            </w:r>
          </w:p>
        </w:tc>
      </w:tr>
      <w:tr w14:paraId="7108A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5" w:type="dxa"/>
            <w:vAlign w:val="center"/>
          </w:tcPr>
          <w:p w14:paraId="6608DD16">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w:t>
            </w:r>
          </w:p>
        </w:tc>
        <w:tc>
          <w:tcPr>
            <w:tcW w:w="8312" w:type="dxa"/>
            <w:vAlign w:val="center"/>
          </w:tcPr>
          <w:p w14:paraId="5A0E09F1">
            <w:pPr>
              <w:tabs>
                <w:tab w:val="left" w:pos="5580"/>
              </w:tabs>
              <w:rPr>
                <w:rFonts w:hint="eastAsia" w:ascii="宋体" w:hAnsi="宋体" w:eastAsia="宋体" w:cs="宋体"/>
                <w:b/>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none"/>
                <w:lang w:val="en-US" w:eastAsia="zh-CN"/>
                <w14:textFill>
                  <w14:solidFill>
                    <w14:schemeClr w14:val="tx1"/>
                  </w14:solidFill>
                </w14:textFill>
              </w:rPr>
              <w:t>代理服务费根据《国家发展改革委关于进一步放开建设项目专服务价格的通知》（发改价格【2015】299 号）规定，参照国家计划发展委员会[2002]1980 号文件《招标代理服务费管理暂行办法》的规定及补充通知、发改办价格〔2011〕534 号计算，由中标人支付。</w:t>
            </w:r>
          </w:p>
          <w:p w14:paraId="5CCF982D">
            <w:pPr>
              <w:pStyle w:val="12"/>
              <w:spacing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支付形式：对公转账                              </w:t>
            </w:r>
          </w:p>
          <w:p w14:paraId="073818F7">
            <w:pPr>
              <w:pStyle w:val="12"/>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支付时间：领取</w:t>
            </w:r>
            <w:r>
              <w:rPr>
                <w:rFonts w:hint="eastAsia" w:hAnsi="宋体" w:cs="宋体"/>
                <w:b/>
                <w:bCs/>
                <w:color w:val="000000" w:themeColor="text1"/>
                <w:sz w:val="24"/>
                <w:highlight w:val="none"/>
                <w:lang w:eastAsia="zh-CN"/>
                <w14:textFill>
                  <w14:solidFill>
                    <w14:schemeClr w14:val="tx1"/>
                  </w14:solidFill>
                </w14:textFill>
              </w:rPr>
              <w:t>成交通知书</w:t>
            </w:r>
            <w:r>
              <w:rPr>
                <w:rFonts w:hint="eastAsia" w:ascii="宋体" w:hAnsi="宋体" w:eastAsia="宋体" w:cs="宋体"/>
                <w:b/>
                <w:bCs/>
                <w:color w:val="000000" w:themeColor="text1"/>
                <w:sz w:val="24"/>
                <w:highlight w:val="none"/>
                <w14:textFill>
                  <w14:solidFill>
                    <w14:schemeClr w14:val="tx1"/>
                  </w14:solidFill>
                </w14:textFill>
              </w:rPr>
              <w:t>时由</w:t>
            </w:r>
            <w:r>
              <w:rPr>
                <w:rFonts w:hint="eastAsia" w:hAnsi="宋体" w:cs="宋体"/>
                <w:b/>
                <w:bCs/>
                <w:color w:val="000000" w:themeColor="text1"/>
                <w:sz w:val="24"/>
                <w:highlight w:val="none"/>
                <w:lang w:eastAsia="zh-CN"/>
                <w14:textFill>
                  <w14:solidFill>
                    <w14:schemeClr w14:val="tx1"/>
                  </w14:solidFill>
                </w14:textFill>
              </w:rPr>
              <w:t>成交</w:t>
            </w:r>
            <w:r>
              <w:rPr>
                <w:rFonts w:hint="eastAsia" w:hAnsi="宋体" w:cs="宋体"/>
                <w:b/>
                <w:bCs/>
                <w:color w:val="000000" w:themeColor="text1"/>
                <w:sz w:val="24"/>
                <w:highlight w:val="none"/>
                <w:lang w:val="en-US" w:eastAsia="zh-CN"/>
                <w14:textFill>
                  <w14:solidFill>
                    <w14:schemeClr w14:val="tx1"/>
                  </w14:solidFill>
                </w14:textFill>
              </w:rPr>
              <w:t>单位</w:t>
            </w:r>
            <w:r>
              <w:rPr>
                <w:rFonts w:hint="eastAsia" w:ascii="宋体" w:hAnsi="宋体" w:eastAsia="宋体" w:cs="宋体"/>
                <w:b/>
                <w:bCs/>
                <w:color w:val="000000" w:themeColor="text1"/>
                <w:sz w:val="24"/>
                <w:highlight w:val="none"/>
                <w14:textFill>
                  <w14:solidFill>
                    <w14:schemeClr w14:val="tx1"/>
                  </w14:solidFill>
                </w14:textFill>
              </w:rPr>
              <w:t>支付一次性支付</w:t>
            </w:r>
          </w:p>
        </w:tc>
      </w:tr>
      <w:tr w14:paraId="1CE66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5" w:type="dxa"/>
            <w:vAlign w:val="center"/>
          </w:tcPr>
          <w:p w14:paraId="46747ADA">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33.1</w:t>
            </w:r>
          </w:p>
        </w:tc>
        <w:tc>
          <w:tcPr>
            <w:tcW w:w="8312" w:type="dxa"/>
            <w:vAlign w:val="center"/>
          </w:tcPr>
          <w:p w14:paraId="18066547">
            <w:pPr>
              <w:spacing w:line="24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本项目是否属于信用担保试点范围：</w:t>
            </w:r>
            <w:r>
              <w:rPr>
                <w:rFonts w:hint="eastAsia" w:ascii="宋体" w:hAnsi="宋体" w:eastAsia="宋体" w:cs="宋体"/>
                <w:color w:val="000000" w:themeColor="text1"/>
                <w:sz w:val="24"/>
                <w:highlight w:val="none"/>
                <w:u w:val="single"/>
                <w14:textFill>
                  <w14:solidFill>
                    <w14:schemeClr w14:val="tx1"/>
                  </w14:solidFill>
                </w14:textFill>
              </w:rPr>
              <w:t xml:space="preserve">  否 </w:t>
            </w:r>
            <w:r>
              <w:rPr>
                <w:rFonts w:hint="eastAsia" w:ascii="宋体" w:hAnsi="宋体" w:eastAsia="宋体" w:cs="宋体"/>
                <w:color w:val="000000" w:themeColor="text1"/>
                <w:sz w:val="24"/>
                <w:highlight w:val="none"/>
                <w14:textFill>
                  <w14:solidFill>
                    <w14:schemeClr w14:val="tx1"/>
                  </w14:solidFill>
                </w14:textFill>
              </w:rPr>
              <w:t xml:space="preserve"> </w:t>
            </w:r>
          </w:p>
        </w:tc>
      </w:tr>
      <w:tr w14:paraId="11E4A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5" w:type="dxa"/>
            <w:vAlign w:val="center"/>
          </w:tcPr>
          <w:p w14:paraId="59A61738">
            <w:pPr>
              <w:spacing w:line="240" w:lineRule="atLeas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36.</w:t>
            </w:r>
            <w:r>
              <w:rPr>
                <w:rFonts w:hint="eastAsia" w:ascii="宋体" w:hAnsi="宋体" w:cs="宋体"/>
                <w:color w:val="000000" w:themeColor="text1"/>
                <w:sz w:val="24"/>
                <w:highlight w:val="none"/>
                <w:lang w:val="en-US" w:eastAsia="zh-CN"/>
                <w14:textFill>
                  <w14:solidFill>
                    <w14:schemeClr w14:val="tx1"/>
                  </w14:solidFill>
                </w14:textFill>
              </w:rPr>
              <w:t>3</w:t>
            </w:r>
          </w:p>
        </w:tc>
        <w:tc>
          <w:tcPr>
            <w:tcW w:w="8312" w:type="dxa"/>
            <w:vAlign w:val="center"/>
          </w:tcPr>
          <w:p w14:paraId="1171C8B1">
            <w:pPr>
              <w:keepNext w:val="0"/>
              <w:keepLines w:val="0"/>
              <w:suppressLineNumbers w:val="0"/>
              <w:spacing w:before="0" w:beforeAutospacing="0" w:after="0" w:afterAutospacing="0" w:line="240" w:lineRule="atLeas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质疑函</w:t>
            </w:r>
            <w:r>
              <w:rPr>
                <w:rFonts w:hint="eastAsia" w:ascii="宋体" w:hAnsi="宋体" w:eastAsia="宋体" w:cs="宋体"/>
                <w:color w:val="000000" w:themeColor="text1"/>
                <w:sz w:val="24"/>
                <w:highlight w:val="none"/>
                <w14:textFill>
                  <w14:solidFill>
                    <w14:schemeClr w14:val="tx1"/>
                  </w14:solidFill>
                </w14:textFill>
              </w:rPr>
              <w:t>接收部门：</w:t>
            </w:r>
            <w:r>
              <w:rPr>
                <w:rFonts w:hint="eastAsia" w:ascii="宋体" w:hAnsi="宋体" w:eastAsia="宋体" w:cs="宋体"/>
                <w:color w:val="000000" w:themeColor="text1"/>
                <w:sz w:val="24"/>
                <w:highlight w:val="none"/>
                <w:u w:val="single"/>
                <w:lang w:eastAsia="zh-CN"/>
                <w14:textFill>
                  <w14:solidFill>
                    <w14:schemeClr w14:val="tx1"/>
                  </w14:solidFill>
                </w14:textFill>
              </w:rPr>
              <w:t>新疆新招工程项目咨询管理有限公司</w:t>
            </w:r>
          </w:p>
          <w:p w14:paraId="3A1193DB">
            <w:pPr>
              <w:keepNext w:val="0"/>
              <w:keepLines w:val="0"/>
              <w:suppressLineNumbers w:val="0"/>
              <w:spacing w:before="0" w:beforeAutospacing="0" w:after="0" w:afterAutospacing="0" w:line="240" w:lineRule="atLeast"/>
              <w:ind w:left="0" w:right="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：0991-6870655</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递交形式：</w:t>
            </w:r>
            <w:r>
              <w:rPr>
                <w:rFonts w:hint="eastAsia" w:ascii="宋体" w:hAnsi="宋体" w:eastAsia="宋体" w:cs="宋体"/>
                <w:color w:val="000000" w:themeColor="text1"/>
                <w:sz w:val="24"/>
                <w:highlight w:val="none"/>
                <w:u w:val="single"/>
                <w:lang w:val="en-US" w:eastAsia="zh-CN"/>
                <w14:textFill>
                  <w14:solidFill>
                    <w14:schemeClr w14:val="tx1"/>
                  </w14:solidFill>
                </w14:textFill>
              </w:rPr>
              <w:t>书面形式</w:t>
            </w:r>
          </w:p>
          <w:p w14:paraId="1F179D34">
            <w:pPr>
              <w:pStyle w:val="18"/>
              <w:keepNext w:val="0"/>
              <w:keepLines w:val="0"/>
              <w:widowControl/>
              <w:suppressLineNumbers w:val="0"/>
              <w:spacing w:before="75" w:beforeAutospacing="0" w:after="75" w:afterAutospacing="0" w:line="360" w:lineRule="auto"/>
              <w:ind w:right="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通讯地址</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新疆乌鲁木齐市水磨沟区六道湾路1166号首府中央花苑1栋22层2202-2205</w:t>
            </w:r>
          </w:p>
        </w:tc>
      </w:tr>
      <w:tr w14:paraId="2C2B9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2" w:hRule="atLeast"/>
          <w:jc w:val="center"/>
        </w:trPr>
        <w:tc>
          <w:tcPr>
            <w:tcW w:w="9267" w:type="dxa"/>
            <w:gridSpan w:val="2"/>
            <w:tcBorders>
              <w:top w:val="single" w:color="auto" w:sz="12" w:space="0"/>
              <w:left w:val="single" w:color="auto" w:sz="12" w:space="0"/>
              <w:bottom w:val="single" w:color="auto" w:sz="12" w:space="0"/>
              <w:right w:val="single" w:color="auto" w:sz="12" w:space="0"/>
            </w:tcBorders>
            <w:vAlign w:val="center"/>
          </w:tcPr>
          <w:p w14:paraId="5649F9A5">
            <w:pPr>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适用于本</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须知的额外增加的变动：</w:t>
            </w:r>
          </w:p>
        </w:tc>
      </w:tr>
      <w:tr w14:paraId="5CE5A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955" w:type="dxa"/>
            <w:vAlign w:val="center"/>
          </w:tcPr>
          <w:p w14:paraId="010DF0B8">
            <w:pPr>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8312" w:type="dxa"/>
            <w:vAlign w:val="center"/>
          </w:tcPr>
          <w:p w14:paraId="3669526B">
            <w:pPr>
              <w:keepNext w:val="0"/>
              <w:keepLines w:val="0"/>
              <w:widowControl/>
              <w:suppressLineNumbers w:val="0"/>
              <w:spacing w:line="360" w:lineRule="auto"/>
              <w:jc w:val="both"/>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具有良好的商业信誉和健全的财务会计制度；</w:t>
            </w:r>
          </w:p>
          <w:p w14:paraId="42B112DB">
            <w:pPr>
              <w:tabs>
                <w:tab w:val="left" w:pos="5580"/>
              </w:tabs>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b/>
                <w:bCs w:val="0"/>
                <w:color w:val="000000" w:themeColor="text1"/>
                <w:sz w:val="24"/>
                <w:szCs w:val="24"/>
                <w:highlight w:val="none"/>
                <w:u w:val="none"/>
                <w:rtl w:val="0"/>
                <w:lang w:val="en-US" w:eastAsia="zh-CN"/>
                <w14:textFill>
                  <w14:solidFill>
                    <w14:schemeClr w14:val="tx1"/>
                  </w14:solidFill>
                </w14:textFill>
              </w:rPr>
              <w:t>须</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提供</w:t>
            </w:r>
            <w:r>
              <w:rPr>
                <w:rFonts w:hint="eastAsia" w:ascii="宋体" w:hAnsi="宋体" w:eastAsia="宋体" w:cs="宋体"/>
                <w:b/>
                <w:bCs w:val="0"/>
                <w:color w:val="000000" w:themeColor="text1"/>
                <w:sz w:val="24"/>
                <w:highlight w:val="none"/>
                <w:u w:val="none"/>
                <w14:textFill>
                  <w14:solidFill>
                    <w14:schemeClr w14:val="tx1"/>
                  </w14:solidFill>
                </w14:textFill>
              </w:rPr>
              <w:t>202</w:t>
            </w:r>
            <w:r>
              <w:rPr>
                <w:rFonts w:hint="eastAsia" w:ascii="宋体" w:hAnsi="宋体" w:eastAsia="宋体" w:cs="宋体"/>
                <w:b/>
                <w:bCs w:val="0"/>
                <w:color w:val="000000" w:themeColor="text1"/>
                <w:sz w:val="24"/>
                <w:highlight w:val="none"/>
                <w:u w:val="none"/>
                <w:lang w:val="en-US" w:eastAsia="zh-CN"/>
                <w14:textFill>
                  <w14:solidFill>
                    <w14:schemeClr w14:val="tx1"/>
                  </w14:solidFill>
                </w14:textFill>
              </w:rPr>
              <w:t>4</w:t>
            </w:r>
            <w:r>
              <w:rPr>
                <w:rFonts w:hint="eastAsia" w:ascii="宋体" w:hAnsi="宋体" w:eastAsia="宋体" w:cs="宋体"/>
                <w:b/>
                <w:bCs w:val="0"/>
                <w:color w:val="000000" w:themeColor="text1"/>
                <w:sz w:val="24"/>
                <w:highlight w:val="none"/>
                <w:u w:val="none"/>
                <w14:textFill>
                  <w14:solidFill>
                    <w14:schemeClr w14:val="tx1"/>
                  </w14:solidFill>
                </w14:textFill>
              </w:rPr>
              <w:t>年的年度财务审计报告或其基本开户银行出具的资信证明复印件，新成立或成立不满一年的组织和自然人无法提供财务状况报告（表）的，可提供银行出具的资信证明复印件</w:t>
            </w:r>
            <w:r>
              <w:rPr>
                <w:rFonts w:hint="eastAsia" w:ascii="宋体" w:hAnsi="宋体" w:eastAsia="宋体" w:cs="宋体"/>
                <w:b/>
                <w:bCs w:val="0"/>
                <w:color w:val="000000" w:themeColor="text1"/>
                <w:sz w:val="24"/>
                <w:highlight w:val="none"/>
                <w:u w:val="none"/>
                <w:lang w:eastAsia="zh-CN"/>
                <w14:textFill>
                  <w14:solidFill>
                    <w14:schemeClr w14:val="tx1"/>
                  </w14:solidFill>
                </w14:textFill>
              </w:rPr>
              <w:t>。</w:t>
            </w:r>
          </w:p>
        </w:tc>
      </w:tr>
      <w:tr w14:paraId="12B84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7" w:hRule="atLeast"/>
          <w:jc w:val="center"/>
        </w:trPr>
        <w:tc>
          <w:tcPr>
            <w:tcW w:w="955" w:type="dxa"/>
          </w:tcPr>
          <w:p w14:paraId="4AF4870D">
            <w:pPr>
              <w:spacing w:line="240" w:lineRule="atLeast"/>
              <w:ind w:left="1080" w:leftChars="257" w:hanging="540"/>
              <w:rPr>
                <w:rFonts w:hint="eastAsia" w:ascii="宋体" w:hAnsi="宋体" w:eastAsia="宋体" w:cs="宋体"/>
                <w:b/>
                <w:bCs/>
                <w:color w:val="000000" w:themeColor="text1"/>
                <w:sz w:val="24"/>
                <w:highlight w:val="none"/>
                <w:u w:val="none"/>
                <w14:textFill>
                  <w14:solidFill>
                    <w14:schemeClr w14:val="tx1"/>
                  </w14:solidFill>
                </w14:textFill>
              </w:rPr>
            </w:pPr>
          </w:p>
          <w:p w14:paraId="0C466CE5">
            <w:pPr>
              <w:spacing w:line="240" w:lineRule="atLeast"/>
              <w:ind w:left="1080" w:leftChars="257" w:hanging="540"/>
              <w:rPr>
                <w:rFonts w:hint="eastAsia" w:ascii="宋体" w:hAnsi="宋体" w:eastAsia="宋体" w:cs="宋体"/>
                <w:b/>
                <w:bCs/>
                <w:color w:val="000000" w:themeColor="text1"/>
                <w:sz w:val="24"/>
                <w:highlight w:val="none"/>
                <w:u w:val="none"/>
                <w14:textFill>
                  <w14:solidFill>
                    <w14:schemeClr w14:val="tx1"/>
                  </w14:solidFill>
                </w14:textFill>
              </w:rPr>
            </w:pPr>
            <w:r>
              <w:rPr>
                <w:rFonts w:hint="eastAsia" w:ascii="宋体" w:hAnsi="宋体" w:eastAsia="宋体" w:cs="宋体"/>
                <w:b w:val="0"/>
                <w:bCs w:val="0"/>
                <w:color w:val="000000" w:themeColor="text1"/>
                <w:sz w:val="24"/>
                <w:highlight w:val="none"/>
                <w:u w:val="none"/>
                <w14:textFill>
                  <w14:solidFill>
                    <w14:schemeClr w14:val="tx1"/>
                  </w14:solidFill>
                </w14:textFill>
              </w:rPr>
              <w:t>2</w:t>
            </w:r>
          </w:p>
        </w:tc>
        <w:tc>
          <w:tcPr>
            <w:tcW w:w="8312" w:type="dxa"/>
            <w:vAlign w:val="center"/>
          </w:tcPr>
          <w:p w14:paraId="744EE555">
            <w:pPr>
              <w:pStyle w:val="12"/>
              <w:tabs>
                <w:tab w:val="left" w:pos="5580"/>
              </w:tabs>
              <w:spacing w:line="240" w:lineRule="atLeast"/>
              <w:rPr>
                <w:rFonts w:hint="eastAsia" w:hAnsi="宋体" w:cs="宋体"/>
                <w:b/>
                <w:bCs/>
                <w:color w:val="000000" w:themeColor="text1"/>
                <w:sz w:val="24"/>
                <w:highlight w:val="none"/>
                <w:u w:val="none"/>
                <w:lang w:val="en-US" w:eastAsia="zh-CN"/>
                <w14:textFill>
                  <w14:solidFill>
                    <w14:schemeClr w14:val="tx1"/>
                  </w14:solidFill>
                </w14:textFill>
              </w:rPr>
            </w:pPr>
            <w:r>
              <w:rPr>
                <w:rFonts w:hint="eastAsia" w:ascii="宋体" w:hAnsi="宋体" w:cs="宋体"/>
                <w:b/>
                <w:bCs/>
                <w:color w:val="000000" w:themeColor="text1"/>
                <w:sz w:val="24"/>
                <w:highlight w:val="none"/>
                <w:u w:val="none"/>
                <w:lang w:val="en-US" w:eastAsia="zh-CN"/>
                <w14:textFill>
                  <w14:solidFill>
                    <w14:schemeClr w14:val="tx1"/>
                  </w14:solidFill>
                </w14:textFill>
              </w:rPr>
              <w:t>注：</w:t>
            </w:r>
            <w:r>
              <w:rPr>
                <w:rFonts w:hint="eastAsia" w:hAnsi="宋体" w:cs="宋体"/>
                <w:b/>
                <w:bCs/>
                <w:color w:val="000000" w:themeColor="text1"/>
                <w:sz w:val="24"/>
                <w:highlight w:val="none"/>
                <w:u w:val="none"/>
                <w:lang w:val="en-US" w:eastAsia="zh-CN"/>
                <w14:textFill>
                  <w14:solidFill>
                    <w14:schemeClr w14:val="tx1"/>
                  </w14:solidFill>
                </w14:textFill>
              </w:rPr>
              <w:t>供应商</w:t>
            </w:r>
            <w:r>
              <w:rPr>
                <w:rFonts w:hint="eastAsia" w:ascii="宋体" w:hAnsi="宋体" w:eastAsia="宋体" w:cs="宋体"/>
                <w:b/>
                <w:bCs/>
                <w:color w:val="000000" w:themeColor="text1"/>
                <w:sz w:val="24"/>
                <w:highlight w:val="none"/>
                <w:u w:val="none"/>
                <w14:textFill>
                  <w14:solidFill>
                    <w14:schemeClr w14:val="tx1"/>
                  </w14:solidFill>
                </w14:textFill>
              </w:rPr>
              <w:t>提供社会保障资金的缴纳记录</w:t>
            </w:r>
            <w:r>
              <w:rPr>
                <w:rFonts w:hint="eastAsia" w:ascii="宋体" w:hAnsi="宋体" w:eastAsia="宋体" w:cs="宋体"/>
                <w:b/>
                <w:bCs/>
                <w:color w:val="000000" w:themeColor="text1"/>
                <w:sz w:val="24"/>
                <w:highlight w:val="none"/>
                <w:u w:val="none"/>
                <w:lang w:val="en-US" w:eastAsia="zh-CN"/>
                <w14:textFill>
                  <w14:solidFill>
                    <w14:schemeClr w14:val="tx1"/>
                  </w14:solidFill>
                </w14:textFill>
              </w:rPr>
              <w:t>及依法缴纳税收良好记录</w:t>
            </w:r>
            <w:r>
              <w:rPr>
                <w:rFonts w:hint="eastAsia" w:hAnsi="宋体" w:cs="宋体"/>
                <w:b/>
                <w:bCs/>
                <w:color w:val="000000" w:themeColor="text1"/>
                <w:sz w:val="24"/>
                <w:highlight w:val="none"/>
                <w:u w:val="none"/>
                <w:lang w:val="en-US" w:eastAsia="zh-CN"/>
                <w14:textFill>
                  <w14:solidFill>
                    <w14:schemeClr w14:val="tx1"/>
                  </w14:solidFill>
                </w14:textFill>
              </w:rPr>
              <w:t>；</w:t>
            </w:r>
          </w:p>
          <w:p w14:paraId="54A1E7AB">
            <w:pPr>
              <w:pStyle w:val="12"/>
              <w:tabs>
                <w:tab w:val="left" w:pos="5580"/>
              </w:tabs>
              <w:spacing w:line="240" w:lineRule="atLeast"/>
              <w:rPr>
                <w:rFonts w:hint="eastAsia" w:ascii="宋体" w:hAnsi="宋体" w:eastAsia="宋体" w:cs="宋体"/>
                <w:b/>
                <w:bCs/>
                <w:color w:val="000000" w:themeColor="text1"/>
                <w:sz w:val="24"/>
                <w:highlight w:val="none"/>
                <w:u w:val="none"/>
                <w14:textFill>
                  <w14:solidFill>
                    <w14:schemeClr w14:val="tx1"/>
                  </w14:solidFill>
                </w14:textFill>
              </w:rPr>
            </w:pPr>
            <w:r>
              <w:rPr>
                <w:rFonts w:hint="eastAsia" w:ascii="宋体" w:hAnsi="宋体" w:eastAsia="宋体" w:cs="宋体"/>
                <w:b/>
                <w:bCs/>
                <w:color w:val="000000" w:themeColor="text1"/>
                <w:sz w:val="24"/>
                <w:highlight w:val="none"/>
                <w:u w:val="none"/>
                <w:lang w:val="en-US" w:eastAsia="zh-CN"/>
                <w14:textFill>
                  <w14:solidFill>
                    <w14:schemeClr w14:val="tx1"/>
                  </w14:solidFill>
                </w14:textFill>
              </w:rPr>
              <w:t>依法缴纳税记录是指企业增值税、地方教育附加税、城市维护建设税、教育费附加税。</w:t>
            </w:r>
          </w:p>
        </w:tc>
      </w:tr>
      <w:tr w14:paraId="13CF9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955" w:type="dxa"/>
          </w:tcPr>
          <w:p w14:paraId="31E09319">
            <w:pPr>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p>
          <w:p w14:paraId="35B745B1">
            <w:pPr>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8312" w:type="dxa"/>
            <w:vAlign w:val="center"/>
          </w:tcPr>
          <w:p w14:paraId="018AEB9E">
            <w:pPr>
              <w:ind w:left="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付款</w:t>
            </w:r>
            <w:r>
              <w:rPr>
                <w:rFonts w:hint="eastAsia" w:ascii="宋体" w:hAnsi="宋体" w:eastAsia="宋体" w:cs="宋体"/>
                <w:color w:val="000000" w:themeColor="text1"/>
                <w:sz w:val="24"/>
                <w:highlight w:val="none"/>
                <w:lang w:eastAsia="zh-CN"/>
                <w14:textFill>
                  <w14:solidFill>
                    <w14:schemeClr w14:val="tx1"/>
                  </w14:solidFill>
                </w14:textFill>
              </w:rPr>
              <w:t>要求及</w:t>
            </w:r>
            <w:r>
              <w:rPr>
                <w:rFonts w:hint="eastAsia" w:ascii="宋体" w:hAnsi="宋体" w:eastAsia="宋体" w:cs="宋体"/>
                <w:color w:val="000000" w:themeColor="text1"/>
                <w:sz w:val="24"/>
                <w:highlight w:val="none"/>
                <w14:textFill>
                  <w14:solidFill>
                    <w14:schemeClr w14:val="tx1"/>
                  </w14:solidFill>
                </w14:textFill>
              </w:rPr>
              <w:t>方式：</w:t>
            </w:r>
            <w:r>
              <w:rPr>
                <w:rFonts w:hint="eastAsia" w:ascii="宋体" w:hAnsi="宋体" w:eastAsia="宋体" w:cs="宋体"/>
                <w:color w:val="000000" w:themeColor="text1"/>
                <w:sz w:val="24"/>
                <w:highlight w:val="none"/>
                <w:lang w:val="en-US" w:eastAsia="zh-CN"/>
                <w14:textFill>
                  <w14:solidFill>
                    <w14:schemeClr w14:val="tx1"/>
                  </w14:solidFill>
                </w14:textFill>
              </w:rPr>
              <w:t>具体以实际情况为准。</w:t>
            </w:r>
          </w:p>
        </w:tc>
      </w:tr>
      <w:tr w14:paraId="46B1A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955" w:type="dxa"/>
          </w:tcPr>
          <w:p w14:paraId="6195CD0C">
            <w:pPr>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p>
          <w:p w14:paraId="7FB98758">
            <w:pPr>
              <w:spacing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8312" w:type="dxa"/>
            <w:vAlign w:val="center"/>
          </w:tcPr>
          <w:p w14:paraId="54CEE4CC">
            <w:pPr>
              <w:widowControl/>
              <w:spacing w:line="240" w:lineRule="auto"/>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服务期及服务地点</w:t>
            </w:r>
          </w:p>
          <w:p w14:paraId="4BD82EBF">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b/>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服务期：自合同签订之日起至本项目竣工验收完毕。</w:t>
            </w:r>
          </w:p>
          <w:p w14:paraId="0E692376">
            <w:pPr>
              <w:tabs>
                <w:tab w:val="left" w:pos="5880"/>
              </w:tabs>
              <w:spacing w:line="24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服</w:t>
            </w:r>
            <w:r>
              <w:rPr>
                <w:rFonts w:hint="eastAsia" w:ascii="宋体" w:hAnsi="宋体" w:eastAsia="宋体" w:cs="宋体"/>
                <w:b/>
                <w:bCs/>
                <w:color w:val="000000" w:themeColor="text1"/>
                <w:sz w:val="24"/>
                <w:highlight w:val="none"/>
                <w:lang w:val="en-US" w:eastAsia="zh-CN"/>
                <w14:textFill>
                  <w14:solidFill>
                    <w14:schemeClr w14:val="tx1"/>
                  </w14:solidFill>
                </w14:textFill>
              </w:rPr>
              <w:t>务地点：伊吾县淖毛湖镇（甲方指定地点）</w:t>
            </w:r>
          </w:p>
        </w:tc>
      </w:tr>
      <w:tr w14:paraId="76268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955" w:type="dxa"/>
            <w:vAlign w:val="center"/>
          </w:tcPr>
          <w:p w14:paraId="4CF258FF">
            <w:pPr>
              <w:spacing w:line="240" w:lineRule="atLeast"/>
              <w:ind w:left="1080" w:leftChars="257" w:hanging="540" w:firstLineChars="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p>
        </w:tc>
        <w:tc>
          <w:tcPr>
            <w:tcW w:w="8312" w:type="dxa"/>
            <w:vAlign w:val="center"/>
          </w:tcPr>
          <w:p w14:paraId="0D9F1586">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1、本项目实行网上投标，采用电子投标文件。</w:t>
            </w:r>
          </w:p>
          <w:p w14:paraId="0277DA3B">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8766B0E">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2F7A6DB">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4、其他事项：</w:t>
            </w:r>
          </w:p>
          <w:p w14:paraId="11011E87">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2.本项目实行网上投标，采用电子投标文件(供应商须使用CA加密设备通过政采云电子投标客户端制作投标文件)。若供应商参与投标，自行承担投标一切费用。</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3.各供应商应在开标前应确保成为新疆维吾尔自治区政府采购网正式注册入库供应商，并完成CA数字证书申领。因未注册入库、未办理CA数字证书等原因造成无法投标或投标失败等后果由供应商自行承担。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5.供应商在开标时须使用制作加密电子投标文件所使用的CA锁及电脑，电脑须提前配置好浏览器（建议使用谷歌浏览器），以便开标时解锁。</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6.</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磋商保证金</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缴纳及确认时间：凡拟参加本次招标项目的供应商，必须在开标前将</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磋商保证金</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汇入指定账户。</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磋商保证金</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汇款凭证上用途栏应注明:招标项目名称+</w:t>
            </w: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磋商保证金</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8.政采云线上获取招标文件方法：供应商登陆政采云平台http://www.zcygov.cn/，在线申请获取采购文件（登录政府采购云平台 → 项目采购 → 获取采购文件 → 申请，审核通过后可下载招标文件，如有操作性问题，可与政采云在线客服进行咨询，咨询电话：95763）  </w:t>
            </w:r>
          </w:p>
        </w:tc>
      </w:tr>
      <w:tr w14:paraId="6F222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1" w:hRule="atLeast"/>
          <w:jc w:val="center"/>
        </w:trPr>
        <w:tc>
          <w:tcPr>
            <w:tcW w:w="955" w:type="dxa"/>
            <w:vAlign w:val="center"/>
          </w:tcPr>
          <w:p w14:paraId="6A5B5D9C">
            <w:pPr>
              <w:spacing w:line="240" w:lineRule="atLeast"/>
              <w:ind w:left="1080" w:leftChars="257" w:hanging="540" w:firstLineChars="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c>
          <w:tcPr>
            <w:tcW w:w="8312" w:type="dxa"/>
            <w:vAlign w:val="center"/>
          </w:tcPr>
          <w:p w14:paraId="4B540894">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.请投标单位提前自学线上开标流程；投标截止时间当天，请供应商自备电脑及CA锁进行响应文件解密以及操作投标事项，供应商应提前调试好在线参标电脑的各项配置。 </w:t>
            </w:r>
          </w:p>
          <w:p w14:paraId="2B2138B4">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2.本项目投标前上传电子版响应文件，如电子开标完成后采购人需要提供纸质版的响应文件，投标单位须出具相应份数的与电子响应文件一致的纸质响应文件。 </w:t>
            </w:r>
          </w:p>
          <w:p w14:paraId="5AA77A77">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3.供应商对磋商文件中采购清单、技术需求、商务条件等如有疑义，应当及时提出，否则视为充分理解磋商文件各项要求。 </w:t>
            </w:r>
          </w:p>
          <w:p w14:paraId="66BA003D">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4.本次采用政府采购云平台线上招标、投标，请各潜在供应商及时办理CA锁和学习政府采购云平台线上投标相关知识。在政府采购云平台登录后，进行下载磋商文件。请各供应商获取磋商文件后及时关注云平台答疑文件获取栏目。具体相关事宜见政府采购云平台。 </w:t>
            </w:r>
          </w:p>
          <w:p w14:paraId="170CDA27">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5.本项目采用资格后审，请供应商仔细阅读磋商文件和各项要求， 制作文件及相关资料过程中，若因供应商资格条件不符、提供资料 不全等原因导致响应文件予以退还，责任自负。 </w:t>
            </w:r>
          </w:p>
          <w:p w14:paraId="04698F26">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6.磋商文件中如有内容冲突的地方，以投标须知要求为准。</w:t>
            </w:r>
          </w:p>
        </w:tc>
      </w:tr>
      <w:tr w14:paraId="09CBA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1" w:hRule="atLeast"/>
          <w:jc w:val="center"/>
        </w:trPr>
        <w:tc>
          <w:tcPr>
            <w:tcW w:w="955" w:type="dxa"/>
            <w:vAlign w:val="center"/>
          </w:tcPr>
          <w:p w14:paraId="0155992A">
            <w:pPr>
              <w:spacing w:line="240" w:lineRule="atLeast"/>
              <w:ind w:left="1080" w:leftChars="257" w:hanging="540" w:firstLine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8312" w:type="dxa"/>
            <w:vAlign w:val="center"/>
          </w:tcPr>
          <w:p w14:paraId="225CEE23">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left="0" w:right="0" w:firstLine="0"/>
              <w:jc w:val="center"/>
              <w:textAlignment w:val="auto"/>
              <w:rPr>
                <w:rFonts w:hint="eastAsia" w:ascii="宋体" w:hAnsi="宋体" w:eastAsia="宋体" w:cs="宋体"/>
                <w:b/>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lang w:val="en-US" w:eastAsia="zh-CN"/>
                <w14:textFill>
                  <w14:solidFill>
                    <w14:schemeClr w14:val="tx1"/>
                  </w14:solidFill>
                </w14:textFill>
              </w:rPr>
              <w:t>中小企业划型标准规定</w:t>
            </w:r>
          </w:p>
          <w:p w14:paraId="5C76A1D5">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一、根据《中华人民共和国中小企业促进法》和《国务院关于进一步促进中小企业发展的若干意见》(（国发〔2009〕[2009]36号)，制定本规定。</w:t>
            </w:r>
          </w:p>
          <w:p w14:paraId="73B2E837">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二、中小企业划分为中型、小型、微型三种类型，具体标准根据企业从业人员、营业收入、资产总额等指标，结合行业特点制定。</w:t>
            </w:r>
          </w:p>
          <w:p w14:paraId="4B96BD4F">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D287243">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四、各行业划型标准为：</w:t>
            </w:r>
          </w:p>
          <w:p w14:paraId="679BA554">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6A9DECBA">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21FB3FC">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DC75EAA">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79651AF">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936EF24">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0A61FBE">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D4B033F">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778CC9A">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424C4E">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5F141B">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231C63">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B47656D">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F7780A">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3218007">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F6EBDB">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335D5C3B">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五、企业类型的划分以统计部门的统计数据为依据。</w:t>
            </w:r>
          </w:p>
          <w:p w14:paraId="7275C533">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705EE158">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69181F23">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八、本规定由工业和信息化部、国家统计局会同有关部门根据《国民经济行业分类》修订情况和企业发展变化情况适时修订。</w:t>
            </w:r>
          </w:p>
          <w:p w14:paraId="7E79D677">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九、本规定由工业和信息化部、国家统计局会同有关部门负责解释。</w:t>
            </w:r>
          </w:p>
          <w:p w14:paraId="595C9DF7">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00" w:lineRule="exact"/>
              <w:ind w:right="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十、本规定自发布之日起执行，原国家经贸委、原国家计委、财政部和国家统计局2003年颁布的《中小企业标准暂行规定》同时废止。</w:t>
            </w:r>
          </w:p>
        </w:tc>
      </w:tr>
      <w:tr w14:paraId="4EFD4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atLeast"/>
          <w:jc w:val="center"/>
        </w:trPr>
        <w:tc>
          <w:tcPr>
            <w:tcW w:w="955" w:type="dxa"/>
            <w:vAlign w:val="center"/>
          </w:tcPr>
          <w:p w14:paraId="718444D5">
            <w:pPr>
              <w:spacing w:line="240" w:lineRule="atLeas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p>
        </w:tc>
        <w:tc>
          <w:tcPr>
            <w:tcW w:w="8312" w:type="dxa"/>
            <w:vAlign w:val="center"/>
          </w:tcPr>
          <w:p w14:paraId="7A442193">
            <w:pP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标的所属行业：</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其他未列明行业</w:t>
            </w:r>
          </w:p>
        </w:tc>
      </w:tr>
    </w:tbl>
    <w:p w14:paraId="2DBCAE1F">
      <w:pPr>
        <w:spacing w:line="240" w:lineRule="atLeast"/>
        <w:rPr>
          <w:rFonts w:hint="eastAsia" w:ascii="宋体" w:hAnsi="宋体" w:eastAsia="宋体" w:cs="宋体"/>
          <w:color w:val="000000" w:themeColor="text1"/>
          <w:sz w:val="24"/>
          <w:highlight w:val="none"/>
          <w14:textFill>
            <w14:solidFill>
              <w14:schemeClr w14:val="tx1"/>
            </w14:solidFill>
          </w14:textFill>
        </w:rPr>
        <w:sectPr>
          <w:footerReference r:id="rId4" w:type="default"/>
          <w:pgSz w:w="11906" w:h="16838"/>
          <w:pgMar w:top="1440" w:right="1797" w:bottom="1440" w:left="1797" w:header="851" w:footer="992" w:gutter="0"/>
          <w:pgNumType w:fmt="decimal" w:start="1"/>
          <w:cols w:space="720" w:num="1"/>
          <w:docGrid w:linePitch="312" w:charSpace="0"/>
        </w:sectPr>
      </w:pPr>
    </w:p>
    <w:p w14:paraId="445D3AF9">
      <w:pPr>
        <w:pStyle w:val="3"/>
        <w:tabs>
          <w:tab w:val="left" w:pos="0"/>
        </w:tabs>
        <w:spacing w:before="0" w:after="0" w:line="340" w:lineRule="exact"/>
        <w:jc w:val="center"/>
        <w:rPr>
          <w:rFonts w:hint="eastAsia" w:ascii="宋体" w:hAnsi="宋体" w:eastAsia="宋体" w:cs="宋体"/>
          <w:color w:val="000000" w:themeColor="text1"/>
          <w:szCs w:val="32"/>
          <w:highlight w:val="none"/>
          <w14:textFill>
            <w14:solidFill>
              <w14:schemeClr w14:val="tx1"/>
            </w14:solidFill>
          </w14:textFill>
        </w:rPr>
      </w:pPr>
      <w:bookmarkStart w:id="82" w:name="_Toc31859"/>
      <w:bookmarkStart w:id="83" w:name="_Toc27105"/>
      <w:bookmarkStart w:id="84" w:name="_Toc17875"/>
      <w:r>
        <w:rPr>
          <w:rFonts w:hint="eastAsia" w:ascii="宋体" w:hAnsi="宋体" w:eastAsia="宋体" w:cs="宋体"/>
          <w:color w:val="000000" w:themeColor="text1"/>
          <w:szCs w:val="32"/>
          <w:highlight w:val="none"/>
          <w:lang w:val="en-US" w:eastAsia="zh-CN"/>
          <w14:textFill>
            <w14:solidFill>
              <w14:schemeClr w14:val="tx1"/>
            </w14:solidFill>
          </w14:textFill>
        </w:rPr>
        <w:t xml:space="preserve">第三章  </w:t>
      </w:r>
      <w:r>
        <w:rPr>
          <w:rFonts w:hint="eastAsia" w:ascii="宋体" w:hAnsi="宋体" w:eastAsia="宋体" w:cs="宋体"/>
          <w:color w:val="000000" w:themeColor="text1"/>
          <w:szCs w:val="32"/>
          <w:highlight w:val="none"/>
          <w14:textFill>
            <w14:solidFill>
              <w14:schemeClr w14:val="tx1"/>
            </w14:solidFill>
          </w14:textFill>
        </w:rPr>
        <w:t>供应商须知</w:t>
      </w:r>
      <w:bookmarkEnd w:id="82"/>
      <w:bookmarkEnd w:id="83"/>
      <w:bookmarkEnd w:id="84"/>
    </w:p>
    <w:p w14:paraId="16BD0840">
      <w:pPr>
        <w:rPr>
          <w:rFonts w:hint="eastAsia" w:ascii="宋体" w:hAnsi="宋体" w:eastAsia="宋体" w:cs="宋体"/>
          <w:color w:val="000000" w:themeColor="text1"/>
          <w:szCs w:val="32"/>
          <w:highlight w:val="none"/>
          <w14:textFill>
            <w14:solidFill>
              <w14:schemeClr w14:val="tx1"/>
            </w14:solidFill>
          </w14:textFill>
        </w:rPr>
      </w:pPr>
    </w:p>
    <w:p w14:paraId="1E1912CC">
      <w:pPr>
        <w:pStyle w:val="4"/>
        <w:pageBreakBefore w:val="0"/>
        <w:widowControl w:val="0"/>
        <w:kinsoku/>
        <w:wordWrap/>
        <w:overflowPunct/>
        <w:topLinePunct w:val="0"/>
        <w:bidi w:val="0"/>
        <w:snapToGrid/>
        <w:spacing w:before="0" w:line="400" w:lineRule="exact"/>
        <w:ind w:left="1080" w:leftChars="257" w:hanging="54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bookmarkStart w:id="85" w:name="_Toc216582805"/>
      <w:bookmarkStart w:id="86" w:name="_Toc515647757"/>
      <w:bookmarkStart w:id="87" w:name="_Toc520356143"/>
      <w:bookmarkStart w:id="88" w:name="_Toc32307"/>
      <w:bookmarkStart w:id="89" w:name="_Toc5345"/>
      <w:bookmarkStart w:id="90" w:name="_Toc21215"/>
      <w:bookmarkStart w:id="91" w:name="_Toc17239"/>
      <w:bookmarkStart w:id="92" w:name="_Toc24977"/>
      <w:bookmarkStart w:id="93" w:name="_Toc2347"/>
      <w:bookmarkStart w:id="94" w:name="_Toc14711"/>
      <w:bookmarkStart w:id="95" w:name="_Toc21015"/>
      <w:r>
        <w:rPr>
          <w:rFonts w:hint="eastAsia" w:ascii="宋体" w:hAnsi="宋体" w:eastAsia="宋体" w:cs="宋体"/>
          <w:color w:val="000000" w:themeColor="text1"/>
          <w:sz w:val="24"/>
          <w:szCs w:val="24"/>
          <w:highlight w:val="none"/>
          <w:u w:val="none"/>
          <w14:textFill>
            <w14:solidFill>
              <w14:schemeClr w14:val="tx1"/>
            </w14:solidFill>
          </w14:textFill>
        </w:rPr>
        <w:t xml:space="preserve">一   </w:t>
      </w:r>
      <w:bookmarkEnd w:id="85"/>
      <w:bookmarkEnd w:id="86"/>
      <w:bookmarkEnd w:id="87"/>
      <w:r>
        <w:rPr>
          <w:rFonts w:hint="eastAsia" w:ascii="宋体" w:hAnsi="宋体" w:eastAsia="宋体" w:cs="宋体"/>
          <w:color w:val="000000" w:themeColor="text1"/>
          <w:sz w:val="24"/>
          <w:szCs w:val="24"/>
          <w:highlight w:val="none"/>
          <w:u w:val="none"/>
          <w14:textFill>
            <w14:solidFill>
              <w14:schemeClr w14:val="tx1"/>
            </w14:solidFill>
          </w14:textFill>
        </w:rPr>
        <w:t>总 则</w:t>
      </w:r>
      <w:bookmarkEnd w:id="88"/>
      <w:bookmarkEnd w:id="89"/>
      <w:bookmarkEnd w:id="90"/>
      <w:bookmarkEnd w:id="91"/>
      <w:bookmarkEnd w:id="92"/>
      <w:bookmarkEnd w:id="93"/>
      <w:bookmarkEnd w:id="94"/>
      <w:bookmarkEnd w:id="95"/>
    </w:p>
    <w:p w14:paraId="05A45D6D">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bookmarkStart w:id="96" w:name="_Toc32189"/>
      <w:bookmarkStart w:id="97" w:name="_Toc520356144"/>
      <w:bookmarkStart w:id="98" w:name="_Toc32623"/>
      <w:bookmarkStart w:id="99" w:name="_Toc515647758"/>
      <w:bookmarkStart w:id="100" w:name="_Toc10899"/>
      <w:r>
        <w:rPr>
          <w:rFonts w:hint="eastAsia" w:ascii="宋体" w:hAnsi="宋体" w:eastAsia="宋体" w:cs="宋体"/>
          <w:color w:val="000000" w:themeColor="text1"/>
          <w:sz w:val="24"/>
          <w:highlight w:val="none"/>
          <w14:textFill>
            <w14:solidFill>
              <w14:schemeClr w14:val="tx1"/>
            </w14:solidFill>
          </w14:textFill>
        </w:rPr>
        <w:t>1.采购人、采购代理机构及</w:t>
      </w:r>
      <w:bookmarkEnd w:id="96"/>
      <w:bookmarkEnd w:id="97"/>
      <w:bookmarkEnd w:id="98"/>
      <w:bookmarkEnd w:id="99"/>
      <w:r>
        <w:rPr>
          <w:rFonts w:hint="eastAsia" w:ascii="宋体" w:hAnsi="宋体" w:eastAsia="宋体" w:cs="宋体"/>
          <w:color w:val="000000" w:themeColor="text1"/>
          <w:sz w:val="24"/>
          <w:highlight w:val="none"/>
          <w14:textFill>
            <w14:solidFill>
              <w14:schemeClr w14:val="tx1"/>
            </w14:solidFill>
          </w14:textFill>
        </w:rPr>
        <w:t>供应商</w:t>
      </w:r>
      <w:bookmarkEnd w:id="100"/>
    </w:p>
    <w:p w14:paraId="79ED2CF7">
      <w:pPr>
        <w:pageBreakBefore w:val="0"/>
        <w:widowControl w:val="0"/>
        <w:numPr>
          <w:ilvl w:val="1"/>
          <w:numId w:val="1"/>
        </w:numPr>
        <w:tabs>
          <w:tab w:val="left" w:pos="0"/>
          <w:tab w:val="clear" w:pos="900"/>
        </w:tabs>
        <w:kinsoku/>
        <w:wordWrap/>
        <w:overflowPunct/>
        <w:topLinePunct w:val="0"/>
        <w:bidi w:val="0"/>
        <w:snapToGrid/>
        <w:spacing w:line="400" w:lineRule="exact"/>
        <w:ind w:hanging="89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采购人：是指依法开展政府采购活动的国家机关、事业单位、团体组织。</w:t>
      </w:r>
    </w:p>
    <w:p w14:paraId="15515AE5">
      <w:pPr>
        <w:pageBreakBefore w:val="0"/>
        <w:widowControl w:val="0"/>
        <w:tabs>
          <w:tab w:val="left" w:pos="0"/>
        </w:tabs>
        <w:kinsoku/>
        <w:wordWrap/>
        <w:overflowPunct/>
        <w:topLinePunct w:val="0"/>
        <w:bidi w:val="0"/>
        <w:snapToGrid/>
        <w:spacing w:line="400" w:lineRule="exact"/>
        <w:ind w:left="9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本项目的采购人见</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w:t>
      </w:r>
    </w:p>
    <w:p w14:paraId="73241BA3">
      <w:pPr>
        <w:pageBreakBefore w:val="0"/>
        <w:widowControl w:val="0"/>
        <w:numPr>
          <w:ilvl w:val="1"/>
          <w:numId w:val="1"/>
        </w:numPr>
        <w:tabs>
          <w:tab w:val="left" w:pos="0"/>
          <w:tab w:val="clear" w:pos="900"/>
        </w:tabs>
        <w:kinsoku/>
        <w:wordWrap/>
        <w:overflowPunct/>
        <w:topLinePunct w:val="0"/>
        <w:bidi w:val="0"/>
        <w:snapToGrid/>
        <w:spacing w:line="400" w:lineRule="exact"/>
        <w:ind w:hanging="89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采购代理机构：是指在集中采购机构或从事采购代理业务的社会中介机构。本项目的采购代理机构见</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w:t>
      </w:r>
    </w:p>
    <w:p w14:paraId="5A665987">
      <w:pPr>
        <w:pageBreakBefore w:val="0"/>
        <w:widowControl w:val="0"/>
        <w:numPr>
          <w:ilvl w:val="1"/>
          <w:numId w:val="1"/>
        </w:numPr>
        <w:kinsoku/>
        <w:wordWrap/>
        <w:overflowPunct/>
        <w:topLinePunct w:val="0"/>
        <w:bidi w:val="0"/>
        <w:snapToGrid/>
        <w:spacing w:line="400" w:lineRule="exact"/>
        <w:ind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供应商：是指向采购人提供服务、工程或者服务的法人、非法人组织或者自然人。本项目的供应商及其磋商服务须满足以下条件：</w:t>
      </w:r>
    </w:p>
    <w:p w14:paraId="2EA840B6">
      <w:pPr>
        <w:pageBreakBefore w:val="0"/>
        <w:widowControl w:val="0"/>
        <w:kinsoku/>
        <w:wordWrap/>
        <w:overflowPunct/>
        <w:topLinePunct w:val="0"/>
        <w:bidi w:val="0"/>
        <w:snapToGrid/>
        <w:spacing w:line="400" w:lineRule="exact"/>
        <w:ind w:left="850" w:hanging="849" w:hangingChars="354"/>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在中华人民共和国境内注册，能够独立承担民事责任，有生产或供应能力的本国供应商。</w:t>
      </w:r>
    </w:p>
    <w:p w14:paraId="66892BAC">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  具备《中华人民共和国政府采购法》第二十二条关于供应商条件的规定，遵守本项目采购人本级和上级财政部门政府采购的有关规定。</w:t>
      </w:r>
    </w:p>
    <w:p w14:paraId="0428CED0">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1.3.3   以采购代理机构认可的方式获得了本项目的磋商文件。</w:t>
      </w:r>
    </w:p>
    <w:p w14:paraId="11862F2C">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1.3.4   符合</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中规定的其他要求。</w:t>
      </w:r>
    </w:p>
    <w:p w14:paraId="4E852780">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1.3.5   若</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中写明允许采购进口产品，供应商应保证所投产品可履行合法报通关手续进入中国关境内。</w:t>
      </w:r>
    </w:p>
    <w:p w14:paraId="376403CC">
      <w:pPr>
        <w:pageBreakBefore w:val="0"/>
        <w:widowControl w:val="0"/>
        <w:kinsoku/>
        <w:wordWrap/>
        <w:overflowPunct/>
        <w:topLinePunct w:val="0"/>
        <w:bidi w:val="0"/>
        <w:snapToGrid/>
        <w:spacing w:line="400" w:lineRule="exact"/>
        <w:ind w:left="899" w:leftChars="42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中未写明允许采购进口产品，如供应商所投产品为进口产品，其磋商将被认定为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67EED35B">
      <w:pPr>
        <w:pageBreakBefore w:val="0"/>
        <w:widowControl w:val="0"/>
        <w:kinsoku/>
        <w:wordWrap/>
        <w:overflowPunct/>
        <w:topLinePunct w:val="0"/>
        <w:bidi w:val="0"/>
        <w:snapToGrid/>
        <w:spacing w:line="400" w:lineRule="exact"/>
        <w:ind w:left="840" w:hanging="840" w:hangingChars="3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1.3.6  若</w:t>
      </w:r>
      <w:r>
        <w:rPr>
          <w:rFonts w:hint="eastAsia" w:ascii="宋体" w:hAnsi="宋体" w:cs="宋体"/>
          <w:color w:val="000000" w:themeColor="text1"/>
          <w:sz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须知资料表</w:t>
      </w:r>
      <w:r>
        <w:rPr>
          <w:rFonts w:hint="eastAsia" w:ascii="宋体" w:hAnsi="宋体" w:eastAsia="宋体" w:cs="宋体"/>
          <w:color w:val="000000" w:themeColor="text1"/>
          <w:sz w:val="24"/>
          <w:highlight w:val="none"/>
          <w14:textFill>
            <w14:solidFill>
              <w14:schemeClr w14:val="tx1"/>
            </w14:solidFill>
          </w14:textFill>
        </w:rPr>
        <w:t>中写明专门面向中小企业采购的，如</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为非中小企业</w:t>
      </w:r>
      <w:r>
        <w:rPr>
          <w:rFonts w:hint="eastAsia" w:ascii="宋体" w:hAnsi="宋体" w:eastAsia="宋体" w:cs="宋体"/>
          <w:color w:val="000000" w:themeColor="text1"/>
          <w:sz w:val="24"/>
          <w:highlight w:val="none"/>
          <w:lang w:eastAsia="zh-CN"/>
          <w14:textFill>
            <w14:solidFill>
              <w14:schemeClr w14:val="tx1"/>
            </w14:solidFill>
          </w14:textFill>
        </w:rPr>
        <w:t>（工程、服务）或</w:t>
      </w:r>
      <w:r>
        <w:rPr>
          <w:rFonts w:hint="eastAsia" w:ascii="宋体" w:hAnsi="宋体" w:eastAsia="宋体" w:cs="宋体"/>
          <w:color w:val="000000" w:themeColor="text1"/>
          <w:sz w:val="24"/>
          <w:highlight w:val="none"/>
          <w14:textFill>
            <w14:solidFill>
              <w14:schemeClr w14:val="tx1"/>
            </w14:solidFill>
          </w14:textFill>
        </w:rPr>
        <w:t>所投产品为非中小企业产品</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2577C7CD">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     如</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中允许联合体磋商，对联合体规定如下：</w:t>
      </w:r>
    </w:p>
    <w:p w14:paraId="6CF71B27">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   两个以上供应商可以组成一个磋商联合体，以一个供应商的身份磋商。</w:t>
      </w:r>
    </w:p>
    <w:p w14:paraId="5D16B62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   联合体各方均应符合《中华人民共和国政府采购法》第二十二条规定的条件。</w:t>
      </w:r>
    </w:p>
    <w:p w14:paraId="00309260">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1.4.3   采购人根据采购项目对供应商的特殊要求，联合体中至少应当有一方符合相关规定。</w:t>
      </w:r>
    </w:p>
    <w:p w14:paraId="459113C8">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1.4.4   联合体各方应签订共同磋商协议，明确约定联合体各方承担的工作和相应的责任，并将共同磋商协议连同作为磋商文件第一部分的内容提交。</w:t>
      </w:r>
    </w:p>
    <w:p w14:paraId="32EF11F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1.4.5   大中型企业、其他自然人、法人或者非法人组织与小型、微型企业组成联合体共同参加磋商，共同磋商协议中应写明小型、微型企业的协议合同金额占到共同磋商协议磋商总金额的比例。</w:t>
      </w:r>
    </w:p>
    <w:p w14:paraId="25336ED5">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1.4.6  联合体中有同类资质的供应商按照联合体分工承担相同工作的，按照较低的资质等级确定联合体的资质等级。</w:t>
      </w:r>
    </w:p>
    <w:p w14:paraId="5AA729DB">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1.4.7  以联合体形式参加政府采购活动的，联合体各方不得再单独参加或者与其他供应商另外组成联合体参加本项目磋商，否则相关磋商将被认定为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0C4A65A0">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1.4.8  对联合体磋商的其他资格要求见</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w:t>
      </w:r>
    </w:p>
    <w:p w14:paraId="3A09FECF">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    单位负责人为同一人或者存在直接控股、管理关系的不同供应商，其相关磋商将被认定为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1B9912C0">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    为本项目提供过整体设计、规范编制或者项目管理、监理、检测等要求的供应商，不得再参加本项目上述服务以外的其他采购活动。否则其磋</w:t>
      </w:r>
    </w:p>
    <w:p w14:paraId="14186F5E">
      <w:pPr>
        <w:pageBreakBefore w:val="0"/>
        <w:widowControl w:val="0"/>
        <w:kinsoku/>
        <w:wordWrap/>
        <w:overflowPunct/>
        <w:topLinePunct w:val="0"/>
        <w:bidi w:val="0"/>
        <w:snapToGrid/>
        <w:spacing w:line="400" w:lineRule="exact"/>
        <w:ind w:firstLine="960" w:firstLine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20645EEC">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供应商在磋商过程中不得向采购人提供、给予任何有价值的物品，影响其正常决策行为。一经发现，其将被认定为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52E1E09E">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101" w:name="_Toc12139"/>
      <w:bookmarkStart w:id="102" w:name="_Toc20561"/>
      <w:bookmarkStart w:id="103" w:name="_Toc5286"/>
      <w:bookmarkStart w:id="104" w:name="_Toc515647759"/>
      <w:r>
        <w:rPr>
          <w:rFonts w:hint="eastAsia" w:ascii="宋体" w:hAnsi="宋体" w:eastAsia="宋体" w:cs="宋体"/>
          <w:color w:val="000000" w:themeColor="text1"/>
          <w:sz w:val="24"/>
          <w:szCs w:val="24"/>
          <w:highlight w:val="none"/>
          <w:u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资金来源</w:t>
      </w:r>
      <w:bookmarkEnd w:id="101"/>
      <w:bookmarkEnd w:id="102"/>
      <w:bookmarkEnd w:id="103"/>
      <w:bookmarkEnd w:id="104"/>
    </w:p>
    <w:p w14:paraId="50EC36B8">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本项目的采购人已获得足以支付本次</w:t>
      </w:r>
      <w:r>
        <w:rPr>
          <w:rFonts w:hint="eastAsia" w:ascii="宋体" w:hAnsi="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后所签订的合同项下的资金（包括财政性资金和本项目采购中无法与财政性资金分割的非财政性资金）。</w:t>
      </w:r>
    </w:p>
    <w:p w14:paraId="7F65FC78">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    项目预算金额和分项或分包最高限价</w:t>
      </w:r>
      <w:r>
        <w:rPr>
          <w:rFonts w:hint="eastAsia" w:ascii="宋体" w:hAnsi="宋体" w:eastAsia="宋体" w:cs="宋体"/>
          <w:color w:val="000000" w:themeColor="text1"/>
          <w:sz w:val="24"/>
          <w:highlight w:val="none"/>
          <w:u w:val="single"/>
          <w14:textFill>
            <w14:solidFill>
              <w14:schemeClr w14:val="tx1"/>
            </w14:solidFill>
          </w14:textFill>
        </w:rPr>
        <w:t>见供应商须知资料表</w:t>
      </w:r>
      <w:r>
        <w:rPr>
          <w:rFonts w:hint="eastAsia" w:ascii="宋体" w:hAnsi="宋体" w:eastAsia="宋体" w:cs="宋体"/>
          <w:color w:val="000000" w:themeColor="text1"/>
          <w:sz w:val="24"/>
          <w:highlight w:val="none"/>
          <w14:textFill>
            <w14:solidFill>
              <w14:schemeClr w14:val="tx1"/>
            </w14:solidFill>
          </w14:textFill>
        </w:rPr>
        <w:t>。</w:t>
      </w:r>
    </w:p>
    <w:p w14:paraId="6A67010F">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    供应商报价超过磋商文件规定的预算金额或者分项、分包最高限价的，其磋商将被认定为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6DA456A0">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105" w:name="_Toc20526"/>
      <w:bookmarkStart w:id="106" w:name="_Toc520356145"/>
      <w:bookmarkStart w:id="107" w:name="_Toc515647760"/>
      <w:bookmarkStart w:id="108" w:name="_Toc18002"/>
      <w:bookmarkStart w:id="109" w:name="_Toc15936"/>
      <w:r>
        <w:rPr>
          <w:rFonts w:hint="eastAsia" w:ascii="宋体" w:hAnsi="宋体" w:eastAsia="宋体" w:cs="宋体"/>
          <w:color w:val="000000" w:themeColor="text1"/>
          <w:szCs w:val="24"/>
          <w:highlight w:val="none"/>
          <w:u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磋商费用</w:t>
      </w:r>
      <w:bookmarkEnd w:id="105"/>
      <w:bookmarkEnd w:id="106"/>
      <w:bookmarkEnd w:id="107"/>
      <w:bookmarkEnd w:id="108"/>
      <w:bookmarkEnd w:id="109"/>
    </w:p>
    <w:p w14:paraId="34EE78A6">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不论磋商的结果如何，供应商应承担所有与准备和参加磋商有关的费用。</w:t>
      </w:r>
    </w:p>
    <w:p w14:paraId="3F34ACD9">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szCs w:val="24"/>
          <w:highlight w:val="none"/>
          <w:u w:val="none"/>
          <w14:textFill>
            <w14:solidFill>
              <w14:schemeClr w14:val="tx1"/>
            </w14:solidFill>
          </w14:textFill>
        </w:rPr>
      </w:pPr>
      <w:bookmarkStart w:id="110" w:name="_Toc515647761"/>
      <w:bookmarkStart w:id="111" w:name="_Toc4463"/>
      <w:bookmarkStart w:id="112" w:name="_Toc30544"/>
      <w:bookmarkStart w:id="113" w:name="_Toc6116"/>
      <w:r>
        <w:rPr>
          <w:rFonts w:hint="eastAsia" w:ascii="宋体" w:hAnsi="宋体" w:eastAsia="宋体" w:cs="宋体"/>
          <w:color w:val="000000" w:themeColor="text1"/>
          <w:szCs w:val="24"/>
          <w:highlight w:val="none"/>
          <w:u w:val="none"/>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适用法律</w:t>
      </w:r>
      <w:bookmarkEnd w:id="110"/>
      <w:bookmarkEnd w:id="111"/>
      <w:bookmarkEnd w:id="112"/>
      <w:bookmarkEnd w:id="113"/>
    </w:p>
    <w:p w14:paraId="4018511B">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本项目采购人、采购代理机构、供应商、</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的相关行为均受《中华人民共和国政府采购法》、《中华人民共和国政府采购法实施条例》</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财政部关于印发《政府采购竞争性磋商采购方式管理暂行办法》</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等有关法律、法规和规章的规定</w:t>
      </w:r>
      <w:r>
        <w:rPr>
          <w:rFonts w:hint="eastAsia" w:ascii="宋体" w:hAnsi="宋体" w:eastAsia="宋体" w:cs="宋体"/>
          <w:color w:val="000000" w:themeColor="text1"/>
          <w:sz w:val="24"/>
          <w:highlight w:val="none"/>
          <w14:textFill>
            <w14:solidFill>
              <w14:schemeClr w14:val="tx1"/>
            </w14:solidFill>
          </w14:textFill>
        </w:rPr>
        <w:t>及本项目本级和上级财政部门政府采购有关规定的约束，其权利受到上述法律法规的保护。</w:t>
      </w:r>
    </w:p>
    <w:p w14:paraId="30A54BA8">
      <w:pPr>
        <w:pStyle w:val="4"/>
        <w:pageBreakBefore w:val="0"/>
        <w:widowControl w:val="0"/>
        <w:kinsoku/>
        <w:wordWrap/>
        <w:overflowPunct/>
        <w:topLinePunct w:val="0"/>
        <w:bidi w:val="0"/>
        <w:snapToGrid/>
        <w:spacing w:before="0" w:line="400" w:lineRule="exact"/>
        <w:ind w:left="1080" w:leftChars="257" w:hanging="540"/>
        <w:textAlignment w:val="auto"/>
        <w:rPr>
          <w:rFonts w:hint="eastAsia" w:ascii="宋体" w:hAnsi="宋体" w:eastAsia="宋体" w:cs="宋体"/>
          <w:b/>
          <w:bCs w:val="0"/>
          <w:color w:val="000000" w:themeColor="text1"/>
          <w:sz w:val="24"/>
          <w:szCs w:val="24"/>
          <w:highlight w:val="none"/>
          <w:u w:val="none"/>
          <w14:textFill>
            <w14:solidFill>
              <w14:schemeClr w14:val="tx1"/>
            </w14:solidFill>
          </w14:textFill>
        </w:rPr>
      </w:pPr>
      <w:bookmarkStart w:id="114" w:name="_Toc216582806"/>
      <w:bookmarkStart w:id="115" w:name="_Toc520356146"/>
      <w:bookmarkStart w:id="116" w:name="_Toc4365"/>
      <w:bookmarkStart w:id="117" w:name="_Toc515647762"/>
      <w:bookmarkStart w:id="118" w:name="_Toc21566"/>
      <w:bookmarkStart w:id="119" w:name="_Toc29658"/>
      <w:bookmarkStart w:id="120" w:name="_Toc9935"/>
      <w:bookmarkStart w:id="121" w:name="_Toc12032"/>
      <w:bookmarkStart w:id="122" w:name="_Toc2261"/>
      <w:bookmarkStart w:id="123" w:name="_Toc20366"/>
      <w:bookmarkStart w:id="124" w:name="_Toc4420"/>
      <w:r>
        <w:rPr>
          <w:rFonts w:hint="eastAsia" w:ascii="宋体" w:hAnsi="宋体" w:eastAsia="宋体" w:cs="宋体"/>
          <w:b/>
          <w:bCs w:val="0"/>
          <w:color w:val="000000" w:themeColor="text1"/>
          <w:sz w:val="24"/>
          <w:szCs w:val="24"/>
          <w:highlight w:val="none"/>
          <w:u w:val="none"/>
          <w14:textFill>
            <w14:solidFill>
              <w14:schemeClr w14:val="tx1"/>
            </w14:solidFill>
          </w14:textFill>
        </w:rPr>
        <w:t xml:space="preserve">二   </w:t>
      </w:r>
      <w:bookmarkEnd w:id="114"/>
      <w:bookmarkEnd w:id="115"/>
      <w:bookmarkEnd w:id="116"/>
      <w:bookmarkEnd w:id="117"/>
      <w:bookmarkEnd w:id="118"/>
      <w:r>
        <w:rPr>
          <w:rFonts w:hint="eastAsia" w:ascii="宋体" w:hAnsi="宋体" w:eastAsia="宋体" w:cs="宋体"/>
          <w:b/>
          <w:bCs w:val="0"/>
          <w:color w:val="000000" w:themeColor="text1"/>
          <w:sz w:val="24"/>
          <w:szCs w:val="24"/>
          <w:highlight w:val="none"/>
          <w:u w:val="none"/>
          <w14:textFill>
            <w14:solidFill>
              <w14:schemeClr w14:val="tx1"/>
            </w14:solidFill>
          </w14:textFill>
        </w:rPr>
        <w:t>磋商文件</w:t>
      </w:r>
      <w:bookmarkEnd w:id="119"/>
      <w:bookmarkEnd w:id="120"/>
      <w:bookmarkEnd w:id="121"/>
      <w:bookmarkEnd w:id="122"/>
      <w:bookmarkEnd w:id="123"/>
      <w:bookmarkEnd w:id="124"/>
    </w:p>
    <w:p w14:paraId="5E32ED4D">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szCs w:val="24"/>
          <w:highlight w:val="none"/>
          <w:u w:val="none"/>
          <w14:textFill>
            <w14:solidFill>
              <w14:schemeClr w14:val="tx1"/>
            </w14:solidFill>
          </w14:textFill>
        </w:rPr>
      </w:pPr>
      <w:bookmarkStart w:id="125" w:name="_Toc515904805"/>
      <w:bookmarkStart w:id="126" w:name="_Toc520356148"/>
      <w:bookmarkStart w:id="127" w:name="_Toc26044"/>
      <w:bookmarkStart w:id="128" w:name="_Toc7531"/>
      <w:bookmarkStart w:id="129" w:name="_Toc9232"/>
      <w:r>
        <w:rPr>
          <w:rFonts w:hint="eastAsia" w:ascii="宋体" w:hAnsi="宋体" w:eastAsia="宋体" w:cs="宋体"/>
          <w:color w:val="000000" w:themeColor="text1"/>
          <w:szCs w:val="24"/>
          <w:highlight w:val="none"/>
          <w:u w:val="none"/>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磋商文件的澄清</w:t>
      </w:r>
      <w:bookmarkEnd w:id="125"/>
      <w:bookmarkEnd w:id="126"/>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与修改</w:t>
      </w:r>
      <w:bookmarkEnd w:id="127"/>
      <w:bookmarkEnd w:id="128"/>
      <w:bookmarkEnd w:id="129"/>
    </w:p>
    <w:p w14:paraId="537644ED">
      <w:pPr>
        <w:pStyle w:val="5"/>
        <w:pageBreakBefore w:val="0"/>
        <w:widowControl w:val="0"/>
        <w:kinsoku/>
        <w:wordWrap/>
        <w:overflowPunct/>
        <w:topLinePunct w:val="0"/>
        <w:bidi w:val="0"/>
        <w:snapToGrid/>
        <w:spacing w:line="400" w:lineRule="exact"/>
        <w:ind w:left="840" w:hanging="840" w:hangingChars="35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6.1    为了保证对磋商文件的澄清和修改满足法律的时限要求，任何要求对磋商文件进行澄清的供应商，均应在磋商截止期十日前，以书面形式将澄清要求通知采购人或采购代理机构。</w:t>
      </w:r>
    </w:p>
    <w:p w14:paraId="2C8E2F4B">
      <w:pPr>
        <w:pStyle w:val="5"/>
        <w:pageBreakBefore w:val="0"/>
        <w:widowControl w:val="0"/>
        <w:kinsoku/>
        <w:wordWrap/>
        <w:overflowPunct/>
        <w:topLinePunct w:val="0"/>
        <w:bidi w:val="0"/>
        <w:snapToGrid/>
        <w:spacing w:line="400" w:lineRule="exact"/>
        <w:ind w:left="840" w:hanging="840" w:hangingChars="35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6.2</w:t>
      </w:r>
      <w:r>
        <w:rPr>
          <w:rFonts w:hint="eastAsia" w:ascii="宋体" w:hAnsi="宋体" w:eastAsia="宋体" w:cs="宋体"/>
          <w:color w:val="000000" w:themeColor="text1"/>
          <w:szCs w:val="24"/>
          <w:highlight w:val="none"/>
          <w14:textFill>
            <w14:solidFill>
              <w14:schemeClr w14:val="tx1"/>
            </w14:solidFill>
          </w14:textFill>
        </w:rPr>
        <w:tab/>
      </w:r>
      <w:r>
        <w:rPr>
          <w:rFonts w:hint="eastAsia" w:ascii="宋体" w:hAnsi="宋体" w:eastAsia="宋体" w:cs="宋体"/>
          <w:color w:val="000000" w:themeColor="text1"/>
          <w:szCs w:val="24"/>
          <w:highlight w:val="none"/>
          <w14:textFill>
            <w14:solidFill>
              <w14:schemeClr w14:val="tx1"/>
            </w14:solidFill>
          </w14:textFill>
        </w:rPr>
        <w:t>采购人可主动地或在解答供应商提出的澄清问题时对磋商文件进行澄清或修改。采购代理机构将以发布澄清（更正）公告的方式，澄清或修改磋商文件，澄清或修改内容作为磋商文件的组成部分。</w:t>
      </w:r>
    </w:p>
    <w:p w14:paraId="0EFC35AA">
      <w:pPr>
        <w:pStyle w:val="5"/>
        <w:pageBreakBefore w:val="0"/>
        <w:widowControl w:val="0"/>
        <w:kinsoku/>
        <w:wordWrap/>
        <w:overflowPunct/>
        <w:topLinePunct w:val="0"/>
        <w:bidi w:val="0"/>
        <w:snapToGrid/>
        <w:spacing w:line="400" w:lineRule="exact"/>
        <w:ind w:left="840" w:hanging="840" w:hangingChars="350"/>
        <w:textAlignment w:val="auto"/>
        <w:rPr>
          <w:rFonts w:hint="eastAsia" w:ascii="宋体" w:hAnsi="宋体" w:eastAsia="宋体" w:cs="宋体"/>
          <w:color w:val="000000" w:themeColor="text1"/>
          <w:szCs w:val="24"/>
          <w:highlight w:val="none"/>
          <w14:textFill>
            <w14:solidFill>
              <w14:schemeClr w14:val="tx1"/>
            </w14:solidFill>
          </w14:textFill>
        </w:rPr>
      </w:pPr>
      <w:bookmarkStart w:id="130" w:name="_Toc515904806"/>
      <w:bookmarkStart w:id="131" w:name="_Toc520356149"/>
      <w:bookmarkStart w:id="132" w:name="_Ref467378678"/>
      <w:r>
        <w:rPr>
          <w:rFonts w:hint="eastAsia" w:ascii="宋体" w:hAnsi="宋体" w:eastAsia="宋体" w:cs="宋体"/>
          <w:color w:val="000000" w:themeColor="text1"/>
          <w:szCs w:val="24"/>
          <w:highlight w:val="none"/>
          <w14:textFill>
            <w14:solidFill>
              <w14:schemeClr w14:val="tx1"/>
            </w14:solidFill>
          </w14:textFill>
        </w:rPr>
        <w:t>6.3</w:t>
      </w:r>
      <w:r>
        <w:rPr>
          <w:rFonts w:hint="eastAsia" w:ascii="宋体" w:hAnsi="宋体" w:eastAsia="宋体" w:cs="宋体"/>
          <w:color w:val="000000" w:themeColor="text1"/>
          <w:szCs w:val="24"/>
          <w:highlight w:val="none"/>
          <w14:textFill>
            <w14:solidFill>
              <w14:schemeClr w14:val="tx1"/>
            </w14:solidFill>
          </w14:textFill>
        </w:rPr>
        <w:tab/>
      </w:r>
      <w:r>
        <w:rPr>
          <w:rFonts w:hint="eastAsia" w:ascii="宋体" w:hAnsi="宋体" w:eastAsia="宋体" w:cs="宋体"/>
          <w:color w:val="000000" w:themeColor="text1"/>
          <w:szCs w:val="24"/>
          <w:highlight w:val="none"/>
          <w14:textFill>
            <w14:solidFill>
              <w14:schemeClr w14:val="tx1"/>
            </w14:solidFill>
          </w14:textFill>
        </w:rPr>
        <w:t>澄清或者修改的内容可能影响磋商文件编制的，采购代理机构将以书面形式通知所有购买磋商文件的潜在供应商，并对其具有约束力。供应商在收到上述通知后，应及时向采购代理机构回函确认。</w:t>
      </w:r>
    </w:p>
    <w:p w14:paraId="31188407">
      <w:pPr>
        <w:pageBreakBefore w:val="0"/>
        <w:widowControl w:val="0"/>
        <w:tabs>
          <w:tab w:val="left" w:pos="900"/>
        </w:tabs>
        <w:kinsoku/>
        <w:wordWrap/>
        <w:overflowPunct/>
        <w:topLinePunct w:val="0"/>
        <w:bidi w:val="0"/>
        <w:snapToGrid/>
        <w:spacing w:before="0" w:after="0" w:line="40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133" w:name="_Toc14569"/>
      <w:bookmarkStart w:id="134" w:name="_Toc25635"/>
      <w:bookmarkStart w:id="135" w:name="_Toc10128"/>
      <w:r>
        <w:rPr>
          <w:rFonts w:hint="eastAsia" w:ascii="宋体" w:hAnsi="宋体" w:eastAsia="宋体" w:cs="宋体"/>
          <w:color w:val="000000" w:themeColor="text1"/>
          <w:szCs w:val="24"/>
          <w:highlight w:val="none"/>
          <w:u w:val="none"/>
          <w14:textFill>
            <w14:solidFill>
              <w14:schemeClr w14:val="tx1"/>
            </w14:solidFill>
          </w14:textFill>
        </w:rPr>
        <w:t>7</w:t>
      </w:r>
      <w:bookmarkEnd w:id="130"/>
      <w:bookmarkEnd w:id="131"/>
      <w:bookmarkEnd w:id="132"/>
      <w:r>
        <w:rPr>
          <w:rFonts w:hint="eastAsia" w:ascii="宋体" w:hAnsi="宋体" w:eastAsia="宋体" w:cs="宋体"/>
          <w:color w:val="000000" w:themeColor="text1"/>
          <w:szCs w:val="24"/>
          <w:highlight w:val="none"/>
          <w:u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磋商截止时间的顺延</w:t>
      </w:r>
      <w:bookmarkEnd w:id="133"/>
      <w:bookmarkEnd w:id="134"/>
      <w:bookmarkEnd w:id="135"/>
    </w:p>
    <w:p w14:paraId="65729D3A">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为使供应商准备磋商时有足够的时间对磋商文件的澄清或者修改部分进行研究，采购人将依法决定是否顺延磋商截止时间。</w:t>
      </w:r>
    </w:p>
    <w:p w14:paraId="7739565B">
      <w:pPr>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highlight w:val="none"/>
          <w14:textFill>
            <w14:solidFill>
              <w14:schemeClr w14:val="tx1"/>
            </w14:solidFill>
          </w14:textFill>
        </w:rPr>
      </w:pPr>
      <w:bookmarkStart w:id="136" w:name="_Toc516367020"/>
      <w:bookmarkStart w:id="137" w:name="_Toc30808"/>
      <w:bookmarkStart w:id="138" w:name="_Toc7636"/>
      <w:bookmarkStart w:id="139" w:name="_Toc515647766"/>
      <w:bookmarkStart w:id="140" w:name="_Toc216582807"/>
      <w:bookmarkStart w:id="141" w:name="_Toc17440"/>
      <w:bookmarkStart w:id="142" w:name="_Toc520356150"/>
      <w:bookmarkStart w:id="143" w:name="_Toc18070"/>
      <w:r>
        <w:rPr>
          <w:rFonts w:hint="eastAsia" w:ascii="宋体" w:hAnsi="宋体" w:eastAsia="宋体" w:cs="宋体"/>
          <w:b/>
          <w:bCs/>
          <w:color w:val="000000" w:themeColor="text1"/>
          <w:sz w:val="24"/>
          <w:highlight w:val="none"/>
          <w14:textFill>
            <w14:solidFill>
              <w14:schemeClr w14:val="tx1"/>
            </w14:solidFill>
          </w14:textFill>
        </w:rPr>
        <w:t xml:space="preserve">三   </w:t>
      </w:r>
      <w:bookmarkEnd w:id="136"/>
      <w:r>
        <w:rPr>
          <w:rFonts w:hint="eastAsia" w:ascii="宋体" w:hAnsi="宋体" w:eastAsia="宋体" w:cs="宋体"/>
          <w:b/>
          <w:bCs/>
          <w:color w:val="000000" w:themeColor="text1"/>
          <w:sz w:val="24"/>
          <w:highlight w:val="none"/>
          <w14:textFill>
            <w14:solidFill>
              <w14:schemeClr w14:val="tx1"/>
            </w14:solidFill>
          </w14:textFill>
        </w:rPr>
        <w:t>响应文件的编制</w:t>
      </w:r>
      <w:bookmarkEnd w:id="137"/>
      <w:bookmarkEnd w:id="138"/>
      <w:bookmarkEnd w:id="139"/>
      <w:bookmarkEnd w:id="140"/>
      <w:bookmarkEnd w:id="141"/>
      <w:bookmarkEnd w:id="142"/>
      <w:bookmarkEnd w:id="143"/>
    </w:p>
    <w:p w14:paraId="74605DA1">
      <w:pPr>
        <w:pageBreakBefore w:val="0"/>
        <w:widowControl w:val="0"/>
        <w:tabs>
          <w:tab w:val="left" w:pos="900"/>
        </w:tabs>
        <w:kinsoku/>
        <w:wordWrap/>
        <w:overflowPunct/>
        <w:topLinePunct w:val="0"/>
        <w:bidi w:val="0"/>
        <w:snapToGrid/>
        <w:spacing w:before="0" w:after="0" w:line="40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144" w:name="_Toc7786"/>
      <w:bookmarkStart w:id="145" w:name="_Toc15016"/>
      <w:bookmarkStart w:id="146" w:name="_Toc21065"/>
      <w:bookmarkStart w:id="147" w:name="_Toc520356151"/>
      <w:bookmarkStart w:id="148" w:name="_Toc3553"/>
      <w:bookmarkStart w:id="149" w:name="_Toc516367021"/>
      <w:bookmarkStart w:id="150" w:name="_Toc515647767"/>
      <w:r>
        <w:rPr>
          <w:rFonts w:hint="eastAsia" w:ascii="宋体" w:hAnsi="宋体" w:eastAsia="宋体" w:cs="宋体"/>
          <w:color w:val="000000" w:themeColor="text1"/>
          <w:highlight w:val="none"/>
          <w:u w:val="none"/>
          <w14:textFill>
            <w14:solidFill>
              <w14:schemeClr w14:val="tx1"/>
            </w14:solidFill>
          </w14:textFill>
        </w:rPr>
        <w:t>8.</w:t>
      </w:r>
      <w:r>
        <w:rPr>
          <w:rFonts w:hint="eastAsia" w:ascii="宋体" w:hAnsi="宋体" w:eastAsia="宋体" w:cs="宋体"/>
          <w:color w:val="000000" w:themeColor="text1"/>
          <w:highlight w:val="none"/>
          <w:u w:val="none"/>
          <w14:textFill>
            <w14:solidFill>
              <w14:schemeClr w14:val="tx1"/>
            </w14:solidFill>
          </w14:textFill>
        </w:rPr>
        <w:tab/>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磋商范围及响应文件成交准和计量单位的使用</w:t>
      </w:r>
      <w:bookmarkEnd w:id="144"/>
      <w:bookmarkEnd w:id="145"/>
      <w:bookmarkEnd w:id="146"/>
      <w:bookmarkEnd w:id="147"/>
      <w:bookmarkEnd w:id="148"/>
      <w:bookmarkEnd w:id="149"/>
      <w:bookmarkEnd w:id="150"/>
    </w:p>
    <w:p w14:paraId="45BF30FC">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项目有分包的，供应商可对磋商文件其中某一个或几个分包服务内容进行磋商，除非在</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中另有规定。</w:t>
      </w:r>
    </w:p>
    <w:p w14:paraId="697A6221">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     供应商应当对所投分包磋商文件中“服务需求”所列的所有内容进行磋商，如仅响应某一包中的部分内容，其该包磋商将被认定为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14E9D384">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8.3     无论磋商文件第</w:t>
      </w: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章服务需求一览表及技术规格中是否要求，供应商所投服务要求均应符合国家强制性标准。</w:t>
      </w:r>
    </w:p>
    <w:p w14:paraId="252C31C4">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8.4     除磋商文件中有特殊要求外，响应文件中所使用的计量单位，应采用中华人民共和国法定计量单位。</w:t>
      </w:r>
    </w:p>
    <w:p w14:paraId="51EBD673">
      <w:pPr>
        <w:pageBreakBefore w:val="0"/>
        <w:widowControl w:val="0"/>
        <w:tabs>
          <w:tab w:val="left" w:pos="900"/>
        </w:tabs>
        <w:kinsoku/>
        <w:wordWrap/>
        <w:overflowPunct/>
        <w:topLinePunct w:val="0"/>
        <w:bidi w:val="0"/>
        <w:snapToGrid/>
        <w:spacing w:before="0" w:after="0" w:line="40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151" w:name="_Toc516367022"/>
      <w:bookmarkStart w:id="152" w:name="_Ref467306195"/>
      <w:bookmarkStart w:id="153" w:name="_Ref467306676"/>
      <w:bookmarkStart w:id="154" w:name="_Toc28307"/>
      <w:bookmarkStart w:id="155" w:name="_Toc520356152"/>
      <w:bookmarkStart w:id="156" w:name="_Toc28670"/>
      <w:bookmarkStart w:id="157" w:name="_Toc15064"/>
      <w:bookmarkStart w:id="158" w:name="_Toc515647768"/>
      <w:bookmarkStart w:id="159" w:name="_Toc10364"/>
      <w:r>
        <w:rPr>
          <w:rFonts w:hint="eastAsia" w:ascii="宋体" w:hAnsi="宋体" w:eastAsia="宋体" w:cs="宋体"/>
          <w:color w:val="000000" w:themeColor="text1"/>
          <w:highlight w:val="none"/>
          <w:u w:val="none"/>
          <w14:textFill>
            <w14:solidFill>
              <w14:schemeClr w14:val="tx1"/>
            </w14:solidFill>
          </w14:textFill>
        </w:rPr>
        <w:t>9.</w:t>
      </w:r>
      <w:bookmarkEnd w:id="151"/>
      <w:bookmarkEnd w:id="152"/>
      <w:bookmarkEnd w:id="153"/>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响应文件构成</w:t>
      </w:r>
      <w:bookmarkEnd w:id="154"/>
      <w:bookmarkEnd w:id="155"/>
      <w:bookmarkEnd w:id="156"/>
      <w:bookmarkEnd w:id="157"/>
      <w:bookmarkEnd w:id="158"/>
      <w:bookmarkEnd w:id="159"/>
    </w:p>
    <w:p w14:paraId="407C6D17">
      <w:pPr>
        <w:pageBreakBefore w:val="0"/>
        <w:widowControl w:val="0"/>
        <w:tabs>
          <w:tab w:val="left" w:pos="900"/>
          <w:tab w:val="left" w:pos="5580"/>
        </w:tabs>
        <w:kinsoku/>
        <w:wordWrap/>
        <w:overflowPunct/>
        <w:topLinePunct w:val="0"/>
        <w:bidi w:val="0"/>
        <w:snapToGrid/>
        <w:spacing w:line="400" w:lineRule="exact"/>
        <w:ind w:left="960" w:hanging="960" w:hangingChars="4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bookmarkStart w:id="160" w:name="_Ref467052588"/>
      <w:r>
        <w:rPr>
          <w:rFonts w:hint="eastAsia" w:ascii="宋体" w:hAnsi="宋体" w:eastAsia="宋体" w:cs="宋体"/>
          <w:color w:val="000000" w:themeColor="text1"/>
          <w:sz w:val="24"/>
          <w:highlight w:val="none"/>
          <w14:textFill>
            <w14:solidFill>
              <w14:schemeClr w14:val="tx1"/>
            </w14:solidFill>
          </w14:textFill>
        </w:rPr>
        <w:t xml:space="preserve">9.1      </w:t>
      </w:r>
      <w:r>
        <w:rPr>
          <w:rFonts w:hint="eastAsia" w:ascii="宋体" w:hAnsi="宋体" w:eastAsia="宋体" w:cs="宋体"/>
          <w:b/>
          <w:bCs/>
          <w:color w:val="000000" w:themeColor="text1"/>
          <w:sz w:val="24"/>
          <w:highlight w:val="none"/>
          <w:u w:val="single"/>
          <w:lang w:eastAsia="zh-CN"/>
          <w14:textFill>
            <w14:solidFill>
              <w14:schemeClr w14:val="tx1"/>
            </w14:solidFill>
          </w14:textFill>
        </w:rPr>
        <w:t>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p>
    <w:p w14:paraId="5CE74DDA">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9.2    上述文件应按照磋商文件规定的格式填写、签署和盖章。</w:t>
      </w:r>
      <w:bookmarkEnd w:id="160"/>
    </w:p>
    <w:p w14:paraId="5C2F7CA0">
      <w:pPr>
        <w:pageBreakBefore w:val="0"/>
        <w:widowControl w:val="0"/>
        <w:tabs>
          <w:tab w:val="left" w:pos="900"/>
        </w:tabs>
        <w:kinsoku/>
        <w:wordWrap/>
        <w:overflowPunct/>
        <w:topLinePunct w:val="0"/>
        <w:bidi w:val="0"/>
        <w:snapToGrid/>
        <w:spacing w:before="0" w:after="0" w:line="40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161" w:name="_Toc516367023"/>
      <w:bookmarkStart w:id="162" w:name="_Toc515647769"/>
      <w:bookmarkStart w:id="163" w:name="_Toc30107"/>
      <w:bookmarkStart w:id="164" w:name="_Toc10379"/>
      <w:bookmarkStart w:id="165" w:name="_Toc520356153"/>
      <w:bookmarkStart w:id="166" w:name="_Toc4601"/>
      <w:bookmarkStart w:id="167" w:name="_Toc5860"/>
      <w:r>
        <w:rPr>
          <w:rFonts w:hint="eastAsia" w:ascii="宋体" w:hAnsi="宋体" w:eastAsia="宋体" w:cs="宋体"/>
          <w:color w:val="000000" w:themeColor="text1"/>
          <w:sz w:val="24"/>
          <w:szCs w:val="32"/>
          <w:highlight w:val="none"/>
          <w:u w:val="none"/>
          <w14:textFill>
            <w14:solidFill>
              <w14:schemeClr w14:val="tx1"/>
            </w14:solidFill>
          </w14:textFill>
        </w:rPr>
        <w:t>10.</w:t>
      </w:r>
      <w:r>
        <w:rPr>
          <w:rFonts w:hint="eastAsia" w:ascii="宋体" w:hAnsi="宋体" w:eastAsia="宋体" w:cs="宋体"/>
          <w:color w:val="000000" w:themeColor="text1"/>
          <w:highlight w:val="none"/>
          <w:u w:val="none"/>
          <w14:textFill>
            <w14:solidFill>
              <w14:schemeClr w14:val="tx1"/>
            </w14:solidFill>
          </w14:textFill>
        </w:rPr>
        <w:tab/>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证明磋商标的的合格性和符合磋商文件规定的技术文件</w:t>
      </w:r>
      <w:bookmarkEnd w:id="161"/>
      <w:bookmarkEnd w:id="162"/>
      <w:bookmarkEnd w:id="163"/>
      <w:bookmarkEnd w:id="164"/>
      <w:bookmarkEnd w:id="165"/>
      <w:bookmarkEnd w:id="166"/>
      <w:bookmarkEnd w:id="167"/>
    </w:p>
    <w:p w14:paraId="3D2B5E1D">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供应商应提交证明文件，证明其磋商内容符合磋商文件规定。该证明文件是响应文件的一部分。</w:t>
      </w:r>
    </w:p>
    <w:p w14:paraId="5502870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bookmarkStart w:id="168" w:name="_Ref467306244"/>
      <w:r>
        <w:rPr>
          <w:rFonts w:hint="eastAsia" w:ascii="宋体" w:hAnsi="宋体" w:eastAsia="宋体" w:cs="宋体"/>
          <w:color w:val="000000" w:themeColor="text1"/>
          <w:sz w:val="24"/>
          <w:highlight w:val="none"/>
          <w14:textFill>
            <w14:solidFill>
              <w14:schemeClr w14:val="tx1"/>
            </w14:solidFill>
          </w14:textFill>
        </w:rPr>
        <w:t>10.2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上款所述的证明文件，可以是文字资料、图纸和数据，</w:t>
      </w:r>
      <w:bookmarkEnd w:id="168"/>
      <w:r>
        <w:rPr>
          <w:rFonts w:hint="eastAsia" w:ascii="宋体" w:hAnsi="宋体" w:eastAsia="宋体" w:cs="宋体"/>
          <w:color w:val="000000" w:themeColor="text1"/>
          <w:sz w:val="24"/>
          <w:highlight w:val="none"/>
          <w14:textFill>
            <w14:solidFill>
              <w14:schemeClr w14:val="tx1"/>
            </w14:solidFill>
          </w14:textFill>
        </w:rPr>
        <w:t>它包括：</w:t>
      </w:r>
    </w:p>
    <w:p w14:paraId="494B3600">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服务需求的详细说明；</w:t>
      </w:r>
    </w:p>
    <w:p w14:paraId="56E8A58E">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服务从买方开始使用至磋商文件规定的保质期内正常、连续地使用所必须的备件和专用工具清单，包括备件和专用工具的现行价格；</w:t>
      </w:r>
    </w:p>
    <w:p w14:paraId="0601F042">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10.2.3</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对照磋商文件服务需求，逐条说明所提供工程和服务已对磋商文件的技术规格做出了实质性的响应，或申明与服务需求条文的偏差和例外。</w:t>
      </w:r>
    </w:p>
    <w:p w14:paraId="438F951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供应商应注意采购人在采购需求中提出的要求。</w:t>
      </w:r>
    </w:p>
    <w:p w14:paraId="3376D3C5">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69" w:name="_Toc6864"/>
      <w:bookmarkStart w:id="170" w:name="_Toc2248"/>
      <w:bookmarkStart w:id="171" w:name="_Toc520356155"/>
      <w:bookmarkStart w:id="172" w:name="_Toc23231"/>
      <w:bookmarkStart w:id="173" w:name="_Toc515647770"/>
      <w:bookmarkStart w:id="174" w:name="_Toc8012"/>
      <w:r>
        <w:rPr>
          <w:rFonts w:hint="eastAsia" w:ascii="宋体" w:hAnsi="宋体" w:eastAsia="宋体" w:cs="宋体"/>
          <w:color w:val="000000" w:themeColor="text1"/>
          <w:sz w:val="24"/>
          <w:szCs w:val="32"/>
          <w:highlight w:val="none"/>
          <w:u w:val="none"/>
          <w14:textFill>
            <w14:solidFill>
              <w14:schemeClr w14:val="tx1"/>
            </w14:solidFill>
          </w14:textFill>
        </w:rPr>
        <w:t>11.磋商报价</w:t>
      </w:r>
      <w:bookmarkEnd w:id="169"/>
      <w:bookmarkEnd w:id="170"/>
      <w:bookmarkEnd w:id="171"/>
      <w:bookmarkEnd w:id="172"/>
      <w:bookmarkEnd w:id="173"/>
      <w:bookmarkEnd w:id="174"/>
    </w:p>
    <w:p w14:paraId="0E1E20B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所有磋商均以人民币报价。供应商的磋商报价应遵守《中华人民共和国价格法》。同时，根据《中华人民共和国政府采购法》第二条的规定，为保证公平竞争，如有服务主体部分的赠与行为，其磋商将被认定为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7AB238B9">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供应商应在磋商分项报价表上标明磋商服务内容及相关服务的单价（如适用）和总价，并由法定代表人或其授权代表签署。</w:t>
      </w:r>
    </w:p>
    <w:p w14:paraId="41928C5A">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磋商分项报价表上的价格应按下列方式填写：</w:t>
      </w:r>
    </w:p>
    <w:p w14:paraId="5E6B19F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11.3.1  磋商服务的内容；</w:t>
      </w:r>
    </w:p>
    <w:p w14:paraId="387C3A09">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供应商所报的各分项磋商单价在合同履行过程中是固定不变的，不得以任何理由予以变更。任何包含价格调整要求的磋商，其磋商将被认定为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p>
    <w:p w14:paraId="548CE7C3">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11.5</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b/>
          <w:bCs/>
          <w:color w:val="000000" w:themeColor="text1"/>
          <w:sz w:val="24"/>
          <w:highlight w:val="none"/>
          <w:u w:val="single"/>
          <w14:textFill>
            <w14:solidFill>
              <w14:schemeClr w14:val="tx1"/>
            </w14:solidFill>
          </w14:textFill>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44B0E225">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75" w:name="_Toc17788"/>
      <w:bookmarkStart w:id="176" w:name="_Toc515647771"/>
      <w:bookmarkStart w:id="177" w:name="_Ref467306513"/>
      <w:bookmarkStart w:id="178" w:name="_Toc31526"/>
      <w:bookmarkStart w:id="179" w:name="_Toc12413"/>
      <w:bookmarkStart w:id="180" w:name="_Toc11514"/>
      <w:bookmarkStart w:id="181" w:name="_Toc520356156"/>
      <w:r>
        <w:rPr>
          <w:rFonts w:hint="eastAsia" w:ascii="宋体" w:hAnsi="宋体" w:eastAsia="宋体" w:cs="宋体"/>
          <w:color w:val="000000" w:themeColor="text1"/>
          <w:sz w:val="24"/>
          <w:szCs w:val="32"/>
          <w:highlight w:val="none"/>
          <w:u w:val="none"/>
          <w14:textFill>
            <w14:solidFill>
              <w14:schemeClr w14:val="tx1"/>
            </w14:solidFill>
          </w14:textFill>
        </w:rPr>
        <w:t>12.磋商保证金</w:t>
      </w:r>
      <w:bookmarkEnd w:id="175"/>
      <w:bookmarkEnd w:id="176"/>
      <w:bookmarkEnd w:id="177"/>
      <w:bookmarkEnd w:id="178"/>
      <w:bookmarkEnd w:id="179"/>
      <w:bookmarkEnd w:id="180"/>
      <w:bookmarkEnd w:id="181"/>
    </w:p>
    <w:p w14:paraId="2FD39BA8">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bookmarkStart w:id="182" w:name="_Ref467306302"/>
      <w:r>
        <w:rPr>
          <w:rFonts w:hint="eastAsia" w:ascii="宋体" w:hAnsi="宋体" w:eastAsia="宋体" w:cs="宋体"/>
          <w:color w:val="000000" w:themeColor="text1"/>
          <w:sz w:val="24"/>
          <w:highlight w:val="none"/>
          <w14:textFill>
            <w14:solidFill>
              <w14:schemeClr w14:val="tx1"/>
            </w14:solidFill>
          </w14:textFill>
        </w:rPr>
        <w:t>12.1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供应商应提交</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中规定的磋商保证金</w:t>
      </w:r>
      <w:bookmarkEnd w:id="182"/>
      <w:r>
        <w:rPr>
          <w:rFonts w:hint="eastAsia" w:ascii="宋体" w:hAnsi="宋体" w:eastAsia="宋体" w:cs="宋体"/>
          <w:color w:val="000000" w:themeColor="text1"/>
          <w:sz w:val="24"/>
          <w:highlight w:val="none"/>
          <w14:textFill>
            <w14:solidFill>
              <w14:schemeClr w14:val="tx1"/>
            </w14:solidFill>
          </w14:textFill>
        </w:rPr>
        <w:t>，并作为其磋商的一部分。</w:t>
      </w:r>
    </w:p>
    <w:p w14:paraId="6752BF58">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供应商存在下列情形的，磋商保证金不予退还：</w:t>
      </w:r>
    </w:p>
    <w:p w14:paraId="6001E61C">
      <w:pPr>
        <w:pStyle w:val="12"/>
        <w:pageBreakBefore w:val="0"/>
        <w:widowControl w:val="0"/>
        <w:tabs>
          <w:tab w:val="left" w:pos="2240"/>
        </w:tabs>
        <w:kinsoku/>
        <w:wordWrap/>
        <w:overflowPunct/>
        <w:topLinePunct w:val="0"/>
        <w:bidi w:val="0"/>
        <w:snapToGrid/>
        <w:spacing w:line="400" w:lineRule="exact"/>
        <w:ind w:left="1079" w:leftChars="371" w:hanging="300" w:hangingChars="1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（1）在磋商有效期内，撤销磋商的；</w:t>
      </w:r>
    </w:p>
    <w:p w14:paraId="2EC85382">
      <w:pPr>
        <w:pStyle w:val="12"/>
        <w:pageBreakBefore w:val="0"/>
        <w:widowControl w:val="0"/>
        <w:tabs>
          <w:tab w:val="left" w:pos="2240"/>
        </w:tabs>
        <w:kinsoku/>
        <w:wordWrap/>
        <w:overflowPunct/>
        <w:topLinePunct w:val="0"/>
        <w:bidi w:val="0"/>
        <w:snapToGrid/>
        <w:spacing w:line="400" w:lineRule="exact"/>
        <w:ind w:left="1079" w:leftChars="371" w:hanging="300" w:hangingChars="1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（2）成交后不按本须知第30条的规定与采购人签订合同的；</w:t>
      </w:r>
    </w:p>
    <w:p w14:paraId="35FE7501">
      <w:pPr>
        <w:pStyle w:val="12"/>
        <w:pageBreakBefore w:val="0"/>
        <w:widowControl w:val="0"/>
        <w:tabs>
          <w:tab w:val="left" w:pos="2240"/>
        </w:tabs>
        <w:kinsoku/>
        <w:wordWrap/>
        <w:overflowPunct/>
        <w:topLinePunct w:val="0"/>
        <w:bidi w:val="0"/>
        <w:snapToGrid/>
        <w:spacing w:line="400" w:lineRule="exact"/>
        <w:ind w:left="1079" w:leftChars="371" w:hanging="300" w:hangingChars="1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（3）成交后不按本须知第31条的规定提交履约保证金的；</w:t>
      </w:r>
    </w:p>
    <w:p w14:paraId="3327ABAE">
      <w:pPr>
        <w:pStyle w:val="12"/>
        <w:pageBreakBefore w:val="0"/>
        <w:widowControl w:val="0"/>
        <w:tabs>
          <w:tab w:val="left" w:pos="2240"/>
        </w:tabs>
        <w:kinsoku/>
        <w:wordWrap/>
        <w:overflowPunct/>
        <w:topLinePunct w:val="0"/>
        <w:bidi w:val="0"/>
        <w:snapToGrid/>
        <w:spacing w:line="400" w:lineRule="exact"/>
        <w:ind w:left="1079" w:leftChars="371" w:hanging="300" w:hangingChars="1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（4）成交后不按本须知第32条的规定缴纳成交服务费的；</w:t>
      </w:r>
    </w:p>
    <w:p w14:paraId="270D215A">
      <w:pPr>
        <w:pStyle w:val="12"/>
        <w:pageBreakBefore w:val="0"/>
        <w:widowControl w:val="0"/>
        <w:tabs>
          <w:tab w:val="left" w:pos="2240"/>
        </w:tabs>
        <w:kinsoku/>
        <w:wordWrap/>
        <w:overflowPunct/>
        <w:topLinePunct w:val="0"/>
        <w:bidi w:val="0"/>
        <w:snapToGrid/>
        <w:spacing w:line="400" w:lineRule="exact"/>
        <w:ind w:left="1079" w:leftChars="371" w:hanging="300" w:hangingChars="1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（5）存在其他违法违规行为的。</w:t>
      </w:r>
    </w:p>
    <w:p w14:paraId="0DD87EF1">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bookmarkStart w:id="183" w:name="_Ref467306336"/>
      <w:r>
        <w:rPr>
          <w:rFonts w:hint="eastAsia" w:ascii="宋体" w:hAnsi="宋体" w:eastAsia="宋体" w:cs="宋体"/>
          <w:color w:val="000000" w:themeColor="text1"/>
          <w:sz w:val="24"/>
          <w:highlight w:val="none"/>
          <w14:textFill>
            <w14:solidFill>
              <w14:schemeClr w14:val="tx1"/>
            </w14:solidFill>
          </w14:textFill>
        </w:rPr>
        <w:t>12.3</w:t>
      </w:r>
      <w:r>
        <w:rPr>
          <w:rFonts w:hint="eastAsia" w:ascii="宋体" w:hAnsi="宋体" w:eastAsia="宋体" w:cs="宋体"/>
          <w:color w:val="000000" w:themeColor="text1"/>
          <w:sz w:val="24"/>
          <w:highlight w:val="none"/>
          <w14:textFill>
            <w14:solidFill>
              <w14:schemeClr w14:val="tx1"/>
            </w14:solidFill>
          </w14:textFill>
        </w:rPr>
        <w:tab/>
      </w:r>
      <w:bookmarkEnd w:id="183"/>
      <w:r>
        <w:rPr>
          <w:rFonts w:hint="eastAsia" w:ascii="宋体" w:hAnsi="宋体" w:eastAsia="宋体" w:cs="宋体"/>
          <w:color w:val="000000" w:themeColor="text1"/>
          <w:sz w:val="24"/>
          <w:highlight w:val="none"/>
          <w14:textFill>
            <w14:solidFill>
              <w14:schemeClr w14:val="tx1"/>
            </w14:solidFill>
          </w14:textFill>
        </w:rPr>
        <w:t>政府采购信用担保试点范围内的项目，接受符合财政部门规定的政府采购磋商担保函原件。</w:t>
      </w:r>
    </w:p>
    <w:p w14:paraId="23DCF83F">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供应商未按本须知第12.1和12.3条规定提交磋商保证金的，其磋商将被认定为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43210644">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12.4.1  采用电汇形式的，一般可以实时入账。</w:t>
      </w:r>
    </w:p>
    <w:p w14:paraId="4D65C708">
      <w:pPr>
        <w:pageBreakBefore w:val="0"/>
        <w:widowControl w:val="0"/>
        <w:kinsoku/>
        <w:wordWrap/>
        <w:overflowPunct/>
        <w:topLinePunct w:val="0"/>
        <w:bidi w:val="0"/>
        <w:snapToGrid/>
        <w:spacing w:line="400" w:lineRule="exact"/>
        <w:ind w:left="960" w:hanging="960" w:hangingChars="4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45B9D615">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12.5   联合体磋商的，可以由联合体中的一方或者共同提交磋商保证金。以一方名义提交磋商保证金的，对联合体各方均具有约束力。</w:t>
      </w:r>
    </w:p>
    <w:p w14:paraId="3A352207">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磋商保证金的退还</w:t>
      </w:r>
    </w:p>
    <w:p w14:paraId="741F5479">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12.6.1  成交人应在与采购人签订合同之日起5个工作日内，及时联系保证金收受机构办理磋商保证金无息退还手续。</w:t>
      </w:r>
    </w:p>
    <w:p w14:paraId="47CB9F93">
      <w:pPr>
        <w:pageBreakBefore w:val="0"/>
        <w:widowControl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12.6.2  未成交供应商的磋商保证金将在成交通知书发出之日暨成交结果公告公布之日起5个工作日内无息退还。供应商应及时联系保证金收受机构办理退还磋商保证金手续。</w:t>
      </w:r>
    </w:p>
    <w:p w14:paraId="40524E30">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12.6.3  政府采购磋商担保函不予退回。</w:t>
      </w:r>
    </w:p>
    <w:p w14:paraId="4E93CD40">
      <w:pPr>
        <w:pageBreakBefore w:val="0"/>
        <w:widowControl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12.7    因供应商自身原因导致无法及时退还的，采购人或采购代理机构将不承担相应责任。</w:t>
      </w:r>
    </w:p>
    <w:p w14:paraId="72E5F6DE">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84" w:name="_Toc520356157"/>
      <w:bookmarkStart w:id="185" w:name="_Toc21509"/>
      <w:bookmarkStart w:id="186" w:name="_Toc15759"/>
      <w:bookmarkStart w:id="187" w:name="_Toc32569"/>
      <w:bookmarkStart w:id="188" w:name="_Toc515647772"/>
      <w:bookmarkStart w:id="189" w:name="_Toc23590"/>
      <w:r>
        <w:rPr>
          <w:rFonts w:hint="eastAsia" w:ascii="宋体" w:hAnsi="宋体" w:eastAsia="宋体" w:cs="宋体"/>
          <w:color w:val="000000" w:themeColor="text1"/>
          <w:sz w:val="24"/>
          <w:szCs w:val="32"/>
          <w:highlight w:val="none"/>
          <w:u w:val="none"/>
          <w14:textFill>
            <w14:solidFill>
              <w14:schemeClr w14:val="tx1"/>
            </w14:solidFill>
          </w14:textFill>
        </w:rPr>
        <w:t>13.磋商有效期</w:t>
      </w:r>
      <w:bookmarkEnd w:id="184"/>
      <w:bookmarkEnd w:id="185"/>
      <w:bookmarkEnd w:id="186"/>
      <w:bookmarkEnd w:id="187"/>
      <w:bookmarkEnd w:id="188"/>
      <w:bookmarkEnd w:id="189"/>
    </w:p>
    <w:p w14:paraId="0D8003DD">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磋商应在</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中规定时间内保持有效。磋商有效期不满足要求的磋商，其磋商将被认定为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725AD43F">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14:paraId="373797B3">
      <w:pPr>
        <w:pageBreakBefore w:val="0"/>
        <w:widowControl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90" w:name="_Toc29069"/>
      <w:r>
        <w:rPr>
          <w:rFonts w:hint="eastAsia" w:ascii="宋体" w:hAnsi="宋体" w:eastAsia="宋体" w:cs="宋体"/>
          <w:color w:val="000000" w:themeColor="text1"/>
          <w:sz w:val="24"/>
          <w:szCs w:val="32"/>
          <w:highlight w:val="none"/>
          <w:u w:val="none"/>
          <w14:textFill>
            <w14:solidFill>
              <w14:schemeClr w14:val="tx1"/>
            </w14:solidFill>
          </w14:textFill>
        </w:rPr>
        <w:t>14.</w:t>
      </w:r>
      <w:r>
        <w:rPr>
          <w:rFonts w:hint="eastAsia" w:ascii="宋体" w:hAnsi="宋体" w:cs="宋体"/>
          <w:color w:val="000000" w:themeColor="text1"/>
          <w:sz w:val="24"/>
          <w:szCs w:val="32"/>
          <w:highlight w:val="none"/>
          <w:u w:val="none"/>
          <w:lang w:eastAsia="zh-CN"/>
          <w14:textFill>
            <w14:solidFill>
              <w14:schemeClr w14:val="tx1"/>
            </w14:solidFill>
          </w14:textFill>
        </w:rPr>
        <w:t>响应文件</w:t>
      </w:r>
      <w:r>
        <w:rPr>
          <w:rFonts w:hint="eastAsia" w:ascii="宋体" w:hAnsi="宋体" w:eastAsia="宋体" w:cs="宋体"/>
          <w:color w:val="000000" w:themeColor="text1"/>
          <w:sz w:val="24"/>
          <w:szCs w:val="32"/>
          <w:highlight w:val="none"/>
          <w:u w:val="none"/>
          <w14:textFill>
            <w14:solidFill>
              <w14:schemeClr w14:val="tx1"/>
            </w14:solidFill>
          </w14:textFill>
        </w:rPr>
        <w:t>的签署及规定</w:t>
      </w:r>
      <w:bookmarkEnd w:id="190"/>
    </w:p>
    <w:p w14:paraId="74257DC4">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须知资料表中的规定，准备和上传</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资格证明文件、商务和技术文件加密电子</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w:t>
      </w:r>
    </w:p>
    <w:p w14:paraId="113FDD54">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需使用CA加密设备通过政采云电子投标客户端制作</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，并由</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的法定代表人或经其正式委托代理人按</w:t>
      </w:r>
      <w:r>
        <w:rPr>
          <w:rFonts w:hint="eastAsia" w:ascii="宋体" w:hAnsi="宋体" w:eastAsia="宋体" w:cs="宋体"/>
          <w:color w:val="000000" w:themeColor="text1"/>
          <w:sz w:val="24"/>
          <w:highlight w:val="none"/>
          <w:lang w:eastAsia="zh-CN"/>
          <w14:textFill>
            <w14:solidFill>
              <w14:schemeClr w14:val="tx1"/>
            </w14:solidFill>
          </w14:textFill>
        </w:rPr>
        <w:t>磋商文件</w:t>
      </w:r>
      <w:r>
        <w:rPr>
          <w:rFonts w:hint="eastAsia" w:ascii="宋体" w:hAnsi="宋体" w:eastAsia="宋体" w:cs="宋体"/>
          <w:color w:val="000000" w:themeColor="text1"/>
          <w:sz w:val="24"/>
          <w:highlight w:val="none"/>
          <w14:textFill>
            <w14:solidFill>
              <w14:schemeClr w14:val="tx1"/>
            </w14:solidFill>
          </w14:textFill>
        </w:rPr>
        <w:t>规定在</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上电子签章。委托代理人须持有书面的“法定代表人授权委托书”（</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格式二），并将其附在</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中。</w:t>
      </w:r>
    </w:p>
    <w:p w14:paraId="2EE17A4D">
      <w:pPr>
        <w:pageBreakBefore w:val="0"/>
        <w:widowControl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14.3    开标完成后，如采购人需要提供纸质版</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应按照</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要求提供相应份数的纸质</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，纸质版</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应与电子版</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一致，纸质</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采用双面打印、不可拆装的胶订方式装订。</w:t>
      </w:r>
    </w:p>
    <w:p w14:paraId="0C45C54C">
      <w:pPr>
        <w:pStyle w:val="4"/>
        <w:pageBreakBefore w:val="0"/>
        <w:kinsoku/>
        <w:wordWrap/>
        <w:overflowPunct/>
        <w:topLinePunct w:val="0"/>
        <w:bidi w:val="0"/>
        <w:snapToGrid/>
        <w:spacing w:before="0" w:line="400" w:lineRule="exact"/>
        <w:ind w:left="0" w:leftChars="0" w:firstLine="0"/>
        <w:textAlignment w:val="auto"/>
        <w:rPr>
          <w:rFonts w:hint="eastAsia" w:ascii="宋体" w:hAnsi="宋体" w:eastAsia="宋体" w:cs="宋体"/>
          <w:color w:val="000000" w:themeColor="text1"/>
          <w:highlight w:val="none"/>
          <w14:textFill>
            <w14:solidFill>
              <w14:schemeClr w14:val="tx1"/>
            </w14:solidFill>
          </w14:textFill>
        </w:rPr>
      </w:pPr>
      <w:bookmarkStart w:id="191" w:name="_Toc27065"/>
      <w:bookmarkStart w:id="192" w:name="_Toc5297"/>
      <w:bookmarkStart w:id="193" w:name="_Toc12218"/>
      <w:bookmarkStart w:id="194" w:name="_Toc10971"/>
      <w:bookmarkStart w:id="195" w:name="_Toc12633"/>
      <w:r>
        <w:rPr>
          <w:rFonts w:hint="eastAsia" w:ascii="宋体" w:hAnsi="宋体" w:eastAsia="宋体" w:cs="宋体"/>
          <w:color w:val="000000" w:themeColor="text1"/>
          <w:sz w:val="24"/>
          <w:highlight w:val="none"/>
          <w:u w:val="none"/>
          <w14:textFill>
            <w14:solidFill>
              <w14:schemeClr w14:val="tx1"/>
            </w14:solidFill>
          </w14:textFill>
        </w:rPr>
        <w:t xml:space="preserve">四   </w:t>
      </w:r>
      <w:r>
        <w:rPr>
          <w:rFonts w:hint="eastAsia" w:hAnsi="宋体" w:cs="宋体"/>
          <w:color w:val="000000" w:themeColor="text1"/>
          <w:sz w:val="24"/>
          <w:highlight w:val="none"/>
          <w:u w:val="none"/>
          <w:lang w:eastAsia="zh-CN"/>
          <w14:textFill>
            <w14:solidFill>
              <w14:schemeClr w14:val="tx1"/>
            </w14:solidFill>
          </w14:textFill>
        </w:rPr>
        <w:t>响应文件</w:t>
      </w:r>
      <w:r>
        <w:rPr>
          <w:rFonts w:hint="eastAsia" w:ascii="宋体" w:hAnsi="宋体" w:eastAsia="宋体" w:cs="宋体"/>
          <w:color w:val="000000" w:themeColor="text1"/>
          <w:sz w:val="24"/>
          <w:highlight w:val="none"/>
          <w:u w:val="none"/>
          <w14:textFill>
            <w14:solidFill>
              <w14:schemeClr w14:val="tx1"/>
            </w14:solidFill>
          </w14:textFill>
        </w:rPr>
        <w:t>的递交</w:t>
      </w:r>
      <w:bookmarkEnd w:id="191"/>
      <w:bookmarkEnd w:id="192"/>
      <w:bookmarkEnd w:id="193"/>
      <w:bookmarkEnd w:id="194"/>
      <w:bookmarkEnd w:id="195"/>
    </w:p>
    <w:p w14:paraId="31AD74D4">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96" w:name="_Toc4552"/>
      <w:r>
        <w:rPr>
          <w:rFonts w:hint="eastAsia" w:ascii="宋体" w:hAnsi="宋体" w:eastAsia="宋体" w:cs="宋体"/>
          <w:color w:val="000000" w:themeColor="text1"/>
          <w:sz w:val="24"/>
          <w:szCs w:val="32"/>
          <w:highlight w:val="none"/>
          <w:u w:val="none"/>
          <w14:textFill>
            <w14:solidFill>
              <w14:schemeClr w14:val="tx1"/>
            </w14:solidFill>
          </w14:textFill>
        </w:rPr>
        <w:t>15.</w:t>
      </w:r>
      <w:r>
        <w:rPr>
          <w:rFonts w:hint="eastAsia" w:ascii="宋体" w:hAnsi="宋体" w:cs="宋体"/>
          <w:color w:val="000000" w:themeColor="text1"/>
          <w:sz w:val="24"/>
          <w:szCs w:val="32"/>
          <w:highlight w:val="none"/>
          <w:u w:val="none"/>
          <w:lang w:eastAsia="zh-CN"/>
          <w14:textFill>
            <w14:solidFill>
              <w14:schemeClr w14:val="tx1"/>
            </w14:solidFill>
          </w14:textFill>
        </w:rPr>
        <w:t>响应文件</w:t>
      </w:r>
      <w:r>
        <w:rPr>
          <w:rFonts w:hint="eastAsia" w:ascii="宋体" w:hAnsi="宋体" w:eastAsia="宋体" w:cs="宋体"/>
          <w:color w:val="000000" w:themeColor="text1"/>
          <w:sz w:val="24"/>
          <w:szCs w:val="32"/>
          <w:highlight w:val="none"/>
          <w:u w:val="none"/>
          <w14:textFill>
            <w14:solidFill>
              <w14:schemeClr w14:val="tx1"/>
            </w14:solidFill>
          </w14:textFill>
        </w:rPr>
        <w:t>的密封和标记</w:t>
      </w:r>
      <w:bookmarkEnd w:id="196"/>
    </w:p>
    <w:p w14:paraId="7705BFF2">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15.1   </w:t>
      </w:r>
      <w:bookmarkStart w:id="197" w:name="_Toc15490"/>
      <w:r>
        <w:rPr>
          <w:rFonts w:hint="eastAsia"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为方便</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评审</w:t>
      </w:r>
      <w:r>
        <w:rPr>
          <w:rFonts w:hint="eastAsia" w:ascii="宋体" w:hAnsi="宋体" w:eastAsia="宋体" w:cs="宋体"/>
          <w:b/>
          <w:bCs/>
          <w:color w:val="000000" w:themeColor="text1"/>
          <w:sz w:val="24"/>
          <w:highlight w:val="none"/>
          <w:u w:val="single"/>
          <w14:textFill>
            <w14:solidFill>
              <w14:schemeClr w14:val="tx1"/>
            </w14:solidFill>
          </w14:textFill>
        </w:rPr>
        <w:t>及进行资格审查，</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r>
        <w:rPr>
          <w:rFonts w:hint="eastAsia" w:ascii="宋体" w:hAnsi="宋体" w:eastAsia="宋体" w:cs="宋体"/>
          <w:b/>
          <w:bCs/>
          <w:color w:val="000000" w:themeColor="text1"/>
          <w:sz w:val="24"/>
          <w:highlight w:val="none"/>
          <w14:textFill>
            <w14:solidFill>
              <w14:schemeClr w14:val="tx1"/>
            </w14:solidFill>
          </w14:textFill>
        </w:rPr>
        <w:t>。</w:t>
      </w:r>
    </w:p>
    <w:p w14:paraId="39C4DB27">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r>
        <w:rPr>
          <w:rFonts w:hint="eastAsia" w:ascii="宋体" w:hAnsi="宋体" w:eastAsia="宋体" w:cs="宋体"/>
          <w:color w:val="000000" w:themeColor="text1"/>
          <w:sz w:val="24"/>
          <w:szCs w:val="32"/>
          <w:highlight w:val="none"/>
          <w:u w:val="none"/>
          <w14:textFill>
            <w14:solidFill>
              <w14:schemeClr w14:val="tx1"/>
            </w14:solidFill>
          </w14:textFill>
        </w:rPr>
        <w:t>16.投标截止</w:t>
      </w:r>
      <w:bookmarkEnd w:id="197"/>
    </w:p>
    <w:p w14:paraId="31A0E7A6">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应在</w:t>
      </w:r>
      <w:r>
        <w:rPr>
          <w:rFonts w:hint="eastAsia" w:ascii="宋体" w:hAnsi="宋体" w:cs="宋体"/>
          <w:color w:val="000000" w:themeColor="text1"/>
          <w:sz w:val="24"/>
          <w:highlight w:val="none"/>
          <w:u w:val="single"/>
          <w:lang w:val="en-US"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人须知资料表中</w:t>
      </w:r>
      <w:r>
        <w:rPr>
          <w:rFonts w:hint="eastAsia" w:ascii="宋体" w:hAnsi="宋体" w:eastAsia="宋体" w:cs="宋体"/>
          <w:color w:val="000000" w:themeColor="text1"/>
          <w:sz w:val="24"/>
          <w:highlight w:val="none"/>
          <w14:textFill>
            <w14:solidFill>
              <w14:schemeClr w14:val="tx1"/>
            </w14:solidFill>
          </w14:textFill>
        </w:rPr>
        <w:t>规定的截止时间前，将</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上传至新疆政府采购网。</w:t>
      </w:r>
    </w:p>
    <w:p w14:paraId="502BFEB6">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采购人和采购代理机构有权按本须知的规定，延迟投标截止时间。在此情况下，采购人、采购代理机构和</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受投标截止时间制约的所有权利和义务均应延长至新的截止时间。</w:t>
      </w:r>
    </w:p>
    <w:p w14:paraId="06E9FDA0">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16.3</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采购人和采购代理机构将拒绝接收在投标截止时间后送达的</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w:t>
      </w:r>
    </w:p>
    <w:p w14:paraId="5A9B4B85">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198" w:name="_Toc3653"/>
      <w:bookmarkStart w:id="199" w:name="_Toc515647777"/>
      <w:bookmarkStart w:id="200" w:name="_Toc24275"/>
      <w:bookmarkStart w:id="201" w:name="_Toc29943"/>
      <w:bookmarkStart w:id="202" w:name="_Toc520356162"/>
      <w:bookmarkStart w:id="203" w:name="_Toc18537"/>
      <w:r>
        <w:rPr>
          <w:rFonts w:hint="eastAsia" w:ascii="宋体" w:hAnsi="宋体" w:eastAsia="宋体" w:cs="宋体"/>
          <w:color w:val="000000" w:themeColor="text1"/>
          <w:sz w:val="24"/>
          <w:szCs w:val="32"/>
          <w:highlight w:val="none"/>
          <w:u w:val="none"/>
          <w14:textFill>
            <w14:solidFill>
              <w14:schemeClr w14:val="tx1"/>
            </w14:solidFill>
          </w14:textFill>
        </w:rPr>
        <w:t>17.响应文件的接收、修改与撤回</w:t>
      </w:r>
      <w:bookmarkEnd w:id="198"/>
      <w:bookmarkEnd w:id="199"/>
      <w:bookmarkEnd w:id="200"/>
      <w:bookmarkEnd w:id="201"/>
      <w:bookmarkEnd w:id="202"/>
      <w:bookmarkEnd w:id="203"/>
    </w:p>
    <w:p w14:paraId="4350E0CC">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在投标截止时间后</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将无法上传</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w:t>
      </w:r>
    </w:p>
    <w:p w14:paraId="18187F62">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上传</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以后，在投标截止时间前</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可随时进行修改或撤回</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w:t>
      </w:r>
    </w:p>
    <w:p w14:paraId="18FE4474">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17.3</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在投标截止时间之后，采购人和采购代理机构不接受</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主动对其</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做任何修改。</w:t>
      </w:r>
    </w:p>
    <w:p w14:paraId="79994B46">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17.4</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采购人和采购代理机构对所接收电子</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概不退回。</w:t>
      </w:r>
    </w:p>
    <w:p w14:paraId="49EC6B23">
      <w:pPr>
        <w:pStyle w:val="4"/>
        <w:pageBreakBefore w:val="0"/>
        <w:kinsoku/>
        <w:wordWrap/>
        <w:overflowPunct/>
        <w:topLinePunct w:val="0"/>
        <w:bidi w:val="0"/>
        <w:snapToGrid/>
        <w:spacing w:before="0" w:line="400" w:lineRule="exact"/>
        <w:ind w:left="0" w:leftChars="0" w:firstLine="0"/>
        <w:textAlignment w:val="auto"/>
        <w:rPr>
          <w:rFonts w:hint="eastAsia" w:ascii="宋体" w:hAnsi="宋体" w:eastAsia="宋体" w:cs="宋体"/>
          <w:color w:val="000000" w:themeColor="text1"/>
          <w:sz w:val="24"/>
          <w:highlight w:val="none"/>
          <w:u w:val="none"/>
          <w14:textFill>
            <w14:solidFill>
              <w14:schemeClr w14:val="tx1"/>
            </w14:solidFill>
          </w14:textFill>
        </w:rPr>
      </w:pPr>
      <w:bookmarkStart w:id="204" w:name="_Toc520356163"/>
      <w:bookmarkStart w:id="205" w:name="_Toc12436"/>
      <w:bookmarkStart w:id="206" w:name="_Toc27143"/>
      <w:bookmarkStart w:id="207" w:name="_Toc17250"/>
      <w:bookmarkStart w:id="208" w:name="_Toc28999"/>
      <w:bookmarkStart w:id="209" w:name="_Toc27283"/>
      <w:bookmarkStart w:id="210" w:name="_Toc2874"/>
      <w:bookmarkStart w:id="211" w:name="_Toc19642"/>
      <w:bookmarkStart w:id="212" w:name="_Toc28398"/>
      <w:bookmarkStart w:id="213" w:name="_Toc515647778"/>
      <w:bookmarkStart w:id="214" w:name="_Toc216582809"/>
      <w:bookmarkStart w:id="215" w:name="_Toc12323"/>
      <w:r>
        <w:rPr>
          <w:rFonts w:hint="eastAsia" w:ascii="宋体" w:hAnsi="宋体" w:eastAsia="宋体" w:cs="宋体"/>
          <w:color w:val="000000" w:themeColor="text1"/>
          <w:sz w:val="24"/>
          <w:highlight w:val="none"/>
          <w:u w:val="none"/>
          <w14:textFill>
            <w14:solidFill>
              <w14:schemeClr w14:val="tx1"/>
            </w14:solidFill>
          </w14:textFill>
        </w:rPr>
        <w:t>五   开标及评标</w:t>
      </w:r>
      <w:bookmarkEnd w:id="204"/>
      <w:bookmarkEnd w:id="205"/>
      <w:bookmarkEnd w:id="206"/>
      <w:bookmarkEnd w:id="207"/>
      <w:bookmarkEnd w:id="208"/>
      <w:bookmarkEnd w:id="209"/>
      <w:bookmarkEnd w:id="210"/>
      <w:bookmarkEnd w:id="211"/>
      <w:bookmarkEnd w:id="212"/>
      <w:bookmarkEnd w:id="213"/>
      <w:bookmarkEnd w:id="214"/>
      <w:bookmarkEnd w:id="215"/>
    </w:p>
    <w:p w14:paraId="5044C72B">
      <w:pPr>
        <w:pageBreakBefore w:val="0"/>
        <w:numPr>
          <w:ilvl w:val="0"/>
          <w:numId w:val="2"/>
        </w:numPr>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bookmarkStart w:id="216" w:name="_Toc520356164"/>
      <w:bookmarkStart w:id="217" w:name="_Toc27235"/>
      <w:bookmarkStart w:id="218" w:name="_Toc515647779"/>
      <w:bookmarkStart w:id="219" w:name="_Toc25345"/>
      <w:bookmarkStart w:id="220" w:name="_Toc1390"/>
      <w:bookmarkStart w:id="221" w:name="_Toc7186"/>
      <w:r>
        <w:rPr>
          <w:rFonts w:hint="eastAsia" w:ascii="宋体" w:hAnsi="宋体" w:eastAsia="宋体" w:cs="宋体"/>
          <w:color w:val="000000" w:themeColor="text1"/>
          <w:sz w:val="24"/>
          <w:highlight w:val="none"/>
          <w14:textFill>
            <w14:solidFill>
              <w14:schemeClr w14:val="tx1"/>
            </w14:solidFill>
          </w14:textFill>
        </w:rPr>
        <w:t>开标</w:t>
      </w:r>
      <w:bookmarkEnd w:id="216"/>
      <w:bookmarkEnd w:id="217"/>
      <w:bookmarkEnd w:id="218"/>
      <w:bookmarkEnd w:id="219"/>
      <w:bookmarkEnd w:id="220"/>
      <w:bookmarkEnd w:id="221"/>
    </w:p>
    <w:p w14:paraId="0E962BCB">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18.1  </w:t>
      </w:r>
      <w:r>
        <w:rPr>
          <w:rFonts w:hint="eastAsia" w:ascii="宋体" w:hAnsi="宋体" w:eastAsia="宋体" w:cs="宋体"/>
          <w:color w:val="000000" w:themeColor="text1"/>
          <w:sz w:val="24"/>
          <w:highlight w:val="none"/>
          <w14:textFill>
            <w14:solidFill>
              <w14:schemeClr w14:val="tx1"/>
            </w14:solidFill>
          </w14:textFill>
        </w:rPr>
        <w:t>采购人和采购代理机构将按</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须知资料表中规定的开标时间和地点组织开标。</w:t>
      </w:r>
    </w:p>
    <w:p w14:paraId="65932ECC">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18.2  </w:t>
      </w:r>
      <w:r>
        <w:rPr>
          <w:rFonts w:hint="eastAsia" w:ascii="宋体" w:hAnsi="宋体" w:eastAsia="宋体" w:cs="宋体"/>
          <w:color w:val="000000" w:themeColor="text1"/>
          <w:sz w:val="24"/>
          <w:highlight w:val="none"/>
          <w14:textFill>
            <w14:solidFill>
              <w14:schemeClr w14:val="tx1"/>
            </w14:solidFill>
          </w14:textFill>
        </w:rPr>
        <w:t>在线签收</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不足3家的，不得开标。</w:t>
      </w:r>
    </w:p>
    <w:p w14:paraId="0E078DE6">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解密</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，解密时长为30分钟，供应商应使用与加密时使用的同一把CA锁进行解密操作，如出现非供应商自身原因造成的无法解密，</w:t>
      </w:r>
      <w:r>
        <w:rPr>
          <w:rFonts w:hint="eastAsia" w:ascii="宋体" w:hAnsi="宋体" w:eastAsia="宋体" w:cs="宋体"/>
          <w:color w:val="000000" w:themeColor="text1"/>
          <w:sz w:val="24"/>
          <w:highlight w:val="none"/>
          <w:lang w:eastAsia="zh-CN"/>
          <w14:textFill>
            <w14:solidFill>
              <w14:schemeClr w14:val="tx1"/>
            </w14:solidFill>
          </w14:textFill>
        </w:rPr>
        <w:t>由</w:t>
      </w:r>
      <w:r>
        <w:rPr>
          <w:rFonts w:hint="eastAsia" w:ascii="宋体" w:hAnsi="宋体" w:eastAsia="宋体" w:cs="宋体"/>
          <w:color w:val="000000" w:themeColor="text1"/>
          <w:sz w:val="24"/>
          <w:highlight w:val="none"/>
          <w14:textFill>
            <w14:solidFill>
              <w14:schemeClr w14:val="tx1"/>
            </w14:solidFill>
          </w14:textFill>
        </w:rPr>
        <w:t>采购代理机构使用备用</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进行解密操作。</w:t>
      </w:r>
    </w:p>
    <w:p w14:paraId="4A761469">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 xml:space="preserve">  组织</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以不记名投票的形式选定</w:t>
      </w:r>
      <w:r>
        <w:rPr>
          <w:rFonts w:hint="eastAsia" w:ascii="宋体" w:hAnsi="宋体" w:cs="宋体"/>
          <w:color w:val="000000" w:themeColor="text1"/>
          <w:sz w:val="24"/>
          <w:highlight w:val="none"/>
          <w:lang w:eastAsia="zh-CN"/>
          <w14:textFill>
            <w14:solidFill>
              <w14:schemeClr w14:val="tx1"/>
            </w14:solidFill>
          </w14:textFill>
        </w:rPr>
        <w:t>磋商小组组长</w:t>
      </w:r>
      <w:r>
        <w:rPr>
          <w:rFonts w:hint="eastAsia" w:ascii="宋体" w:hAnsi="宋体" w:eastAsia="宋体" w:cs="宋体"/>
          <w:color w:val="000000" w:themeColor="text1"/>
          <w:sz w:val="24"/>
          <w:highlight w:val="none"/>
          <w14:textFill>
            <w14:solidFill>
              <w14:schemeClr w14:val="tx1"/>
            </w14:solidFill>
          </w14:textFill>
        </w:rPr>
        <w:t>，并宣读评标会纪律，对</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会进行通讯工具管制及宣读相关法律法规。</w:t>
      </w:r>
    </w:p>
    <w:p w14:paraId="0171C99C">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 xml:space="preserve">  由代理公司工作人员开启报价文件并由供应商代表在线CA签字确认，报价确认时段限制为10分钟，由</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进行报价评审及政策价格认定。</w:t>
      </w:r>
    </w:p>
    <w:p w14:paraId="06D290DC">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18.6  采购代理机构将对开标过程进行记录，由参加开标的相关工作人员签字确认，并存档备查。</w:t>
      </w:r>
    </w:p>
    <w:p w14:paraId="77F6184C">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18.7  </w:t>
      </w:r>
      <w:r>
        <w:rPr>
          <w:rFonts w:hint="eastAsia" w:ascii="宋体" w:hAnsi="宋体" w:cs="宋体"/>
          <w:color w:val="000000" w:themeColor="text1"/>
          <w:sz w:val="24"/>
          <w:highlight w:val="none"/>
          <w:lang w:eastAsia="zh-CN"/>
          <w14:textFill>
            <w14:solidFill>
              <w14:schemeClr w14:val="tx1"/>
            </w14:solidFill>
          </w14:textFill>
        </w:rPr>
        <w:t>供应商代表</w:t>
      </w:r>
      <w:r>
        <w:rPr>
          <w:rFonts w:hint="eastAsia" w:ascii="宋体" w:hAnsi="宋体" w:eastAsia="宋体" w:cs="宋体"/>
          <w:color w:val="000000" w:themeColor="text1"/>
          <w:sz w:val="24"/>
          <w:highlight w:val="none"/>
          <w14:textFill>
            <w14:solidFill>
              <w14:schemeClr w14:val="tx1"/>
            </w14:solidFill>
          </w14:textFill>
        </w:rPr>
        <w:t>对开标过程和开标记录有疑义，以及认为采购人、采购代理机构相关工作人员有需要回避的情形的，应当场提出询问或者回避申请。</w:t>
      </w:r>
    </w:p>
    <w:p w14:paraId="3C59BC79">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电子开标的相关注意事项：</w:t>
      </w:r>
    </w:p>
    <w:p w14:paraId="68180F92">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18.8.1本项目为电子招投标，供应商需要使用CA加密设备，凡参加本项目可自主通过新疆CA申领渠道“新疆政务通”申请政采云平台可使用的CA设备</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0D06BF73">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18.8.2本项目实行网上投标，采用电子</w:t>
      </w:r>
      <w:r>
        <w:rPr>
          <w:rFonts w:hint="eastAsia" w:ascii="宋体" w:hAnsi="宋体" w:cs="宋体"/>
          <w:b/>
          <w:bCs/>
          <w:color w:val="000000" w:themeColor="text1"/>
          <w:sz w:val="24"/>
          <w:highlight w:val="none"/>
          <w:lang w:eastAsia="zh-CN"/>
          <w14:textFill>
            <w14:solidFill>
              <w14:schemeClr w14:val="tx1"/>
            </w14:solidFill>
          </w14:textFill>
        </w:rPr>
        <w:t>响应文件</w:t>
      </w:r>
      <w:r>
        <w:rPr>
          <w:rFonts w:hint="eastAsia" w:ascii="宋体" w:hAnsi="宋体" w:eastAsia="宋体" w:cs="宋体"/>
          <w:b/>
          <w:bCs/>
          <w:color w:val="000000" w:themeColor="text1"/>
          <w:sz w:val="24"/>
          <w:highlight w:val="none"/>
          <w14:textFill>
            <w14:solidFill>
              <w14:schemeClr w14:val="tx1"/>
            </w14:solidFill>
          </w14:textFill>
        </w:rPr>
        <w:t>(供应商须使用CA加密设备通过政采云电子投标客户端制作</w:t>
      </w:r>
      <w:r>
        <w:rPr>
          <w:rFonts w:hint="eastAsia" w:ascii="宋体" w:hAnsi="宋体" w:cs="宋体"/>
          <w:b/>
          <w:bCs/>
          <w:color w:val="000000" w:themeColor="text1"/>
          <w:sz w:val="24"/>
          <w:highlight w:val="none"/>
          <w:lang w:eastAsia="zh-CN"/>
          <w14:textFill>
            <w14:solidFill>
              <w14:schemeClr w14:val="tx1"/>
            </w14:solidFill>
          </w14:textFill>
        </w:rPr>
        <w:t>响应文件</w:t>
      </w:r>
      <w:r>
        <w:rPr>
          <w:rFonts w:hint="eastAsia" w:ascii="宋体" w:hAnsi="宋体" w:eastAsia="宋体" w:cs="宋体"/>
          <w:b/>
          <w:bCs/>
          <w:color w:val="000000" w:themeColor="text1"/>
          <w:sz w:val="24"/>
          <w:highlight w:val="none"/>
          <w14:textFill>
            <w14:solidFill>
              <w14:schemeClr w14:val="tx1"/>
            </w14:solidFill>
          </w14:textFill>
        </w:rPr>
        <w:t>)。若供应商参与投标，自行承担投标一切费用。</w:t>
      </w:r>
    </w:p>
    <w:p w14:paraId="1146A0EF">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18.8.3各供应商应在开标前确保成为新疆维吾尔自治区政府采购网正式注册入库供应商，并完成CA数字证书申领。因未注册入库、未办理CA数字证书等原因造成无法投标或投标失败等后果由供应商自行承担。</w:t>
      </w:r>
    </w:p>
    <w:p w14:paraId="0F02F8A9">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18.8.4供应商将政采云电子交易客户端下载、安装完成后，可通过账号密码或CA登录客户端进行</w:t>
      </w:r>
      <w:r>
        <w:rPr>
          <w:rFonts w:hint="eastAsia" w:ascii="宋体" w:hAnsi="宋体" w:cs="宋体"/>
          <w:b/>
          <w:bCs/>
          <w:color w:val="000000" w:themeColor="text1"/>
          <w:sz w:val="24"/>
          <w:highlight w:val="none"/>
          <w:lang w:eastAsia="zh-CN"/>
          <w14:textFill>
            <w14:solidFill>
              <w14:schemeClr w14:val="tx1"/>
            </w14:solidFill>
          </w14:textFill>
        </w:rPr>
        <w:t>响应文件</w:t>
      </w:r>
      <w:r>
        <w:rPr>
          <w:rFonts w:hint="eastAsia" w:ascii="宋体" w:hAnsi="宋体" w:eastAsia="宋体" w:cs="宋体"/>
          <w:b/>
          <w:bCs/>
          <w:color w:val="000000" w:themeColor="text1"/>
          <w:sz w:val="24"/>
          <w:highlight w:val="none"/>
          <w14:textFill>
            <w14:solidFill>
              <w14:schemeClr w14:val="tx1"/>
            </w14:solidFill>
          </w14:textFill>
        </w:rPr>
        <w:t>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b/>
          <w:bCs/>
          <w:color w:val="000000" w:themeColor="text1"/>
          <w:sz w:val="24"/>
          <w:highlight w:val="none"/>
          <w:lang w:eastAsia="zh-CN"/>
          <w14:textFill>
            <w14:solidFill>
              <w14:schemeClr w14:val="tx1"/>
            </w14:solidFill>
          </w14:textFill>
        </w:rPr>
        <w:t>95763</w:t>
      </w:r>
      <w:r>
        <w:rPr>
          <w:rFonts w:hint="eastAsia" w:ascii="宋体" w:hAnsi="宋体" w:eastAsia="宋体" w:cs="宋体"/>
          <w:b/>
          <w:bCs/>
          <w:color w:val="000000" w:themeColor="text1"/>
          <w:sz w:val="24"/>
          <w:highlight w:val="none"/>
          <w14:textFill>
            <w14:solidFill>
              <w14:schemeClr w14:val="tx1"/>
            </w14:solidFill>
          </w14:textFill>
        </w:rPr>
        <w:t>进行咨询。</w:t>
      </w:r>
    </w:p>
    <w:p w14:paraId="777EA99C">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18.8.5供应商在开标时须使用制作加密电子</w:t>
      </w:r>
      <w:r>
        <w:rPr>
          <w:rFonts w:hint="eastAsia" w:ascii="宋体" w:hAnsi="宋体" w:cs="宋体"/>
          <w:b/>
          <w:bCs/>
          <w:color w:val="000000" w:themeColor="text1"/>
          <w:sz w:val="24"/>
          <w:highlight w:val="none"/>
          <w:lang w:eastAsia="zh-CN"/>
          <w14:textFill>
            <w14:solidFill>
              <w14:schemeClr w14:val="tx1"/>
            </w14:solidFill>
          </w14:textFill>
        </w:rPr>
        <w:t>响应文件</w:t>
      </w:r>
      <w:r>
        <w:rPr>
          <w:rFonts w:hint="eastAsia" w:ascii="宋体" w:hAnsi="宋体" w:eastAsia="宋体" w:cs="宋体"/>
          <w:b/>
          <w:bCs/>
          <w:color w:val="000000" w:themeColor="text1"/>
          <w:sz w:val="24"/>
          <w:highlight w:val="none"/>
          <w14:textFill>
            <w14:solidFill>
              <w14:schemeClr w14:val="tx1"/>
            </w14:solidFill>
          </w14:textFill>
        </w:rPr>
        <w:t>所使用的CA锁及电脑，电脑须提前配置好浏览器（建议使用谷歌浏览器），以便开标时解锁。</w:t>
      </w:r>
    </w:p>
    <w:p w14:paraId="44879100">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18.8.6</w:t>
      </w:r>
      <w:r>
        <w:rPr>
          <w:rFonts w:hint="eastAsia" w:ascii="宋体" w:hAnsi="宋体" w:cs="宋体"/>
          <w:b/>
          <w:bCs/>
          <w:color w:val="000000" w:themeColor="text1"/>
          <w:sz w:val="24"/>
          <w:highlight w:val="none"/>
          <w:lang w:eastAsia="zh-CN"/>
          <w14:textFill>
            <w14:solidFill>
              <w14:schemeClr w14:val="tx1"/>
            </w14:solidFill>
          </w14:textFill>
        </w:rPr>
        <w:t>磋商保证金</w:t>
      </w:r>
      <w:r>
        <w:rPr>
          <w:rFonts w:hint="eastAsia" w:ascii="宋体" w:hAnsi="宋体" w:eastAsia="宋体" w:cs="宋体"/>
          <w:b/>
          <w:bCs/>
          <w:color w:val="000000" w:themeColor="text1"/>
          <w:sz w:val="24"/>
          <w:highlight w:val="none"/>
          <w14:textFill>
            <w14:solidFill>
              <w14:schemeClr w14:val="tx1"/>
            </w14:solidFill>
          </w14:textFill>
        </w:rPr>
        <w:t>缴纳及确认时间：凡拟参加本次招标项目的供应商，必须在开标前将</w:t>
      </w:r>
      <w:r>
        <w:rPr>
          <w:rFonts w:hint="eastAsia" w:ascii="宋体" w:hAnsi="宋体" w:cs="宋体"/>
          <w:b/>
          <w:bCs/>
          <w:color w:val="000000" w:themeColor="text1"/>
          <w:sz w:val="24"/>
          <w:highlight w:val="none"/>
          <w:lang w:eastAsia="zh-CN"/>
          <w14:textFill>
            <w14:solidFill>
              <w14:schemeClr w14:val="tx1"/>
            </w14:solidFill>
          </w14:textFill>
        </w:rPr>
        <w:t>磋商保证金</w:t>
      </w:r>
      <w:r>
        <w:rPr>
          <w:rFonts w:hint="eastAsia" w:ascii="宋体" w:hAnsi="宋体" w:eastAsia="宋体" w:cs="宋体"/>
          <w:b/>
          <w:bCs/>
          <w:color w:val="000000" w:themeColor="text1"/>
          <w:sz w:val="24"/>
          <w:highlight w:val="none"/>
          <w14:textFill>
            <w14:solidFill>
              <w14:schemeClr w14:val="tx1"/>
            </w14:solidFill>
          </w14:textFill>
        </w:rPr>
        <w:t>汇入指定账户。</w:t>
      </w:r>
      <w:r>
        <w:rPr>
          <w:rFonts w:hint="eastAsia" w:ascii="宋体" w:hAnsi="宋体" w:cs="宋体"/>
          <w:b/>
          <w:bCs/>
          <w:color w:val="000000" w:themeColor="text1"/>
          <w:sz w:val="24"/>
          <w:highlight w:val="none"/>
          <w:lang w:eastAsia="zh-CN"/>
          <w14:textFill>
            <w14:solidFill>
              <w14:schemeClr w14:val="tx1"/>
            </w14:solidFill>
          </w14:textFill>
        </w:rPr>
        <w:t>磋商保证金</w:t>
      </w:r>
      <w:r>
        <w:rPr>
          <w:rFonts w:hint="eastAsia" w:ascii="宋体" w:hAnsi="宋体" w:eastAsia="宋体" w:cs="宋体"/>
          <w:b/>
          <w:bCs/>
          <w:color w:val="000000" w:themeColor="text1"/>
          <w:sz w:val="24"/>
          <w:highlight w:val="none"/>
          <w14:textFill>
            <w14:solidFill>
              <w14:schemeClr w14:val="tx1"/>
            </w14:solidFill>
          </w14:textFill>
        </w:rPr>
        <w:t>汇款凭证上用途栏应注明:招标项目名称+标项号+</w:t>
      </w:r>
      <w:r>
        <w:rPr>
          <w:rFonts w:hint="eastAsia" w:ascii="宋体" w:hAnsi="宋体" w:cs="宋体"/>
          <w:b/>
          <w:bCs/>
          <w:color w:val="000000" w:themeColor="text1"/>
          <w:sz w:val="24"/>
          <w:highlight w:val="none"/>
          <w:lang w:eastAsia="zh-CN"/>
          <w14:textFill>
            <w14:solidFill>
              <w14:schemeClr w14:val="tx1"/>
            </w14:solidFill>
          </w14:textFill>
        </w:rPr>
        <w:t>磋商保证金</w:t>
      </w:r>
      <w:r>
        <w:rPr>
          <w:rFonts w:hint="eastAsia" w:ascii="宋体" w:hAnsi="宋体" w:eastAsia="宋体" w:cs="宋体"/>
          <w:b/>
          <w:bCs/>
          <w:color w:val="000000" w:themeColor="text1"/>
          <w:sz w:val="24"/>
          <w:highlight w:val="none"/>
          <w14:textFill>
            <w14:solidFill>
              <w14:schemeClr w14:val="tx1"/>
            </w14:solidFill>
          </w14:textFill>
        </w:rPr>
        <w:t>。</w:t>
      </w:r>
    </w:p>
    <w:p w14:paraId="343565AB">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294718D7">
      <w:pPr>
        <w:pageBreakBefore w:val="0"/>
        <w:kinsoku/>
        <w:wordWrap/>
        <w:overflowPunct/>
        <w:topLinePunct w:val="0"/>
        <w:bidi w:val="0"/>
        <w:snapToGrid/>
        <w:spacing w:line="400" w:lineRule="exact"/>
        <w:ind w:left="960" w:hanging="964" w:hangingChars="4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18.8.8政采云线上获取</w:t>
      </w:r>
      <w:r>
        <w:rPr>
          <w:rFonts w:hint="eastAsia" w:ascii="宋体" w:hAnsi="宋体" w:eastAsia="宋体" w:cs="宋体"/>
          <w:b/>
          <w:bCs/>
          <w:color w:val="000000" w:themeColor="text1"/>
          <w:sz w:val="24"/>
          <w:highlight w:val="none"/>
          <w:lang w:eastAsia="zh-CN"/>
          <w14:textFill>
            <w14:solidFill>
              <w14:schemeClr w14:val="tx1"/>
            </w14:solidFill>
          </w14:textFill>
        </w:rPr>
        <w:t>磋商文件</w:t>
      </w:r>
      <w:r>
        <w:rPr>
          <w:rFonts w:hint="eastAsia" w:ascii="宋体" w:hAnsi="宋体" w:eastAsia="宋体" w:cs="宋体"/>
          <w:b/>
          <w:bCs/>
          <w:color w:val="000000" w:themeColor="text1"/>
          <w:sz w:val="24"/>
          <w:highlight w:val="none"/>
          <w14:textFill>
            <w14:solidFill>
              <w14:schemeClr w14:val="tx1"/>
            </w14:solidFill>
          </w14:textFill>
        </w:rPr>
        <w:t>方法：供应商登陆政采云平台http://www.zcygov.cn/，在线申请获取采购文件（登录政府采购云平台 → 项目采购 → 获取采购文件 → 申请，审核通过后可下载</w:t>
      </w:r>
      <w:r>
        <w:rPr>
          <w:rFonts w:hint="eastAsia" w:ascii="宋体" w:hAnsi="宋体" w:eastAsia="宋体" w:cs="宋体"/>
          <w:b/>
          <w:bCs/>
          <w:color w:val="000000" w:themeColor="text1"/>
          <w:sz w:val="24"/>
          <w:highlight w:val="none"/>
          <w:lang w:eastAsia="zh-CN"/>
          <w14:textFill>
            <w14:solidFill>
              <w14:schemeClr w14:val="tx1"/>
            </w14:solidFill>
          </w14:textFill>
        </w:rPr>
        <w:t>磋商文件</w:t>
      </w:r>
      <w:r>
        <w:rPr>
          <w:rFonts w:hint="eastAsia" w:ascii="宋体" w:hAnsi="宋体" w:eastAsia="宋体" w:cs="宋体"/>
          <w:b/>
          <w:bCs/>
          <w:color w:val="000000" w:themeColor="text1"/>
          <w:sz w:val="24"/>
          <w:highlight w:val="none"/>
          <w14:textFill>
            <w14:solidFill>
              <w14:schemeClr w14:val="tx1"/>
            </w14:solidFill>
          </w14:textFill>
        </w:rPr>
        <w:t>，如有操作性问题，可与政采云在线客服进行咨询，咨询电话：</w:t>
      </w:r>
      <w:r>
        <w:rPr>
          <w:rFonts w:hint="eastAsia" w:ascii="宋体" w:hAnsi="宋体" w:eastAsia="宋体" w:cs="宋体"/>
          <w:b/>
          <w:bCs/>
          <w:color w:val="000000" w:themeColor="text1"/>
          <w:sz w:val="24"/>
          <w:highlight w:val="none"/>
          <w:lang w:eastAsia="zh-CN"/>
          <w14:textFill>
            <w14:solidFill>
              <w14:schemeClr w14:val="tx1"/>
            </w14:solidFill>
          </w14:textFill>
        </w:rPr>
        <w:t>95763</w:t>
      </w:r>
      <w:r>
        <w:rPr>
          <w:rFonts w:hint="eastAsia" w:ascii="宋体" w:hAnsi="宋体" w:eastAsia="宋体" w:cs="宋体"/>
          <w:b/>
          <w:bCs/>
          <w:color w:val="000000" w:themeColor="text1"/>
          <w:sz w:val="24"/>
          <w:highlight w:val="none"/>
          <w14:textFill>
            <w14:solidFill>
              <w14:schemeClr w14:val="tx1"/>
            </w14:solidFill>
          </w14:textFill>
        </w:rPr>
        <w:t>）</w:t>
      </w:r>
      <w:bookmarkStart w:id="222" w:name="_Toc520356165"/>
    </w:p>
    <w:p w14:paraId="7EE40D78">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23" w:name="_Toc21372"/>
      <w:bookmarkStart w:id="224" w:name="_Toc515647780"/>
      <w:bookmarkStart w:id="225" w:name="_Toc19296"/>
      <w:bookmarkStart w:id="226" w:name="_Toc5428"/>
      <w:bookmarkStart w:id="227" w:name="_Toc17677"/>
      <w:r>
        <w:rPr>
          <w:rFonts w:hint="eastAsia" w:ascii="宋体" w:hAnsi="宋体" w:eastAsia="宋体" w:cs="宋体"/>
          <w:color w:val="000000" w:themeColor="text1"/>
          <w:sz w:val="24"/>
          <w:szCs w:val="32"/>
          <w:highlight w:val="none"/>
          <w:u w:val="none"/>
          <w14:textFill>
            <w14:solidFill>
              <w14:schemeClr w14:val="tx1"/>
            </w14:solidFill>
          </w14:textFill>
        </w:rPr>
        <w:t>19.</w:t>
      </w:r>
      <w:bookmarkEnd w:id="222"/>
      <w:r>
        <w:rPr>
          <w:rFonts w:hint="eastAsia" w:ascii="宋体" w:hAnsi="宋体" w:eastAsia="宋体" w:cs="宋体"/>
          <w:color w:val="000000" w:themeColor="text1"/>
          <w:sz w:val="24"/>
          <w:szCs w:val="32"/>
          <w:highlight w:val="none"/>
          <w:u w:val="none"/>
          <w14:textFill>
            <w14:solidFill>
              <w14:schemeClr w14:val="tx1"/>
            </w14:solidFill>
          </w14:textFill>
        </w:rPr>
        <w:t>资格审查及组建</w:t>
      </w:r>
      <w:bookmarkEnd w:id="223"/>
      <w:bookmarkEnd w:id="224"/>
      <w:bookmarkEnd w:id="225"/>
      <w:bookmarkEnd w:id="226"/>
      <w:r>
        <w:rPr>
          <w:rFonts w:hint="eastAsia" w:ascii="宋体" w:hAnsi="宋体" w:eastAsia="宋体" w:cs="宋体"/>
          <w:color w:val="000000" w:themeColor="text1"/>
          <w:sz w:val="24"/>
          <w:szCs w:val="32"/>
          <w:highlight w:val="none"/>
          <w:u w:val="none"/>
          <w14:textFill>
            <w14:solidFill>
              <w14:schemeClr w14:val="tx1"/>
            </w14:solidFill>
          </w14:textFill>
        </w:rPr>
        <w:t>磋商小组</w:t>
      </w:r>
      <w:bookmarkEnd w:id="227"/>
    </w:p>
    <w:p w14:paraId="1AA0F578">
      <w:pPr>
        <w:pageBreakBefore w:val="0"/>
        <w:kinsoku/>
        <w:wordWrap/>
        <w:overflowPunct/>
        <w:topLinePunct w:val="0"/>
        <w:bidi w:val="0"/>
        <w:snapToGrid/>
        <w:spacing w:line="400" w:lineRule="exact"/>
        <w:ind w:left="960" w:hanging="960" w:hanging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19.1    采购人或采购代理机构依据法律法规和磋商文件中规定的内容，对供应商及其服务的资格进行审查，未通过资格审查的供应商不进入评标。</w:t>
      </w:r>
    </w:p>
    <w:p w14:paraId="6DE20678">
      <w:pPr>
        <w:pageBreakBefore w:val="0"/>
        <w:widowControl/>
        <w:kinsoku/>
        <w:wordWrap/>
        <w:overflowPunct/>
        <w:topLinePunct w:val="0"/>
        <w:bidi w:val="0"/>
        <w:snapToGrid/>
        <w:spacing w:line="400" w:lineRule="exact"/>
        <w:jc w:val="left"/>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szCs w:val="20"/>
          <w:highlight w:val="none"/>
          <w:u w:val="none"/>
          <w:lang w:val="en-US" w:eastAsia="zh-CN" w:bidi="ar-SA"/>
          <w14:textFill>
            <w14:solidFill>
              <w14:schemeClr w14:val="tx1"/>
            </w14:solidFill>
          </w14:textFill>
        </w:rPr>
        <w:t xml:space="preserve">  本项目的资格要求：</w:t>
      </w:r>
    </w:p>
    <w:p w14:paraId="70B0F124">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241" w:firstLineChars="100"/>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24"/>
          <w:highlight w:val="none"/>
          <w14:textFill>
            <w14:solidFill>
              <w14:schemeClr w14:val="tx1"/>
            </w14:solidFill>
          </w14:textFill>
        </w:rPr>
        <w:t>满足《中华人民共和国政府采购法》第二十二条规定；</w:t>
      </w:r>
    </w:p>
    <w:p w14:paraId="287BB317">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（1）具有独立承担民事责任的能力； </w:t>
      </w:r>
    </w:p>
    <w:p w14:paraId="3AE8CBF0">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（2）具有健全的财务会计制度； </w:t>
      </w:r>
    </w:p>
    <w:p w14:paraId="0C36B3F8">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（3）具有履行合同所必需的设备和专业技术能力； </w:t>
      </w:r>
    </w:p>
    <w:p w14:paraId="3F8B25D4">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（4）有依法缴纳税收和社会保障资金的良好记录； </w:t>
      </w:r>
    </w:p>
    <w:p w14:paraId="1541AD6D">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（5）参加政府采购活动前三年内，在经营活动中没有重大违法记录； </w:t>
      </w:r>
    </w:p>
    <w:p w14:paraId="4EC9DD76">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（6）法律、行政法规规定的其他条件。</w:t>
      </w:r>
    </w:p>
    <w:p w14:paraId="7D04302A">
      <w:pPr>
        <w:pStyle w:val="7"/>
        <w:keepNext w:val="0"/>
        <w:keepLines w:val="0"/>
        <w:pageBreakBefore w:val="0"/>
        <w:kinsoku/>
        <w:wordWrap/>
        <w:overflowPunct/>
        <w:topLinePunct w:val="0"/>
        <w:autoSpaceDE/>
        <w:autoSpaceDN/>
        <w:bidi w:val="0"/>
        <w:adjustRightInd/>
        <w:snapToGrid/>
        <w:spacing w:line="400" w:lineRule="exact"/>
        <w:ind w:firstLine="241" w:firstLineChars="100"/>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2.落实政府采购政策需满足的资格要求：专门面向中小企业；</w:t>
      </w:r>
    </w:p>
    <w:p w14:paraId="1BCF9FCE">
      <w:pPr>
        <w:keepNext w:val="0"/>
        <w:keepLines w:val="0"/>
        <w:pageBreakBefore w:val="0"/>
        <w:widowControl/>
        <w:suppressLineNumbers w:val="0"/>
        <w:kinsoku/>
        <w:wordWrap/>
        <w:overflowPunct/>
        <w:topLinePunct w:val="0"/>
        <w:autoSpaceDE/>
        <w:autoSpaceDN/>
        <w:bidi w:val="0"/>
        <w:adjustRightInd/>
        <w:snapToGrid/>
        <w:spacing w:line="400" w:lineRule="exact"/>
        <w:ind w:firstLine="241" w:firstLineChars="1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3.本项目的特定资格要求：</w:t>
      </w:r>
    </w:p>
    <w:p w14:paraId="7ED37C06">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（1）供应商需具备省级及以上建设行政主管部门颁发的相关检测资质及计量认证（CMA）证书；</w:t>
      </w:r>
    </w:p>
    <w:p w14:paraId="556BAB60">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 xml:space="preserve">（2）项目负责人必须具备中级及以上专业技术职称。 </w:t>
      </w:r>
    </w:p>
    <w:p w14:paraId="659C004E">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其他说明：</w:t>
      </w:r>
    </w:p>
    <w:p w14:paraId="4CDD34F3">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03D1C1B">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rtl w:val="0"/>
          <w:lang w:val="en-US" w:eastAsia="zh-CN"/>
          <w14:textFill>
            <w14:solidFill>
              <w14:schemeClr w14:val="tx1"/>
            </w14:solidFill>
          </w14:textFill>
        </w:rPr>
        <w:t>本项目不接受联合体投标。</w:t>
      </w:r>
    </w:p>
    <w:p w14:paraId="70D40E03">
      <w:pPr>
        <w:pageBreakBefore w:val="0"/>
        <w:kinsoku/>
        <w:wordWrap/>
        <w:overflowPunct/>
        <w:topLinePunct w:val="0"/>
        <w:bidi w:val="0"/>
        <w:snapToGrid/>
        <w:spacing w:line="400" w:lineRule="exact"/>
        <w:ind w:left="857" w:leftChars="2" w:hanging="853"/>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19.2   采购人或采购代理机构将在开标前1个工作日至磋商截止后1小时的期间内查询供应商的信用记录。供应商存在不良信用记录的，其磋商将被认定为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5E2415CC">
      <w:pPr>
        <w:pageBreakBefore w:val="0"/>
        <w:kinsoku/>
        <w:wordWrap/>
        <w:overflowPunct/>
        <w:topLinePunct w:val="0"/>
        <w:bidi w:val="0"/>
        <w:snapToGrid/>
        <w:spacing w:line="400" w:lineRule="exact"/>
        <w:ind w:left="857" w:leftChars="2" w:hanging="853"/>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19.2.1 不良信用记录指：根据《财政部关于在政府采购活动中查询及使用信用记录有关问题的通知》（财库﹝2016﹞125号）的要求，凡拟参加本次采购项目的供应商，如在“信用中国”网站（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w:t>
      </w:r>
      <w:r>
        <w:rPr>
          <w:rFonts w:hint="eastAsia" w:ascii="宋体" w:hAnsi="宋体" w:eastAsia="宋体" w:cs="宋体"/>
          <w:color w:val="000000" w:themeColor="text1"/>
          <w:sz w:val="24"/>
          <w:highlight w:val="none"/>
          <w:lang w:eastAsia="zh-CN"/>
          <w14:textFill>
            <w14:solidFill>
              <w14:schemeClr w14:val="tx1"/>
            </w14:solidFill>
          </w14:textFill>
        </w:rPr>
        <w:t>被列入</w:t>
      </w:r>
      <w:r>
        <w:rPr>
          <w:rFonts w:hint="eastAsia" w:ascii="宋体" w:hAnsi="宋体" w:eastAsia="宋体" w:cs="宋体"/>
          <w:color w:val="000000" w:themeColor="text1"/>
          <w:sz w:val="24"/>
          <w:highlight w:val="none"/>
          <w14:textFill>
            <w14:solidFill>
              <w14:schemeClr w14:val="tx1"/>
            </w14:solidFill>
          </w14:textFill>
        </w:rPr>
        <w:t>黑名单</w:t>
      </w:r>
      <w:r>
        <w:rPr>
          <w:rFonts w:hint="eastAsia" w:ascii="宋体" w:hAnsi="宋体" w:eastAsia="宋体" w:cs="宋体"/>
          <w:color w:val="000000" w:themeColor="text1"/>
          <w:sz w:val="24"/>
          <w:highlight w:val="none"/>
          <w:lang w:eastAsia="zh-CN"/>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供应商存在不良信用记录的，其磋商将被认定为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38DD993C">
      <w:pPr>
        <w:pStyle w:val="5"/>
        <w:pageBreakBefore w:val="0"/>
        <w:kinsoku/>
        <w:wordWrap/>
        <w:overflowPunct/>
        <w:topLinePunct w:val="0"/>
        <w:bidi w:val="0"/>
        <w:snapToGrid/>
        <w:spacing w:line="400" w:lineRule="exact"/>
        <w:ind w:left="850" w:hanging="849" w:hangingChars="354"/>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14:paraId="41C334E2">
      <w:pPr>
        <w:pStyle w:val="5"/>
        <w:pageBreakBefore w:val="0"/>
        <w:kinsoku/>
        <w:wordWrap/>
        <w:overflowPunct/>
        <w:topLinePunct w:val="0"/>
        <w:bidi w:val="0"/>
        <w:snapToGrid/>
        <w:spacing w:line="400" w:lineRule="exact"/>
        <w:ind w:left="850" w:leftChars="405" w:firstLine="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供应商自行提供的与网站信息不一致的其他证明材料亦不作为资格审查依据。</w:t>
      </w:r>
    </w:p>
    <w:p w14:paraId="4BE6D813">
      <w:pPr>
        <w:pageBreakBefore w:val="0"/>
        <w:kinsoku/>
        <w:wordWrap/>
        <w:overflowPunct/>
        <w:topLinePunct w:val="0"/>
        <w:bidi w:val="0"/>
        <w:snapToGrid/>
        <w:spacing w:line="400" w:lineRule="exact"/>
        <w:ind w:left="850" w:hanging="849" w:hangingChars="354"/>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19.3   按照《中华人民共和国政府采购法》、《中华人民共和国政府采购法实施条例》及本项目本级和上级财政部门的有关规定依法组建的磋商小组，负责评标工作。</w:t>
      </w:r>
      <w:bookmarkStart w:id="228" w:name="_Toc520356166"/>
    </w:p>
    <w:p w14:paraId="544BFA81">
      <w:pPr>
        <w:pageBreakBefore w:val="0"/>
        <w:kinsoku/>
        <w:wordWrap/>
        <w:overflowPunct/>
        <w:topLinePunct w:val="0"/>
        <w:bidi w:val="0"/>
        <w:snapToGrid/>
        <w:spacing w:before="0" w:after="0" w:line="400" w:lineRule="exact"/>
        <w:textAlignment w:val="auto"/>
        <w:rPr>
          <w:rFonts w:hint="eastAsia" w:ascii="宋体" w:hAnsi="宋体" w:eastAsia="宋体" w:cs="宋体"/>
          <w:b w:val="0"/>
          <w:bCs/>
          <w:color w:val="000000" w:themeColor="text1"/>
          <w:sz w:val="24"/>
          <w:szCs w:val="32"/>
          <w:highlight w:val="none"/>
          <w:bdr w:val="single" w:color="auto" w:sz="4" w:space="0"/>
          <w14:textFill>
            <w14:solidFill>
              <w14:schemeClr w14:val="tx1"/>
            </w14:solidFill>
          </w14:textFill>
        </w:rPr>
      </w:pPr>
      <w:bookmarkStart w:id="229" w:name="_Toc515647781"/>
      <w:bookmarkStart w:id="230" w:name="_Toc28479"/>
      <w:bookmarkStart w:id="231" w:name="_Toc19949"/>
      <w:bookmarkStart w:id="232" w:name="_Toc29043"/>
      <w:bookmarkStart w:id="233" w:name="_Toc14127"/>
      <w:r>
        <w:rPr>
          <w:rFonts w:hint="eastAsia" w:ascii="宋体" w:hAnsi="宋体" w:eastAsia="宋体" w:cs="宋体"/>
          <w:color w:val="000000" w:themeColor="text1"/>
          <w:sz w:val="24"/>
          <w:szCs w:val="32"/>
          <w:highlight w:val="none"/>
          <w:u w:val="none"/>
          <w14:textFill>
            <w14:solidFill>
              <w14:schemeClr w14:val="tx1"/>
            </w14:solidFill>
          </w14:textFill>
        </w:rPr>
        <w:t>20.</w:t>
      </w:r>
      <w:bookmarkEnd w:id="228"/>
      <w:r>
        <w:rPr>
          <w:rFonts w:hint="eastAsia" w:ascii="宋体" w:hAnsi="宋体" w:eastAsia="宋体" w:cs="宋体"/>
          <w:color w:val="000000" w:themeColor="text1"/>
          <w:sz w:val="24"/>
          <w:szCs w:val="32"/>
          <w:highlight w:val="none"/>
          <w:u w:val="none"/>
          <w14:textFill>
            <w14:solidFill>
              <w14:schemeClr w14:val="tx1"/>
            </w14:solidFill>
          </w14:textFill>
        </w:rPr>
        <w:t>响应文件符合性审查与澄清</w:t>
      </w:r>
      <w:bookmarkEnd w:id="229"/>
      <w:bookmarkEnd w:id="230"/>
      <w:bookmarkEnd w:id="231"/>
      <w:bookmarkEnd w:id="232"/>
      <w:bookmarkEnd w:id="233"/>
    </w:p>
    <w:p w14:paraId="492CF655">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20.1   符合性审查是指依据磋商文件的规定，从响应文件的有效性和完整性对磋商文件的响应程度进行审查，以确定是否对磋商文件的实质性要求做出响应。</w:t>
      </w:r>
      <w:bookmarkStart w:id="234" w:name="_Hlt522424701"/>
      <w:bookmarkEnd w:id="234"/>
      <w:bookmarkStart w:id="235" w:name="_Toc520356167"/>
    </w:p>
    <w:p w14:paraId="13B4A139">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响应文件的澄清</w:t>
      </w:r>
    </w:p>
    <w:p w14:paraId="189F8F7D">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14:paraId="7B0D4B4D">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20.2.2  供应商的的澄清、说明或补正将作为响应文件的一部分。</w:t>
      </w:r>
    </w:p>
    <w:p w14:paraId="3E24F120">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20.3  响应文件报价出现前后不一致的，按照下列规定修正：</w:t>
      </w:r>
    </w:p>
    <w:p w14:paraId="2C3819B6">
      <w:pPr>
        <w:pageBreakBefore w:val="0"/>
        <w:kinsoku/>
        <w:wordWrap/>
        <w:overflowPunct/>
        <w:topLinePunct w:val="0"/>
        <w:bidi w:val="0"/>
        <w:snapToGrid/>
        <w:spacing w:line="400" w:lineRule="exact"/>
        <w:ind w:left="1020" w:hanging="1020" w:hangingChars="4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（一）响应文件中开标一览表（报价表）内容与响应文件中相应内容不一致的，以开标一览表（报价表）为准；</w:t>
      </w:r>
    </w:p>
    <w:p w14:paraId="5205BCAB">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（二）大写金额和小写金额不一致的，以大写金额为准；</w:t>
      </w:r>
    </w:p>
    <w:p w14:paraId="509622FE">
      <w:pPr>
        <w:pageBreakBefore w:val="0"/>
        <w:kinsoku/>
        <w:wordWrap/>
        <w:overflowPunct/>
        <w:topLinePunct w:val="0"/>
        <w:bidi w:val="0"/>
        <w:snapToGrid/>
        <w:spacing w:line="400" w:lineRule="exact"/>
        <w:ind w:left="1020" w:hanging="1020" w:hangingChars="4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（三）单价金额小数点或者百分比有明显错位的，以开标一览表的总价为准，并修改单价；</w:t>
      </w:r>
    </w:p>
    <w:p w14:paraId="58B849CD">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（四）总价金额与按单价汇总金额不一致的，以单价金额计算结果为准。</w:t>
      </w:r>
    </w:p>
    <w:p w14:paraId="05207BE8">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同时出现两种以上不一致的，按照前款规定的顺序修正。修正后的报价按照第20.2条的规定经供应商确认后产生约束力，供应商不确认的，其磋商将被认定为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19A32206">
      <w:pPr>
        <w:pageBreakBefore w:val="0"/>
        <w:kinsoku/>
        <w:wordWrap/>
        <w:overflowPunct/>
        <w:topLinePunct w:val="0"/>
        <w:bidi w:val="0"/>
        <w:snapToGrid/>
        <w:spacing w:line="400" w:lineRule="exact"/>
        <w:ind w:left="735" w:leftChars="350" w:firstLine="120" w:firstLineChars="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对不同文字文本响应文件的解释发生异议的，以中文文本为准。</w:t>
      </w:r>
    </w:p>
    <w:p w14:paraId="0E1B4067">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20.4   如一个分包内只有一种产品，不同供应商所投产品为同一品牌的，按如下方式处理：</w:t>
      </w:r>
    </w:p>
    <w:p w14:paraId="3DD62A3E">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14:paraId="42F4C170">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20.5   如一个分包内包含多种产品的，采购人或采购代理机构将在</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中载明核心产品，多家供应商提供的核心产品品牌相同的，按第20.4条规定处理。</w:t>
      </w:r>
    </w:p>
    <w:p w14:paraId="7207502D">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20.6   供应商所投产品如被列入财政部与国家主管部门颁发的节能产品目录或环境标志产品目录或无线局域网产品目录，应提供相关证明，在评标时予以优先采购，具体优先采购办法见第</w:t>
      </w:r>
      <w:r>
        <w:rPr>
          <w:rFonts w:hint="eastAsia" w:ascii="宋体" w:hAnsi="宋体" w:eastAsia="宋体" w:cs="宋体"/>
          <w:color w:val="000000" w:themeColor="text1"/>
          <w:sz w:val="24"/>
          <w:highlight w:val="none"/>
          <w:lang w:val="en-US" w:eastAsia="zh-CN"/>
          <w14:textFill>
            <w14:solidFill>
              <w14:schemeClr w14:val="tx1"/>
            </w14:solidFill>
          </w14:textFill>
        </w:rPr>
        <w:t>五</w:t>
      </w:r>
      <w:r>
        <w:rPr>
          <w:rFonts w:hint="eastAsia" w:ascii="宋体" w:hAnsi="宋体" w:eastAsia="宋体" w:cs="宋体"/>
          <w:color w:val="000000" w:themeColor="text1"/>
          <w:sz w:val="24"/>
          <w:highlight w:val="none"/>
          <w14:textFill>
            <w14:solidFill>
              <w14:schemeClr w14:val="tx1"/>
            </w14:solidFill>
          </w14:textFill>
        </w:rPr>
        <w:t>章评标方法和标准。</w:t>
      </w:r>
    </w:p>
    <w:p w14:paraId="3A5602D8">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如采购人所采购产品为政府强制采购的节能产品，供应商所投产品的品牌及型号必须为清单中有效期内产品并提供证明文件，否则其磋商将被认定为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p>
    <w:p w14:paraId="47E6EC9D">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36" w:name="_Toc23229"/>
      <w:bookmarkStart w:id="237" w:name="_Toc9469"/>
      <w:bookmarkStart w:id="238" w:name="_Toc515647782"/>
      <w:bookmarkStart w:id="239" w:name="_Toc6364"/>
      <w:bookmarkStart w:id="240" w:name="_Toc29782"/>
      <w:r>
        <w:rPr>
          <w:rFonts w:hint="eastAsia" w:ascii="宋体" w:hAnsi="宋体" w:eastAsia="宋体" w:cs="宋体"/>
          <w:color w:val="000000" w:themeColor="text1"/>
          <w:sz w:val="24"/>
          <w:szCs w:val="32"/>
          <w:highlight w:val="none"/>
          <w:u w:val="none"/>
          <w14:textFill>
            <w14:solidFill>
              <w14:schemeClr w14:val="tx1"/>
            </w14:solidFill>
          </w14:textFill>
        </w:rPr>
        <w:t>21.磋商偏离</w:t>
      </w:r>
      <w:bookmarkEnd w:id="236"/>
      <w:bookmarkEnd w:id="237"/>
      <w:bookmarkEnd w:id="238"/>
      <w:bookmarkEnd w:id="239"/>
      <w:bookmarkEnd w:id="240"/>
    </w:p>
    <w:p w14:paraId="6B4FABFE">
      <w:pPr>
        <w:pageBreakBefore w:val="0"/>
        <w:kinsoku/>
        <w:wordWrap/>
        <w:overflowPunct/>
        <w:topLinePunct w:val="0"/>
        <w:bidi w:val="0"/>
        <w:snapToGrid/>
        <w:spacing w:line="400" w:lineRule="exact"/>
        <w:ind w:left="848" w:leftChars="99" w:hanging="640" w:hangingChars="267"/>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磋商小组可以接受响应文件中不构成实质性偏离的不正规或不一致。</w:t>
      </w:r>
    </w:p>
    <w:p w14:paraId="42C15A2A">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41" w:name="_Toc515647783"/>
      <w:bookmarkStart w:id="242" w:name="_Toc6092"/>
      <w:bookmarkStart w:id="243" w:name="_Toc4950"/>
      <w:bookmarkStart w:id="244" w:name="_Toc23480"/>
      <w:bookmarkStart w:id="245" w:name="_Toc7012"/>
      <w:r>
        <w:rPr>
          <w:rFonts w:hint="eastAsia" w:ascii="宋体" w:hAnsi="宋体" w:eastAsia="宋体" w:cs="宋体"/>
          <w:color w:val="000000" w:themeColor="text1"/>
          <w:sz w:val="24"/>
          <w:szCs w:val="32"/>
          <w:highlight w:val="none"/>
          <w:u w:val="none"/>
          <w14:textFill>
            <w14:solidFill>
              <w14:schemeClr w14:val="tx1"/>
            </w14:solidFill>
          </w14:textFill>
        </w:rPr>
        <w:t>22.</w:t>
      </w:r>
      <w:bookmarkEnd w:id="241"/>
      <w:r>
        <w:rPr>
          <w:rFonts w:hint="eastAsia" w:ascii="宋体" w:hAnsi="宋体" w:eastAsia="宋体" w:cs="宋体"/>
          <w:color w:val="000000" w:themeColor="text1"/>
          <w:sz w:val="24"/>
          <w:szCs w:val="32"/>
          <w:highlight w:val="none"/>
          <w:u w:val="none"/>
          <w14:textFill>
            <w14:solidFill>
              <w14:schemeClr w14:val="tx1"/>
            </w14:solidFill>
          </w14:textFill>
        </w:rPr>
        <w:t>磋商无效</w:t>
      </w:r>
      <w:bookmarkEnd w:id="242"/>
      <w:bookmarkEnd w:id="243"/>
      <w:bookmarkEnd w:id="244"/>
      <w:bookmarkEnd w:id="245"/>
    </w:p>
    <w:p w14:paraId="1794CA0E">
      <w:pPr>
        <w:pageBreakBefore w:val="0"/>
        <w:kinsoku/>
        <w:wordWrap/>
        <w:overflowPunct/>
        <w:topLinePunct w:val="0"/>
        <w:bidi w:val="0"/>
        <w:snapToGrid/>
        <w:spacing w:line="400" w:lineRule="exact"/>
        <w:ind w:left="852" w:leftChars="-23"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。供应商不得通过修正或撤销不符合要求的偏离，从而使其磋商成为实质上响应的磋商。</w:t>
      </w:r>
    </w:p>
    <w:p w14:paraId="26B9B49A">
      <w:pPr>
        <w:pageBreakBefore w:val="0"/>
        <w:kinsoku/>
        <w:wordWrap/>
        <w:overflowPunct/>
        <w:topLinePunct w:val="0"/>
        <w:bidi w:val="0"/>
        <w:snapToGrid/>
        <w:spacing w:line="400" w:lineRule="exact"/>
        <w:ind w:left="792" w:leftChars="377"/>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磋商小组决定磋商的响应性只根据磋商文件要求、响应文件内容及财政主管部门指定相关信息发布媒体。</w:t>
      </w:r>
    </w:p>
    <w:p w14:paraId="4278C3A3">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如发现下列情况之一的，其磋商将被认定为</w:t>
      </w:r>
      <w:r>
        <w:rPr>
          <w:rFonts w:hint="eastAsia" w:ascii="宋体" w:hAnsi="宋体" w:eastAsia="宋体" w:cs="宋体"/>
          <w:b/>
          <w:bCs/>
          <w:color w:val="000000" w:themeColor="text1"/>
          <w:sz w:val="24"/>
          <w:highlight w:val="none"/>
          <w14:textFill>
            <w14:solidFill>
              <w14:schemeClr w14:val="tx1"/>
            </w14:solidFill>
          </w14:textFill>
        </w:rPr>
        <w:t>磋商无效</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以下情形应当在磋商文件中规定，并以醒目的方式标明</w:t>
      </w:r>
      <w:r>
        <w:rPr>
          <w:rFonts w:hint="eastAsia" w:ascii="宋体" w:hAnsi="宋体" w:eastAsia="宋体" w:cs="宋体"/>
          <w:color w:val="000000" w:themeColor="text1"/>
          <w:sz w:val="24"/>
          <w:highlight w:val="none"/>
          <w14:textFill>
            <w14:solidFill>
              <w14:schemeClr w14:val="tx1"/>
            </w14:solidFill>
          </w14:textFill>
        </w:rPr>
        <w:t>）</w:t>
      </w:r>
    </w:p>
    <w:p w14:paraId="6983985C">
      <w:pPr>
        <w:pageBreakBefore w:val="0"/>
        <w:numPr>
          <w:ilvl w:val="0"/>
          <w:numId w:val="3"/>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未按磋商文件规定的形式和金额提交磋商保证金的；</w:t>
      </w:r>
    </w:p>
    <w:p w14:paraId="13B18915">
      <w:pPr>
        <w:pageBreakBefore w:val="0"/>
        <w:numPr>
          <w:ilvl w:val="0"/>
          <w:numId w:val="3"/>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未按照磋商文件规定要求签署、盖章的；</w:t>
      </w:r>
    </w:p>
    <w:p w14:paraId="247C370C">
      <w:pPr>
        <w:pageBreakBefore w:val="0"/>
        <w:numPr>
          <w:ilvl w:val="0"/>
          <w:numId w:val="3"/>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未满足磋商文件中技术条款的实质性要求；</w:t>
      </w:r>
    </w:p>
    <w:p w14:paraId="4DBB50EB">
      <w:pPr>
        <w:pageBreakBefore w:val="0"/>
        <w:numPr>
          <w:ilvl w:val="0"/>
          <w:numId w:val="3"/>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与其他供应商串通磋商，或者与</w:t>
      </w:r>
      <w:r>
        <w:rPr>
          <w:rFonts w:hint="eastAsia" w:ascii="宋体" w:hAnsi="宋体" w:cs="宋体"/>
          <w:b/>
          <w:bCs/>
          <w:color w:val="000000" w:themeColor="text1"/>
          <w:sz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highlight w:val="none"/>
          <w14:textFill>
            <w14:solidFill>
              <w14:schemeClr w14:val="tx1"/>
            </w14:solidFill>
          </w14:textFill>
        </w:rPr>
        <w:t>串通磋商；</w:t>
      </w:r>
    </w:p>
    <w:p w14:paraId="35E8E259">
      <w:pPr>
        <w:pageBreakBefore w:val="0"/>
        <w:numPr>
          <w:ilvl w:val="0"/>
          <w:numId w:val="3"/>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属于磋商文件规定的其他磋商无效情形；</w:t>
      </w:r>
    </w:p>
    <w:p w14:paraId="021D2CFE">
      <w:pPr>
        <w:pageBreakBefore w:val="0"/>
        <w:numPr>
          <w:ilvl w:val="0"/>
          <w:numId w:val="3"/>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磋商小组认为供应商的报价明显低于其他通过符合性检查供应商的报价，有可能影响履约的，且供应商未按照规定证明其报价合理性的；</w:t>
      </w:r>
    </w:p>
    <w:p w14:paraId="13C14C89">
      <w:pPr>
        <w:pageBreakBefore w:val="0"/>
        <w:numPr>
          <w:ilvl w:val="0"/>
          <w:numId w:val="3"/>
        </w:numPr>
        <w:kinsoku/>
        <w:wordWrap/>
        <w:overflowPunct/>
        <w:topLinePunct w:val="0"/>
        <w:bidi w:val="0"/>
        <w:snapToGrid/>
        <w:spacing w:line="400" w:lineRule="exact"/>
        <w:ind w:left="1081" w:leftChars="429" w:hanging="18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响应文件含有采购人不能接受的附加条件的；</w:t>
      </w:r>
    </w:p>
    <w:p w14:paraId="48A10CB3">
      <w:pPr>
        <w:pageBreakBefore w:val="0"/>
        <w:numPr>
          <w:ilvl w:val="0"/>
          <w:numId w:val="3"/>
        </w:numPr>
        <w:tabs>
          <w:tab w:val="left" w:pos="0"/>
        </w:tabs>
        <w:kinsoku/>
        <w:wordWrap/>
        <w:overflowPunct/>
        <w:topLinePunct w:val="0"/>
        <w:bidi w:val="0"/>
        <w:snapToGrid/>
        <w:spacing w:line="400" w:lineRule="exact"/>
        <w:ind w:left="1081" w:leftChars="429" w:hanging="18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不符合法规和磋商文件中规定的其他实质性要求的</w:t>
      </w:r>
      <w:r>
        <w:rPr>
          <w:rFonts w:hint="eastAsia" w:ascii="宋体" w:hAnsi="宋体" w:eastAsia="宋体" w:cs="宋体"/>
          <w:color w:val="000000" w:themeColor="text1"/>
          <w:sz w:val="24"/>
          <w:highlight w:val="none"/>
          <w14:textFill>
            <w14:solidFill>
              <w14:schemeClr w14:val="tx1"/>
            </w14:solidFill>
          </w14:textFill>
        </w:rPr>
        <w:t>。</w:t>
      </w:r>
    </w:p>
    <w:p w14:paraId="4D9921FB">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46" w:name="_Toc22941"/>
      <w:bookmarkStart w:id="247" w:name="_Toc13652"/>
      <w:bookmarkStart w:id="248" w:name="_Toc19433"/>
      <w:bookmarkStart w:id="249" w:name="_Toc28827"/>
      <w:bookmarkStart w:id="250" w:name="_Toc515647784"/>
      <w:r>
        <w:rPr>
          <w:rFonts w:hint="eastAsia" w:ascii="宋体" w:hAnsi="宋体" w:eastAsia="宋体" w:cs="宋体"/>
          <w:color w:val="000000" w:themeColor="text1"/>
          <w:sz w:val="24"/>
          <w:szCs w:val="32"/>
          <w:highlight w:val="none"/>
          <w:u w:val="none"/>
          <w14:textFill>
            <w14:solidFill>
              <w14:schemeClr w14:val="tx1"/>
            </w14:solidFill>
          </w14:textFill>
        </w:rPr>
        <w:t>23.</w:t>
      </w:r>
      <w:bookmarkEnd w:id="235"/>
      <w:r>
        <w:rPr>
          <w:rFonts w:hint="eastAsia" w:ascii="宋体" w:hAnsi="宋体" w:eastAsia="宋体" w:cs="宋体"/>
          <w:color w:val="000000" w:themeColor="text1"/>
          <w:sz w:val="24"/>
          <w:szCs w:val="32"/>
          <w:highlight w:val="none"/>
          <w:u w:val="none"/>
          <w14:textFill>
            <w14:solidFill>
              <w14:schemeClr w14:val="tx1"/>
            </w14:solidFill>
          </w14:textFill>
        </w:rPr>
        <w:t>比较与评价</w:t>
      </w:r>
      <w:bookmarkEnd w:id="246"/>
      <w:bookmarkEnd w:id="247"/>
      <w:bookmarkEnd w:id="248"/>
      <w:bookmarkEnd w:id="249"/>
      <w:bookmarkEnd w:id="250"/>
    </w:p>
    <w:p w14:paraId="35DEC169">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经符合性审查合格的响应文件，磋商小组将根据磋商文件确定的评标方法和标准，对其技术部分和商务部分作进一步的比较和评价。</w:t>
      </w:r>
    </w:p>
    <w:p w14:paraId="6C23A2FF">
      <w:pPr>
        <w:pageBreakBefore w:val="0"/>
        <w:kinsoku/>
        <w:wordWrap/>
        <w:overflowPunct/>
        <w:topLinePunct w:val="0"/>
        <w:bidi w:val="0"/>
        <w:snapToGrid/>
        <w:spacing w:line="400" w:lineRule="exact"/>
        <w:ind w:left="958" w:leftChars="456"/>
        <w:textAlignment w:val="auto"/>
        <w:rPr>
          <w:rFonts w:hint="eastAsia" w:ascii="宋体" w:hAnsi="宋体" w:eastAsia="宋体" w:cs="宋体"/>
          <w:b/>
          <w:bCs/>
          <w:color w:val="000000" w:themeColor="text1"/>
          <w:sz w:val="24"/>
          <w:highlight w:val="none"/>
          <w:u w:val="single"/>
          <w:lang w:eastAsia="zh-CN"/>
          <w14:textFill>
            <w14:solidFill>
              <w14:schemeClr w14:val="tx1"/>
            </w14:solidFill>
          </w14:textFill>
        </w:rPr>
      </w:pPr>
      <w:r>
        <w:rPr>
          <w:rFonts w:hint="eastAsia" w:ascii="宋体" w:hAnsi="宋体" w:eastAsia="宋体" w:cs="宋体"/>
          <w:b/>
          <w:bCs/>
          <w:color w:val="000000" w:themeColor="text1"/>
          <w:sz w:val="24"/>
          <w:highlight w:val="none"/>
          <w:u w:val="single"/>
          <w14:textFill>
            <w14:solidFill>
              <w14:schemeClr w14:val="tx1"/>
            </w14:solidFill>
          </w14:textFill>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r>
        <w:rPr>
          <w:rFonts w:hint="eastAsia" w:ascii="宋体" w:hAnsi="宋体" w:eastAsia="宋体" w:cs="宋体"/>
          <w:b/>
          <w:bCs/>
          <w:color w:val="000000" w:themeColor="text1"/>
          <w:sz w:val="24"/>
          <w:highlight w:val="none"/>
          <w:u w:val="none"/>
          <w:lang w:eastAsia="zh-CN"/>
          <w14:textFill>
            <w14:solidFill>
              <w14:schemeClr w14:val="tx1"/>
            </w14:solidFill>
          </w14:textFill>
        </w:rPr>
        <w:t>。</w:t>
      </w:r>
    </w:p>
    <w:p w14:paraId="2E84E2DB">
      <w:pPr>
        <w:pStyle w:val="12"/>
        <w:pageBreakBefore w:val="0"/>
        <w:kinsoku/>
        <w:wordWrap/>
        <w:overflowPunct/>
        <w:topLinePunct w:val="0"/>
        <w:bidi w:val="0"/>
        <w:snapToGrid/>
        <w:spacing w:line="400" w:lineRule="exact"/>
        <w:ind w:left="898" w:leftChars="342" w:hanging="180" w:hangingChars="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23.2 </w:t>
      </w:r>
      <w:r>
        <w:rPr>
          <w:rFonts w:hint="eastAsia" w:ascii="宋体" w:hAnsi="宋体" w:eastAsia="宋体" w:cs="宋体"/>
          <w:color w:val="000000" w:themeColor="text1"/>
          <w:sz w:val="24"/>
          <w:szCs w:val="24"/>
          <w:highlight w:val="none"/>
          <w14:textFill>
            <w14:solidFill>
              <w14:schemeClr w14:val="tx1"/>
            </w14:solidFill>
          </w14:textFill>
        </w:rPr>
        <w:t xml:space="preserve"> 评标严格按照</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的要求和条件进行。根据实际情况，在</w:t>
      </w:r>
      <w:r>
        <w:rPr>
          <w:rFonts w:hint="eastAsia"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须知资料表中规定采用下列评标方法，详细评标标准见</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章：</w:t>
      </w:r>
    </w:p>
    <w:p w14:paraId="5C654778">
      <w:pPr>
        <w:pStyle w:val="12"/>
        <w:pageBreakBefore w:val="0"/>
        <w:kinsoku/>
        <w:wordWrap/>
        <w:overflowPunct/>
        <w:topLinePunct w:val="0"/>
        <w:bidi w:val="0"/>
        <w:snapToGrid/>
        <w:spacing w:line="400" w:lineRule="exact"/>
        <w:ind w:left="898" w:leftChars="342" w:hanging="180" w:hangingChars="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（1）最低评标价法，是指</w:t>
      </w:r>
      <w:r>
        <w:rPr>
          <w:rFonts w:hint="eastAsia"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满足</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全部实质性要求，且投标报价最低的</w:t>
      </w:r>
      <w:r>
        <w:rPr>
          <w:rFonts w:hint="eastAsia"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hAnsi="宋体" w:cs="宋体"/>
          <w:color w:val="000000" w:themeColor="text1"/>
          <w:sz w:val="24"/>
          <w:szCs w:val="24"/>
          <w:highlight w:val="none"/>
          <w:lang w:eastAsia="zh-CN"/>
          <w14:textFill>
            <w14:solidFill>
              <w14:schemeClr w14:val="tx1"/>
            </w14:solidFill>
          </w14:textFill>
        </w:rPr>
        <w:t>成交候选人</w:t>
      </w:r>
      <w:r>
        <w:rPr>
          <w:rFonts w:hint="eastAsia" w:ascii="宋体" w:hAnsi="宋体" w:eastAsia="宋体" w:cs="宋体"/>
          <w:color w:val="000000" w:themeColor="text1"/>
          <w:sz w:val="24"/>
          <w:szCs w:val="24"/>
          <w:highlight w:val="none"/>
          <w14:textFill>
            <w14:solidFill>
              <w14:schemeClr w14:val="tx1"/>
            </w14:solidFill>
          </w14:textFill>
        </w:rPr>
        <w:t>的评标方法。</w:t>
      </w:r>
    </w:p>
    <w:p w14:paraId="157B94A5">
      <w:pPr>
        <w:pStyle w:val="12"/>
        <w:pageBreakBefore w:val="0"/>
        <w:kinsoku/>
        <w:wordWrap/>
        <w:overflowPunct/>
        <w:topLinePunct w:val="0"/>
        <w:bidi w:val="0"/>
        <w:snapToGrid/>
        <w:spacing w:line="400" w:lineRule="exact"/>
        <w:ind w:left="898" w:leftChars="342" w:hanging="180" w:hangingChars="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综合评分法，是指</w:t>
      </w:r>
      <w:r>
        <w:rPr>
          <w:rFonts w:hint="eastAsia"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满足</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全部实质性要求，且按照评审因素的量化指标评审得分最高的</w:t>
      </w:r>
      <w:r>
        <w:rPr>
          <w:rFonts w:hint="eastAsia"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hAnsi="宋体" w:cs="宋体"/>
          <w:color w:val="000000" w:themeColor="text1"/>
          <w:sz w:val="24"/>
          <w:szCs w:val="24"/>
          <w:highlight w:val="none"/>
          <w:lang w:eastAsia="zh-CN"/>
          <w14:textFill>
            <w14:solidFill>
              <w14:schemeClr w14:val="tx1"/>
            </w14:solidFill>
          </w14:textFill>
        </w:rPr>
        <w:t>成交候选人</w:t>
      </w:r>
      <w:r>
        <w:rPr>
          <w:rFonts w:hint="eastAsia" w:ascii="宋体" w:hAnsi="宋体" w:eastAsia="宋体" w:cs="宋体"/>
          <w:color w:val="000000" w:themeColor="text1"/>
          <w:sz w:val="24"/>
          <w:szCs w:val="24"/>
          <w:highlight w:val="none"/>
          <w14:textFill>
            <w14:solidFill>
              <w14:schemeClr w14:val="tx1"/>
            </w14:solidFill>
          </w14:textFill>
        </w:rPr>
        <w:t>的评标方法。本次评标采用</w:t>
      </w:r>
      <w:r>
        <w:rPr>
          <w:rFonts w:hint="eastAsia" w:ascii="宋体" w:hAnsi="宋体" w:eastAsia="宋体" w:cs="宋体"/>
          <w:b/>
          <w:bCs/>
          <w:color w:val="000000" w:themeColor="text1"/>
          <w:sz w:val="24"/>
          <w:szCs w:val="24"/>
          <w:highlight w:val="none"/>
          <w14:textFill>
            <w14:solidFill>
              <w14:schemeClr w14:val="tx1"/>
            </w14:solidFill>
          </w14:textFill>
        </w:rPr>
        <w:t>综合评分法</w:t>
      </w:r>
      <w:r>
        <w:rPr>
          <w:rFonts w:hint="eastAsia" w:ascii="宋体" w:hAnsi="宋体" w:eastAsia="宋体" w:cs="宋体"/>
          <w:color w:val="000000" w:themeColor="text1"/>
          <w:sz w:val="24"/>
          <w:szCs w:val="24"/>
          <w:highlight w:val="none"/>
          <w14:textFill>
            <w14:solidFill>
              <w14:schemeClr w14:val="tx1"/>
            </w14:solidFill>
          </w14:textFill>
        </w:rPr>
        <w:t>，详细评分标准详见综合评分法评分标准。</w:t>
      </w:r>
    </w:p>
    <w:p w14:paraId="497BA157">
      <w:pPr>
        <w:pageBreakBefore w:val="0"/>
        <w:kinsoku/>
        <w:wordWrap/>
        <w:overflowPunct/>
        <w:topLinePunct w:val="0"/>
        <w:bidi w:val="0"/>
        <w:snapToGrid/>
        <w:spacing w:line="400" w:lineRule="exact"/>
        <w:ind w:firstLine="720" w:firstLineChars="3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23.3   根据《政府采购促进中小企业发展管理办法》（财库[2020]46号）、</w:t>
      </w:r>
      <w:r>
        <w:rPr>
          <w:rFonts w:hint="eastAsia" w:ascii="宋体" w:hAnsi="宋体" w:eastAsia="宋体" w:cs="宋体"/>
          <w:color w:val="000000" w:themeColor="text1"/>
          <w:sz w:val="24"/>
          <w:szCs w:val="24"/>
          <w:highlight w:val="none"/>
          <w:lang w:eastAsia="zh-CN"/>
          <w14:textFill>
            <w14:solidFill>
              <w14:schemeClr w14:val="tx1"/>
            </w14:solidFill>
          </w14:textFill>
        </w:rPr>
        <w:t>《关于进一步加大政府采购支持中小企业力度的通知》</w:t>
      </w:r>
      <w:r>
        <w:rPr>
          <w:rFonts w:hint="eastAsia" w:ascii="宋体" w:hAnsi="宋体" w:eastAsia="宋体" w:cs="宋体"/>
          <w:color w:val="000000" w:themeColor="text1"/>
          <w:sz w:val="24"/>
          <w:szCs w:val="24"/>
          <w:highlight w:val="none"/>
          <w14:textFill>
            <w14:solidFill>
              <w14:schemeClr w14:val="tx1"/>
            </w14:solidFill>
          </w14:textFill>
        </w:rPr>
        <w:t>（财库[20</w:t>
      </w: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【财政部关于印发《政府采购竞争性磋商采购方式管理暂行办法》</w:t>
      </w:r>
      <w:r>
        <w:rPr>
          <w:rFonts w:hint="eastAsia" w:ascii="宋体" w:hAnsi="宋体" w:eastAsia="宋体" w:cs="宋体"/>
          <w:color w:val="000000" w:themeColor="text1"/>
          <w:sz w:val="24"/>
          <w:highlight w:val="none"/>
          <w:lang w:eastAsia="zh-CN"/>
          <w14:textFill>
            <w14:solidFill>
              <w14:schemeClr w14:val="tx1"/>
            </w14:solidFill>
          </w14:textFill>
        </w:rPr>
        <w:t>、</w:t>
      </w:r>
    </w:p>
    <w:p w14:paraId="57E9DED9">
      <w:pPr>
        <w:pStyle w:val="12"/>
        <w:pageBreakBefore w:val="0"/>
        <w:kinsoku/>
        <w:wordWrap/>
        <w:overflowPunct/>
        <w:topLinePunct w:val="0"/>
        <w:bidi w:val="0"/>
        <w:snapToGrid/>
        <w:spacing w:line="400" w:lineRule="exact"/>
        <w:ind w:left="898" w:leftChars="342" w:hanging="180" w:hangingChars="7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《财政部 司法部关于政府采购支持监狱企业发展有关问题的通知》（财库〔2014〕68号）和《三部门联合发布关于促进残疾人就业政府采购政策的通知》（</w:t>
      </w:r>
      <w:r>
        <w:rPr>
          <w:rFonts w:hint="eastAsia" w:ascii="宋体" w:hAnsi="宋体" w:eastAsia="宋体" w:cs="宋体"/>
          <w:bCs/>
          <w:color w:val="000000" w:themeColor="text1"/>
          <w:sz w:val="24"/>
          <w:szCs w:val="24"/>
          <w:highlight w:val="none"/>
          <w14:textFill>
            <w14:solidFill>
              <w14:schemeClr w14:val="tx1"/>
            </w14:solidFill>
          </w14:textFill>
        </w:rPr>
        <w:t>财库〔2017〕141号</w:t>
      </w:r>
      <w:r>
        <w:rPr>
          <w:rFonts w:hint="eastAsia" w:ascii="宋体" w:hAnsi="宋体" w:eastAsia="宋体" w:cs="宋体"/>
          <w:color w:val="000000" w:themeColor="text1"/>
          <w:sz w:val="24"/>
          <w:szCs w:val="24"/>
          <w:highlight w:val="none"/>
          <w14:textFill>
            <w14:solidFill>
              <w14:schemeClr w14:val="tx1"/>
            </w14:solidFill>
          </w14:textFill>
        </w:rPr>
        <w:t>）的规定</w:t>
      </w:r>
      <w:r>
        <w:rPr>
          <w:rFonts w:hint="eastAsia" w:ascii="宋体" w:hAnsi="宋体" w:eastAsia="宋体" w:cs="宋体"/>
          <w:color w:val="000000" w:themeColor="text1"/>
          <w:sz w:val="24"/>
          <w:szCs w:val="24"/>
          <w:highlight w:val="none"/>
          <w:lang w:eastAsia="zh-CN"/>
          <w14:textFill>
            <w14:solidFill>
              <w14:schemeClr w14:val="tx1"/>
            </w14:solidFill>
          </w14:textFill>
        </w:rPr>
        <w:t>、财政部关于印发《政府采购需求管理办法》的通知（财库〔2021〕22号）</w:t>
      </w:r>
      <w:r>
        <w:rPr>
          <w:rFonts w:hint="eastAsia" w:ascii="宋体" w:hAnsi="宋体" w:eastAsia="宋体" w:cs="宋体"/>
          <w:color w:val="000000" w:themeColor="text1"/>
          <w:sz w:val="24"/>
          <w:szCs w:val="24"/>
          <w:highlight w:val="none"/>
          <w14:textFill>
            <w14:solidFill>
              <w14:schemeClr w14:val="tx1"/>
            </w14:solidFill>
          </w14:textFill>
        </w:rPr>
        <w:t>，对满足价格扣除条件且在响应文件中提交了《供应商企业类型声明函》或省级以上监狱管理局、戒毒管理局（含新疆生产建设兵团）出具的属于监狱企业的证明文件的供应商，其磋商报价扣除</w:t>
      </w:r>
      <w:r>
        <w:rPr>
          <w:rFonts w:hint="eastAsia" w:ascii="宋体" w:hAnsi="宋体" w:eastAsia="宋体" w:cs="宋体"/>
          <w:color w:val="000000" w:themeColor="text1"/>
          <w:sz w:val="24"/>
          <w:szCs w:val="24"/>
          <w:highlight w:val="none"/>
          <w:u w:val="single"/>
          <w14:textFill>
            <w14:solidFill>
              <w14:schemeClr w14:val="tx1"/>
            </w14:solidFill>
          </w14:textFill>
        </w:rPr>
        <w:t>6-10%</w:t>
      </w:r>
      <w:r>
        <w:rPr>
          <w:rFonts w:hint="eastAsia" w:ascii="宋体" w:hAnsi="宋体" w:eastAsia="宋体" w:cs="宋体"/>
          <w:color w:val="000000" w:themeColor="text1"/>
          <w:sz w:val="24"/>
          <w:szCs w:val="24"/>
          <w:highlight w:val="none"/>
          <w14:textFill>
            <w14:solidFill>
              <w14:schemeClr w14:val="tx1"/>
            </w14:solidFill>
          </w14:textFill>
        </w:rPr>
        <w:t>后参与评审。具体办法详见磋商文件第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章。</w:t>
      </w:r>
    </w:p>
    <w:p w14:paraId="2918E189">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51" w:name="_Toc520356168"/>
      <w:bookmarkStart w:id="252" w:name="_Toc16201"/>
      <w:bookmarkStart w:id="253" w:name="_Toc20227"/>
      <w:bookmarkStart w:id="254" w:name="_Toc17823"/>
      <w:bookmarkStart w:id="255" w:name="_Toc515647785"/>
      <w:bookmarkStart w:id="256" w:name="_Toc9378"/>
      <w:r>
        <w:rPr>
          <w:rFonts w:hint="eastAsia" w:ascii="宋体" w:hAnsi="宋体" w:eastAsia="宋体" w:cs="宋体"/>
          <w:color w:val="000000" w:themeColor="text1"/>
          <w:sz w:val="24"/>
          <w:szCs w:val="32"/>
          <w:highlight w:val="none"/>
          <w:u w:val="none"/>
          <w14:textFill>
            <w14:solidFill>
              <w14:schemeClr w14:val="tx1"/>
            </w14:solidFill>
          </w14:textFill>
        </w:rPr>
        <w:t>24</w:t>
      </w:r>
      <w:bookmarkEnd w:id="251"/>
      <w:r>
        <w:rPr>
          <w:rFonts w:hint="eastAsia" w:ascii="宋体" w:hAnsi="宋体" w:eastAsia="宋体" w:cs="宋体"/>
          <w:color w:val="000000" w:themeColor="text1"/>
          <w:sz w:val="24"/>
          <w:szCs w:val="32"/>
          <w:highlight w:val="none"/>
          <w:u w:val="none"/>
          <w14:textFill>
            <w14:solidFill>
              <w14:schemeClr w14:val="tx1"/>
            </w14:solidFill>
          </w14:textFill>
        </w:rPr>
        <w:t>.废标</w:t>
      </w:r>
      <w:bookmarkEnd w:id="252"/>
      <w:bookmarkEnd w:id="253"/>
      <w:bookmarkEnd w:id="254"/>
      <w:bookmarkEnd w:id="255"/>
      <w:bookmarkEnd w:id="256"/>
    </w:p>
    <w:p w14:paraId="4957D032">
      <w:pPr>
        <w:pageBreakBefore w:val="0"/>
        <w:kinsoku/>
        <w:wordWrap/>
        <w:overflowPunct/>
        <w:topLinePunct w:val="0"/>
        <w:bidi w:val="0"/>
        <w:snapToGrid/>
        <w:spacing w:line="400" w:lineRule="exact"/>
        <w:ind w:left="898" w:leftChars="399" w:hanging="60" w:hangingChars="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出现下列情形之一，将导致项目废标： </w:t>
      </w:r>
    </w:p>
    <w:p w14:paraId="29209A68">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（1）出现影响采购公正的违法、违规行为的；</w:t>
      </w:r>
    </w:p>
    <w:p w14:paraId="0D27CF5D">
      <w:pPr>
        <w:pageBreakBefore w:val="0"/>
        <w:kinsoku/>
        <w:wordWrap/>
        <w:overflowPunct/>
        <w:topLinePunct w:val="0"/>
        <w:bidi w:val="0"/>
        <w:snapToGrid/>
        <w:spacing w:line="400" w:lineRule="exact"/>
        <w:ind w:firstLine="840" w:firstLineChars="3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（2）供应商的报价均超过了采购预算，采购人不能支付的；</w:t>
      </w:r>
    </w:p>
    <w:p w14:paraId="1002A6DB">
      <w:pPr>
        <w:pageBreakBefore w:val="0"/>
        <w:kinsoku/>
        <w:wordWrap/>
        <w:overflowPunct/>
        <w:topLinePunct w:val="0"/>
        <w:bidi w:val="0"/>
        <w:snapToGrid/>
        <w:spacing w:line="400" w:lineRule="exact"/>
        <w:ind w:firstLine="840" w:firstLineChars="3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（3）因重大变故，采购任务取消的。   </w:t>
      </w:r>
    </w:p>
    <w:p w14:paraId="3AF1AE05">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57" w:name="_Toc20126"/>
      <w:bookmarkStart w:id="258" w:name="_Toc515647786"/>
      <w:bookmarkStart w:id="259" w:name="_Toc24972"/>
      <w:bookmarkStart w:id="260" w:name="_Toc8176"/>
      <w:bookmarkStart w:id="261" w:name="_Toc31289"/>
      <w:bookmarkStart w:id="262" w:name="_Toc520356169"/>
      <w:r>
        <w:rPr>
          <w:rFonts w:hint="eastAsia" w:ascii="宋体" w:hAnsi="宋体" w:eastAsia="宋体" w:cs="宋体"/>
          <w:color w:val="000000" w:themeColor="text1"/>
          <w:sz w:val="24"/>
          <w:szCs w:val="32"/>
          <w:highlight w:val="none"/>
          <w:u w:val="none"/>
          <w14:textFill>
            <w14:solidFill>
              <w14:schemeClr w14:val="tx1"/>
            </w14:solidFill>
          </w14:textFill>
        </w:rPr>
        <w:t>25.保密原则</w:t>
      </w:r>
      <w:bookmarkEnd w:id="257"/>
      <w:bookmarkEnd w:id="258"/>
      <w:bookmarkEnd w:id="259"/>
      <w:bookmarkEnd w:id="260"/>
      <w:bookmarkEnd w:id="261"/>
    </w:p>
    <w:p w14:paraId="519DC3DE">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评标将在严格保密的情况下进行。</w:t>
      </w:r>
    </w:p>
    <w:p w14:paraId="7063643E">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政府采购</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应当遵守评审工作纪律，不得泄露评审文件、评审情况和评审中获悉的商业秘密。</w:t>
      </w:r>
    </w:p>
    <w:p w14:paraId="7533C2F5">
      <w:pPr>
        <w:pStyle w:val="4"/>
        <w:pageBreakBefore w:val="0"/>
        <w:kinsoku/>
        <w:wordWrap/>
        <w:overflowPunct/>
        <w:topLinePunct w:val="0"/>
        <w:bidi w:val="0"/>
        <w:snapToGrid/>
        <w:spacing w:before="0" w:line="400" w:lineRule="exact"/>
        <w:ind w:left="1080" w:leftChars="257" w:hanging="540"/>
        <w:textAlignment w:val="auto"/>
        <w:rPr>
          <w:rFonts w:hint="eastAsia" w:ascii="宋体" w:hAnsi="宋体" w:eastAsia="宋体" w:cs="宋体"/>
          <w:color w:val="000000" w:themeColor="text1"/>
          <w:highlight w:val="none"/>
          <w14:textFill>
            <w14:solidFill>
              <w14:schemeClr w14:val="tx1"/>
            </w14:solidFill>
          </w14:textFill>
        </w:rPr>
      </w:pPr>
      <w:bookmarkStart w:id="263" w:name="_Toc31195"/>
      <w:bookmarkStart w:id="264" w:name="_Toc216582810"/>
      <w:bookmarkStart w:id="265" w:name="_Toc23904"/>
      <w:bookmarkStart w:id="266" w:name="_Toc515647787"/>
      <w:bookmarkStart w:id="267" w:name="_Toc12143"/>
      <w:bookmarkStart w:id="268" w:name="_Toc32270"/>
      <w:bookmarkStart w:id="269" w:name="_Toc25649"/>
      <w:bookmarkStart w:id="270" w:name="_Toc13671"/>
      <w:bookmarkStart w:id="271" w:name="_Toc16420"/>
      <w:bookmarkStart w:id="272" w:name="_Toc18799"/>
      <w:bookmarkStart w:id="273" w:name="_Toc442"/>
      <w:r>
        <w:rPr>
          <w:rFonts w:hint="eastAsia" w:ascii="宋体" w:hAnsi="宋体" w:eastAsia="宋体" w:cs="宋体"/>
          <w:color w:val="000000" w:themeColor="text1"/>
          <w:sz w:val="24"/>
          <w:highlight w:val="none"/>
          <w:u w:val="none"/>
          <w14:textFill>
            <w14:solidFill>
              <w14:schemeClr w14:val="tx1"/>
            </w14:solidFill>
          </w14:textFill>
        </w:rPr>
        <w:t xml:space="preserve">六   </w:t>
      </w:r>
      <w:bookmarkEnd w:id="262"/>
      <w:r>
        <w:rPr>
          <w:rFonts w:hint="eastAsia" w:ascii="宋体" w:hAnsi="宋体" w:eastAsia="宋体" w:cs="宋体"/>
          <w:color w:val="000000" w:themeColor="text1"/>
          <w:sz w:val="24"/>
          <w:highlight w:val="none"/>
          <w:u w:val="none"/>
          <w14:textFill>
            <w14:solidFill>
              <w14:schemeClr w14:val="tx1"/>
            </w14:solidFill>
          </w14:textFill>
        </w:rPr>
        <w:t>确定</w:t>
      </w:r>
      <w:bookmarkEnd w:id="263"/>
      <w:bookmarkEnd w:id="264"/>
      <w:bookmarkEnd w:id="265"/>
      <w:bookmarkEnd w:id="266"/>
      <w:bookmarkEnd w:id="267"/>
      <w:r>
        <w:rPr>
          <w:rFonts w:hint="eastAsia" w:ascii="宋体" w:hAnsi="宋体" w:eastAsia="宋体" w:cs="宋体"/>
          <w:color w:val="000000" w:themeColor="text1"/>
          <w:sz w:val="24"/>
          <w:highlight w:val="none"/>
          <w:u w:val="none"/>
          <w14:textFill>
            <w14:solidFill>
              <w14:schemeClr w14:val="tx1"/>
            </w14:solidFill>
          </w14:textFill>
        </w:rPr>
        <w:t>成交</w:t>
      </w:r>
      <w:bookmarkEnd w:id="268"/>
      <w:bookmarkEnd w:id="269"/>
      <w:bookmarkEnd w:id="270"/>
      <w:bookmarkEnd w:id="271"/>
      <w:bookmarkEnd w:id="272"/>
      <w:bookmarkEnd w:id="273"/>
    </w:p>
    <w:p w14:paraId="50E4ED95">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74" w:name="_Toc4774"/>
      <w:bookmarkStart w:id="275" w:name="_Toc515647788"/>
      <w:bookmarkStart w:id="276" w:name="_Toc23617"/>
      <w:bookmarkStart w:id="277" w:name="_Toc520356170"/>
      <w:bookmarkStart w:id="278" w:name="_Toc23762"/>
      <w:bookmarkStart w:id="279" w:name="_Toc28416"/>
      <w:bookmarkStart w:id="280" w:name="_Ref467307010"/>
      <w:r>
        <w:rPr>
          <w:rFonts w:hint="eastAsia" w:ascii="宋体" w:hAnsi="宋体" w:eastAsia="宋体" w:cs="宋体"/>
          <w:color w:val="000000" w:themeColor="text1"/>
          <w:sz w:val="24"/>
          <w:szCs w:val="32"/>
          <w:highlight w:val="none"/>
          <w:u w:val="none"/>
          <w14:textFill>
            <w14:solidFill>
              <w14:schemeClr w14:val="tx1"/>
            </w14:solidFill>
          </w14:textFill>
        </w:rPr>
        <w:t>26.成交候选人的确定原则及标准</w:t>
      </w:r>
      <w:bookmarkEnd w:id="274"/>
      <w:bookmarkEnd w:id="275"/>
      <w:bookmarkEnd w:id="276"/>
      <w:bookmarkEnd w:id="277"/>
      <w:bookmarkEnd w:id="278"/>
      <w:bookmarkEnd w:id="279"/>
      <w:bookmarkEnd w:id="280"/>
    </w:p>
    <w:p w14:paraId="5DBF0D5D">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除第28条规定外，对实质上响应磋商文件的供应商按下列方法进行排序，确定磋商候选人：</w:t>
      </w:r>
    </w:p>
    <w:p w14:paraId="0B64BFC6">
      <w:pPr>
        <w:pageBreakBefore w:val="0"/>
        <w:kinsoku/>
        <w:wordWrap/>
        <w:overflowPunct/>
        <w:topLinePunct w:val="0"/>
        <w:bidi w:val="0"/>
        <w:snapToGrid/>
        <w:spacing w:line="400" w:lineRule="exact"/>
        <w:ind w:left="901"/>
        <w:textAlignment w:val="auto"/>
        <w:rPr>
          <w:rFonts w:hint="eastAsia" w:ascii="宋体" w:hAnsi="宋体" w:eastAsia="宋体" w:cs="宋体"/>
          <w:b/>
          <w:bCs/>
          <w:color w:val="000000" w:themeColor="text1"/>
          <w:sz w:val="24"/>
          <w:highlight w:val="none"/>
          <w:u w:val="single"/>
          <w14:textFill>
            <w14:solidFill>
              <w14:schemeClr w14:val="tx1"/>
            </w14:solidFill>
          </w14:textFill>
        </w:rPr>
      </w:pPr>
      <w:bookmarkStart w:id="281" w:name="_Toc520356171"/>
      <w:bookmarkStart w:id="282" w:name="_Toc515647789"/>
      <w:r>
        <w:rPr>
          <w:rFonts w:hint="eastAsia" w:ascii="宋体" w:hAnsi="宋体" w:eastAsia="宋体" w:cs="宋体"/>
          <w:b/>
          <w:bCs/>
          <w:color w:val="000000" w:themeColor="text1"/>
          <w:sz w:val="24"/>
          <w:highlight w:val="none"/>
          <w:u w:val="single"/>
          <w14:textFill>
            <w14:solidFill>
              <w14:schemeClr w14:val="tx1"/>
            </w14:solidFill>
          </w14:textFill>
        </w:rPr>
        <w:t>采用综合评分法的，评标结果按评审后得分由高到低顺序排列。得分相同的，按修正和扣除后的磋商报价由低到高顺序排列。得分与磋商报价均相同的处理方式详见磋商文件第</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五</w:t>
      </w:r>
      <w:r>
        <w:rPr>
          <w:rFonts w:hint="eastAsia" w:ascii="宋体" w:hAnsi="宋体" w:eastAsia="宋体" w:cs="宋体"/>
          <w:b/>
          <w:bCs/>
          <w:color w:val="000000" w:themeColor="text1"/>
          <w:sz w:val="24"/>
          <w:highlight w:val="none"/>
          <w:u w:val="single"/>
          <w14:textFill>
            <w14:solidFill>
              <w14:schemeClr w14:val="tx1"/>
            </w14:solidFill>
          </w14:textFill>
        </w:rPr>
        <w:t>章。</w:t>
      </w:r>
    </w:p>
    <w:p w14:paraId="63BF2FD5">
      <w:pPr>
        <w:pageBreakBefore w:val="0"/>
        <w:tabs>
          <w:tab w:val="left" w:pos="900"/>
        </w:tabs>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83" w:name="_Toc9653"/>
      <w:bookmarkStart w:id="284" w:name="_Toc23951"/>
      <w:bookmarkStart w:id="285" w:name="_Toc17933"/>
      <w:bookmarkStart w:id="286" w:name="_Toc30196"/>
      <w:r>
        <w:rPr>
          <w:rFonts w:hint="eastAsia" w:ascii="宋体" w:hAnsi="宋体" w:eastAsia="宋体" w:cs="宋体"/>
          <w:color w:val="000000" w:themeColor="text1"/>
          <w:sz w:val="24"/>
          <w:szCs w:val="32"/>
          <w:highlight w:val="none"/>
          <w:u w:val="none"/>
          <w14:textFill>
            <w14:solidFill>
              <w14:schemeClr w14:val="tx1"/>
            </w14:solidFill>
          </w14:textFill>
        </w:rPr>
        <w:t>27</w:t>
      </w:r>
      <w:bookmarkEnd w:id="281"/>
      <w:r>
        <w:rPr>
          <w:rFonts w:hint="eastAsia" w:ascii="宋体" w:hAnsi="宋体" w:eastAsia="宋体" w:cs="宋体"/>
          <w:color w:val="000000" w:themeColor="text1"/>
          <w:sz w:val="24"/>
          <w:szCs w:val="32"/>
          <w:highlight w:val="none"/>
          <w:u w:val="none"/>
          <w14:textFill>
            <w14:solidFill>
              <w14:schemeClr w14:val="tx1"/>
            </w14:solidFill>
          </w14:textFill>
        </w:rPr>
        <w:t>.确定成交候选人和</w:t>
      </w:r>
      <w:bookmarkEnd w:id="282"/>
      <w:bookmarkEnd w:id="283"/>
      <w:bookmarkEnd w:id="284"/>
      <w:bookmarkEnd w:id="285"/>
      <w:r>
        <w:rPr>
          <w:rFonts w:hint="eastAsia" w:ascii="宋体" w:hAnsi="宋体" w:eastAsia="宋体" w:cs="宋体"/>
          <w:color w:val="000000" w:themeColor="text1"/>
          <w:sz w:val="24"/>
          <w:szCs w:val="32"/>
          <w:highlight w:val="none"/>
          <w:u w:val="none"/>
          <w14:textFill>
            <w14:solidFill>
              <w14:schemeClr w14:val="tx1"/>
            </w14:solidFill>
          </w14:textFill>
        </w:rPr>
        <w:t>成交人</w:t>
      </w:r>
      <w:bookmarkEnd w:id="286"/>
    </w:p>
    <w:p w14:paraId="007E5E88">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磋商小组将根据评标标准，按</w:t>
      </w:r>
      <w:r>
        <w:rPr>
          <w:rFonts w:hint="eastAsia" w:ascii="宋体" w:hAnsi="宋体" w:eastAsia="宋体" w:cs="宋体"/>
          <w:color w:val="000000" w:themeColor="text1"/>
          <w:sz w:val="24"/>
          <w:highlight w:val="none"/>
          <w:u w:val="single"/>
          <w14:textFill>
            <w14:solidFill>
              <w14:schemeClr w14:val="tx1"/>
            </w14:solidFill>
          </w14:textFill>
        </w:rPr>
        <w:t>供应商须知资料表中</w:t>
      </w:r>
      <w:r>
        <w:rPr>
          <w:rFonts w:hint="eastAsia" w:ascii="宋体" w:hAnsi="宋体" w:eastAsia="宋体" w:cs="宋体"/>
          <w:color w:val="000000" w:themeColor="text1"/>
          <w:sz w:val="24"/>
          <w:highlight w:val="none"/>
          <w14:textFill>
            <w14:solidFill>
              <w14:schemeClr w14:val="tx1"/>
            </w14:solidFill>
          </w14:textFill>
        </w:rPr>
        <w:t>规定数量推荐成交候选人；</w:t>
      </w:r>
      <w:r>
        <w:rPr>
          <w:rFonts w:hint="eastAsia" w:ascii="宋体" w:hAnsi="宋体" w:eastAsia="宋体" w:cs="宋体"/>
          <w:b/>
          <w:bCs/>
          <w:color w:val="000000" w:themeColor="text1"/>
          <w:sz w:val="24"/>
          <w:highlight w:val="none"/>
          <w:u w:val="single"/>
          <w14:textFill>
            <w14:solidFill>
              <w14:schemeClr w14:val="tx1"/>
            </w14:solidFill>
          </w14:textFill>
        </w:rPr>
        <w:t>磋商小组应当根据综合评分情况，按照评审得分由高到低顺序推荐3名成交候选供应商</w:t>
      </w:r>
      <w:r>
        <w:rPr>
          <w:rFonts w:hint="eastAsia" w:ascii="宋体" w:hAnsi="宋体" w:eastAsia="宋体" w:cs="宋体"/>
          <w:color w:val="000000" w:themeColor="text1"/>
          <w:sz w:val="24"/>
          <w:highlight w:val="none"/>
          <w14:textFill>
            <w14:solidFill>
              <w14:schemeClr w14:val="tx1"/>
            </w14:solidFill>
          </w14:textFill>
        </w:rPr>
        <w:t>或根据采购人的委托，直接确定成交人。</w:t>
      </w:r>
    </w:p>
    <w:p w14:paraId="3613AC06">
      <w:pPr>
        <w:pageBreakBefore w:val="0"/>
        <w:tabs>
          <w:tab w:val="left" w:pos="900"/>
        </w:tabs>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287" w:name="_Toc520356173"/>
      <w:bookmarkStart w:id="288" w:name="_Ref467306874"/>
      <w:bookmarkStart w:id="289" w:name="_Toc7729"/>
      <w:bookmarkStart w:id="290" w:name="_Toc515647790"/>
      <w:bookmarkStart w:id="291" w:name="_Toc28562"/>
      <w:bookmarkStart w:id="292" w:name="_Toc8389"/>
      <w:bookmarkStart w:id="293" w:name="_Toc3345"/>
      <w:r>
        <w:rPr>
          <w:rFonts w:hint="eastAsia" w:ascii="宋体" w:hAnsi="宋体" w:eastAsia="宋体" w:cs="宋体"/>
          <w:color w:val="000000" w:themeColor="text1"/>
          <w:sz w:val="24"/>
          <w:szCs w:val="32"/>
          <w:highlight w:val="none"/>
          <w:u w:val="none"/>
          <w14:textFill>
            <w14:solidFill>
              <w14:schemeClr w14:val="tx1"/>
            </w14:solidFill>
          </w14:textFill>
        </w:rPr>
        <w:t>28.</w:t>
      </w:r>
      <w:bookmarkEnd w:id="287"/>
      <w:bookmarkEnd w:id="288"/>
      <w:r>
        <w:rPr>
          <w:rFonts w:hint="eastAsia" w:ascii="宋体" w:hAnsi="宋体" w:eastAsia="宋体" w:cs="宋体"/>
          <w:color w:val="000000" w:themeColor="text1"/>
          <w:sz w:val="24"/>
          <w:szCs w:val="32"/>
          <w:highlight w:val="none"/>
          <w:u w:val="none"/>
          <w14:textFill>
            <w14:solidFill>
              <w14:schemeClr w14:val="tx1"/>
            </w14:solidFill>
          </w14:textFill>
        </w:rPr>
        <w:t>采购任务取消</w:t>
      </w:r>
      <w:bookmarkEnd w:id="289"/>
      <w:bookmarkEnd w:id="290"/>
      <w:bookmarkEnd w:id="291"/>
      <w:bookmarkEnd w:id="292"/>
      <w:bookmarkEnd w:id="293"/>
    </w:p>
    <w:p w14:paraId="44A0379D">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因重大变故采购任务取消时，采购人有权拒绝任何供应商成交，且对受影响的供应商不承担任何责任。</w:t>
      </w:r>
      <w:bookmarkStart w:id="294" w:name="_Toc520356174"/>
    </w:p>
    <w:p w14:paraId="4675FB20">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lang w:eastAsia="zh-CN"/>
          <w14:textFill>
            <w14:solidFill>
              <w14:schemeClr w14:val="tx1"/>
            </w14:solidFill>
          </w14:textFill>
        </w:rPr>
      </w:pPr>
      <w:bookmarkStart w:id="295" w:name="_Toc31099"/>
      <w:bookmarkStart w:id="296" w:name="_Toc30170"/>
      <w:bookmarkStart w:id="297" w:name="_Toc15270"/>
      <w:bookmarkStart w:id="298" w:name="_Toc515647791"/>
      <w:bookmarkStart w:id="299" w:name="_Toc19201"/>
      <w:r>
        <w:rPr>
          <w:rFonts w:hint="eastAsia" w:ascii="宋体" w:hAnsi="宋体" w:eastAsia="宋体" w:cs="宋体"/>
          <w:color w:val="000000" w:themeColor="text1"/>
          <w:sz w:val="24"/>
          <w:szCs w:val="32"/>
          <w:highlight w:val="none"/>
          <w:u w:val="none"/>
          <w14:textFill>
            <w14:solidFill>
              <w14:schemeClr w14:val="tx1"/>
            </w14:solidFill>
          </w14:textFill>
        </w:rPr>
        <w:t>29.</w:t>
      </w:r>
      <w:bookmarkEnd w:id="294"/>
      <w:r>
        <w:rPr>
          <w:rFonts w:hint="eastAsia" w:ascii="宋体" w:hAnsi="宋体" w:eastAsia="宋体" w:cs="宋体"/>
          <w:color w:val="000000" w:themeColor="text1"/>
          <w:sz w:val="24"/>
          <w:szCs w:val="32"/>
          <w:highlight w:val="none"/>
          <w:u w:val="none"/>
          <w14:textFill>
            <w14:solidFill>
              <w14:schemeClr w14:val="tx1"/>
            </w14:solidFill>
          </w14:textFill>
        </w:rPr>
        <w:t>成交通知书和</w:t>
      </w:r>
      <w:bookmarkEnd w:id="295"/>
      <w:bookmarkEnd w:id="296"/>
      <w:bookmarkEnd w:id="297"/>
      <w:bookmarkEnd w:id="298"/>
      <w:bookmarkEnd w:id="299"/>
      <w:r>
        <w:rPr>
          <w:rFonts w:hint="eastAsia" w:ascii="宋体" w:hAnsi="宋体" w:cs="宋体"/>
          <w:color w:val="000000" w:themeColor="text1"/>
          <w:sz w:val="24"/>
          <w:szCs w:val="32"/>
          <w:highlight w:val="none"/>
          <w:u w:val="none"/>
          <w:lang w:eastAsia="zh-CN"/>
          <w14:textFill>
            <w14:solidFill>
              <w14:schemeClr w14:val="tx1"/>
            </w14:solidFill>
          </w14:textFill>
        </w:rPr>
        <w:t>成交结果通知书</w:t>
      </w:r>
    </w:p>
    <w:p w14:paraId="7072BD6B">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在磋商有效期内，成交人确定后，采购人或者采购代理机构发布成交公告，同时以书面形式向成交人发出成交通知书。</w:t>
      </w:r>
    </w:p>
    <w:p w14:paraId="347B8F33">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成交通知书是合同的组成部分。</w:t>
      </w:r>
    </w:p>
    <w:p w14:paraId="11AF0940">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29.3    </w:t>
      </w:r>
      <w:r>
        <w:rPr>
          <w:rFonts w:hint="eastAsia" w:ascii="宋体" w:hAnsi="宋体" w:cs="宋体"/>
          <w:color w:val="000000" w:themeColor="text1"/>
          <w:sz w:val="24"/>
          <w:highlight w:val="none"/>
          <w:lang w:eastAsia="zh-CN"/>
          <w14:textFill>
            <w14:solidFill>
              <w14:schemeClr w14:val="tx1"/>
            </w14:solidFill>
          </w14:textFill>
        </w:rPr>
        <w:t>成交结果通知书</w:t>
      </w:r>
      <w:r>
        <w:rPr>
          <w:rFonts w:hint="eastAsia" w:ascii="宋体" w:hAnsi="宋体" w:eastAsia="宋体" w:cs="宋体"/>
          <w:color w:val="000000" w:themeColor="text1"/>
          <w:sz w:val="24"/>
          <w:highlight w:val="none"/>
          <w14:textFill>
            <w14:solidFill>
              <w14:schemeClr w14:val="tx1"/>
            </w14:solidFill>
          </w14:textFill>
        </w:rPr>
        <w:t>和成交通知书同时发出。</w:t>
      </w:r>
      <w:r>
        <w:rPr>
          <w:rFonts w:hint="eastAsia" w:ascii="宋体" w:hAnsi="宋体" w:cs="宋体"/>
          <w:color w:val="000000" w:themeColor="text1"/>
          <w:sz w:val="24"/>
          <w:highlight w:val="none"/>
          <w:lang w:eastAsia="zh-CN"/>
          <w14:textFill>
            <w14:solidFill>
              <w14:schemeClr w14:val="tx1"/>
            </w14:solidFill>
          </w14:textFill>
        </w:rPr>
        <w:t>成交结果通知书</w:t>
      </w:r>
      <w:r>
        <w:rPr>
          <w:rFonts w:hint="eastAsia" w:ascii="宋体" w:hAnsi="宋体" w:eastAsia="宋体" w:cs="宋体"/>
          <w:color w:val="000000" w:themeColor="text1"/>
          <w:sz w:val="24"/>
          <w:highlight w:val="none"/>
          <w14:textFill>
            <w14:solidFill>
              <w14:schemeClr w14:val="tx1"/>
            </w14:solidFill>
          </w14:textFill>
        </w:rPr>
        <w:t>中将告知未通过资格审查的供应商未通过的原因；采用综合评分法评审的，还将告知未成交人本人的评审得分和排序。</w:t>
      </w:r>
    </w:p>
    <w:p w14:paraId="1A8FFF21">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300" w:name="_Toc520356175"/>
      <w:bookmarkStart w:id="301" w:name="_Toc12744"/>
      <w:bookmarkStart w:id="302" w:name="_Toc15063"/>
      <w:bookmarkStart w:id="303" w:name="_Toc515647792"/>
      <w:bookmarkStart w:id="304" w:name="_Ref467306377"/>
      <w:bookmarkStart w:id="305" w:name="_Ref467306978"/>
      <w:bookmarkStart w:id="306" w:name="_Ref467307204"/>
      <w:bookmarkStart w:id="307" w:name="_Toc790"/>
      <w:bookmarkStart w:id="308" w:name="_Ref467307062"/>
      <w:bookmarkStart w:id="309" w:name="_Toc7779"/>
      <w:r>
        <w:rPr>
          <w:rFonts w:hint="eastAsia" w:ascii="宋体" w:hAnsi="宋体" w:eastAsia="宋体" w:cs="宋体"/>
          <w:color w:val="000000" w:themeColor="text1"/>
          <w:sz w:val="24"/>
          <w:szCs w:val="32"/>
          <w:highlight w:val="none"/>
          <w:u w:val="none"/>
          <w14:textFill>
            <w14:solidFill>
              <w14:schemeClr w14:val="tx1"/>
            </w14:solidFill>
          </w14:textFill>
        </w:rPr>
        <w:t>30.签订合同</w:t>
      </w:r>
      <w:bookmarkEnd w:id="300"/>
      <w:bookmarkEnd w:id="301"/>
      <w:bookmarkEnd w:id="302"/>
      <w:bookmarkEnd w:id="303"/>
      <w:bookmarkEnd w:id="304"/>
      <w:bookmarkEnd w:id="305"/>
      <w:bookmarkEnd w:id="306"/>
      <w:bookmarkEnd w:id="307"/>
      <w:bookmarkEnd w:id="308"/>
      <w:bookmarkEnd w:id="309"/>
    </w:p>
    <w:p w14:paraId="2DF23E83">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30.1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成交人应当自发出成交通知书之日起30日内，与采购人签订合同。</w:t>
      </w:r>
    </w:p>
    <w:p w14:paraId="39B5C1D2">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30.2</w:t>
      </w:r>
      <w:r>
        <w:rPr>
          <w:rFonts w:hint="eastAsia" w:ascii="宋体" w:hAnsi="宋体" w:eastAsia="宋体" w:cs="宋体"/>
          <w:color w:val="000000" w:themeColor="text1"/>
          <w:sz w:val="24"/>
          <w:highlight w:val="none"/>
          <w14:textFill>
            <w14:solidFill>
              <w14:schemeClr w14:val="tx1"/>
            </w14:solidFill>
          </w14:textFill>
        </w:rPr>
        <w:tab/>
      </w:r>
      <w:bookmarkStart w:id="310" w:name="_Ref467307090"/>
      <w:bookmarkStart w:id="311" w:name="_Ref467306425"/>
      <w:bookmarkStart w:id="312" w:name="_Toc520356176"/>
      <w:r>
        <w:rPr>
          <w:rFonts w:hint="eastAsia" w:ascii="宋体" w:hAnsi="宋体" w:eastAsia="宋体" w:cs="宋体"/>
          <w:color w:val="000000" w:themeColor="text1"/>
          <w:sz w:val="24"/>
          <w:highlight w:val="none"/>
          <w14:textFill>
            <w14:solidFill>
              <w14:schemeClr w14:val="tx1"/>
            </w14:solidFill>
          </w14:textFill>
        </w:rPr>
        <w:t>磋商文件、成交人的响应文件及其澄清文件等，均为签订合同的依据。</w:t>
      </w:r>
    </w:p>
    <w:p w14:paraId="29164DD4">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30.3   成交人拒绝与采购人签订合同的，采购人可以按照评审报告推荐的成交</w:t>
      </w:r>
    </w:p>
    <w:p w14:paraId="3DBFB448">
      <w:pPr>
        <w:pageBreakBefore w:val="0"/>
        <w:kinsoku/>
        <w:wordWrap/>
        <w:overflowPunct/>
        <w:topLinePunct w:val="0"/>
        <w:bidi w:val="0"/>
        <w:snapToGrid/>
        <w:spacing w:line="400" w:lineRule="exact"/>
        <w:ind w:left="958" w:leftChars="456" w:firstLine="60" w:firstLineChars="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候选人名单排序，确定下一成交候选人为成交人，也可以重新开展政府采购活动。</w:t>
      </w:r>
    </w:p>
    <w:p w14:paraId="2B86BC05">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30.4   当出现法规规定的</w:t>
      </w:r>
      <w:r>
        <w:rPr>
          <w:rFonts w:hint="eastAsia" w:ascii="宋体" w:hAnsi="宋体" w:eastAsia="宋体" w:cs="宋体"/>
          <w:b/>
          <w:color w:val="000000" w:themeColor="text1"/>
          <w:sz w:val="24"/>
          <w:highlight w:val="none"/>
          <w14:textFill>
            <w14:solidFill>
              <w14:schemeClr w14:val="tx1"/>
            </w14:solidFill>
          </w14:textFill>
        </w:rPr>
        <w:t>成交无效或成交结果无效</w:t>
      </w:r>
      <w:r>
        <w:rPr>
          <w:rFonts w:hint="eastAsia" w:ascii="宋体" w:hAnsi="宋体" w:eastAsia="宋体" w:cs="宋体"/>
          <w:color w:val="000000" w:themeColor="text1"/>
          <w:sz w:val="24"/>
          <w:highlight w:val="none"/>
          <w14:textFill>
            <w14:solidFill>
              <w14:schemeClr w14:val="tx1"/>
            </w14:solidFill>
          </w14:textFill>
        </w:rPr>
        <w:t>情形时，采购人可与排名下一位的成交候选人另行签订合同，或依法重新开展采购活动。</w:t>
      </w:r>
    </w:p>
    <w:p w14:paraId="12B9B102">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313" w:name="_Toc23643"/>
      <w:bookmarkStart w:id="314" w:name="_Toc515647793"/>
      <w:bookmarkStart w:id="315" w:name="_Toc6921"/>
      <w:bookmarkStart w:id="316" w:name="_Toc14080"/>
      <w:bookmarkStart w:id="317" w:name="_Toc22555"/>
      <w:r>
        <w:rPr>
          <w:rFonts w:hint="eastAsia" w:ascii="宋体" w:hAnsi="宋体" w:eastAsia="宋体" w:cs="宋体"/>
          <w:color w:val="000000" w:themeColor="text1"/>
          <w:sz w:val="24"/>
          <w:szCs w:val="32"/>
          <w:highlight w:val="none"/>
          <w:u w:val="none"/>
          <w14:textFill>
            <w14:solidFill>
              <w14:schemeClr w14:val="tx1"/>
            </w14:solidFill>
          </w14:textFill>
        </w:rPr>
        <w:t>31.履约保证金</w:t>
      </w:r>
      <w:bookmarkEnd w:id="310"/>
      <w:bookmarkEnd w:id="311"/>
      <w:bookmarkEnd w:id="312"/>
      <w:bookmarkEnd w:id="313"/>
      <w:bookmarkEnd w:id="314"/>
      <w:bookmarkEnd w:id="315"/>
      <w:bookmarkEnd w:id="316"/>
      <w:bookmarkEnd w:id="317"/>
    </w:p>
    <w:p w14:paraId="3C33EE5B">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31.1</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成交人应按照</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规定向采购人缴纳履约保证金（如采用保函形式，格式见本章附件1）。</w:t>
      </w:r>
    </w:p>
    <w:p w14:paraId="26211015">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31.2</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政府采购利用担保试点范围内的项目，除31.1规定的情形外，成交人也可以按照财政部门的规定，向采购人提供合格的履约担保函（格式见本章附件2）。</w:t>
      </w:r>
    </w:p>
    <w:p w14:paraId="4F7FC997">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31.3   如果成交人没有按照上述履约保证金的规定执行，将视为放弃成交资格，成交人的磋商保证金将不予退还。在此情况下，采购人可确定下一候选人为成交人，也可以重新开展采购活动。</w:t>
      </w:r>
    </w:p>
    <w:p w14:paraId="6E5DA524">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318" w:name="_Toc3090"/>
      <w:bookmarkStart w:id="319" w:name="_Toc15839"/>
      <w:bookmarkStart w:id="320" w:name="_Toc29652"/>
      <w:bookmarkStart w:id="321" w:name="_Toc515647794"/>
      <w:bookmarkStart w:id="322" w:name="_Toc29408"/>
      <w:r>
        <w:rPr>
          <w:rFonts w:hint="eastAsia" w:ascii="宋体" w:hAnsi="宋体" w:eastAsia="宋体" w:cs="宋体"/>
          <w:color w:val="000000" w:themeColor="text1"/>
          <w:sz w:val="24"/>
          <w:szCs w:val="32"/>
          <w:highlight w:val="none"/>
          <w:u w:val="none"/>
          <w14:textFill>
            <w14:solidFill>
              <w14:schemeClr w14:val="tx1"/>
            </w14:solidFill>
          </w14:textFill>
        </w:rPr>
        <w:t>32.成交服务费</w:t>
      </w:r>
      <w:bookmarkEnd w:id="318"/>
      <w:bookmarkEnd w:id="319"/>
      <w:bookmarkEnd w:id="320"/>
      <w:bookmarkEnd w:id="321"/>
      <w:bookmarkEnd w:id="322"/>
    </w:p>
    <w:p w14:paraId="5452A85A">
      <w:pPr>
        <w:pageBreakBefore w:val="0"/>
        <w:kinsoku/>
        <w:wordWrap/>
        <w:overflowPunct/>
        <w:topLinePunct w:val="0"/>
        <w:bidi w:val="0"/>
        <w:snapToGrid/>
        <w:spacing w:line="400" w:lineRule="exact"/>
        <w:ind w:left="840" w:leftChars="200" w:hanging="420" w:hangingChars="1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成交人须按照</w:t>
      </w:r>
      <w:r>
        <w:rPr>
          <w:rFonts w:hint="eastAsia" w:ascii="宋体" w:hAnsi="宋体" w:eastAsia="宋体" w:cs="宋体"/>
          <w:color w:val="000000" w:themeColor="text1"/>
          <w:sz w:val="24"/>
          <w:highlight w:val="none"/>
          <w:u w:val="single"/>
          <w14:textFill>
            <w14:solidFill>
              <w14:schemeClr w14:val="tx1"/>
            </w14:solidFill>
          </w14:textFill>
        </w:rPr>
        <w:t>磋商须知资料表</w:t>
      </w:r>
      <w:r>
        <w:rPr>
          <w:rFonts w:hint="eastAsia" w:ascii="宋体" w:hAnsi="宋体" w:eastAsia="宋体" w:cs="宋体"/>
          <w:color w:val="000000" w:themeColor="text1"/>
          <w:sz w:val="24"/>
          <w:highlight w:val="none"/>
          <w14:textFill>
            <w14:solidFill>
              <w14:schemeClr w14:val="tx1"/>
            </w14:solidFill>
          </w14:textFill>
        </w:rPr>
        <w:t>规定，向采购代理机构支付成交服务费。</w:t>
      </w:r>
    </w:p>
    <w:p w14:paraId="64C2013F">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323" w:name="_Toc7049"/>
      <w:bookmarkStart w:id="324" w:name="_Toc15312"/>
      <w:bookmarkStart w:id="325" w:name="_Toc1343"/>
      <w:bookmarkStart w:id="326" w:name="_Toc6923"/>
      <w:bookmarkStart w:id="327" w:name="_Toc515647795"/>
      <w:r>
        <w:rPr>
          <w:rFonts w:hint="eastAsia" w:ascii="宋体" w:hAnsi="宋体" w:eastAsia="宋体" w:cs="宋体"/>
          <w:color w:val="000000" w:themeColor="text1"/>
          <w:sz w:val="24"/>
          <w:szCs w:val="32"/>
          <w:highlight w:val="none"/>
          <w:u w:val="none"/>
          <w14:textFill>
            <w14:solidFill>
              <w14:schemeClr w14:val="tx1"/>
            </w14:solidFill>
          </w14:textFill>
        </w:rPr>
        <w:t>33.政府采购信用担保</w:t>
      </w:r>
      <w:bookmarkEnd w:id="323"/>
      <w:bookmarkEnd w:id="324"/>
      <w:bookmarkEnd w:id="325"/>
      <w:bookmarkEnd w:id="326"/>
      <w:bookmarkEnd w:id="327"/>
    </w:p>
    <w:p w14:paraId="51C7AC15">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33.1   本项目是否属于信用担保试点范围见</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w:t>
      </w:r>
    </w:p>
    <w:p w14:paraId="40971DDB">
      <w:pPr>
        <w:pageBreakBefore w:val="0"/>
        <w:kinsoku/>
        <w:wordWrap/>
        <w:overflowPunct/>
        <w:topLinePunct w:val="0"/>
        <w:bidi w:val="0"/>
        <w:snapToGrid/>
        <w:spacing w:line="400" w:lineRule="exact"/>
        <w:ind w:left="850" w:hanging="849" w:hangingChars="354"/>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33.2   如属于政府采购信用担保试点范围内，中小型企业供应商可以自由按照财政部门的规定，采用磋商担保、履约担保和融资担保。</w:t>
      </w:r>
    </w:p>
    <w:p w14:paraId="1F12A841">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33.2.1 供应商递交的磋商担保函和履约担保函应符合本磋商文件的规定。</w:t>
      </w:r>
    </w:p>
    <w:p w14:paraId="1851ECAC">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33.2.2 成交人可以采取融资担保的形式为政府采购项目履约进行融资。</w:t>
      </w:r>
    </w:p>
    <w:p w14:paraId="77E6E045">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33.2.3 合格的政府采购专业信用担保机构名单见</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w:t>
      </w:r>
    </w:p>
    <w:p w14:paraId="708BC773">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328" w:name="_Toc18423"/>
      <w:bookmarkStart w:id="329" w:name="_Toc2133"/>
      <w:bookmarkStart w:id="330" w:name="_Toc23999"/>
      <w:bookmarkStart w:id="331" w:name="_Toc9673"/>
      <w:bookmarkStart w:id="332" w:name="_Toc515647796"/>
      <w:r>
        <w:rPr>
          <w:rFonts w:hint="eastAsia" w:ascii="宋体" w:hAnsi="宋体" w:eastAsia="宋体" w:cs="宋体"/>
          <w:color w:val="000000" w:themeColor="text1"/>
          <w:sz w:val="24"/>
          <w:szCs w:val="32"/>
          <w:highlight w:val="none"/>
          <w:u w:val="none"/>
          <w14:textFill>
            <w14:solidFill>
              <w14:schemeClr w14:val="tx1"/>
            </w14:solidFill>
          </w14:textFill>
        </w:rPr>
        <w:t>34.廉洁自律规定</w:t>
      </w:r>
      <w:bookmarkEnd w:id="328"/>
      <w:bookmarkEnd w:id="329"/>
      <w:bookmarkEnd w:id="330"/>
      <w:bookmarkEnd w:id="331"/>
      <w:bookmarkEnd w:id="332"/>
    </w:p>
    <w:p w14:paraId="78298339">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34.1   采购代理机构工作人员不得以不正当手段获取政府采购代理业务，不得与采购人、供应商恶意串通操纵政府采购活动。</w:t>
      </w:r>
    </w:p>
    <w:p w14:paraId="32776DB1">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34.2   采购代理机构工作人员不得接受采购人或者供应商组织的宴请、旅游、娱乐，不得收受礼品、现金、有价证券等，不得向采购人或者供应商报销应当由个人承担的费用。</w:t>
      </w:r>
    </w:p>
    <w:p w14:paraId="4C43807F">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34.3   为强化采购代理机构内部监督机制，供应商可按</w:t>
      </w:r>
      <w:r>
        <w:rPr>
          <w:rFonts w:hint="eastAsia" w:ascii="宋体" w:hAnsi="宋体" w:eastAsia="宋体" w:cs="宋体"/>
          <w:color w:val="000000" w:themeColor="text1"/>
          <w:sz w:val="24"/>
          <w:highlight w:val="none"/>
          <w:u w:val="single"/>
          <w14:textFill>
            <w14:solidFill>
              <w14:schemeClr w14:val="tx1"/>
            </w14:solidFill>
          </w14:textFill>
        </w:rPr>
        <w:t>供应商须知资料表中的</w:t>
      </w:r>
      <w:r>
        <w:rPr>
          <w:rFonts w:hint="eastAsia" w:ascii="宋体" w:hAnsi="宋体" w:eastAsia="宋体" w:cs="宋体"/>
          <w:color w:val="000000" w:themeColor="text1"/>
          <w:sz w:val="24"/>
          <w:highlight w:val="none"/>
          <w14:textFill>
            <w14:solidFill>
              <w14:schemeClr w14:val="tx1"/>
            </w14:solidFill>
          </w14:textFill>
        </w:rPr>
        <w:t>监督电话和邮箱，反映采购代理机构的廉洁自律等问题。</w:t>
      </w:r>
    </w:p>
    <w:p w14:paraId="1EA6D868">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333" w:name="_Toc2371"/>
      <w:bookmarkStart w:id="334" w:name="_Toc3386"/>
      <w:bookmarkStart w:id="335" w:name="_Toc515647797"/>
      <w:bookmarkStart w:id="336" w:name="_Toc25480"/>
      <w:bookmarkStart w:id="337" w:name="_Toc11586"/>
      <w:r>
        <w:rPr>
          <w:rFonts w:hint="eastAsia" w:ascii="宋体" w:hAnsi="宋体" w:eastAsia="宋体" w:cs="宋体"/>
          <w:color w:val="000000" w:themeColor="text1"/>
          <w:sz w:val="24"/>
          <w:szCs w:val="32"/>
          <w:highlight w:val="none"/>
          <w:u w:val="none"/>
          <w14:textFill>
            <w14:solidFill>
              <w14:schemeClr w14:val="tx1"/>
            </w14:solidFill>
          </w14:textFill>
        </w:rPr>
        <w:t>35.人员回避</w:t>
      </w:r>
      <w:bookmarkEnd w:id="333"/>
      <w:bookmarkEnd w:id="334"/>
      <w:bookmarkEnd w:id="335"/>
      <w:bookmarkEnd w:id="336"/>
      <w:bookmarkEnd w:id="337"/>
    </w:p>
    <w:p w14:paraId="6C56B474">
      <w:pPr>
        <w:pageBreakBefore w:val="0"/>
        <w:kinsoku/>
        <w:wordWrap/>
        <w:overflowPunct/>
        <w:topLinePunct w:val="0"/>
        <w:bidi w:val="0"/>
        <w:snapToGrid/>
        <w:spacing w:line="400" w:lineRule="exact"/>
        <w:ind w:left="900" w:hanging="900" w:hangingChars="37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供应商认为采购人员及其相关人员有法律法规所列与其他供应商有利害关系的，可以向采购人或采购代理机构书面提出回避申请，并说明理由。</w:t>
      </w:r>
    </w:p>
    <w:p w14:paraId="0EAD4127">
      <w:pPr>
        <w:pageBreakBefore w:val="0"/>
        <w:kinsoku/>
        <w:wordWrap/>
        <w:overflowPunct/>
        <w:topLinePunct w:val="0"/>
        <w:bidi w:val="0"/>
        <w:snapToGrid/>
        <w:spacing w:before="0" w:after="0" w:line="400" w:lineRule="exact"/>
        <w:textAlignment w:val="auto"/>
        <w:rPr>
          <w:rFonts w:hint="eastAsia" w:ascii="宋体" w:hAnsi="宋体" w:eastAsia="宋体" w:cs="宋体"/>
          <w:color w:val="000000" w:themeColor="text1"/>
          <w:sz w:val="24"/>
          <w:szCs w:val="32"/>
          <w:highlight w:val="none"/>
          <w:u w:val="none"/>
          <w14:textFill>
            <w14:solidFill>
              <w14:schemeClr w14:val="tx1"/>
            </w14:solidFill>
          </w14:textFill>
        </w:rPr>
      </w:pPr>
      <w:bookmarkStart w:id="338" w:name="_Toc25962"/>
      <w:bookmarkStart w:id="339" w:name="_Toc27914"/>
      <w:bookmarkStart w:id="340" w:name="_Toc515647798"/>
      <w:bookmarkStart w:id="341" w:name="_Toc1148"/>
      <w:bookmarkStart w:id="342" w:name="_Toc11115"/>
      <w:r>
        <w:rPr>
          <w:rFonts w:hint="eastAsia" w:ascii="宋体" w:hAnsi="宋体" w:eastAsia="宋体" w:cs="宋体"/>
          <w:color w:val="000000" w:themeColor="text1"/>
          <w:sz w:val="24"/>
          <w:szCs w:val="32"/>
          <w:highlight w:val="none"/>
          <w:u w:val="none"/>
          <w14:textFill>
            <w14:solidFill>
              <w14:schemeClr w14:val="tx1"/>
            </w14:solidFill>
          </w14:textFill>
        </w:rPr>
        <w:t>36.质疑与接收</w:t>
      </w:r>
      <w:bookmarkEnd w:id="338"/>
      <w:bookmarkEnd w:id="339"/>
      <w:bookmarkEnd w:id="340"/>
      <w:bookmarkEnd w:id="341"/>
      <w:bookmarkEnd w:id="342"/>
    </w:p>
    <w:p w14:paraId="5B389E9E">
      <w:pPr>
        <w:pageBreakBefore w:val="0"/>
        <w:kinsoku/>
        <w:wordWrap/>
        <w:overflowPunct/>
        <w:topLinePunct w:val="0"/>
        <w:bidi w:val="0"/>
        <w:snapToGrid/>
        <w:spacing w:line="400" w:lineRule="exact"/>
        <w:ind w:left="851" w:leftChars="68" w:hanging="708" w:hangingChars="29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36.1  供应商认为磋商文件、</w:t>
      </w:r>
      <w:r>
        <w:rPr>
          <w:rFonts w:hint="eastAsia" w:ascii="宋体" w:hAnsi="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1F9C2368">
      <w:pPr>
        <w:pageBreakBefore w:val="0"/>
        <w:kinsoku/>
        <w:wordWrap/>
        <w:overflowPunct/>
        <w:topLinePunct w:val="0"/>
        <w:bidi w:val="0"/>
        <w:snapToGrid/>
        <w:spacing w:line="400" w:lineRule="exact"/>
        <w:ind w:left="851" w:leftChars="68" w:hanging="708" w:hangingChars="29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55C3C140">
      <w:pPr>
        <w:pageBreakBefore w:val="0"/>
        <w:kinsoku/>
        <w:wordWrap/>
        <w:overflowPunct/>
        <w:topLinePunct w:val="0"/>
        <w:bidi w:val="0"/>
        <w:snapToGrid/>
        <w:spacing w:line="400" w:lineRule="exact"/>
        <w:ind w:left="851" w:leftChars="405" w:hanging="1"/>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超出法定质疑期的、重复提出的、分次提出的或内容、形式不符合《政府采购质疑和投诉办法》的，质疑供应商将依法承担不利后果。</w:t>
      </w:r>
    </w:p>
    <w:p w14:paraId="4C23CA2D">
      <w:pPr>
        <w:pageBreakBefore w:val="0"/>
        <w:kinsoku/>
        <w:wordWrap/>
        <w:overflowPunct/>
        <w:topLinePunct w:val="0"/>
        <w:bidi w:val="0"/>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36.3  采购代理机构质疑函接收部门、联系电话和通讯地址, 见</w:t>
      </w:r>
      <w:r>
        <w:rPr>
          <w:rFonts w:hint="eastAsia" w:ascii="宋体" w:hAnsi="宋体" w:eastAsia="宋体" w:cs="宋体"/>
          <w:color w:val="000000" w:themeColor="text1"/>
          <w:sz w:val="24"/>
          <w:highlight w:val="none"/>
          <w:u w:val="single"/>
          <w14:textFill>
            <w14:solidFill>
              <w14:schemeClr w14:val="tx1"/>
            </w14:solidFill>
          </w14:textFill>
        </w:rPr>
        <w:t>供应商须知资料表。</w:t>
      </w:r>
    </w:p>
    <w:p w14:paraId="1AE4E5B7">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 xml:space="preserve">  质疑的提出</w:t>
      </w:r>
    </w:p>
    <w:p w14:paraId="490D9C81">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w:t>
      </w:r>
      <w:r>
        <w:rPr>
          <w:rFonts w:hint="eastAsia" w:ascii="宋体" w:hAnsi="宋体" w:eastAsia="宋体" w:cs="宋体"/>
          <w:color w:val="000000" w:themeColor="text1"/>
          <w:sz w:val="24"/>
          <w:highlight w:val="none"/>
          <w14:textFill>
            <w14:solidFill>
              <w14:schemeClr w14:val="tx1"/>
            </w14:solidFill>
          </w14:textFill>
        </w:rPr>
        <w:t xml:space="preserve">  本采购文件中所称质疑及答复，是指参加本次采购活动的供应商对政府采购活动中的采购文件、采购过程和成交结果向采购方提出质疑，采购方答复质疑的行为。</w:t>
      </w:r>
    </w:p>
    <w:p w14:paraId="761F26F2">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7.2</w:t>
      </w:r>
      <w:r>
        <w:rPr>
          <w:rFonts w:hint="eastAsia" w:ascii="宋体" w:hAnsi="宋体" w:eastAsia="宋体" w:cs="宋体"/>
          <w:color w:val="000000" w:themeColor="text1"/>
          <w:sz w:val="24"/>
          <w:highlight w:val="none"/>
          <w14:textFill>
            <w14:solidFill>
              <w14:schemeClr w14:val="tx1"/>
            </w14:solidFill>
          </w14:textFill>
        </w:rPr>
        <w:t xml:space="preserve">  供应商认为采购文件、采购过程和成交结果使自己的权益受到损害的，可以在知道或者应知其权益受到损害之日起7个工作日内，以书面形式向采购方提出质疑。供应商应知其权益受到损害之日，是指：</w:t>
      </w:r>
    </w:p>
    <w:p w14:paraId="48B3E1A1">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（一）对可以质疑的采购文件提出质疑的，为收到采购文件之日或者采购文件公告期限届满之日；</w:t>
      </w:r>
    </w:p>
    <w:p w14:paraId="55879627">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（二）对采购过程提出质疑的，为各采购程序环节结束之日；</w:t>
      </w:r>
    </w:p>
    <w:p w14:paraId="44BB2DCD">
      <w:pPr>
        <w:pageBreakBefore w:val="0"/>
        <w:kinsoku/>
        <w:wordWrap/>
        <w:overflowPunct/>
        <w:topLinePunct w:val="0"/>
        <w:bidi w:val="0"/>
        <w:snapToGrid/>
        <w:spacing w:line="400" w:lineRule="exact"/>
        <w:ind w:firstLine="720" w:firstLineChars="3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（三）对成交结果提出质疑的，为成交结果公告期限届满之日。</w:t>
      </w:r>
    </w:p>
    <w:p w14:paraId="5E9ACF35">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37</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对可以质疑的采购文件提出质疑的，质疑人为参与本项目的报价方或潜在报价方。可质疑的文件为采购公告以及采购文件（包括属于其组成部分的澄清、修改、补充文件和评审标准、合同文本等）。</w:t>
      </w:r>
    </w:p>
    <w:p w14:paraId="7B9B2F8C">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37.4</w:t>
      </w:r>
      <w:r>
        <w:rPr>
          <w:rFonts w:hint="eastAsia" w:ascii="宋体" w:hAnsi="宋体" w:eastAsia="宋体" w:cs="宋体"/>
          <w:color w:val="000000" w:themeColor="text1"/>
          <w:sz w:val="24"/>
          <w:highlight w:val="none"/>
          <w14:textFill>
            <w14:solidFill>
              <w14:schemeClr w14:val="tx1"/>
            </w14:solidFill>
          </w14:textFill>
        </w:rPr>
        <w:t xml:space="preserve">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3D4FDFE8">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7.5</w:t>
      </w:r>
      <w:r>
        <w:rPr>
          <w:rFonts w:hint="eastAsia" w:ascii="宋体" w:hAnsi="宋体" w:eastAsia="宋体" w:cs="宋体"/>
          <w:color w:val="000000" w:themeColor="text1"/>
          <w:sz w:val="24"/>
          <w:highlight w:val="none"/>
          <w14:textFill>
            <w14:solidFill>
              <w14:schemeClr w14:val="tx1"/>
            </w14:solidFill>
          </w14:textFill>
        </w:rPr>
        <w:t xml:space="preserve">  提出质疑应当符合下列条件：</w:t>
      </w:r>
    </w:p>
    <w:p w14:paraId="0F3B9F69">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（一）质疑主体应当符合有关规定；</w:t>
      </w:r>
    </w:p>
    <w:p w14:paraId="010FEB2A">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（二）在质疑法定期限内提出；</w:t>
      </w:r>
    </w:p>
    <w:p w14:paraId="23C1AE33">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（三）属于可以提出质疑的政府采购事项受理范围和本项目采购人的管辖权范围；</w:t>
      </w:r>
    </w:p>
    <w:p w14:paraId="06F65E67">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（四）政府采购法律、法规、规章规定的其他条件。</w:t>
      </w:r>
    </w:p>
    <w:p w14:paraId="30F1D747">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37.6</w:t>
      </w:r>
      <w:r>
        <w:rPr>
          <w:rFonts w:hint="eastAsia" w:ascii="宋体" w:hAnsi="宋体" w:eastAsia="宋体" w:cs="宋体"/>
          <w:color w:val="000000" w:themeColor="text1"/>
          <w:sz w:val="24"/>
          <w:highlight w:val="none"/>
          <w14:textFill>
            <w14:solidFill>
              <w14:schemeClr w14:val="tx1"/>
            </w14:solidFill>
          </w14:textFill>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64672AD">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7.7</w:t>
      </w:r>
      <w:r>
        <w:rPr>
          <w:rFonts w:hint="eastAsia" w:ascii="宋体" w:hAnsi="宋体" w:eastAsia="宋体" w:cs="宋体"/>
          <w:color w:val="000000" w:themeColor="text1"/>
          <w:sz w:val="24"/>
          <w:highlight w:val="none"/>
          <w14:textFill>
            <w14:solidFill>
              <w14:schemeClr w14:val="tx1"/>
            </w14:solidFill>
          </w14:textFill>
        </w:rPr>
        <w:t xml:space="preserve"> 质疑人所提供的证明材料应当具有真实性、合法性以及与质疑事项的关联性和证明力，否则不能作为认定该质疑事项成立的依据。</w:t>
      </w:r>
    </w:p>
    <w:p w14:paraId="0A4ED219">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7.8</w:t>
      </w:r>
      <w:r>
        <w:rPr>
          <w:rFonts w:hint="eastAsia" w:ascii="宋体" w:hAnsi="宋体" w:eastAsia="宋体" w:cs="宋体"/>
          <w:color w:val="000000" w:themeColor="text1"/>
          <w:sz w:val="24"/>
          <w:highlight w:val="none"/>
          <w14:textFill>
            <w14:solidFill>
              <w14:schemeClr w14:val="tx1"/>
            </w14:solidFill>
          </w14:textFill>
        </w:rPr>
        <w:t xml:space="preserve"> 质疑人提出质疑时应当提交质疑函。质疑函包括下列内容：</w:t>
      </w:r>
    </w:p>
    <w:p w14:paraId="1EB58B69">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（一）提出质疑的质疑人的名称、地址、邮编、联系人及联系电话等；</w:t>
      </w:r>
    </w:p>
    <w:p w14:paraId="18DE7988">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（二）质疑项目的名称、编号；</w:t>
      </w:r>
    </w:p>
    <w:p w14:paraId="2DCFD8A9">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（三）质疑事项；</w:t>
      </w:r>
    </w:p>
    <w:p w14:paraId="60C39A66">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（四）事实依据和证明材料；</w:t>
      </w:r>
    </w:p>
    <w:p w14:paraId="6C6E6D88">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（五）法律依据；</w:t>
      </w:r>
    </w:p>
    <w:p w14:paraId="77CAB26A">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（六）提出质疑的日期。</w:t>
      </w:r>
    </w:p>
    <w:p w14:paraId="6395B170">
      <w:pPr>
        <w:pageBreakBefore w:val="0"/>
        <w:kinsoku/>
        <w:wordWrap/>
        <w:overflowPunct/>
        <w:topLinePunct w:val="0"/>
        <w:bidi w:val="0"/>
        <w:snapToGrid/>
        <w:spacing w:line="400" w:lineRule="exact"/>
        <w:ind w:left="958" w:leftChars="456" w:firstLine="60" w:firstLineChars="2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质疑函采用实名制。质疑人为自然人的应当由本人签字，并附有效身份证明文件；质疑人为法人或者非法人组织的应当由法定代表人或者负责人签字并加盖公章，并附有效身份证明文件。</w:t>
      </w:r>
    </w:p>
    <w:p w14:paraId="6886F434">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7.9</w:t>
      </w:r>
      <w:r>
        <w:rPr>
          <w:rFonts w:hint="eastAsia" w:ascii="宋体" w:hAnsi="宋体" w:eastAsia="宋体" w:cs="宋体"/>
          <w:color w:val="000000" w:themeColor="text1"/>
          <w:sz w:val="24"/>
          <w:highlight w:val="none"/>
          <w14:textFill>
            <w14:solidFill>
              <w14:schemeClr w14:val="tx1"/>
            </w14:solidFill>
          </w14:textFill>
        </w:rPr>
        <w:t xml:space="preserve">  质疑人可以委托代理人进行质疑。代理人应当提交授权委托书。授权委托书应当载明委托代理的具体权限、期限和相关事项。</w:t>
      </w:r>
    </w:p>
    <w:p w14:paraId="2F8C2DA2">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37.10</w:t>
      </w:r>
      <w:r>
        <w:rPr>
          <w:rFonts w:hint="eastAsia" w:ascii="宋体" w:hAnsi="宋体" w:eastAsia="宋体" w:cs="宋体"/>
          <w:color w:val="000000" w:themeColor="text1"/>
          <w:sz w:val="24"/>
          <w:highlight w:val="none"/>
          <w14:textFill>
            <w14:solidFill>
              <w14:schemeClr w14:val="tx1"/>
            </w14:solidFill>
          </w14:textFill>
        </w:rPr>
        <w:t xml:space="preserve">  质疑的审查和受理</w:t>
      </w:r>
    </w:p>
    <w:p w14:paraId="1327CA96">
      <w:pPr>
        <w:pageBreakBefore w:val="0"/>
        <w:kinsoku/>
        <w:wordWrap/>
        <w:overflowPunct/>
        <w:topLinePunct w:val="0"/>
        <w:bidi w:val="0"/>
        <w:snapToGrid/>
        <w:spacing w:line="400" w:lineRule="exact"/>
        <w:ind w:left="840" w:leftChars="4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采购方在收到质疑函后应当及时审查是否符合质疑受理条件，对符合质疑受理条件的，及时予以受理。</w:t>
      </w:r>
    </w:p>
    <w:p w14:paraId="4197CE2D">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7.11</w:t>
      </w:r>
      <w:r>
        <w:rPr>
          <w:rFonts w:hint="eastAsia" w:ascii="宋体" w:hAnsi="宋体" w:eastAsia="宋体" w:cs="宋体"/>
          <w:color w:val="000000" w:themeColor="text1"/>
          <w:sz w:val="24"/>
          <w:highlight w:val="none"/>
          <w14:textFill>
            <w14:solidFill>
              <w14:schemeClr w14:val="tx1"/>
            </w14:solidFill>
          </w14:textFill>
        </w:rPr>
        <w:t xml:space="preserve">  对不符合质疑受理条件的，分别按照下列不同情形予以处理：</w:t>
      </w:r>
    </w:p>
    <w:p w14:paraId="4F1E3CA5">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（一）质疑函内容不符合规定的，告知质疑人进行修改并重新提出质疑。修改后质疑事项仍不具体、不明确或者最终递交质疑函的时间超过质疑法定期限的，不予受理；</w:t>
      </w:r>
    </w:p>
    <w:p w14:paraId="1B72271C">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（二）质疑主体不符合有关规定的，告知质疑人不予受理；</w:t>
      </w:r>
    </w:p>
    <w:p w14:paraId="75C87DC1">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（三）超过质疑法定期限提出质疑的，告知质疑人不予受理；</w:t>
      </w:r>
    </w:p>
    <w:p w14:paraId="43F27054">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（四）对不属于可以提出质疑的政府采购事项提出质疑的，告知质疑人不予受理；</w:t>
      </w:r>
    </w:p>
    <w:p w14:paraId="4774CDCA">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（五）质疑不属于本项目采购方管辖的，告知质疑人向有管辖权的采购人提出质疑；</w:t>
      </w:r>
    </w:p>
    <w:p w14:paraId="5CA0F363">
      <w:pPr>
        <w:pageBreakBefore w:val="0"/>
        <w:kinsoku/>
        <w:wordWrap/>
        <w:overflowPunct/>
        <w:topLinePunct w:val="0"/>
        <w:bidi w:val="0"/>
        <w:snapToGrid/>
        <w:spacing w:line="400" w:lineRule="exact"/>
        <w:ind w:left="898" w:leftChars="342" w:hanging="180" w:hangingChars="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（六）质疑不符合其他条件的，告知质疑人不予受理。</w:t>
      </w:r>
    </w:p>
    <w:p w14:paraId="037FBD92">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7.12</w:t>
      </w:r>
      <w:r>
        <w:rPr>
          <w:rFonts w:hint="eastAsia" w:ascii="宋体" w:hAnsi="宋体" w:eastAsia="宋体" w:cs="宋体"/>
          <w:color w:val="000000" w:themeColor="text1"/>
          <w:sz w:val="24"/>
          <w:highlight w:val="none"/>
          <w14:textFill>
            <w14:solidFill>
              <w14:schemeClr w14:val="tx1"/>
            </w14:solidFill>
          </w14:textFill>
        </w:rPr>
        <w:t xml:space="preserve"> 质疑的处理和答复</w:t>
      </w:r>
    </w:p>
    <w:p w14:paraId="6DB1351D">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7.13</w:t>
      </w:r>
      <w:r>
        <w:rPr>
          <w:rFonts w:hint="eastAsia" w:ascii="宋体" w:hAnsi="宋体" w:eastAsia="宋体" w:cs="宋体"/>
          <w:color w:val="000000" w:themeColor="text1"/>
          <w:sz w:val="24"/>
          <w:highlight w:val="none"/>
          <w14:textFill>
            <w14:solidFill>
              <w14:schemeClr w14:val="tx1"/>
            </w14:solidFill>
          </w14:textFill>
        </w:rPr>
        <w:t xml:space="preserve">  采购方受理质疑后，将及时把质疑函发送给被质疑人，并要求其在一定限期内提交书面答复，同时提供有关证据、依据和相关材料。</w:t>
      </w:r>
    </w:p>
    <w:p w14:paraId="6592275E">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7.14</w:t>
      </w:r>
      <w:r>
        <w:rPr>
          <w:rFonts w:hint="eastAsia" w:ascii="宋体" w:hAnsi="宋体" w:eastAsia="宋体" w:cs="宋体"/>
          <w:color w:val="000000" w:themeColor="text1"/>
          <w:sz w:val="24"/>
          <w:highlight w:val="none"/>
          <w14:textFill>
            <w14:solidFill>
              <w14:schemeClr w14:val="tx1"/>
            </w14:solidFill>
          </w14:textFill>
        </w:rPr>
        <w:t xml:space="preserve"> 对于质疑事项中涉及的问题较多、情况比较复杂的，为了全面查清事实、取得充分的证据，采购方认为有必要时，可以进行调查取证或者组织质证。</w:t>
      </w:r>
    </w:p>
    <w:p w14:paraId="5F2EEFDA">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7.15</w:t>
      </w:r>
      <w:r>
        <w:rPr>
          <w:rFonts w:hint="eastAsia" w:ascii="宋体" w:hAnsi="宋体" w:eastAsia="宋体" w:cs="宋体"/>
          <w:color w:val="000000" w:themeColor="text1"/>
          <w:sz w:val="24"/>
          <w:highlight w:val="none"/>
          <w14:textFill>
            <w14:solidFill>
              <w14:schemeClr w14:val="tx1"/>
            </w14:solidFill>
          </w14:textFill>
        </w:rPr>
        <w:t xml:space="preserve">  对评审过程、成交结果提出质疑的，采购方可以组织原</w:t>
      </w:r>
      <w:r>
        <w:rPr>
          <w:rFonts w:hint="eastAsia" w:ascii="宋体" w:hAnsi="宋体" w:cs="宋体"/>
          <w:color w:val="000000" w:themeColor="text1"/>
          <w:sz w:val="24"/>
          <w:highlight w:val="none"/>
          <w:lang w:eastAsia="zh-CN"/>
          <w14:textFill>
            <w14:solidFill>
              <w14:schemeClr w14:val="tx1"/>
            </w14:solidFill>
          </w14:textFill>
        </w:rPr>
        <w:t>磋商小组</w:t>
      </w:r>
      <w:r>
        <w:rPr>
          <w:rFonts w:hint="eastAsia" w:ascii="宋体" w:hAnsi="宋体" w:eastAsia="宋体" w:cs="宋体"/>
          <w:color w:val="000000" w:themeColor="text1"/>
          <w:sz w:val="24"/>
          <w:highlight w:val="none"/>
          <w14:textFill>
            <w14:solidFill>
              <w14:schemeClr w14:val="tx1"/>
            </w14:solidFill>
          </w14:textFill>
        </w:rPr>
        <w:t>协助答复质疑。</w:t>
      </w:r>
    </w:p>
    <w:p w14:paraId="1F714CF9">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7.16</w:t>
      </w:r>
      <w:r>
        <w:rPr>
          <w:rFonts w:hint="eastAsia" w:ascii="宋体" w:hAnsi="宋体" w:eastAsia="宋体" w:cs="宋体"/>
          <w:color w:val="000000" w:themeColor="text1"/>
          <w:sz w:val="24"/>
          <w:highlight w:val="none"/>
          <w14:textFill>
            <w14:solidFill>
              <w14:schemeClr w14:val="tx1"/>
            </w14:solidFill>
          </w14:textFill>
        </w:rPr>
        <w:t xml:space="preserve"> 质疑处理过程中，质疑人书面申请撤回质疑的，将终止质疑处理程序。</w:t>
      </w:r>
    </w:p>
    <w:p w14:paraId="5C822234">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37.17</w:t>
      </w:r>
      <w:r>
        <w:rPr>
          <w:rFonts w:hint="eastAsia" w:ascii="宋体" w:hAnsi="宋体" w:eastAsia="宋体" w:cs="宋体"/>
          <w:color w:val="000000" w:themeColor="text1"/>
          <w:sz w:val="24"/>
          <w:highlight w:val="none"/>
          <w14:textFill>
            <w14:solidFill>
              <w14:schemeClr w14:val="tx1"/>
            </w14:solidFill>
          </w14:textFill>
        </w:rPr>
        <w:t xml:space="preserve">  质疑人拒绝配合采购方依法对质疑进行调查处理的，采购方将按质疑人自动撤回质疑处理；被质疑人拒绝配合采购方依法对质疑进行调查处理的，采购方将视同其认可质疑事项。</w:t>
      </w:r>
    </w:p>
    <w:p w14:paraId="183CF738">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7.18</w:t>
      </w:r>
      <w:r>
        <w:rPr>
          <w:rFonts w:hint="eastAsia" w:ascii="宋体" w:hAnsi="宋体" w:eastAsia="宋体" w:cs="宋体"/>
          <w:color w:val="000000" w:themeColor="text1"/>
          <w:sz w:val="24"/>
          <w:highlight w:val="none"/>
          <w14:textFill>
            <w14:solidFill>
              <w14:schemeClr w14:val="tx1"/>
            </w14:solidFill>
          </w14:textFill>
        </w:rPr>
        <w:t xml:space="preserve">  质疑人拒绝配合采购方依法对质疑进行调查处理的，采购方将按质疑人自动撤回质疑处理；被质疑人拒绝配合采购方依法对质疑进行调查处理的，采购方将视同其认可质疑事项。</w:t>
      </w:r>
    </w:p>
    <w:p w14:paraId="45711D7E">
      <w:pPr>
        <w:pageBreakBefore w:val="0"/>
        <w:kinsoku/>
        <w:wordWrap/>
        <w:overflowPunct/>
        <w:topLinePunct w:val="0"/>
        <w:bidi w:val="0"/>
        <w:snapToGrid/>
        <w:spacing w:line="400" w:lineRule="exact"/>
        <w:ind w:left="900" w:hanging="900" w:hangingChars="37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35</w:t>
      </w:r>
      <w:r>
        <w:rPr>
          <w:rFonts w:hint="eastAsia" w:ascii="宋体" w:hAnsi="宋体" w:cs="宋体"/>
          <w:color w:val="000000" w:themeColor="text1"/>
          <w:sz w:val="24"/>
          <w:highlight w:val="none"/>
          <w:lang w:val="en-US" w:eastAsia="zh-CN"/>
          <w14:textFill>
            <w14:solidFill>
              <w14:schemeClr w14:val="tx1"/>
            </w14:solidFill>
          </w14:textFill>
        </w:rPr>
        <w:t>7.19</w:t>
      </w:r>
      <w:r>
        <w:rPr>
          <w:rFonts w:hint="eastAsia" w:ascii="宋体" w:hAnsi="宋体" w:eastAsia="宋体" w:cs="宋体"/>
          <w:color w:val="000000" w:themeColor="text1"/>
          <w:sz w:val="24"/>
          <w:highlight w:val="none"/>
          <w14:textFill>
            <w14:solidFill>
              <w14:schemeClr w14:val="tx1"/>
            </w14:solidFill>
          </w14:textFill>
        </w:rPr>
        <w:t xml:space="preserve">  采购方将在正式受理质疑后7个工作日内作出答复。</w:t>
      </w:r>
    </w:p>
    <w:p w14:paraId="04AD48B6">
      <w:pPr>
        <w:pStyle w:val="10"/>
        <w:pageBreakBefore w:val="0"/>
        <w:kinsoku/>
        <w:wordWrap/>
        <w:overflowPunct/>
        <w:topLinePunct w:val="0"/>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hAnsi="宋体" w:cs="宋体"/>
          <w:color w:val="000000" w:themeColor="text1"/>
          <w:highlight w:val="none"/>
          <w:lang w:val="en-US" w:eastAsia="zh-CN"/>
          <w14:textFill>
            <w14:solidFill>
              <w14:schemeClr w14:val="tx1"/>
            </w14:solidFill>
          </w14:textFill>
        </w:rPr>
        <w:t>7.20</w:t>
      </w:r>
      <w:r>
        <w:rPr>
          <w:rFonts w:hint="eastAsia" w:ascii="宋体" w:hAnsi="宋体" w:eastAsia="宋体" w:cs="宋体"/>
          <w:color w:val="000000" w:themeColor="text1"/>
          <w:highlight w:val="none"/>
          <w14:textFill>
            <w14:solidFill>
              <w14:schemeClr w14:val="tx1"/>
            </w14:solidFill>
          </w14:textFill>
        </w:rPr>
        <w:t xml:space="preserve"> 质疑答复应当包括下列内容：</w:t>
      </w:r>
    </w:p>
    <w:p w14:paraId="559B6EB8">
      <w:pPr>
        <w:pStyle w:val="10"/>
        <w:pageBreakBefore w:val="0"/>
        <w:kinsoku/>
        <w:wordWrap/>
        <w:overflowPunct/>
        <w:topLinePunct w:val="0"/>
        <w:bidi w:val="0"/>
        <w:snapToGrid/>
        <w:spacing w:line="400" w:lineRule="exact"/>
        <w:ind w:left="840" w:left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（一）质疑人的姓名或者名称；</w:t>
      </w:r>
    </w:p>
    <w:p w14:paraId="1BDA1CBC">
      <w:pPr>
        <w:pStyle w:val="10"/>
        <w:pageBreakBefore w:val="0"/>
        <w:kinsoku/>
        <w:wordWrap/>
        <w:overflowPunct/>
        <w:topLinePunct w:val="0"/>
        <w:bidi w:val="0"/>
        <w:snapToGrid/>
        <w:spacing w:line="400" w:lineRule="exact"/>
        <w:ind w:left="840" w:left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（二）收到质疑函的日期、质疑项目名称及编号；</w:t>
      </w:r>
    </w:p>
    <w:p w14:paraId="3E9CF608">
      <w:pPr>
        <w:pStyle w:val="10"/>
        <w:pageBreakBefore w:val="0"/>
        <w:kinsoku/>
        <w:wordWrap/>
        <w:overflowPunct/>
        <w:topLinePunct w:val="0"/>
        <w:bidi w:val="0"/>
        <w:snapToGrid/>
        <w:spacing w:line="400" w:lineRule="exact"/>
        <w:ind w:left="840" w:left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（三）质疑事项、质疑答复的具体内容、事实依据和法律依据；</w:t>
      </w:r>
    </w:p>
    <w:p w14:paraId="2DF8B798">
      <w:pPr>
        <w:pStyle w:val="10"/>
        <w:pageBreakBefore w:val="0"/>
        <w:kinsoku/>
        <w:wordWrap/>
        <w:overflowPunct/>
        <w:topLinePunct w:val="0"/>
        <w:bidi w:val="0"/>
        <w:snapToGrid/>
        <w:spacing w:line="400" w:lineRule="exact"/>
        <w:ind w:left="840" w:left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（四）告知质疑供应商依法投诉的权利；</w:t>
      </w:r>
    </w:p>
    <w:p w14:paraId="1B7BAA45">
      <w:pPr>
        <w:pStyle w:val="10"/>
        <w:pageBreakBefore w:val="0"/>
        <w:kinsoku/>
        <w:wordWrap/>
        <w:overflowPunct/>
        <w:topLinePunct w:val="0"/>
        <w:bidi w:val="0"/>
        <w:snapToGrid/>
        <w:spacing w:line="400" w:lineRule="exact"/>
        <w:ind w:left="840" w:left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（五）质疑答复人名称；</w:t>
      </w:r>
    </w:p>
    <w:p w14:paraId="00257A0F">
      <w:pPr>
        <w:pStyle w:val="10"/>
        <w:pageBreakBefore w:val="0"/>
        <w:kinsoku/>
        <w:wordWrap/>
        <w:overflowPunct/>
        <w:topLinePunct w:val="0"/>
        <w:bidi w:val="0"/>
        <w:snapToGrid/>
        <w:spacing w:line="400" w:lineRule="exact"/>
        <w:ind w:left="840" w:leftChars="4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（六）答复质疑的日期。</w:t>
      </w:r>
    </w:p>
    <w:p w14:paraId="6753D174">
      <w:pPr>
        <w:pageBreakBefore w:val="0"/>
        <w:kinsoku/>
        <w:wordWrap/>
        <w:overflowPunct/>
        <w:topLinePunct w:val="0"/>
        <w:bidi w:val="0"/>
        <w:snapToGri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2C38E2D">
      <w:pPr>
        <w:spacing w:line="400" w:lineRule="exact"/>
        <w:outlineLvl w:val="3"/>
        <w:rPr>
          <w:rFonts w:hint="eastAsia" w:ascii="宋体" w:hAnsi="宋体" w:eastAsia="宋体" w:cs="宋体"/>
          <w:b/>
          <w:bCs/>
          <w:color w:val="000000" w:themeColor="text1"/>
          <w:sz w:val="24"/>
          <w:highlight w:val="none"/>
          <w14:textFill>
            <w14:solidFill>
              <w14:schemeClr w14:val="tx1"/>
            </w14:solidFill>
          </w14:textFill>
        </w:rPr>
      </w:pPr>
      <w:bookmarkStart w:id="343" w:name="_Toc24577"/>
      <w:bookmarkStart w:id="344" w:name="_Toc32737"/>
      <w:r>
        <w:rPr>
          <w:rFonts w:hint="eastAsia" w:ascii="宋体" w:hAnsi="宋体" w:eastAsia="宋体" w:cs="宋体"/>
          <w:b/>
          <w:bCs/>
          <w:color w:val="000000" w:themeColor="text1"/>
          <w:sz w:val="24"/>
          <w:highlight w:val="none"/>
          <w14:textFill>
            <w14:solidFill>
              <w14:schemeClr w14:val="tx1"/>
            </w14:solidFill>
          </w14:textFill>
        </w:rPr>
        <w:t>质疑函范本</w:t>
      </w:r>
      <w:bookmarkEnd w:id="343"/>
      <w:bookmarkEnd w:id="344"/>
    </w:p>
    <w:p w14:paraId="0F087CE2">
      <w:pPr>
        <w:adjustRightInd w:val="0"/>
        <w:snapToGrid w:val="0"/>
        <w:spacing w:before="240" w:beforeLines="100" w:line="400" w:lineRule="exac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一、质疑供应商基本信息</w:t>
      </w:r>
    </w:p>
    <w:p w14:paraId="318FB891">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质疑供应商：</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9A29E7C">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560E2D04">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142B3121">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16E970B5">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14:paraId="70E9E2ED">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地址： </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1BB376FF">
      <w:pPr>
        <w:adjustRightInd w:val="0"/>
        <w:snapToGrid w:val="0"/>
        <w:spacing w:before="240" w:beforeLines="100" w:line="400" w:lineRule="exac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二、质疑项目基本情况</w:t>
      </w:r>
    </w:p>
    <w:p w14:paraId="7FBB3629">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质疑项目的名称：</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0FE0EB37">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质疑项目的编号：</w:t>
      </w:r>
      <w:r>
        <w:rPr>
          <w:rFonts w:hint="eastAsia" w:ascii="宋体" w:hAnsi="宋体" w:eastAsia="宋体" w:cs="宋体"/>
          <w:color w:val="000000" w:themeColor="text1"/>
          <w:sz w:val="24"/>
          <w:highlight w:val="none"/>
          <w:u w:val="dotted"/>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包号：</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6458B258">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采购人名称：</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5EE15525">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采购文件获取日期：</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751E189C">
      <w:pPr>
        <w:adjustRightInd w:val="0"/>
        <w:snapToGrid w:val="0"/>
        <w:spacing w:before="240" w:beforeLines="100" w:line="400" w:lineRule="exac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三、质疑事项具体内容</w:t>
      </w:r>
    </w:p>
    <w:p w14:paraId="739705E8">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质疑事项1：</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3CA0045">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事实依据：</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10C93AC">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75C6F60D">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法律依据：</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700459C0">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6D55FFCF">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质疑事项2</w:t>
      </w:r>
    </w:p>
    <w:p w14:paraId="41B05797">
      <w:pPr>
        <w:adjustRightInd w:val="0"/>
        <w:snapToGrid w:val="0"/>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14:paraId="1B5E6D91">
      <w:pPr>
        <w:adjustRightInd w:val="0"/>
        <w:snapToGrid w:val="0"/>
        <w:spacing w:before="240" w:beforeLines="100" w:line="400" w:lineRule="exac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四、与质疑事项相关的质疑请求</w:t>
      </w:r>
    </w:p>
    <w:p w14:paraId="4A568E04">
      <w:pPr>
        <w:adjustRightInd w:val="0"/>
        <w:snapToGrid w:val="0"/>
        <w:spacing w:line="400" w:lineRule="exact"/>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请求：</w:t>
      </w:r>
      <w:r>
        <w:rPr>
          <w:rFonts w:hint="eastAsia" w:ascii="宋体" w:hAnsi="宋体" w:eastAsia="宋体" w:cs="宋体"/>
          <w:color w:val="000000" w:themeColor="text1"/>
          <w:sz w:val="24"/>
          <w:highlight w:val="none"/>
          <w:u w:val="dotted"/>
          <w14:textFill>
            <w14:solidFill>
              <w14:schemeClr w14:val="tx1"/>
            </w14:solidFill>
          </w14:textFill>
        </w:rPr>
        <w:t xml:space="preserve">                                               </w:t>
      </w:r>
    </w:p>
    <w:p w14:paraId="3FA20659">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签字(签章)：                   公章：                      </w:t>
      </w:r>
    </w:p>
    <w:p w14:paraId="6014E9E4">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日期：    </w:t>
      </w:r>
    </w:p>
    <w:p w14:paraId="46F3DF40">
      <w:pPr>
        <w:spacing w:line="400" w:lineRule="exact"/>
        <w:rPr>
          <w:rFonts w:hint="eastAsia" w:ascii="宋体" w:hAnsi="宋体" w:eastAsia="宋体" w:cs="宋体"/>
          <w:b/>
          <w:color w:val="000000" w:themeColor="text1"/>
          <w:sz w:val="24"/>
          <w:highlight w:val="none"/>
          <w14:textFill>
            <w14:solidFill>
              <w14:schemeClr w14:val="tx1"/>
            </w14:solidFill>
          </w14:textFill>
        </w:rPr>
      </w:pPr>
    </w:p>
    <w:p w14:paraId="47271455">
      <w:pP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p>
    <w:p w14:paraId="2D919A2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质疑函制作说明：</w:t>
      </w:r>
    </w:p>
    <w:p w14:paraId="26FD297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1.供应商提出质疑时，应提交质疑函和必要的证明材料。</w:t>
      </w:r>
    </w:p>
    <w:p w14:paraId="1B8FFF7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32DD969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3.质疑供应商若对项目的某一分包进行质疑，质疑函中应列明具体分包号。</w:t>
      </w:r>
    </w:p>
    <w:p w14:paraId="6713401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4.质疑函的质疑事项应具体、明确，并有必要的事实依据和法律依据。</w:t>
      </w:r>
    </w:p>
    <w:p w14:paraId="6CCB828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5.质疑函的质疑请求应与质疑事项相关。</w:t>
      </w:r>
    </w:p>
    <w:p w14:paraId="36B1E03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74C85107">
      <w:pPr>
        <w:rPr>
          <w:rFonts w:hint="eastAsia" w:ascii="宋体" w:hAnsi="宋体" w:eastAsia="宋体" w:cs="宋体"/>
          <w:color w:val="000000" w:themeColor="text1"/>
          <w:sz w:val="24"/>
          <w:highlight w:val="none"/>
          <w14:textFill>
            <w14:solidFill>
              <w14:schemeClr w14:val="tx1"/>
            </w14:solidFill>
          </w14:textFill>
        </w:rPr>
      </w:pPr>
    </w:p>
    <w:p w14:paraId="6DB6DF1F">
      <w:pPr>
        <w:rPr>
          <w:rFonts w:hint="eastAsia" w:ascii="宋体" w:hAnsi="宋体" w:eastAsia="宋体" w:cs="宋体"/>
          <w:color w:val="000000" w:themeColor="text1"/>
          <w:sz w:val="24"/>
          <w:highlight w:val="none"/>
          <w14:textFill>
            <w14:solidFill>
              <w14:schemeClr w14:val="tx1"/>
            </w14:solidFill>
          </w14:textFill>
        </w:rPr>
      </w:pPr>
    </w:p>
    <w:p w14:paraId="2CB13198">
      <w:pPr>
        <w:rPr>
          <w:rFonts w:hint="eastAsia" w:ascii="宋体" w:hAnsi="宋体" w:eastAsia="宋体" w:cs="宋体"/>
          <w:color w:val="000000" w:themeColor="text1"/>
          <w:sz w:val="24"/>
          <w:highlight w:val="none"/>
          <w14:textFill>
            <w14:solidFill>
              <w14:schemeClr w14:val="tx1"/>
            </w14:solidFill>
          </w14:textFill>
        </w:rPr>
      </w:pPr>
    </w:p>
    <w:p w14:paraId="23F7E5AB">
      <w:pPr>
        <w:rPr>
          <w:rFonts w:hint="eastAsia" w:ascii="宋体" w:hAnsi="宋体" w:eastAsia="宋体" w:cs="宋体"/>
          <w:color w:val="000000" w:themeColor="text1"/>
          <w:sz w:val="24"/>
          <w:highlight w:val="none"/>
          <w14:textFill>
            <w14:solidFill>
              <w14:schemeClr w14:val="tx1"/>
            </w14:solidFill>
          </w14:textFill>
        </w:rPr>
      </w:pPr>
    </w:p>
    <w:p w14:paraId="4907CB6D">
      <w:pPr>
        <w:rPr>
          <w:rFonts w:hint="eastAsia" w:ascii="宋体" w:hAnsi="宋体" w:eastAsia="宋体" w:cs="宋体"/>
          <w:color w:val="000000" w:themeColor="text1"/>
          <w:sz w:val="24"/>
          <w:highlight w:val="none"/>
          <w14:textFill>
            <w14:solidFill>
              <w14:schemeClr w14:val="tx1"/>
            </w14:solidFill>
          </w14:textFill>
        </w:rPr>
      </w:pPr>
    </w:p>
    <w:p w14:paraId="288D142F">
      <w:pPr>
        <w:rPr>
          <w:rFonts w:hint="eastAsia" w:ascii="宋体" w:hAnsi="宋体" w:eastAsia="宋体" w:cs="宋体"/>
          <w:color w:val="000000" w:themeColor="text1"/>
          <w:sz w:val="24"/>
          <w:highlight w:val="none"/>
          <w14:textFill>
            <w14:solidFill>
              <w14:schemeClr w14:val="tx1"/>
            </w14:solidFill>
          </w14:textFill>
        </w:rPr>
      </w:pPr>
    </w:p>
    <w:p w14:paraId="22A8F4E9">
      <w:pPr>
        <w:rPr>
          <w:rFonts w:hint="eastAsia" w:ascii="宋体" w:hAnsi="宋体" w:eastAsia="宋体" w:cs="宋体"/>
          <w:color w:val="000000" w:themeColor="text1"/>
          <w:sz w:val="24"/>
          <w:highlight w:val="none"/>
          <w14:textFill>
            <w14:solidFill>
              <w14:schemeClr w14:val="tx1"/>
            </w14:solidFill>
          </w14:textFill>
        </w:rPr>
      </w:pPr>
    </w:p>
    <w:p w14:paraId="4F4F6919">
      <w:pPr>
        <w:rPr>
          <w:rFonts w:hint="eastAsia" w:ascii="宋体" w:hAnsi="宋体" w:eastAsia="宋体" w:cs="宋体"/>
          <w:color w:val="000000" w:themeColor="text1"/>
          <w:sz w:val="24"/>
          <w:highlight w:val="none"/>
          <w14:textFill>
            <w14:solidFill>
              <w14:schemeClr w14:val="tx1"/>
            </w14:solidFill>
          </w14:textFill>
        </w:rPr>
      </w:pPr>
    </w:p>
    <w:p w14:paraId="43F825F7">
      <w:pPr>
        <w:rPr>
          <w:rFonts w:hint="eastAsia" w:ascii="宋体" w:hAnsi="宋体" w:eastAsia="宋体" w:cs="宋体"/>
          <w:color w:val="000000" w:themeColor="text1"/>
          <w:sz w:val="24"/>
          <w:highlight w:val="none"/>
          <w14:textFill>
            <w14:solidFill>
              <w14:schemeClr w14:val="tx1"/>
            </w14:solidFill>
          </w14:textFill>
        </w:rPr>
      </w:pPr>
    </w:p>
    <w:p w14:paraId="7497B2FB">
      <w:pPr>
        <w:rPr>
          <w:rFonts w:hint="eastAsia" w:ascii="宋体" w:hAnsi="宋体" w:eastAsia="宋体" w:cs="宋体"/>
          <w:color w:val="000000" w:themeColor="text1"/>
          <w:sz w:val="24"/>
          <w:highlight w:val="none"/>
          <w14:textFill>
            <w14:solidFill>
              <w14:schemeClr w14:val="tx1"/>
            </w14:solidFill>
          </w14:textFill>
        </w:rPr>
      </w:pPr>
    </w:p>
    <w:p w14:paraId="19C2338E">
      <w:pPr>
        <w:rPr>
          <w:rFonts w:hint="eastAsia" w:ascii="宋体" w:hAnsi="宋体" w:eastAsia="宋体" w:cs="宋体"/>
          <w:color w:val="000000" w:themeColor="text1"/>
          <w:sz w:val="24"/>
          <w:highlight w:val="none"/>
          <w14:textFill>
            <w14:solidFill>
              <w14:schemeClr w14:val="tx1"/>
            </w14:solidFill>
          </w14:textFill>
        </w:rPr>
      </w:pPr>
    </w:p>
    <w:p w14:paraId="1EFA9C3D">
      <w:pPr>
        <w:rPr>
          <w:rFonts w:hint="eastAsia" w:ascii="宋体" w:hAnsi="宋体" w:eastAsia="宋体" w:cs="宋体"/>
          <w:color w:val="000000" w:themeColor="text1"/>
          <w:sz w:val="24"/>
          <w:highlight w:val="none"/>
          <w14:textFill>
            <w14:solidFill>
              <w14:schemeClr w14:val="tx1"/>
            </w14:solidFill>
          </w14:textFill>
        </w:rPr>
      </w:pPr>
    </w:p>
    <w:p w14:paraId="20D5A82C">
      <w:pPr>
        <w:rPr>
          <w:rFonts w:hint="eastAsia" w:ascii="宋体" w:hAnsi="宋体" w:eastAsia="宋体" w:cs="宋体"/>
          <w:color w:val="000000" w:themeColor="text1"/>
          <w:sz w:val="24"/>
          <w:highlight w:val="none"/>
          <w14:textFill>
            <w14:solidFill>
              <w14:schemeClr w14:val="tx1"/>
            </w14:solidFill>
          </w14:textFill>
        </w:rPr>
      </w:pPr>
    </w:p>
    <w:p w14:paraId="3F85D3E2">
      <w:pPr>
        <w:rPr>
          <w:rFonts w:hint="eastAsia" w:ascii="宋体" w:hAnsi="宋体" w:eastAsia="宋体" w:cs="宋体"/>
          <w:color w:val="000000" w:themeColor="text1"/>
          <w:sz w:val="24"/>
          <w:highlight w:val="none"/>
          <w14:textFill>
            <w14:solidFill>
              <w14:schemeClr w14:val="tx1"/>
            </w14:solidFill>
          </w14:textFill>
        </w:rPr>
      </w:pPr>
    </w:p>
    <w:p w14:paraId="0E42F13E">
      <w:pPr>
        <w:rPr>
          <w:rFonts w:hint="eastAsia" w:ascii="宋体" w:hAnsi="宋体" w:eastAsia="宋体" w:cs="宋体"/>
          <w:color w:val="000000" w:themeColor="text1"/>
          <w:sz w:val="24"/>
          <w:highlight w:val="none"/>
          <w14:textFill>
            <w14:solidFill>
              <w14:schemeClr w14:val="tx1"/>
            </w14:solidFill>
          </w14:textFill>
        </w:rPr>
      </w:pPr>
    </w:p>
    <w:p w14:paraId="322525AF">
      <w:pPr>
        <w:rPr>
          <w:rFonts w:hint="eastAsia" w:ascii="宋体" w:hAnsi="宋体" w:eastAsia="宋体" w:cs="宋体"/>
          <w:color w:val="000000" w:themeColor="text1"/>
          <w:sz w:val="24"/>
          <w:highlight w:val="none"/>
          <w14:textFill>
            <w14:solidFill>
              <w14:schemeClr w14:val="tx1"/>
            </w14:solidFill>
          </w14:textFill>
        </w:rPr>
      </w:pPr>
    </w:p>
    <w:p w14:paraId="4DA5843A">
      <w:pPr>
        <w:rPr>
          <w:rFonts w:hint="eastAsia" w:ascii="宋体" w:hAnsi="宋体" w:eastAsia="宋体" w:cs="宋体"/>
          <w:color w:val="000000" w:themeColor="text1"/>
          <w:sz w:val="24"/>
          <w:highlight w:val="none"/>
          <w14:textFill>
            <w14:solidFill>
              <w14:schemeClr w14:val="tx1"/>
            </w14:solidFill>
          </w14:textFill>
        </w:rPr>
      </w:pPr>
    </w:p>
    <w:p w14:paraId="2CB5BBFC">
      <w:pPr>
        <w:rPr>
          <w:rFonts w:hint="eastAsia" w:ascii="宋体" w:hAnsi="宋体" w:eastAsia="宋体" w:cs="宋体"/>
          <w:color w:val="000000" w:themeColor="text1"/>
          <w:sz w:val="24"/>
          <w:highlight w:val="none"/>
          <w14:textFill>
            <w14:solidFill>
              <w14:schemeClr w14:val="tx1"/>
            </w14:solidFill>
          </w14:textFill>
        </w:rPr>
      </w:pPr>
    </w:p>
    <w:p w14:paraId="7494AB5E">
      <w:pPr>
        <w:rPr>
          <w:rFonts w:hint="eastAsia" w:ascii="宋体" w:hAnsi="宋体" w:eastAsia="宋体" w:cs="宋体"/>
          <w:color w:val="000000" w:themeColor="text1"/>
          <w:sz w:val="24"/>
          <w:highlight w:val="none"/>
          <w14:textFill>
            <w14:solidFill>
              <w14:schemeClr w14:val="tx1"/>
            </w14:solidFill>
          </w14:textFill>
        </w:rPr>
      </w:pPr>
    </w:p>
    <w:p w14:paraId="1773D983">
      <w:pPr>
        <w:rPr>
          <w:rFonts w:hint="eastAsia" w:ascii="宋体" w:hAnsi="宋体" w:eastAsia="宋体" w:cs="宋体"/>
          <w:color w:val="000000" w:themeColor="text1"/>
          <w:sz w:val="24"/>
          <w:highlight w:val="none"/>
          <w14:textFill>
            <w14:solidFill>
              <w14:schemeClr w14:val="tx1"/>
            </w14:solidFill>
          </w14:textFill>
        </w:rPr>
      </w:pPr>
    </w:p>
    <w:p w14:paraId="6DF3B868">
      <w:pPr>
        <w:rPr>
          <w:rFonts w:hint="eastAsia" w:ascii="宋体" w:hAnsi="宋体" w:eastAsia="宋体" w:cs="宋体"/>
          <w:color w:val="000000" w:themeColor="text1"/>
          <w:sz w:val="24"/>
          <w:highlight w:val="none"/>
          <w14:textFill>
            <w14:solidFill>
              <w14:schemeClr w14:val="tx1"/>
            </w14:solidFill>
          </w14:textFill>
        </w:rPr>
      </w:pPr>
    </w:p>
    <w:p w14:paraId="13529D34">
      <w:pPr>
        <w:rPr>
          <w:rFonts w:hint="eastAsia" w:ascii="宋体" w:hAnsi="宋体" w:eastAsia="宋体" w:cs="宋体"/>
          <w:color w:val="000000" w:themeColor="text1"/>
          <w:sz w:val="24"/>
          <w:highlight w:val="none"/>
          <w14:textFill>
            <w14:solidFill>
              <w14:schemeClr w14:val="tx1"/>
            </w14:solidFill>
          </w14:textFill>
        </w:rPr>
      </w:pPr>
    </w:p>
    <w:p w14:paraId="12D6E870">
      <w:pPr>
        <w:rPr>
          <w:rFonts w:hint="eastAsia" w:ascii="宋体" w:hAnsi="宋体" w:eastAsia="宋体" w:cs="宋体"/>
          <w:color w:val="000000" w:themeColor="text1"/>
          <w:sz w:val="24"/>
          <w:highlight w:val="none"/>
          <w14:textFill>
            <w14:solidFill>
              <w14:schemeClr w14:val="tx1"/>
            </w14:solidFill>
          </w14:textFill>
        </w:rPr>
      </w:pPr>
    </w:p>
    <w:p w14:paraId="4D2D634D">
      <w:pPr>
        <w:rPr>
          <w:rFonts w:hint="eastAsia" w:ascii="宋体" w:hAnsi="宋体" w:eastAsia="宋体" w:cs="宋体"/>
          <w:color w:val="000000" w:themeColor="text1"/>
          <w:sz w:val="24"/>
          <w:highlight w:val="none"/>
          <w14:textFill>
            <w14:solidFill>
              <w14:schemeClr w14:val="tx1"/>
            </w14:solidFill>
          </w14:textFill>
        </w:rPr>
      </w:pPr>
    </w:p>
    <w:p w14:paraId="7BE9ADEC">
      <w:pPr>
        <w:rPr>
          <w:rFonts w:hint="eastAsia" w:ascii="宋体" w:hAnsi="宋体" w:eastAsia="宋体" w:cs="宋体"/>
          <w:color w:val="000000" w:themeColor="text1"/>
          <w:sz w:val="24"/>
          <w:highlight w:val="none"/>
          <w14:textFill>
            <w14:solidFill>
              <w14:schemeClr w14:val="tx1"/>
            </w14:solidFill>
          </w14:textFill>
        </w:rPr>
      </w:pPr>
    </w:p>
    <w:p w14:paraId="0AF499C7">
      <w:pPr>
        <w:rPr>
          <w:rFonts w:hint="eastAsia" w:ascii="宋体" w:hAnsi="宋体" w:eastAsia="宋体" w:cs="宋体"/>
          <w:color w:val="000000" w:themeColor="text1"/>
          <w:sz w:val="24"/>
          <w:highlight w:val="none"/>
          <w14:textFill>
            <w14:solidFill>
              <w14:schemeClr w14:val="tx1"/>
            </w14:solidFill>
          </w14:textFill>
        </w:rPr>
      </w:pPr>
    </w:p>
    <w:p w14:paraId="2C9B58C2">
      <w:pPr>
        <w:rPr>
          <w:rFonts w:hint="eastAsia" w:ascii="宋体" w:hAnsi="宋体" w:eastAsia="宋体" w:cs="宋体"/>
          <w:color w:val="000000" w:themeColor="text1"/>
          <w:sz w:val="24"/>
          <w:highlight w:val="none"/>
          <w14:textFill>
            <w14:solidFill>
              <w14:schemeClr w14:val="tx1"/>
            </w14:solidFill>
          </w14:textFill>
        </w:rPr>
      </w:pPr>
    </w:p>
    <w:p w14:paraId="49BED0D9">
      <w:pPr>
        <w:rPr>
          <w:rFonts w:hint="eastAsia" w:ascii="宋体" w:hAnsi="宋体" w:eastAsia="宋体" w:cs="宋体"/>
          <w:color w:val="000000" w:themeColor="text1"/>
          <w:sz w:val="24"/>
          <w:highlight w:val="none"/>
          <w14:textFill>
            <w14:solidFill>
              <w14:schemeClr w14:val="tx1"/>
            </w14:solidFill>
          </w14:textFill>
        </w:rPr>
      </w:pPr>
    </w:p>
    <w:p w14:paraId="0D6B86A5">
      <w:pPr>
        <w:rPr>
          <w:rFonts w:hint="eastAsia" w:ascii="宋体" w:hAnsi="宋体" w:eastAsia="宋体" w:cs="宋体"/>
          <w:color w:val="000000" w:themeColor="text1"/>
          <w:sz w:val="24"/>
          <w:highlight w:val="none"/>
          <w14:textFill>
            <w14:solidFill>
              <w14:schemeClr w14:val="tx1"/>
            </w14:solidFill>
          </w14:textFill>
        </w:rPr>
      </w:pPr>
    </w:p>
    <w:p w14:paraId="1BA9F85F">
      <w:pPr>
        <w:rPr>
          <w:rFonts w:hint="eastAsia" w:ascii="宋体" w:hAnsi="宋体" w:eastAsia="宋体" w:cs="宋体"/>
          <w:color w:val="000000" w:themeColor="text1"/>
          <w:sz w:val="24"/>
          <w:highlight w:val="none"/>
          <w14:textFill>
            <w14:solidFill>
              <w14:schemeClr w14:val="tx1"/>
            </w14:solidFill>
          </w14:textFill>
        </w:rPr>
      </w:pPr>
    </w:p>
    <w:p w14:paraId="719E0E94">
      <w:pPr>
        <w:rPr>
          <w:rFonts w:hint="eastAsia" w:ascii="宋体" w:hAnsi="宋体" w:eastAsia="宋体" w:cs="宋体"/>
          <w:color w:val="000000" w:themeColor="text1"/>
          <w:sz w:val="24"/>
          <w:highlight w:val="none"/>
          <w14:textFill>
            <w14:solidFill>
              <w14:schemeClr w14:val="tx1"/>
            </w14:solidFill>
          </w14:textFill>
        </w:rPr>
      </w:pPr>
    </w:p>
    <w:p w14:paraId="5FA7C783">
      <w:pPr>
        <w:pStyle w:val="3"/>
        <w:spacing w:before="0" w:line="240" w:lineRule="atLeast"/>
        <w:ind w:left="1080" w:leftChars="257" w:hanging="540"/>
        <w:rPr>
          <w:rFonts w:hint="eastAsia" w:ascii="宋体" w:hAnsi="宋体" w:eastAsia="宋体" w:cs="宋体"/>
          <w:color w:val="000000" w:themeColor="text1"/>
          <w:szCs w:val="24"/>
          <w:highlight w:val="none"/>
          <w14:textFill>
            <w14:solidFill>
              <w14:schemeClr w14:val="tx1"/>
            </w14:solidFill>
          </w14:textFill>
        </w:rPr>
      </w:pPr>
      <w:bookmarkStart w:id="345" w:name="_Toc24908"/>
      <w:bookmarkStart w:id="346" w:name="_Toc21748"/>
      <w:bookmarkStart w:id="347" w:name="_Toc24337"/>
      <w:bookmarkStart w:id="348" w:name="_Toc16186"/>
      <w:bookmarkStart w:id="349" w:name="_Toc18309"/>
      <w:bookmarkStart w:id="350" w:name="_Toc7820"/>
      <w:bookmarkStart w:id="351" w:name="_Toc23437"/>
      <w:bookmarkStart w:id="352" w:name="_Toc9814"/>
      <w:bookmarkStart w:id="353" w:name="_Toc22162"/>
      <w:bookmarkStart w:id="354" w:name="_Toc515647799"/>
      <w:bookmarkStart w:id="355" w:name="_Toc7984"/>
      <w:bookmarkStart w:id="356" w:name="_Toc5521"/>
      <w:r>
        <w:rPr>
          <w:rFonts w:hint="eastAsia" w:ascii="宋体" w:hAnsi="宋体" w:eastAsia="宋体" w:cs="宋体"/>
          <w:color w:val="000000" w:themeColor="text1"/>
          <w:szCs w:val="24"/>
          <w:highlight w:val="none"/>
          <w14:textFill>
            <w14:solidFill>
              <w14:schemeClr w14:val="tx1"/>
            </w14:solidFill>
          </w14:textFill>
        </w:rPr>
        <w:t>附件1：履约保证金保函（格式）</w:t>
      </w:r>
      <w:bookmarkEnd w:id="345"/>
      <w:bookmarkEnd w:id="346"/>
      <w:bookmarkEnd w:id="347"/>
      <w:bookmarkEnd w:id="348"/>
      <w:bookmarkEnd w:id="349"/>
      <w:bookmarkEnd w:id="350"/>
      <w:bookmarkEnd w:id="351"/>
      <w:bookmarkEnd w:id="352"/>
      <w:bookmarkEnd w:id="353"/>
      <w:bookmarkEnd w:id="354"/>
      <w:bookmarkEnd w:id="355"/>
      <w:bookmarkEnd w:id="356"/>
    </w:p>
    <w:p w14:paraId="05371045">
      <w:pPr>
        <w:spacing w:line="240" w:lineRule="atLeast"/>
        <w:ind w:left="900" w:hanging="787" w:hangingChars="375"/>
        <w:rPr>
          <w:rFonts w:hint="eastAsia" w:ascii="宋体" w:hAnsi="宋体" w:eastAsia="宋体" w:cs="宋体"/>
          <w:color w:val="000000" w:themeColor="text1"/>
          <w:szCs w:val="24"/>
          <w:highlight w:val="none"/>
          <w14:textFill>
            <w14:solidFill>
              <w14:schemeClr w14:val="tx1"/>
            </w14:solidFill>
          </w14:textFill>
        </w:rPr>
      </w:pPr>
    </w:p>
    <w:p w14:paraId="712602E2">
      <w:pPr>
        <w:pStyle w:val="12"/>
        <w:spacing w:line="240" w:lineRule="atLeast"/>
        <w:ind w:left="1080" w:leftChars="257" w:hanging="54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                         （</w:t>
      </w:r>
      <w:r>
        <w:rPr>
          <w:rFonts w:hint="eastAsia" w:hAnsi="宋体" w:cs="宋体"/>
          <w:b/>
          <w:color w:val="000000" w:themeColor="text1"/>
          <w:sz w:val="24"/>
          <w:highlight w:val="none"/>
          <w:lang w:eastAsia="zh-CN"/>
          <w14:textFill>
            <w14:solidFill>
              <w14:schemeClr w14:val="tx1"/>
            </w14:solidFill>
          </w14:textFill>
        </w:rPr>
        <w:t>（</w:t>
      </w:r>
      <w:r>
        <w:rPr>
          <w:rFonts w:hint="eastAsia" w:hAnsi="宋体" w:cs="宋体"/>
          <w:b/>
          <w:color w:val="000000" w:themeColor="text1"/>
          <w:sz w:val="24"/>
          <w:highlight w:val="none"/>
          <w:lang w:val="en-US" w:eastAsia="zh-CN"/>
          <w14:textFill>
            <w14:solidFill>
              <w14:schemeClr w14:val="tx1"/>
            </w14:solidFill>
          </w14:textFill>
        </w:rPr>
        <w:t>中标</w:t>
      </w:r>
      <w:r>
        <w:rPr>
          <w:rFonts w:hint="eastAsia" w:hAnsi="宋体" w:cs="宋体"/>
          <w:b/>
          <w:color w:val="000000" w:themeColor="text1"/>
          <w:sz w:val="24"/>
          <w:highlight w:val="none"/>
          <w:lang w:eastAsia="zh-CN"/>
          <w14:textFill>
            <w14:solidFill>
              <w14:schemeClr w14:val="tx1"/>
            </w14:solidFill>
          </w14:textFill>
        </w:rPr>
        <w:t>）</w:t>
      </w:r>
      <w:r>
        <w:rPr>
          <w:rFonts w:hint="eastAsia" w:hAnsi="宋体" w:cs="宋体"/>
          <w:b/>
          <w:color w:val="000000" w:themeColor="text1"/>
          <w:sz w:val="24"/>
          <w:highlight w:val="none"/>
          <w:lang w:val="en-US" w:eastAsia="zh-CN"/>
          <w14:textFill>
            <w14:solidFill>
              <w14:schemeClr w14:val="tx1"/>
            </w14:solidFill>
          </w14:textFill>
        </w:rPr>
        <w:t>成交</w:t>
      </w:r>
      <w:r>
        <w:rPr>
          <w:rFonts w:hint="eastAsia" w:ascii="宋体" w:hAnsi="宋体" w:eastAsia="宋体" w:cs="宋体"/>
          <w:b/>
          <w:color w:val="000000" w:themeColor="text1"/>
          <w:sz w:val="24"/>
          <w:highlight w:val="none"/>
          <w14:textFill>
            <w14:solidFill>
              <w14:schemeClr w14:val="tx1"/>
            </w14:solidFill>
          </w14:textFill>
        </w:rPr>
        <w:t>后开具）</w:t>
      </w:r>
    </w:p>
    <w:p w14:paraId="673C9F8D">
      <w:pPr>
        <w:pStyle w:val="12"/>
        <w:spacing w:line="240" w:lineRule="atLeast"/>
        <w:ind w:left="1080" w:leftChars="257" w:hanging="540"/>
        <w:rPr>
          <w:rFonts w:hint="eastAsia" w:ascii="宋体" w:hAnsi="宋体" w:eastAsia="宋体" w:cs="宋体"/>
          <w:b/>
          <w:color w:val="000000" w:themeColor="text1"/>
          <w:sz w:val="24"/>
          <w:highlight w:val="none"/>
          <w14:textFill>
            <w14:solidFill>
              <w14:schemeClr w14:val="tx1"/>
            </w14:solidFill>
          </w14:textFill>
        </w:rPr>
      </w:pPr>
    </w:p>
    <w:p w14:paraId="111F7A06">
      <w:pPr>
        <w:pStyle w:val="12"/>
        <w:pageBreakBefore w:val="0"/>
        <w:widowControl w:val="0"/>
        <w:kinsoku/>
        <w:wordWrap/>
        <w:overflowPunct/>
        <w:topLinePunct w:val="0"/>
        <w:bidi w:val="0"/>
        <w:snapToGrid/>
        <w:spacing w:line="400" w:lineRule="atLeas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 (</w:t>
      </w:r>
      <w:r>
        <w:rPr>
          <w:rFonts w:hint="eastAsia" w:ascii="宋体" w:hAnsi="宋体" w:eastAsia="宋体" w:cs="宋体"/>
          <w:i/>
          <w:color w:val="000000" w:themeColor="text1"/>
          <w:sz w:val="24"/>
          <w:highlight w:val="none"/>
          <w:u w:val="single"/>
          <w14:textFill>
            <w14:solidFill>
              <w14:schemeClr w14:val="tx1"/>
            </w14:solidFill>
          </w14:textFill>
        </w:rPr>
        <w:t>买方名称</w:t>
      </w:r>
      <w:r>
        <w:rPr>
          <w:rFonts w:hint="eastAsia" w:ascii="宋体" w:hAnsi="宋体" w:eastAsia="宋体" w:cs="宋体"/>
          <w:color w:val="000000" w:themeColor="text1"/>
          <w:sz w:val="24"/>
          <w:highlight w:val="none"/>
          <w14:textFill>
            <w14:solidFill>
              <w14:schemeClr w14:val="tx1"/>
            </w14:solidFill>
          </w14:textFill>
        </w:rPr>
        <w:t>)</w:t>
      </w:r>
    </w:p>
    <w:p w14:paraId="08CDB52B">
      <w:pPr>
        <w:pStyle w:val="12"/>
        <w:pageBreakBefore w:val="0"/>
        <w:widowControl w:val="0"/>
        <w:kinsoku/>
        <w:wordWrap/>
        <w:overflowPunct/>
        <w:topLinePunct w:val="0"/>
        <w:bidi w:val="0"/>
        <w:snapToGrid/>
        <w:spacing w:line="400" w:lineRule="atLeast"/>
        <w:ind w:left="1080" w:leftChars="257" w:hanging="54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号合同履约保函</w:t>
      </w:r>
    </w:p>
    <w:p w14:paraId="039FB0AA">
      <w:pPr>
        <w:pStyle w:val="12"/>
        <w:pageBreakBefore w:val="0"/>
        <w:widowControl w:val="0"/>
        <w:kinsoku/>
        <w:wordWrap/>
        <w:overflowPunct/>
        <w:topLinePunct w:val="0"/>
        <w:bidi w:val="0"/>
        <w:snapToGrid/>
        <w:spacing w:line="400" w:lineRule="atLeast"/>
        <w:ind w:left="1080" w:leftChars="257" w:hanging="540"/>
        <w:jc w:val="center"/>
        <w:textAlignment w:val="auto"/>
        <w:rPr>
          <w:rFonts w:hint="eastAsia" w:ascii="宋体" w:hAnsi="宋体" w:eastAsia="宋体" w:cs="宋体"/>
          <w:color w:val="000000" w:themeColor="text1"/>
          <w:sz w:val="24"/>
          <w:highlight w:val="none"/>
          <w14:textFill>
            <w14:solidFill>
              <w14:schemeClr w14:val="tx1"/>
            </w14:solidFill>
          </w14:textFill>
        </w:rPr>
      </w:pPr>
    </w:p>
    <w:p w14:paraId="51396C64">
      <w:pPr>
        <w:pStyle w:val="12"/>
        <w:pageBreakBefore w:val="0"/>
        <w:widowControl w:val="0"/>
        <w:kinsoku/>
        <w:wordWrap/>
        <w:overflowPunct/>
        <w:topLinePunct w:val="0"/>
        <w:bidi w:val="0"/>
        <w:snapToGrid/>
        <w:spacing w:line="400" w:lineRule="atLeast"/>
        <w:ind w:firstLine="600" w:firstLineChars="2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本保函作为贵方与(</w:t>
      </w:r>
      <w:r>
        <w:rPr>
          <w:rFonts w:hint="eastAsia" w:ascii="宋体" w:hAnsi="宋体" w:eastAsia="宋体" w:cs="宋体"/>
          <w:i/>
          <w:color w:val="000000" w:themeColor="text1"/>
          <w:sz w:val="24"/>
          <w:highlight w:val="none"/>
          <w:u w:val="single"/>
          <w14:textFill>
            <w14:solidFill>
              <w14:schemeClr w14:val="tx1"/>
            </w14:solidFill>
          </w14:textFill>
        </w:rPr>
        <w:t>卖方名称</w:t>
      </w:r>
      <w:r>
        <w:rPr>
          <w:rFonts w:hint="eastAsia" w:ascii="宋体" w:hAnsi="宋体" w:eastAsia="宋体" w:cs="宋体"/>
          <w:color w:val="000000" w:themeColor="text1"/>
          <w:sz w:val="24"/>
          <w:highlight w:val="none"/>
          <w14:textFill>
            <w14:solidFill>
              <w14:schemeClr w14:val="tx1"/>
            </w14:solidFill>
          </w14:textFill>
        </w:rPr>
        <w:t>)(以下简称卖方)于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日就</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项目(以下简称项目)项下提供(</w:t>
      </w:r>
      <w:r>
        <w:rPr>
          <w:rFonts w:hint="eastAsia" w:ascii="宋体" w:hAnsi="宋体" w:eastAsia="宋体" w:cs="宋体"/>
          <w:i/>
          <w:color w:val="000000" w:themeColor="text1"/>
          <w:sz w:val="24"/>
          <w:highlight w:val="none"/>
          <w:u w:val="single"/>
          <w14:textFill>
            <w14:solidFill>
              <w14:schemeClr w14:val="tx1"/>
            </w14:solidFill>
          </w14:textFill>
        </w:rPr>
        <w:t>货物名称</w:t>
      </w:r>
      <w:r>
        <w:rPr>
          <w:rFonts w:hint="eastAsia" w:ascii="宋体" w:hAnsi="宋体" w:eastAsia="宋体" w:cs="宋体"/>
          <w:color w:val="000000" w:themeColor="text1"/>
          <w:sz w:val="24"/>
          <w:highlight w:val="none"/>
          <w14:textFill>
            <w14:solidFill>
              <w14:schemeClr w14:val="tx1"/>
            </w14:solidFill>
          </w14:textFill>
        </w:rPr>
        <w:t>)(以下简称货物)签订的(</w:t>
      </w:r>
      <w:r>
        <w:rPr>
          <w:rFonts w:hint="eastAsia" w:ascii="宋体" w:hAnsi="宋体" w:eastAsia="宋体" w:cs="宋体"/>
          <w:i/>
          <w:color w:val="000000" w:themeColor="text1"/>
          <w:sz w:val="24"/>
          <w:highlight w:val="none"/>
          <w:u w:val="single"/>
          <w14:textFill>
            <w14:solidFill>
              <w14:schemeClr w14:val="tx1"/>
            </w14:solidFill>
          </w14:textFill>
        </w:rPr>
        <w:t>合同号</w:t>
      </w:r>
      <w:r>
        <w:rPr>
          <w:rFonts w:hint="eastAsia" w:ascii="宋体" w:hAnsi="宋体" w:eastAsia="宋体" w:cs="宋体"/>
          <w:color w:val="000000" w:themeColor="text1"/>
          <w:sz w:val="24"/>
          <w:highlight w:val="none"/>
          <w14:textFill>
            <w14:solidFill>
              <w14:schemeClr w14:val="tx1"/>
            </w14:solidFill>
          </w14:textFill>
        </w:rPr>
        <w:t>)号合同的履约保函。</w:t>
      </w:r>
    </w:p>
    <w:p w14:paraId="2FF8A3AE">
      <w:pPr>
        <w:pStyle w:val="12"/>
        <w:pageBreakBefore w:val="0"/>
        <w:widowControl w:val="0"/>
        <w:kinsoku/>
        <w:wordWrap/>
        <w:overflowPunct/>
        <w:topLinePunct w:val="0"/>
        <w:bidi w:val="0"/>
        <w:snapToGrid/>
        <w:spacing w:line="400" w:lineRule="atLeast"/>
        <w:ind w:firstLine="540" w:firstLineChars="225"/>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i/>
          <w:color w:val="000000" w:themeColor="text1"/>
          <w:sz w:val="24"/>
          <w:highlight w:val="none"/>
          <w:u w:val="single"/>
          <w14:textFill>
            <w14:solidFill>
              <w14:schemeClr w14:val="tx1"/>
            </w14:solidFill>
          </w14:textFill>
        </w:rPr>
        <w:t>出具保函的银行名称</w:t>
      </w:r>
      <w:r>
        <w:rPr>
          <w:rFonts w:hint="eastAsia" w:ascii="宋体" w:hAnsi="宋体" w:eastAsia="宋体" w:cs="宋体"/>
          <w:color w:val="000000" w:themeColor="text1"/>
          <w:sz w:val="24"/>
          <w:highlight w:val="none"/>
          <w14:textFill>
            <w14:solidFill>
              <w14:schemeClr w14:val="tx1"/>
            </w14:solidFill>
          </w14:textFill>
        </w:rPr>
        <w:t>)(以下简称银行)无条件地、不可撤销地具结保证本行、其继承人和受让人无追索地向贵方以(</w:t>
      </w:r>
      <w:r>
        <w:rPr>
          <w:rFonts w:hint="eastAsia" w:ascii="宋体" w:hAnsi="宋体" w:eastAsia="宋体" w:cs="宋体"/>
          <w:i/>
          <w:color w:val="000000" w:themeColor="text1"/>
          <w:sz w:val="24"/>
          <w:highlight w:val="none"/>
          <w:u w:val="single"/>
          <w14:textFill>
            <w14:solidFill>
              <w14:schemeClr w14:val="tx1"/>
            </w14:solidFill>
          </w14:textFill>
        </w:rPr>
        <w:t>货币名称</w:t>
      </w:r>
      <w:r>
        <w:rPr>
          <w:rFonts w:hint="eastAsia" w:ascii="宋体" w:hAnsi="宋体" w:eastAsia="宋体" w:cs="宋体"/>
          <w:color w:val="000000" w:themeColor="text1"/>
          <w:sz w:val="24"/>
          <w:highlight w:val="none"/>
          <w14:textFill>
            <w14:solidFill>
              <w14:schemeClr w14:val="tx1"/>
            </w14:solidFill>
          </w14:textFill>
        </w:rPr>
        <w:t>)支付总额不超过(</w:t>
      </w:r>
      <w:r>
        <w:rPr>
          <w:rFonts w:hint="eastAsia" w:ascii="宋体" w:hAnsi="宋体" w:eastAsia="宋体" w:cs="宋体"/>
          <w:i/>
          <w:color w:val="000000" w:themeColor="text1"/>
          <w:sz w:val="24"/>
          <w:highlight w:val="none"/>
          <w:u w:val="single"/>
          <w14:textFill>
            <w14:solidFill>
              <w14:schemeClr w14:val="tx1"/>
            </w14:solidFill>
          </w14:textFill>
        </w:rPr>
        <w:t>货币数量</w:t>
      </w:r>
      <w:r>
        <w:rPr>
          <w:rFonts w:hint="eastAsia" w:ascii="宋体" w:hAnsi="宋体" w:eastAsia="宋体" w:cs="宋体"/>
          <w:color w:val="000000" w:themeColor="text1"/>
          <w:sz w:val="24"/>
          <w:highlight w:val="none"/>
          <w14:textFill>
            <w14:solidFill>
              <w14:schemeClr w14:val="tx1"/>
            </w14:solidFill>
          </w14:textFill>
        </w:rPr>
        <w:t>),即相当于合同价格的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%,并以此约定如下:</w:t>
      </w:r>
    </w:p>
    <w:p w14:paraId="79D7E34D">
      <w:pPr>
        <w:pStyle w:val="12"/>
        <w:pageBreakBefore w:val="0"/>
        <w:widowControl w:val="0"/>
        <w:kinsoku/>
        <w:wordWrap/>
        <w:overflowPunct/>
        <w:topLinePunct w:val="0"/>
        <w:bidi w:val="0"/>
        <w:snapToGrid/>
        <w:spacing w:line="400" w:lineRule="atLeast"/>
        <w:ind w:left="540" w:leftChars="257"/>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6767FBB4">
      <w:pPr>
        <w:pStyle w:val="12"/>
        <w:pageBreakBefore w:val="0"/>
        <w:widowControl w:val="0"/>
        <w:kinsoku/>
        <w:wordWrap/>
        <w:overflowPunct/>
        <w:topLinePunct w:val="0"/>
        <w:bidi w:val="0"/>
        <w:snapToGrid/>
        <w:spacing w:line="400" w:lineRule="atLeast"/>
        <w:ind w:left="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2.本保函项下的任何支付应为免税和净值。对于现有或将来的税收、关税、收费、费用扣减或预提税款，不论这些款项是何种性质和由谁征收，都不应从本保函项下的支付中扣除。</w:t>
      </w:r>
    </w:p>
    <w:p w14:paraId="13BD22C1">
      <w:pPr>
        <w:pStyle w:val="12"/>
        <w:pageBreakBefore w:val="0"/>
        <w:widowControl w:val="0"/>
        <w:kinsoku/>
        <w:wordWrap/>
        <w:overflowPunct/>
        <w:topLinePunct w:val="0"/>
        <w:bidi w:val="0"/>
        <w:snapToGrid/>
        <w:spacing w:line="400" w:lineRule="atLeast"/>
        <w:ind w:left="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7E3FF864">
      <w:pPr>
        <w:pStyle w:val="12"/>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4.本保函在本合同规定的保证期期满前完全有效。</w:t>
      </w:r>
    </w:p>
    <w:p w14:paraId="7F6EF3AF">
      <w:pPr>
        <w:pStyle w:val="12"/>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p>
    <w:p w14:paraId="4181885F">
      <w:pPr>
        <w:pStyle w:val="12"/>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谨启</w:t>
      </w:r>
    </w:p>
    <w:p w14:paraId="5BC2FBFD">
      <w:pPr>
        <w:pStyle w:val="12"/>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出具保函银行名称：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503070E5">
      <w:pPr>
        <w:pStyle w:val="12"/>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签字人姓名和职务：</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1926C8C">
      <w:pPr>
        <w:pStyle w:val="12"/>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签字人签名：</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7F36A4AD">
      <w:pPr>
        <w:pStyle w:val="12"/>
        <w:pageBreakBefore w:val="0"/>
        <w:widowControl w:val="0"/>
        <w:kinsoku/>
        <w:wordWrap/>
        <w:overflowPunct/>
        <w:topLinePunct w:val="0"/>
        <w:bidi w:val="0"/>
        <w:snapToGrid/>
        <w:spacing w:line="400" w:lineRule="atLeast"/>
        <w:ind w:left="1080" w:leftChars="257" w:hanging="54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公章：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E67440E">
      <w:pPr>
        <w:pStyle w:val="3"/>
        <w:pageBreakBefore w:val="0"/>
        <w:widowControl w:val="0"/>
        <w:kinsoku/>
        <w:wordWrap/>
        <w:overflowPunct/>
        <w:topLinePunct w:val="0"/>
        <w:bidi w:val="0"/>
        <w:snapToGrid/>
        <w:spacing w:before="0" w:line="400" w:lineRule="atLeast"/>
        <w:ind w:left="1080" w:leftChars="257" w:hanging="54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357" w:name="_Toc10951"/>
      <w:bookmarkStart w:id="358" w:name="_Toc18163"/>
      <w:bookmarkStart w:id="359" w:name="_Toc11953"/>
      <w:bookmarkStart w:id="360" w:name="_Toc31891"/>
      <w:bookmarkStart w:id="361" w:name="_Toc7875"/>
      <w:bookmarkStart w:id="362" w:name="_Toc26925"/>
      <w:bookmarkStart w:id="363" w:name="_Toc6548"/>
      <w:bookmarkStart w:id="364" w:name="_Toc11409"/>
      <w:bookmarkStart w:id="365" w:name="_Toc29614"/>
      <w:bookmarkStart w:id="366" w:name="_Toc3905"/>
      <w:bookmarkStart w:id="367" w:name="_Toc515647800"/>
      <w:r>
        <w:rPr>
          <w:rFonts w:hint="eastAsia" w:ascii="宋体" w:hAnsi="宋体" w:eastAsia="宋体" w:cs="宋体"/>
          <w:color w:val="000000" w:themeColor="text1"/>
          <w:szCs w:val="24"/>
          <w:highlight w:val="none"/>
          <w14:textFill>
            <w14:solidFill>
              <w14:schemeClr w14:val="tx1"/>
            </w14:solidFill>
          </w14:textFill>
        </w:rPr>
        <w:t>附件2：履约担保函格式</w:t>
      </w:r>
      <w:bookmarkEnd w:id="357"/>
      <w:bookmarkEnd w:id="358"/>
      <w:bookmarkEnd w:id="359"/>
      <w:bookmarkEnd w:id="360"/>
      <w:bookmarkEnd w:id="361"/>
      <w:bookmarkEnd w:id="362"/>
      <w:bookmarkEnd w:id="363"/>
      <w:bookmarkEnd w:id="364"/>
      <w:bookmarkEnd w:id="365"/>
      <w:bookmarkEnd w:id="366"/>
      <w:bookmarkEnd w:id="367"/>
    </w:p>
    <w:p w14:paraId="0809A69F">
      <w:pPr>
        <w:pStyle w:val="3"/>
        <w:spacing w:before="0" w:line="240" w:lineRule="atLeast"/>
        <w:ind w:left="1080" w:leftChars="257" w:hanging="540"/>
        <w:rPr>
          <w:rFonts w:hint="eastAsia" w:ascii="宋体" w:hAnsi="宋体" w:eastAsia="宋体" w:cs="宋体"/>
          <w:b w:val="0"/>
          <w:color w:val="000000" w:themeColor="text1"/>
          <w:highlight w:val="none"/>
          <w14:textFill>
            <w14:solidFill>
              <w14:schemeClr w14:val="tx1"/>
            </w14:solidFill>
          </w14:textFill>
        </w:rPr>
      </w:pPr>
      <w:bookmarkStart w:id="368" w:name="_Toc13962"/>
      <w:bookmarkStart w:id="369" w:name="_Toc1757"/>
      <w:bookmarkStart w:id="370" w:name="_Toc515647801"/>
      <w:bookmarkStart w:id="371" w:name="_Toc20916"/>
      <w:bookmarkStart w:id="372" w:name="_Toc27074"/>
      <w:bookmarkStart w:id="373" w:name="_Toc20352"/>
      <w:bookmarkStart w:id="374" w:name="_Toc10760"/>
      <w:bookmarkStart w:id="375" w:name="_Toc11692"/>
      <w:bookmarkStart w:id="376" w:name="_Toc19097"/>
      <w:bookmarkStart w:id="377" w:name="_Toc7314"/>
      <w:bookmarkStart w:id="378" w:name="_Toc162"/>
      <w:r>
        <w:rPr>
          <w:rFonts w:hint="eastAsia" w:ascii="宋体" w:hAnsi="宋体" w:eastAsia="宋体" w:cs="宋体"/>
          <w:color w:val="000000" w:themeColor="text1"/>
          <w:szCs w:val="24"/>
          <w:highlight w:val="none"/>
          <w14:textFill>
            <w14:solidFill>
              <w14:schemeClr w14:val="tx1"/>
            </w14:solidFill>
          </w14:textFill>
        </w:rPr>
        <w:t>（采用政府采购信用担保形式时使用）</w:t>
      </w:r>
      <w:bookmarkEnd w:id="368"/>
      <w:bookmarkEnd w:id="369"/>
      <w:bookmarkEnd w:id="370"/>
      <w:bookmarkEnd w:id="371"/>
      <w:bookmarkEnd w:id="372"/>
      <w:bookmarkEnd w:id="373"/>
      <w:bookmarkEnd w:id="374"/>
      <w:bookmarkEnd w:id="375"/>
      <w:bookmarkEnd w:id="376"/>
      <w:bookmarkEnd w:id="377"/>
      <w:bookmarkEnd w:id="378"/>
    </w:p>
    <w:p w14:paraId="23794A90">
      <w:pPr>
        <w:spacing w:line="240" w:lineRule="atLeast"/>
        <w:ind w:left="1080" w:leftChars="257" w:hanging="540"/>
        <w:rPr>
          <w:rFonts w:hint="eastAsia" w:ascii="宋体" w:hAnsi="宋体" w:eastAsia="宋体" w:cs="宋体"/>
          <w:b/>
          <w:color w:val="000000" w:themeColor="text1"/>
          <w:kern w:val="0"/>
          <w:sz w:val="24"/>
          <w:szCs w:val="20"/>
          <w:highlight w:val="none"/>
          <w14:textFill>
            <w14:solidFill>
              <w14:schemeClr w14:val="tx1"/>
            </w14:solidFill>
          </w14:textFill>
        </w:rPr>
      </w:pPr>
    </w:p>
    <w:p w14:paraId="622BE66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政府采购履约担保函（项目用）</w:t>
      </w:r>
    </w:p>
    <w:p w14:paraId="3ADF8EBE">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编号：</w:t>
      </w:r>
    </w:p>
    <w:p w14:paraId="71B00A7E">
      <w:pPr>
        <w:rPr>
          <w:rFonts w:hint="eastAsia" w:ascii="宋体" w:hAnsi="宋体" w:eastAsia="宋体" w:cs="宋体"/>
          <w:color w:val="000000" w:themeColor="text1"/>
          <w:sz w:val="24"/>
          <w:highlight w:val="none"/>
          <w14:textFill>
            <w14:solidFill>
              <w14:schemeClr w14:val="tx1"/>
            </w14:solidFill>
          </w14:textFill>
        </w:rPr>
      </w:pPr>
    </w:p>
    <w:p w14:paraId="34C8E2C7">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（采购人）：</w:t>
      </w:r>
    </w:p>
    <w:p w14:paraId="695B88AA">
      <w:pPr>
        <w:rPr>
          <w:rFonts w:hint="eastAsia" w:ascii="宋体" w:hAnsi="宋体" w:eastAsia="宋体" w:cs="宋体"/>
          <w:color w:val="000000" w:themeColor="text1"/>
          <w:sz w:val="24"/>
          <w:highlight w:val="none"/>
          <w14:textFill>
            <w14:solidFill>
              <w14:schemeClr w14:val="tx1"/>
            </w14:solidFill>
          </w14:textFill>
        </w:rPr>
      </w:pPr>
    </w:p>
    <w:p w14:paraId="1D71D07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鉴于你方与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（以下简称供应商）于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日签定编号为   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政府采购合同》（以下简称主合同），且依据该合同的约定，供应商应在</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p>
    <w:p w14:paraId="5EFEDA0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日前向你方交纳履约保证金，且可以履约担保函的形式交纳履约保证金。应供应商的申请，我方以保证的方式向你方提供如下履约保证金担保：</w:t>
      </w:r>
    </w:p>
    <w:p w14:paraId="10DF6FF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一、保证责任的情形及保证金额</w:t>
      </w:r>
    </w:p>
    <w:p w14:paraId="2833FDE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（一）在供应商出现下列情形之一时，我方承担保证责任：</w:t>
      </w:r>
    </w:p>
    <w:p w14:paraId="172D310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1．将</w:t>
      </w:r>
      <w:r>
        <w:rPr>
          <w:rFonts w:hint="eastAsia" w:ascii="宋体" w:hAnsi="宋体" w:cs="宋体"/>
          <w:color w:val="000000" w:themeColor="text1"/>
          <w:sz w:val="24"/>
          <w:highlight w:val="none"/>
          <w:lang w:val="en-US" w:eastAsia="zh-CN"/>
          <w14:textFill>
            <w14:solidFill>
              <w14:schemeClr w14:val="tx1"/>
            </w14:solidFill>
          </w14:textFill>
        </w:rPr>
        <w:t>成交</w:t>
      </w:r>
      <w:r>
        <w:rPr>
          <w:rFonts w:hint="eastAsia" w:ascii="宋体" w:hAnsi="宋体" w:eastAsia="宋体" w:cs="宋体"/>
          <w:color w:val="000000" w:themeColor="text1"/>
          <w:sz w:val="24"/>
          <w:highlight w:val="none"/>
          <w14:textFill>
            <w14:solidFill>
              <w14:schemeClr w14:val="tx1"/>
            </w14:solidFill>
          </w14:textFill>
        </w:rPr>
        <w:t>项目转让给他人，或者在</w:t>
      </w:r>
      <w:r>
        <w:rPr>
          <w:rFonts w:hint="eastAsia" w:ascii="宋体" w:hAnsi="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中未说明，且未经采购</w:t>
      </w:r>
      <w:r>
        <w:rPr>
          <w:rFonts w:hint="eastAsia" w:ascii="宋体" w:hAnsi="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人同意，将</w:t>
      </w:r>
      <w:r>
        <w:rPr>
          <w:rFonts w:hint="eastAsia" w:ascii="宋体" w:hAnsi="宋体" w:cs="宋体"/>
          <w:color w:val="000000" w:themeColor="text1"/>
          <w:sz w:val="24"/>
          <w:highlight w:val="none"/>
          <w:lang w:val="en-US" w:eastAsia="zh-CN"/>
          <w14:textFill>
            <w14:solidFill>
              <w14:schemeClr w14:val="tx1"/>
            </w14:solidFill>
          </w14:textFill>
        </w:rPr>
        <w:t>成交</w:t>
      </w:r>
      <w:r>
        <w:rPr>
          <w:rFonts w:hint="eastAsia" w:ascii="宋体" w:hAnsi="宋体" w:eastAsia="宋体" w:cs="宋体"/>
          <w:color w:val="000000" w:themeColor="text1"/>
          <w:sz w:val="24"/>
          <w:highlight w:val="none"/>
          <w14:textFill>
            <w14:solidFill>
              <w14:schemeClr w14:val="tx1"/>
            </w14:solidFill>
          </w14:textFill>
        </w:rPr>
        <w:t>项目分包给他人的；</w:t>
      </w:r>
    </w:p>
    <w:p w14:paraId="14013B6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2．主合同约定的应当缴纳履约保证金的情形: </w:t>
      </w:r>
    </w:p>
    <w:p w14:paraId="69CCB7F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（1）未按主合同约定的质量、数量和期限供应货物/提供服务/完成工程的；</w:t>
      </w:r>
    </w:p>
    <w:p w14:paraId="6E0F7B3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1E3EE4B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（二）我方的保证范围是主合同约定的合同价款总额的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%数额为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元（大写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），币种为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。（即主合同履约保证金金额）</w:t>
      </w:r>
    </w:p>
    <w:p w14:paraId="7B33824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二、保证的方式及保证期间</w:t>
      </w:r>
    </w:p>
    <w:p w14:paraId="54EB6EB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我方保证的方式为：连带责任保证。</w:t>
      </w:r>
    </w:p>
    <w:p w14:paraId="5C7FFD7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我方保证的期间为：自本合同生效之日起至供应商按照主合同约定的供货/完工期限届满后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日内。</w:t>
      </w:r>
    </w:p>
    <w:p w14:paraId="1FBC430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如果供应商未按主合同约定向贵方供应货物/提供服务/完成工程的，由我方在保证金额内向你方支付上述款项。</w:t>
      </w:r>
    </w:p>
    <w:p w14:paraId="286BAE6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三、承担保证责任的程序</w:t>
      </w:r>
    </w:p>
    <w:p w14:paraId="767D85B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1．你方要求我方承担保证责任的，应在本保函保证期间内向我方发出书面索赔通知。索赔通知应写明要求索赔的金额，支付款项应到达的帐号。并附有证明供应商违约事实的证明材料。</w:t>
      </w:r>
    </w:p>
    <w:p w14:paraId="5F4D5D0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如果你方与供应商因货物质量问题产生争议，你方还需同时提供</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部门出具的质量检测报告，或经诉讼（仲裁）程序裁决后的裁决书、调解书，本保证人即按照检测结果或裁决书、调解书决定是否承担保证责任。</w:t>
      </w:r>
    </w:p>
    <w:p w14:paraId="006BAA1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我方收到你方的书面索赔通知及相应证明材料，在</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工作日内进行核定后按照本保函的承诺承担保证责任。</w:t>
      </w:r>
    </w:p>
    <w:p w14:paraId="00B84C2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四、保证责任的终止</w:t>
      </w:r>
    </w:p>
    <w:p w14:paraId="021F483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D62C96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2．我方按照本保函向你方履行了保证责任后，自我方向你方支付款项（支付款项从我方账户划出）之日起，保证责任即终止。</w:t>
      </w:r>
    </w:p>
    <w:p w14:paraId="18ED0AB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3．按照法律法规的规定或出现应终止我方保证责任的其它情形的，我方在本保函项下的保证责任亦终止。</w:t>
      </w:r>
    </w:p>
    <w:p w14:paraId="1E7A56B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2515EF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五、免责条款</w:t>
      </w:r>
    </w:p>
    <w:p w14:paraId="21C3311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1．因你方违反主合同约定致使供应商不能履行义务的，我方不承担保证责任。</w:t>
      </w:r>
    </w:p>
    <w:p w14:paraId="4D96762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2．依照法律法规的规定或你方与供应商的另行约定，全部或者部分免除供应商应缴纳的保证金义务的，我方亦免除相应的保证责任。</w:t>
      </w:r>
    </w:p>
    <w:p w14:paraId="5473170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3．因不可抗力造成供应商不能履行供货义务的，我方不承担保证责任。</w:t>
      </w:r>
    </w:p>
    <w:p w14:paraId="3B7338B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六、争议的解决</w:t>
      </w:r>
    </w:p>
    <w:p w14:paraId="2805FBB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因本保函发生的纠纷，由你我双方协商解决，协商不成的，通过诉讼程序解决，诉讼管辖地法院为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法院。</w:t>
      </w:r>
    </w:p>
    <w:p w14:paraId="42DC146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七、保函的生效</w:t>
      </w:r>
    </w:p>
    <w:p w14:paraId="47A014A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本保函自我方加盖公章之日起生效。</w:t>
      </w:r>
    </w:p>
    <w:p w14:paraId="34B42D0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3DE5438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744C0212">
      <w:pPr>
        <w:keepNext w:val="0"/>
        <w:keepLines w:val="0"/>
        <w:pageBreakBefore w:val="0"/>
        <w:widowControl w:val="0"/>
        <w:kinsoku/>
        <w:wordWrap/>
        <w:overflowPunct/>
        <w:topLinePunct w:val="0"/>
        <w:autoSpaceDE/>
        <w:autoSpaceDN/>
        <w:bidi w:val="0"/>
        <w:adjustRightInd/>
        <w:spacing w:line="400" w:lineRule="exact"/>
        <w:ind w:firstLine="5400" w:firstLineChars="22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保证人：（公章）</w:t>
      </w:r>
    </w:p>
    <w:p w14:paraId="504862A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76A577B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14:paraId="5E1C3EBE">
      <w:pPr>
        <w:pStyle w:val="1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p>
    <w:p w14:paraId="01769164">
      <w:pPr>
        <w:pStyle w:val="2"/>
        <w:numPr>
          <w:ilvl w:val="0"/>
          <w:numId w:val="0"/>
        </w:numPr>
        <w:tabs>
          <w:tab w:val="left" w:pos="0"/>
        </w:tabs>
        <w:spacing w:before="0" w:after="0" w:line="240" w:lineRule="atLeast"/>
        <w:jc w:val="center"/>
        <w:rPr>
          <w:rFonts w:hint="eastAsia" w:ascii="宋体" w:hAnsi="宋体" w:eastAsia="宋体" w:cs="宋体"/>
          <w:color w:val="000000" w:themeColor="text1"/>
          <w:highlight w:val="none"/>
          <w14:textFill>
            <w14:solidFill>
              <w14:schemeClr w14:val="tx1"/>
            </w14:solidFill>
          </w14:textFill>
        </w:rPr>
      </w:pPr>
      <w:bookmarkStart w:id="379" w:name="_Toc4734"/>
      <w:bookmarkStart w:id="380" w:name="_Toc28256"/>
      <w:bookmarkStart w:id="381" w:name="_Toc26577"/>
      <w:r>
        <w:rPr>
          <w:rFonts w:hint="eastAsia" w:ascii="宋体" w:hAnsi="宋体" w:eastAsia="宋体" w:cs="宋体"/>
          <w:color w:val="000000" w:themeColor="text1"/>
          <w:highlight w:val="none"/>
          <w:lang w:val="en-US" w:eastAsia="zh-CN"/>
          <w14:textFill>
            <w14:solidFill>
              <w14:schemeClr w14:val="tx1"/>
            </w14:solidFill>
          </w14:textFill>
        </w:rPr>
        <w:t xml:space="preserve">第四章  </w:t>
      </w:r>
      <w:r>
        <w:rPr>
          <w:rFonts w:hint="eastAsia" w:ascii="宋体" w:hAnsi="宋体" w:eastAsia="宋体" w:cs="宋体"/>
          <w:color w:val="000000" w:themeColor="text1"/>
          <w:highlight w:val="none"/>
          <w14:textFill>
            <w14:solidFill>
              <w14:schemeClr w14:val="tx1"/>
            </w14:solidFill>
          </w14:textFill>
        </w:rPr>
        <w:t>项目服务需求</w:t>
      </w:r>
      <w:bookmarkEnd w:id="379"/>
      <w:bookmarkEnd w:id="380"/>
      <w:bookmarkEnd w:id="381"/>
    </w:p>
    <w:p w14:paraId="012C94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highlight w:val="none"/>
          <w14:textFill>
            <w14:solidFill>
              <w14:schemeClr w14:val="tx1"/>
            </w14:solidFill>
          </w14:textFill>
        </w:rPr>
      </w:pPr>
    </w:p>
    <w:p w14:paraId="4EDED86D">
      <w:pPr>
        <w:keepNext w:val="0"/>
        <w:keepLines w:val="0"/>
        <w:pageBreakBefore w:val="0"/>
        <w:widowControl w:val="0"/>
        <w:kinsoku/>
        <w:wordWrap/>
        <w:overflowPunct/>
        <w:topLinePunct w:val="0"/>
        <w:autoSpaceDE/>
        <w:autoSpaceDN/>
        <w:bidi w:val="0"/>
        <w:adjustRightInd/>
        <w:snapToGrid/>
        <w:spacing w:before="232" w:line="360" w:lineRule="exact"/>
        <w:ind w:firstLine="45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项目名称：</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新疆哈密市伊吾县淖毛湖镇基础设施配套建设项目-工程材料检测服务</w:t>
      </w:r>
    </w:p>
    <w:p w14:paraId="2D34CC79">
      <w:pPr>
        <w:keepNext w:val="0"/>
        <w:keepLines w:val="0"/>
        <w:pageBreakBefore w:val="0"/>
        <w:widowControl w:val="0"/>
        <w:kinsoku/>
        <w:wordWrap/>
        <w:overflowPunct/>
        <w:topLinePunct w:val="0"/>
        <w:autoSpaceDE/>
        <w:autoSpaceDN/>
        <w:bidi w:val="0"/>
        <w:adjustRightInd/>
        <w:snapToGrid/>
        <w:spacing w:before="232" w:line="360" w:lineRule="exact"/>
        <w:ind w:firstLine="45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项目编号：</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2026-XJXZ-0303</w:t>
      </w:r>
    </w:p>
    <w:p w14:paraId="028CC409">
      <w:pPr>
        <w:keepNext w:val="0"/>
        <w:keepLines w:val="0"/>
        <w:pageBreakBefore w:val="0"/>
        <w:widowControl w:val="0"/>
        <w:kinsoku/>
        <w:wordWrap/>
        <w:overflowPunct/>
        <w:topLinePunct w:val="0"/>
        <w:autoSpaceDE/>
        <w:autoSpaceDN/>
        <w:bidi w:val="0"/>
        <w:adjustRightInd/>
        <w:snapToGrid/>
        <w:spacing w:before="232" w:line="360" w:lineRule="exact"/>
        <w:ind w:firstLine="45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项目投资总额：</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25万元</w:t>
      </w:r>
    </w:p>
    <w:p w14:paraId="2B298B1C">
      <w:pPr>
        <w:keepNext w:val="0"/>
        <w:keepLines w:val="0"/>
        <w:pageBreakBefore w:val="0"/>
        <w:widowControl w:val="0"/>
        <w:kinsoku/>
        <w:wordWrap/>
        <w:overflowPunct/>
        <w:topLinePunct w:val="0"/>
        <w:autoSpaceDE/>
        <w:autoSpaceDN/>
        <w:bidi w:val="0"/>
        <w:adjustRightInd/>
        <w:snapToGrid/>
        <w:spacing w:before="232" w:line="360" w:lineRule="exact"/>
        <w:ind w:firstLine="45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项目资金来源：县财政资金</w:t>
      </w:r>
    </w:p>
    <w:p w14:paraId="7A7B511A">
      <w:pPr>
        <w:keepNext w:val="0"/>
        <w:keepLines w:val="0"/>
        <w:pageBreakBefore w:val="0"/>
        <w:widowControl w:val="0"/>
        <w:kinsoku/>
        <w:wordWrap/>
        <w:overflowPunct/>
        <w:topLinePunct w:val="0"/>
        <w:autoSpaceDE/>
        <w:autoSpaceDN/>
        <w:bidi w:val="0"/>
        <w:adjustRightInd/>
        <w:snapToGrid/>
        <w:spacing w:before="232" w:line="360" w:lineRule="exact"/>
        <w:ind w:firstLine="45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一、项目主要内容：硬化面积5529平方米，绿化面积 19377 平方米，及公厕、给水、排水、电力、供热等附属工程等。  </w:t>
      </w:r>
    </w:p>
    <w:p w14:paraId="3D2FB219">
      <w:pPr>
        <w:keepNext w:val="0"/>
        <w:keepLines w:val="0"/>
        <w:pageBreakBefore w:val="0"/>
        <w:widowControl w:val="0"/>
        <w:kinsoku/>
        <w:wordWrap/>
        <w:overflowPunct/>
        <w:topLinePunct w:val="0"/>
        <w:autoSpaceDE/>
        <w:autoSpaceDN/>
        <w:bidi w:val="0"/>
        <w:adjustRightInd/>
        <w:snapToGrid/>
        <w:spacing w:before="232" w:line="360" w:lineRule="exact"/>
        <w:ind w:firstLine="45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二、服务内容：</w:t>
      </w:r>
      <w: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t>按照《建设工程质量管理条例》、《建设工程质量检测管理办法》的要求对新疆哈密市伊吾县淖毛湖镇供水、排水管网改造项目（二期）涉及结构安全的试块、试件以及有关材料进行检测，对进入施工现场的建筑材料、建筑构配件、设备以及工程实体质量等进行检测。</w:t>
      </w:r>
    </w:p>
    <w:p w14:paraId="5F0055E5">
      <w:pPr>
        <w:keepNext w:val="0"/>
        <w:keepLines w:val="0"/>
        <w:pageBreakBefore w:val="0"/>
        <w:widowControl w:val="0"/>
        <w:kinsoku/>
        <w:wordWrap/>
        <w:overflowPunct/>
        <w:topLinePunct w:val="0"/>
        <w:autoSpaceDE/>
        <w:autoSpaceDN/>
        <w:bidi w:val="0"/>
        <w:adjustRightInd/>
        <w:snapToGrid/>
        <w:spacing w:before="232" w:line="360" w:lineRule="exact"/>
        <w:ind w:firstLine="45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82" w:name="_Toc9771"/>
      <w:bookmarkStart w:id="383" w:name="_Toc15974"/>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三、服务要求：</w:t>
      </w:r>
    </w:p>
    <w:p w14:paraId="017BC112">
      <w:pPr>
        <w:keepNext w:val="0"/>
        <w:keepLines w:val="0"/>
        <w:pageBreakBefore w:val="0"/>
        <w:widowControl w:val="0"/>
        <w:kinsoku/>
        <w:wordWrap/>
        <w:overflowPunct/>
        <w:topLinePunct w:val="0"/>
        <w:autoSpaceDE/>
        <w:autoSpaceDN/>
        <w:bidi w:val="0"/>
        <w:adjustRightInd/>
        <w:snapToGrid/>
        <w:spacing w:before="232" w:line="360" w:lineRule="exact"/>
        <w:ind w:firstLine="45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本工程的第三方工程质量检测机构服务均须执行中华人民共和国国家标准及住房和城乡建设部颁发的有关建筑工程、市政工程现行的规程、标准、规范、办法，以及住房和城乡建设部、新疆维吾尔自治区住房和城乡建设行政主管部门下发的有关建设工程监理方面的文件规定。</w:t>
      </w:r>
    </w:p>
    <w:p w14:paraId="09168FA0">
      <w:pPr>
        <w:keepNext w:val="0"/>
        <w:keepLines w:val="0"/>
        <w:pageBreakBefore w:val="0"/>
        <w:widowControl w:val="0"/>
        <w:kinsoku/>
        <w:wordWrap/>
        <w:overflowPunct/>
        <w:topLinePunct w:val="0"/>
        <w:autoSpaceDE/>
        <w:autoSpaceDN/>
        <w:bidi w:val="0"/>
        <w:adjustRightInd/>
        <w:snapToGrid/>
        <w:spacing w:before="232" w:line="360" w:lineRule="exact"/>
        <w:ind w:firstLine="45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四、付款方式：以合同签订为准。</w:t>
      </w:r>
    </w:p>
    <w:p w14:paraId="716BD109">
      <w:pPr>
        <w:keepNext w:val="0"/>
        <w:keepLines w:val="0"/>
        <w:pageBreakBefore w:val="0"/>
        <w:widowControl w:val="0"/>
        <w:kinsoku/>
        <w:wordWrap/>
        <w:overflowPunct/>
        <w:topLinePunct w:val="0"/>
        <w:autoSpaceDE/>
        <w:autoSpaceDN/>
        <w:bidi w:val="0"/>
        <w:adjustRightInd/>
        <w:snapToGrid/>
        <w:spacing w:before="232" w:line="360" w:lineRule="exact"/>
        <w:ind w:firstLine="45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五、合同履约期限：签订合同之日起至工程竣工验收止。</w:t>
      </w:r>
    </w:p>
    <w:p w14:paraId="6EA6B33C">
      <w:pPr>
        <w:keepNext w:val="0"/>
        <w:keepLines w:val="0"/>
        <w:pageBreakBefore w:val="0"/>
        <w:widowControl w:val="0"/>
        <w:kinsoku/>
        <w:wordWrap/>
        <w:overflowPunct/>
        <w:topLinePunct w:val="0"/>
        <w:autoSpaceDE/>
        <w:autoSpaceDN/>
        <w:bidi w:val="0"/>
        <w:adjustRightInd/>
        <w:snapToGrid/>
        <w:spacing w:before="232" w:line="360" w:lineRule="exact"/>
        <w:ind w:firstLine="45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六、质量要求：合格，满足国家及行业标准并通过主管部门的审核。</w:t>
      </w:r>
    </w:p>
    <w:p w14:paraId="71C931E4">
      <w:pPr>
        <w:pStyle w:val="2"/>
        <w:tabs>
          <w:tab w:val="left" w:pos="0"/>
        </w:tabs>
        <w:spacing w:before="0" w:after="0" w:line="240" w:lineRule="auto"/>
        <w:ind w:firstLine="0" w:firstLineChars="0"/>
        <w:jc w:val="center"/>
        <w:rPr>
          <w:rFonts w:hint="eastAsia" w:ascii="宋体" w:hAnsi="宋体" w:eastAsia="宋体" w:cs="宋体"/>
          <w:color w:val="000000" w:themeColor="text1"/>
          <w:highlight w:val="none"/>
          <w:lang w:val="en-US" w:eastAsia="zh-CN"/>
          <w14:textFill>
            <w14:solidFill>
              <w14:schemeClr w14:val="tx1"/>
            </w14:solidFill>
          </w14:textFill>
        </w:rPr>
      </w:pPr>
    </w:p>
    <w:p w14:paraId="23E1A05D">
      <w:pPr>
        <w:pStyle w:val="2"/>
        <w:tabs>
          <w:tab w:val="left" w:pos="0"/>
        </w:tabs>
        <w:spacing w:before="0" w:after="0" w:line="240" w:lineRule="auto"/>
        <w:ind w:firstLine="0" w:firstLineChars="0"/>
        <w:jc w:val="center"/>
        <w:rPr>
          <w:rFonts w:hint="eastAsia" w:ascii="宋体" w:hAnsi="宋体" w:eastAsia="宋体" w:cs="宋体"/>
          <w:color w:val="000000" w:themeColor="text1"/>
          <w:highlight w:val="none"/>
          <w:lang w:val="en-US" w:eastAsia="zh-CN"/>
          <w14:textFill>
            <w14:solidFill>
              <w14:schemeClr w14:val="tx1"/>
            </w14:solidFill>
          </w14:textFill>
        </w:rPr>
      </w:pPr>
    </w:p>
    <w:p w14:paraId="64269623">
      <w:pPr>
        <w:rPr>
          <w:rFonts w:hint="eastAsia" w:ascii="宋体" w:hAnsi="宋体" w:eastAsia="宋体" w:cs="宋体"/>
          <w:color w:val="000000" w:themeColor="text1"/>
          <w:highlight w:val="none"/>
          <w:lang w:val="en-US" w:eastAsia="zh-CN"/>
          <w14:textFill>
            <w14:solidFill>
              <w14:schemeClr w14:val="tx1"/>
            </w14:solidFill>
          </w14:textFill>
        </w:rPr>
      </w:pPr>
    </w:p>
    <w:p w14:paraId="2F2C4D9F">
      <w:pPr>
        <w:rPr>
          <w:rFonts w:hint="eastAsia" w:ascii="宋体" w:hAnsi="宋体" w:eastAsia="宋体" w:cs="宋体"/>
          <w:color w:val="000000" w:themeColor="text1"/>
          <w:highlight w:val="none"/>
          <w:lang w:val="en-US" w:eastAsia="zh-CN"/>
          <w14:textFill>
            <w14:solidFill>
              <w14:schemeClr w14:val="tx1"/>
            </w14:solidFill>
          </w14:textFill>
        </w:rPr>
      </w:pPr>
    </w:p>
    <w:p w14:paraId="4DBACF20">
      <w:pPr>
        <w:rPr>
          <w:rFonts w:hint="eastAsia" w:ascii="宋体" w:hAnsi="宋体" w:eastAsia="宋体" w:cs="宋体"/>
          <w:color w:val="000000" w:themeColor="text1"/>
          <w:highlight w:val="none"/>
          <w:lang w:val="en-US" w:eastAsia="zh-CN"/>
          <w14:textFill>
            <w14:solidFill>
              <w14:schemeClr w14:val="tx1"/>
            </w14:solidFill>
          </w14:textFill>
        </w:rPr>
      </w:pPr>
    </w:p>
    <w:p w14:paraId="11920737">
      <w:pPr>
        <w:rPr>
          <w:rFonts w:hint="eastAsia" w:ascii="宋体" w:hAnsi="宋体" w:eastAsia="宋体" w:cs="宋体"/>
          <w:color w:val="000000" w:themeColor="text1"/>
          <w:highlight w:val="none"/>
          <w:lang w:val="en-US" w:eastAsia="zh-CN"/>
          <w14:textFill>
            <w14:solidFill>
              <w14:schemeClr w14:val="tx1"/>
            </w14:solidFill>
          </w14:textFill>
        </w:rPr>
      </w:pPr>
    </w:p>
    <w:p w14:paraId="5E883222">
      <w:pPr>
        <w:rPr>
          <w:rFonts w:hint="eastAsia" w:ascii="宋体" w:hAnsi="宋体" w:eastAsia="宋体" w:cs="宋体"/>
          <w:color w:val="000000" w:themeColor="text1"/>
          <w:highlight w:val="none"/>
          <w:lang w:val="en-US" w:eastAsia="zh-CN"/>
          <w14:textFill>
            <w14:solidFill>
              <w14:schemeClr w14:val="tx1"/>
            </w14:solidFill>
          </w14:textFill>
        </w:rPr>
      </w:pPr>
    </w:p>
    <w:p w14:paraId="11B5ED3F">
      <w:pPr>
        <w:rPr>
          <w:rFonts w:hint="eastAsia" w:ascii="宋体" w:hAnsi="宋体" w:eastAsia="宋体" w:cs="宋体"/>
          <w:color w:val="000000" w:themeColor="text1"/>
          <w:highlight w:val="none"/>
          <w:lang w:val="en-US" w:eastAsia="zh-CN"/>
          <w14:textFill>
            <w14:solidFill>
              <w14:schemeClr w14:val="tx1"/>
            </w14:solidFill>
          </w14:textFill>
        </w:rPr>
      </w:pPr>
    </w:p>
    <w:p w14:paraId="75DB6363">
      <w:pPr>
        <w:rPr>
          <w:rFonts w:hint="eastAsia" w:ascii="宋体" w:hAnsi="宋体" w:eastAsia="宋体" w:cs="宋体"/>
          <w:color w:val="000000" w:themeColor="text1"/>
          <w:highlight w:val="none"/>
          <w:lang w:val="en-US" w:eastAsia="zh-CN"/>
          <w14:textFill>
            <w14:solidFill>
              <w14:schemeClr w14:val="tx1"/>
            </w14:solidFill>
          </w14:textFill>
        </w:rPr>
      </w:pPr>
    </w:p>
    <w:p w14:paraId="3A6EC280">
      <w:pPr>
        <w:rPr>
          <w:rFonts w:hint="eastAsia" w:ascii="宋体" w:hAnsi="宋体" w:eastAsia="宋体" w:cs="宋体"/>
          <w:color w:val="000000" w:themeColor="text1"/>
          <w:highlight w:val="none"/>
          <w:lang w:val="en-US" w:eastAsia="zh-CN"/>
          <w14:textFill>
            <w14:solidFill>
              <w14:schemeClr w14:val="tx1"/>
            </w14:solidFill>
          </w14:textFill>
        </w:rPr>
      </w:pPr>
    </w:p>
    <w:p w14:paraId="26B325FC">
      <w:pPr>
        <w:rPr>
          <w:rFonts w:hint="eastAsia"/>
          <w:color w:val="000000" w:themeColor="text1"/>
          <w:highlight w:val="none"/>
          <w:lang w:val="en-US" w:eastAsia="zh-CN"/>
          <w14:textFill>
            <w14:solidFill>
              <w14:schemeClr w14:val="tx1"/>
            </w14:solidFill>
          </w14:textFill>
        </w:rPr>
      </w:pPr>
    </w:p>
    <w:p w14:paraId="35AB168A">
      <w:pPr>
        <w:pStyle w:val="2"/>
        <w:tabs>
          <w:tab w:val="left" w:pos="0"/>
        </w:tabs>
        <w:spacing w:before="0" w:after="0" w:line="240" w:lineRule="auto"/>
        <w:ind w:firstLine="0" w:firstLineChars="0"/>
        <w:jc w:val="center"/>
        <w:rPr>
          <w:rFonts w:hint="eastAsia" w:ascii="宋体" w:hAnsi="宋体" w:eastAsia="宋体" w:cs="宋体"/>
          <w:color w:val="000000" w:themeColor="text1"/>
          <w:highlight w:val="none"/>
          <w14:textFill>
            <w14:solidFill>
              <w14:schemeClr w14:val="tx1"/>
            </w14:solidFill>
          </w14:textFill>
        </w:rPr>
      </w:pPr>
      <w:bookmarkStart w:id="384" w:name="_Toc18754"/>
      <w:r>
        <w:rPr>
          <w:rFonts w:hint="eastAsia" w:ascii="宋体" w:hAnsi="宋体" w:eastAsia="宋体" w:cs="宋体"/>
          <w:color w:val="000000" w:themeColor="text1"/>
          <w:highlight w:val="none"/>
          <w:lang w:val="en-US" w:eastAsia="zh-CN"/>
          <w14:textFill>
            <w14:solidFill>
              <w14:schemeClr w14:val="tx1"/>
            </w14:solidFill>
          </w14:textFill>
        </w:rPr>
        <w:t>第五</w:t>
      </w:r>
      <w:r>
        <w:rPr>
          <w:rFonts w:hint="eastAsia" w:ascii="宋体" w:hAnsi="宋体" w:eastAsia="宋体" w:cs="宋体"/>
          <w:color w:val="000000" w:themeColor="text1"/>
          <w:highlight w:val="none"/>
          <w14:textFill>
            <w14:solidFill>
              <w14:schemeClr w14:val="tx1"/>
            </w14:solidFill>
          </w14:textFill>
        </w:rPr>
        <w:t xml:space="preserve">章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评审方法和标准</w:t>
      </w:r>
      <w:bookmarkEnd w:id="382"/>
      <w:bookmarkEnd w:id="383"/>
      <w:bookmarkEnd w:id="384"/>
    </w:p>
    <w:p w14:paraId="4963E658">
      <w:pPr>
        <w:pStyle w:val="8"/>
        <w:keepNext w:val="0"/>
        <w:keepLines w:val="0"/>
        <w:pageBreakBefore w:val="0"/>
        <w:tabs>
          <w:tab w:val="clear" w:pos="567"/>
        </w:tabs>
        <w:kinsoku/>
        <w:wordWrap/>
        <w:overflowPunct/>
        <w:topLinePunct w:val="0"/>
        <w:autoSpaceDE/>
        <w:autoSpaceDN/>
        <w:bidi w:val="0"/>
        <w:adjustRightInd/>
        <w:snapToGrid/>
        <w:spacing w:before="0" w:line="400" w:lineRule="exact"/>
        <w:textAlignment w:val="auto"/>
        <w:rPr>
          <w:rFonts w:hint="eastAsia" w:ascii="宋体" w:hAnsi="宋体" w:eastAsia="宋体" w:cs="宋体"/>
          <w:color w:val="000000" w:themeColor="text1"/>
          <w:highlight w:val="none"/>
          <w14:textFill>
            <w14:solidFill>
              <w14:schemeClr w14:val="tx1"/>
            </w14:solidFill>
          </w14:textFill>
        </w:rPr>
      </w:pPr>
    </w:p>
    <w:p w14:paraId="09D66BC1">
      <w:pPr>
        <w:pStyle w:val="25"/>
        <w:keepNext w:val="0"/>
        <w:keepLines w:val="0"/>
        <w:pageBreakBefore w:val="0"/>
        <w:numPr>
          <w:ilvl w:val="1"/>
          <w:numId w:val="4"/>
        </w:numPr>
        <w:tabs>
          <w:tab w:val="left" w:pos="420"/>
        </w:tabs>
        <w:kinsoku/>
        <w:wordWrap/>
        <w:overflowPunct/>
        <w:topLinePunct w:val="0"/>
        <w:autoSpaceDE/>
        <w:autoSpaceDN/>
        <w:bidi w:val="0"/>
        <w:adjustRightInd/>
        <w:snapToGrid/>
        <w:spacing w:before="66" w:line="400" w:lineRule="exact"/>
        <w:ind w:left="1296" w:leftChars="0" w:hanging="1296" w:firstLineChars="0"/>
        <w:textAlignment w:val="auto"/>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385" w:name="_Toc20019"/>
      <w:bookmarkStart w:id="386" w:name="_Toc9101"/>
      <w:bookmarkStart w:id="387" w:name="_Toc30391"/>
      <w:bookmarkStart w:id="388" w:name="_Toc23698"/>
      <w:bookmarkStart w:id="389" w:name="_Toc19626"/>
      <w:bookmarkStart w:id="390" w:name="_Toc15734"/>
      <w:r>
        <w:rPr>
          <w:rFonts w:hint="eastAsia" w:ascii="宋体" w:hAnsi="宋体" w:eastAsia="宋体" w:cs="宋体"/>
          <w:color w:val="000000" w:themeColor="text1"/>
          <w:sz w:val="24"/>
          <w:szCs w:val="24"/>
          <w:highlight w:val="none"/>
          <w14:textFill>
            <w14:solidFill>
              <w14:schemeClr w14:val="tx1"/>
            </w14:solidFill>
          </w14:textFill>
        </w:rPr>
        <w:t>总则</w:t>
      </w:r>
      <w:bookmarkEnd w:id="385"/>
      <w:bookmarkEnd w:id="386"/>
      <w:bookmarkEnd w:id="387"/>
      <w:bookmarkEnd w:id="388"/>
      <w:bookmarkEnd w:id="389"/>
      <w:bookmarkEnd w:id="390"/>
    </w:p>
    <w:p w14:paraId="172BC061">
      <w:pPr>
        <w:pStyle w:val="26"/>
        <w:keepNext w:val="0"/>
        <w:keepLines w:val="0"/>
        <w:pageBreakBefore w:val="0"/>
        <w:numPr>
          <w:ilvl w:val="2"/>
          <w:numId w:val="4"/>
        </w:numPr>
        <w:kinsoku/>
        <w:wordWrap/>
        <w:overflowPunct/>
        <w:topLinePunct w:val="0"/>
        <w:autoSpaceDE/>
        <w:autoSpaceDN/>
        <w:bidi w:val="0"/>
        <w:adjustRightInd/>
        <w:snapToGrid/>
        <w:spacing w:line="400" w:lineRule="exact"/>
        <w:ind w:left="433" w:leftChars="0" w:hanging="1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结合采购项目特点制定本评标办法。</w:t>
      </w:r>
    </w:p>
    <w:p w14:paraId="1DB68461">
      <w:pPr>
        <w:pStyle w:val="26"/>
        <w:keepNext w:val="0"/>
        <w:keepLines w:val="0"/>
        <w:pageBreakBefore w:val="0"/>
        <w:numPr>
          <w:ilvl w:val="2"/>
          <w:numId w:val="4"/>
        </w:numPr>
        <w:kinsoku/>
        <w:wordWrap/>
        <w:overflowPunct/>
        <w:topLinePunct w:val="0"/>
        <w:autoSpaceDE/>
        <w:autoSpaceDN/>
        <w:bidi w:val="0"/>
        <w:adjustRightInd/>
        <w:snapToGrid/>
        <w:spacing w:line="400" w:lineRule="exact"/>
        <w:ind w:left="433" w:leftChars="0" w:hanging="1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评标工作由</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代理机构负责组织，具体评标事务由</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代理机构依法组建的</w:t>
      </w: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会负责。</w:t>
      </w: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会由采购人代表和有关技术、经济等方面的专家组成；</w:t>
      </w:r>
    </w:p>
    <w:p w14:paraId="4DB36AE0">
      <w:pPr>
        <w:pStyle w:val="26"/>
        <w:keepNext w:val="0"/>
        <w:keepLines w:val="0"/>
        <w:pageBreakBefore w:val="0"/>
        <w:numPr>
          <w:ilvl w:val="2"/>
          <w:numId w:val="4"/>
        </w:numPr>
        <w:kinsoku/>
        <w:wordWrap/>
        <w:overflowPunct/>
        <w:topLinePunct w:val="0"/>
        <w:autoSpaceDE/>
        <w:autoSpaceDN/>
        <w:bidi w:val="0"/>
        <w:adjustRightInd/>
        <w:snapToGrid/>
        <w:spacing w:line="400" w:lineRule="exact"/>
        <w:ind w:left="433" w:leftChars="0" w:hanging="1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评标工作应遵循公平、公正、科学及择优的原则，并以相同的评标程序和标准对待所有的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p w14:paraId="012DAA44">
      <w:pPr>
        <w:pStyle w:val="26"/>
        <w:keepNext w:val="0"/>
        <w:keepLines w:val="0"/>
        <w:pageBreakBefore w:val="0"/>
        <w:numPr>
          <w:ilvl w:val="2"/>
          <w:numId w:val="4"/>
        </w:numPr>
        <w:kinsoku/>
        <w:wordWrap/>
        <w:overflowPunct/>
        <w:topLinePunct w:val="0"/>
        <w:autoSpaceDE/>
        <w:autoSpaceDN/>
        <w:bidi w:val="0"/>
        <w:adjustRightInd/>
        <w:snapToGrid/>
        <w:spacing w:line="400" w:lineRule="exact"/>
        <w:ind w:left="433" w:leftChars="0" w:hanging="1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会按照</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规定的评标方法和标准进行评标，并独立履行下列职责：</w:t>
      </w:r>
    </w:p>
    <w:p w14:paraId="17B89F04">
      <w:pPr>
        <w:pStyle w:val="26"/>
        <w:keepNext w:val="0"/>
        <w:keepLines w:val="0"/>
        <w:pageBreakBefore w:val="0"/>
        <w:numPr>
          <w:ilvl w:val="0"/>
          <w:numId w:val="0"/>
        </w:numPr>
        <w:kinsoku/>
        <w:wordWrap/>
        <w:overflowPunct/>
        <w:topLinePunct w:val="0"/>
        <w:autoSpaceDE/>
        <w:autoSpaceDN/>
        <w:bidi w:val="0"/>
        <w:adjustRightInd/>
        <w:snapToGrid/>
        <w:spacing w:line="400" w:lineRule="exact"/>
        <w:ind w:left="42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1.4.1</w:t>
      </w:r>
      <w:r>
        <w:rPr>
          <w:rFonts w:hint="eastAsia" w:ascii="宋体" w:hAnsi="宋体" w:eastAsia="宋体" w:cs="宋体"/>
          <w:color w:val="000000" w:themeColor="text1"/>
          <w:sz w:val="24"/>
          <w:szCs w:val="24"/>
          <w:highlight w:val="none"/>
          <w14:textFill>
            <w14:solidFill>
              <w14:schemeClr w14:val="tx1"/>
            </w14:solidFill>
          </w14:textFill>
        </w:rPr>
        <w:t>审查</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是否符合</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要求，并做出评价；</w:t>
      </w:r>
    </w:p>
    <w:p w14:paraId="34936E92">
      <w:pPr>
        <w:pStyle w:val="26"/>
        <w:keepNext w:val="0"/>
        <w:keepLines w:val="0"/>
        <w:pageBreakBefore w:val="0"/>
        <w:numPr>
          <w:ilvl w:val="0"/>
          <w:numId w:val="0"/>
        </w:numPr>
        <w:kinsoku/>
        <w:wordWrap/>
        <w:overflowPunct/>
        <w:topLinePunct w:val="0"/>
        <w:autoSpaceDE/>
        <w:autoSpaceDN/>
        <w:bidi w:val="0"/>
        <w:adjustRightInd/>
        <w:snapToGrid/>
        <w:spacing w:line="400" w:lineRule="exact"/>
        <w:ind w:left="42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1.4.2</w:t>
      </w:r>
      <w:r>
        <w:rPr>
          <w:rFonts w:hint="eastAsia" w:ascii="宋体" w:hAnsi="宋体" w:eastAsia="宋体" w:cs="宋体"/>
          <w:color w:val="000000" w:themeColor="text1"/>
          <w:sz w:val="24"/>
          <w:szCs w:val="24"/>
          <w:highlight w:val="none"/>
          <w14:textFill>
            <w14:solidFill>
              <w14:schemeClr w14:val="tx1"/>
            </w14:solidFill>
          </w14:textFill>
        </w:rPr>
        <w:t>要求</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有关事项做出解释或者澄清；</w:t>
      </w:r>
    </w:p>
    <w:p w14:paraId="7D989E14">
      <w:pPr>
        <w:pStyle w:val="26"/>
        <w:keepNext w:val="0"/>
        <w:keepLines w:val="0"/>
        <w:pageBreakBefore w:val="0"/>
        <w:numPr>
          <w:ilvl w:val="0"/>
          <w:numId w:val="0"/>
        </w:numPr>
        <w:kinsoku/>
        <w:wordWrap/>
        <w:overflowPunct/>
        <w:topLinePunct w:val="0"/>
        <w:autoSpaceDE/>
        <w:autoSpaceDN/>
        <w:bidi w:val="0"/>
        <w:adjustRightInd/>
        <w:snapToGrid/>
        <w:spacing w:line="400" w:lineRule="exact"/>
        <w:ind w:left="42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1.4.3</w:t>
      </w:r>
      <w:r>
        <w:rPr>
          <w:rFonts w:hint="eastAsia" w:ascii="宋体" w:hAnsi="宋体" w:eastAsia="宋体" w:cs="宋体"/>
          <w:color w:val="000000" w:themeColor="text1"/>
          <w:sz w:val="24"/>
          <w:szCs w:val="24"/>
          <w:highlight w:val="none"/>
          <w14:textFill>
            <w14:solidFill>
              <w14:schemeClr w14:val="tx1"/>
            </w14:solidFill>
          </w14:textFill>
        </w:rPr>
        <w:t>推荐</w:t>
      </w:r>
      <w:r>
        <w:rPr>
          <w:rFonts w:hint="eastAsia" w:ascii="宋体" w:hAnsi="宋体" w:cs="宋体"/>
          <w:color w:val="000000" w:themeColor="text1"/>
          <w:sz w:val="24"/>
          <w:szCs w:val="24"/>
          <w:highlight w:val="none"/>
          <w:lang w:eastAsia="zh-CN"/>
          <w14:textFill>
            <w14:solidFill>
              <w14:schemeClr w14:val="tx1"/>
            </w14:solidFill>
          </w14:textFill>
        </w:rPr>
        <w:t>成交候选供应商名单</w:t>
      </w:r>
      <w:r>
        <w:rPr>
          <w:rFonts w:hint="eastAsia" w:ascii="宋体" w:hAnsi="宋体" w:eastAsia="宋体" w:cs="宋体"/>
          <w:color w:val="000000" w:themeColor="text1"/>
          <w:sz w:val="24"/>
          <w:szCs w:val="24"/>
          <w:highlight w:val="none"/>
          <w14:textFill>
            <w14:solidFill>
              <w14:schemeClr w14:val="tx1"/>
            </w14:solidFill>
          </w14:textFill>
        </w:rPr>
        <w:t>，或者受采购人委托按照事先确定的办法直接确定</w:t>
      </w:r>
      <w:r>
        <w:rPr>
          <w:rFonts w:hint="eastAsia" w:ascii="宋体" w:hAnsi="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供应商；</w:t>
      </w:r>
    </w:p>
    <w:p w14:paraId="55538393">
      <w:pPr>
        <w:pStyle w:val="26"/>
        <w:keepNext w:val="0"/>
        <w:keepLines w:val="0"/>
        <w:pageBreakBefore w:val="0"/>
        <w:numPr>
          <w:ilvl w:val="2"/>
          <w:numId w:val="4"/>
        </w:numPr>
        <w:kinsoku/>
        <w:wordWrap/>
        <w:overflowPunct/>
        <w:topLinePunct w:val="0"/>
        <w:autoSpaceDE/>
        <w:autoSpaceDN/>
        <w:bidi w:val="0"/>
        <w:adjustRightInd/>
        <w:snapToGrid/>
        <w:spacing w:line="400" w:lineRule="exact"/>
        <w:ind w:left="433" w:hanging="15"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向</w:t>
      </w:r>
      <w:r>
        <w:rPr>
          <w:rFonts w:hint="eastAsia" w:ascii="宋体" w:hAnsi="宋体" w:cs="宋体"/>
          <w:color w:val="000000" w:themeColor="text1"/>
          <w:sz w:val="24"/>
          <w:szCs w:val="24"/>
          <w:highlight w:val="none"/>
          <w:lang w:eastAsia="zh-CN"/>
          <w14:textFill>
            <w14:solidFill>
              <w14:schemeClr w14:val="tx1"/>
            </w14:solidFill>
          </w14:textFill>
        </w:rPr>
        <w:t>采购单位</w:t>
      </w:r>
      <w:r>
        <w:rPr>
          <w:rFonts w:hint="eastAsia" w:ascii="宋体" w:hAnsi="宋体" w:eastAsia="宋体" w:cs="宋体"/>
          <w:color w:val="000000" w:themeColor="text1"/>
          <w:sz w:val="24"/>
          <w:szCs w:val="24"/>
          <w:highlight w:val="none"/>
          <w14:textFill>
            <w14:solidFill>
              <w14:schemeClr w14:val="tx1"/>
            </w14:solidFill>
          </w14:textFill>
        </w:rPr>
        <w:t>或者有关部门报告非法干预评标工作的行为。</w:t>
      </w:r>
    </w:p>
    <w:p w14:paraId="6F2A9661">
      <w:pPr>
        <w:pStyle w:val="25"/>
        <w:keepNext w:val="0"/>
        <w:keepLines w:val="0"/>
        <w:pageBreakBefore w:val="0"/>
        <w:numPr>
          <w:ilvl w:val="1"/>
          <w:numId w:val="4"/>
        </w:numPr>
        <w:tabs>
          <w:tab w:val="left" w:pos="420"/>
        </w:tabs>
        <w:kinsoku/>
        <w:wordWrap/>
        <w:overflowPunct/>
        <w:topLinePunct w:val="0"/>
        <w:autoSpaceDE/>
        <w:autoSpaceDN/>
        <w:bidi w:val="0"/>
        <w:adjustRightInd/>
        <w:snapToGrid/>
        <w:spacing w:before="66" w:line="400" w:lineRule="exact"/>
        <w:ind w:left="1296" w:leftChars="0" w:hanging="1296" w:firstLineChars="0"/>
        <w:textAlignment w:val="auto"/>
        <w:outlineLvl w:val="1"/>
        <w:rPr>
          <w:rFonts w:hint="eastAsia" w:ascii="宋体" w:hAnsi="宋体" w:eastAsia="宋体" w:cs="宋体"/>
          <w:color w:val="000000" w:themeColor="text1"/>
          <w:highlight w:val="none"/>
          <w14:textFill>
            <w14:solidFill>
              <w14:schemeClr w14:val="tx1"/>
            </w14:solidFill>
          </w14:textFill>
        </w:rPr>
      </w:pPr>
      <w:bookmarkStart w:id="391" w:name="_Toc17602"/>
      <w:bookmarkStart w:id="392" w:name="_Toc9543"/>
      <w:bookmarkStart w:id="393" w:name="_Toc30042"/>
      <w:bookmarkStart w:id="394" w:name="_Toc17234"/>
      <w:bookmarkStart w:id="395" w:name="_Toc14374"/>
      <w:bookmarkStart w:id="396" w:name="_Toc9942"/>
      <w:r>
        <w:rPr>
          <w:rFonts w:hint="eastAsia" w:ascii="宋体" w:hAnsi="宋体" w:eastAsia="宋体" w:cs="宋体"/>
          <w:color w:val="000000" w:themeColor="text1"/>
          <w:sz w:val="24"/>
          <w:szCs w:val="24"/>
          <w:highlight w:val="none"/>
          <w:lang w:val="en-US" w:eastAsia="zh-CN"/>
          <w14:textFill>
            <w14:solidFill>
              <w14:schemeClr w14:val="tx1"/>
            </w14:solidFill>
          </w14:textFill>
        </w:rPr>
        <w:t>开标程序</w:t>
      </w:r>
      <w:bookmarkEnd w:id="391"/>
      <w:bookmarkEnd w:id="392"/>
      <w:bookmarkEnd w:id="393"/>
      <w:bookmarkEnd w:id="394"/>
      <w:bookmarkEnd w:id="395"/>
      <w:bookmarkEnd w:id="396"/>
    </w:p>
    <w:p w14:paraId="75EE10DD">
      <w:pPr>
        <w:pStyle w:val="26"/>
        <w:keepNext w:val="0"/>
        <w:keepLines w:val="0"/>
        <w:pageBreakBefore w:val="0"/>
        <w:numPr>
          <w:ilvl w:val="-1"/>
          <w:numId w:val="0"/>
        </w:numPr>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97" w:name="_Toc8908"/>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采购人和采购代理机构将按</w:t>
      </w:r>
      <w:r>
        <w:rPr>
          <w:rFonts w:hint="eastAsia" w:ascii="宋体" w:hAnsi="宋体" w:cs="宋体"/>
          <w:color w:val="000000" w:themeColor="text1"/>
          <w:sz w:val="24"/>
          <w:szCs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须知资料表</w:t>
      </w:r>
      <w:r>
        <w:rPr>
          <w:rFonts w:hint="eastAsia" w:ascii="宋体" w:hAnsi="宋体" w:eastAsia="宋体" w:cs="宋体"/>
          <w:color w:val="000000" w:themeColor="text1"/>
          <w:sz w:val="24"/>
          <w:szCs w:val="24"/>
          <w:highlight w:val="none"/>
          <w14:textFill>
            <w14:solidFill>
              <w14:schemeClr w14:val="tx1"/>
            </w14:solidFill>
          </w14:textFill>
        </w:rPr>
        <w:t>中规定的开标时间和地点组织</w:t>
      </w:r>
      <w:r>
        <w:rPr>
          <w:rFonts w:hint="eastAsia" w:ascii="宋体" w:hAnsi="宋体" w:eastAsia="宋体" w:cs="宋体"/>
          <w:color w:val="000000" w:themeColor="text1"/>
          <w:sz w:val="24"/>
          <w:szCs w:val="24"/>
          <w:highlight w:val="none"/>
          <w:lang w:val="en-US" w:eastAsia="zh-CN"/>
          <w14:textFill>
            <w14:solidFill>
              <w14:schemeClr w14:val="tx1"/>
            </w14:solidFill>
          </w14:textFill>
        </w:rPr>
        <w:t>竞争性磋商会</w:t>
      </w:r>
      <w:r>
        <w:rPr>
          <w:rFonts w:hint="eastAsia" w:ascii="宋体" w:hAnsi="宋体" w:eastAsia="宋体" w:cs="宋体"/>
          <w:color w:val="000000" w:themeColor="text1"/>
          <w:sz w:val="24"/>
          <w:szCs w:val="24"/>
          <w:highlight w:val="none"/>
          <w14:textFill>
            <w14:solidFill>
              <w14:schemeClr w14:val="tx1"/>
            </w14:solidFill>
          </w14:textFill>
        </w:rPr>
        <w:t>。</w:t>
      </w:r>
    </w:p>
    <w:p w14:paraId="4F16FAEC">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在开标前，工作人员收取所有参会人员的手机，主持人宣读开标纪律。</w:t>
      </w:r>
    </w:p>
    <w:p w14:paraId="7C48E8F9">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在线签收</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不足3家的，不得开标。</w:t>
      </w:r>
    </w:p>
    <w:p w14:paraId="5DD248FE">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解密</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，解密时长为30分钟，供应商应使用与加密时使用的同一把CA锁进行解密操作，如出现非供应商自身原因造成的无法解密，有采购代理机构使用备用</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进行解密操作。</w:t>
      </w:r>
    </w:p>
    <w:p w14:paraId="7BC06D78">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组织</w:t>
      </w: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以不记名投票的形式选定</w:t>
      </w:r>
      <w:r>
        <w:rPr>
          <w:rFonts w:hint="eastAsia" w:ascii="宋体" w:hAnsi="宋体" w:cs="宋体"/>
          <w:color w:val="000000" w:themeColor="text1"/>
          <w:sz w:val="24"/>
          <w:szCs w:val="24"/>
          <w:highlight w:val="none"/>
          <w:lang w:eastAsia="zh-CN"/>
          <w14:textFill>
            <w14:solidFill>
              <w14:schemeClr w14:val="tx1"/>
            </w14:solidFill>
          </w14:textFill>
        </w:rPr>
        <w:t>磋商小组组长</w:t>
      </w:r>
      <w:r>
        <w:rPr>
          <w:rFonts w:hint="eastAsia" w:ascii="宋体" w:hAnsi="宋体" w:eastAsia="宋体" w:cs="宋体"/>
          <w:color w:val="000000" w:themeColor="text1"/>
          <w:sz w:val="24"/>
          <w:szCs w:val="24"/>
          <w:highlight w:val="none"/>
          <w14:textFill>
            <w14:solidFill>
              <w14:schemeClr w14:val="tx1"/>
            </w14:solidFill>
          </w14:textFill>
        </w:rPr>
        <w:t>，并宣读评标会纪律，对</w:t>
      </w: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会进行通讯工具管制及宣读相关法律法规。</w:t>
      </w:r>
    </w:p>
    <w:p w14:paraId="4EFEDF64">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）由代理公司工作人员开启报价文件并由供应商代表在线CA签字确认，报价确认时段限制为10分钟，由</w:t>
      </w: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进行报价评审及政策价格认定。</w:t>
      </w:r>
    </w:p>
    <w:p w14:paraId="07B923D0">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）采购人或采购代理机构将对开标过程进行记录，由参加开标的各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代表和相关工作人员签字确认，并存档备查。</w:t>
      </w:r>
    </w:p>
    <w:p w14:paraId="653034B5">
      <w:pPr>
        <w:pStyle w:val="26"/>
        <w:keepNext w:val="0"/>
        <w:keepLines w:val="0"/>
        <w:pageBreakBefore w:val="0"/>
        <w:numPr>
          <w:ilvl w:val="0"/>
          <w:numId w:val="0"/>
        </w:numPr>
        <w:kinsoku/>
        <w:wordWrap/>
        <w:overflowPunct/>
        <w:topLinePunct w:val="0"/>
        <w:autoSpaceDE/>
        <w:autoSpaceDN/>
        <w:bidi w:val="0"/>
        <w:adjustRightInd/>
        <w:snapToGrid/>
        <w:spacing w:before="0" w:line="400" w:lineRule="exact"/>
        <w:ind w:left="0" w:firstLine="0" w:firstLineChars="0"/>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由代理公司工作人员开启</w:t>
      </w:r>
      <w:r>
        <w:rPr>
          <w:rFonts w:hint="eastAsia" w:ascii="宋体" w:hAnsi="宋体" w:eastAsia="宋体" w:cs="宋体"/>
          <w:color w:val="000000" w:themeColor="text1"/>
          <w:sz w:val="24"/>
          <w:szCs w:val="24"/>
          <w:highlight w:val="none"/>
          <w:lang w:val="en-US" w:eastAsia="zh-CN"/>
          <w14:textFill>
            <w14:solidFill>
              <w14:schemeClr w14:val="tx1"/>
            </w14:solidFill>
          </w14:textFill>
        </w:rPr>
        <w:t>二次</w:t>
      </w:r>
      <w:r>
        <w:rPr>
          <w:rFonts w:hint="eastAsia" w:ascii="宋体" w:hAnsi="宋体" w:eastAsia="宋体" w:cs="宋体"/>
          <w:color w:val="000000" w:themeColor="text1"/>
          <w:sz w:val="24"/>
          <w:szCs w:val="24"/>
          <w:highlight w:val="none"/>
          <w14:textFill>
            <w14:solidFill>
              <w14:schemeClr w14:val="tx1"/>
            </w14:solidFill>
          </w14:textFill>
        </w:rPr>
        <w:t>报价文件并由供应商代表在线CA签字确认，报价确认时段限制为10分钟，</w:t>
      </w:r>
      <w:r>
        <w:rPr>
          <w:rFonts w:hint="eastAsia" w:ascii="宋体" w:hAnsi="宋体" w:eastAsia="宋体" w:cs="宋体"/>
          <w:color w:val="000000" w:themeColor="text1"/>
          <w:sz w:val="24"/>
          <w:szCs w:val="24"/>
          <w:highlight w:val="none"/>
          <w:lang w:val="en-US" w:eastAsia="zh-CN"/>
          <w14:textFill>
            <w14:solidFill>
              <w14:schemeClr w14:val="tx1"/>
            </w14:solidFill>
          </w14:textFill>
        </w:rPr>
        <w:t>此次报价为最终报价。</w:t>
      </w:r>
      <w:r>
        <w:rPr>
          <w:rFonts w:hint="eastAsia" w:ascii="宋体" w:hAnsi="宋体" w:cs="宋体"/>
          <w:b w:val="0"/>
          <w:bCs w:val="0"/>
          <w:color w:val="000000" w:themeColor="text1"/>
          <w:sz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highlight w:val="none"/>
          <w14:textFill>
            <w14:solidFill>
              <w14:schemeClr w14:val="tx1"/>
            </w14:solidFill>
          </w14:textFill>
        </w:rPr>
        <w:t>应当根据综合评分情况，按照评审得分由高到低顺序推荐不少于3名成交候选</w:t>
      </w:r>
      <w:r>
        <w:rPr>
          <w:rFonts w:hint="eastAsia" w:ascii="宋体" w:hAnsi="宋体" w:cs="宋体"/>
          <w:b w:val="0"/>
          <w:bCs w:val="0"/>
          <w:color w:val="000000" w:themeColor="text1"/>
          <w:sz w:val="24"/>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4"/>
          <w:highlight w:val="none"/>
          <w14:textFill>
            <w14:solidFill>
              <w14:schemeClr w14:val="tx1"/>
            </w14:solidFill>
          </w14:textFill>
        </w:rPr>
        <w:t>，并编写评审报告。评审得分且最后报价相同的，按照技术指标优劣顺序推荐</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并</w:t>
      </w:r>
      <w:r>
        <w:rPr>
          <w:rFonts w:hint="eastAsia" w:ascii="宋体" w:hAnsi="宋体" w:eastAsia="宋体" w:cs="宋体"/>
          <w:b w:val="0"/>
          <w:bCs w:val="0"/>
          <w:color w:val="000000" w:themeColor="text1"/>
          <w:sz w:val="24"/>
          <w:highlight w:val="none"/>
          <w:u w:val="none"/>
          <w14:textFill>
            <w14:solidFill>
              <w14:schemeClr w14:val="tx1"/>
            </w14:solidFill>
          </w14:textFill>
        </w:rPr>
        <w:t>将结果通知所有参加磋商的未成交的供应商。</w:t>
      </w:r>
    </w:p>
    <w:p w14:paraId="4A948C7C">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代表对开标过程和开标记录有疑义，以及认为采购人、采购代理机构相关工作人员有需要回避的情形的，应当场提出询问或者回避申请。</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未参加开标的，视同认可开标结果。</w:t>
      </w:r>
    </w:p>
    <w:bookmarkEnd w:id="397"/>
    <w:p w14:paraId="49CA7C0C">
      <w:pPr>
        <w:pStyle w:val="25"/>
        <w:keepNext w:val="0"/>
        <w:keepLines w:val="0"/>
        <w:pageBreakBefore w:val="0"/>
        <w:numPr>
          <w:ilvl w:val="1"/>
          <w:numId w:val="4"/>
        </w:numPr>
        <w:tabs>
          <w:tab w:val="left" w:pos="420"/>
        </w:tabs>
        <w:kinsoku/>
        <w:wordWrap/>
        <w:overflowPunct/>
        <w:topLinePunct w:val="0"/>
        <w:autoSpaceDE/>
        <w:autoSpaceDN/>
        <w:bidi w:val="0"/>
        <w:adjustRightInd/>
        <w:snapToGrid/>
        <w:spacing w:before="66" w:line="400" w:lineRule="exact"/>
        <w:ind w:left="1296" w:hanging="1296" w:firstLineChars="0"/>
        <w:textAlignment w:val="auto"/>
        <w:outlineLvl w:val="1"/>
        <w:rPr>
          <w:rFonts w:hint="eastAsia" w:ascii="宋体" w:hAnsi="宋体" w:eastAsia="宋体" w:cs="宋体"/>
          <w:color w:val="000000" w:themeColor="text1"/>
          <w:highlight w:val="none"/>
          <w14:textFill>
            <w14:solidFill>
              <w14:schemeClr w14:val="tx1"/>
            </w14:solidFill>
          </w14:textFill>
        </w:rPr>
      </w:pPr>
      <w:bookmarkStart w:id="398" w:name="_Toc10728"/>
      <w:bookmarkStart w:id="399" w:name="_Toc1213265"/>
      <w:bookmarkStart w:id="400" w:name="_Toc2759"/>
      <w:bookmarkStart w:id="401" w:name="_Toc17402"/>
      <w:bookmarkStart w:id="402" w:name="_Toc27937"/>
      <w:bookmarkStart w:id="403" w:name="_Toc18037"/>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小组</w:t>
      </w:r>
      <w:bookmarkEnd w:id="398"/>
      <w:bookmarkEnd w:id="399"/>
      <w:bookmarkEnd w:id="400"/>
      <w:bookmarkEnd w:id="401"/>
      <w:bookmarkEnd w:id="402"/>
      <w:bookmarkEnd w:id="403"/>
    </w:p>
    <w:p w14:paraId="476375FE">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24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人数为3人以上单数组成，其中</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人数不得少于</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成员总数的2/3</w:t>
      </w:r>
      <w:r>
        <w:rPr>
          <w:rFonts w:hint="eastAsia" w:cs="宋体"/>
          <w:color w:val="000000" w:themeColor="text1"/>
          <w:highlight w:val="none"/>
          <w:lang w:eastAsia="zh-CN"/>
          <w14:textFill>
            <w14:solidFill>
              <w14:schemeClr w14:val="tx1"/>
            </w14:solidFill>
          </w14:textFill>
        </w:rPr>
        <w:t>。采用竞争性磋商方式的政府采购项目，评审专家应当从政府采购评审专家库内相关专业的专家名单中随机抽取。</w:t>
      </w:r>
      <w:r>
        <w:rPr>
          <w:rFonts w:hint="eastAsia" w:ascii="宋体" w:hAnsi="宋体" w:eastAsia="宋体" w:cs="宋体"/>
          <w:color w:val="000000" w:themeColor="text1"/>
          <w:highlight w:val="none"/>
          <w14:textFill>
            <w14:solidFill>
              <w14:schemeClr w14:val="tx1"/>
            </w14:solidFill>
          </w14:textFill>
        </w:rPr>
        <w:t>符合【财政部关于印发《政府采购竞争性磋商采购方式管理暂行办法》的通知财库{2014}214号】（以下简称“本办法”）</w:t>
      </w:r>
      <w:r>
        <w:rPr>
          <w:rFonts w:hint="eastAsia" w:cs="宋体"/>
          <w:color w:val="000000" w:themeColor="text1"/>
          <w:highlight w:val="none"/>
          <w:lang w:eastAsia="zh-CN"/>
          <w14:textFill>
            <w14:solidFill>
              <w14:schemeClr w14:val="tx1"/>
            </w14:solidFill>
          </w14:textFill>
        </w:rPr>
        <w:t>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14:paraId="532F9DA5">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before="0" w:line="400" w:lineRule="exact"/>
        <w:ind w:firstLine="240" w:firstLineChars="1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）评标前，</w:t>
      </w:r>
      <w:r>
        <w:rPr>
          <w:rFonts w:hint="eastAsia" w:ascii="宋体" w:hAnsi="宋体" w:eastAsia="宋体" w:cs="宋体"/>
          <w:color w:val="000000" w:themeColor="text1"/>
          <w:sz w:val="24"/>
          <w:szCs w:val="24"/>
          <w:highlight w:val="none"/>
          <w:lang w:val="en-US" w:eastAsia="zh-CN"/>
          <w14:textFill>
            <w14:solidFill>
              <w14:schemeClr w14:val="tx1"/>
            </w14:solidFill>
          </w14:textFill>
        </w:rPr>
        <w:t>核对</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身份和采购人代表授权函，采购人和采购代理机构将对</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在政府采购活动中职责履行情况予以记录，并及时将有关违法违规行为向财政部门报告。</w:t>
      </w:r>
    </w:p>
    <w:p w14:paraId="7CBC1D98">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（3）通讯工具管理：</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将通讯工具调制成静音状态，交予代理机构统一保管。</w:t>
      </w:r>
    </w:p>
    <w:p w14:paraId="60B4F552">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（4）组织</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会推选</w:t>
      </w:r>
      <w:r>
        <w:rPr>
          <w:rFonts w:hint="eastAsia" w:cs="宋体"/>
          <w:color w:val="000000" w:themeColor="text1"/>
          <w:sz w:val="24"/>
          <w:szCs w:val="24"/>
          <w:highlight w:val="none"/>
          <w:lang w:val="en-US" w:eastAsia="zh-CN"/>
          <w14:textFill>
            <w14:solidFill>
              <w14:schemeClr w14:val="tx1"/>
            </w14:solidFill>
          </w14:textFill>
        </w:rPr>
        <w:t>磋商小组组长</w:t>
      </w:r>
      <w:r>
        <w:rPr>
          <w:rFonts w:hint="eastAsia" w:ascii="宋体" w:hAnsi="宋体" w:eastAsia="宋体" w:cs="宋体"/>
          <w:color w:val="000000" w:themeColor="text1"/>
          <w:sz w:val="24"/>
          <w:szCs w:val="24"/>
          <w:highlight w:val="none"/>
          <w:lang w:val="en-US" w:eastAsia="zh-CN"/>
          <w14:textFill>
            <w14:solidFill>
              <w14:schemeClr w14:val="tx1"/>
            </w14:solidFill>
          </w14:textFill>
        </w:rPr>
        <w:t>，宣布</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会成员姓名、工作单位、职称，以举手表决的方式选取。</w:t>
      </w:r>
    </w:p>
    <w:p w14:paraId="1343D619">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（5）采购人和采购代理机构，</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会成员要严格遵守政府采购相关法律制度，依法履行各自职责，公正、客观、审慎地组织和参与评审工作；</w:t>
      </w:r>
    </w:p>
    <w:p w14:paraId="4345A343">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成员要依法独立评审，并对评审意见承担个人责任；</w:t>
      </w:r>
    </w:p>
    <w:p w14:paraId="4B98BFA9">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（7）采购人、采购代理机构要确保评审活动在严格保密的情况下进行。</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成员、采购人和采购代理机构工作人员、相关监督人员等与评审有关的人员，对评审情况以及在评审过程中获悉的国家秘密、商业秘密负有保密责任；</w:t>
      </w:r>
    </w:p>
    <w:p w14:paraId="707FA7FE">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before="0"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（8）采购人、采购代理机构和</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在评审工作中，要依法相互监督和制约，并自觉接受各级财政部门的监督；</w:t>
      </w:r>
    </w:p>
    <w:p w14:paraId="3074FA2D">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要根据政府采购法律法规和采购文件所载明的评审方法、标准进行评审。</w:t>
      </w:r>
    </w:p>
    <w:p w14:paraId="08A3944A">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如有以下情形，应当回避：</w:t>
      </w:r>
    </w:p>
    <w:p w14:paraId="172CB318">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1、参加采购活动前三年内，与供应商存在劳动关系，或者担任过供应商的董事、监事，或者是供应商的控股股东或者实际控制人；</w:t>
      </w:r>
    </w:p>
    <w:p w14:paraId="565016A2">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2、与供应商的法定代表人或者负责人有夫妻、直系血亲、三代以内旁系血亲或者近姻亲关系；</w:t>
      </w:r>
    </w:p>
    <w:p w14:paraId="46C6E2EA">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3、与供应商有其他可能影响政府采购活动公平、公正进行的关系。</w:t>
      </w:r>
    </w:p>
    <w:p w14:paraId="15001C3D">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before="0" w:line="400" w:lineRule="exac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cs="宋体"/>
          <w:b/>
          <w:bCs/>
          <w:color w:val="000000" w:themeColor="text1"/>
          <w:highlight w:val="none"/>
          <w:lang w:eastAsia="zh-CN"/>
          <w14:textFill>
            <w14:solidFill>
              <w14:schemeClr w14:val="tx1"/>
            </w14:solidFill>
          </w14:textFill>
        </w:rPr>
        <w:t>磋商小组</w:t>
      </w:r>
      <w:r>
        <w:rPr>
          <w:rFonts w:hint="eastAsia" w:ascii="宋体" w:hAnsi="宋体" w:eastAsia="宋体" w:cs="宋体"/>
          <w:b/>
          <w:bCs/>
          <w:color w:val="000000" w:themeColor="text1"/>
          <w:highlight w:val="none"/>
          <w14:textFill>
            <w14:solidFill>
              <w14:schemeClr w14:val="tx1"/>
            </w14:solidFill>
          </w14:textFill>
        </w:rPr>
        <w:t>根据</w:t>
      </w:r>
      <w:r>
        <w:rPr>
          <w:rFonts w:hint="eastAsia" w:ascii="宋体" w:hAnsi="宋体" w:eastAsia="宋体" w:cs="宋体"/>
          <w:b/>
          <w:bCs/>
          <w:color w:val="000000" w:themeColor="text1"/>
          <w:highlight w:val="none"/>
          <w:lang w:eastAsia="zh-CN"/>
          <w14:textFill>
            <w14:solidFill>
              <w14:schemeClr w14:val="tx1"/>
            </w14:solidFill>
          </w14:textFill>
        </w:rPr>
        <w:t>磋商文件</w:t>
      </w:r>
      <w:r>
        <w:rPr>
          <w:rFonts w:hint="eastAsia" w:ascii="宋体" w:hAnsi="宋体" w:eastAsia="宋体" w:cs="宋体"/>
          <w:b/>
          <w:bCs/>
          <w:color w:val="000000" w:themeColor="text1"/>
          <w:highlight w:val="none"/>
          <w14:textFill>
            <w14:solidFill>
              <w14:schemeClr w14:val="tx1"/>
            </w14:solidFill>
          </w14:textFill>
        </w:rPr>
        <w:t>规定的评审程序、评审方法和评审标准负责对具备实质性响应的响应文件的有效性、完整性和响应程度进行审查；</w:t>
      </w:r>
      <w:r>
        <w:rPr>
          <w:rFonts w:hint="eastAsia" w:ascii="宋体" w:hAnsi="宋体" w:eastAsia="宋体" w:cs="宋体"/>
          <w:b/>
          <w:bCs/>
          <w:color w:val="000000" w:themeColor="text1"/>
          <w:highlight w:val="none"/>
          <w:lang w:val="en-US" w:eastAsia="zh-CN"/>
          <w14:textFill>
            <w14:solidFill>
              <w14:schemeClr w14:val="tx1"/>
            </w14:solidFill>
          </w14:textFill>
        </w:rPr>
        <w:t>本项目</w:t>
      </w:r>
      <w:r>
        <w:rPr>
          <w:rFonts w:hint="eastAsia" w:ascii="宋体" w:hAnsi="宋体" w:eastAsia="宋体" w:cs="宋体"/>
          <w:b/>
          <w:bCs/>
          <w:color w:val="000000" w:themeColor="text1"/>
          <w:sz w:val="24"/>
          <w:highlight w:val="none"/>
          <w:u w:val="none"/>
          <w14:textFill>
            <w14:solidFill>
              <w14:schemeClr w14:val="tx1"/>
            </w14:solidFill>
          </w14:textFill>
        </w:rPr>
        <w:t>共有两次报价，二次报价为最终报价</w:t>
      </w:r>
      <w:r>
        <w:rPr>
          <w:rFonts w:hint="eastAsia" w:ascii="宋体" w:hAnsi="宋体" w:eastAsia="宋体" w:cs="宋体"/>
          <w:b/>
          <w:bCs/>
          <w:color w:val="000000" w:themeColor="text1"/>
          <w:sz w:val="24"/>
          <w:highlight w:val="none"/>
          <w:u w:val="none"/>
          <w:lang w:eastAsia="zh-CN"/>
          <w14:textFill>
            <w14:solidFill>
              <w14:schemeClr w14:val="tx1"/>
            </w14:solidFill>
          </w14:textFill>
        </w:rPr>
        <w:t>，</w:t>
      </w:r>
      <w:r>
        <w:rPr>
          <w:rFonts w:hint="eastAsia" w:cs="宋体"/>
          <w:b/>
          <w:bCs/>
          <w:color w:val="000000" w:themeColor="text1"/>
          <w:highlight w:val="none"/>
          <w:lang w:eastAsia="zh-CN"/>
          <w14:textFill>
            <w14:solidFill>
              <w14:schemeClr w14:val="tx1"/>
            </w14:solidFill>
          </w14:textFill>
        </w:rPr>
        <w:t>磋商小组</w:t>
      </w:r>
      <w:r>
        <w:rPr>
          <w:rFonts w:hint="eastAsia" w:ascii="宋体" w:hAnsi="宋体" w:eastAsia="宋体" w:cs="宋体"/>
          <w:b/>
          <w:bCs/>
          <w:color w:val="000000" w:themeColor="text1"/>
          <w:highlight w:val="none"/>
          <w14:textFill>
            <w14:solidFill>
              <w14:schemeClr w14:val="tx1"/>
            </w14:solidFill>
          </w14:textFill>
        </w:rPr>
        <w:t>所有成员应当集中与单一供应商分别进行磋商，并给予所有参加磋商的供应商平等的磋商机会；</w:t>
      </w:r>
      <w:r>
        <w:rPr>
          <w:rFonts w:hint="eastAsia" w:cs="宋体"/>
          <w:b/>
          <w:bCs/>
          <w:color w:val="000000" w:themeColor="text1"/>
          <w:highlight w:val="none"/>
          <w:lang w:eastAsia="zh-CN"/>
          <w14:textFill>
            <w14:solidFill>
              <w14:schemeClr w14:val="tx1"/>
            </w14:solidFill>
          </w14:textFill>
        </w:rPr>
        <w:t>磋商小组</w:t>
      </w:r>
      <w:r>
        <w:rPr>
          <w:rFonts w:hint="eastAsia" w:ascii="宋体" w:hAnsi="宋体" w:eastAsia="宋体" w:cs="宋体"/>
          <w:b/>
          <w:bCs/>
          <w:color w:val="000000" w:themeColor="text1"/>
          <w:highlight w:val="none"/>
          <w14:textFill>
            <w14:solidFill>
              <w14:schemeClr w14:val="tx1"/>
            </w14:solidFill>
          </w14:textFill>
        </w:rPr>
        <w:t>应当根据综合评分情况，按照评审得分由高到低顺序推荐不少于3名成交候选</w:t>
      </w:r>
      <w:r>
        <w:rPr>
          <w:rFonts w:hint="eastAsia" w:cs="宋体"/>
          <w:b/>
          <w:bCs/>
          <w:color w:val="000000" w:themeColor="text1"/>
          <w:highlight w:val="none"/>
          <w:lang w:eastAsia="zh-CN"/>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，并编写评审报告。评审得分且最后报价相同的，按照技术指标优劣顺序推荐</w:t>
      </w:r>
      <w:r>
        <w:rPr>
          <w:rFonts w:hint="eastAsia" w:ascii="宋体" w:hAnsi="宋体" w:eastAsia="宋体" w:cs="宋体"/>
          <w:b/>
          <w:bCs/>
          <w:color w:val="000000" w:themeColor="text1"/>
          <w:highlight w:val="none"/>
          <w:lang w:val="en-US" w:eastAsia="zh-CN"/>
          <w14:textFill>
            <w14:solidFill>
              <w14:schemeClr w14:val="tx1"/>
            </w14:solidFill>
          </w14:textFill>
        </w:rPr>
        <w:t>并</w:t>
      </w:r>
      <w:r>
        <w:rPr>
          <w:rFonts w:hint="eastAsia" w:ascii="宋体" w:hAnsi="宋体" w:eastAsia="宋体" w:cs="宋体"/>
          <w:b/>
          <w:bCs/>
          <w:color w:val="000000" w:themeColor="text1"/>
          <w:sz w:val="24"/>
          <w:highlight w:val="none"/>
          <w:u w:val="none"/>
          <w14:textFill>
            <w14:solidFill>
              <w14:schemeClr w14:val="tx1"/>
            </w14:solidFill>
          </w14:textFill>
        </w:rPr>
        <w:t>将结果通知所有参加磋商的未成交的供应商。</w:t>
      </w:r>
    </w:p>
    <w:p w14:paraId="7C59CD88">
      <w:pPr>
        <w:pStyle w:val="8"/>
        <w:keepNext w:val="0"/>
        <w:keepLines w:val="0"/>
        <w:pageBreakBefore w:val="0"/>
        <w:tabs>
          <w:tab w:val="clear" w:pos="567"/>
        </w:tabs>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评标专家在政府采购活动中承担以下义务：</w:t>
      </w:r>
    </w:p>
    <w:p w14:paraId="281D8BDF">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①遵纪守法，客观、公正、廉洁地履行职责；</w:t>
      </w:r>
    </w:p>
    <w:p w14:paraId="3D5B1DC6">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②按照政府采购法律法规和采购文件的规定要求对供应商的资格条件和供应商提供的产品价格、技术、服务等方面严格进行评判，提供科学合理、公平公正的评审意见，参与起草评审报告，并予签字确认；</w:t>
      </w:r>
    </w:p>
    <w:p w14:paraId="5241B47A">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③保守秘密。不得透露采购文件咨询情况，不得泄漏供应商的</w:t>
      </w:r>
      <w:r>
        <w:rPr>
          <w:rFonts w:hint="eastAsia"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及知悉的商业秘密，不得向供应商透露评审情况；</w:t>
      </w:r>
    </w:p>
    <w:p w14:paraId="01365A8F">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④发现供应商在政府采购活动中有不正当竞争或恶意串通等违规行为，及时向政府采购评审工作的组织者或行政监管部门报告并加以制止；</w:t>
      </w:r>
    </w:p>
    <w:p w14:paraId="4817384D">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⑤发现采购人、</w:t>
      </w:r>
      <w:r>
        <w:rPr>
          <w:rFonts w:hint="eastAsia"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代理机构及其工作人员在政府采购活动中有干预评审、发表倾向性和歧视性言论、受贿或者接受供应商的其他好处及其他违法违规行为，及时向行政监管部门报告；</w:t>
      </w:r>
    </w:p>
    <w:p w14:paraId="443678ED">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⑥解答有关方面对政府采购评审工作中有关问题的询问，配合采购人或者</w:t>
      </w:r>
      <w:r>
        <w:rPr>
          <w:rFonts w:hint="eastAsia"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代理机构答复供应商质疑，配合行政监管部门的投诉处理工作等事宜；</w:t>
      </w:r>
    </w:p>
    <w:p w14:paraId="3EE4AFC7">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⑦法律、法规和规章规定的其他义务。</w:t>
      </w:r>
    </w:p>
    <w:p w14:paraId="73AAE185">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在政府采购活动中应当遵守以下工作纪律：</w:t>
      </w:r>
    </w:p>
    <w:p w14:paraId="68DFEA37">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①应邀按时参加评审和咨询活动。遇特殊情况不能出席或途中遇阻不能按时参加评审或咨询的，应及时告知采购人或者</w:t>
      </w:r>
      <w:r>
        <w:rPr>
          <w:rFonts w:hint="eastAsia"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代理机构，不得私自转托他人；</w:t>
      </w:r>
    </w:p>
    <w:p w14:paraId="7A85C69A">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②不得参加与自己有利害关系的政府采购项目的评审活动。对与自己有利害关系的评审项目，如受到邀请，应主动提出回避。行政监管部门、采购人或</w:t>
      </w:r>
      <w:r>
        <w:rPr>
          <w:rFonts w:hint="eastAsia"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代理机构也可要求该</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回避；有利害关系主要是指三年内曾在参加该采购项目供应商中任职(包括一般工作) 或担任顾问，配偶或直系亲属在参加该采购项目的供应商中任职或担任顾问，与参加该采购项目供应商发生过法律纠纷，以及其他可能影响公正评审的情况；</w:t>
      </w:r>
    </w:p>
    <w:p w14:paraId="0120A46B">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③评审或咨询过程中关闭通讯设备，不得与外界联系。因发生不可预见情况，确实需要与外界联系的，应当有在场工作人员陪同；</w:t>
      </w:r>
    </w:p>
    <w:p w14:paraId="082C68AA">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④评审过程中，不得发表影响评审公正的倾向性、歧视性言论；不得征询或者接受采购人的倾向性意见；不得以任何明示或暗示的方式要求参加该采购项目的供应商以澄清、说明或补正为借口，表达与其原</w:t>
      </w:r>
      <w:r>
        <w:rPr>
          <w:rFonts w:hint="eastAsia"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原意不同的新意见；不得以采购文件没有规定的方法和标准作为评审的依据；不得违反规定的评审格式评分和撰写评审意见；不得拒绝对自己的评审意见签字确认；</w:t>
      </w:r>
    </w:p>
    <w:p w14:paraId="33B22C05">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⑤在咨询工作中，严格执行国家产业政策和产品标准，认真听取咨询方的合理要求， 提出科学合理的、无倾向性和歧视性的咨询方案，并对所提出的意见和建议承担个人责任；</w:t>
      </w:r>
    </w:p>
    <w:p w14:paraId="7EE3604F">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⑥法律、法规和规章规定的其他评审工作纪律。</w:t>
      </w:r>
    </w:p>
    <w:p w14:paraId="2E889CE0">
      <w:pPr>
        <w:pStyle w:val="25"/>
        <w:keepNext w:val="0"/>
        <w:keepLines w:val="0"/>
        <w:pageBreakBefore w:val="0"/>
        <w:numPr>
          <w:ilvl w:val="-1"/>
          <w:numId w:val="0"/>
        </w:numPr>
        <w:tabs>
          <w:tab w:val="left" w:pos="420"/>
        </w:tabs>
        <w:kinsoku/>
        <w:wordWrap/>
        <w:overflowPunct/>
        <w:topLinePunct w:val="0"/>
        <w:autoSpaceDE/>
        <w:autoSpaceDN/>
        <w:bidi w:val="0"/>
        <w:adjustRightInd/>
        <w:snapToGrid/>
        <w:spacing w:before="66" w:line="400" w:lineRule="exact"/>
        <w:ind w:left="0" w:leftChars="0" w:firstLine="0" w:firstLineChars="0"/>
        <w:jc w:val="left"/>
        <w:textAlignment w:val="auto"/>
        <w:outlineLvl w:val="1"/>
        <w:rPr>
          <w:rFonts w:hint="eastAsia" w:ascii="宋体" w:hAnsi="宋体" w:eastAsia="宋体" w:cs="宋体"/>
          <w:color w:val="000000" w:themeColor="text1"/>
          <w:sz w:val="24"/>
          <w:szCs w:val="24"/>
          <w:highlight w:val="none"/>
          <w14:textFill>
            <w14:solidFill>
              <w14:schemeClr w14:val="tx1"/>
            </w14:solidFill>
          </w14:textFill>
        </w:rPr>
      </w:pPr>
      <w:bookmarkStart w:id="404" w:name="_Toc21739"/>
      <w:bookmarkStart w:id="405" w:name="_Toc31926"/>
      <w:bookmarkStart w:id="406" w:name="_Toc12211"/>
      <w:bookmarkStart w:id="407" w:name="_Toc16035"/>
      <w:bookmarkStart w:id="408" w:name="_Toc22291"/>
      <w:bookmarkStart w:id="409" w:name="_Toc28647"/>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定标程序</w:t>
      </w:r>
      <w:bookmarkEnd w:id="404"/>
      <w:bookmarkEnd w:id="405"/>
      <w:bookmarkEnd w:id="406"/>
      <w:bookmarkEnd w:id="407"/>
      <w:bookmarkEnd w:id="408"/>
      <w:bookmarkEnd w:id="409"/>
    </w:p>
    <w:p w14:paraId="16005DB3">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（1）采购代理机构应当在评标结束后2个工作日内将</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送采购人。</w:t>
      </w:r>
    </w:p>
    <w:p w14:paraId="01B6041F">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（2）采购人应当自收到</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之日起５个工作日内，在</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确定的</w:t>
      </w:r>
      <w:r>
        <w:rPr>
          <w:rFonts w:hint="eastAsia" w:cs="宋体"/>
          <w:color w:val="000000" w:themeColor="text1"/>
          <w:sz w:val="24"/>
          <w:szCs w:val="24"/>
          <w:highlight w:val="none"/>
          <w:lang w:val="en-US" w:eastAsia="zh-CN"/>
          <w14:textFill>
            <w14:solidFill>
              <w14:schemeClr w14:val="tx1"/>
            </w14:solidFill>
          </w14:textFill>
        </w:rPr>
        <w:t>成交候选人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名单中按顺序确定</w:t>
      </w:r>
      <w:r>
        <w:rPr>
          <w:rFonts w:hint="eastAsia" w:cs="宋体"/>
          <w:color w:val="000000" w:themeColor="text1"/>
          <w:sz w:val="24"/>
          <w:szCs w:val="24"/>
          <w:highlight w:val="none"/>
          <w:lang w:val="en-US" w:eastAsia="zh-CN"/>
          <w14:textFill>
            <w14:solidFill>
              <w14:schemeClr w14:val="tx1"/>
            </w14:solidFill>
          </w14:textFill>
        </w:rPr>
        <w:t>成交人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成交候选人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并列的，由采购人按照磋商文件规定的方式确定</w:t>
      </w:r>
      <w:r>
        <w:rPr>
          <w:rFonts w:hint="eastAsia" w:cs="宋体"/>
          <w:color w:val="000000" w:themeColor="text1"/>
          <w:sz w:val="24"/>
          <w:szCs w:val="24"/>
          <w:highlight w:val="none"/>
          <w:lang w:val="en-US" w:eastAsia="zh-CN"/>
          <w14:textFill>
            <w14:solidFill>
              <w14:schemeClr w14:val="tx1"/>
            </w14:solidFill>
          </w14:textFill>
        </w:rPr>
        <w:t>成交人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6BAE41D">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（3）采购人在收到</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5个工作日内未按</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推荐的</w:t>
      </w:r>
      <w:r>
        <w:rPr>
          <w:rFonts w:hint="eastAsia" w:cs="宋体"/>
          <w:color w:val="000000" w:themeColor="text1"/>
          <w:sz w:val="24"/>
          <w:szCs w:val="24"/>
          <w:highlight w:val="none"/>
          <w:lang w:val="en-US" w:eastAsia="zh-CN"/>
          <w14:textFill>
            <w14:solidFill>
              <w14:schemeClr w14:val="tx1"/>
            </w14:solidFill>
          </w14:textFill>
        </w:rPr>
        <w:t>成交候选人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顺序确定</w:t>
      </w:r>
      <w:r>
        <w:rPr>
          <w:rFonts w:hint="eastAsia" w:cs="宋体"/>
          <w:color w:val="000000" w:themeColor="text1"/>
          <w:sz w:val="24"/>
          <w:szCs w:val="24"/>
          <w:highlight w:val="none"/>
          <w:lang w:val="en-US" w:eastAsia="zh-CN"/>
          <w14:textFill>
            <w14:solidFill>
              <w14:schemeClr w14:val="tx1"/>
            </w14:solidFill>
          </w14:textFill>
        </w:rPr>
        <w:t>成交人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，又不能说明合法理由的，视同按</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推荐的顺序确定排名第一的</w:t>
      </w:r>
      <w:r>
        <w:rPr>
          <w:rFonts w:hint="eastAsia" w:cs="宋体"/>
          <w:color w:val="000000" w:themeColor="text1"/>
          <w:sz w:val="24"/>
          <w:szCs w:val="24"/>
          <w:highlight w:val="none"/>
          <w:lang w:val="en-US" w:eastAsia="zh-CN"/>
          <w14:textFill>
            <w14:solidFill>
              <w14:schemeClr w14:val="tx1"/>
            </w14:solidFill>
          </w14:textFill>
        </w:rPr>
        <w:t>成交候选人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cs="宋体"/>
          <w:color w:val="000000" w:themeColor="text1"/>
          <w:sz w:val="24"/>
          <w:szCs w:val="24"/>
          <w:highlight w:val="none"/>
          <w:lang w:val="en-US" w:eastAsia="zh-CN"/>
          <w14:textFill>
            <w14:solidFill>
              <w14:schemeClr w14:val="tx1"/>
            </w14:solidFill>
          </w14:textFill>
        </w:rPr>
        <w:t>成交人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BEDC428">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lang w:val="en-US" w:eastAsia="zh-CN"/>
          <w14:textFill>
            <w14:solidFill>
              <w14:schemeClr w14:val="tx1"/>
            </w14:solidFill>
          </w14:textFill>
        </w:rPr>
        <w:t>成交候选人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并列式时的处理方式：如采用综合评标法，则：评标结果按评审后得分由高到低顺序排列。得分相同的，按投标报价由低到高顺序排列。得分且投标报价相同的并列。</w:t>
      </w:r>
      <w:r>
        <w:rPr>
          <w:rFonts w:hint="eastAsia"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满足</w:t>
      </w:r>
      <w:r>
        <w:rPr>
          <w:rFonts w:hint="eastAsia"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全部实质性要求，且按照评审因素的量化指标评审得分最高的供应商为排名第一的</w:t>
      </w:r>
      <w:r>
        <w:rPr>
          <w:rFonts w:hint="eastAsia" w:cs="宋体"/>
          <w:color w:val="000000" w:themeColor="text1"/>
          <w:sz w:val="24"/>
          <w:szCs w:val="24"/>
          <w:highlight w:val="none"/>
          <w:lang w:val="en-US" w:eastAsia="zh-CN"/>
          <w14:textFill>
            <w14:solidFill>
              <w14:schemeClr w14:val="tx1"/>
            </w14:solidFill>
          </w14:textFill>
        </w:rPr>
        <w:t>成交候选人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ECB80EB">
      <w:pPr>
        <w:pStyle w:val="25"/>
        <w:keepNext w:val="0"/>
        <w:keepLines w:val="0"/>
        <w:pageBreakBefore w:val="0"/>
        <w:numPr>
          <w:ilvl w:val="-1"/>
          <w:numId w:val="0"/>
        </w:numPr>
        <w:tabs>
          <w:tab w:val="left" w:pos="420"/>
        </w:tabs>
        <w:kinsoku/>
        <w:wordWrap/>
        <w:overflowPunct/>
        <w:topLinePunct w:val="0"/>
        <w:autoSpaceDE/>
        <w:autoSpaceDN/>
        <w:bidi w:val="0"/>
        <w:adjustRightInd/>
        <w:snapToGrid/>
        <w:spacing w:before="66" w:line="400" w:lineRule="exact"/>
        <w:ind w:left="0" w:leftChars="0" w:firstLine="0" w:firstLineChars="0"/>
        <w:jc w:val="left"/>
        <w:textAlignment w:val="auto"/>
        <w:outlineLvl w:val="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410" w:name="_Toc28301"/>
      <w:bookmarkStart w:id="411" w:name="_Toc22008"/>
      <w:bookmarkStart w:id="412" w:name="_Toc3733"/>
      <w:bookmarkStart w:id="413" w:name="_Toc17068"/>
      <w:bookmarkStart w:id="414" w:name="_Toc6155"/>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5.澄清和答疑</w:t>
      </w:r>
      <w:bookmarkEnd w:id="410"/>
      <w:bookmarkEnd w:id="411"/>
      <w:bookmarkEnd w:id="412"/>
      <w:bookmarkEnd w:id="413"/>
      <w:bookmarkEnd w:id="414"/>
    </w:p>
    <w:p w14:paraId="3DBC45F2">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①为有助于对</w:t>
      </w:r>
      <w:r>
        <w:rPr>
          <w:rFonts w:hint="eastAsia"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进行审查、评估和比较，</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会将对认为需要（不是所有）的</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进行询标，请</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澄清其投标内容，</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有责任按照</w:t>
      </w:r>
      <w:r>
        <w:rPr>
          <w:rFonts w:hint="eastAsia"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方通知的时间、方式指派专人进行答疑和澄清。</w:t>
      </w:r>
      <w:r>
        <w:rPr>
          <w:rFonts w:hint="eastAsia" w:cs="宋体"/>
          <w:color w:val="000000" w:themeColor="text1"/>
          <w:sz w:val="24"/>
          <w:szCs w:val="24"/>
          <w:highlight w:val="none"/>
          <w:lang w:val="en-US" w:eastAsia="zh-CN"/>
          <w14:textFill>
            <w14:solidFill>
              <w14:schemeClr w14:val="tx1"/>
            </w14:solidFill>
          </w14:textFill>
        </w:rPr>
        <w:t>供应商代表</w:t>
      </w:r>
      <w:r>
        <w:rPr>
          <w:rFonts w:hint="eastAsia" w:ascii="宋体" w:hAnsi="宋体" w:eastAsia="宋体" w:cs="宋体"/>
          <w:color w:val="000000" w:themeColor="text1"/>
          <w:sz w:val="24"/>
          <w:szCs w:val="24"/>
          <w:highlight w:val="none"/>
          <w:lang w:val="en-US" w:eastAsia="zh-CN"/>
          <w14:textFill>
            <w14:solidFill>
              <w14:schemeClr w14:val="tx1"/>
            </w14:solidFill>
          </w14:textFill>
        </w:rPr>
        <w:t>应在评标会结束前保持政采云及腾讯群在线，以便能及时的接受在线询标，询标时</w:t>
      </w:r>
      <w:r>
        <w:rPr>
          <w:rFonts w:hint="eastAsia" w:cs="宋体"/>
          <w:color w:val="000000" w:themeColor="text1"/>
          <w:sz w:val="24"/>
          <w:szCs w:val="24"/>
          <w:highlight w:val="none"/>
          <w:lang w:val="en-US" w:eastAsia="zh-CN"/>
          <w14:textFill>
            <w14:solidFill>
              <w14:schemeClr w14:val="tx1"/>
            </w14:solidFill>
          </w14:textFill>
        </w:rPr>
        <w:t>供应商代表</w:t>
      </w:r>
      <w:r>
        <w:rPr>
          <w:rFonts w:hint="eastAsia" w:ascii="宋体" w:hAnsi="宋体" w:eastAsia="宋体" w:cs="宋体"/>
          <w:color w:val="000000" w:themeColor="text1"/>
          <w:sz w:val="24"/>
          <w:szCs w:val="24"/>
          <w:highlight w:val="none"/>
          <w:lang w:val="en-US" w:eastAsia="zh-CN"/>
          <w14:textFill>
            <w14:solidFill>
              <w14:schemeClr w14:val="tx1"/>
            </w14:solidFill>
          </w14:textFill>
        </w:rPr>
        <w:t>应作书面记录，并对询问答疑的内容做出在线书面答复。</w:t>
      </w:r>
    </w:p>
    <w:p w14:paraId="12780CD2">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②重要澄清的答复应是书面的，澄清答复不得对投标的价格、技术指标和参数等内容进行实质性修改。澄清文件须由</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法定代表人或法人授权代表签字或加盖</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公章后上传或者在线电子签章签字并作为</w:t>
      </w:r>
      <w:r>
        <w:rPr>
          <w:rFonts w:hint="eastAsia"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的组成部分。</w:t>
      </w:r>
    </w:p>
    <w:p w14:paraId="64C3774E">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14:paraId="14C2191D">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④供应商提出的询问或者质疑超出采购人对采购代理机构委托授权范围的，采购代理机构应当告知供应商向采购人提出。</w:t>
      </w:r>
    </w:p>
    <w:p w14:paraId="4D168C10">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计算错误的修改</w:t>
      </w:r>
    </w:p>
    <w:p w14:paraId="2B452893">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中如果出现计算上或累加上的算术错误，可按以下原则进行修改：</w:t>
      </w:r>
    </w:p>
    <w:p w14:paraId="6835EFE9">
      <w:pPr>
        <w:pStyle w:val="8"/>
        <w:keepNext w:val="0"/>
        <w:keepLines w:val="0"/>
        <w:pageBreakBefore w:val="0"/>
        <w:numPr>
          <w:ilvl w:val="-1"/>
          <w:numId w:val="0"/>
        </w:numPr>
        <w:tabs>
          <w:tab w:val="clear" w:pos="567"/>
        </w:tabs>
        <w:kinsoku/>
        <w:wordWrap/>
        <w:overflowPunct/>
        <w:topLinePunct w:val="0"/>
        <w:autoSpaceDE/>
        <w:autoSpaceDN/>
        <w:bidi w:val="0"/>
        <w:adjustRightInd/>
        <w:snapToGrid/>
        <w:spacing w:before="1"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用数字表示的金额和用文字表示的金额不一致，应以文字表示的金额为准；</w:t>
      </w:r>
    </w:p>
    <w:p w14:paraId="56390E87">
      <w:pPr>
        <w:pStyle w:val="8"/>
        <w:keepNext w:val="0"/>
        <w:keepLines w:val="0"/>
        <w:pageBreakBefore w:val="0"/>
        <w:numPr>
          <w:ilvl w:val="-1"/>
          <w:numId w:val="0"/>
        </w:numPr>
        <w:tabs>
          <w:tab w:val="clear" w:pos="567"/>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单价和数量的乘积与总价不一致时，以单价为准，并修正总价；</w:t>
      </w:r>
    </w:p>
    <w:p w14:paraId="1871F76A">
      <w:pPr>
        <w:pStyle w:val="8"/>
        <w:keepNext w:val="0"/>
        <w:keepLines w:val="0"/>
        <w:pageBreakBefore w:val="0"/>
        <w:numPr>
          <w:ilvl w:val="0"/>
          <w:numId w:val="5"/>
        </w:numPr>
        <w:tabs>
          <w:tab w:val="clear" w:pos="567"/>
        </w:tabs>
        <w:kinsoku/>
        <w:wordWrap/>
        <w:overflowPunct/>
        <w:topLinePunct w:val="0"/>
        <w:autoSpaceDE/>
        <w:autoSpaceDN/>
        <w:bidi w:val="0"/>
        <w:adjustRightInd/>
        <w:snapToGrid/>
        <w:spacing w:before="1" w:line="400" w:lineRule="exact"/>
        <w:ind w:right="514" w:righ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单价金额小数点有明显错误的，以总价为准，修正单价。</w:t>
      </w:r>
    </w:p>
    <w:p w14:paraId="00171CFB">
      <w:pPr>
        <w:pStyle w:val="8"/>
        <w:keepNext w:val="0"/>
        <w:keepLines w:val="0"/>
        <w:pageBreakBefore w:val="0"/>
        <w:numPr>
          <w:ilvl w:val="0"/>
          <w:numId w:val="5"/>
        </w:numPr>
        <w:tabs>
          <w:tab w:val="clear" w:pos="567"/>
        </w:tabs>
        <w:kinsoku/>
        <w:wordWrap/>
        <w:overflowPunct/>
        <w:topLinePunct w:val="0"/>
        <w:autoSpaceDE/>
        <w:autoSpaceDN/>
        <w:bidi w:val="0"/>
        <w:adjustRightInd/>
        <w:snapToGrid/>
        <w:spacing w:before="1" w:line="400" w:lineRule="exact"/>
        <w:ind w:right="514" w:righ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按上述修正错误的方法调整的投标报价应对</w:t>
      </w:r>
      <w:r>
        <w:rPr>
          <w:rFonts w:hint="eastAsia"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具有约束力。如果</w:t>
      </w:r>
      <w:r>
        <w:rPr>
          <w:rFonts w:hint="eastAsia"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不接受修正后的价格，其投标将被拒绝。</w:t>
      </w:r>
    </w:p>
    <w:p w14:paraId="07FFB60A">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对资格审查合格的</w:t>
      </w:r>
      <w:r>
        <w:rPr>
          <w:rFonts w:hint="eastAsia"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，由</w:t>
      </w:r>
      <w:r>
        <w:rPr>
          <w:rFonts w:hint="eastAsia"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eastAsia="zh-CN"/>
          <w14:textFill>
            <w14:solidFill>
              <w14:schemeClr w14:val="tx1"/>
            </w14:solidFill>
          </w14:textFill>
        </w:rPr>
        <w:t>会按以下程序进行。</w:t>
      </w:r>
    </w:p>
    <w:p w14:paraId="6B5714B9">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lang w:val="en-US" w:eastAsia="zh-CN"/>
          <w14:textFill>
            <w14:solidFill>
              <w14:schemeClr w14:val="tx1"/>
            </w14:solidFill>
          </w14:textFill>
        </w:rPr>
        <w:t>资格审查、</w:t>
      </w:r>
      <w:r>
        <w:rPr>
          <w:rFonts w:hint="eastAsia" w:ascii="宋体" w:hAnsi="宋体" w:eastAsia="宋体" w:cs="宋体"/>
          <w:color w:val="000000" w:themeColor="text1"/>
          <w:sz w:val="24"/>
          <w:szCs w:val="24"/>
          <w:highlight w:val="none"/>
          <w:lang w:val="en-US" w:eastAsia="zh-CN"/>
          <w14:textFill>
            <w14:solidFill>
              <w14:schemeClr w14:val="tx1"/>
            </w14:solidFill>
          </w14:textFill>
        </w:rPr>
        <w:t>符合性审查的内容及标准；</w:t>
      </w:r>
    </w:p>
    <w:p w14:paraId="1BC52879">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（2）澄清有关问题；</w:t>
      </w:r>
    </w:p>
    <w:p w14:paraId="7189ED67">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（3）比较与评价；</w:t>
      </w:r>
    </w:p>
    <w:p w14:paraId="37329C42">
      <w:pPr>
        <w:pStyle w:val="8"/>
        <w:keepNext w:val="0"/>
        <w:keepLines w:val="0"/>
        <w:pageBreakBefore w:val="0"/>
        <w:numPr>
          <w:ilvl w:val="0"/>
          <w:numId w:val="0"/>
        </w:numPr>
        <w:tabs>
          <w:tab w:val="clear" w:pos="567"/>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（4）推荐</w:t>
      </w:r>
      <w:r>
        <w:rPr>
          <w:rFonts w:hint="eastAsia"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供应商名单；</w:t>
      </w:r>
    </w:p>
    <w:p w14:paraId="7496DF3D">
      <w:pPr>
        <w:pStyle w:val="8"/>
        <w:keepNext w:val="0"/>
        <w:keepLines w:val="0"/>
        <w:pageBreakBefore w:val="0"/>
        <w:tabs>
          <w:tab w:val="clear" w:pos="567"/>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（5）编写</w:t>
      </w:r>
      <w:r>
        <w:rPr>
          <w:rFonts w:hint="eastAsia"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AD0F3CE">
      <w:pPr>
        <w:pStyle w:val="25"/>
        <w:keepNext w:val="0"/>
        <w:keepLines w:val="0"/>
        <w:pageBreakBefore w:val="0"/>
        <w:numPr>
          <w:ilvl w:val="-1"/>
          <w:numId w:val="0"/>
        </w:numPr>
        <w:tabs>
          <w:tab w:val="left" w:pos="420"/>
        </w:tabs>
        <w:kinsoku/>
        <w:wordWrap/>
        <w:overflowPunct/>
        <w:topLinePunct w:val="0"/>
        <w:autoSpaceDE/>
        <w:autoSpaceDN/>
        <w:bidi w:val="0"/>
        <w:adjustRightInd/>
        <w:snapToGrid/>
        <w:spacing w:before="66" w:line="400" w:lineRule="exact"/>
        <w:ind w:left="0" w:leftChars="0" w:firstLine="0" w:firstLineChars="0"/>
        <w:jc w:val="left"/>
        <w:textAlignment w:val="auto"/>
        <w:outlineLvl w:val="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415" w:name="_Toc287112610"/>
      <w:bookmarkStart w:id="416" w:name="_Toc30355"/>
      <w:bookmarkStart w:id="417" w:name="_Toc1213266"/>
      <w:bookmarkStart w:id="418" w:name="_Toc31586"/>
      <w:bookmarkStart w:id="419" w:name="_Toc143596262"/>
      <w:bookmarkStart w:id="420" w:name="_Toc143596673"/>
      <w:bookmarkStart w:id="421" w:name="_Toc157182374"/>
      <w:bookmarkStart w:id="422" w:name="_Toc184891774"/>
      <w:bookmarkStart w:id="423" w:name="_Toc5674"/>
      <w:bookmarkStart w:id="424" w:name="_Toc184891547"/>
      <w:bookmarkStart w:id="425" w:name="_Toc387416366"/>
      <w:bookmarkStart w:id="426" w:name="_Toc217102234"/>
      <w:bookmarkStart w:id="427" w:name="_Toc31914"/>
      <w:bookmarkStart w:id="428" w:name="_Toc17838"/>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6.评标办法和程序</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AF2199E">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.1采购人将邀请有关行政监督部门对本次</w:t>
      </w:r>
      <w:r>
        <w:rPr>
          <w:rFonts w:hint="eastAsia" w:ascii="宋体" w:hAnsi="宋体" w:eastAsia="宋体" w:cs="宋体"/>
          <w:color w:val="000000" w:themeColor="text1"/>
          <w:highlight w:val="none"/>
          <w:lang w:val="en-US" w:eastAsia="zh-CN"/>
          <w14:textFill>
            <w14:solidFill>
              <w14:schemeClr w14:val="tx1"/>
            </w14:solidFill>
          </w14:textFill>
        </w:rPr>
        <w:t>竞争性磋商</w:t>
      </w:r>
      <w:r>
        <w:rPr>
          <w:rFonts w:hint="eastAsia" w:ascii="宋体" w:hAnsi="宋体" w:eastAsia="宋体" w:cs="宋体"/>
          <w:color w:val="000000" w:themeColor="text1"/>
          <w:highlight w:val="none"/>
          <w14:textFill>
            <w14:solidFill>
              <w14:schemeClr w14:val="tx1"/>
            </w14:solidFill>
          </w14:textFill>
        </w:rPr>
        <w:t>进行监督。</w:t>
      </w:r>
    </w:p>
    <w:p w14:paraId="41B83543">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.2本</w:t>
      </w:r>
      <w:r>
        <w:rPr>
          <w:rFonts w:hint="eastAsia" w:cs="宋体"/>
          <w:color w:val="000000" w:themeColor="text1"/>
          <w:highlight w:val="none"/>
          <w:lang w:val="en-US" w:eastAsia="zh-CN"/>
          <w14:textFill>
            <w14:solidFill>
              <w14:schemeClr w14:val="tx1"/>
            </w14:solidFill>
          </w14:textFill>
        </w:rPr>
        <w:t>项目</w:t>
      </w:r>
      <w:r>
        <w:rPr>
          <w:rFonts w:hint="eastAsia" w:ascii="宋体" w:hAnsi="宋体" w:eastAsia="宋体" w:cs="宋体"/>
          <w:color w:val="000000" w:themeColor="text1"/>
          <w:highlight w:val="none"/>
          <w14:textFill>
            <w14:solidFill>
              <w14:schemeClr w14:val="tx1"/>
            </w14:solidFill>
          </w14:textFill>
        </w:rPr>
        <w:t>采用综合评</w:t>
      </w:r>
      <w:r>
        <w:rPr>
          <w:rFonts w:hint="eastAsia"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法。</w:t>
      </w:r>
    </w:p>
    <w:p w14:paraId="151C3A82">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.3本评标办法的解释权在采购人。</w:t>
      </w:r>
    </w:p>
    <w:p w14:paraId="40BF611F">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.4 </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对各</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的响应文件进行资格审查，响应文件满足</w:t>
      </w:r>
      <w:r>
        <w:rPr>
          <w:rFonts w:hint="eastAsia" w:ascii="宋体" w:hAnsi="宋体" w:eastAsia="宋体" w:cs="宋体"/>
          <w:color w:val="000000" w:themeColor="text1"/>
          <w:highlight w:val="none"/>
          <w:lang w:eastAsia="zh-CN"/>
          <w14:textFill>
            <w14:solidFill>
              <w14:schemeClr w14:val="tx1"/>
            </w14:solidFill>
          </w14:textFill>
        </w:rPr>
        <w:t>磋商文件</w:t>
      </w:r>
      <w:r>
        <w:rPr>
          <w:rFonts w:hint="eastAsia" w:ascii="宋体" w:hAnsi="宋体" w:eastAsia="宋体" w:cs="宋体"/>
          <w:color w:val="000000" w:themeColor="text1"/>
          <w:highlight w:val="none"/>
          <w14:textFill>
            <w14:solidFill>
              <w14:schemeClr w14:val="tx1"/>
            </w14:solidFill>
          </w14:textFill>
        </w:rPr>
        <w:t>资格要求的</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，方视为合格的</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。响应文件资格审查的的主要条件：</w:t>
      </w:r>
    </w:p>
    <w:p w14:paraId="6CEC14C4">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（1）响应文件按</w:t>
      </w:r>
      <w:r>
        <w:rPr>
          <w:rFonts w:hint="eastAsia" w:ascii="宋体" w:hAnsi="宋体" w:eastAsia="宋体" w:cs="宋体"/>
          <w:color w:val="000000" w:themeColor="text1"/>
          <w:highlight w:val="none"/>
          <w:lang w:eastAsia="zh-CN"/>
          <w14:textFill>
            <w14:solidFill>
              <w14:schemeClr w14:val="tx1"/>
            </w14:solidFill>
          </w14:textFill>
        </w:rPr>
        <w:t>磋商文件</w:t>
      </w:r>
      <w:r>
        <w:rPr>
          <w:rFonts w:hint="eastAsia" w:ascii="宋体" w:hAnsi="宋体" w:eastAsia="宋体" w:cs="宋体"/>
          <w:color w:val="000000" w:themeColor="text1"/>
          <w:highlight w:val="none"/>
          <w14:textFill>
            <w14:solidFill>
              <w14:schemeClr w14:val="tx1"/>
            </w14:solidFill>
          </w14:textFill>
        </w:rPr>
        <w:t>要求签字或盖章；</w:t>
      </w:r>
    </w:p>
    <w:p w14:paraId="24FE28C0">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（2）内容齐全、关键内容字迹清晰可辨；</w:t>
      </w:r>
    </w:p>
    <w:p w14:paraId="4E095EAA">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（3）符合第</w:t>
      </w: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章“响应文件格式”要求；</w:t>
      </w:r>
    </w:p>
    <w:p w14:paraId="2F75BB5E">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名称与报名时一致；</w:t>
      </w:r>
    </w:p>
    <w:p w14:paraId="71F7F5A7">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（5）没有递交两份或多份内容不同的响应文件；</w:t>
      </w:r>
    </w:p>
    <w:p w14:paraId="43519CA0">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符合</w:t>
      </w:r>
      <w:r>
        <w:rPr>
          <w:rFonts w:hint="eastAsia" w:ascii="宋体" w:hAnsi="宋体" w:eastAsia="宋体" w:cs="宋体"/>
          <w:color w:val="000000" w:themeColor="text1"/>
          <w:highlight w:val="none"/>
          <w:lang w:eastAsia="zh-CN"/>
          <w14:textFill>
            <w14:solidFill>
              <w14:schemeClr w14:val="tx1"/>
            </w14:solidFill>
          </w14:textFill>
        </w:rPr>
        <w:t>磋商文件</w:t>
      </w:r>
      <w:r>
        <w:rPr>
          <w:rFonts w:hint="eastAsia" w:ascii="宋体" w:hAnsi="宋体" w:eastAsia="宋体" w:cs="宋体"/>
          <w:color w:val="000000" w:themeColor="text1"/>
          <w:highlight w:val="none"/>
          <w14:textFill>
            <w14:solidFill>
              <w14:schemeClr w14:val="tx1"/>
            </w14:solidFill>
          </w14:textFill>
        </w:rPr>
        <w:t>规定的资格条件；</w:t>
      </w:r>
    </w:p>
    <w:p w14:paraId="0C13C35E">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（7）响应文件未通过审查的，</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可以宣布其响应无效。</w:t>
      </w:r>
    </w:p>
    <w:p w14:paraId="26574BAA">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.5</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按照《</w:t>
      </w:r>
      <w:r>
        <w:rPr>
          <w:rFonts w:hint="eastAsia" w:cs="宋体"/>
          <w:color w:val="000000" w:themeColor="text1"/>
          <w:highlight w:val="none"/>
          <w:lang w:val="en-US" w:eastAsia="zh-CN"/>
          <w14:textFill>
            <w14:solidFill>
              <w14:schemeClr w14:val="tx1"/>
            </w14:solidFill>
          </w14:textFill>
        </w:rPr>
        <w:t>评分细则</w:t>
      </w:r>
      <w:r>
        <w:rPr>
          <w:rFonts w:hint="eastAsia" w:ascii="宋体" w:hAnsi="宋体" w:eastAsia="宋体" w:cs="宋体"/>
          <w:color w:val="000000" w:themeColor="text1"/>
          <w:highlight w:val="none"/>
          <w14:textFill>
            <w14:solidFill>
              <w14:schemeClr w14:val="tx1"/>
            </w14:solidFill>
          </w14:textFill>
        </w:rPr>
        <w:t>》的要求，各位</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成员单独就每个合格</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的响应方案（包括合同、协议条款响应性）进行评审和比较，评出其技术评分、商务评分。步骤如下：</w:t>
      </w:r>
    </w:p>
    <w:p w14:paraId="73D05E4B">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（1）各</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成员对每一个方案分别评审，对每一评审项目，按评审标准在“评分”栏中填写分数，</w:t>
      </w:r>
    </w:p>
    <w:p w14:paraId="7AD9C5D4">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（2）最后小计得到方案评审分。</w:t>
      </w:r>
    </w:p>
    <w:p w14:paraId="3873CA2A">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.6 价格分统一采用低价优先法计算，即满足</w:t>
      </w:r>
      <w:r>
        <w:rPr>
          <w:rFonts w:hint="eastAsia" w:ascii="宋体" w:hAnsi="宋体" w:eastAsia="宋体" w:cs="宋体"/>
          <w:color w:val="000000" w:themeColor="text1"/>
          <w:highlight w:val="none"/>
          <w:lang w:eastAsia="zh-CN"/>
          <w14:textFill>
            <w14:solidFill>
              <w14:schemeClr w14:val="tx1"/>
            </w14:solidFill>
          </w14:textFill>
        </w:rPr>
        <w:t>磋商文件</w:t>
      </w:r>
      <w:r>
        <w:rPr>
          <w:rFonts w:hint="eastAsia" w:ascii="宋体" w:hAnsi="宋体" w:eastAsia="宋体" w:cs="宋体"/>
          <w:color w:val="000000" w:themeColor="text1"/>
          <w:highlight w:val="none"/>
          <w14:textFill>
            <w14:solidFill>
              <w14:schemeClr w14:val="tx1"/>
            </w14:solidFill>
          </w14:textFill>
        </w:rPr>
        <w:t>要求且最后报价最低的</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的价格为评标基准价，其价格分为满分。</w:t>
      </w:r>
    </w:p>
    <w:p w14:paraId="0F99A90E">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的价格分统一按照下列公式计算：</w:t>
      </w:r>
    </w:p>
    <w:p w14:paraId="304D3962">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报价得分=（评标基准价/最后</w:t>
      </w:r>
      <w:r>
        <w:rPr>
          <w:rFonts w:hint="eastAsia"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报价）X价格权值X100</w:t>
      </w:r>
    </w:p>
    <w:p w14:paraId="6B126A6E">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供应商的价格分统一按照下列公式计算：</w:t>
      </w:r>
    </w:p>
    <w:p w14:paraId="0A275310">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项目评审过程中，不得去掉最后报价中的最高报价和最低报价。</w:t>
      </w:r>
    </w:p>
    <w:p w14:paraId="145C7BE6">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价格评审得分保留小数点后两位，第三位四舍五入。综合得分最高者优先推荐。</w:t>
      </w:r>
    </w:p>
    <w:p w14:paraId="5215E315">
      <w:pPr>
        <w:pStyle w:val="8"/>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.7对各</w:t>
      </w:r>
      <w:r>
        <w:rPr>
          <w:rFonts w:hint="eastAsia" w:cs="宋体"/>
          <w:color w:val="000000" w:themeColor="text1"/>
          <w:highlight w:val="none"/>
          <w:lang w:eastAsia="zh-CN"/>
          <w14:textFill>
            <w14:solidFill>
              <w14:schemeClr w14:val="tx1"/>
            </w14:solidFill>
          </w14:textFill>
        </w:rPr>
        <w:t>磋商小组</w:t>
      </w:r>
      <w:r>
        <w:rPr>
          <w:rFonts w:hint="eastAsia" w:ascii="宋体" w:hAnsi="宋体" w:eastAsia="宋体" w:cs="宋体"/>
          <w:color w:val="000000" w:themeColor="text1"/>
          <w:highlight w:val="none"/>
          <w14:textFill>
            <w14:solidFill>
              <w14:schemeClr w14:val="tx1"/>
            </w14:solidFill>
          </w14:textFill>
        </w:rPr>
        <w:t>成员响应方案评分的算术平均值即为该</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的技术得分和商务得分，再分别计算各</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的报价得分后，即可得出</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最终综合得分。</w:t>
      </w:r>
    </w:p>
    <w:p w14:paraId="0E49957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注：1.磋商无效的情形：</w:t>
      </w:r>
    </w:p>
    <w:p w14:paraId="55D63AD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（1）单位负责人为同一人或者存在直接控股、管理关系的不同供应商，其相关磋商将被认定为磋商无效。</w:t>
      </w:r>
    </w:p>
    <w:p w14:paraId="2CE291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（2）若供应商须知资料表中未写明允许采购进口产品，如供应商所投产品为进口产品，其磋商将被认定为磋商无效。</w:t>
      </w:r>
    </w:p>
    <w:p w14:paraId="23FE2A7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（3）为本项目提供过整体设计、规范编制或者项目管理、监理、检测等服务的供应商，不得再参加本项目上述服务以外的其他采购活动。否则其磋商将被认定为磋商无效。</w:t>
      </w:r>
    </w:p>
    <w:p w14:paraId="6CE911A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供应商在磋商过程中不得向采购人提供、给予任何有价值的物品，影响其正常决策行为。一经发现，其将被认定为磋商无效。</w:t>
      </w:r>
    </w:p>
    <w:p w14:paraId="29832D9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（4）供应商报价超过磋商文件规定的预算金额或者分项、分包最高限价的，其磋商将被认定为磋商无效。</w:t>
      </w:r>
    </w:p>
    <w:p w14:paraId="0933A50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14:paraId="6B00AE2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（6）供应商应当对所投分包磋商文件中“服务需求”所列的所有内容进行磋商，如仅响应某一包中的部分内容，其该包磋商将被认定为磋商无效。</w:t>
      </w:r>
    </w:p>
    <w:p w14:paraId="1F1E692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（7）供应商未按本须知第12.1和12.3条规定提交磋商保证金的，其磋商资格将被认定为无效。</w:t>
      </w:r>
    </w:p>
    <w:p w14:paraId="43162E0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所有磋商均以人民币报价。供应商的磋商报价应遵守《中华人民共和国价格法》。同时，根据《中华人民共和国政府采购法》第二条的规定，为保证公平竞争，如有服务主体部分的赠与行为，其磋商将被认定为磋商无效。</w:t>
      </w:r>
    </w:p>
    <w:p w14:paraId="6BCA2F4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（9）供应商所报的各分项磋商单价在合同履行过程中是固定不变的，不得以任何理由予以变更。任何包含价格调整要求的磋商，其磋商将被认定为磋商无效。</w:t>
      </w:r>
    </w:p>
    <w:p w14:paraId="46B8F08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（10）磋商应在供应商须知资料表中规定时间内保持有效。磋商有效期不满足要求的磋商，其磋商将被认定为磋商无效。</w:t>
      </w:r>
    </w:p>
    <w:p w14:paraId="1196104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（11）所有响应文件采用不可拆装的胶订方式装订，否则其磋商将被认定为磋商无效。</w:t>
      </w:r>
    </w:p>
    <w:p w14:paraId="2FACEE3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（12）采购人或采购代理机构将在开标前1个工作日至磋商截止后1小时的期间内查询供应商的信用记录。供应商存在不良信用记录的，其磋商将被认定为磋商无效。</w:t>
      </w:r>
    </w:p>
    <w:p w14:paraId="52411AF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14:paraId="2883D0A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14:paraId="7021A63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（15）如发现下列情况之一的，其磋商将被认定为磋商无效：</w:t>
      </w:r>
    </w:p>
    <w:p w14:paraId="07C50B1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未按磋商文件规定的形式和金额提交磋商保证金的；未按照磋商文件规定要求签署、盖章的；未满足磋商文件中技术条款的实质性要求；与其他供应商串通磋商，或者与</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14:paraId="335606F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w:t>
      </w:r>
      <w:r>
        <w:rPr>
          <w:rFonts w:hint="eastAsia" w:ascii="宋体" w:hAnsi="宋体" w:eastAsia="宋体" w:cs="宋体"/>
          <w:color w:val="000000" w:themeColor="text1"/>
          <w:sz w:val="24"/>
          <w:highlight w:val="none"/>
          <w14:textFill>
            <w14:solidFill>
              <w14:schemeClr w14:val="tx1"/>
            </w14:solidFill>
          </w14:textFill>
        </w:rPr>
        <w:t>：</w:t>
      </w:r>
    </w:p>
    <w:p w14:paraId="6346523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（本项目适用）</w:t>
      </w:r>
      <w:r>
        <w:rPr>
          <w:rFonts w:hint="eastAsia" w:ascii="宋体" w:hAnsi="宋体" w:eastAsia="宋体" w:cs="宋体"/>
          <w:b/>
          <w:bCs/>
          <w:color w:val="000000" w:themeColor="text1"/>
          <w:sz w:val="24"/>
          <w:highlight w:val="none"/>
          <w:lang w:val="en-US" w:eastAsia="zh-CN"/>
          <w14:textFill>
            <w14:solidFill>
              <w14:schemeClr w14:val="tx1"/>
            </w14:solidFill>
          </w14:textFill>
        </w:rPr>
        <w:t>根据《政府采购促进中小企业发展暂行办法》（财库[2020]46号）、政府采购需求管理办法 财库 [ 2021] 22号、关于进一步加大政府采购支持中小企业力度的通知》（财库[2022]19号）、《财政部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cs="宋体"/>
          <w:b/>
          <w:bCs/>
          <w:color w:val="000000" w:themeColor="text1"/>
          <w:sz w:val="24"/>
          <w:highlight w:val="none"/>
          <w:lang w:val="en-US" w:eastAsia="zh-CN"/>
          <w14:textFill>
            <w14:solidFill>
              <w14:schemeClr w14:val="tx1"/>
            </w14:solidFill>
          </w14:textFill>
        </w:rPr>
        <w:t>响应文件</w:t>
      </w:r>
      <w:r>
        <w:rPr>
          <w:rFonts w:hint="eastAsia" w:ascii="宋体" w:hAnsi="宋体" w:eastAsia="宋体" w:cs="宋体"/>
          <w:b/>
          <w:bCs/>
          <w:color w:val="000000" w:themeColor="text1"/>
          <w:sz w:val="24"/>
          <w:highlight w:val="none"/>
          <w:lang w:val="en-US" w:eastAsia="zh-CN"/>
          <w14:textFill>
            <w14:solidFill>
              <w14:schemeClr w14:val="tx1"/>
            </w14:solidFill>
          </w14:textFill>
        </w:rPr>
        <w:t>中提交了《</w:t>
      </w:r>
      <w:r>
        <w:rPr>
          <w:rFonts w:hint="eastAsia" w:ascii="宋体" w:hAnsi="宋体" w:cs="宋体"/>
          <w:b/>
          <w:bCs/>
          <w:color w:val="000000" w:themeColor="text1"/>
          <w:sz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highlight w:val="none"/>
          <w:lang w:val="en-US" w:eastAsia="zh-CN"/>
          <w14:textFill>
            <w14:solidFill>
              <w14:schemeClr w14:val="tx1"/>
            </w14:solidFill>
          </w14:textFill>
        </w:rPr>
        <w:t>企业类型声明函》、《残疾人福利性单位声明函》或省级以上监狱管理局、戒毒管理局（含新疆生产建设兵团）出具的属于监狱企业的证明文件的</w:t>
      </w:r>
      <w:r>
        <w:rPr>
          <w:rFonts w:hint="eastAsia" w:ascii="宋体" w:hAnsi="宋体" w:cs="宋体"/>
          <w:b/>
          <w:bCs/>
          <w:color w:val="000000" w:themeColor="text1"/>
          <w:sz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highlight w:val="none"/>
          <w:lang w:val="en-US" w:eastAsia="zh-CN"/>
          <w14:textFill>
            <w14:solidFill>
              <w14:schemeClr w14:val="tx1"/>
            </w14:solidFill>
          </w14:textFill>
        </w:rPr>
        <w:t>，其报价扣除</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 xml:space="preserve">  10  </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%后参与评审。对于同时属于小微企业、监狱企业或残疾人福利性单位的，不重复进行报价扣除。</w:t>
      </w:r>
    </w:p>
    <w:p w14:paraId="4DE6F6C6">
      <w:pPr>
        <w:widowControl/>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（本项目不适用）</w:t>
      </w:r>
      <w:r>
        <w:rPr>
          <w:rFonts w:hint="eastAsia" w:ascii="宋体" w:hAnsi="宋体" w:eastAsia="宋体" w:cs="宋体"/>
          <w:color w:val="000000" w:themeColor="text1"/>
          <w:sz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614FFD93">
      <w:pPr>
        <w:widowControl/>
        <w:spacing w:line="360" w:lineRule="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3.</w:t>
      </w:r>
      <w:r>
        <w:rPr>
          <w:rFonts w:hint="eastAsia" w:ascii="宋体" w:hAnsi="宋体" w:eastAsia="宋体" w:cs="宋体"/>
          <w:b/>
          <w:bCs/>
          <w:color w:val="000000" w:themeColor="text1"/>
          <w:sz w:val="24"/>
          <w:highlight w:val="none"/>
          <w14:textFill>
            <w14:solidFill>
              <w14:schemeClr w14:val="tx1"/>
            </w14:solidFill>
          </w14:textFill>
        </w:rPr>
        <w:t>（本项目</w:t>
      </w:r>
      <w:r>
        <w:rPr>
          <w:rFonts w:hint="eastAsia" w:ascii="宋体" w:hAnsi="宋体" w:cs="宋体"/>
          <w:b/>
          <w:bCs/>
          <w:color w:val="000000" w:themeColor="text1"/>
          <w:sz w:val="24"/>
          <w:highlight w:val="none"/>
          <w:lang w:val="en-US" w:eastAsia="zh-CN"/>
          <w14:textFill>
            <w14:solidFill>
              <w14:schemeClr w14:val="tx1"/>
            </w14:solidFill>
          </w14:textFill>
        </w:rPr>
        <w:t>不</w:t>
      </w:r>
      <w:r>
        <w:rPr>
          <w:rFonts w:hint="eastAsia" w:ascii="宋体" w:hAnsi="宋体" w:eastAsia="宋体" w:cs="宋体"/>
          <w:b/>
          <w:bCs/>
          <w:color w:val="000000" w:themeColor="text1"/>
          <w:sz w:val="24"/>
          <w:highlight w:val="none"/>
          <w14:textFill>
            <w14:solidFill>
              <w14:schemeClr w14:val="tx1"/>
            </w14:solidFill>
          </w14:textFill>
        </w:rPr>
        <w:t>接受联合体投标）</w:t>
      </w:r>
      <w:r>
        <w:rPr>
          <w:rFonts w:hint="eastAsia" w:ascii="宋体" w:hAnsi="宋体" w:eastAsia="宋体" w:cs="宋体"/>
          <w:b w:val="0"/>
          <w:bCs w:val="0"/>
          <w:color w:val="000000" w:themeColor="text1"/>
          <w:sz w:val="24"/>
          <w:highlight w:val="none"/>
          <w14:textFill>
            <w14:solidFill>
              <w14:schemeClr w14:val="tx1"/>
            </w14:solidFill>
          </w14:textFill>
        </w:rPr>
        <w:t>联合协议中约定，小型、微型企业和监狱企业的协议合同金额占到联合体协议合同总金额30%以上的，可给予联合体</w:t>
      </w:r>
      <w:r>
        <w:rPr>
          <w:rFonts w:hint="eastAsia" w:ascii="宋体" w:hAnsi="宋体" w:eastAsia="宋体" w:cs="宋体"/>
          <w:b w:val="0"/>
          <w:bCs w:val="0"/>
          <w:color w:val="000000" w:themeColor="text1"/>
          <w:sz w:val="24"/>
          <w:highlight w:val="none"/>
          <w:u w:val="single"/>
          <w14:textFill>
            <w14:solidFill>
              <w14:schemeClr w14:val="tx1"/>
            </w14:solidFill>
          </w14:textFill>
        </w:rPr>
        <w:t xml:space="preserve">  /   </w:t>
      </w:r>
      <w:r>
        <w:rPr>
          <w:rFonts w:hint="eastAsia" w:ascii="宋体" w:hAnsi="宋体" w:eastAsia="宋体" w:cs="宋体"/>
          <w:b w:val="0"/>
          <w:bCs w:val="0"/>
          <w:color w:val="000000" w:themeColor="text1"/>
          <w:sz w:val="24"/>
          <w:highlight w:val="none"/>
          <w14:textFill>
            <w14:solidFill>
              <w14:schemeClr w14:val="tx1"/>
            </w14:solidFill>
          </w14:textFill>
        </w:rPr>
        <w:t>%的价格扣除。联合体各方均为小型、微型企业和监狱企业的，联合体视同为小型、微型企业和监狱企业。</w:t>
      </w:r>
    </w:p>
    <w:p w14:paraId="0B8F2104">
      <w:pPr>
        <w:pStyle w:val="8"/>
        <w:tabs>
          <w:tab w:val="clear" w:pos="567"/>
        </w:tabs>
        <w:spacing w:before="0"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所投产品如被列入财政部与国家主管部门颁发的节能产品目录或环境标志产品目录或无线局域网产品目录，应提供相关证明，在评标时予以优先采购，具体优惠措施为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000000" w:themeColor="text1"/>
          <w:highlight w:val="none"/>
          <w:u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详见评标办法     </w:t>
      </w:r>
    </w:p>
    <w:p w14:paraId="46C2D892">
      <w:pPr>
        <w:pStyle w:val="8"/>
        <w:tabs>
          <w:tab w:val="clear" w:pos="567"/>
        </w:tabs>
        <w:spacing w:before="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5.如采购人所采购产品为政府强制采购的节能产品，</w:t>
      </w:r>
      <w:r>
        <w:rPr>
          <w:rFonts w:hint="eastAsia"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所投产品的品牌及型号必须为清单中有效期内产品并提供证明文件，否则其投标将被认定为</w:t>
      </w:r>
      <w:r>
        <w:rPr>
          <w:rFonts w:hint="eastAsia" w:ascii="宋体" w:hAnsi="宋体" w:eastAsia="宋体" w:cs="宋体"/>
          <w:b/>
          <w:bCs/>
          <w:color w:val="000000" w:themeColor="text1"/>
          <w:highlight w:val="none"/>
          <w14:textFill>
            <w14:solidFill>
              <w14:schemeClr w14:val="tx1"/>
            </w14:solidFill>
          </w14:textFill>
        </w:rPr>
        <w:t>投标无效</w:t>
      </w:r>
      <w:r>
        <w:rPr>
          <w:rFonts w:hint="eastAsia" w:ascii="宋体" w:hAnsi="宋体" w:eastAsia="宋体" w:cs="宋体"/>
          <w:color w:val="000000" w:themeColor="text1"/>
          <w:highlight w:val="none"/>
          <w14:textFill>
            <w14:solidFill>
              <w14:schemeClr w14:val="tx1"/>
            </w14:solidFill>
          </w14:textFill>
        </w:rPr>
        <w:t>。</w:t>
      </w:r>
    </w:p>
    <w:p w14:paraId="53B000DA">
      <w:pPr>
        <w:pStyle w:val="5"/>
        <w:spacing w:line="500" w:lineRule="exact"/>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6.同品牌处理办法：</w:t>
      </w:r>
    </w:p>
    <w:p w14:paraId="04CB6981">
      <w:pPr>
        <w:pStyle w:val="5"/>
        <w:spacing w:line="500" w:lineRule="exact"/>
        <w:ind w:firstLine="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如采用综合评</w:t>
      </w:r>
      <w:r>
        <w:rPr>
          <w:rFonts w:hint="eastAsia" w:hAnsi="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法，则：</w:t>
      </w:r>
      <w:r>
        <w:rPr>
          <w:rFonts w:hint="eastAsia" w:ascii="宋体" w:hAnsi="宋体" w:eastAsia="宋体" w:cs="宋体"/>
          <w:color w:val="000000" w:themeColor="text1"/>
          <w:highlight w:val="none"/>
          <w:u w:val="single"/>
          <w14:textFill>
            <w14:solidFill>
              <w14:schemeClr w14:val="tx1"/>
            </w14:solidFill>
          </w14:textFill>
        </w:rPr>
        <w:t>提供相同品牌产品且通过资格审查、符合性审查的不同供应商参加同一合同项下投标的，按一家供应商计算，评审后得分最高的同品牌供应商获得成交人推荐资格;评审得分相同的，由采购人或者采购人委托磋商小组按照磋商文件规定的方式确定一个供应商获得成交人推荐资格，磋商文件未规定的采取随机抽取方式确定，其他同品牌供应商不作为成交候选人。</w:t>
      </w:r>
    </w:p>
    <w:p w14:paraId="4A76F6FC">
      <w:pPr>
        <w:pStyle w:val="8"/>
        <w:tabs>
          <w:tab w:val="clear" w:pos="567"/>
        </w:tabs>
        <w:spacing w:before="0"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5.成交候选人并列式时的处理方式：   </w:t>
      </w:r>
    </w:p>
    <w:p w14:paraId="6AE9C8D0">
      <w:pPr>
        <w:pStyle w:val="5"/>
        <w:spacing w:line="400" w:lineRule="exact"/>
        <w:ind w:firstLine="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14:textFill>
            <w14:solidFill>
              <w14:schemeClr w14:val="tx1"/>
            </w14:solidFill>
          </w14:textFill>
        </w:rPr>
        <w:t>如采用综合</w:t>
      </w:r>
      <w:r>
        <w:rPr>
          <w:rFonts w:hint="eastAsia" w:hAnsi="宋体" w:cs="宋体"/>
          <w:color w:val="000000" w:themeColor="text1"/>
          <w:kern w:val="2"/>
          <w:szCs w:val="24"/>
          <w:highlight w:val="none"/>
          <w:lang w:val="en-US" w:eastAsia="zh-CN"/>
          <w14:textFill>
            <w14:solidFill>
              <w14:schemeClr w14:val="tx1"/>
            </w14:solidFill>
          </w14:textFill>
        </w:rPr>
        <w:t>分</w:t>
      </w:r>
      <w:r>
        <w:rPr>
          <w:rFonts w:hint="eastAsia" w:ascii="宋体" w:hAnsi="宋体" w:eastAsia="宋体" w:cs="宋体"/>
          <w:color w:val="000000" w:themeColor="text1"/>
          <w:kern w:val="2"/>
          <w:szCs w:val="24"/>
          <w:highlight w:val="none"/>
          <w14:textFill>
            <w14:solidFill>
              <w14:schemeClr w14:val="tx1"/>
            </w14:solidFill>
          </w14:textFill>
        </w:rPr>
        <w:t>法，则：</w:t>
      </w:r>
      <w:r>
        <w:rPr>
          <w:rFonts w:hint="eastAsia" w:ascii="宋体" w:hAnsi="宋体" w:eastAsia="宋体" w:cs="宋体"/>
          <w:color w:val="000000" w:themeColor="text1"/>
          <w:kern w:val="2"/>
          <w:szCs w:val="24"/>
          <w:highlight w:val="none"/>
          <w:u w:val="single"/>
          <w14:textFill>
            <w14:solidFill>
              <w14:schemeClr w14:val="tx1"/>
            </w14:solidFill>
          </w14:textFill>
        </w:rPr>
        <w:t xml:space="preserve">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bookmarkStart w:id="429" w:name="_Toc18284"/>
    </w:p>
    <w:bookmarkEnd w:id="429"/>
    <w:p w14:paraId="54E0CA5D">
      <w:pPr>
        <w:rPr>
          <w:rFonts w:hint="eastAsia" w:ascii="宋体" w:hAnsi="宋体" w:eastAsia="宋体" w:cs="宋体"/>
          <w:b/>
          <w:bCs/>
          <w:color w:val="000000" w:themeColor="text1"/>
          <w:kern w:val="0"/>
          <w:sz w:val="32"/>
          <w:szCs w:val="32"/>
          <w:highlight w:val="none"/>
          <w14:textFill>
            <w14:solidFill>
              <w14:schemeClr w14:val="tx1"/>
            </w14:solidFill>
          </w14:textFill>
        </w:rPr>
      </w:pPr>
    </w:p>
    <w:p w14:paraId="12366442">
      <w:pPr>
        <w:rPr>
          <w:rFonts w:hint="eastAsia" w:ascii="宋体" w:hAnsi="宋体" w:eastAsia="宋体" w:cs="宋体"/>
          <w:b/>
          <w:bCs/>
          <w:color w:val="000000" w:themeColor="text1"/>
          <w:kern w:val="0"/>
          <w:sz w:val="32"/>
          <w:szCs w:val="32"/>
          <w:highlight w:val="none"/>
          <w14:textFill>
            <w14:solidFill>
              <w14:schemeClr w14:val="tx1"/>
            </w14:solidFill>
          </w14:textFill>
        </w:rPr>
      </w:pPr>
    </w:p>
    <w:p w14:paraId="26EA98FE">
      <w:pPr>
        <w:rPr>
          <w:rFonts w:hint="eastAsia" w:ascii="宋体" w:hAnsi="宋体" w:eastAsia="宋体" w:cs="宋体"/>
          <w:b/>
          <w:bCs/>
          <w:color w:val="000000" w:themeColor="text1"/>
          <w:kern w:val="0"/>
          <w:sz w:val="24"/>
          <w:highlight w:val="none"/>
          <w14:textFill>
            <w14:solidFill>
              <w14:schemeClr w14:val="tx1"/>
            </w14:solidFill>
          </w14:textFill>
        </w:rPr>
      </w:pPr>
    </w:p>
    <w:p w14:paraId="54A4871E">
      <w:pPr>
        <w:rPr>
          <w:rFonts w:hint="eastAsia" w:ascii="宋体" w:hAnsi="宋体" w:eastAsia="宋体" w:cs="宋体"/>
          <w:b/>
          <w:bCs/>
          <w:color w:val="000000" w:themeColor="text1"/>
          <w:kern w:val="0"/>
          <w:sz w:val="24"/>
          <w:highlight w:val="none"/>
          <w14:textFill>
            <w14:solidFill>
              <w14:schemeClr w14:val="tx1"/>
            </w14:solidFill>
          </w14:textFill>
        </w:rPr>
      </w:pPr>
    </w:p>
    <w:p w14:paraId="2D997394">
      <w:pPr>
        <w:rPr>
          <w:rFonts w:hint="eastAsia" w:ascii="宋体" w:hAnsi="宋体" w:eastAsia="宋体" w:cs="宋体"/>
          <w:b/>
          <w:bCs/>
          <w:color w:val="000000" w:themeColor="text1"/>
          <w:kern w:val="0"/>
          <w:sz w:val="24"/>
          <w:highlight w:val="none"/>
          <w14:textFill>
            <w14:solidFill>
              <w14:schemeClr w14:val="tx1"/>
            </w14:solidFill>
          </w14:textFill>
        </w:rPr>
      </w:pPr>
    </w:p>
    <w:p w14:paraId="7C47F3EF">
      <w:pPr>
        <w:rPr>
          <w:rFonts w:hint="eastAsia" w:ascii="宋体" w:hAnsi="宋体" w:eastAsia="宋体" w:cs="宋体"/>
          <w:b/>
          <w:bCs/>
          <w:color w:val="000000" w:themeColor="text1"/>
          <w:kern w:val="0"/>
          <w:sz w:val="24"/>
          <w:highlight w:val="none"/>
          <w14:textFill>
            <w14:solidFill>
              <w14:schemeClr w14:val="tx1"/>
            </w14:solidFill>
          </w14:textFill>
        </w:rPr>
      </w:pPr>
    </w:p>
    <w:p w14:paraId="3C4AA56D">
      <w:pPr>
        <w:rPr>
          <w:rFonts w:hint="eastAsia" w:ascii="宋体" w:hAnsi="宋体" w:eastAsia="宋体" w:cs="宋体"/>
          <w:b/>
          <w:bCs/>
          <w:color w:val="000000" w:themeColor="text1"/>
          <w:kern w:val="0"/>
          <w:sz w:val="24"/>
          <w:highlight w:val="none"/>
          <w14:textFill>
            <w14:solidFill>
              <w14:schemeClr w14:val="tx1"/>
            </w14:solidFill>
          </w14:textFill>
        </w:rPr>
      </w:pPr>
    </w:p>
    <w:p w14:paraId="0A0BA61C">
      <w:pPr>
        <w:rPr>
          <w:rFonts w:hint="eastAsia" w:ascii="宋体" w:hAnsi="宋体" w:eastAsia="宋体" w:cs="宋体"/>
          <w:b/>
          <w:bCs/>
          <w:color w:val="000000" w:themeColor="text1"/>
          <w:kern w:val="0"/>
          <w:sz w:val="24"/>
          <w:highlight w:val="none"/>
          <w14:textFill>
            <w14:solidFill>
              <w14:schemeClr w14:val="tx1"/>
            </w14:solidFill>
          </w14:textFill>
        </w:rPr>
      </w:pPr>
    </w:p>
    <w:p w14:paraId="514ED52A">
      <w:pPr>
        <w:rPr>
          <w:rFonts w:hint="eastAsia" w:ascii="宋体" w:hAnsi="宋体" w:eastAsia="宋体" w:cs="宋体"/>
          <w:b/>
          <w:bCs/>
          <w:color w:val="000000" w:themeColor="text1"/>
          <w:kern w:val="0"/>
          <w:sz w:val="24"/>
          <w:highlight w:val="none"/>
          <w14:textFill>
            <w14:solidFill>
              <w14:schemeClr w14:val="tx1"/>
            </w14:solidFill>
          </w14:textFill>
        </w:rPr>
      </w:pPr>
    </w:p>
    <w:p w14:paraId="5B243D21">
      <w:pPr>
        <w:rPr>
          <w:rFonts w:hint="eastAsia" w:ascii="宋体" w:hAnsi="宋体" w:eastAsia="宋体" w:cs="宋体"/>
          <w:b/>
          <w:bCs/>
          <w:color w:val="000000" w:themeColor="text1"/>
          <w:kern w:val="0"/>
          <w:sz w:val="24"/>
          <w:highlight w:val="none"/>
          <w14:textFill>
            <w14:solidFill>
              <w14:schemeClr w14:val="tx1"/>
            </w14:solidFill>
          </w14:textFill>
        </w:rPr>
      </w:pPr>
    </w:p>
    <w:p w14:paraId="20BB0D73">
      <w:pPr>
        <w:rPr>
          <w:rFonts w:hint="eastAsia" w:ascii="宋体" w:hAnsi="宋体" w:eastAsia="宋体" w:cs="宋体"/>
          <w:b/>
          <w:bCs/>
          <w:color w:val="000000" w:themeColor="text1"/>
          <w:kern w:val="0"/>
          <w:sz w:val="24"/>
          <w:highlight w:val="none"/>
          <w14:textFill>
            <w14:solidFill>
              <w14:schemeClr w14:val="tx1"/>
            </w14:solidFill>
          </w14:textFill>
        </w:rPr>
      </w:pPr>
    </w:p>
    <w:p w14:paraId="19573F07">
      <w:pPr>
        <w:rPr>
          <w:rFonts w:hint="eastAsia" w:ascii="宋体" w:hAnsi="宋体" w:eastAsia="宋体" w:cs="宋体"/>
          <w:b/>
          <w:bCs/>
          <w:color w:val="000000" w:themeColor="text1"/>
          <w:kern w:val="0"/>
          <w:sz w:val="24"/>
          <w:highlight w:val="none"/>
          <w14:textFill>
            <w14:solidFill>
              <w14:schemeClr w14:val="tx1"/>
            </w14:solidFill>
          </w14:textFill>
        </w:rPr>
      </w:pPr>
    </w:p>
    <w:p w14:paraId="1003177F">
      <w:pPr>
        <w:rPr>
          <w:rFonts w:hint="eastAsia" w:ascii="宋体" w:hAnsi="宋体" w:eastAsia="宋体" w:cs="宋体"/>
          <w:b/>
          <w:bCs/>
          <w:color w:val="000000" w:themeColor="text1"/>
          <w:kern w:val="0"/>
          <w:sz w:val="24"/>
          <w:highlight w:val="none"/>
          <w14:textFill>
            <w14:solidFill>
              <w14:schemeClr w14:val="tx1"/>
            </w14:solidFill>
          </w14:textFill>
        </w:rPr>
      </w:pPr>
    </w:p>
    <w:p w14:paraId="2AC6E3D0">
      <w:pPr>
        <w:rPr>
          <w:rFonts w:hint="eastAsia" w:ascii="宋体" w:hAnsi="宋体" w:eastAsia="宋体" w:cs="宋体"/>
          <w:b/>
          <w:bCs/>
          <w:color w:val="000000" w:themeColor="text1"/>
          <w:kern w:val="0"/>
          <w:sz w:val="24"/>
          <w:highlight w:val="none"/>
          <w14:textFill>
            <w14:solidFill>
              <w14:schemeClr w14:val="tx1"/>
            </w14:solidFill>
          </w14:textFill>
        </w:rPr>
      </w:pPr>
    </w:p>
    <w:p w14:paraId="1F35AAED">
      <w:pPr>
        <w:rPr>
          <w:rFonts w:hint="eastAsia" w:ascii="宋体" w:hAnsi="宋体" w:eastAsia="宋体" w:cs="宋体"/>
          <w:b/>
          <w:bCs/>
          <w:color w:val="000000" w:themeColor="text1"/>
          <w:kern w:val="0"/>
          <w:sz w:val="24"/>
          <w:highlight w:val="none"/>
          <w14:textFill>
            <w14:solidFill>
              <w14:schemeClr w14:val="tx1"/>
            </w14:solidFill>
          </w14:textFill>
        </w:rPr>
      </w:pPr>
    </w:p>
    <w:p w14:paraId="6BF39B44">
      <w:pPr>
        <w:rPr>
          <w:rFonts w:hint="eastAsia" w:ascii="宋体" w:hAnsi="宋体" w:eastAsia="宋体" w:cs="宋体"/>
          <w:b/>
          <w:bCs/>
          <w:color w:val="000000" w:themeColor="text1"/>
          <w:kern w:val="0"/>
          <w:sz w:val="24"/>
          <w:highlight w:val="none"/>
          <w14:textFill>
            <w14:solidFill>
              <w14:schemeClr w14:val="tx1"/>
            </w14:solidFill>
          </w14:textFill>
        </w:rPr>
      </w:pPr>
    </w:p>
    <w:p w14:paraId="1D382095">
      <w:pPr>
        <w:rPr>
          <w:rFonts w:hint="eastAsia" w:ascii="宋体" w:hAnsi="宋体" w:eastAsia="宋体" w:cs="宋体"/>
          <w:b/>
          <w:bCs/>
          <w:color w:val="000000" w:themeColor="text1"/>
          <w:kern w:val="0"/>
          <w:sz w:val="24"/>
          <w:highlight w:val="none"/>
          <w14:textFill>
            <w14:solidFill>
              <w14:schemeClr w14:val="tx1"/>
            </w14:solidFill>
          </w14:textFill>
        </w:rPr>
      </w:pPr>
    </w:p>
    <w:p w14:paraId="1B4419EB">
      <w:pPr>
        <w:rPr>
          <w:rFonts w:hint="eastAsia" w:ascii="宋体" w:hAnsi="宋体" w:eastAsia="宋体" w:cs="宋体"/>
          <w:b/>
          <w:bCs/>
          <w:color w:val="000000" w:themeColor="text1"/>
          <w:kern w:val="0"/>
          <w:sz w:val="24"/>
          <w:highlight w:val="none"/>
          <w14:textFill>
            <w14:solidFill>
              <w14:schemeClr w14:val="tx1"/>
            </w14:solidFill>
          </w14:textFill>
        </w:rPr>
      </w:pPr>
    </w:p>
    <w:p w14:paraId="7DD2EF91">
      <w:pPr>
        <w:rPr>
          <w:rFonts w:hint="eastAsia" w:ascii="宋体" w:hAnsi="宋体" w:eastAsia="宋体" w:cs="宋体"/>
          <w:b/>
          <w:bCs/>
          <w:color w:val="000000" w:themeColor="text1"/>
          <w:kern w:val="0"/>
          <w:sz w:val="24"/>
          <w:highlight w:val="none"/>
          <w14:textFill>
            <w14:solidFill>
              <w14:schemeClr w14:val="tx1"/>
            </w14:solidFill>
          </w14:textFill>
        </w:rPr>
      </w:pPr>
    </w:p>
    <w:p w14:paraId="7867FA6F">
      <w:pPr>
        <w:rPr>
          <w:rFonts w:hint="eastAsia" w:ascii="宋体" w:hAnsi="宋体" w:eastAsia="宋体" w:cs="宋体"/>
          <w:b/>
          <w:bCs/>
          <w:color w:val="000000" w:themeColor="text1"/>
          <w:kern w:val="0"/>
          <w:sz w:val="24"/>
          <w:highlight w:val="none"/>
          <w14:textFill>
            <w14:solidFill>
              <w14:schemeClr w14:val="tx1"/>
            </w14:solidFill>
          </w14:textFill>
        </w:rPr>
      </w:pPr>
    </w:p>
    <w:p w14:paraId="15B1164C">
      <w:pPr>
        <w:rPr>
          <w:rFonts w:hint="eastAsia" w:ascii="宋体" w:hAnsi="宋体" w:eastAsia="宋体" w:cs="宋体"/>
          <w:b/>
          <w:bCs/>
          <w:color w:val="000000" w:themeColor="text1"/>
          <w:kern w:val="0"/>
          <w:sz w:val="24"/>
          <w:highlight w:val="none"/>
          <w14:textFill>
            <w14:solidFill>
              <w14:schemeClr w14:val="tx1"/>
            </w14:solidFill>
          </w14:textFill>
        </w:rPr>
      </w:pPr>
    </w:p>
    <w:p w14:paraId="6D16A9D0">
      <w:pPr>
        <w:rPr>
          <w:rFonts w:hint="eastAsia" w:ascii="宋体" w:hAnsi="宋体" w:eastAsia="宋体" w:cs="宋体"/>
          <w:b/>
          <w:bCs/>
          <w:color w:val="000000" w:themeColor="text1"/>
          <w:kern w:val="0"/>
          <w:sz w:val="24"/>
          <w:highlight w:val="none"/>
          <w14:textFill>
            <w14:solidFill>
              <w14:schemeClr w14:val="tx1"/>
            </w14:solidFill>
          </w14:textFill>
        </w:rPr>
      </w:pPr>
    </w:p>
    <w:p w14:paraId="3FDEFAAF">
      <w:pPr>
        <w:rPr>
          <w:rFonts w:hint="eastAsia" w:ascii="宋体" w:hAnsi="宋体" w:eastAsia="宋体" w:cs="宋体"/>
          <w:b/>
          <w:bCs/>
          <w:color w:val="000000" w:themeColor="text1"/>
          <w:kern w:val="0"/>
          <w:sz w:val="24"/>
          <w:highlight w:val="none"/>
          <w14:textFill>
            <w14:solidFill>
              <w14:schemeClr w14:val="tx1"/>
            </w14:solidFill>
          </w14:textFill>
        </w:rPr>
      </w:pPr>
    </w:p>
    <w:p w14:paraId="793B93D6">
      <w:pPr>
        <w:rPr>
          <w:rFonts w:hint="eastAsia" w:ascii="宋体" w:hAnsi="宋体" w:eastAsia="宋体" w:cs="宋体"/>
          <w:b/>
          <w:bCs/>
          <w:color w:val="000000" w:themeColor="text1"/>
          <w:kern w:val="0"/>
          <w:sz w:val="24"/>
          <w:highlight w:val="none"/>
          <w14:textFill>
            <w14:solidFill>
              <w14:schemeClr w14:val="tx1"/>
            </w14:solidFill>
          </w14:textFill>
        </w:rPr>
      </w:pPr>
    </w:p>
    <w:p w14:paraId="29A018F5">
      <w:pPr>
        <w:rPr>
          <w:rFonts w:hint="eastAsia" w:ascii="宋体" w:hAnsi="宋体" w:eastAsia="宋体" w:cs="宋体"/>
          <w:b/>
          <w:bCs/>
          <w:color w:val="000000" w:themeColor="text1"/>
          <w:kern w:val="0"/>
          <w:sz w:val="24"/>
          <w:highlight w:val="none"/>
          <w14:textFill>
            <w14:solidFill>
              <w14:schemeClr w14:val="tx1"/>
            </w14:solidFill>
          </w14:textFill>
        </w:rPr>
      </w:pPr>
    </w:p>
    <w:p w14:paraId="767DA076">
      <w:pPr>
        <w:rPr>
          <w:rFonts w:hint="eastAsia" w:ascii="宋体" w:hAnsi="宋体" w:eastAsia="宋体" w:cs="宋体"/>
          <w:b/>
          <w:bCs/>
          <w:color w:val="000000" w:themeColor="text1"/>
          <w:kern w:val="0"/>
          <w:sz w:val="24"/>
          <w:highlight w:val="none"/>
          <w14:textFill>
            <w14:solidFill>
              <w14:schemeClr w14:val="tx1"/>
            </w14:solidFill>
          </w14:textFill>
        </w:rPr>
      </w:pPr>
    </w:p>
    <w:p w14:paraId="153DEDEF">
      <w:pPr>
        <w:rPr>
          <w:rFonts w:hint="eastAsia" w:ascii="宋体" w:hAnsi="宋体" w:eastAsia="宋体" w:cs="宋体"/>
          <w:b/>
          <w:bCs/>
          <w:color w:val="000000" w:themeColor="text1"/>
          <w:kern w:val="0"/>
          <w:sz w:val="24"/>
          <w:highlight w:val="none"/>
          <w14:textFill>
            <w14:solidFill>
              <w14:schemeClr w14:val="tx1"/>
            </w14:solidFill>
          </w14:textFill>
        </w:rPr>
      </w:pPr>
    </w:p>
    <w:p w14:paraId="218AB694">
      <w:pPr>
        <w:spacing w:line="300" w:lineRule="auto"/>
        <w:jc w:val="center"/>
        <w:outlineLvl w:val="1"/>
        <w:rPr>
          <w:rFonts w:hint="eastAsia" w:ascii="宋体" w:hAnsi="宋体" w:eastAsia="宋体" w:cs="宋体"/>
          <w:color w:val="000000" w:themeColor="text1"/>
          <w:highlight w:val="none"/>
          <w14:textFill>
            <w14:solidFill>
              <w14:schemeClr w14:val="tx1"/>
            </w14:solidFill>
          </w14:textFill>
        </w:rPr>
      </w:pPr>
      <w:bookmarkStart w:id="430" w:name="_Toc1474"/>
      <w:bookmarkStart w:id="431" w:name="_Toc51"/>
      <w:bookmarkStart w:id="432" w:name="_Toc31349"/>
      <w:bookmarkStart w:id="433" w:name="_Toc24459"/>
      <w:bookmarkStart w:id="434" w:name="_Toc32335"/>
      <w:r>
        <w:rPr>
          <w:rFonts w:hint="eastAsia" w:ascii="宋体" w:hAnsi="宋体" w:cs="宋体"/>
          <w:b/>
          <w:bCs/>
          <w:color w:val="000000" w:themeColor="text1"/>
          <w:kern w:val="0"/>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资格审查表</w:t>
      </w:r>
      <w:bookmarkEnd w:id="430"/>
      <w:bookmarkEnd w:id="431"/>
      <w:bookmarkEnd w:id="432"/>
      <w:bookmarkEnd w:id="433"/>
      <w:bookmarkEnd w:id="434"/>
    </w:p>
    <w:p w14:paraId="7D624CCA">
      <w:pPr>
        <w:rPr>
          <w:rFonts w:hint="eastAsia" w:ascii="宋体" w:hAnsi="宋体" w:eastAsia="宋体" w:cs="宋体"/>
          <w:color w:val="000000" w:themeColor="text1"/>
          <w:highlight w:val="none"/>
          <w14:textFill>
            <w14:solidFill>
              <w14:schemeClr w14:val="tx1"/>
            </w14:solidFill>
          </w14:textFill>
        </w:rPr>
      </w:pPr>
    </w:p>
    <w:tbl>
      <w:tblPr>
        <w:tblStyle w:val="21"/>
        <w:tblpPr w:leftFromText="180" w:rightFromText="180" w:vertAnchor="text" w:horzAnchor="page" w:tblpX="1480" w:tblpY="21"/>
        <w:tblOverlap w:val="never"/>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6822"/>
        <w:gridCol w:w="856"/>
        <w:gridCol w:w="732"/>
        <w:gridCol w:w="731"/>
      </w:tblGrid>
      <w:tr w14:paraId="6374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23" w:type="dxa"/>
            <w:vMerge w:val="restart"/>
            <w:vAlign w:val="center"/>
          </w:tcPr>
          <w:p w14:paraId="1C121CE0">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序号</w:t>
            </w:r>
          </w:p>
        </w:tc>
        <w:tc>
          <w:tcPr>
            <w:tcW w:w="6822" w:type="dxa"/>
            <w:vMerge w:val="restart"/>
            <w:vAlign w:val="center"/>
          </w:tcPr>
          <w:p w14:paraId="05B1F472">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评审内容</w:t>
            </w:r>
          </w:p>
        </w:tc>
        <w:tc>
          <w:tcPr>
            <w:tcW w:w="2319" w:type="dxa"/>
            <w:gridSpan w:val="3"/>
            <w:vAlign w:val="center"/>
          </w:tcPr>
          <w:p w14:paraId="02AD3286">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供应商</w:t>
            </w:r>
          </w:p>
        </w:tc>
      </w:tr>
      <w:tr w14:paraId="625E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23" w:type="dxa"/>
            <w:vMerge w:val="continue"/>
            <w:vAlign w:val="center"/>
          </w:tcPr>
          <w:p w14:paraId="531F4259">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6822" w:type="dxa"/>
            <w:vMerge w:val="continue"/>
            <w:vAlign w:val="center"/>
          </w:tcPr>
          <w:p w14:paraId="2084EB46">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856" w:type="dxa"/>
            <w:vAlign w:val="center"/>
          </w:tcPr>
          <w:p w14:paraId="57F0FC6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是否合格</w:t>
            </w:r>
          </w:p>
        </w:tc>
        <w:tc>
          <w:tcPr>
            <w:tcW w:w="732" w:type="dxa"/>
            <w:vAlign w:val="center"/>
          </w:tcPr>
          <w:p w14:paraId="42A064D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是否合格</w:t>
            </w:r>
          </w:p>
        </w:tc>
        <w:tc>
          <w:tcPr>
            <w:tcW w:w="731" w:type="dxa"/>
            <w:vAlign w:val="center"/>
          </w:tcPr>
          <w:p w14:paraId="5919D7C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是否合格</w:t>
            </w:r>
          </w:p>
        </w:tc>
      </w:tr>
      <w:tr w14:paraId="2229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23" w:type="dxa"/>
            <w:vAlign w:val="center"/>
          </w:tcPr>
          <w:p w14:paraId="474F7591">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Calibri" w:hAnsi="Calibri" w:cs="Calibri"/>
                <w:bCs/>
                <w:color w:val="000000" w:themeColor="text1"/>
                <w:sz w:val="24"/>
                <w:szCs w:val="24"/>
                <w:highlight w:val="none"/>
                <w:lang w:val="en-US" w:eastAsia="zh-CN"/>
                <w14:textFill>
                  <w14:solidFill>
                    <w14:schemeClr w14:val="tx1"/>
                  </w14:solidFill>
                </w14:textFill>
              </w:rPr>
              <w:t>1</w:t>
            </w:r>
          </w:p>
        </w:tc>
        <w:tc>
          <w:tcPr>
            <w:tcW w:w="6822" w:type="dxa"/>
            <w:vAlign w:val="center"/>
          </w:tcPr>
          <w:p w14:paraId="4D2B6BA8">
            <w:pPr>
              <w:keepNext w:val="0"/>
              <w:keepLines w:val="0"/>
              <w:widowControl/>
              <w:suppressLineNumbers w:val="0"/>
              <w:spacing w:line="360" w:lineRule="auto"/>
              <w:jc w:val="both"/>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具有独立承担民事责任的能力；</w:t>
            </w:r>
          </w:p>
          <w:p w14:paraId="5C6D3FA4">
            <w:pPr>
              <w:keepNext w:val="0"/>
              <w:keepLines w:val="0"/>
              <w:widowControl/>
              <w:suppressLineNumbers w:val="0"/>
              <w:spacing w:line="360" w:lineRule="auto"/>
              <w:jc w:val="both"/>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【须</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提供</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有效的营业执照】</w:t>
            </w:r>
          </w:p>
        </w:tc>
        <w:tc>
          <w:tcPr>
            <w:tcW w:w="856" w:type="dxa"/>
          </w:tcPr>
          <w:p w14:paraId="0394FE7C">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42E3083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6E9848A0">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65AF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23" w:type="dxa"/>
            <w:vAlign w:val="center"/>
          </w:tcPr>
          <w:p w14:paraId="0AE12752">
            <w:pPr>
              <w:keepNext w:val="0"/>
              <w:keepLines w:val="0"/>
              <w:suppressLineNumbers w:val="0"/>
              <w:spacing w:before="0" w:beforeAutospacing="0" w:after="0" w:afterAutospacing="0" w:line="400" w:lineRule="exact"/>
              <w:ind w:left="0" w:right="0"/>
              <w:jc w:val="center"/>
              <w:rPr>
                <w:rFonts w:hint="default" w:ascii="Calibri" w:hAnsi="Calibri" w:cs="Calibri"/>
                <w:bCs/>
                <w:color w:val="000000" w:themeColor="text1"/>
                <w:sz w:val="24"/>
                <w:szCs w:val="24"/>
                <w:highlight w:val="none"/>
                <w:lang w:val="en-US" w:eastAsia="zh-CN"/>
                <w14:textFill>
                  <w14:solidFill>
                    <w14:schemeClr w14:val="tx1"/>
                  </w14:solidFill>
                </w14:textFill>
              </w:rPr>
            </w:pPr>
            <w:r>
              <w:rPr>
                <w:rFonts w:hint="eastAsia" w:ascii="Calibri" w:hAnsi="Calibri" w:cs="Calibri"/>
                <w:bCs/>
                <w:color w:val="000000" w:themeColor="text1"/>
                <w:sz w:val="24"/>
                <w:szCs w:val="24"/>
                <w:highlight w:val="none"/>
                <w:lang w:val="en-US" w:eastAsia="zh-CN"/>
                <w14:textFill>
                  <w14:solidFill>
                    <w14:schemeClr w14:val="tx1"/>
                  </w14:solidFill>
                </w14:textFill>
              </w:rPr>
              <w:t>2</w:t>
            </w:r>
          </w:p>
        </w:tc>
        <w:tc>
          <w:tcPr>
            <w:tcW w:w="6822" w:type="dxa"/>
            <w:vAlign w:val="center"/>
          </w:tcPr>
          <w:p w14:paraId="0A9FAF07">
            <w:pPr>
              <w:keepNext w:val="0"/>
              <w:keepLines w:val="0"/>
              <w:widowControl/>
              <w:suppressLineNumbers w:val="0"/>
              <w:spacing w:line="360" w:lineRule="auto"/>
              <w:jc w:val="both"/>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具有良好的商业信誉和健全的财务会计制度；</w:t>
            </w:r>
          </w:p>
          <w:p w14:paraId="66E3662D">
            <w:pPr>
              <w:keepNext w:val="0"/>
              <w:keepLines w:val="0"/>
              <w:widowControl/>
              <w:suppressLineNumbers w:val="0"/>
              <w:spacing w:line="360" w:lineRule="auto"/>
              <w:jc w:val="both"/>
              <w:rPr>
                <w:rFonts w:hint="default"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须</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提供</w:t>
            </w:r>
            <w:r>
              <w:rPr>
                <w:rFonts w:hint="eastAsia" w:ascii="宋体" w:hAnsi="宋体" w:eastAsia="宋体" w:cs="宋体"/>
                <w:color w:val="000000" w:themeColor="text1"/>
                <w:sz w:val="24"/>
                <w:highlight w:val="none"/>
                <w:u w:val="none"/>
                <w14:textFill>
                  <w14:solidFill>
                    <w14:schemeClr w14:val="tx1"/>
                  </w14:solidFill>
                </w14:textFill>
              </w:rPr>
              <w:t>202</w:t>
            </w:r>
            <w:r>
              <w:rPr>
                <w:rFonts w:hint="eastAsia" w:ascii="宋体" w:hAnsi="宋体" w:eastAsia="宋体" w:cs="宋体"/>
                <w:color w:val="000000" w:themeColor="text1"/>
                <w:sz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highlight w:val="none"/>
                <w:u w:val="none"/>
                <w14:textFill>
                  <w14:solidFill>
                    <w14:schemeClr w14:val="tx1"/>
                  </w14:solidFill>
                </w14:textFill>
              </w:rPr>
              <w:t>年的年度财务审计报告或其基本开户银行出具的资信证明复印件，新成立或成立不满一年的组织和自然人无法提供财务状况报告（表）的，可提供银行出具的资信证明复印件</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p>
        </w:tc>
        <w:tc>
          <w:tcPr>
            <w:tcW w:w="856" w:type="dxa"/>
          </w:tcPr>
          <w:p w14:paraId="4E72940B">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7464C8D5">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7A8F8558">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2C36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23" w:type="dxa"/>
            <w:vAlign w:val="center"/>
          </w:tcPr>
          <w:p w14:paraId="611B3739">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Calibri" w:hAnsi="Calibri" w:cs="Calibri"/>
                <w:bCs/>
                <w:color w:val="000000" w:themeColor="text1"/>
                <w:sz w:val="24"/>
                <w:szCs w:val="24"/>
                <w:highlight w:val="none"/>
                <w:lang w:val="en-US" w:eastAsia="zh-CN"/>
                <w14:textFill>
                  <w14:solidFill>
                    <w14:schemeClr w14:val="tx1"/>
                  </w14:solidFill>
                </w14:textFill>
              </w:rPr>
              <w:t>3</w:t>
            </w:r>
          </w:p>
        </w:tc>
        <w:tc>
          <w:tcPr>
            <w:tcW w:w="6822" w:type="dxa"/>
            <w:vAlign w:val="center"/>
          </w:tcPr>
          <w:p w14:paraId="19634A17">
            <w:pPr>
              <w:keepNext w:val="0"/>
              <w:keepLines w:val="0"/>
              <w:widowControl/>
              <w:suppressLineNumbers w:val="0"/>
              <w:spacing w:line="360" w:lineRule="auto"/>
              <w:jc w:val="both"/>
              <w:rPr>
                <w:rFonts w:hint="eastAsia" w:ascii="宋体" w:hAnsi="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具有履行合同所必需的设备和专业技术能力</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w:t>
            </w:r>
          </w:p>
          <w:p w14:paraId="160E3212">
            <w:pPr>
              <w:keepNext w:val="0"/>
              <w:keepLines w:val="0"/>
              <w:widowControl/>
              <w:suppressLineNumbers w:val="0"/>
              <w:spacing w:line="360" w:lineRule="auto"/>
              <w:jc w:val="both"/>
              <w:rPr>
                <w:rFonts w:hint="eastAsia" w:ascii="宋体" w:hAnsi="宋体" w:eastAsia="宋体" w:cs="宋体"/>
                <w:b w:val="0"/>
                <w:bCs/>
                <w:color w:val="000000" w:themeColor="text1"/>
                <w:sz w:val="24"/>
                <w:szCs w:val="24"/>
                <w:highlight w:val="none"/>
                <w:shd w:val="clear" w:color="auto" w:fill="auto"/>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【须提供承诺函或</w:t>
            </w:r>
            <w:r>
              <w:rPr>
                <w:rFonts w:hint="eastAsia" w:ascii="宋体" w:hAnsi="宋体" w:eastAsia="宋体" w:cs="宋体"/>
                <w:b w:val="0"/>
                <w:bCs/>
                <w:color w:val="000000" w:themeColor="text1"/>
                <w:sz w:val="24"/>
                <w:szCs w:val="24"/>
                <w:highlight w:val="none"/>
                <w:u w:val="none"/>
                <w:shd w:val="clear" w:color="auto" w:fill="auto"/>
                <w:rtl w:val="0"/>
                <w:lang w:val="en-US" w:eastAsia="zh-CN"/>
                <w14:textFill>
                  <w14:solidFill>
                    <w14:schemeClr w14:val="tx1"/>
                  </w14:solidFill>
                </w14:textFill>
              </w:rPr>
              <w:t>证明材料</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p>
        </w:tc>
        <w:tc>
          <w:tcPr>
            <w:tcW w:w="856" w:type="dxa"/>
          </w:tcPr>
          <w:p w14:paraId="7D8C2358">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223FEC7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79470115">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601F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23" w:type="dxa"/>
            <w:vAlign w:val="center"/>
          </w:tcPr>
          <w:p w14:paraId="2E6A7982">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Calibri" w:hAnsi="Calibri" w:cs="Calibri"/>
                <w:bCs/>
                <w:color w:val="000000" w:themeColor="text1"/>
                <w:sz w:val="24"/>
                <w:szCs w:val="24"/>
                <w:highlight w:val="none"/>
                <w:lang w:val="en-US" w:eastAsia="zh-CN"/>
                <w14:textFill>
                  <w14:solidFill>
                    <w14:schemeClr w14:val="tx1"/>
                  </w14:solidFill>
                </w14:textFill>
              </w:rPr>
              <w:t>4</w:t>
            </w:r>
          </w:p>
        </w:tc>
        <w:tc>
          <w:tcPr>
            <w:tcW w:w="6822" w:type="dxa"/>
            <w:vAlign w:val="center"/>
          </w:tcPr>
          <w:p w14:paraId="705D3206">
            <w:pPr>
              <w:keepNext w:val="0"/>
              <w:keepLines w:val="0"/>
              <w:widowControl/>
              <w:suppressLineNumbers w:val="0"/>
              <w:spacing w:line="360" w:lineRule="auto"/>
              <w:jc w:val="both"/>
              <w:rPr>
                <w:rFonts w:hint="eastAsia" w:ascii="宋体" w:hAnsi="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有依法缴纳税收和社会保障资金的良好记录</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w:t>
            </w:r>
          </w:p>
          <w:p w14:paraId="2632C6CF">
            <w:pPr>
              <w:keepNext w:val="0"/>
              <w:keepLines w:val="0"/>
              <w:widowControl/>
              <w:suppressLineNumbers w:val="0"/>
              <w:spacing w:line="360" w:lineRule="auto"/>
              <w:jc w:val="both"/>
              <w:rPr>
                <w:rFonts w:hint="eastAsia" w:ascii="宋体" w:hAnsi="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【须提供</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①近</w:t>
            </w:r>
            <w:r>
              <w:rPr>
                <w:rFonts w:hint="eastAsia" w:ascii="宋体" w:hAnsi="宋体" w:cs="宋体"/>
                <w:b w:val="0"/>
                <w:bCs/>
                <w:color w:val="000000" w:themeColor="text1"/>
                <w:sz w:val="24"/>
                <w:szCs w:val="24"/>
                <w:highlight w:val="none"/>
                <w:shd w:val="clear" w:color="auto" w:fill="auto"/>
                <w:lang w:val="en-US" w:eastAsia="zh-CN"/>
                <w14:textFill>
                  <w14:solidFill>
                    <w14:schemeClr w14:val="tx1"/>
                  </w14:solidFill>
                </w14:textFill>
              </w:rPr>
              <w:t>12个月</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内任意1个月已依法缴纳税收的凭据</w:t>
            </w:r>
            <w:r>
              <w:rPr>
                <w:rFonts w:hint="eastAsia" w:ascii="宋体" w:hAnsi="宋体" w:eastAsia="宋体" w:cs="宋体"/>
                <w:b w:val="0"/>
                <w:bCs/>
                <w:color w:val="000000" w:themeColor="text1"/>
                <w:sz w:val="24"/>
                <w:szCs w:val="24"/>
                <w:highlight w:val="none"/>
                <w:u w:val="none"/>
                <w:shd w:val="clear" w:color="auto" w:fill="auto"/>
                <w:lang w:eastAsia="zh-CN"/>
                <w14:textFill>
                  <w14:solidFill>
                    <w14:schemeClr w14:val="tx1"/>
                  </w14:solidFill>
                </w14:textFill>
              </w:rPr>
              <w:t>（</w:t>
            </w:r>
            <w:r>
              <w:rPr>
                <w:rFonts w:hint="eastAsia" w:ascii="宋体" w:hAnsi="宋体" w:eastAsia="宋体" w:cs="宋体"/>
                <w:b/>
                <w:bCs/>
                <w:color w:val="000000" w:themeColor="text1"/>
                <w:sz w:val="24"/>
                <w:highlight w:val="none"/>
                <w:u w:val="none"/>
                <w:lang w:val="en-US" w:eastAsia="zh-CN"/>
                <w14:textFill>
                  <w14:solidFill>
                    <w14:schemeClr w14:val="tx1"/>
                  </w14:solidFill>
                </w14:textFill>
              </w:rPr>
              <w:t>依法缴纳税记录是指企业增值税、地方教育附加税、城市维护建设税、教育费附加税。）</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②近</w:t>
            </w:r>
            <w:r>
              <w:rPr>
                <w:rFonts w:hint="eastAsia" w:ascii="宋体" w:hAnsi="宋体" w:cs="宋体"/>
                <w:b w:val="0"/>
                <w:bCs/>
                <w:color w:val="000000" w:themeColor="text1"/>
                <w:sz w:val="24"/>
                <w:szCs w:val="24"/>
                <w:highlight w:val="none"/>
                <w:shd w:val="clear" w:color="auto" w:fill="auto"/>
                <w:lang w:val="en-US" w:eastAsia="zh-CN"/>
                <w14:textFill>
                  <w14:solidFill>
                    <w14:schemeClr w14:val="tx1"/>
                  </w14:solidFill>
                </w14:textFill>
              </w:rPr>
              <w:t>12</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个月内任意</w:t>
            </w:r>
            <w:r>
              <w:rPr>
                <w:rFonts w:hint="eastAsia" w:ascii="宋体" w:hAnsi="宋体" w:cs="宋体"/>
                <w:b w:val="0"/>
                <w:bCs/>
                <w:color w:val="000000" w:themeColor="text1"/>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个月已依法缴纳社会保险的凭据。（依法免税或不需要缴纳社会保障资金的</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供应商</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，应提供相应证明文件，新成立企业无需提供。</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w:t>
            </w:r>
          </w:p>
        </w:tc>
        <w:tc>
          <w:tcPr>
            <w:tcW w:w="856" w:type="dxa"/>
          </w:tcPr>
          <w:p w14:paraId="07EF4340">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032E2F04">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7DC841CF">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02F3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23" w:type="dxa"/>
            <w:vAlign w:val="center"/>
          </w:tcPr>
          <w:p w14:paraId="66909516">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5</w:t>
            </w:r>
          </w:p>
        </w:tc>
        <w:tc>
          <w:tcPr>
            <w:tcW w:w="6822" w:type="dxa"/>
            <w:vAlign w:val="center"/>
          </w:tcPr>
          <w:p w14:paraId="02650DDD">
            <w:pPr>
              <w:keepNext w:val="0"/>
              <w:keepLines w:val="0"/>
              <w:widowControl/>
              <w:suppressLineNumbers w:val="0"/>
              <w:spacing w:line="360" w:lineRule="auto"/>
              <w:jc w:val="both"/>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参加政府采购活动前三年内，在经营活动中没有重大违法记录</w:t>
            </w:r>
            <w:r>
              <w:rPr>
                <w:rFonts w:hint="eastAsia" w:ascii="宋体" w:hAnsi="宋体" w:eastAsia="宋体" w:cs="宋体"/>
                <w:b w:val="0"/>
                <w:bCs/>
                <w:color w:val="000000" w:themeColor="text1"/>
                <w:sz w:val="24"/>
                <w:szCs w:val="24"/>
                <w:highlight w:val="none"/>
                <w:shd w:val="clear" w:color="auto" w:fill="auto"/>
                <w:lang w:eastAsia="zh-CN"/>
                <w14:textFill>
                  <w14:solidFill>
                    <w14:schemeClr w14:val="tx1"/>
                  </w14:solidFill>
                </w14:textFill>
              </w:rPr>
              <w:t>；</w:t>
            </w:r>
          </w:p>
          <w:p w14:paraId="5E77057C">
            <w:pPr>
              <w:keepNext w:val="0"/>
              <w:keepLines w:val="0"/>
              <w:widowControl/>
              <w:suppressLineNumbers w:val="0"/>
              <w:spacing w:line="360" w:lineRule="auto"/>
              <w:jc w:val="both"/>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【须提供承诺函】</w:t>
            </w:r>
          </w:p>
        </w:tc>
        <w:tc>
          <w:tcPr>
            <w:tcW w:w="856" w:type="dxa"/>
          </w:tcPr>
          <w:p w14:paraId="4B4C637E">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61FFF85C">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5EF7D8C9">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44B6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23" w:type="dxa"/>
            <w:vAlign w:val="center"/>
          </w:tcPr>
          <w:p w14:paraId="30BC178E">
            <w:pPr>
              <w:keepNext w:val="0"/>
              <w:keepLines w:val="0"/>
              <w:suppressLineNumbers w:val="0"/>
              <w:spacing w:before="0" w:beforeAutospacing="0" w:after="0" w:afterAutospacing="0" w:line="400" w:lineRule="exact"/>
              <w:ind w:left="0" w:right="0"/>
              <w:jc w:val="center"/>
              <w:rPr>
                <w:rFonts w:hint="default" w:ascii="微软雅黑" w:hAnsi="微软雅黑" w:eastAsia="微软雅黑" w:cs="微软雅黑"/>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6</w:t>
            </w:r>
          </w:p>
        </w:tc>
        <w:tc>
          <w:tcPr>
            <w:tcW w:w="6822" w:type="dxa"/>
            <w:vAlign w:val="center"/>
          </w:tcPr>
          <w:p w14:paraId="35357C96">
            <w:pPr>
              <w:keepNext w:val="0"/>
              <w:keepLines w:val="0"/>
              <w:widowControl/>
              <w:suppressLineNumbers w:val="0"/>
              <w:spacing w:line="360" w:lineRule="auto"/>
              <w:jc w:val="left"/>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法律、行政法规规定的其他条件；</w:t>
            </w:r>
          </w:p>
          <w:p w14:paraId="54490C3E">
            <w:pPr>
              <w:keepNext w:val="0"/>
              <w:keepLines w:val="0"/>
              <w:widowControl/>
              <w:suppressLineNumbers w:val="0"/>
              <w:spacing w:line="360" w:lineRule="auto"/>
              <w:jc w:val="left"/>
              <w:rPr>
                <w:rFonts w:hint="eastAsia"/>
                <w:color w:val="000000" w:themeColor="text1"/>
                <w:spacing w:val="2"/>
                <w:highlight w:val="none"/>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【须提供承诺函】</w:t>
            </w:r>
          </w:p>
        </w:tc>
        <w:tc>
          <w:tcPr>
            <w:tcW w:w="856" w:type="dxa"/>
          </w:tcPr>
          <w:p w14:paraId="509AF6DF">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2B27D61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09DBCEE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5E8A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Align w:val="center"/>
          </w:tcPr>
          <w:p w14:paraId="026151C6">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7</w:t>
            </w:r>
          </w:p>
        </w:tc>
        <w:tc>
          <w:tcPr>
            <w:tcW w:w="6822" w:type="dxa"/>
            <w:vAlign w:val="center"/>
          </w:tcPr>
          <w:p w14:paraId="4064E223">
            <w:pPr>
              <w:keepNext w:val="0"/>
              <w:keepLines w:val="0"/>
              <w:widowControl/>
              <w:suppressLineNumbers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落实政府采购政策需满足的资格要求：</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本项目专门面向中小企业采购。</w:t>
            </w:r>
          </w:p>
        </w:tc>
        <w:tc>
          <w:tcPr>
            <w:tcW w:w="856" w:type="dxa"/>
          </w:tcPr>
          <w:p w14:paraId="1C0F70BD">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13A685AD">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1B23C98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1DC2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23" w:type="dxa"/>
            <w:vAlign w:val="center"/>
          </w:tcPr>
          <w:p w14:paraId="51D20AC1">
            <w:pPr>
              <w:keepNext w:val="0"/>
              <w:keepLines w:val="0"/>
              <w:suppressLineNumbers w:val="0"/>
              <w:spacing w:before="0" w:beforeAutospacing="0" w:after="0" w:afterAutospacing="0" w:line="400" w:lineRule="exact"/>
              <w:ind w:left="0" w:right="0"/>
              <w:jc w:val="center"/>
              <w:rPr>
                <w:rFonts w:hint="default" w:ascii="微软雅黑" w:hAnsi="微软雅黑" w:eastAsia="微软雅黑" w:cs="微软雅黑"/>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8</w:t>
            </w:r>
          </w:p>
        </w:tc>
        <w:tc>
          <w:tcPr>
            <w:tcW w:w="6822" w:type="dxa"/>
            <w:vAlign w:val="center"/>
          </w:tcPr>
          <w:p w14:paraId="43BE0792">
            <w:pPr>
              <w:keepNext w:val="0"/>
              <w:keepLines w:val="0"/>
              <w:widowControl/>
              <w:suppressLineNumbers w:val="0"/>
              <w:spacing w:line="360" w:lineRule="auto"/>
              <w:jc w:val="left"/>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特定资格要求：</w:t>
            </w:r>
          </w:p>
          <w:p w14:paraId="1FFB9815">
            <w:pPr>
              <w:keepNext w:val="0"/>
              <w:keepLines w:val="0"/>
              <w:widowControl/>
              <w:suppressLineNumbers w:val="0"/>
              <w:spacing w:line="360" w:lineRule="auto"/>
              <w:jc w:val="left"/>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供应商需具备省级及以上建设行政主管部门颁发的相关检测资质及计量认证（CMA）证书；</w:t>
            </w:r>
          </w:p>
          <w:p w14:paraId="030001B8">
            <w:pPr>
              <w:keepNext w:val="0"/>
              <w:keepLines w:val="0"/>
              <w:widowControl/>
              <w:numPr>
                <w:ilvl w:val="0"/>
                <w:numId w:val="0"/>
              </w:numPr>
              <w:suppressLineNumbers w:val="0"/>
              <w:spacing w:line="360" w:lineRule="auto"/>
              <w:jc w:val="left"/>
              <w:rPr>
                <w:rFonts w:hint="eastAsia" w:ascii="仿宋" w:hAnsi="仿宋" w:eastAsia="仿宋" w:cs="仿宋"/>
                <w:color w:val="000000" w:themeColor="text1"/>
                <w:sz w:val="24"/>
                <w:highlight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【提供合格有效的原件扫描件或电子件】</w:t>
            </w:r>
          </w:p>
        </w:tc>
        <w:tc>
          <w:tcPr>
            <w:tcW w:w="856" w:type="dxa"/>
          </w:tcPr>
          <w:p w14:paraId="2914D4D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1060C74D">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5C7F3C97">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3123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23" w:type="dxa"/>
            <w:vAlign w:val="center"/>
          </w:tcPr>
          <w:p w14:paraId="030969A5">
            <w:pPr>
              <w:keepNext w:val="0"/>
              <w:keepLines w:val="0"/>
              <w:suppressLineNumbers w:val="0"/>
              <w:spacing w:before="0" w:beforeAutospacing="0" w:after="0" w:afterAutospacing="0" w:line="400" w:lineRule="exact"/>
              <w:ind w:left="0" w:right="0"/>
              <w:jc w:val="center"/>
              <w:rPr>
                <w:rFonts w:hint="default" w:ascii="微软雅黑" w:hAnsi="微软雅黑" w:eastAsia="微软雅黑" w:cs="微软雅黑"/>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9</w:t>
            </w:r>
          </w:p>
        </w:tc>
        <w:tc>
          <w:tcPr>
            <w:tcW w:w="6822" w:type="dxa"/>
            <w:vAlign w:val="center"/>
          </w:tcPr>
          <w:p w14:paraId="0F05535B">
            <w:pPr>
              <w:keepNext w:val="0"/>
              <w:keepLines w:val="0"/>
              <w:widowControl/>
              <w:numPr>
                <w:ilvl w:val="0"/>
                <w:numId w:val="0"/>
              </w:numPr>
              <w:suppressLineNumbers w:val="0"/>
              <w:spacing w:line="360" w:lineRule="auto"/>
              <w:jc w:val="left"/>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项目负责人必须具备中级及以上专业技术职称。</w:t>
            </w:r>
          </w:p>
          <w:p w14:paraId="0B997449">
            <w:pPr>
              <w:keepNext w:val="0"/>
              <w:keepLines w:val="0"/>
              <w:widowControl/>
              <w:numPr>
                <w:ilvl w:val="0"/>
                <w:numId w:val="0"/>
              </w:numPr>
              <w:suppressLineNumbers w:val="0"/>
              <w:spacing w:line="360" w:lineRule="auto"/>
              <w:jc w:val="left"/>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【须提供中级及以上职称书原件扫描件或电子件】</w:t>
            </w:r>
          </w:p>
        </w:tc>
        <w:tc>
          <w:tcPr>
            <w:tcW w:w="856" w:type="dxa"/>
          </w:tcPr>
          <w:p w14:paraId="1734BCC0">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7F096C5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49542501">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27CA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23" w:type="dxa"/>
            <w:vAlign w:val="center"/>
          </w:tcPr>
          <w:p w14:paraId="75FFF87D">
            <w:pPr>
              <w:keepNext w:val="0"/>
              <w:keepLines w:val="0"/>
              <w:widowControl/>
              <w:numPr>
                <w:ilvl w:val="0"/>
                <w:numId w:val="0"/>
              </w:numPr>
              <w:suppressLineNumbers w:val="0"/>
              <w:spacing w:line="360" w:lineRule="auto"/>
              <w:jc w:val="left"/>
              <w:rPr>
                <w:rFonts w:hint="default"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10</w:t>
            </w:r>
          </w:p>
        </w:tc>
        <w:tc>
          <w:tcPr>
            <w:tcW w:w="6822" w:type="dxa"/>
            <w:vAlign w:val="center"/>
          </w:tcPr>
          <w:p w14:paraId="4438FD05">
            <w:pPr>
              <w:keepNext w:val="0"/>
              <w:keepLines w:val="0"/>
              <w:widowControl/>
              <w:numPr>
                <w:ilvl w:val="0"/>
                <w:numId w:val="0"/>
              </w:numPr>
              <w:suppressLineNumbers w:val="0"/>
              <w:spacing w:line="360" w:lineRule="auto"/>
              <w:jc w:val="left"/>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D36A996">
            <w:pPr>
              <w:keepNext w:val="0"/>
              <w:keepLines w:val="0"/>
              <w:widowControl/>
              <w:numPr>
                <w:ilvl w:val="0"/>
                <w:numId w:val="0"/>
              </w:numPr>
              <w:suppressLineNumbers w:val="0"/>
              <w:spacing w:line="360" w:lineRule="auto"/>
              <w:jc w:val="left"/>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【供应商提供相关内容承诺或者说明】</w:t>
            </w:r>
          </w:p>
        </w:tc>
        <w:tc>
          <w:tcPr>
            <w:tcW w:w="856" w:type="dxa"/>
          </w:tcPr>
          <w:p w14:paraId="1773A8F9">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086DE72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Pr>
          <w:p w14:paraId="4B0C4F2F">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1E7C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23" w:type="dxa"/>
            <w:vAlign w:val="center"/>
          </w:tcPr>
          <w:p w14:paraId="2E35600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6822" w:type="dxa"/>
            <w:vAlign w:val="center"/>
          </w:tcPr>
          <w:p w14:paraId="17156A6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结论</w:t>
            </w:r>
          </w:p>
        </w:tc>
        <w:tc>
          <w:tcPr>
            <w:tcW w:w="856" w:type="dxa"/>
          </w:tcPr>
          <w:p w14:paraId="2091CBA4">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highlight w:val="none"/>
                <w14:textFill>
                  <w14:solidFill>
                    <w14:schemeClr w14:val="tx1"/>
                  </w14:solidFill>
                </w14:textFill>
              </w:rPr>
            </w:pPr>
          </w:p>
        </w:tc>
        <w:tc>
          <w:tcPr>
            <w:tcW w:w="732" w:type="dxa"/>
          </w:tcPr>
          <w:p w14:paraId="6882CCB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highlight w:val="none"/>
                <w14:textFill>
                  <w14:solidFill>
                    <w14:schemeClr w14:val="tx1"/>
                  </w14:solidFill>
                </w14:textFill>
              </w:rPr>
            </w:pPr>
          </w:p>
        </w:tc>
        <w:tc>
          <w:tcPr>
            <w:tcW w:w="731" w:type="dxa"/>
          </w:tcPr>
          <w:p w14:paraId="010F64A1">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highlight w:val="none"/>
                <w14:textFill>
                  <w14:solidFill>
                    <w14:schemeClr w14:val="tx1"/>
                  </w14:solidFill>
                </w14:textFill>
              </w:rPr>
            </w:pPr>
          </w:p>
        </w:tc>
      </w:tr>
    </w:tbl>
    <w:p w14:paraId="7AA86BB0">
      <w:pPr>
        <w:pStyle w:val="5"/>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说明：注：以上承诺如经核查声明不实的，按《政府采购法》提供虚假材料的有关规定给予处罚）。</w:t>
      </w:r>
    </w:p>
    <w:p w14:paraId="51C99F1E">
      <w:pPr>
        <w:pStyle w:val="5"/>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（1）上述各项中用“√”表示通过，“×”表示不通过；</w:t>
      </w:r>
    </w:p>
    <w:p w14:paraId="7341A7F0">
      <w:pPr>
        <w:pStyle w:val="5"/>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（2）上述各项中如有一项为“×”，则结论为“×”，评委对某一分项评审认为不合格时，必须要写明原因。</w:t>
      </w:r>
    </w:p>
    <w:p w14:paraId="75A51E8A">
      <w:pPr>
        <w:pStyle w:val="5"/>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（3）磋商文件最终合格与否，以所有评委的评审意见中少数服从多数为原则定论。</w:t>
      </w:r>
    </w:p>
    <w:p w14:paraId="5AE6CE85">
      <w:pPr>
        <w:ind w:firstLine="48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如果磋商文件中有一项未通过上述审查标准，</w:t>
      </w:r>
      <w:r>
        <w:rPr>
          <w:rFonts w:hint="eastAsia" w:ascii="宋体" w:hAnsi="宋体" w:cs="宋体"/>
          <w:b/>
          <w:bCs/>
          <w:color w:val="000000" w:themeColor="text1"/>
          <w:sz w:val="24"/>
          <w:highlight w:val="none"/>
          <w:lang w:eastAsia="zh-CN"/>
          <w14:textFill>
            <w14:solidFill>
              <w14:schemeClr w14:val="tx1"/>
            </w14:solidFill>
          </w14:textFill>
        </w:rPr>
        <w:t>磋商小组</w:t>
      </w:r>
      <w:r>
        <w:rPr>
          <w:rFonts w:hint="eastAsia" w:ascii="宋体" w:hAnsi="宋体" w:eastAsia="宋体" w:cs="宋体"/>
          <w:b/>
          <w:bCs/>
          <w:color w:val="000000" w:themeColor="text1"/>
          <w:sz w:val="24"/>
          <w:highlight w:val="none"/>
          <w14:textFill>
            <w14:solidFill>
              <w14:schemeClr w14:val="tx1"/>
            </w14:solidFill>
          </w14:textFill>
        </w:rPr>
        <w:t>将认定整个磋商文件未响应磋商文件而予以废标处理。</w:t>
      </w:r>
    </w:p>
    <w:p w14:paraId="2F838826">
      <w:pPr>
        <w:rPr>
          <w:rFonts w:hint="eastAsia" w:ascii="宋体" w:hAnsi="宋体" w:eastAsia="宋体" w:cs="宋体"/>
          <w:color w:val="000000" w:themeColor="text1"/>
          <w:highlight w:val="none"/>
          <w14:textFill>
            <w14:solidFill>
              <w14:schemeClr w14:val="tx1"/>
            </w14:solidFill>
          </w14:textFill>
        </w:rPr>
      </w:pPr>
    </w:p>
    <w:p w14:paraId="5D7E2548">
      <w:pPr>
        <w:rPr>
          <w:rFonts w:hint="eastAsia" w:ascii="宋体" w:hAnsi="宋体" w:eastAsia="宋体" w:cs="宋体"/>
          <w:color w:val="000000" w:themeColor="text1"/>
          <w:highlight w:val="none"/>
          <w14:textFill>
            <w14:solidFill>
              <w14:schemeClr w14:val="tx1"/>
            </w14:solidFill>
          </w14:textFill>
        </w:rPr>
      </w:pPr>
    </w:p>
    <w:p w14:paraId="19380B92">
      <w:pPr>
        <w:rPr>
          <w:rFonts w:hint="eastAsia" w:ascii="宋体" w:hAnsi="宋体" w:eastAsia="宋体" w:cs="宋体"/>
          <w:color w:val="000000" w:themeColor="text1"/>
          <w:highlight w:val="none"/>
          <w14:textFill>
            <w14:solidFill>
              <w14:schemeClr w14:val="tx1"/>
            </w14:solidFill>
          </w14:textFill>
        </w:rPr>
      </w:pPr>
    </w:p>
    <w:p w14:paraId="318F762E">
      <w:pPr>
        <w:rPr>
          <w:rFonts w:hint="eastAsia" w:ascii="宋体" w:hAnsi="宋体" w:eastAsia="宋体" w:cs="宋体"/>
          <w:color w:val="000000" w:themeColor="text1"/>
          <w:highlight w:val="none"/>
          <w14:textFill>
            <w14:solidFill>
              <w14:schemeClr w14:val="tx1"/>
            </w14:solidFill>
          </w14:textFill>
        </w:rPr>
      </w:pPr>
    </w:p>
    <w:p w14:paraId="66A2CF2C">
      <w:pPr>
        <w:rPr>
          <w:rFonts w:hint="eastAsia" w:ascii="宋体" w:hAnsi="宋体" w:eastAsia="宋体" w:cs="宋体"/>
          <w:color w:val="000000" w:themeColor="text1"/>
          <w:highlight w:val="none"/>
          <w14:textFill>
            <w14:solidFill>
              <w14:schemeClr w14:val="tx1"/>
            </w14:solidFill>
          </w14:textFill>
        </w:rPr>
      </w:pPr>
    </w:p>
    <w:p w14:paraId="05618B23">
      <w:pPr>
        <w:rPr>
          <w:rFonts w:hint="eastAsia" w:ascii="宋体" w:hAnsi="宋体" w:eastAsia="宋体" w:cs="宋体"/>
          <w:color w:val="000000" w:themeColor="text1"/>
          <w:highlight w:val="none"/>
          <w14:textFill>
            <w14:solidFill>
              <w14:schemeClr w14:val="tx1"/>
            </w14:solidFill>
          </w14:textFill>
        </w:rPr>
      </w:pPr>
    </w:p>
    <w:p w14:paraId="0EDE84CF">
      <w:pPr>
        <w:rPr>
          <w:rFonts w:hint="eastAsia" w:ascii="宋体" w:hAnsi="宋体" w:eastAsia="宋体" w:cs="宋体"/>
          <w:color w:val="000000" w:themeColor="text1"/>
          <w:highlight w:val="none"/>
          <w14:textFill>
            <w14:solidFill>
              <w14:schemeClr w14:val="tx1"/>
            </w14:solidFill>
          </w14:textFill>
        </w:rPr>
      </w:pPr>
    </w:p>
    <w:p w14:paraId="0AB2ED54">
      <w:pPr>
        <w:rPr>
          <w:rFonts w:hint="eastAsia" w:ascii="宋体" w:hAnsi="宋体" w:eastAsia="宋体" w:cs="宋体"/>
          <w:color w:val="000000" w:themeColor="text1"/>
          <w:highlight w:val="none"/>
          <w14:textFill>
            <w14:solidFill>
              <w14:schemeClr w14:val="tx1"/>
            </w14:solidFill>
          </w14:textFill>
        </w:rPr>
      </w:pPr>
    </w:p>
    <w:p w14:paraId="5AD9F50E">
      <w:pPr>
        <w:rPr>
          <w:rFonts w:hint="eastAsia" w:ascii="宋体" w:hAnsi="宋体" w:eastAsia="宋体" w:cs="宋体"/>
          <w:color w:val="000000" w:themeColor="text1"/>
          <w:highlight w:val="none"/>
          <w14:textFill>
            <w14:solidFill>
              <w14:schemeClr w14:val="tx1"/>
            </w14:solidFill>
          </w14:textFill>
        </w:rPr>
      </w:pPr>
    </w:p>
    <w:p w14:paraId="6B569AC6">
      <w:pPr>
        <w:rPr>
          <w:rFonts w:hint="eastAsia" w:ascii="宋体" w:hAnsi="宋体" w:eastAsia="宋体" w:cs="宋体"/>
          <w:color w:val="000000" w:themeColor="text1"/>
          <w:highlight w:val="none"/>
          <w14:textFill>
            <w14:solidFill>
              <w14:schemeClr w14:val="tx1"/>
            </w14:solidFill>
          </w14:textFill>
        </w:rPr>
      </w:pPr>
    </w:p>
    <w:p w14:paraId="64613663">
      <w:pPr>
        <w:rPr>
          <w:rFonts w:hint="eastAsia" w:ascii="宋体" w:hAnsi="宋体" w:eastAsia="宋体" w:cs="宋体"/>
          <w:color w:val="000000" w:themeColor="text1"/>
          <w:highlight w:val="none"/>
          <w14:textFill>
            <w14:solidFill>
              <w14:schemeClr w14:val="tx1"/>
            </w14:solidFill>
          </w14:textFill>
        </w:rPr>
      </w:pPr>
    </w:p>
    <w:p w14:paraId="00E93D62">
      <w:pPr>
        <w:rPr>
          <w:rFonts w:hint="eastAsia" w:ascii="宋体" w:hAnsi="宋体" w:eastAsia="宋体" w:cs="宋体"/>
          <w:color w:val="000000" w:themeColor="text1"/>
          <w:highlight w:val="none"/>
          <w14:textFill>
            <w14:solidFill>
              <w14:schemeClr w14:val="tx1"/>
            </w14:solidFill>
          </w14:textFill>
        </w:rPr>
      </w:pPr>
    </w:p>
    <w:p w14:paraId="4F5EF06A">
      <w:pPr>
        <w:rPr>
          <w:rFonts w:hint="eastAsia" w:ascii="宋体" w:hAnsi="宋体" w:eastAsia="宋体" w:cs="宋体"/>
          <w:color w:val="000000" w:themeColor="text1"/>
          <w:highlight w:val="none"/>
          <w14:textFill>
            <w14:solidFill>
              <w14:schemeClr w14:val="tx1"/>
            </w14:solidFill>
          </w14:textFill>
        </w:rPr>
      </w:pPr>
    </w:p>
    <w:p w14:paraId="7E71BCE6">
      <w:pPr>
        <w:rPr>
          <w:rFonts w:hint="eastAsia" w:ascii="宋体" w:hAnsi="宋体" w:eastAsia="宋体" w:cs="宋体"/>
          <w:color w:val="000000" w:themeColor="text1"/>
          <w:highlight w:val="none"/>
          <w14:textFill>
            <w14:solidFill>
              <w14:schemeClr w14:val="tx1"/>
            </w14:solidFill>
          </w14:textFill>
        </w:rPr>
      </w:pPr>
    </w:p>
    <w:p w14:paraId="35437249">
      <w:pPr>
        <w:rPr>
          <w:rFonts w:hint="eastAsia" w:ascii="宋体" w:hAnsi="宋体" w:eastAsia="宋体" w:cs="宋体"/>
          <w:color w:val="000000" w:themeColor="text1"/>
          <w:highlight w:val="none"/>
          <w14:textFill>
            <w14:solidFill>
              <w14:schemeClr w14:val="tx1"/>
            </w14:solidFill>
          </w14:textFill>
        </w:rPr>
      </w:pPr>
    </w:p>
    <w:p w14:paraId="3050CD0A">
      <w:pPr>
        <w:rPr>
          <w:rFonts w:hint="eastAsia" w:ascii="宋体" w:hAnsi="宋体" w:eastAsia="宋体" w:cs="宋体"/>
          <w:color w:val="000000" w:themeColor="text1"/>
          <w:highlight w:val="none"/>
          <w14:textFill>
            <w14:solidFill>
              <w14:schemeClr w14:val="tx1"/>
            </w14:solidFill>
          </w14:textFill>
        </w:rPr>
      </w:pPr>
    </w:p>
    <w:p w14:paraId="6D833107">
      <w:pPr>
        <w:rPr>
          <w:rFonts w:hint="eastAsia" w:ascii="宋体" w:hAnsi="宋体" w:eastAsia="宋体" w:cs="宋体"/>
          <w:color w:val="000000" w:themeColor="text1"/>
          <w:highlight w:val="none"/>
          <w14:textFill>
            <w14:solidFill>
              <w14:schemeClr w14:val="tx1"/>
            </w14:solidFill>
          </w14:textFill>
        </w:rPr>
      </w:pPr>
    </w:p>
    <w:p w14:paraId="250CF3E0">
      <w:pPr>
        <w:rPr>
          <w:rFonts w:hint="eastAsia" w:ascii="宋体" w:hAnsi="宋体" w:eastAsia="宋体" w:cs="宋体"/>
          <w:color w:val="000000" w:themeColor="text1"/>
          <w:highlight w:val="none"/>
          <w14:textFill>
            <w14:solidFill>
              <w14:schemeClr w14:val="tx1"/>
            </w14:solidFill>
          </w14:textFill>
        </w:rPr>
      </w:pPr>
    </w:p>
    <w:p w14:paraId="6B36F31D">
      <w:pPr>
        <w:rPr>
          <w:rFonts w:hint="eastAsia" w:ascii="宋体" w:hAnsi="宋体" w:eastAsia="宋体" w:cs="宋体"/>
          <w:color w:val="000000" w:themeColor="text1"/>
          <w:highlight w:val="none"/>
          <w14:textFill>
            <w14:solidFill>
              <w14:schemeClr w14:val="tx1"/>
            </w14:solidFill>
          </w14:textFill>
        </w:rPr>
      </w:pPr>
    </w:p>
    <w:p w14:paraId="001E6F55">
      <w:pPr>
        <w:rPr>
          <w:rFonts w:hint="eastAsia" w:ascii="宋体" w:hAnsi="宋体" w:eastAsia="宋体" w:cs="宋体"/>
          <w:color w:val="000000" w:themeColor="text1"/>
          <w:highlight w:val="none"/>
          <w14:textFill>
            <w14:solidFill>
              <w14:schemeClr w14:val="tx1"/>
            </w14:solidFill>
          </w14:textFill>
        </w:rPr>
      </w:pPr>
    </w:p>
    <w:p w14:paraId="135DF2E9">
      <w:pPr>
        <w:rPr>
          <w:rFonts w:hint="eastAsia" w:ascii="宋体" w:hAnsi="宋体" w:eastAsia="宋体" w:cs="宋体"/>
          <w:color w:val="000000" w:themeColor="text1"/>
          <w:highlight w:val="none"/>
          <w14:textFill>
            <w14:solidFill>
              <w14:schemeClr w14:val="tx1"/>
            </w14:solidFill>
          </w14:textFill>
        </w:rPr>
      </w:pPr>
    </w:p>
    <w:p w14:paraId="0C31FD9C">
      <w:pPr>
        <w:spacing w:line="300" w:lineRule="auto"/>
        <w:jc w:val="center"/>
        <w:outlineLvl w:val="1"/>
        <w:rPr>
          <w:rFonts w:hint="eastAsia" w:ascii="宋体" w:hAnsi="宋体" w:eastAsia="宋体" w:cs="宋体"/>
          <w:b/>
          <w:bCs/>
          <w:color w:val="000000" w:themeColor="text1"/>
          <w:sz w:val="24"/>
          <w:highlight w:val="none"/>
          <w14:textFill>
            <w14:solidFill>
              <w14:schemeClr w14:val="tx1"/>
            </w14:solidFill>
          </w14:textFill>
        </w:rPr>
      </w:pPr>
      <w:bookmarkStart w:id="435" w:name="_Toc13599"/>
      <w:bookmarkStart w:id="436" w:name="_Toc27636"/>
      <w:bookmarkStart w:id="437" w:name="_Toc15860"/>
      <w:bookmarkStart w:id="438" w:name="_Toc5549"/>
      <w:bookmarkStart w:id="439" w:name="_Toc2783"/>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符合性审查</w:t>
      </w:r>
      <w:bookmarkEnd w:id="435"/>
      <w:bookmarkEnd w:id="436"/>
      <w:bookmarkEnd w:id="437"/>
      <w:bookmarkEnd w:id="438"/>
      <w:bookmarkEnd w:id="439"/>
    </w:p>
    <w:tbl>
      <w:tblPr>
        <w:tblStyle w:val="21"/>
        <w:tblpPr w:leftFromText="180" w:rightFromText="180" w:vertAnchor="text" w:horzAnchor="page" w:tblpX="1480" w:tblpY="21"/>
        <w:tblOverlap w:val="never"/>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6299"/>
        <w:gridCol w:w="776"/>
        <w:gridCol w:w="780"/>
        <w:gridCol w:w="732"/>
      </w:tblGrid>
      <w:tr w14:paraId="4A7D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69" w:type="dxa"/>
            <w:vMerge w:val="restart"/>
            <w:vAlign w:val="center"/>
          </w:tcPr>
          <w:p w14:paraId="2A465838">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序号</w:t>
            </w:r>
          </w:p>
        </w:tc>
        <w:tc>
          <w:tcPr>
            <w:tcW w:w="6299" w:type="dxa"/>
            <w:vMerge w:val="restart"/>
            <w:vAlign w:val="center"/>
          </w:tcPr>
          <w:p w14:paraId="32B48DC1">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评审内容</w:t>
            </w:r>
          </w:p>
        </w:tc>
        <w:tc>
          <w:tcPr>
            <w:tcW w:w="2288" w:type="dxa"/>
            <w:gridSpan w:val="3"/>
            <w:vAlign w:val="center"/>
          </w:tcPr>
          <w:p w14:paraId="19798CEB">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供应商</w:t>
            </w:r>
          </w:p>
        </w:tc>
      </w:tr>
      <w:tr w14:paraId="3811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69" w:type="dxa"/>
            <w:vMerge w:val="continue"/>
            <w:vAlign w:val="center"/>
          </w:tcPr>
          <w:p w14:paraId="4517790C">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6299" w:type="dxa"/>
            <w:vMerge w:val="continue"/>
            <w:vAlign w:val="center"/>
          </w:tcPr>
          <w:p w14:paraId="1C0C8C45">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776" w:type="dxa"/>
            <w:vAlign w:val="center"/>
          </w:tcPr>
          <w:p w14:paraId="2FEC460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是否合格</w:t>
            </w:r>
          </w:p>
        </w:tc>
        <w:tc>
          <w:tcPr>
            <w:tcW w:w="780" w:type="dxa"/>
            <w:vAlign w:val="center"/>
          </w:tcPr>
          <w:p w14:paraId="0249C10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是否合格</w:t>
            </w:r>
          </w:p>
        </w:tc>
        <w:tc>
          <w:tcPr>
            <w:tcW w:w="732" w:type="dxa"/>
            <w:vAlign w:val="center"/>
          </w:tcPr>
          <w:p w14:paraId="6DDC02F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是否合格</w:t>
            </w:r>
          </w:p>
        </w:tc>
      </w:tr>
      <w:tr w14:paraId="66F1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69" w:type="dxa"/>
            <w:vAlign w:val="center"/>
          </w:tcPr>
          <w:p w14:paraId="306A8454">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p>
        </w:tc>
        <w:tc>
          <w:tcPr>
            <w:tcW w:w="6299" w:type="dxa"/>
            <w:vAlign w:val="center"/>
          </w:tcPr>
          <w:p w14:paraId="32935205">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color w:val="000000" w:themeColor="text1"/>
                <w:highlight w:val="none"/>
                <w14:textFill>
                  <w14:solidFill>
                    <w14:schemeClr w14:val="tx1"/>
                  </w14:solidFill>
                </w14:textFill>
              </w:rPr>
              <w:t>只有一个有效报价且未超过政府采购预算金额</w:t>
            </w:r>
            <w:r>
              <w:rPr>
                <w:rFonts w:hint="eastAsia"/>
                <w:color w:val="000000" w:themeColor="text1"/>
                <w:highlight w:val="none"/>
                <w:lang w:eastAsia="zh-CN"/>
                <w14:textFill>
                  <w14:solidFill>
                    <w14:schemeClr w14:val="tx1"/>
                  </w14:solidFill>
                </w14:textFill>
              </w:rPr>
              <w:t>；</w:t>
            </w:r>
          </w:p>
        </w:tc>
        <w:tc>
          <w:tcPr>
            <w:tcW w:w="776" w:type="dxa"/>
          </w:tcPr>
          <w:p w14:paraId="1D60DE6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70E4F44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6ABFBC76">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5354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9" w:type="dxa"/>
            <w:vAlign w:val="center"/>
          </w:tcPr>
          <w:p w14:paraId="45E4A03D">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w:t>
            </w:r>
          </w:p>
        </w:tc>
        <w:tc>
          <w:tcPr>
            <w:tcW w:w="6299" w:type="dxa"/>
            <w:vAlign w:val="center"/>
          </w:tcPr>
          <w:p w14:paraId="7CD14FF4">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响应文件提供法定代表人授权委托书或提供法定代表人身份证明是否按</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val="zh-CN"/>
                <w14:textFill>
                  <w14:solidFill>
                    <w14:schemeClr w14:val="tx1"/>
                  </w14:solidFill>
                </w14:textFill>
              </w:rPr>
              <w:t>文件规定格式完整提供；</w:t>
            </w:r>
          </w:p>
        </w:tc>
        <w:tc>
          <w:tcPr>
            <w:tcW w:w="776" w:type="dxa"/>
          </w:tcPr>
          <w:p w14:paraId="619484D8">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42F03B54">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33DE175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478C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69" w:type="dxa"/>
            <w:vAlign w:val="center"/>
          </w:tcPr>
          <w:p w14:paraId="0C557F43">
            <w:pPr>
              <w:keepNext w:val="0"/>
              <w:keepLines w:val="0"/>
              <w:suppressLineNumbers w:val="0"/>
              <w:spacing w:before="0" w:beforeAutospacing="0" w:after="0" w:afterAutospacing="0" w:line="400" w:lineRule="exact"/>
              <w:ind w:left="0" w:right="0"/>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p>
        </w:tc>
        <w:tc>
          <w:tcPr>
            <w:tcW w:w="6299" w:type="dxa"/>
            <w:vAlign w:val="center"/>
          </w:tcPr>
          <w:p w14:paraId="624619EB">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响应文件按照磋商文件的规定编制、标记及签署盖章的，法定代表人或其授权代表签字(章)和加盖磋商单位公章；</w:t>
            </w:r>
          </w:p>
        </w:tc>
        <w:tc>
          <w:tcPr>
            <w:tcW w:w="776" w:type="dxa"/>
          </w:tcPr>
          <w:p w14:paraId="3076D0E3">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592E82E0">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18E7847B">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4199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9" w:type="dxa"/>
            <w:vAlign w:val="center"/>
          </w:tcPr>
          <w:p w14:paraId="1FE005BA">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p>
        </w:tc>
        <w:tc>
          <w:tcPr>
            <w:tcW w:w="6299" w:type="dxa"/>
            <w:vAlign w:val="center"/>
          </w:tcPr>
          <w:p w14:paraId="344C20B9">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服务期</w:t>
            </w:r>
            <w:r>
              <w:rPr>
                <w:color w:val="000000" w:themeColor="text1"/>
                <w:spacing w:val="1"/>
                <w:highlight w:val="none"/>
                <w14:textFill>
                  <w14:solidFill>
                    <w14:schemeClr w14:val="tx1"/>
                  </w14:solidFill>
                </w14:textFill>
              </w:rPr>
              <w:t>符合“磋商文件”的要求</w:t>
            </w:r>
            <w:r>
              <w:rPr>
                <w:rFonts w:hint="eastAsia"/>
                <w:color w:val="000000" w:themeColor="text1"/>
                <w:spacing w:val="1"/>
                <w:highlight w:val="none"/>
                <w:lang w:eastAsia="zh-CN"/>
                <w14:textFill>
                  <w14:solidFill>
                    <w14:schemeClr w14:val="tx1"/>
                  </w14:solidFill>
                </w14:textFill>
              </w:rPr>
              <w:t>；</w:t>
            </w:r>
          </w:p>
        </w:tc>
        <w:tc>
          <w:tcPr>
            <w:tcW w:w="776" w:type="dxa"/>
          </w:tcPr>
          <w:p w14:paraId="121E66A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5681ADAD">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21613AEF">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01D5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9" w:type="dxa"/>
            <w:vAlign w:val="center"/>
          </w:tcPr>
          <w:p w14:paraId="08D2E276">
            <w:pPr>
              <w:keepNext w:val="0"/>
              <w:keepLines w:val="0"/>
              <w:suppressLineNumbers w:val="0"/>
              <w:spacing w:before="0" w:beforeAutospacing="0" w:after="0" w:afterAutospacing="0" w:line="460" w:lineRule="exact"/>
              <w:ind w:left="0" w:right="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5</w:t>
            </w:r>
          </w:p>
        </w:tc>
        <w:tc>
          <w:tcPr>
            <w:tcW w:w="6299" w:type="dxa"/>
            <w:vAlign w:val="center"/>
          </w:tcPr>
          <w:p w14:paraId="4638691C">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color w:val="000000" w:themeColor="text1"/>
                <w:spacing w:val="-2"/>
                <w:highlight w:val="none"/>
                <w14:textFill>
                  <w14:solidFill>
                    <w14:schemeClr w14:val="tx1"/>
                  </w14:solidFill>
                </w14:textFill>
              </w:rPr>
              <w:t>磋商保证金</w:t>
            </w:r>
            <w:r>
              <w:rPr>
                <w:color w:val="000000" w:themeColor="text1"/>
                <w:highlight w:val="none"/>
                <w14:textFill>
                  <w14:solidFill>
                    <w14:schemeClr w14:val="tx1"/>
                  </w14:solidFill>
                </w14:textFill>
              </w:rPr>
              <w:t>符合“磋商文件格式”的要求</w:t>
            </w:r>
            <w:r>
              <w:rPr>
                <w:rFonts w:hint="eastAsia"/>
                <w:color w:val="000000" w:themeColor="text1"/>
                <w:highlight w:val="none"/>
                <w:lang w:eastAsia="zh-CN"/>
                <w14:textFill>
                  <w14:solidFill>
                    <w14:schemeClr w14:val="tx1"/>
                  </w14:solidFill>
                </w14:textFill>
              </w:rPr>
              <w:t>；</w:t>
            </w:r>
          </w:p>
        </w:tc>
        <w:tc>
          <w:tcPr>
            <w:tcW w:w="776" w:type="dxa"/>
          </w:tcPr>
          <w:p w14:paraId="1820BB5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00FF756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6703A76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5F24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9" w:type="dxa"/>
            <w:vAlign w:val="center"/>
          </w:tcPr>
          <w:p w14:paraId="618817AB">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6</w:t>
            </w:r>
          </w:p>
        </w:tc>
        <w:tc>
          <w:tcPr>
            <w:tcW w:w="6299" w:type="dxa"/>
            <w:vAlign w:val="center"/>
          </w:tcPr>
          <w:p w14:paraId="36981F79">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color w:val="000000" w:themeColor="text1"/>
                <w:highlight w:val="none"/>
                <w14:textFill>
                  <w14:solidFill>
                    <w14:schemeClr w14:val="tx1"/>
                  </w14:solidFill>
                </w14:textFill>
              </w:rPr>
              <w:t>响应文件未附有采购人不能接受或不符合磋商文件的商务要求</w:t>
            </w:r>
            <w:r>
              <w:rPr>
                <w:rFonts w:hint="eastAsia"/>
                <w:color w:val="000000" w:themeColor="text1"/>
                <w:highlight w:val="none"/>
                <w:lang w:eastAsia="zh-CN"/>
                <w14:textFill>
                  <w14:solidFill>
                    <w14:schemeClr w14:val="tx1"/>
                  </w14:solidFill>
                </w14:textFill>
              </w:rPr>
              <w:t>；</w:t>
            </w:r>
          </w:p>
        </w:tc>
        <w:tc>
          <w:tcPr>
            <w:tcW w:w="776" w:type="dxa"/>
          </w:tcPr>
          <w:p w14:paraId="75F4B6C4">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64CC8285">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0C3EB86A">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45A2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69" w:type="dxa"/>
            <w:vAlign w:val="center"/>
          </w:tcPr>
          <w:p w14:paraId="3F486CCC">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7</w:t>
            </w:r>
          </w:p>
        </w:tc>
        <w:tc>
          <w:tcPr>
            <w:tcW w:w="6299" w:type="dxa"/>
            <w:vAlign w:val="center"/>
          </w:tcPr>
          <w:p w14:paraId="1981B9F4">
            <w:pPr>
              <w:pStyle w:val="8"/>
              <w:keepNext w:val="0"/>
              <w:keepLines w:val="0"/>
              <w:pageBreakBefore w:val="0"/>
              <w:widowControl w:val="0"/>
              <w:kinsoku w:val="0"/>
              <w:wordWrap/>
              <w:overflowPunct w:val="0"/>
              <w:topLinePunct w:val="0"/>
              <w:autoSpaceDE w:val="0"/>
              <w:autoSpaceDN w:val="0"/>
              <w:bidi w:val="0"/>
              <w:adjustRightInd w:val="0"/>
              <w:snapToGrid w:val="0"/>
              <w:spacing w:before="0" w:line="240" w:lineRule="auto"/>
              <w:ind w:left="0" w:leftChars="0" w:right="0" w:rightChars="0" w:firstLine="0" w:firstLineChars="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响应文件未附有采购人不能接受或不符合磋商文件的技术要求</w:t>
            </w:r>
          </w:p>
        </w:tc>
        <w:tc>
          <w:tcPr>
            <w:tcW w:w="776" w:type="dxa"/>
          </w:tcPr>
          <w:p w14:paraId="29283E89">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80" w:type="dxa"/>
          </w:tcPr>
          <w:p w14:paraId="572BB2BE">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732" w:type="dxa"/>
          </w:tcPr>
          <w:p w14:paraId="43D1DCB2">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6A6B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69" w:type="dxa"/>
            <w:vAlign w:val="center"/>
          </w:tcPr>
          <w:p w14:paraId="2FD4A2E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6299" w:type="dxa"/>
            <w:vAlign w:val="center"/>
          </w:tcPr>
          <w:p w14:paraId="4C0A78C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结论</w:t>
            </w:r>
          </w:p>
        </w:tc>
        <w:tc>
          <w:tcPr>
            <w:tcW w:w="776" w:type="dxa"/>
          </w:tcPr>
          <w:p w14:paraId="709B7FFF">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highlight w:val="none"/>
                <w14:textFill>
                  <w14:solidFill>
                    <w14:schemeClr w14:val="tx1"/>
                  </w14:solidFill>
                </w14:textFill>
              </w:rPr>
            </w:pPr>
          </w:p>
        </w:tc>
        <w:tc>
          <w:tcPr>
            <w:tcW w:w="780" w:type="dxa"/>
          </w:tcPr>
          <w:p w14:paraId="5DA44FD8">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highlight w:val="none"/>
                <w14:textFill>
                  <w14:solidFill>
                    <w14:schemeClr w14:val="tx1"/>
                  </w14:solidFill>
                </w14:textFill>
              </w:rPr>
            </w:pPr>
          </w:p>
        </w:tc>
        <w:tc>
          <w:tcPr>
            <w:tcW w:w="732" w:type="dxa"/>
          </w:tcPr>
          <w:p w14:paraId="3F1E7850">
            <w:pPr>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sz w:val="24"/>
                <w:highlight w:val="none"/>
                <w14:textFill>
                  <w14:solidFill>
                    <w14:schemeClr w14:val="tx1"/>
                  </w14:solidFill>
                </w14:textFill>
              </w:rPr>
            </w:pPr>
          </w:p>
        </w:tc>
      </w:tr>
    </w:tbl>
    <w:p w14:paraId="30F4B240">
      <w:pPr>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说明：（1）上述各项中用“√”表示通过，“×”表示不通过；</w:t>
      </w:r>
    </w:p>
    <w:p w14:paraId="49C6ED96">
      <w:pPr>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（2）上述各项中如有一项为“×”，则结论为“×”，评委对某一分项评审认为不合格时，必须要写明原因。</w:t>
      </w:r>
    </w:p>
    <w:p w14:paraId="2D7D9804">
      <w:pPr>
        <w:spacing w:line="3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（3）磋商文件最终合格与否，以所有评委的评审意见中少数服从多数为原则定论。</w:t>
      </w:r>
    </w:p>
    <w:p w14:paraId="16366E12">
      <w:pPr>
        <w:pStyle w:val="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如果磋商文件中有一项未通过上述审查标准，</w:t>
      </w:r>
      <w:r>
        <w:rPr>
          <w:rFonts w:hint="eastAsia" w:ascii="宋体" w:hAnsi="宋体" w:cs="宋体"/>
          <w:b/>
          <w:bCs/>
          <w:color w:val="000000" w:themeColor="text1"/>
          <w:sz w:val="24"/>
          <w:highlight w:val="none"/>
          <w:lang w:eastAsia="zh-CN"/>
          <w14:textFill>
            <w14:solidFill>
              <w14:schemeClr w14:val="tx1"/>
            </w14:solidFill>
          </w14:textFill>
        </w:rPr>
        <w:t>磋商小组</w:t>
      </w:r>
      <w:r>
        <w:rPr>
          <w:rFonts w:hint="eastAsia" w:ascii="宋体" w:hAnsi="宋体" w:eastAsia="宋体" w:cs="宋体"/>
          <w:b/>
          <w:bCs/>
          <w:color w:val="000000" w:themeColor="text1"/>
          <w:sz w:val="24"/>
          <w:highlight w:val="none"/>
          <w14:textFill>
            <w14:solidFill>
              <w14:schemeClr w14:val="tx1"/>
            </w14:solidFill>
          </w14:textFill>
        </w:rPr>
        <w:t>将认定整个磋商文件未响应磋商文件而予以废标处理。</w:t>
      </w:r>
      <w:bookmarkStart w:id="440" w:name="_Toc22896"/>
      <w:bookmarkStart w:id="441" w:name="_Toc19552"/>
    </w:p>
    <w:p w14:paraId="2743A238">
      <w:pPr>
        <w:pStyle w:val="5"/>
        <w:spacing w:line="300" w:lineRule="auto"/>
        <w:ind w:firstLine="0"/>
        <w:jc w:val="center"/>
        <w:outlineLvl w:val="1"/>
        <w:rPr>
          <w:rFonts w:hint="eastAsia" w:ascii="宋体" w:hAnsi="宋体" w:eastAsia="宋体" w:cs="宋体"/>
          <w:b/>
          <w:color w:val="000000" w:themeColor="text1"/>
          <w:sz w:val="28"/>
          <w:szCs w:val="28"/>
          <w:highlight w:val="none"/>
          <w14:textFill>
            <w14:solidFill>
              <w14:schemeClr w14:val="tx1"/>
            </w14:solidFill>
          </w14:textFill>
        </w:rPr>
        <w:sectPr>
          <w:footerReference r:id="rId5" w:type="default"/>
          <w:pgSz w:w="11907" w:h="16840"/>
          <w:pgMar w:top="1474" w:right="1814" w:bottom="1474" w:left="1814" w:header="851" w:footer="851" w:gutter="0"/>
          <w:pgNumType w:fmt="decimal"/>
          <w:cols w:space="720" w:num="1"/>
          <w:docGrid w:linePitch="462" w:charSpace="0"/>
        </w:sectPr>
      </w:pPr>
      <w:bookmarkStart w:id="442" w:name="_Toc15668"/>
      <w:bookmarkStart w:id="443" w:name="_Toc10503"/>
      <w:bookmarkStart w:id="444" w:name="_Toc12258"/>
    </w:p>
    <w:bookmarkEnd w:id="440"/>
    <w:bookmarkEnd w:id="441"/>
    <w:bookmarkEnd w:id="442"/>
    <w:bookmarkEnd w:id="443"/>
    <w:bookmarkEnd w:id="444"/>
    <w:p w14:paraId="15803907">
      <w:pPr>
        <w:spacing w:line="300" w:lineRule="auto"/>
        <w:jc w:val="center"/>
        <w:outlineLvl w:val="1"/>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bookmarkStart w:id="445" w:name="_Toc1168"/>
      <w:bookmarkStart w:id="446" w:name="_Toc8637"/>
      <w:bookmarkStart w:id="447" w:name="_Toc4745"/>
      <w:bookmarkStart w:id="448" w:name="_Toc1768"/>
      <w:bookmarkStart w:id="449" w:name="_Toc14322"/>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评分细则</w:t>
      </w:r>
      <w:bookmarkEnd w:id="445"/>
      <w:bookmarkEnd w:id="446"/>
      <w:bookmarkEnd w:id="447"/>
      <w:bookmarkEnd w:id="448"/>
      <w:bookmarkEnd w:id="449"/>
    </w:p>
    <w:tbl>
      <w:tblPr>
        <w:tblStyle w:val="21"/>
        <w:tblpPr w:leftFromText="180" w:rightFromText="180" w:vertAnchor="text" w:horzAnchor="page" w:tblpX="1426" w:tblpY="234"/>
        <w:tblOverlap w:val="never"/>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00"/>
        <w:gridCol w:w="436"/>
        <w:gridCol w:w="939"/>
        <w:gridCol w:w="6610"/>
      </w:tblGrid>
      <w:tr w14:paraId="6E7C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27" w:type="dxa"/>
            <w:gridSpan w:val="2"/>
            <w:tcBorders>
              <w:top w:val="single" w:color="auto" w:sz="4" w:space="0"/>
              <w:left w:val="single" w:color="auto" w:sz="4" w:space="0"/>
              <w:bottom w:val="single" w:color="auto" w:sz="4" w:space="0"/>
              <w:right w:val="single" w:color="auto" w:sz="4" w:space="0"/>
            </w:tcBorders>
            <w:vAlign w:val="center"/>
          </w:tcPr>
          <w:p w14:paraId="34FCB974">
            <w:pPr>
              <w:pStyle w:val="27"/>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w:t>
            </w:r>
          </w:p>
        </w:tc>
        <w:tc>
          <w:tcPr>
            <w:tcW w:w="436" w:type="dxa"/>
            <w:tcBorders>
              <w:top w:val="single" w:color="auto" w:sz="4" w:space="0"/>
              <w:left w:val="nil"/>
              <w:bottom w:val="single" w:color="auto" w:sz="4" w:space="0"/>
              <w:right w:val="single" w:color="auto" w:sz="4" w:space="0"/>
            </w:tcBorders>
            <w:vAlign w:val="center"/>
          </w:tcPr>
          <w:p w14:paraId="1F96E5C5">
            <w:pPr>
              <w:pStyle w:val="27"/>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指标</w:t>
            </w:r>
          </w:p>
        </w:tc>
        <w:tc>
          <w:tcPr>
            <w:tcW w:w="939" w:type="dxa"/>
            <w:tcBorders>
              <w:top w:val="single" w:color="auto" w:sz="4" w:space="0"/>
              <w:left w:val="nil"/>
              <w:bottom w:val="single" w:color="auto" w:sz="4" w:space="0"/>
              <w:right w:val="single" w:color="auto" w:sz="4" w:space="0"/>
            </w:tcBorders>
            <w:vAlign w:val="center"/>
          </w:tcPr>
          <w:p w14:paraId="34342E3E">
            <w:pPr>
              <w:pStyle w:val="27"/>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分项标准分</w:t>
            </w:r>
          </w:p>
        </w:tc>
        <w:tc>
          <w:tcPr>
            <w:tcW w:w="6610" w:type="dxa"/>
            <w:tcBorders>
              <w:top w:val="single" w:color="auto" w:sz="4" w:space="0"/>
              <w:left w:val="nil"/>
              <w:bottom w:val="single" w:color="auto" w:sz="4" w:space="0"/>
              <w:right w:val="single" w:color="auto" w:sz="4" w:space="0"/>
            </w:tcBorders>
            <w:vAlign w:val="center"/>
          </w:tcPr>
          <w:p w14:paraId="0BE987B0">
            <w:pPr>
              <w:pStyle w:val="27"/>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评分标准（价格：10分 ；商务：</w:t>
            </w:r>
            <w:r>
              <w:rPr>
                <w:rFonts w:hint="eastAsia" w:cs="宋体"/>
                <w:color w:val="000000" w:themeColor="text1"/>
                <w:sz w:val="24"/>
                <w:highlight w:val="none"/>
                <w:lang w:val="en-US" w:eastAsia="zh-CN"/>
                <w14:textFill>
                  <w14:solidFill>
                    <w14:schemeClr w14:val="tx1"/>
                  </w14:solidFill>
                </w14:textFill>
              </w:rPr>
              <w:t>21</w:t>
            </w:r>
            <w:r>
              <w:rPr>
                <w:rFonts w:hint="eastAsia" w:ascii="宋体" w:hAnsi="宋体" w:eastAsia="宋体" w:cs="宋体"/>
                <w:color w:val="000000" w:themeColor="text1"/>
                <w:sz w:val="24"/>
                <w:highlight w:val="none"/>
                <w:lang w:val="en-US" w:eastAsia="zh-CN"/>
                <w14:textFill>
                  <w14:solidFill>
                    <w14:schemeClr w14:val="tx1"/>
                  </w14:solidFill>
                </w14:textFill>
              </w:rPr>
              <w:t>分 ；技术：</w:t>
            </w:r>
            <w:r>
              <w:rPr>
                <w:rFonts w:hint="eastAsia" w:cs="宋体"/>
                <w:color w:val="000000" w:themeColor="text1"/>
                <w:sz w:val="24"/>
                <w:highlight w:val="none"/>
                <w:lang w:val="en-US" w:eastAsia="zh-CN"/>
                <w14:textFill>
                  <w14:solidFill>
                    <w14:schemeClr w14:val="tx1"/>
                  </w14:solidFill>
                </w14:textFill>
              </w:rPr>
              <w:t>69</w:t>
            </w:r>
            <w:r>
              <w:rPr>
                <w:rFonts w:hint="eastAsia" w:ascii="宋体" w:hAnsi="宋体" w:eastAsia="宋体" w:cs="宋体"/>
                <w:color w:val="000000" w:themeColor="text1"/>
                <w:sz w:val="24"/>
                <w:highlight w:val="none"/>
                <w:lang w:val="en-US" w:eastAsia="zh-CN"/>
                <w14:textFill>
                  <w14:solidFill>
                    <w14:schemeClr w14:val="tx1"/>
                  </w14:solidFill>
                </w14:textFill>
              </w:rPr>
              <w:t>分）</w:t>
            </w:r>
          </w:p>
        </w:tc>
      </w:tr>
      <w:tr w14:paraId="1E57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tcBorders>
              <w:top w:val="single" w:color="auto" w:sz="4" w:space="0"/>
              <w:left w:val="single" w:color="auto" w:sz="4" w:space="0"/>
              <w:bottom w:val="single" w:color="auto" w:sz="4" w:space="0"/>
              <w:right w:val="single" w:color="auto" w:sz="4" w:space="0"/>
            </w:tcBorders>
            <w:vAlign w:val="center"/>
          </w:tcPr>
          <w:p w14:paraId="03E84629">
            <w:pPr>
              <w:pStyle w:val="27"/>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1336" w:type="dxa"/>
            <w:gridSpan w:val="2"/>
            <w:tcBorders>
              <w:top w:val="single" w:color="auto" w:sz="4" w:space="0"/>
              <w:left w:val="single" w:color="auto" w:sz="4" w:space="0"/>
              <w:bottom w:val="single" w:color="auto" w:sz="4" w:space="0"/>
              <w:right w:val="single" w:color="auto" w:sz="4" w:space="0"/>
            </w:tcBorders>
            <w:vAlign w:val="center"/>
          </w:tcPr>
          <w:p w14:paraId="6DADF253">
            <w:pPr>
              <w:pStyle w:val="27"/>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投标报价得分</w:t>
            </w:r>
          </w:p>
        </w:tc>
        <w:tc>
          <w:tcPr>
            <w:tcW w:w="939" w:type="dxa"/>
            <w:tcBorders>
              <w:top w:val="single" w:color="auto" w:sz="4" w:space="0"/>
              <w:left w:val="single" w:color="auto" w:sz="4" w:space="0"/>
              <w:bottom w:val="single" w:color="auto" w:sz="4" w:space="0"/>
              <w:right w:val="single" w:color="auto" w:sz="4" w:space="0"/>
            </w:tcBorders>
            <w:vAlign w:val="center"/>
          </w:tcPr>
          <w:p w14:paraId="6AD4DD70">
            <w:pPr>
              <w:pStyle w:val="27"/>
              <w:spacing w:beforeLines="0" w:afterLines="0"/>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10分</w:t>
            </w:r>
          </w:p>
        </w:tc>
        <w:tc>
          <w:tcPr>
            <w:tcW w:w="6610" w:type="dxa"/>
            <w:tcBorders>
              <w:top w:val="single" w:color="auto" w:sz="4" w:space="0"/>
              <w:left w:val="single" w:color="auto" w:sz="4" w:space="0"/>
              <w:bottom w:val="single" w:color="auto" w:sz="4" w:space="0"/>
              <w:right w:val="single" w:color="auto" w:sz="4" w:space="0"/>
            </w:tcBorders>
            <w:vAlign w:val="center"/>
          </w:tcPr>
          <w:p w14:paraId="0D17133F">
            <w:pPr>
              <w:pStyle w:val="28"/>
              <w:spacing w:before="99" w:line="269" w:lineRule="auto"/>
              <w:ind w:left="73" w:right="75" w:firstLine="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价格分统一采用低价优先法计算，即满足竞争性磋商文件要求且磋商价格最低的磋商报价为磋商基准价，其价格分为满分10分，</w:t>
            </w:r>
          </w:p>
          <w:p w14:paraId="00EA1842">
            <w:pPr>
              <w:pStyle w:val="28"/>
              <w:spacing w:before="99" w:line="269" w:lineRule="auto"/>
              <w:ind w:left="73" w:right="75" w:firstLine="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其它磋商报价得分=(磋商基准价/最后磋商报价)× 价格权值×100</w:t>
            </w:r>
          </w:p>
        </w:tc>
      </w:tr>
      <w:tr w14:paraId="74C7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512" w:type="dxa"/>
            <w:gridSpan w:val="5"/>
            <w:tcBorders>
              <w:top w:val="nil"/>
              <w:left w:val="single" w:color="auto" w:sz="4" w:space="0"/>
              <w:right w:val="single" w:color="auto" w:sz="4" w:space="0"/>
            </w:tcBorders>
            <w:vAlign w:val="center"/>
          </w:tcPr>
          <w:p w14:paraId="1CA4BCA8">
            <w:pPr>
              <w:pStyle w:val="27"/>
              <w:spacing w:beforeLines="0" w:afterLines="0"/>
              <w:ind w:right="0" w:rightChars="0"/>
              <w:jc w:val="cente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一、商务部分（</w:t>
            </w:r>
            <w:r>
              <w:rPr>
                <w:rFonts w:hint="eastAsia" w:cs="宋体"/>
                <w:b/>
                <w:color w:val="000000" w:themeColor="text1"/>
                <w:kern w:val="2"/>
                <w:sz w:val="28"/>
                <w:szCs w:val="28"/>
                <w:highlight w:val="none"/>
                <w:lang w:val="en-US" w:eastAsia="zh-CN" w:bidi="ar-SA"/>
                <w14:textFill>
                  <w14:solidFill>
                    <w14:schemeClr w14:val="tx1"/>
                  </w14:solidFill>
                </w14:textFill>
              </w:rPr>
              <w:t>21</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分）</w:t>
            </w:r>
          </w:p>
        </w:tc>
      </w:tr>
      <w:tr w14:paraId="3F73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27" w:type="dxa"/>
            <w:tcBorders>
              <w:left w:val="single" w:color="auto" w:sz="4" w:space="0"/>
              <w:right w:val="single" w:color="auto" w:sz="4" w:space="0"/>
            </w:tcBorders>
            <w:vAlign w:val="center"/>
          </w:tcPr>
          <w:p w14:paraId="12EEB5FB">
            <w:pPr>
              <w:pStyle w:val="27"/>
              <w:spacing w:beforeLines="0" w:afterLines="0"/>
              <w:ind w:right="0" w:rightChars="0"/>
              <w:jc w:val="cente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1</w:t>
            </w:r>
          </w:p>
        </w:tc>
        <w:tc>
          <w:tcPr>
            <w:tcW w:w="1336" w:type="dxa"/>
            <w:gridSpan w:val="2"/>
            <w:tcBorders>
              <w:top w:val="single" w:color="auto" w:sz="4" w:space="0"/>
              <w:left w:val="nil"/>
              <w:bottom w:val="single" w:color="auto" w:sz="4" w:space="0"/>
              <w:right w:val="single" w:color="auto" w:sz="4" w:space="0"/>
            </w:tcBorders>
            <w:vAlign w:val="center"/>
          </w:tcPr>
          <w:p w14:paraId="044D164B">
            <w:pPr>
              <w:pStyle w:val="27"/>
              <w:spacing w:beforeLines="0" w:afterLines="0"/>
              <w:ind w:right="0" w:rightChars="0"/>
              <w:jc w:val="cente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企业</w:t>
            </w:r>
            <w:r>
              <w:rPr>
                <w:rFonts w:hint="eastAsia" w:ascii="宋体" w:hAnsi="宋体" w:eastAsia="宋体" w:cs="宋体"/>
                <w:color w:val="000000" w:themeColor="text1"/>
                <w:sz w:val="24"/>
                <w:highlight w:val="none"/>
                <w:lang w:val="en-US" w:eastAsia="zh-CN"/>
                <w14:textFill>
                  <w14:solidFill>
                    <w14:schemeClr w14:val="tx1"/>
                  </w14:solidFill>
                </w14:textFill>
              </w:rPr>
              <w:t>业绩</w:t>
            </w:r>
          </w:p>
        </w:tc>
        <w:tc>
          <w:tcPr>
            <w:tcW w:w="939" w:type="dxa"/>
            <w:tcBorders>
              <w:top w:val="single" w:color="auto" w:sz="4" w:space="0"/>
              <w:left w:val="nil"/>
              <w:bottom w:val="single" w:color="auto" w:sz="4" w:space="0"/>
              <w:right w:val="single" w:color="auto" w:sz="4" w:space="0"/>
            </w:tcBorders>
            <w:vAlign w:val="center"/>
          </w:tcPr>
          <w:p w14:paraId="7EC709FE">
            <w:pPr>
              <w:pStyle w:val="27"/>
              <w:spacing w:beforeLines="0" w:afterLines="0"/>
              <w:ind w:right="0" w:rightChars="0"/>
              <w:jc w:val="cente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val="en-US" w:eastAsia="zh-CN"/>
                <w14:textFill>
                  <w14:solidFill>
                    <w14:schemeClr w14:val="tx1"/>
                  </w14:solidFill>
                </w14:textFill>
              </w:rPr>
              <w:t>分</w:t>
            </w:r>
          </w:p>
        </w:tc>
        <w:tc>
          <w:tcPr>
            <w:tcW w:w="6610" w:type="dxa"/>
            <w:tcBorders>
              <w:top w:val="single" w:color="auto" w:sz="4" w:space="0"/>
              <w:left w:val="nil"/>
              <w:bottom w:val="single" w:color="auto" w:sz="4" w:space="0"/>
              <w:right w:val="single" w:color="auto" w:sz="4" w:space="0"/>
            </w:tcBorders>
            <w:vAlign w:val="center"/>
          </w:tcPr>
          <w:p w14:paraId="3DD6F077">
            <w:pPr>
              <w:pStyle w:val="27"/>
              <w:numPr>
                <w:ilvl w:val="0"/>
                <w:numId w:val="0"/>
              </w:numPr>
              <w:spacing w:beforeLines="0" w:afterLines="0" w:line="360" w:lineRule="auto"/>
              <w:ind w:right="0" w:rightChars="0"/>
              <w:jc w:val="both"/>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供应商202</w:t>
            </w:r>
            <w:r>
              <w:rPr>
                <w:rFonts w:hint="eastAsia"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月01日至投标截止时间为止（以合同签订日期为准）承接过的类似业绩，提供合同复印件作为证明文件，每提供一个得2分，最高得6分（需提供完整的合同或任务书原件扫描件，内容清晰可见，否则不得分）。</w:t>
            </w:r>
          </w:p>
        </w:tc>
      </w:tr>
      <w:tr w14:paraId="70EB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tcBorders>
              <w:left w:val="single" w:color="auto" w:sz="4" w:space="0"/>
              <w:right w:val="single" w:color="auto" w:sz="4" w:space="0"/>
            </w:tcBorders>
            <w:vAlign w:val="center"/>
          </w:tcPr>
          <w:p w14:paraId="258C458E">
            <w:pPr>
              <w:pStyle w:val="27"/>
              <w:spacing w:beforeLines="0" w:afterLines="0"/>
              <w:ind w:right="0" w:rightChars="0"/>
              <w:jc w:val="center"/>
              <w:rPr>
                <w:rFonts w:hint="default"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cs="宋体"/>
                <w:color w:val="000000" w:themeColor="text1"/>
                <w:kern w:val="2"/>
                <w:sz w:val="24"/>
                <w:szCs w:val="24"/>
                <w:highlight w:val="none"/>
                <w:lang w:val="en-US" w:eastAsia="zh-CN" w:bidi="zh-CN"/>
                <w14:textFill>
                  <w14:solidFill>
                    <w14:schemeClr w14:val="tx1"/>
                  </w14:solidFill>
                </w14:textFill>
              </w:rPr>
              <w:t>2</w:t>
            </w:r>
          </w:p>
        </w:tc>
        <w:tc>
          <w:tcPr>
            <w:tcW w:w="1336" w:type="dxa"/>
            <w:gridSpan w:val="2"/>
            <w:tcBorders>
              <w:top w:val="single" w:color="auto" w:sz="4" w:space="0"/>
              <w:left w:val="nil"/>
              <w:bottom w:val="single" w:color="auto" w:sz="4" w:space="0"/>
              <w:right w:val="single" w:color="auto" w:sz="4" w:space="0"/>
            </w:tcBorders>
            <w:vAlign w:val="center"/>
          </w:tcPr>
          <w:p w14:paraId="3F228A06">
            <w:pPr>
              <w:pStyle w:val="27"/>
              <w:spacing w:beforeLines="0" w:afterLines="0"/>
              <w:ind w:right="0" w:rightChars="0"/>
              <w:jc w:val="center"/>
              <w:rPr>
                <w:rFonts w:hint="default"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人员配置</w:t>
            </w:r>
          </w:p>
        </w:tc>
        <w:tc>
          <w:tcPr>
            <w:tcW w:w="939" w:type="dxa"/>
            <w:tcBorders>
              <w:top w:val="single" w:color="auto" w:sz="4" w:space="0"/>
              <w:left w:val="nil"/>
              <w:bottom w:val="single" w:color="auto" w:sz="4" w:space="0"/>
              <w:right w:val="single" w:color="auto" w:sz="4" w:space="0"/>
            </w:tcBorders>
            <w:vAlign w:val="center"/>
          </w:tcPr>
          <w:p w14:paraId="492DE288">
            <w:pPr>
              <w:pStyle w:val="27"/>
              <w:spacing w:beforeLines="0" w:afterLines="0"/>
              <w:ind w:right="0" w:rightChars="0"/>
              <w:jc w:val="center"/>
              <w:rPr>
                <w:rFonts w:hint="default"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15分</w:t>
            </w:r>
          </w:p>
        </w:tc>
        <w:tc>
          <w:tcPr>
            <w:tcW w:w="6610" w:type="dxa"/>
            <w:tcBorders>
              <w:top w:val="single" w:color="auto" w:sz="4" w:space="0"/>
              <w:left w:val="nil"/>
              <w:bottom w:val="single" w:color="auto" w:sz="4" w:space="0"/>
              <w:right w:val="single" w:color="auto" w:sz="4" w:space="0"/>
            </w:tcBorders>
            <w:vAlign w:val="center"/>
          </w:tcPr>
          <w:p w14:paraId="655B5638">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项目负责人：</w:t>
            </w:r>
            <w:r>
              <w:rPr>
                <w:rFonts w:hint="eastAsia" w:ascii="宋体" w:hAnsi="宋体" w:eastAsia="宋体" w:cs="宋体"/>
                <w:color w:val="000000" w:themeColor="text1"/>
                <w:sz w:val="24"/>
                <w:highlight w:val="none"/>
                <w:lang w:val="en-US" w:eastAsia="zh-CN"/>
                <w14:textFill>
                  <w14:solidFill>
                    <w14:schemeClr w14:val="tx1"/>
                  </w14:solidFill>
                </w14:textFill>
              </w:rPr>
              <w:t>具有工程类专业正高级技术职称，得</w:t>
            </w:r>
            <w:r>
              <w:rPr>
                <w:rFonts w:hint="eastAsia"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具</w:t>
            </w:r>
            <w:r>
              <w:rPr>
                <w:rFonts w:hint="eastAsia" w:ascii="宋体" w:hAnsi="宋体" w:eastAsia="宋体" w:cs="宋体"/>
                <w:color w:val="000000" w:themeColor="text1"/>
                <w:sz w:val="24"/>
                <w:highlight w:val="none"/>
                <w:lang w:val="en-US" w:eastAsia="zh-CN"/>
                <w14:textFill>
                  <w14:solidFill>
                    <w14:schemeClr w14:val="tx1"/>
                  </w14:solidFill>
                </w14:textFill>
              </w:rPr>
              <w:t>有工程类专业高级技术职称，得2分；</w:t>
            </w:r>
          </w:p>
          <w:p w14:paraId="1E132241">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项目组人员：</w:t>
            </w:r>
            <w:r>
              <w:rPr>
                <w:rFonts w:hint="eastAsia" w:ascii="宋体" w:hAnsi="宋体" w:eastAsia="宋体" w:cs="宋体"/>
                <w:color w:val="000000" w:themeColor="text1"/>
                <w:sz w:val="24"/>
                <w:highlight w:val="none"/>
                <w:lang w:val="en-US" w:eastAsia="zh-CN"/>
                <w14:textFill>
                  <w14:solidFill>
                    <w14:schemeClr w14:val="tx1"/>
                  </w14:solidFill>
                </w14:textFill>
              </w:rPr>
              <w:t>每有 1 人具有中级（含）以上职称或者工程类注册执业资格证书的，得</w:t>
            </w:r>
            <w:r>
              <w:rPr>
                <w:rFonts w:hint="eastAsia"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分，满分</w:t>
            </w:r>
            <w:r>
              <w:rPr>
                <w:rFonts w:hint="eastAsia"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lang w:val="en-US" w:eastAsia="zh-CN"/>
                <w14:textFill>
                  <w14:solidFill>
                    <w14:schemeClr w14:val="tx1"/>
                  </w14:solidFill>
                </w14:textFill>
              </w:rPr>
              <w:t>分。</w:t>
            </w:r>
          </w:p>
          <w:p w14:paraId="7B0570D4">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【①</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项目人员须</w:t>
            </w:r>
            <w:r>
              <w:rPr>
                <w:rFonts w:ascii="宋体" w:hAnsi="宋体" w:eastAsia="宋体" w:cs="宋体"/>
                <w:color w:val="000000" w:themeColor="text1"/>
                <w:spacing w:val="4"/>
                <w:sz w:val="24"/>
                <w:szCs w:val="24"/>
                <w:highlight w:val="none"/>
                <w14:textFill>
                  <w14:solidFill>
                    <w14:schemeClr w14:val="tx1"/>
                  </w14:solidFill>
                </w14:textFill>
              </w:rPr>
              <w:t>提供技术职称证书、身份证及劳动/劳务合同</w:t>
            </w:r>
            <w:r>
              <w:rPr>
                <w:rFonts w:hint="eastAsia" w:ascii="宋体" w:hAnsi="宋体" w:eastAsia="宋体" w:cs="宋体"/>
                <w:color w:val="000000" w:themeColor="text1"/>
                <w:sz w:val="24"/>
                <w:highlight w:val="none"/>
                <w:lang w:val="en-US" w:eastAsia="zh-CN"/>
                <w14:textFill>
                  <w14:solidFill>
                    <w14:schemeClr w14:val="tx1"/>
                  </w14:solidFill>
                </w14:textFill>
              </w:rPr>
              <w:t>以及缴纳的近半年内任意1个月的社保明细</w:t>
            </w:r>
            <w:r>
              <w:rPr>
                <w:rFonts w:ascii="宋体" w:hAnsi="宋体" w:eastAsia="宋体" w:cs="宋体"/>
                <w:color w:val="000000" w:themeColor="text1"/>
                <w:spacing w:val="4"/>
                <w:sz w:val="24"/>
                <w:szCs w:val="24"/>
                <w:highlight w:val="none"/>
                <w14:textFill>
                  <w14:solidFill>
                    <w14:schemeClr w14:val="tx1"/>
                  </w14:solidFill>
                </w14:textFill>
              </w:rPr>
              <w:t>，否则</w:t>
            </w:r>
            <w:r>
              <w:rPr>
                <w:rFonts w:ascii="宋体" w:hAnsi="宋体" w:eastAsia="宋体" w:cs="宋体"/>
                <w:color w:val="000000" w:themeColor="text1"/>
                <w:sz w:val="24"/>
                <w:szCs w:val="24"/>
                <w:highlight w:val="none"/>
                <w14:textFill>
                  <w14:solidFill>
                    <w14:schemeClr w14:val="tx1"/>
                  </w14:solidFill>
                </w14:textFill>
              </w:rPr>
              <w:t>不予认可。②如一人具有多个不同等级技术职称的，按等级较高的技</w:t>
            </w:r>
            <w:r>
              <w:rPr>
                <w:rFonts w:ascii="宋体" w:hAnsi="宋体" w:eastAsia="宋体" w:cs="宋体"/>
                <w:color w:val="000000" w:themeColor="text1"/>
                <w:spacing w:val="9"/>
                <w:sz w:val="24"/>
                <w:szCs w:val="24"/>
                <w:highlight w:val="none"/>
                <w14:textFill>
                  <w14:solidFill>
                    <w14:schemeClr w14:val="tx1"/>
                  </w14:solidFill>
                </w14:textFill>
              </w:rPr>
              <w:t xml:space="preserve"> </w:t>
            </w:r>
            <w:r>
              <w:rPr>
                <w:rFonts w:ascii="宋体" w:hAnsi="宋体" w:eastAsia="宋体" w:cs="宋体"/>
                <w:color w:val="000000" w:themeColor="text1"/>
                <w:spacing w:val="11"/>
                <w:sz w:val="24"/>
                <w:szCs w:val="24"/>
                <w:highlight w:val="none"/>
                <w14:textFill>
                  <w14:solidFill>
                    <w14:schemeClr w14:val="tx1"/>
                  </w14:solidFill>
                </w14:textFill>
              </w:rPr>
              <w:t>术职称评审，不重复计分。】</w:t>
            </w:r>
          </w:p>
        </w:tc>
      </w:tr>
    </w:tbl>
    <w:p w14:paraId="12E7E5B7">
      <w:pPr>
        <w:pStyle w:val="20"/>
        <w:spacing w:line="240" w:lineRule="auto"/>
        <w:ind w:left="0" w:leftChars="0" w:firstLine="0" w:firstLineChars="0"/>
        <w:jc w:val="both"/>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79316B89">
      <w:pPr>
        <w:pStyle w:val="20"/>
        <w:spacing w:line="240" w:lineRule="auto"/>
        <w:ind w:left="0" w:leftChars="0" w:firstLine="0" w:firstLineChars="0"/>
        <w:jc w:val="both"/>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16FB7CE0">
      <w:pPr>
        <w:pStyle w:val="20"/>
        <w:spacing w:line="240" w:lineRule="auto"/>
        <w:ind w:left="0" w:leftChars="0" w:firstLine="0" w:firstLineChars="0"/>
        <w:jc w:val="both"/>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1BF31E1C">
      <w:pPr>
        <w:pStyle w:val="20"/>
        <w:spacing w:line="240" w:lineRule="auto"/>
        <w:ind w:left="0" w:leftChars="0" w:firstLine="0" w:firstLineChars="0"/>
        <w:jc w:val="both"/>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7F2A5F4E">
      <w:pPr>
        <w:pStyle w:val="20"/>
        <w:spacing w:line="240" w:lineRule="auto"/>
        <w:ind w:left="0" w:leftChars="0" w:firstLine="0" w:firstLineChars="0"/>
        <w:jc w:val="both"/>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6BC99549">
      <w:pPr>
        <w:pStyle w:val="20"/>
        <w:spacing w:line="240" w:lineRule="auto"/>
        <w:ind w:left="0" w:leftChars="0" w:firstLine="0" w:firstLineChars="0"/>
        <w:jc w:val="both"/>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49B44362">
      <w:pPr>
        <w:pStyle w:val="20"/>
        <w:spacing w:line="240" w:lineRule="auto"/>
        <w:ind w:left="0" w:leftChars="0" w:firstLine="0" w:firstLineChars="0"/>
        <w:jc w:val="both"/>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639B35D9">
      <w:pPr>
        <w:pStyle w:val="20"/>
        <w:spacing w:line="240" w:lineRule="auto"/>
        <w:ind w:left="0" w:leftChars="0" w:firstLine="0" w:firstLineChars="0"/>
        <w:jc w:val="both"/>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5C7755AA">
      <w:pPr>
        <w:pStyle w:val="20"/>
        <w:spacing w:line="240" w:lineRule="auto"/>
        <w:ind w:left="0" w:leftChars="0" w:firstLine="0" w:firstLineChars="0"/>
        <w:jc w:val="both"/>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17794472">
      <w:pPr>
        <w:pStyle w:val="20"/>
        <w:spacing w:line="240" w:lineRule="auto"/>
        <w:ind w:left="0" w:leftChars="0" w:firstLine="0" w:firstLineChars="0"/>
        <w:jc w:val="both"/>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76464F70">
      <w:pPr>
        <w:pStyle w:val="20"/>
        <w:spacing w:line="240" w:lineRule="auto"/>
        <w:ind w:left="0" w:leftChars="0" w:firstLine="0" w:firstLineChars="0"/>
        <w:jc w:val="both"/>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192DB3EE">
      <w:pPr>
        <w:pStyle w:val="20"/>
        <w:spacing w:line="240" w:lineRule="auto"/>
        <w:ind w:left="0" w:leftChars="0" w:firstLine="0" w:firstLineChars="0"/>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1B7AA130">
      <w:pPr>
        <w:pStyle w:val="20"/>
        <w:spacing w:line="240" w:lineRule="auto"/>
        <w:ind w:left="0" w:leftChars="0" w:firstLine="0" w:firstLineChars="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二、技术部分（</w:t>
      </w:r>
      <w:r>
        <w:rPr>
          <w:rFonts w:hint="eastAsia" w:ascii="宋体" w:hAnsi="宋体" w:cs="宋体"/>
          <w:b/>
          <w:color w:val="000000" w:themeColor="text1"/>
          <w:kern w:val="2"/>
          <w:sz w:val="28"/>
          <w:szCs w:val="28"/>
          <w:highlight w:val="none"/>
          <w:lang w:val="en-US" w:eastAsia="zh-CN" w:bidi="ar-SA"/>
          <w14:textFill>
            <w14:solidFill>
              <w14:schemeClr w14:val="tx1"/>
            </w14:solidFill>
          </w14:textFill>
        </w:rPr>
        <w:t>69</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分）</w:t>
      </w:r>
    </w:p>
    <w:tbl>
      <w:tblPr>
        <w:tblStyle w:val="21"/>
        <w:tblpPr w:leftFromText="180" w:rightFromText="180" w:vertAnchor="text" w:horzAnchor="page" w:tblpX="1426" w:tblpY="518"/>
        <w:tblOverlap w:val="never"/>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311"/>
        <w:gridCol w:w="876"/>
        <w:gridCol w:w="6357"/>
      </w:tblGrid>
      <w:tr w14:paraId="2013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715" w:type="dxa"/>
            <w:tcBorders>
              <w:left w:val="single" w:color="auto" w:sz="4" w:space="0"/>
              <w:right w:val="single" w:color="auto" w:sz="4" w:space="0"/>
            </w:tcBorders>
            <w:vAlign w:val="center"/>
          </w:tcPr>
          <w:p w14:paraId="35370E7D">
            <w:pPr>
              <w:pStyle w:val="27"/>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028FD4E7">
            <w:pPr>
              <w:pStyle w:val="27"/>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1311" w:type="dxa"/>
            <w:tcBorders>
              <w:left w:val="nil"/>
              <w:right w:val="single" w:color="auto" w:sz="4" w:space="0"/>
            </w:tcBorders>
            <w:vAlign w:val="center"/>
          </w:tcPr>
          <w:p w14:paraId="6F195DB0">
            <w:pPr>
              <w:pStyle w:val="28"/>
              <w:spacing w:before="154" w:line="259" w:lineRule="auto"/>
              <w:ind w:right="75"/>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检测能力</w:t>
            </w:r>
          </w:p>
        </w:tc>
        <w:tc>
          <w:tcPr>
            <w:tcW w:w="876" w:type="dxa"/>
            <w:tcBorders>
              <w:top w:val="single" w:color="auto" w:sz="4" w:space="0"/>
              <w:left w:val="nil"/>
              <w:bottom w:val="single" w:color="auto" w:sz="4" w:space="0"/>
              <w:right w:val="single" w:color="auto" w:sz="4" w:space="0"/>
            </w:tcBorders>
            <w:vAlign w:val="center"/>
          </w:tcPr>
          <w:p w14:paraId="534A2BDC">
            <w:pPr>
              <w:pStyle w:val="27"/>
              <w:numPr>
                <w:ilvl w:val="0"/>
                <w:numId w:val="0"/>
              </w:numPr>
              <w:spacing w:beforeLines="0" w:afterLines="0" w:line="360" w:lineRule="auto"/>
              <w:ind w:right="0" w:rightChars="0"/>
              <w:jc w:val="center"/>
              <w:rPr>
                <w:rFonts w:hint="eastAsia" w:cs="宋体"/>
                <w:color w:val="000000" w:themeColor="text1"/>
                <w:sz w:val="24"/>
                <w:highlight w:val="none"/>
                <w:lang w:val="en-US" w:eastAsia="zh-CN"/>
                <w14:textFill>
                  <w14:solidFill>
                    <w14:schemeClr w14:val="tx1"/>
                  </w14:solidFill>
                </w14:textFill>
              </w:rPr>
            </w:pPr>
          </w:p>
          <w:p w14:paraId="57DF8B9C">
            <w:pPr>
              <w:pStyle w:val="27"/>
              <w:numPr>
                <w:ilvl w:val="0"/>
                <w:numId w:val="0"/>
              </w:numPr>
              <w:spacing w:beforeLines="0" w:afterLines="0" w:line="360" w:lineRule="auto"/>
              <w:ind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14分</w:t>
            </w:r>
          </w:p>
        </w:tc>
        <w:tc>
          <w:tcPr>
            <w:tcW w:w="6357" w:type="dxa"/>
            <w:tcBorders>
              <w:top w:val="single" w:color="auto" w:sz="4" w:space="0"/>
              <w:left w:val="nil"/>
              <w:bottom w:val="single" w:color="auto" w:sz="4" w:space="0"/>
              <w:right w:val="single" w:color="auto" w:sz="4" w:space="0"/>
            </w:tcBorders>
            <w:vAlign w:val="center"/>
          </w:tcPr>
          <w:p w14:paraId="4EE83A52">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拥有本项目实施所需实验室，实验室相关设备、仪器设备配置、场地、规模、送样时限能满足本工程各项检测要求，相关仪器设备配置合理、齐全，满足项目检测需要得14分；部分满足本项目检测需要得7分；不满足得0分。</w:t>
            </w:r>
          </w:p>
          <w:p w14:paraId="72623D3C">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注：提供相关实验室照片、设备清单及设备校准证书、房屋租赁合同或房屋购买合同或房产证等。</w:t>
            </w:r>
            <w:r>
              <w:rPr>
                <w:rFonts w:ascii="宋体" w:hAnsi="宋体" w:eastAsia="宋体" w:cs="宋体"/>
                <w:color w:val="000000" w:themeColor="text1"/>
                <w:spacing w:val="11"/>
                <w:sz w:val="24"/>
                <w:szCs w:val="24"/>
                <w:highlight w:val="none"/>
                <w14:textFill>
                  <w14:solidFill>
                    <w14:schemeClr w14:val="tx1"/>
                  </w14:solidFill>
                </w14:textFill>
              </w:rPr>
              <w:t>】</w:t>
            </w:r>
          </w:p>
        </w:tc>
      </w:tr>
      <w:tr w14:paraId="07FD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1" w:hRule="atLeast"/>
        </w:trPr>
        <w:tc>
          <w:tcPr>
            <w:tcW w:w="715" w:type="dxa"/>
            <w:tcBorders>
              <w:left w:val="single" w:color="auto" w:sz="4" w:space="0"/>
              <w:right w:val="single" w:color="auto" w:sz="4" w:space="0"/>
            </w:tcBorders>
            <w:vAlign w:val="center"/>
          </w:tcPr>
          <w:p w14:paraId="0B645BE4">
            <w:pPr>
              <w:pStyle w:val="27"/>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1AA40A8B">
            <w:pPr>
              <w:pStyle w:val="27"/>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1311" w:type="dxa"/>
            <w:tcBorders>
              <w:left w:val="nil"/>
              <w:right w:val="single" w:color="auto" w:sz="4" w:space="0"/>
            </w:tcBorders>
            <w:shd w:val="clear" w:color="auto" w:fill="auto"/>
            <w:vAlign w:val="center"/>
          </w:tcPr>
          <w:p w14:paraId="4C0389C4">
            <w:pPr>
              <w:pStyle w:val="28"/>
              <w:spacing w:before="154" w:line="259" w:lineRule="auto"/>
              <w:ind w:right="75"/>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ascii="宋体" w:hAnsi="宋体" w:eastAsia="宋体" w:cs="宋体"/>
                <w:color w:val="000000" w:themeColor="text1"/>
                <w:spacing w:val="3"/>
                <w:sz w:val="24"/>
                <w:szCs w:val="24"/>
                <w:highlight w:val="none"/>
                <w14:textFill>
                  <w14:solidFill>
                    <w14:schemeClr w14:val="tx1"/>
                  </w14:solidFill>
                </w14:textFill>
              </w:rPr>
              <w:t>服务方案</w:t>
            </w:r>
          </w:p>
        </w:tc>
        <w:tc>
          <w:tcPr>
            <w:tcW w:w="876" w:type="dxa"/>
            <w:tcBorders>
              <w:top w:val="single" w:color="auto" w:sz="4" w:space="0"/>
              <w:left w:val="nil"/>
              <w:bottom w:val="single" w:color="auto" w:sz="4" w:space="0"/>
              <w:right w:val="single" w:color="auto" w:sz="4" w:space="0"/>
            </w:tcBorders>
            <w:shd w:val="clear" w:color="auto" w:fill="auto"/>
            <w:vAlign w:val="center"/>
          </w:tcPr>
          <w:p w14:paraId="6123B9AA">
            <w:pPr>
              <w:pStyle w:val="27"/>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788EF10B">
            <w:pPr>
              <w:pStyle w:val="27"/>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lang w:val="en-US" w:eastAsia="zh-CN"/>
                <w14:textFill>
                  <w14:solidFill>
                    <w14:schemeClr w14:val="tx1"/>
                  </w14:solidFill>
                </w14:textFill>
              </w:rPr>
              <w:t>分</w:t>
            </w:r>
          </w:p>
        </w:tc>
        <w:tc>
          <w:tcPr>
            <w:tcW w:w="6357" w:type="dxa"/>
            <w:tcBorders>
              <w:top w:val="single" w:color="auto" w:sz="4" w:space="0"/>
              <w:left w:val="nil"/>
              <w:bottom w:val="single" w:color="auto" w:sz="4" w:space="0"/>
              <w:right w:val="single" w:color="auto" w:sz="4" w:space="0"/>
            </w:tcBorders>
            <w:shd w:val="clear" w:color="auto" w:fill="auto"/>
            <w:vAlign w:val="top"/>
          </w:tcPr>
          <w:p w14:paraId="476EDE44">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结合本项目实际情况及特点，提供针对本项目的服务方案，包括①整体服务方案；②服务内容；③拟投入本项目使用的设备及人员保障措施；④服务内容管理规范；⑤重难点处理；⑥项目进度计划方案等，以上内容无缺项</w:t>
            </w:r>
            <w:r>
              <w:rPr>
                <w:rFonts w:hint="eastAsia"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满足项目实施得得30分，每缺一项扣5分，所提供的方案中每有一处缺陷的扣2分，扣完为止。</w:t>
            </w:r>
          </w:p>
          <w:p w14:paraId="676E625F">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缺陷是指：存在凭空编造、没有具体说明、内容与项目无关、内容前后不一致、前后逻辑错误、逻辑漏洞、涉及的规范及标准错误、地点区域错误、内容缺失、套用其他项目方案、科学原理错误以及不可能实现的夸大情形等情况</w:t>
            </w:r>
            <w:r>
              <w:rPr>
                <w:rFonts w:hint="eastAsia" w:cs="宋体"/>
                <w:color w:val="000000" w:themeColor="text1"/>
                <w:sz w:val="24"/>
                <w:highlight w:val="none"/>
                <w:lang w:val="en-US" w:eastAsia="zh-CN"/>
                <w14:textFill>
                  <w14:solidFill>
                    <w14:schemeClr w14:val="tx1"/>
                  </w14:solidFill>
                </w14:textFill>
              </w:rPr>
              <w:t>。</w:t>
            </w:r>
            <w:r>
              <w:rPr>
                <w:rFonts w:ascii="宋体" w:hAnsi="宋体" w:eastAsia="宋体" w:cs="宋体"/>
                <w:color w:val="000000" w:themeColor="text1"/>
                <w:spacing w:val="11"/>
                <w:sz w:val="24"/>
                <w:szCs w:val="24"/>
                <w:highlight w:val="none"/>
                <w14:textFill>
                  <w14:solidFill>
                    <w14:schemeClr w14:val="tx1"/>
                  </w14:solidFill>
                </w14:textFill>
              </w:rPr>
              <w:t>】</w:t>
            </w:r>
          </w:p>
        </w:tc>
      </w:tr>
      <w:tr w14:paraId="4D33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1" w:hRule="atLeast"/>
        </w:trPr>
        <w:tc>
          <w:tcPr>
            <w:tcW w:w="715" w:type="dxa"/>
            <w:tcBorders>
              <w:left w:val="single" w:color="auto" w:sz="4" w:space="0"/>
              <w:right w:val="single" w:color="auto" w:sz="4" w:space="0"/>
            </w:tcBorders>
            <w:vAlign w:val="center"/>
          </w:tcPr>
          <w:p w14:paraId="0B1A3BE6">
            <w:pPr>
              <w:pStyle w:val="27"/>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3948DEC9">
            <w:pPr>
              <w:pStyle w:val="27"/>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p w14:paraId="10A6846E">
            <w:pPr>
              <w:pStyle w:val="27"/>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1311" w:type="dxa"/>
            <w:tcBorders>
              <w:left w:val="nil"/>
              <w:right w:val="single" w:color="auto" w:sz="4" w:space="0"/>
            </w:tcBorders>
            <w:vAlign w:val="center"/>
          </w:tcPr>
          <w:p w14:paraId="5CD89AB7">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p>
          <w:p w14:paraId="315361E0">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p>
          <w:p w14:paraId="37C7F8FB">
            <w:pPr>
              <w:spacing w:before="78" w:line="219"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检验检测流程计划</w:t>
            </w:r>
            <w:r>
              <w:rPr>
                <w:rFonts w:ascii="宋体" w:hAnsi="宋体" w:eastAsia="宋体" w:cs="宋体"/>
                <w:color w:val="000000" w:themeColor="text1"/>
                <w:spacing w:val="3"/>
                <w:sz w:val="24"/>
                <w:szCs w:val="24"/>
                <w:highlight w:val="none"/>
                <w14:textFill>
                  <w14:solidFill>
                    <w14:schemeClr w14:val="tx1"/>
                  </w14:solidFill>
                </w14:textFill>
              </w:rPr>
              <w:t>保障方案</w:t>
            </w:r>
          </w:p>
        </w:tc>
        <w:tc>
          <w:tcPr>
            <w:tcW w:w="876" w:type="dxa"/>
            <w:tcBorders>
              <w:top w:val="single" w:color="auto" w:sz="4" w:space="0"/>
              <w:left w:val="nil"/>
              <w:bottom w:val="single" w:color="auto" w:sz="4" w:space="0"/>
              <w:right w:val="single" w:color="auto" w:sz="4" w:space="0"/>
            </w:tcBorders>
            <w:vAlign w:val="center"/>
          </w:tcPr>
          <w:p w14:paraId="77ABB9CD">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p>
          <w:p w14:paraId="5F774CDE">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p>
          <w:p w14:paraId="7060F8B8">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lang w:val="en-US" w:eastAsia="zh-CN"/>
                <w14:textFill>
                  <w14:solidFill>
                    <w14:schemeClr w14:val="tx1"/>
                  </w14:solidFill>
                </w14:textFill>
              </w:rPr>
              <w:t>分</w:t>
            </w:r>
          </w:p>
        </w:tc>
        <w:tc>
          <w:tcPr>
            <w:tcW w:w="6357" w:type="dxa"/>
            <w:tcBorders>
              <w:top w:val="single" w:color="auto" w:sz="4" w:space="0"/>
              <w:left w:val="nil"/>
              <w:bottom w:val="single" w:color="auto" w:sz="4" w:space="0"/>
              <w:right w:val="single" w:color="auto" w:sz="4" w:space="0"/>
            </w:tcBorders>
            <w:vAlign w:val="top"/>
          </w:tcPr>
          <w:p w14:paraId="6767DB52">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依据供应商提供的检验检测流程计划保障方案，包括但不限于①编制检验流程图；②检测工作大纲；③质量检验计划；④质量控制计划； ⑤质量监督计划等方面的全面性、完整性和合理性进行评审，以上内容无缺项，满足项目实施得10分；每缺一项扣2分；存在缺陷或漏洞不利于项目实施的，每有一项扣1分，扣完为为止。 </w:t>
            </w:r>
          </w:p>
          <w:p w14:paraId="3A37FB50">
            <w:pPr>
              <w:pStyle w:val="27"/>
              <w:numPr>
                <w:ilvl w:val="0"/>
                <w:numId w:val="0"/>
              </w:numPr>
              <w:spacing w:beforeLines="0" w:afterLines="0" w:line="360" w:lineRule="auto"/>
              <w:ind w:right="0" w:rightChars="0"/>
              <w:jc w:val="both"/>
              <w:rPr>
                <w:rFonts w:hint="eastAsia"/>
                <w:color w:val="000000" w:themeColor="text1"/>
                <w:highlight w:val="none"/>
                <w:lang w:val="en-US" w:eastAsia="zh-CN"/>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说明：本评审内容中“存在缺陷或漏洞不利于项目实施的”是指：存在不适用本项目实际情况、内容不完整或缺少关键节点、前后矛盾、涉及的规范及标准错误不可能实现的情形等任意一种情形。</w:t>
            </w:r>
            <w:r>
              <w:rPr>
                <w:rFonts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tc>
      </w:tr>
      <w:tr w14:paraId="1F96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15" w:type="dxa"/>
            <w:tcBorders>
              <w:left w:val="single" w:color="auto" w:sz="4" w:space="0"/>
              <w:right w:val="single" w:color="auto" w:sz="4" w:space="0"/>
            </w:tcBorders>
            <w:vAlign w:val="center"/>
          </w:tcPr>
          <w:p w14:paraId="4C82EE09">
            <w:pPr>
              <w:pStyle w:val="27"/>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1311" w:type="dxa"/>
            <w:tcBorders>
              <w:left w:val="nil"/>
              <w:right w:val="single" w:color="auto" w:sz="4" w:space="0"/>
            </w:tcBorders>
            <w:vAlign w:val="center"/>
          </w:tcPr>
          <w:p w14:paraId="43D4336F">
            <w:pPr>
              <w:spacing w:before="78" w:line="220" w:lineRule="auto"/>
              <w:jc w:val="center"/>
              <w:rPr>
                <w:rFonts w:ascii="宋体" w:hAnsi="宋体" w:eastAsia="宋体" w:cs="宋体"/>
                <w:color w:val="000000" w:themeColor="text1"/>
                <w:spacing w:val="2"/>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工作方法和内控机</w:t>
            </w:r>
          </w:p>
          <w:p w14:paraId="1197CCBA">
            <w:pPr>
              <w:spacing w:before="78" w:line="22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制</w:t>
            </w:r>
          </w:p>
        </w:tc>
        <w:tc>
          <w:tcPr>
            <w:tcW w:w="876" w:type="dxa"/>
            <w:tcBorders>
              <w:top w:val="single" w:color="auto" w:sz="4" w:space="0"/>
              <w:left w:val="nil"/>
              <w:bottom w:val="single" w:color="auto" w:sz="4" w:space="0"/>
              <w:right w:val="single" w:color="auto" w:sz="4" w:space="0"/>
            </w:tcBorders>
            <w:vAlign w:val="center"/>
          </w:tcPr>
          <w:p w14:paraId="7A756C21">
            <w:pPr>
              <w:pStyle w:val="27"/>
              <w:numPr>
                <w:ilvl w:val="0"/>
                <w:numId w:val="0"/>
              </w:numPr>
              <w:spacing w:beforeLines="0" w:afterLines="0" w:line="360" w:lineRule="auto"/>
              <w:ind w:right="0" w:rightChars="0"/>
              <w:jc w:val="center"/>
              <w:rPr>
                <w:rFonts w:hint="eastAsia" w:cs="宋体"/>
                <w:color w:val="000000" w:themeColor="text1"/>
                <w:sz w:val="24"/>
                <w:highlight w:val="none"/>
                <w:lang w:val="en-US" w:eastAsia="zh-CN"/>
                <w14:textFill>
                  <w14:solidFill>
                    <w14:schemeClr w14:val="tx1"/>
                  </w14:solidFill>
                </w14:textFill>
              </w:rPr>
            </w:pPr>
          </w:p>
          <w:p w14:paraId="07DF44EB">
            <w:pPr>
              <w:pStyle w:val="27"/>
              <w:numPr>
                <w:ilvl w:val="0"/>
                <w:numId w:val="0"/>
              </w:numPr>
              <w:spacing w:beforeLines="0" w:afterLines="0" w:line="360" w:lineRule="auto"/>
              <w:ind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10分</w:t>
            </w:r>
          </w:p>
          <w:p w14:paraId="0F7F09CD">
            <w:pPr>
              <w:pStyle w:val="27"/>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p>
        </w:tc>
        <w:tc>
          <w:tcPr>
            <w:tcW w:w="6357" w:type="dxa"/>
            <w:tcBorders>
              <w:top w:val="single" w:color="auto" w:sz="4" w:space="0"/>
              <w:left w:val="nil"/>
              <w:bottom w:val="single" w:color="auto" w:sz="4" w:space="0"/>
              <w:right w:val="single" w:color="auto" w:sz="4" w:space="0"/>
            </w:tcBorders>
            <w:vAlign w:val="top"/>
          </w:tcPr>
          <w:p w14:paraId="1A9DD74A">
            <w:pPr>
              <w:pStyle w:val="27"/>
              <w:numPr>
                <w:ilvl w:val="0"/>
                <w:numId w:val="0"/>
              </w:numPr>
              <w:spacing w:beforeLines="0" w:afterLines="0" w:line="360" w:lineRule="auto"/>
              <w:ind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1）根据本项目的分析理解，针对不同的工程施工材料提出有针对性的检测方法、检测工作内容，以上内容无缺项、无漏项得2分，每缺一项扣1分，所提供的方案中每有一处缺陷的扣0.5分，扣完为止。</w:t>
            </w:r>
          </w:p>
          <w:p w14:paraId="4F1CF931">
            <w:pPr>
              <w:pStyle w:val="27"/>
              <w:numPr>
                <w:ilvl w:val="0"/>
                <w:numId w:val="6"/>
              </w:numPr>
              <w:spacing w:beforeLines="0" w:afterLines="0" w:line="360" w:lineRule="auto"/>
              <w:ind w:left="0" w:leftChars="0" w:right="0" w:rightChars="0" w:firstLine="0" w:firstLine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供应商应建立内控机制，包括不限于①工作流程；②管理制度，包括运营管理制度、岗位责任制度、实验设备操作规程、实验仪器设备的日常管理和维护制度、检测数据的复核监督检查制度等；④工作纪律；④内部保密等制度，提供的机制完整、详实，可操作性强，得8分。每缺一项扣1分，每有一项内容存在缺陷扣0.5分，扣完为止。 </w:t>
            </w:r>
          </w:p>
          <w:p w14:paraId="1D81573A">
            <w:pPr>
              <w:pStyle w:val="27"/>
              <w:numPr>
                <w:ilvl w:val="0"/>
                <w:numId w:val="0"/>
              </w:numPr>
              <w:spacing w:beforeLines="0" w:afterLines="0" w:line="360" w:lineRule="auto"/>
              <w:ind w:leftChars="0"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评审内容中缺陷是指：存在凭空编造、没有具体说明、内容与项目无关、内容前后不一致、前后逻辑错误、逻辑漏洞、涉及的规范及标准错误、地点区域错误、内容缺失、套用其他项目方案、科学原理错误以及不可能实现的夸大情形等情况。</w:t>
            </w:r>
            <w:r>
              <w:rPr>
                <w:rFonts w:ascii="宋体" w:hAnsi="宋体" w:eastAsia="宋体" w:cs="宋体"/>
                <w:color w:val="000000" w:themeColor="text1"/>
                <w:spacing w:val="11"/>
                <w:sz w:val="24"/>
                <w:szCs w:val="24"/>
                <w:highlight w:val="none"/>
                <w14:textFill>
                  <w14:solidFill>
                    <w14:schemeClr w14:val="tx1"/>
                  </w14:solidFill>
                </w14:textFill>
              </w:rPr>
              <w:t>】</w:t>
            </w:r>
          </w:p>
        </w:tc>
      </w:tr>
      <w:tr w14:paraId="2CEC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4" w:hRule="atLeast"/>
        </w:trPr>
        <w:tc>
          <w:tcPr>
            <w:tcW w:w="715" w:type="dxa"/>
            <w:tcBorders>
              <w:left w:val="single" w:color="auto" w:sz="4" w:space="0"/>
              <w:right w:val="single" w:color="auto" w:sz="4" w:space="0"/>
            </w:tcBorders>
            <w:vAlign w:val="center"/>
          </w:tcPr>
          <w:p w14:paraId="740083BB">
            <w:pPr>
              <w:pStyle w:val="27"/>
              <w:numPr>
                <w:ilvl w:val="0"/>
                <w:numId w:val="0"/>
              </w:numPr>
              <w:spacing w:beforeLines="0" w:afterLines="0" w:line="360" w:lineRule="auto"/>
              <w:ind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5</w:t>
            </w:r>
          </w:p>
        </w:tc>
        <w:tc>
          <w:tcPr>
            <w:tcW w:w="1311" w:type="dxa"/>
            <w:tcBorders>
              <w:left w:val="nil"/>
              <w:right w:val="single" w:color="auto" w:sz="4" w:space="0"/>
            </w:tcBorders>
            <w:vAlign w:val="center"/>
          </w:tcPr>
          <w:p w14:paraId="6C17A27C">
            <w:pPr>
              <w:spacing w:before="78" w:line="219"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检测资料</w:t>
            </w:r>
            <w:r>
              <w:rPr>
                <w:rFonts w:ascii="宋体" w:hAnsi="宋体" w:eastAsia="宋体" w:cs="宋体"/>
                <w:color w:val="000000" w:themeColor="text1"/>
                <w:spacing w:val="4"/>
                <w:sz w:val="24"/>
                <w:szCs w:val="24"/>
                <w:highlight w:val="none"/>
                <w14:textFill>
                  <w14:solidFill>
                    <w14:schemeClr w14:val="tx1"/>
                  </w14:solidFill>
                </w14:textFill>
              </w:rPr>
              <w:t>管理</w:t>
            </w:r>
          </w:p>
        </w:tc>
        <w:tc>
          <w:tcPr>
            <w:tcW w:w="876" w:type="dxa"/>
            <w:tcBorders>
              <w:top w:val="single" w:color="auto" w:sz="4" w:space="0"/>
              <w:left w:val="nil"/>
              <w:bottom w:val="single" w:color="auto" w:sz="4" w:space="0"/>
              <w:right w:val="single" w:color="auto" w:sz="4" w:space="0"/>
            </w:tcBorders>
            <w:vAlign w:val="center"/>
          </w:tcPr>
          <w:p w14:paraId="333776F9">
            <w:pPr>
              <w:pStyle w:val="27"/>
              <w:numPr>
                <w:ilvl w:val="0"/>
                <w:numId w:val="0"/>
              </w:numPr>
              <w:spacing w:beforeLines="0" w:afterLines="0" w:line="360" w:lineRule="auto"/>
              <w:ind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5分</w:t>
            </w:r>
          </w:p>
        </w:tc>
        <w:tc>
          <w:tcPr>
            <w:tcW w:w="6357" w:type="dxa"/>
            <w:tcBorders>
              <w:top w:val="single" w:color="auto" w:sz="4" w:space="0"/>
              <w:left w:val="nil"/>
              <w:bottom w:val="single" w:color="auto" w:sz="4" w:space="0"/>
              <w:right w:val="single" w:color="auto" w:sz="4" w:space="0"/>
            </w:tcBorders>
            <w:shd w:val="clear" w:color="auto" w:fill="auto"/>
            <w:vAlign w:val="top"/>
          </w:tcPr>
          <w:p w14:paraId="4EF5B018">
            <w:pPr>
              <w:pStyle w:val="27"/>
              <w:numPr>
                <w:ilvl w:val="0"/>
                <w:numId w:val="0"/>
              </w:numPr>
              <w:spacing w:beforeLines="0" w:afterLines="0" w:line="360" w:lineRule="auto"/>
              <w:ind w:leftChars="0"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提供完整具备可操作性的技术资料/档案管理方案包括但</w:t>
            </w:r>
            <w:r>
              <w:rPr>
                <w:rFonts w:hint="eastAsia" w:cs="宋体"/>
                <w:color w:val="000000" w:themeColor="text1"/>
                <w:sz w:val="24"/>
                <w:highlight w:val="none"/>
                <w:lang w:val="en-US" w:eastAsia="zh-CN"/>
                <w14:textFill>
                  <w14:solidFill>
                    <w14:schemeClr w14:val="tx1"/>
                  </w14:solidFill>
                </w14:textFill>
              </w:rPr>
              <w:t>不限</w:t>
            </w:r>
            <w:r>
              <w:rPr>
                <w:rFonts w:hint="eastAsia" w:ascii="宋体" w:hAnsi="宋体" w:eastAsia="宋体" w:cs="宋体"/>
                <w:color w:val="000000" w:themeColor="text1"/>
                <w:sz w:val="24"/>
                <w:highlight w:val="none"/>
                <w:lang w:val="en-US" w:eastAsia="zh-CN"/>
                <w14:textFill>
                  <w14:solidFill>
                    <w14:schemeClr w14:val="tx1"/>
                  </w14:solidFill>
                </w14:textFill>
              </w:rPr>
              <w:t>于：①档案管理人员职责；②收集归档范围；③归档要求；④档案的借阅与复印；⑤档案的保密管理，提供的方案完整，切实可行得5分；每缺少一项内容扣1分；内容缺陷描述不明确或不完整扣0.5分，未提供不得分。</w:t>
            </w:r>
          </w:p>
          <w:p w14:paraId="346E9502">
            <w:pPr>
              <w:pStyle w:val="27"/>
              <w:numPr>
                <w:ilvl w:val="0"/>
                <w:numId w:val="0"/>
              </w:numPr>
              <w:spacing w:beforeLines="0" w:afterLines="0" w:line="360" w:lineRule="auto"/>
              <w:ind w:leftChars="0" w:right="0" w:rightChars="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ascii="宋体" w:hAnsi="宋体" w:eastAsia="宋体" w:cs="宋体"/>
                <w:color w:val="000000" w:themeColor="text1"/>
                <w:spacing w:val="4"/>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说明：本评审内容中“内容缺陷描述不明确或不完整”是指：存在不适用本项目实际情况、内容不完整或缺少关键节点、前后矛盾、涉及的规范及标准错误不可能实现的情形等任意一种情形。</w:t>
            </w:r>
            <w:r>
              <w:rPr>
                <w:rFonts w:ascii="宋体" w:hAnsi="宋体" w:eastAsia="宋体" w:cs="宋体"/>
                <w:color w:val="000000" w:themeColor="text1"/>
                <w:spacing w:val="11"/>
                <w:sz w:val="24"/>
                <w:szCs w:val="24"/>
                <w:highlight w:val="none"/>
                <w14:textFill>
                  <w14:solidFill>
                    <w14:schemeClr w14:val="tx1"/>
                  </w14:solidFill>
                </w14:textFill>
              </w:rPr>
              <w:t>】</w:t>
            </w:r>
          </w:p>
        </w:tc>
      </w:tr>
    </w:tbl>
    <w:p w14:paraId="3A48AE6E">
      <w:pPr>
        <w:pStyle w:val="2"/>
        <w:numPr>
          <w:ilvl w:val="0"/>
          <w:numId w:val="0"/>
        </w:numPr>
        <w:tabs>
          <w:tab w:val="left" w:pos="0"/>
        </w:tabs>
        <w:spacing w:before="0" w:after="0" w:line="2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br w:type="page"/>
      </w:r>
      <w:bookmarkStart w:id="450" w:name="_Toc2870"/>
      <w:bookmarkStart w:id="451" w:name="_Toc29461"/>
      <w:bookmarkStart w:id="452" w:name="_Toc14492"/>
      <w:r>
        <w:rPr>
          <w:rFonts w:hint="eastAsia" w:ascii="宋体" w:hAnsi="宋体" w:eastAsia="宋体" w:cs="宋体"/>
          <w:color w:val="000000" w:themeColor="text1"/>
          <w:highlight w:val="none"/>
          <w14:textFill>
            <w14:solidFill>
              <w14:schemeClr w14:val="tx1"/>
            </w14:solidFill>
          </w14:textFill>
        </w:rPr>
        <w:t>第</w:t>
      </w:r>
      <w:r>
        <w:rPr>
          <w:rFonts w:hint="eastAsia" w:ascii="宋体" w:hAnsi="宋体" w:eastAsia="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 xml:space="preserve">章 </w:t>
      </w:r>
      <w:bookmarkEnd w:id="450"/>
      <w:r>
        <w:rPr>
          <w:rFonts w:hint="eastAsia" w:ascii="宋体" w:hAnsi="宋体" w:eastAsia="宋体" w:cs="宋体"/>
          <w:color w:val="000000" w:themeColor="text1"/>
          <w:highlight w:val="none"/>
          <w14:textFill>
            <w14:solidFill>
              <w14:schemeClr w14:val="tx1"/>
            </w14:solidFill>
          </w14:textFill>
        </w:rPr>
        <w:t xml:space="preserve"> 服务合同</w:t>
      </w:r>
      <w:bookmarkEnd w:id="451"/>
      <w:bookmarkEnd w:id="452"/>
    </w:p>
    <w:p w14:paraId="3D21CC8D">
      <w:pPr>
        <w:pStyle w:val="8"/>
        <w:spacing w:line="310" w:lineRule="auto"/>
        <w:rPr>
          <w:rFonts w:hint="eastAsia" w:ascii="宋体" w:hAnsi="宋体" w:eastAsia="宋体" w:cs="宋体"/>
          <w:color w:val="000000" w:themeColor="text1"/>
          <w:sz w:val="24"/>
          <w:szCs w:val="24"/>
          <w:highlight w:val="none"/>
          <w14:textFill>
            <w14:solidFill>
              <w14:schemeClr w14:val="tx1"/>
            </w14:solidFill>
          </w14:textFill>
        </w:rPr>
      </w:pPr>
    </w:p>
    <w:p w14:paraId="23960D59">
      <w:pPr>
        <w:pStyle w:val="8"/>
        <w:spacing w:line="311" w:lineRule="auto"/>
        <w:rPr>
          <w:rFonts w:hint="eastAsia" w:ascii="宋体" w:hAnsi="宋体" w:eastAsia="宋体" w:cs="宋体"/>
          <w:color w:val="000000" w:themeColor="text1"/>
          <w:sz w:val="24"/>
          <w:szCs w:val="24"/>
          <w:highlight w:val="none"/>
          <w14:textFill>
            <w14:solidFill>
              <w14:schemeClr w14:val="tx1"/>
            </w14:solidFill>
          </w14:textFill>
        </w:rPr>
      </w:pPr>
    </w:p>
    <w:p w14:paraId="1FA8B109">
      <w:pPr>
        <w:widowControl w:val="0"/>
        <w:spacing w:before="0" w:after="0"/>
        <w:jc w:val="both"/>
        <w:rPr>
          <w:rFonts w:hint="eastAsia" w:eastAsia="宋体"/>
          <w:color w:val="000000" w:themeColor="text1"/>
          <w:sz w:val="21"/>
          <w:szCs w:val="21"/>
          <w:highlight w:val="none"/>
          <w:u w:val="thick"/>
          <w:lang w:val="en-US"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合同编号：</w:t>
      </w:r>
      <w:r>
        <w:rPr>
          <w:rFonts w:ascii="宋体" w:hAnsi="宋体" w:eastAsia="宋体" w:cs="宋体"/>
          <w:color w:val="000000" w:themeColor="text1"/>
          <w:sz w:val="21"/>
          <w:szCs w:val="21"/>
          <w:highlight w:val="none"/>
          <w:u w:val="single"/>
          <w14:textFill>
            <w14:solidFill>
              <w14:schemeClr w14:val="tx1"/>
            </w14:solidFill>
          </w14:textFill>
        </w:rPr>
        <w:t>         </w:t>
      </w:r>
    </w:p>
    <w:p w14:paraId="08015CF7">
      <w:pPr>
        <w:widowControl w:val="0"/>
        <w:spacing w:before="0" w:after="0"/>
        <w:jc w:val="both"/>
        <w:rPr>
          <w:color w:val="000000" w:themeColor="text1"/>
          <w:sz w:val="21"/>
          <w:szCs w:val="21"/>
          <w:highlight w:val="none"/>
          <w14:textFill>
            <w14:solidFill>
              <w14:schemeClr w14:val="tx1"/>
            </w14:solidFill>
          </w14:textFill>
        </w:rPr>
      </w:pPr>
    </w:p>
    <w:p w14:paraId="3ADF3F81">
      <w:pPr>
        <w:widowControl w:val="0"/>
        <w:spacing w:before="0" w:after="0"/>
        <w:jc w:val="both"/>
        <w:rPr>
          <w:color w:val="000000" w:themeColor="text1"/>
          <w:sz w:val="21"/>
          <w:szCs w:val="21"/>
          <w:highlight w:val="none"/>
          <w14:textFill>
            <w14:solidFill>
              <w14:schemeClr w14:val="tx1"/>
            </w14:solidFill>
          </w14:textFill>
        </w:rPr>
      </w:pPr>
    </w:p>
    <w:p w14:paraId="085B1462">
      <w:pPr>
        <w:widowControl w:val="0"/>
        <w:spacing w:before="0" w:after="0"/>
        <w:jc w:val="both"/>
        <w:rPr>
          <w:color w:val="000000" w:themeColor="text1"/>
          <w:sz w:val="21"/>
          <w:szCs w:val="21"/>
          <w:highlight w:val="none"/>
          <w14:textFill>
            <w14:solidFill>
              <w14:schemeClr w14:val="tx1"/>
            </w14:solidFill>
          </w14:textFill>
        </w:rPr>
      </w:pPr>
    </w:p>
    <w:p w14:paraId="4F4DAD36">
      <w:pPr>
        <w:widowControl w:val="0"/>
        <w:spacing w:before="0" w:after="0"/>
        <w:jc w:val="both"/>
        <w:rPr>
          <w:color w:val="000000" w:themeColor="text1"/>
          <w:sz w:val="21"/>
          <w:szCs w:val="21"/>
          <w:highlight w:val="none"/>
          <w14:textFill>
            <w14:solidFill>
              <w14:schemeClr w14:val="tx1"/>
            </w14:solidFill>
          </w14:textFill>
        </w:rPr>
      </w:pPr>
    </w:p>
    <w:p w14:paraId="1EFABE1A">
      <w:pPr>
        <w:widowControl w:val="0"/>
        <w:spacing w:before="0" w:after="0"/>
        <w:jc w:val="both"/>
        <w:rPr>
          <w:color w:val="000000" w:themeColor="text1"/>
          <w:sz w:val="21"/>
          <w:szCs w:val="21"/>
          <w:highlight w:val="none"/>
          <w14:textFill>
            <w14:solidFill>
              <w14:schemeClr w14:val="tx1"/>
            </w14:solidFill>
          </w14:textFill>
        </w:rPr>
      </w:pPr>
    </w:p>
    <w:p w14:paraId="3B410738">
      <w:pPr>
        <w:widowControl w:val="0"/>
        <w:spacing w:before="0" w:after="0"/>
        <w:jc w:val="both"/>
        <w:rPr>
          <w:color w:val="000000" w:themeColor="text1"/>
          <w:sz w:val="21"/>
          <w:szCs w:val="21"/>
          <w:highlight w:val="none"/>
          <w14:textFill>
            <w14:solidFill>
              <w14:schemeClr w14:val="tx1"/>
            </w14:solidFill>
          </w14:textFill>
        </w:rPr>
      </w:pPr>
    </w:p>
    <w:p w14:paraId="71DBAE39">
      <w:pPr>
        <w:widowControl w:val="0"/>
        <w:spacing w:before="0" w:after="0"/>
        <w:jc w:val="center"/>
        <w:rPr>
          <w:color w:val="000000" w:themeColor="text1"/>
          <w:sz w:val="36"/>
          <w:szCs w:val="36"/>
          <w:highlight w:val="none"/>
          <w14:textFill>
            <w14:solidFill>
              <w14:schemeClr w14:val="tx1"/>
            </w14:solidFill>
          </w14:textFill>
        </w:rPr>
      </w:pPr>
      <w:r>
        <w:rPr>
          <w:rFonts w:ascii="宋体" w:hAnsi="宋体" w:eastAsia="宋体" w:cs="宋体"/>
          <w:b/>
          <w:bCs/>
          <w:color w:val="000000" w:themeColor="text1"/>
          <w:sz w:val="36"/>
          <w:szCs w:val="36"/>
          <w:highlight w:val="none"/>
          <w14:textFill>
            <w14:solidFill>
              <w14:schemeClr w14:val="tx1"/>
            </w14:solidFill>
          </w14:textFill>
        </w:rPr>
        <w:t>见证取样（材料）检测服务费合同</w:t>
      </w:r>
    </w:p>
    <w:p w14:paraId="30EFF020">
      <w:pPr>
        <w:widowControl w:val="0"/>
        <w:spacing w:before="0" w:after="0"/>
        <w:jc w:val="both"/>
        <w:rPr>
          <w:color w:val="000000" w:themeColor="text1"/>
          <w:sz w:val="44"/>
          <w:szCs w:val="44"/>
          <w:highlight w:val="none"/>
          <w14:textFill>
            <w14:solidFill>
              <w14:schemeClr w14:val="tx1"/>
            </w14:solidFill>
          </w14:textFill>
        </w:rPr>
      </w:pPr>
    </w:p>
    <w:p w14:paraId="1B0CA2EA">
      <w:pPr>
        <w:widowControl w:val="0"/>
        <w:spacing w:before="0" w:after="0"/>
        <w:jc w:val="both"/>
        <w:rPr>
          <w:color w:val="000000" w:themeColor="text1"/>
          <w:sz w:val="44"/>
          <w:szCs w:val="44"/>
          <w:highlight w:val="none"/>
          <w14:textFill>
            <w14:solidFill>
              <w14:schemeClr w14:val="tx1"/>
            </w14:solidFill>
          </w14:textFill>
        </w:rPr>
      </w:pPr>
    </w:p>
    <w:p w14:paraId="29389EC9">
      <w:pPr>
        <w:keepNext w:val="0"/>
        <w:keepLines w:val="0"/>
        <w:pageBreakBefore w:val="0"/>
        <w:widowControl w:val="0"/>
        <w:tabs>
          <w:tab w:val="left" w:leader="underscore" w:pos="7140"/>
        </w:tabs>
        <w:kinsoku/>
        <w:wordWrap/>
        <w:overflowPunct/>
        <w:topLinePunct w:val="0"/>
        <w:autoSpaceDE/>
        <w:autoSpaceDN/>
        <w:bidi w:val="0"/>
        <w:adjustRightInd/>
        <w:snapToGrid/>
        <w:spacing w:before="0" w:after="0" w:line="700" w:lineRule="exact"/>
        <w:ind w:left="0" w:leftChars="0" w:firstLine="0" w:firstLineChars="0"/>
        <w:jc w:val="both"/>
        <w:textAlignment w:val="auto"/>
        <w:rPr>
          <w:rFonts w:hint="eastAsia" w:asciiTheme="majorEastAsia" w:hAnsiTheme="majorEastAsia" w:eastAsiaTheme="majorEastAsia" w:cstheme="majorEastAsia"/>
          <w:b/>
          <w:bCs/>
          <w:color w:val="000000" w:themeColor="text1"/>
          <w:spacing w:val="2240"/>
          <w:w w:val="100"/>
          <w:kern w:val="0"/>
          <w:sz w:val="32"/>
          <w:szCs w:val="32"/>
          <w:highlight w:val="none"/>
          <w:fitText w:val="2560" w:id="252477199"/>
          <w14:textFill>
            <w14:solidFill>
              <w14:schemeClr w14:val="tx1"/>
            </w14:solidFill>
          </w14:textFill>
        </w:rPr>
      </w:pPr>
      <w:r>
        <w:rPr>
          <w:rFonts w:hint="eastAsia" w:asciiTheme="majorEastAsia" w:hAnsiTheme="majorEastAsia" w:eastAsiaTheme="majorEastAsia" w:cstheme="majorEastAsia"/>
          <w:b/>
          <w:bCs/>
          <w:color w:val="000000" w:themeColor="text1"/>
          <w:spacing w:val="80"/>
          <w:w w:val="100"/>
          <w:kern w:val="0"/>
          <w:sz w:val="32"/>
          <w:szCs w:val="32"/>
          <w:highlight w:val="none"/>
          <w:fitText w:val="3200" w:id="2127776652"/>
          <w14:textFill>
            <w14:solidFill>
              <w14:schemeClr w14:val="tx1"/>
            </w14:solidFill>
          </w14:textFill>
        </w:rPr>
        <w:t>工程项目名称</w:t>
      </w:r>
      <w:r>
        <w:rPr>
          <w:rFonts w:hint="eastAsia" w:asciiTheme="majorEastAsia" w:hAnsiTheme="majorEastAsia" w:eastAsiaTheme="majorEastAsia" w:cstheme="majorEastAsia"/>
          <w:b/>
          <w:bCs/>
          <w:color w:val="000000" w:themeColor="text1"/>
          <w:spacing w:val="0"/>
          <w:w w:val="100"/>
          <w:kern w:val="0"/>
          <w:sz w:val="32"/>
          <w:szCs w:val="32"/>
          <w:highlight w:val="none"/>
          <w:fitText w:val="3200" w:id="2127776652"/>
          <w14:textFill>
            <w14:solidFill>
              <w14:schemeClr w14:val="tx1"/>
            </w14:solidFill>
          </w14:textFill>
        </w:rPr>
        <w:t>：</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color w:val="000000" w:themeColor="text1"/>
          <w:spacing w:val="28"/>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p>
    <w:p w14:paraId="7C03F7DB">
      <w:pPr>
        <w:keepNext w:val="0"/>
        <w:keepLines w:val="0"/>
        <w:pageBreakBefore w:val="0"/>
        <w:widowControl w:val="0"/>
        <w:kinsoku/>
        <w:wordWrap/>
        <w:overflowPunct/>
        <w:topLinePunct w:val="0"/>
        <w:autoSpaceDE/>
        <w:autoSpaceDN/>
        <w:bidi w:val="0"/>
        <w:adjustRightInd/>
        <w:snapToGrid/>
        <w:spacing w:before="0" w:after="0" w:line="700" w:lineRule="exact"/>
        <w:jc w:val="both"/>
        <w:textAlignment w:val="auto"/>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pPr>
      <w:r>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t>甲方</w:t>
      </w:r>
      <w:r>
        <w:rPr>
          <w:rFonts w:hint="eastAsia" w:asciiTheme="minorHAnsi" w:hAnsiTheme="minorHAnsi" w:eastAsiaTheme="minorEastAsia" w:cstheme="minorBidi"/>
          <w:b/>
          <w:bCs/>
          <w:color w:val="000000" w:themeColor="text1"/>
          <w:sz w:val="32"/>
          <w:szCs w:val="32"/>
          <w:highlight w:val="none"/>
          <w:lang w:val="en-US" w:eastAsia="zh-CN"/>
          <w14:textFill>
            <w14:solidFill>
              <w14:schemeClr w14:val="tx1"/>
            </w14:solidFill>
          </w14:textFill>
        </w:rPr>
        <w:t xml:space="preserve">       </w:t>
      </w:r>
      <w:r>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t>（委托方）</w:t>
      </w:r>
      <w:r>
        <w:rPr>
          <w:rFonts w:hint="eastAsia" w:asciiTheme="minorHAnsi" w:hAnsiTheme="minorHAnsi" w:eastAsiaTheme="minorEastAsia" w:cstheme="minorBidi"/>
          <w:b/>
          <w:bCs/>
          <w:color w:val="000000" w:themeColor="text1"/>
          <w:sz w:val="32"/>
          <w:szCs w:val="32"/>
          <w:highlight w:val="none"/>
          <w:lang w:val="en-US" w:eastAsia="zh-CN"/>
          <w14:textFill>
            <w14:solidFill>
              <w14:schemeClr w14:val="tx1"/>
            </w14:solidFill>
          </w14:textFill>
        </w:rPr>
        <w:t xml:space="preserve">  </w:t>
      </w:r>
      <w:r>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t>：伊吾县淖毛湖镇人民政府</w:t>
      </w:r>
    </w:p>
    <w:p w14:paraId="4386612C">
      <w:pPr>
        <w:keepNext w:val="0"/>
        <w:keepLines w:val="0"/>
        <w:pageBreakBefore w:val="0"/>
        <w:widowControl w:val="0"/>
        <w:tabs>
          <w:tab w:val="left" w:leader="underscore" w:pos="7140"/>
        </w:tabs>
        <w:kinsoku/>
        <w:wordWrap/>
        <w:overflowPunct/>
        <w:topLinePunct w:val="0"/>
        <w:autoSpaceDE/>
        <w:autoSpaceDN/>
        <w:bidi w:val="0"/>
        <w:adjustRightInd/>
        <w:snapToGrid/>
        <w:spacing w:before="0" w:after="0" w:line="700" w:lineRule="exact"/>
        <w:ind w:left="0" w:leftChars="0" w:firstLine="0" w:firstLineChars="0"/>
        <w:jc w:val="both"/>
        <w:textAlignment w:val="auto"/>
        <w:rPr>
          <w:rFonts w:hint="eastAsia" w:asciiTheme="majorEastAsia" w:hAnsiTheme="majorEastAsia" w:eastAsiaTheme="majorEastAsia" w:cstheme="majorEastAsia"/>
          <w:b/>
          <w:bCs/>
          <w:color w:val="000000" w:themeColor="text1"/>
          <w:spacing w:val="2240"/>
          <w:w w:val="100"/>
          <w:kern w:val="0"/>
          <w:sz w:val="32"/>
          <w:szCs w:val="32"/>
          <w:highlight w:val="none"/>
          <w:fitText w:val="2560" w:id="252477199"/>
          <w14:textFill>
            <w14:solidFill>
              <w14:schemeClr w14:val="tx1"/>
            </w14:solidFill>
          </w14:textFill>
        </w:rPr>
      </w:pPr>
      <w:r>
        <w:rPr>
          <w:rFonts w:hint="eastAsia" w:asciiTheme="minorHAnsi" w:hAnsiTheme="minorHAnsi" w:eastAsiaTheme="minorEastAsia" w:cstheme="minorBidi"/>
          <w:b/>
          <w:bCs/>
          <w:color w:val="000000" w:themeColor="text1"/>
          <w:sz w:val="32"/>
          <w:szCs w:val="32"/>
          <w:highlight w:val="none"/>
          <w:lang w:val="en-US" w:eastAsia="zh-CN"/>
          <w14:textFill>
            <w14:solidFill>
              <w14:schemeClr w14:val="tx1"/>
            </w14:solidFill>
          </w14:textFill>
        </w:rPr>
        <w:t>乙方       （受托方）  ：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p>
    <w:p w14:paraId="4CE95B07">
      <w:pPr>
        <w:keepNext w:val="0"/>
        <w:keepLines w:val="0"/>
        <w:pageBreakBefore w:val="0"/>
        <w:widowControl w:val="0"/>
        <w:tabs>
          <w:tab w:val="left" w:leader="underscore" w:pos="7140"/>
        </w:tabs>
        <w:kinsoku/>
        <w:wordWrap/>
        <w:overflowPunct/>
        <w:topLinePunct w:val="0"/>
        <w:autoSpaceDE/>
        <w:autoSpaceDN/>
        <w:bidi w:val="0"/>
        <w:adjustRightInd/>
        <w:snapToGrid/>
        <w:spacing w:before="0" w:after="0" w:line="700" w:lineRule="exact"/>
        <w:ind w:left="0" w:leftChars="0" w:firstLine="0" w:firstLineChars="0"/>
        <w:jc w:val="both"/>
        <w:textAlignment w:val="auto"/>
        <w:rPr>
          <w:rFonts w:hint="eastAsia" w:asciiTheme="minorHAnsi" w:hAnsiTheme="minorHAnsi" w:eastAsiaTheme="minorEastAsia" w:cstheme="minorBidi"/>
          <w:b/>
          <w:bCs/>
          <w:color w:val="000000" w:themeColor="text1"/>
          <w:sz w:val="32"/>
          <w:szCs w:val="32"/>
          <w:highlight w:val="none"/>
          <w:lang w:val="en-US" w:eastAsia="zh-CN"/>
          <w14:textFill>
            <w14:solidFill>
              <w14:schemeClr w14:val="tx1"/>
            </w14:solidFill>
          </w14:textFill>
        </w:rPr>
      </w:pPr>
      <w:r>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t>签</w:t>
      </w:r>
      <w:r>
        <w:rPr>
          <w:rFonts w:hint="eastAsia" w:asciiTheme="minorHAnsi" w:hAnsiTheme="minorHAnsi" w:eastAsiaTheme="minorEastAsia" w:cstheme="minorBidi"/>
          <w:b/>
          <w:bCs/>
          <w:color w:val="000000" w:themeColor="text1"/>
          <w:sz w:val="32"/>
          <w:szCs w:val="32"/>
          <w:highlight w:val="none"/>
          <w:lang w:val="en-US" w:eastAsia="zh-CN"/>
          <w14:textFill>
            <w14:solidFill>
              <w14:schemeClr w14:val="tx1"/>
            </w14:solidFill>
          </w14:textFill>
        </w:rPr>
        <w:t xml:space="preserve">  </w:t>
      </w:r>
      <w:r>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t>订</w:t>
      </w:r>
      <w:r>
        <w:rPr>
          <w:rFonts w:hint="eastAsia" w:asciiTheme="minorHAnsi" w:hAnsiTheme="minorHAnsi" w:eastAsiaTheme="minorEastAsia" w:cstheme="minorBidi"/>
          <w:b/>
          <w:bCs/>
          <w:color w:val="000000" w:themeColor="text1"/>
          <w:sz w:val="32"/>
          <w:szCs w:val="32"/>
          <w:highlight w:val="none"/>
          <w:lang w:val="en-US" w:eastAsia="zh-CN"/>
          <w14:textFill>
            <w14:solidFill>
              <w14:schemeClr w14:val="tx1"/>
            </w14:solidFill>
          </w14:textFill>
        </w:rPr>
        <w:t xml:space="preserve">   </w:t>
      </w:r>
      <w:r>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t>地</w:t>
      </w:r>
      <w:r>
        <w:rPr>
          <w:rFonts w:hint="eastAsia" w:asciiTheme="minorHAnsi" w:hAnsiTheme="minorHAnsi" w:eastAsiaTheme="minorEastAsia" w:cstheme="minorBidi"/>
          <w:b/>
          <w:bCs/>
          <w:color w:val="000000" w:themeColor="text1"/>
          <w:sz w:val="32"/>
          <w:szCs w:val="32"/>
          <w:highlight w:val="none"/>
          <w:lang w:val="en-US" w:eastAsia="zh-CN"/>
          <w14:textFill>
            <w14:solidFill>
              <w14:schemeClr w14:val="tx1"/>
            </w14:solidFill>
          </w14:textFill>
        </w:rPr>
        <w:t xml:space="preserve">   </w:t>
      </w:r>
      <w:r>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t>点</w:t>
      </w:r>
      <w:r>
        <w:rPr>
          <w:rFonts w:hint="eastAsia" w:asciiTheme="minorHAnsi" w:hAnsiTheme="minorHAnsi" w:eastAsiaTheme="minorEastAsia" w:cstheme="minorBidi"/>
          <w:b/>
          <w:bCs/>
          <w:color w:val="000000" w:themeColor="text1"/>
          <w:sz w:val="32"/>
          <w:szCs w:val="32"/>
          <w:highlight w:val="none"/>
          <w:lang w:val="en-US" w:eastAsia="zh-CN"/>
          <w14:textFill>
            <w14:solidFill>
              <w14:schemeClr w14:val="tx1"/>
            </w14:solidFill>
          </w14:textFill>
        </w:rPr>
        <w:t xml:space="preserve">       ：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p>
    <w:p w14:paraId="52B9F0B7">
      <w:pPr>
        <w:keepNext w:val="0"/>
        <w:keepLines w:val="0"/>
        <w:pageBreakBefore w:val="0"/>
        <w:widowControl w:val="0"/>
        <w:tabs>
          <w:tab w:val="left" w:leader="underscore" w:pos="7140"/>
        </w:tabs>
        <w:kinsoku/>
        <w:wordWrap/>
        <w:overflowPunct/>
        <w:topLinePunct w:val="0"/>
        <w:autoSpaceDE/>
        <w:autoSpaceDN/>
        <w:bidi w:val="0"/>
        <w:adjustRightInd/>
        <w:snapToGrid/>
        <w:spacing w:before="0" w:after="0" w:line="700" w:lineRule="exact"/>
        <w:ind w:left="0" w:leftChars="0" w:firstLine="0" w:firstLineChars="0"/>
        <w:jc w:val="both"/>
        <w:textAlignment w:val="auto"/>
        <w:rPr>
          <w:rFonts w:hint="eastAsia" w:asciiTheme="majorEastAsia" w:hAnsiTheme="majorEastAsia" w:eastAsiaTheme="majorEastAsia" w:cstheme="majorEastAsia"/>
          <w:b/>
          <w:bCs/>
          <w:color w:val="000000" w:themeColor="text1"/>
          <w:spacing w:val="2240"/>
          <w:w w:val="100"/>
          <w:kern w:val="0"/>
          <w:sz w:val="32"/>
          <w:szCs w:val="32"/>
          <w:highlight w:val="none"/>
          <w:fitText w:val="2560" w:id="252477199"/>
          <w14:textFill>
            <w14:solidFill>
              <w14:schemeClr w14:val="tx1"/>
            </w14:solidFill>
          </w14:textFill>
        </w:rPr>
      </w:pPr>
      <w:r>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t>签</w:t>
      </w:r>
      <w:r>
        <w:rPr>
          <w:rFonts w:hint="eastAsia" w:asciiTheme="minorHAnsi" w:hAnsiTheme="minorHAnsi" w:eastAsiaTheme="minorEastAsia" w:cstheme="minorBidi"/>
          <w:b/>
          <w:bCs/>
          <w:color w:val="000000" w:themeColor="text1"/>
          <w:sz w:val="32"/>
          <w:szCs w:val="32"/>
          <w:highlight w:val="none"/>
          <w:lang w:val="en-US" w:eastAsia="zh-CN"/>
          <w14:textFill>
            <w14:solidFill>
              <w14:schemeClr w14:val="tx1"/>
            </w14:solidFill>
          </w14:textFill>
        </w:rPr>
        <w:t xml:space="preserve">  </w:t>
      </w:r>
      <w:r>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t>订</w:t>
      </w:r>
      <w:r>
        <w:rPr>
          <w:rFonts w:hint="eastAsia" w:asciiTheme="minorHAnsi" w:hAnsiTheme="minorHAnsi" w:eastAsiaTheme="minorEastAsia" w:cstheme="minorBidi"/>
          <w:b/>
          <w:bCs/>
          <w:color w:val="000000" w:themeColor="text1"/>
          <w:sz w:val="32"/>
          <w:szCs w:val="32"/>
          <w:highlight w:val="none"/>
          <w:lang w:val="en-US" w:eastAsia="zh-CN"/>
          <w14:textFill>
            <w14:solidFill>
              <w14:schemeClr w14:val="tx1"/>
            </w14:solidFill>
          </w14:textFill>
        </w:rPr>
        <w:t xml:space="preserve">   </w:t>
      </w:r>
      <w:r>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t>日</w:t>
      </w:r>
      <w:r>
        <w:rPr>
          <w:rFonts w:hint="eastAsia" w:asciiTheme="minorHAnsi" w:hAnsiTheme="minorHAnsi" w:eastAsiaTheme="minorEastAsia" w:cstheme="minorBidi"/>
          <w:b/>
          <w:bCs/>
          <w:color w:val="000000" w:themeColor="text1"/>
          <w:sz w:val="32"/>
          <w:szCs w:val="32"/>
          <w:highlight w:val="none"/>
          <w:lang w:val="en-US" w:eastAsia="zh-CN"/>
          <w14:textFill>
            <w14:solidFill>
              <w14:schemeClr w14:val="tx1"/>
            </w14:solidFill>
          </w14:textFill>
        </w:rPr>
        <w:t xml:space="preserve">   </w:t>
      </w:r>
      <w:r>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t>期</w:t>
      </w:r>
      <w:r>
        <w:rPr>
          <w:rFonts w:hint="eastAsia" w:asciiTheme="minorHAnsi" w:hAnsiTheme="minorHAnsi" w:eastAsiaTheme="minorEastAsia" w:cstheme="minorBidi"/>
          <w:b/>
          <w:bCs/>
          <w:color w:val="000000" w:themeColor="text1"/>
          <w:sz w:val="32"/>
          <w:szCs w:val="32"/>
          <w:highlight w:val="none"/>
          <w:lang w:val="en-US" w:eastAsia="zh-CN"/>
          <w14:textFill>
            <w14:solidFill>
              <w14:schemeClr w14:val="tx1"/>
            </w14:solidFill>
          </w14:textFill>
        </w:rPr>
        <w:t xml:space="preserve">       </w:t>
      </w:r>
      <w:r>
        <w:rPr>
          <w:rFonts w:hint="eastAsia" w:asciiTheme="minorHAnsi" w:hAnsiTheme="minorHAnsi" w:eastAsiaTheme="minorEastAsia" w:cstheme="minorBidi"/>
          <w:b/>
          <w:bCs/>
          <w:color w:val="000000" w:themeColor="text1"/>
          <w:sz w:val="32"/>
          <w:szCs w:val="32"/>
          <w:highlight w:val="non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r>
        <w:rPr>
          <w:rFonts w:hint="eastAsia" w:asciiTheme="majorEastAsia" w:hAnsiTheme="majorEastAsia" w:eastAsiaTheme="majorEastAsia" w:cstheme="majorEastAsia"/>
          <w:b/>
          <w:bCs/>
          <w:color w:val="000000" w:themeColor="text1"/>
          <w:spacing w:val="28"/>
          <w:kern w:val="0"/>
          <w:sz w:val="32"/>
          <w:szCs w:val="3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8"/>
          <w:sz w:val="32"/>
          <w:szCs w:val="32"/>
          <w:highlight w:val="none"/>
          <w:u w:val="single"/>
          <w14:textFill>
            <w14:solidFill>
              <w14:schemeClr w14:val="tx1"/>
            </w14:solidFill>
          </w14:textFill>
        </w:rPr>
        <w:t> </w:t>
      </w:r>
    </w:p>
    <w:p w14:paraId="551036AB">
      <w:pPr>
        <w:widowControl w:val="0"/>
        <w:spacing w:before="0" w:after="0" w:line="240" w:lineRule="auto"/>
        <w:jc w:val="both"/>
        <w:rPr>
          <w:color w:val="000000" w:themeColor="text1"/>
          <w:sz w:val="32"/>
          <w:szCs w:val="32"/>
          <w:highlight w:val="none"/>
          <w14:textFill>
            <w14:solidFill>
              <w14:schemeClr w14:val="tx1"/>
            </w14:solidFill>
          </w14:textFill>
        </w:rPr>
      </w:pPr>
    </w:p>
    <w:p w14:paraId="2D938B7D">
      <w:pPr>
        <w:widowControl w:val="0"/>
        <w:spacing w:before="0" w:after="0"/>
        <w:jc w:val="both"/>
        <w:rPr>
          <w:color w:val="000000" w:themeColor="text1"/>
          <w:sz w:val="32"/>
          <w:szCs w:val="32"/>
          <w:highlight w:val="none"/>
          <w14:textFill>
            <w14:solidFill>
              <w14:schemeClr w14:val="tx1"/>
            </w14:solidFill>
          </w14:textFill>
        </w:rPr>
      </w:pPr>
    </w:p>
    <w:p w14:paraId="4DE2980A">
      <w:pPr>
        <w:widowControl w:val="0"/>
        <w:spacing w:before="0" w:after="0"/>
        <w:jc w:val="both"/>
        <w:rPr>
          <w:color w:val="000000" w:themeColor="text1"/>
          <w:sz w:val="32"/>
          <w:szCs w:val="32"/>
          <w:highlight w:val="none"/>
          <w14:textFill>
            <w14:solidFill>
              <w14:schemeClr w14:val="tx1"/>
            </w14:solidFill>
          </w14:textFill>
        </w:rPr>
      </w:pPr>
    </w:p>
    <w:p w14:paraId="005E737B">
      <w:pPr>
        <w:widowControl w:val="0"/>
        <w:spacing w:before="0" w:after="0"/>
        <w:jc w:val="both"/>
        <w:rPr>
          <w:color w:val="000000" w:themeColor="text1"/>
          <w:sz w:val="32"/>
          <w:szCs w:val="32"/>
          <w:highlight w:val="none"/>
          <w14:textFill>
            <w14:solidFill>
              <w14:schemeClr w14:val="tx1"/>
            </w14:solidFill>
          </w14:textFill>
        </w:rPr>
      </w:pPr>
    </w:p>
    <w:p w14:paraId="78E0AE48">
      <w:pPr>
        <w:widowControl w:val="0"/>
        <w:spacing w:before="0" w:after="0"/>
        <w:jc w:val="both"/>
        <w:rPr>
          <w:rFonts w:ascii="宋体" w:hAnsi="宋体" w:eastAsia="宋体" w:cs="宋体"/>
          <w:color w:val="000000" w:themeColor="text1"/>
          <w:sz w:val="32"/>
          <w:szCs w:val="32"/>
          <w:highlight w:val="none"/>
          <w14:textFill>
            <w14:solidFill>
              <w14:schemeClr w14:val="tx1"/>
            </w14:solidFill>
          </w14:textFill>
        </w:rPr>
      </w:pPr>
      <w:r>
        <w:rPr>
          <w:rFonts w:ascii="宋体" w:hAnsi="宋体" w:eastAsia="宋体" w:cs="宋体"/>
          <w:color w:val="000000" w:themeColor="text1"/>
          <w:sz w:val="32"/>
          <w:szCs w:val="32"/>
          <w:highlight w:val="none"/>
          <w14:textFill>
            <w14:solidFill>
              <w14:schemeClr w14:val="tx1"/>
            </w14:solidFill>
          </w14:textFill>
        </w:rPr>
        <w:t>   </w:t>
      </w:r>
    </w:p>
    <w:p w14:paraId="69132FD4">
      <w:pPr>
        <w:spacing w:before="0" w:after="0" w:line="560" w:lineRule="atLeast"/>
        <w:jc w:val="center"/>
        <w:rPr>
          <w:rFonts w:ascii="楷体" w:hAnsi="楷体" w:eastAsia="楷体" w:cs="楷体"/>
          <w:b/>
          <w:bCs/>
          <w:color w:val="000000" w:themeColor="text1"/>
          <w:sz w:val="36"/>
          <w:szCs w:val="36"/>
          <w:highlight w:val="none"/>
          <w14:textFill>
            <w14:solidFill>
              <w14:schemeClr w14:val="tx1"/>
            </w14:solidFill>
          </w14:textFill>
        </w:rPr>
      </w:pPr>
      <w:r>
        <w:rPr>
          <w:rFonts w:ascii="楷体" w:hAnsi="楷体" w:eastAsia="楷体" w:cs="楷体"/>
          <w:b/>
          <w:bCs/>
          <w:color w:val="000000" w:themeColor="text1"/>
          <w:sz w:val="36"/>
          <w:szCs w:val="36"/>
          <w:highlight w:val="none"/>
          <w14:textFill>
            <w14:solidFill>
              <w14:schemeClr w14:val="tx1"/>
            </w14:solidFill>
          </w14:textFill>
        </w:rPr>
        <w:t>二〇二</w:t>
      </w:r>
      <w:r>
        <w:rPr>
          <w:rFonts w:ascii="楷体" w:hAnsi="楷体" w:eastAsia="楷体" w:cs="楷体"/>
          <w:b/>
          <w:bCs/>
          <w:color w:val="000000" w:themeColor="text1"/>
          <w:sz w:val="36"/>
          <w:szCs w:val="36"/>
          <w:highlight w:val="none"/>
          <w:u w:val="single"/>
          <w14:textFill>
            <w14:solidFill>
              <w14:schemeClr w14:val="tx1"/>
            </w14:solidFill>
          </w14:textFill>
        </w:rPr>
        <w:t>   </w:t>
      </w:r>
      <w:r>
        <w:rPr>
          <w:rFonts w:ascii="楷体" w:hAnsi="楷体" w:eastAsia="楷体" w:cs="楷体"/>
          <w:b/>
          <w:bCs/>
          <w:color w:val="000000" w:themeColor="text1"/>
          <w:sz w:val="36"/>
          <w:szCs w:val="36"/>
          <w:highlight w:val="none"/>
          <w14:textFill>
            <w14:solidFill>
              <w14:schemeClr w14:val="tx1"/>
            </w14:solidFill>
          </w14:textFill>
        </w:rPr>
        <w:t>年</w:t>
      </w:r>
      <w:r>
        <w:rPr>
          <w:rFonts w:ascii="楷体" w:hAnsi="楷体" w:eastAsia="楷体" w:cs="楷体"/>
          <w:b/>
          <w:bCs/>
          <w:color w:val="000000" w:themeColor="text1"/>
          <w:sz w:val="36"/>
          <w:szCs w:val="36"/>
          <w:highlight w:val="none"/>
          <w:u w:val="single"/>
          <w14:textFill>
            <w14:solidFill>
              <w14:schemeClr w14:val="tx1"/>
            </w14:solidFill>
          </w14:textFill>
        </w:rPr>
        <w:t>   </w:t>
      </w:r>
      <w:r>
        <w:rPr>
          <w:rFonts w:ascii="楷体" w:hAnsi="楷体" w:eastAsia="楷体" w:cs="楷体"/>
          <w:b/>
          <w:bCs/>
          <w:color w:val="000000" w:themeColor="text1"/>
          <w:sz w:val="36"/>
          <w:szCs w:val="36"/>
          <w:highlight w:val="none"/>
          <w14:textFill>
            <w14:solidFill>
              <w14:schemeClr w14:val="tx1"/>
            </w14:solidFill>
          </w14:textFill>
        </w:rPr>
        <w:t>月</w:t>
      </w:r>
    </w:p>
    <w:p w14:paraId="67FD3C6F">
      <w:pPr>
        <w:spacing w:before="0" w:after="0" w:line="560" w:lineRule="atLeast"/>
        <w:jc w:val="center"/>
        <w:rPr>
          <w:rFonts w:ascii="楷体" w:hAnsi="楷体" w:eastAsia="楷体" w:cs="楷体"/>
          <w:b/>
          <w:bCs/>
          <w:color w:val="000000" w:themeColor="text1"/>
          <w:sz w:val="36"/>
          <w:szCs w:val="36"/>
          <w:highlight w:val="none"/>
          <w14:textFill>
            <w14:solidFill>
              <w14:schemeClr w14:val="tx1"/>
            </w14:solidFill>
          </w14:textFill>
        </w:rPr>
      </w:pPr>
    </w:p>
    <w:p w14:paraId="49D29F95">
      <w:pPr>
        <w:spacing w:before="0" w:after="0" w:line="560" w:lineRule="atLeast"/>
        <w:jc w:val="center"/>
        <w:rPr>
          <w:rFonts w:ascii="楷体" w:hAnsi="楷体" w:eastAsia="楷体" w:cs="楷体"/>
          <w:b/>
          <w:bCs/>
          <w:color w:val="000000" w:themeColor="text1"/>
          <w:sz w:val="36"/>
          <w:szCs w:val="36"/>
          <w:highlight w:val="none"/>
          <w14:textFill>
            <w14:solidFill>
              <w14:schemeClr w14:val="tx1"/>
            </w14:solidFill>
          </w14:textFill>
        </w:rPr>
      </w:pPr>
    </w:p>
    <w:p w14:paraId="6EC5A599">
      <w:pPr>
        <w:spacing w:before="0" w:after="0" w:line="560" w:lineRule="atLeast"/>
        <w:jc w:val="center"/>
        <w:rPr>
          <w:rFonts w:ascii="楷体" w:hAnsi="楷体" w:eastAsia="楷体" w:cs="楷体"/>
          <w:b/>
          <w:bCs/>
          <w:color w:val="000000" w:themeColor="text1"/>
          <w:sz w:val="36"/>
          <w:szCs w:val="36"/>
          <w:highlight w:val="none"/>
          <w14:textFill>
            <w14:solidFill>
              <w14:schemeClr w14:val="tx1"/>
            </w14:solidFill>
          </w14:textFill>
        </w:rPr>
      </w:pPr>
    </w:p>
    <w:p w14:paraId="061111CC">
      <w:pPr>
        <w:spacing w:before="0" w:after="0" w:line="560" w:lineRule="atLeast"/>
        <w:jc w:val="center"/>
        <w:rPr>
          <w:rFonts w:ascii="楷体" w:hAnsi="楷体" w:eastAsia="楷体" w:cs="楷体"/>
          <w:b/>
          <w:bCs/>
          <w:color w:val="000000" w:themeColor="text1"/>
          <w:sz w:val="36"/>
          <w:szCs w:val="36"/>
          <w:highlight w:val="none"/>
          <w14:textFill>
            <w14:solidFill>
              <w14:schemeClr w14:val="tx1"/>
            </w14:solidFill>
          </w14:textFill>
        </w:rPr>
      </w:pPr>
    </w:p>
    <w:p w14:paraId="34AAAE7C">
      <w:pPr>
        <w:spacing w:before="0" w:after="0" w:line="560" w:lineRule="atLeast"/>
        <w:jc w:val="center"/>
        <w:rPr>
          <w:rFonts w:ascii="楷体" w:hAnsi="楷体" w:eastAsia="楷体" w:cs="楷体"/>
          <w:b/>
          <w:bCs/>
          <w:color w:val="000000" w:themeColor="text1"/>
          <w:sz w:val="36"/>
          <w:szCs w:val="36"/>
          <w:highlight w:val="none"/>
          <w14:textFill>
            <w14:solidFill>
              <w14:schemeClr w14:val="tx1"/>
            </w14:solidFill>
          </w14:textFill>
        </w:rPr>
      </w:pPr>
    </w:p>
    <w:p w14:paraId="20E14ADD">
      <w:pPr>
        <w:spacing w:before="0" w:after="0" w:line="560" w:lineRule="atLeast"/>
        <w:jc w:val="center"/>
        <w:rPr>
          <w:rFonts w:ascii="楷体" w:hAnsi="楷体" w:eastAsia="楷体" w:cs="楷体"/>
          <w:b/>
          <w:bCs/>
          <w:color w:val="000000" w:themeColor="text1"/>
          <w:sz w:val="36"/>
          <w:szCs w:val="36"/>
          <w:highlight w:val="none"/>
          <w14:textFill>
            <w14:solidFill>
              <w14:schemeClr w14:val="tx1"/>
            </w14:solidFill>
          </w14:textFill>
        </w:rPr>
      </w:pPr>
    </w:p>
    <w:p w14:paraId="6616B2F8">
      <w:pPr>
        <w:spacing w:before="0" w:after="0" w:line="560" w:lineRule="atLeast"/>
        <w:jc w:val="center"/>
        <w:rPr>
          <w:color w:val="000000" w:themeColor="text1"/>
          <w:highlight w:val="none"/>
          <w14:textFill>
            <w14:solidFill>
              <w14:schemeClr w14:val="tx1"/>
            </w14:solidFill>
          </w14:textFill>
        </w:rPr>
      </w:pPr>
      <w:r>
        <w:rPr>
          <w:rFonts w:ascii="楷体" w:hAnsi="楷体" w:eastAsia="楷体" w:cs="楷体"/>
          <w:b/>
          <w:bCs/>
          <w:color w:val="000000" w:themeColor="text1"/>
          <w:sz w:val="36"/>
          <w:szCs w:val="36"/>
          <w:highlight w:val="none"/>
          <w14:textFill>
            <w14:solidFill>
              <w14:schemeClr w14:val="tx1"/>
            </w14:solidFill>
          </w14:textFill>
        </w:rPr>
        <w:t>技术服务合同</w:t>
      </w:r>
    </w:p>
    <w:p w14:paraId="0EF39DB5">
      <w:pPr>
        <w:widowControl w:val="0"/>
        <w:spacing w:before="0" w:after="0"/>
        <w:jc w:val="both"/>
        <w:rPr>
          <w:color w:val="000000" w:themeColor="text1"/>
          <w:sz w:val="56"/>
          <w:szCs w:val="56"/>
          <w:highlight w:val="none"/>
          <w14:textFill>
            <w14:solidFill>
              <w14:schemeClr w14:val="tx1"/>
            </w14:solidFill>
          </w14:textFill>
        </w:rPr>
      </w:pPr>
    </w:p>
    <w:p w14:paraId="3AF1FFF0">
      <w:pPr>
        <w:widowControl w:val="0"/>
        <w:spacing w:before="0" w:after="0"/>
        <w:jc w:val="center"/>
        <w:rPr>
          <w:color w:val="000000" w:themeColor="text1"/>
          <w:sz w:val="21"/>
          <w:szCs w:val="21"/>
          <w:highlight w:val="none"/>
          <w14:textFill>
            <w14:solidFill>
              <w14:schemeClr w14:val="tx1"/>
            </w14:solidFill>
          </w14:textFill>
        </w:rPr>
      </w:pPr>
    </w:p>
    <w:p w14:paraId="6B66B4D4">
      <w:pPr>
        <w:widowControl w:val="0"/>
        <w:spacing w:before="0" w:after="0"/>
        <w:jc w:val="center"/>
        <w:rPr>
          <w:color w:val="000000" w:themeColor="text1"/>
          <w:sz w:val="32"/>
          <w:szCs w:val="32"/>
          <w:highlight w:val="none"/>
          <w14:textFill>
            <w14:solidFill>
              <w14:schemeClr w14:val="tx1"/>
            </w14:solidFill>
          </w14:textFill>
        </w:rPr>
      </w:pPr>
      <w:r>
        <w:rPr>
          <w:rFonts w:ascii="宋体" w:hAnsi="宋体" w:eastAsia="宋体" w:cs="宋体"/>
          <w:color w:val="000000" w:themeColor="text1"/>
          <w:sz w:val="32"/>
          <w:szCs w:val="32"/>
          <w:highlight w:val="none"/>
          <w14:textFill>
            <w14:solidFill>
              <w14:schemeClr w14:val="tx1"/>
            </w14:solidFill>
          </w14:textFill>
        </w:rPr>
        <w:t>见证取样委托合同</w:t>
      </w:r>
    </w:p>
    <w:p w14:paraId="62844781">
      <w:pPr>
        <w:widowControl w:val="0"/>
        <w:spacing w:before="0" w:after="0"/>
        <w:ind w:firstLine="3200"/>
        <w:jc w:val="both"/>
        <w:rPr>
          <w:color w:val="000000" w:themeColor="text1"/>
          <w:sz w:val="20"/>
          <w:szCs w:val="20"/>
          <w:highlight w:val="none"/>
          <w14:textFill>
            <w14:solidFill>
              <w14:schemeClr w14:val="tx1"/>
            </w14:solidFill>
          </w14:textFill>
        </w:rPr>
      </w:pPr>
    </w:p>
    <w:p w14:paraId="51A1934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甲方：</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p>
    <w:p w14:paraId="2912901C">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w:t>
      </w:r>
      <w:r>
        <w:rPr>
          <w:rFonts w:hint="eastAsia" w:ascii="宋体" w:hAnsi="宋体" w:eastAsia="宋体" w:cs="宋体"/>
          <w:b/>
          <w:bCs/>
          <w:color w:val="000000" w:themeColor="text1"/>
          <w:sz w:val="24"/>
          <w:szCs w:val="24"/>
          <w:highlight w:val="none"/>
          <w14:textFill>
            <w14:solidFill>
              <w14:schemeClr w14:val="tx1"/>
            </w14:solidFill>
          </w14:textFill>
        </w:rPr>
        <w:t>方：</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63758FFC">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第一条： 总则</w:t>
      </w:r>
    </w:p>
    <w:p w14:paraId="0B7FA61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F06C"/>
      </w:r>
      <w:r>
        <w:rPr>
          <w:rFonts w:hint="eastAsia" w:ascii="宋体" w:hAnsi="宋体" w:eastAsia="宋体" w:cs="宋体"/>
          <w:color w:val="000000" w:themeColor="text1"/>
          <w:sz w:val="24"/>
          <w:szCs w:val="24"/>
          <w:highlight w:val="none"/>
          <w14:textFill>
            <w14:solidFill>
              <w14:schemeClr w14:val="tx1"/>
            </w14:solidFill>
          </w14:textFill>
        </w:rPr>
        <w:t> 本合同甲方委托乙方对伊吾县淖毛湖镇克尔赛村换热站进行建设工程见证取样（材料）检测的专项服务。根据《中华人民共和国民法典》及国家有关法规，结合该工程的具体情况，为明确责任，协作配合做好该工程的检测工作，并支付相应的技术服务报酬，经双方协</w:t>
      </w:r>
    </w:p>
    <w:p w14:paraId="0481CDC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商，达成如下协议，并由双方共同遵守。</w:t>
      </w:r>
    </w:p>
    <w:p w14:paraId="7ECAE5DF">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第二条： 工程概况</w:t>
      </w:r>
    </w:p>
    <w:p w14:paraId="320F400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工程名称：</w:t>
      </w:r>
      <w:r>
        <w:rPr>
          <w:rFonts w:hint="eastAsia" w:ascii="宋体" w:hAnsi="宋体" w:eastAsia="宋体" w:cs="宋体"/>
          <w:b w:val="0"/>
          <w:bCs w:val="0"/>
          <w:color w:val="000000" w:themeColor="text1"/>
          <w:sz w:val="24"/>
          <w:szCs w:val="24"/>
          <w:highlight w:val="none"/>
          <w:u w:val="thick"/>
          <w14:textFill>
            <w14:solidFill>
              <w14:schemeClr w14:val="tx1"/>
            </w14:solidFill>
          </w14:textFill>
        </w:rPr>
        <w:t>                </w:t>
      </w:r>
    </w:p>
    <w:p w14:paraId="0739D3B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2、建设单位：</w:t>
      </w:r>
      <w:r>
        <w:rPr>
          <w:rFonts w:hint="eastAsia" w:ascii="宋体" w:hAnsi="宋体" w:eastAsia="宋体" w:cs="宋体"/>
          <w:b w:val="0"/>
          <w:bCs w:val="0"/>
          <w:color w:val="000000" w:themeColor="text1"/>
          <w:sz w:val="24"/>
          <w:szCs w:val="24"/>
          <w:highlight w:val="none"/>
          <w:u w:val="thick"/>
          <w14:textFill>
            <w14:solidFill>
              <w14:schemeClr w14:val="tx1"/>
            </w14:solidFill>
          </w14:textFill>
        </w:rPr>
        <w:t>         </w:t>
      </w:r>
      <w:r>
        <w:rPr>
          <w:rFonts w:hint="eastAsia" w:ascii="宋体" w:hAnsi="宋体" w:cs="宋体"/>
          <w:b w:val="0"/>
          <w:bCs w:val="0"/>
          <w:color w:val="000000" w:themeColor="text1"/>
          <w:sz w:val="24"/>
          <w:szCs w:val="24"/>
          <w:highlight w:val="none"/>
          <w:u w:val="thick"/>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thick"/>
          <w14:textFill>
            <w14:solidFill>
              <w14:schemeClr w14:val="tx1"/>
            </w14:solidFill>
          </w14:textFill>
        </w:rPr>
        <w:t>  </w:t>
      </w:r>
    </w:p>
    <w:p w14:paraId="0B32D65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3、监理单位：</w:t>
      </w:r>
      <w:r>
        <w:rPr>
          <w:rFonts w:hint="eastAsia" w:ascii="宋体" w:hAnsi="宋体" w:eastAsia="宋体" w:cs="宋体"/>
          <w:b w:val="0"/>
          <w:bCs w:val="0"/>
          <w:color w:val="000000" w:themeColor="text1"/>
          <w:sz w:val="24"/>
          <w:szCs w:val="24"/>
          <w:highlight w:val="none"/>
          <w:u w:val="thick"/>
          <w14:textFill>
            <w14:solidFill>
              <w14:schemeClr w14:val="tx1"/>
            </w14:solidFill>
          </w14:textFill>
        </w:rPr>
        <w:t>                </w:t>
      </w:r>
      <w:r>
        <w:rPr>
          <w:rFonts w:hint="eastAsia" w:ascii="宋体" w:hAnsi="宋体" w:eastAsia="宋体" w:cs="宋体"/>
          <w:b w:val="0"/>
          <w:bCs w:val="0"/>
          <w:color w:val="000000" w:themeColor="text1"/>
          <w:sz w:val="24"/>
          <w:szCs w:val="24"/>
          <w:highlight w:val="none"/>
          <w14:textFill>
            <w14:solidFill>
              <w14:schemeClr w14:val="tx1"/>
            </w14:solidFill>
          </w14:textFill>
        </w:rPr>
        <w:t>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2EF470C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4、施工单位：</w:t>
      </w:r>
      <w:r>
        <w:rPr>
          <w:rFonts w:hint="eastAsia" w:ascii="宋体" w:hAnsi="宋体" w:eastAsia="宋体" w:cs="宋体"/>
          <w:b w:val="0"/>
          <w:bCs w:val="0"/>
          <w:color w:val="000000" w:themeColor="text1"/>
          <w:sz w:val="24"/>
          <w:szCs w:val="24"/>
          <w:highlight w:val="none"/>
          <w:u w:val="thick"/>
          <w14:textFill>
            <w14:solidFill>
              <w14:schemeClr w14:val="tx1"/>
            </w14:solidFill>
          </w14:textFill>
        </w:rPr>
        <w:t>     </w:t>
      </w:r>
      <w:r>
        <w:rPr>
          <w:rFonts w:hint="eastAsia" w:ascii="宋体" w:hAnsi="宋体" w:cs="宋体"/>
          <w:b w:val="0"/>
          <w:bCs w:val="0"/>
          <w:color w:val="000000" w:themeColor="text1"/>
          <w:sz w:val="24"/>
          <w:szCs w:val="24"/>
          <w:highlight w:val="none"/>
          <w:u w:val="thick"/>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thick"/>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w:t>
      </w:r>
    </w:p>
    <w:p w14:paraId="79D3C4C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、工程地点：</w:t>
      </w:r>
      <w:r>
        <w:rPr>
          <w:rFonts w:hint="eastAsia" w:ascii="宋体" w:hAnsi="宋体" w:eastAsia="宋体" w:cs="宋体"/>
          <w:b w:val="0"/>
          <w:bCs w:val="0"/>
          <w:color w:val="000000" w:themeColor="text1"/>
          <w:sz w:val="24"/>
          <w:szCs w:val="24"/>
          <w:highlight w:val="none"/>
          <w:u w:val="thick"/>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建筑面积：</w:t>
      </w:r>
      <w:r>
        <w:rPr>
          <w:rFonts w:hint="eastAsia" w:ascii="宋体" w:hAnsi="宋体" w:eastAsia="宋体" w:cs="宋体"/>
          <w:b w:val="0"/>
          <w:bCs w:val="0"/>
          <w:color w:val="000000" w:themeColor="text1"/>
          <w:sz w:val="24"/>
          <w:szCs w:val="24"/>
          <w:highlight w:val="none"/>
          <w:u w:val="thick"/>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结构类型：</w:t>
      </w:r>
      <w:r>
        <w:rPr>
          <w:rFonts w:hint="eastAsia" w:ascii="宋体" w:hAnsi="宋体" w:eastAsia="宋体" w:cs="宋体"/>
          <w:b w:val="0"/>
          <w:bCs w:val="0"/>
          <w:color w:val="000000" w:themeColor="text1"/>
          <w:sz w:val="24"/>
          <w:szCs w:val="24"/>
          <w:highlight w:val="none"/>
          <w:u w:val="thick"/>
          <w14:textFill>
            <w14:solidFill>
              <w14:schemeClr w14:val="tx1"/>
            </w14:solidFill>
          </w14:textFill>
        </w:rPr>
        <w:t>          </w:t>
      </w:r>
    </w:p>
    <w:p w14:paraId="3F45990E">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第三条： 服务内容、方式和要求</w:t>
      </w:r>
    </w:p>
    <w:p w14:paraId="6A0C1D8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根据国家现行政策及工程验收规范，对建筑工程质量及材料进行检测。具体检测内容包括但不限于：材料强度检测、防水性能检测等。检测要求应符合《建设工程质量检测管理办法》等相关规定。</w:t>
      </w:r>
    </w:p>
    <w:p w14:paraId="2E046C4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1、检测方式：见证取样。</w:t>
      </w:r>
    </w:p>
    <w:p w14:paraId="0433E9B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2、检测地点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施工现场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和实验室</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6C96625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3、本合同（协议）有效期限：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本合同服务期限自______年______月______日起至______年______月______日止；或自本工程首次见证取样开始，至本工程所有委托范围内的材料检测工作全部完成、乙方出具全部合格检测报告并交付甲方之日止。</w:t>
      </w:r>
    </w:p>
    <w:p w14:paraId="66ABFA9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3CC679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4、乙方检测人员应具有相应资质，出具的报告具有法律效力。</w:t>
      </w:r>
    </w:p>
    <w:p w14:paraId="40F85D2F">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乙方必须提交检测人员的资质证明，以确保其有能力进行相关检测服务。</w:t>
      </w:r>
    </w:p>
    <w:p w14:paraId="2118CAA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乙方服务团队中的核心人员若需变更，须经甲方书面同意，且不得影响服务质量和期限。</w:t>
      </w:r>
    </w:p>
    <w:p w14:paraId="3344904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5、检测委托：甲方按乙方办理见证取样检测的要求，需向乙方提供检测所需的相关材料，填写《检测委托单》，并经该工程监理人员签字盖章确认。               </w:t>
      </w:r>
    </w:p>
    <w:p w14:paraId="6BAB572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6、乙方依据填写完整的《检测委托单》接收样品，再进行现场核对待检样品，甲方应负责样品的取样，样品应符合乙方的取样要求，并经由监理单位进行见证。经核对无误后，由乙方进行检测。</w:t>
      </w:r>
    </w:p>
    <w:p w14:paraId="7F41A3F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7、检测项目：（特殊检测项目另行计算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地基承载力、空气检测、钢结构检测、不合格复检及回弹等）</w:t>
      </w:r>
    </w:p>
    <w:p w14:paraId="254E3A47">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第四条： 费用及支付方式</w:t>
      </w:r>
    </w:p>
    <w:p w14:paraId="3DEF8D8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1、检测费用：</w:t>
      </w:r>
      <w:r>
        <w:rPr>
          <w:rFonts w:hint="eastAsia" w:ascii="宋体" w:hAnsi="宋体" w:eastAsia="宋体" w:cs="宋体"/>
          <w:color w:val="000000" w:themeColor="text1"/>
          <w:sz w:val="24"/>
          <w:szCs w:val="24"/>
          <w:highlight w:val="none"/>
          <w:lang w:val="en-US" w:eastAsia="zh-CN"/>
          <w14:textFill>
            <w14:solidFill>
              <w14:schemeClr w14:val="tx1"/>
            </w14:solidFill>
          </w14:textFill>
        </w:rPr>
        <w:t>若采用固定总价：本合同检测服务费总金额为人民币______元（大写：________________________元整），该总价已包含乙方完成本合同约定全部检测服务所需的人工费、材料费、检测费、设备使用费、报告编制费、税费、运输费及所有相关费用，除本合同另有约定外，甲方无需额外支付任何费用。</w:t>
      </w:r>
    </w:p>
    <w:p w14:paraId="0FDF4FD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2、支付方式：合同签订后</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个工作日内，甲方向乙方支付总金额的50%；工程主体完工且乙方出具全部检测报告通过</w:t>
      </w:r>
      <w:r>
        <w:rPr>
          <w:rFonts w:hint="eastAsia" w:ascii="宋体" w:hAnsi="宋体" w:cs="宋体"/>
          <w:color w:val="000000" w:themeColor="text1"/>
          <w:sz w:val="24"/>
          <w:szCs w:val="24"/>
          <w:highlight w:val="none"/>
          <w:lang w:val="en-US" w:eastAsia="zh-CN"/>
          <w14:textFill>
            <w14:solidFill>
              <w14:schemeClr w14:val="tx1"/>
            </w14:solidFill>
          </w14:textFill>
        </w:rPr>
        <w:t>竣工</w:t>
      </w:r>
      <w:r>
        <w:rPr>
          <w:rFonts w:hint="eastAsia" w:ascii="宋体" w:hAnsi="宋体" w:eastAsia="宋体" w:cs="宋体"/>
          <w:color w:val="000000" w:themeColor="text1"/>
          <w:sz w:val="24"/>
          <w:szCs w:val="24"/>
          <w:highlight w:val="none"/>
          <w14:textFill>
            <w14:solidFill>
              <w14:schemeClr w14:val="tx1"/>
            </w14:solidFill>
          </w14:textFill>
        </w:rPr>
        <w:t>验收后15个工作日内，甲方支付剩余总金额的50%。</w:t>
      </w:r>
    </w:p>
    <w:p w14:paraId="10CEE49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乙方指定以下指定账户：</w:t>
      </w:r>
    </w:p>
    <w:p w14:paraId="34D4F24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开户银行：________________________</w:t>
      </w:r>
    </w:p>
    <w:p w14:paraId="2F79BD9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银行账号：________________________</w:t>
      </w:r>
    </w:p>
    <w:p w14:paraId="23BDF47F">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户名：________________________</w:t>
      </w:r>
    </w:p>
    <w:p w14:paraId="4BFBFAE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 乙方应在甲方付款前______个工作日内，向甲方开具合法、有效的等额增值税发票，发票类型为______，若乙方未按约定提供发票，甲方有权顺延付款，且不承担逾期付款责任。</w:t>
      </w:r>
    </w:p>
    <w:p w14:paraId="325F071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518A96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第五条：甲方的权利和义务</w:t>
      </w:r>
    </w:p>
    <w:p w14:paraId="7C3D35E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1、甲方必须按乙方业务程序办理委托检测手续，提前2天提交有关技术资料作为检验依据场地应具备检测条件，保证检测工作正常进行。</w:t>
      </w:r>
    </w:p>
    <w:p w14:paraId="4C0887C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2、甲方应指定专人负责该项目的协调工作并向乙方提供必备的施工条件。</w:t>
      </w:r>
    </w:p>
    <w:p w14:paraId="7070E78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3、甲方在合同有效期内，若发现乙方检测人员有违反有关法律法规的现象，甲方应立即通知乙方负责人，乙方检测单位将积极采取措施。</w:t>
      </w:r>
    </w:p>
    <w:p w14:paraId="57ADB7E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4、在检测过程中，若由甲方违规而损坏乙方设备的，甲方必须按设备价值的100%赔偿。由甲方违规操作造成的人员伤亡事故和安全责任事故及一切经济损失由甲方承担。</w:t>
      </w:r>
    </w:p>
    <w:p w14:paraId="05C21E2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5、乙方未按时提供认证报告的，甲方有权要求其承担违约金。甲方在合同有效期内，按双方合同规定的收费标准按约定支付乙方检测费用，甲方未按时支付检测费用，乙方有权利不提交检测报告。</w:t>
      </w:r>
    </w:p>
    <w:p w14:paraId="403BDF3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6、有权对乙方的检测工作过程、检测操作规范性、检测数据真实性进行监督、检查，有权要求乙方解释检测流程及检测结果。</w:t>
      </w:r>
    </w:p>
    <w:p w14:paraId="305D005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7F4F6BA">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第六条： 乙方的权利和义务</w:t>
      </w:r>
    </w:p>
    <w:p w14:paraId="07BCE13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.本合同履行过程中产生的所有检测数据、报告及其他技术成果的知识产权永久归甲方所有，乙方未经书面批准不得使用或发布。未经甲方书面同意，乙方不得将上述资料用于本合同以外的其他用途。</w:t>
      </w:r>
    </w:p>
    <w:p w14:paraId="31700FD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、服从甲方管理人员的组织、协调、按甲方要求组织施工。</w:t>
      </w:r>
    </w:p>
    <w:p w14:paraId="210D78B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、在施工过程中，必须按甲方要求做好环境保护工作。若损坏甲方设施必须100%赔偿。由乙方违章造成的人员伤亡事故和安全责任事故及一切经济损失由乙方全部承担。</w:t>
      </w:r>
    </w:p>
    <w:p w14:paraId="1A6E274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乙方提交的所有检测报告及相关资料的所有权归甲方所有。甲方有权为本项目之目的使用、复制这些报告和资料，但不得用于其他商业用途。</w:t>
      </w:r>
    </w:p>
    <w:p w14:paraId="6E51837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、甲方未按要求按时支付检测费，乙方有权利不提交检测报告。</w:t>
      </w:r>
    </w:p>
    <w:p w14:paraId="07B1724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按时到场完成见证取样、封样工作，妥善保管取样样品，及时开展检测工作，按时出具检测报告，检测报告应加盖乙方检测专用章及相关人员签字，确保报告的合法性、有效性，一式______份，甲方执______份，乙方执______份，监理单位执______份（如有）。</w:t>
      </w:r>
    </w:p>
    <w:p w14:paraId="3C3B526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7、若检测结果不合格，应在______个工作日内书面告知甲方及监理单位，并提供相应的检测数据及说明，协助甲方分析不合格原因，提出合理的整改建议。</w:t>
      </w:r>
    </w:p>
    <w:p w14:paraId="1F6CE47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8、负责检测过程中的样品运输、保管工作，承担样品在运输、保管过程中的损坏、丢失责任，若因乙方原因导致样品损坏、丢失，需重新取样检测，产生的额外费用由乙方承担，且需按时完成重新检测工作。</w:t>
      </w:r>
    </w:p>
    <w:p w14:paraId="41C403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9、对本工程的检测数据、检测报告及甲方提供的相关技术资料承担保密义务，不得向第三方泄露（法律法规要求披露、相关部门检查需要除外），保密义务期限自本合同签订之日起至本工程竣工验收合格后5年。</w:t>
      </w:r>
    </w:p>
    <w:p w14:paraId="61A2CF38">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4850772">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第七条</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保密义务</w:t>
      </w:r>
    </w:p>
    <w:p w14:paraId="5B4D378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乙方应对在履行本合同过程中获知的甲方的商业秘密、技术信息等保密信息负有保密义务。</w:t>
      </w:r>
      <w:r>
        <w:rPr>
          <w:rFonts w:hint="eastAsia" w:ascii="宋体" w:hAnsi="宋体" w:eastAsia="宋体" w:cs="宋体"/>
          <w:color w:val="000000" w:themeColor="text1"/>
          <w:sz w:val="24"/>
          <w:szCs w:val="24"/>
          <w:highlight w:val="none"/>
          <w:lang w:val="en-US" w:eastAsia="zh-CN"/>
          <w14:textFill>
            <w14:solidFill>
              <w14:schemeClr w14:val="tx1"/>
            </w14:solidFill>
          </w14:textFill>
        </w:rPr>
        <w:t>保密期限为合同终止后三年或相关信息被依法公开之日，以较早者为准。</w:t>
      </w:r>
    </w:p>
    <w:p w14:paraId="1828420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2、乙方违反保密义务的，应赔偿甲方因此遭受的全部损失，并支付合同总金额20%的违约金。</w:t>
      </w:r>
    </w:p>
    <w:p w14:paraId="7219EAD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、合同履行期间，乙方所获得的一切资料属甲方所有，乙方有保密义务。未经甲方同意，乙方不得泄露。</w:t>
      </w:r>
    </w:p>
    <w:p w14:paraId="007BA45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、对于双方的商业秘密及约定的检测测试方法，双方互负保密义务，未经对方书面同意，不得以任何方式泄露。</w:t>
      </w:r>
    </w:p>
    <w:p w14:paraId="3FCB83CF">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本合同的终止不影响条款中规定的保密和知识产权条款的效力，合同整体终止需经双方同意并以书面形式确认。保密义务的期限为本合同终止后5年。</w:t>
      </w:r>
    </w:p>
    <w:p w14:paraId="5DD1BDD6">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第八条</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违约责任</w:t>
      </w:r>
    </w:p>
    <w:p w14:paraId="00F3618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乙方未按约定时间提交检测报告的，每逾期一日，应按合同总金额的0.5%向甲方支付违约金，累计违约金不影响甲方对其余损失的30%追偿权。逾期超过30日的，甲方有权单方面解除合同，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乙方应退还甲方已支付的全部服务费，并承担合同总金额30%的违约金，若给甲方造成额外损失的，乙方应另行赔偿。</w:t>
      </w:r>
    </w:p>
    <w:p w14:paraId="06C5915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乙方提供的检测报告存在重大错误或遗漏的，应无偿重新检测并出具报告。因此给甲方造成损失的，乙方应承担赔偿责任。并承担违约责任，违约金为合同金额的30%</w:t>
      </w:r>
    </w:p>
    <w:p w14:paraId="4F28098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、甲方工程进展过程中，如果因乙方过失而造成损失或影响工期，乙方应赔偿造成的所有损失。如果因甲方过失而造成损失或影响工期，甲方应赔偿造成的所有损失。</w:t>
      </w:r>
    </w:p>
    <w:p w14:paraId="7E684E9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、乙方未按时提供认证报告的，应承担实际结算金额0.2%/天收取滞纳金（上限至检测费的200%）</w:t>
      </w:r>
    </w:p>
    <w:p w14:paraId="168A051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乙方检测过程中弄虚作假、篡改检测数据，或出具虚假检测报告的，甲方有权解除本合同，乙方应退还甲方已支付的全部服务费，并承担合同总金额30%的违约金，若给甲方造成工程质量隐患、经济损失或行政处罚的，乙方应承担全部赔偿责任，情节严重的，甲方有权追究乙方的法律责任。</w:t>
      </w:r>
    </w:p>
    <w:p w14:paraId="580AAD4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乙方未按规范要求完成见证取样、封样全过程，导致样品失效、检测结果不具备代表性或被相关部门认定为违规检测的，乙方应承担全部重新取样及检测费用，向甲方支付合同总金额30%的违约金，若因此导致工程停工、验收延误或行政处罚的，乙方应赔偿甲方由此造成的全部直接及合理间接损失。</w:t>
      </w:r>
    </w:p>
    <w:p w14:paraId="74FB3E6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乙方出具的检测报告存在遗漏、数据错误（非故意篡改），且未在甲方提出异议后按约定整改完善的，应向甲方支付合同总金额10‰的违约金，若该错误导致甲方误判材料质量、影响工程进度的，乙方应承担相应的赔偿责任，同时无偿重新出具合格检测报告。</w:t>
      </w:r>
    </w:p>
    <w:p w14:paraId="0EC1478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乙方擅自变更检测标准、检测方法，或超出本合同约定范围开展检测并擅自收取费用的，甲方有权拒付该部分额外费用，乙方应退还已收取的不合理费用，若因此导致检测结果无效或工程质量隐患的，乙方应承担全部赔偿责任。</w:t>
      </w:r>
    </w:p>
    <w:p w14:paraId="2F8D1B4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、发生其他违约行为，违约方应赔偿由此给对方造成的损失。如属双方责任，应各自承担相应责任。</w:t>
      </w:r>
    </w:p>
    <w:p w14:paraId="3B8F5F76">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第九条： 不可抗力</w:t>
      </w:r>
    </w:p>
    <w:p w14:paraId="2210AD6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下列事件可认为是不可抗力事件：战争、动乱、地震、飓风、洪水等不能预见、不能避免并不能克服的客观情况；</w:t>
      </w:r>
    </w:p>
    <w:p w14:paraId="3F58C5E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由于不可抗力事件致使一方当事人不能履行本合同的，受不可抗力影响方应立即以书面形式通知另一方当事人，采取积极措施减少不可抗力造成的损失，并在不可抗力发生后  7 日内向另一方当事人提供发生不可抗力的证明。</w:t>
      </w:r>
    </w:p>
    <w:p w14:paraId="4FD0819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14:paraId="45B5B4B7">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第十条：合同的生效、变更、终止</w:t>
      </w:r>
    </w:p>
    <w:p w14:paraId="0CEBF150">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如乙方出现下列情形之一，甲方有权单方面解除合同：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乙方丧失相关资质；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乙方违反廉政协议；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乙方严重违约且经甲方催告后仍未改正。合同解除后，乙方应退还甲方已支付的费用，并赔偿由此给甲方造成的损失。</w:t>
      </w:r>
    </w:p>
    <w:p w14:paraId="355FF31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若乙方存在重大违约行为，包括但不限于多次延误提供报告、检测结果出现重大错误等情况，甲方有权单方面解除合同，退回已支付</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费用，并要求乙方赔偿由此造成的损失。</w:t>
      </w:r>
    </w:p>
    <w:p w14:paraId="56A683F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本合同条款的任何修改、变更或增减，须经双方协商同意后授权代表签署书面文件，作为本合同的组成部分并具有等同效力。</w:t>
      </w:r>
    </w:p>
    <w:p w14:paraId="578CD44F">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本合同未尽事宜，双方可签订补充协议作为附件，补充协议与本合同具有同等效力。若协商不成由合同签订地人民法院解决。</w:t>
      </w:r>
    </w:p>
    <w:p w14:paraId="53D1113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本合同一式 </w:t>
      </w:r>
      <w:r>
        <w:rPr>
          <w:rFonts w:hint="eastAsia" w:ascii="宋体" w:hAnsi="宋体" w:eastAsia="宋体" w:cs="宋体"/>
          <w:color w:val="000000" w:themeColor="text1"/>
          <w:sz w:val="24"/>
          <w:szCs w:val="24"/>
          <w:highlight w:val="none"/>
          <w:lang w:val="en-US" w:eastAsia="zh-CN"/>
          <w14:textFill>
            <w14:solidFill>
              <w14:schemeClr w14:val="tx1"/>
            </w14:solidFill>
          </w14:textFill>
        </w:rPr>
        <w:t>陆</w:t>
      </w:r>
      <w:r>
        <w:rPr>
          <w:rFonts w:hint="eastAsia" w:ascii="宋体" w:hAnsi="宋体" w:eastAsia="宋体" w:cs="宋体"/>
          <w:color w:val="000000" w:themeColor="text1"/>
          <w:sz w:val="24"/>
          <w:szCs w:val="24"/>
          <w:highlight w:val="none"/>
          <w14:textFill>
            <w14:solidFill>
              <w14:schemeClr w14:val="tx1"/>
            </w14:solidFill>
          </w14:textFill>
        </w:rPr>
        <w:t> 份，甲方持</w:t>
      </w:r>
      <w:r>
        <w:rPr>
          <w:rFonts w:hint="eastAsia" w:ascii="宋体" w:hAnsi="宋体" w:eastAsia="宋体" w:cs="宋体"/>
          <w:color w:val="000000" w:themeColor="text1"/>
          <w:sz w:val="24"/>
          <w:szCs w:val="24"/>
          <w:highlight w:val="none"/>
          <w:lang w:val="en-US" w:eastAsia="zh-CN"/>
          <w14:textFill>
            <w14:solidFill>
              <w14:schemeClr w14:val="tx1"/>
            </w14:solidFill>
          </w14:textFill>
        </w:rPr>
        <w:t>肆</w:t>
      </w:r>
      <w:r>
        <w:rPr>
          <w:rFonts w:hint="eastAsia" w:ascii="宋体" w:hAnsi="宋体" w:eastAsia="宋体" w:cs="宋体"/>
          <w:color w:val="000000" w:themeColor="text1"/>
          <w:sz w:val="24"/>
          <w:szCs w:val="24"/>
          <w:highlight w:val="none"/>
          <w14:textFill>
            <w14:solidFill>
              <w14:schemeClr w14:val="tx1"/>
            </w14:solidFill>
          </w14:textFill>
        </w:rPr>
        <w:t>份，乙方持</w:t>
      </w:r>
      <w:r>
        <w:rPr>
          <w:rFonts w:hint="eastAsia" w:ascii="宋体" w:hAnsi="宋体" w:eastAsia="宋体" w:cs="宋体"/>
          <w:color w:val="000000" w:themeColor="text1"/>
          <w:sz w:val="24"/>
          <w:szCs w:val="24"/>
          <w:highlight w:val="none"/>
          <w:lang w:val="en-US" w:eastAsia="zh-CN"/>
          <w14:textFill>
            <w14:solidFill>
              <w14:schemeClr w14:val="tx1"/>
            </w14:solidFill>
          </w14:textFill>
        </w:rPr>
        <w:t>贰</w:t>
      </w:r>
      <w:r>
        <w:rPr>
          <w:rFonts w:hint="eastAsia" w:ascii="宋体" w:hAnsi="宋体" w:eastAsia="宋体" w:cs="宋体"/>
          <w:color w:val="000000" w:themeColor="text1"/>
          <w:sz w:val="24"/>
          <w:szCs w:val="24"/>
          <w:highlight w:val="none"/>
          <w14:textFill>
            <w14:solidFill>
              <w14:schemeClr w14:val="tx1"/>
            </w14:solidFill>
          </w14:textFill>
        </w:rPr>
        <w:t>份。本合同附件：附件1：廉政合同和附件</w:t>
      </w:r>
    </w:p>
    <w:p w14:paraId="1F8D469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本合同适用《中华人民共和国民法典》，任何未涵盖的事项由此法律解释。</w:t>
      </w:r>
    </w:p>
    <w:p w14:paraId="1918FF5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本合同自双方</w:t>
      </w:r>
      <w:r>
        <w:rPr>
          <w:rFonts w:hint="eastAsia" w:ascii="宋体" w:hAnsi="宋体" w:eastAsia="宋体" w:cs="宋体"/>
          <w:color w:val="000000" w:themeColor="text1"/>
          <w:sz w:val="24"/>
          <w:szCs w:val="24"/>
          <w:highlight w:val="none"/>
          <w:lang w:eastAsia="zh-CN"/>
          <w14:textFill>
            <w14:solidFill>
              <w14:schemeClr w14:val="tx1"/>
            </w14:solidFill>
          </w14:textFill>
        </w:rPr>
        <w:t>签字</w:t>
      </w:r>
      <w:r>
        <w:rPr>
          <w:rFonts w:hint="eastAsia" w:ascii="宋体" w:hAnsi="宋体" w:eastAsia="宋体" w:cs="宋体"/>
          <w:color w:val="000000" w:themeColor="text1"/>
          <w:sz w:val="24"/>
          <w:szCs w:val="24"/>
          <w:highlight w:val="none"/>
          <w14:textFill>
            <w14:solidFill>
              <w14:schemeClr w14:val="tx1"/>
            </w14:solidFill>
          </w14:textFill>
        </w:rPr>
        <w:t>并盖章后且乙方提供资质证明后生效。</w:t>
      </w:r>
    </w:p>
    <w:p w14:paraId="30D1C94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甲方发现乙方违约行为后，有权单方面解除合同，不再承担进一步的合同责任，并要求乙方赔偿损失。</w:t>
      </w:r>
    </w:p>
    <w:p w14:paraId="2D02E24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第十一条：双方争议的解决</w:t>
      </w:r>
    </w:p>
    <w:p w14:paraId="03A5013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因本合同引起的或与本合同有关的任何争议，双方应友好协商解决。协商不成的，任何一方均有权向</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甲方所在</w:t>
      </w:r>
      <w:r>
        <w:rPr>
          <w:rFonts w:hint="eastAsia" w:ascii="宋体" w:hAnsi="宋体" w:eastAsia="宋体" w:cs="宋体"/>
          <w:color w:val="000000" w:themeColor="text1"/>
          <w:sz w:val="24"/>
          <w:szCs w:val="24"/>
          <w:highlight w:val="none"/>
          <w14:textFill>
            <w14:solidFill>
              <w14:schemeClr w14:val="tx1"/>
            </w14:solidFill>
          </w14:textFill>
        </w:rPr>
        <w:t>地有管辖权的人民法院提起诉讼。</w:t>
      </w:r>
    </w:p>
    <w:p w14:paraId="0448CEE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2、乙方出具的检测报告应符合国家相关标准及规范要求，内容完整、数据准确、结论明确，加盖乙方检测专用章、CMA认证章（如有）及检测人员、审核人员、批准人员签字，确保报告具有法律效力。</w:t>
      </w:r>
    </w:p>
    <w:p w14:paraId="42F83EA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检测结果利害关系人对检测结果发生争议的，可由双方共同认可的检测机构复检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复检结果由甲方报当地相关部门备案。若复检结果仍有异议的，可向质量检测主管部门申请专家论证解决。如若复检结果，与初次检测结果相同，甲方将承担复检期间乙方损失全部费用。</w:t>
      </w:r>
    </w:p>
    <w:p w14:paraId="6106DFD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因违反或终止合同而引起的对对方损失和损害的赔偿，双方应当协商解决，如未能达成一致，</w:t>
      </w:r>
      <w:bookmarkStart w:id="453" w:name="OLE_LINK2"/>
      <w:r>
        <w:rPr>
          <w:rFonts w:hint="eastAsia" w:ascii="宋体" w:hAnsi="宋体" w:eastAsia="宋体" w:cs="宋体"/>
          <w:color w:val="000000" w:themeColor="text1"/>
          <w:sz w:val="24"/>
          <w:szCs w:val="24"/>
          <w:highlight w:val="none"/>
          <w14:textFill>
            <w14:solidFill>
              <w14:schemeClr w14:val="tx1"/>
            </w14:solidFill>
          </w14:textFill>
        </w:rPr>
        <w:t>再行调解，如仍未能达成一致时，依法向</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甲方所在地</w:t>
      </w:r>
      <w:r>
        <w:rPr>
          <w:rFonts w:hint="eastAsia" w:ascii="宋体" w:hAnsi="宋体" w:eastAsia="宋体" w:cs="宋体"/>
          <w:color w:val="000000" w:themeColor="text1"/>
          <w:sz w:val="24"/>
          <w:szCs w:val="24"/>
          <w:highlight w:val="none"/>
          <w14:textFill>
            <w14:solidFill>
              <w14:schemeClr w14:val="tx1"/>
            </w14:solidFill>
          </w14:textFill>
        </w:rPr>
        <w:t>人民法院提出诉讼，律师费及诉讼费由败诉一方承</w:t>
      </w:r>
      <w:bookmarkEnd w:id="453"/>
      <w:r>
        <w:rPr>
          <w:rFonts w:hint="eastAsia" w:ascii="宋体" w:hAnsi="宋体" w:eastAsia="宋体" w:cs="宋体"/>
          <w:color w:val="000000" w:themeColor="text1"/>
          <w:sz w:val="24"/>
          <w:szCs w:val="24"/>
          <w:highlight w:val="none"/>
          <w14:textFill>
            <w14:solidFill>
              <w14:schemeClr w14:val="tx1"/>
            </w14:solidFill>
          </w14:textFill>
        </w:rPr>
        <w:t>担。</w:t>
      </w:r>
    </w:p>
    <w:p w14:paraId="6EC8FB23">
      <w:pPr>
        <w:pStyle w:val="3"/>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宋体" w:eastAsia="宋体" w:cs="宋体"/>
          <w:b/>
          <w:bCs/>
          <w:iCs w:val="0"/>
          <w:color w:val="000000" w:themeColor="text1"/>
          <w:sz w:val="24"/>
          <w:szCs w:val="24"/>
          <w:highlight w:val="none"/>
          <w:lang w:val="en-US" w:eastAsia="en-US" w:bidi="ar-SA"/>
          <w14:textFill>
            <w14:solidFill>
              <w14:schemeClr w14:val="tx1"/>
            </w14:solidFill>
          </w14:textFill>
        </w:rPr>
      </w:pPr>
      <w:bookmarkStart w:id="454" w:name="_Toc32099"/>
      <w:bookmarkStart w:id="455" w:name="_Toc6682"/>
      <w:bookmarkStart w:id="456" w:name="_Toc8748"/>
      <w:r>
        <w:rPr>
          <w:rFonts w:hint="eastAsia" w:ascii="宋体" w:hAnsi="宋体" w:eastAsia="宋体" w:cs="宋体"/>
          <w:b/>
          <w:bCs/>
          <w:iCs w:val="0"/>
          <w:color w:val="000000" w:themeColor="text1"/>
          <w:sz w:val="24"/>
          <w:szCs w:val="24"/>
          <w:highlight w:val="none"/>
          <w:lang w:val="en-US" w:eastAsia="zh-CN" w:bidi="ar-SA"/>
          <w14:textFill>
            <w14:solidFill>
              <w14:schemeClr w14:val="tx1"/>
            </w14:solidFill>
          </w14:textFill>
        </w:rPr>
        <w:t>第十二条、</w:t>
      </w:r>
      <w:r>
        <w:rPr>
          <w:rFonts w:hint="eastAsia" w:ascii="宋体" w:hAnsi="宋体" w:eastAsia="宋体" w:cs="宋体"/>
          <w:b/>
          <w:bCs/>
          <w:iCs w:val="0"/>
          <w:color w:val="000000" w:themeColor="text1"/>
          <w:sz w:val="24"/>
          <w:szCs w:val="24"/>
          <w:highlight w:val="none"/>
          <w:lang w:val="en-US" w:eastAsia="en-US" w:bidi="ar-SA"/>
          <w14:textFill>
            <w14:solidFill>
              <w14:schemeClr w14:val="tx1"/>
            </w14:solidFill>
          </w14:textFill>
        </w:rPr>
        <w:t>其他约定</w:t>
      </w:r>
      <w:bookmarkEnd w:id="454"/>
      <w:bookmarkEnd w:id="455"/>
      <w:bookmarkEnd w:id="456"/>
    </w:p>
    <w:p w14:paraId="26C4B09D">
      <w:pPr>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宋体" w:eastAsia="宋体" w:cs="宋体"/>
          <w:b w:val="0"/>
          <w:bCs w:val="0"/>
          <w:iCs w:val="0"/>
          <w:color w:val="000000" w:themeColor="text1"/>
          <w:sz w:val="24"/>
          <w:szCs w:val="24"/>
          <w:highlight w:val="none"/>
          <w:lang w:val="en-US" w:eastAsia="en-US" w:bidi="ar-SA"/>
          <w14:textFill>
            <w14:solidFill>
              <w14:schemeClr w14:val="tx1"/>
            </w14:solidFill>
          </w14:textFill>
        </w:rPr>
      </w:pPr>
      <w:r>
        <w:rPr>
          <w:rFonts w:hint="eastAsia" w:ascii="宋体" w:hAnsi="宋体" w:eastAsia="宋体" w:cs="宋体"/>
          <w:b w:val="0"/>
          <w:bCs w:val="0"/>
          <w:iCs w:val="0"/>
          <w:color w:val="000000" w:themeColor="text1"/>
          <w:sz w:val="24"/>
          <w:szCs w:val="24"/>
          <w:highlight w:val="none"/>
          <w:lang w:val="en-US" w:eastAsia="zh-CN" w:bidi="ar-SA"/>
          <w14:textFill>
            <w14:solidFill>
              <w14:schemeClr w14:val="tx1"/>
            </w14:solidFill>
          </w14:textFill>
        </w:rPr>
        <w:t>1.本合同附件（《检测单价表》（如有）、乙方资质证明文件、检测人员资质证书等）为本合同不可分割的组成部分，与本合同具有同等法律效力。</w:t>
      </w:r>
    </w:p>
    <w:p w14:paraId="218F314D">
      <w:pPr>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宋体" w:eastAsia="宋体" w:cs="宋体"/>
          <w:b w:val="0"/>
          <w:bCs w:val="0"/>
          <w:iCs w:val="0"/>
          <w:color w:val="000000" w:themeColor="text1"/>
          <w:sz w:val="24"/>
          <w:szCs w:val="24"/>
          <w:highlight w:val="none"/>
          <w:lang w:val="en-US" w:eastAsia="en-US" w:bidi="ar-SA"/>
          <w14:textFill>
            <w14:solidFill>
              <w14:schemeClr w14:val="tx1"/>
            </w14:solidFill>
          </w14:textFill>
        </w:rPr>
      </w:pPr>
      <w:r>
        <w:rPr>
          <w:rFonts w:hint="eastAsia" w:ascii="宋体" w:hAnsi="宋体" w:eastAsia="宋体" w:cs="宋体"/>
          <w:b w:val="0"/>
          <w:bCs w:val="0"/>
          <w:iCs w:val="0"/>
          <w:color w:val="000000" w:themeColor="text1"/>
          <w:sz w:val="24"/>
          <w:szCs w:val="24"/>
          <w:highlight w:val="none"/>
          <w:lang w:val="en-US" w:eastAsia="zh-CN" w:bidi="ar-SA"/>
          <w14:textFill>
            <w14:solidFill>
              <w14:schemeClr w14:val="tx1"/>
            </w14:solidFill>
          </w14:textFill>
        </w:rPr>
        <w:t>2.本合同未尽事宜，双方可另行签订补充协议，补充协议与本合同具有同等法律效力；补充协议与本合同不一致的，以补充协议为准。</w:t>
      </w:r>
    </w:p>
    <w:p w14:paraId="4D06ED5E">
      <w:pPr>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宋体" w:eastAsia="宋体" w:cs="宋体"/>
          <w:b w:val="0"/>
          <w:bCs w:val="0"/>
          <w:iCs w:val="0"/>
          <w:color w:val="000000" w:themeColor="text1"/>
          <w:sz w:val="24"/>
          <w:szCs w:val="24"/>
          <w:highlight w:val="none"/>
          <w:lang w:val="en-US" w:eastAsia="en-US" w:bidi="ar-SA"/>
          <w14:textFill>
            <w14:solidFill>
              <w14:schemeClr w14:val="tx1"/>
            </w14:solidFill>
          </w14:textFill>
        </w:rPr>
      </w:pPr>
      <w:r>
        <w:rPr>
          <w:rFonts w:hint="eastAsia" w:ascii="宋体" w:hAnsi="宋体" w:eastAsia="宋体" w:cs="宋体"/>
          <w:b w:val="0"/>
          <w:bCs w:val="0"/>
          <w:iCs w:val="0"/>
          <w:color w:val="000000" w:themeColor="text1"/>
          <w:sz w:val="24"/>
          <w:szCs w:val="24"/>
          <w:highlight w:val="none"/>
          <w:lang w:val="en-US" w:eastAsia="zh-CN" w:bidi="ar-SA"/>
          <w14:textFill>
            <w14:solidFill>
              <w14:schemeClr w14:val="tx1"/>
            </w14:solidFill>
          </w14:textFill>
        </w:rPr>
        <w:t>3.本合同自双方签字盖章之日起生效，有效期至本合同约定的全部服务完成、检测服务费结清、双方权利义务履行完毕之日止。</w:t>
      </w:r>
    </w:p>
    <w:p w14:paraId="76E6C14D">
      <w:pPr>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宋体" w:eastAsia="宋体" w:cs="宋体"/>
          <w:b w:val="0"/>
          <w:bCs w:val="0"/>
          <w:iCs w:val="0"/>
          <w:color w:val="000000" w:themeColor="text1"/>
          <w:sz w:val="24"/>
          <w:szCs w:val="24"/>
          <w:highlight w:val="none"/>
          <w:lang w:val="en-US" w:eastAsia="en-US" w:bidi="ar-SA"/>
          <w14:textFill>
            <w14:solidFill>
              <w14:schemeClr w14:val="tx1"/>
            </w14:solidFill>
          </w14:textFill>
        </w:rPr>
      </w:pPr>
      <w:r>
        <w:rPr>
          <w:rFonts w:hint="eastAsia" w:ascii="宋体" w:hAnsi="宋体" w:eastAsia="宋体" w:cs="宋体"/>
          <w:b w:val="0"/>
          <w:bCs w:val="0"/>
          <w:iCs w:val="0"/>
          <w:color w:val="000000" w:themeColor="text1"/>
          <w:sz w:val="24"/>
          <w:szCs w:val="24"/>
          <w:highlight w:val="none"/>
          <w:lang w:val="en-US" w:eastAsia="zh-CN" w:bidi="ar-SA"/>
          <w14:textFill>
            <w14:solidFill>
              <w14:schemeClr w14:val="tx1"/>
            </w14:solidFill>
          </w14:textFill>
        </w:rPr>
        <w:t>4.本合同一式______份，甲方执______份，乙方执______份，监理单位执______份（如有），具有同等法律效力，自双方签字盖章之日起生效。</w:t>
      </w:r>
    </w:p>
    <w:p w14:paraId="01924579">
      <w:pPr>
        <w:widowControl w:val="0"/>
        <w:spacing w:before="0" w:after="0" w:line="360" w:lineRule="auto"/>
        <w:jc w:val="both"/>
        <w:rPr>
          <w:rFonts w:ascii="宋体" w:hAnsi="宋体" w:eastAsia="宋体" w:cs="宋体"/>
          <w:color w:val="000000" w:themeColor="text1"/>
          <w:sz w:val="28"/>
          <w:szCs w:val="28"/>
          <w:highlight w:val="none"/>
          <w14:textFill>
            <w14:solidFill>
              <w14:schemeClr w14:val="tx1"/>
            </w14:solidFill>
          </w14:textFill>
        </w:rPr>
      </w:pPr>
    </w:p>
    <w:p w14:paraId="5A3B0713">
      <w:pPr>
        <w:spacing w:before="0" w:after="0" w:line="560" w:lineRule="atLeast"/>
        <w:jc w:val="both"/>
        <w:rPr>
          <w:rFonts w:ascii="宋体" w:hAnsi="宋体" w:eastAsia="宋体" w:cs="宋体"/>
          <w:color w:val="000000" w:themeColor="text1"/>
          <w:highlight w:val="none"/>
          <w14:textFill>
            <w14:solidFill>
              <w14:schemeClr w14:val="tx1"/>
            </w14:solidFill>
          </w14:textFill>
        </w:rPr>
      </w:pPr>
      <w:r>
        <w:rPr>
          <w:rFonts w:ascii="楷体" w:hAnsi="楷体" w:eastAsia="楷体" w:cs="楷体"/>
          <w:color w:val="000000" w:themeColor="text1"/>
          <w:sz w:val="28"/>
          <w:szCs w:val="28"/>
          <w:highlight w:val="none"/>
          <w14:textFill>
            <w14:solidFill>
              <w14:schemeClr w14:val="tx1"/>
            </w14:solidFill>
          </w14:textFill>
        </w:rPr>
        <w:t>合同签字页（本页无正文）：</w:t>
      </w:r>
      <w:r>
        <w:rPr>
          <w:rFonts w:ascii="宋体" w:hAnsi="宋体" w:eastAsia="宋体" w:cs="宋体"/>
          <w:color w:val="000000" w:themeColor="text1"/>
          <w:highlight w:val="none"/>
          <w14:textFill>
            <w14:solidFill>
              <w14:schemeClr w14:val="tx1"/>
            </w14:solidFill>
          </w14:textFill>
        </w:rPr>
        <w:t>   </w:t>
      </w:r>
    </w:p>
    <w:tbl>
      <w:tblPr>
        <w:tblStyle w:val="21"/>
        <w:tblpPr w:leftFromText="180" w:rightFromText="180" w:vertAnchor="text" w:horzAnchor="page" w:tblpX="1892" w:tblpY="546"/>
        <w:tblOverlap w:val="never"/>
        <w:tblW w:w="8753" w:type="dxa"/>
        <w:tblInd w:w="0" w:type="dxa"/>
        <w:tblLayout w:type="fixed"/>
        <w:tblCellMar>
          <w:top w:w="0" w:type="dxa"/>
          <w:left w:w="0" w:type="dxa"/>
          <w:bottom w:w="0" w:type="dxa"/>
          <w:right w:w="0" w:type="dxa"/>
        </w:tblCellMar>
      </w:tblPr>
      <w:tblGrid>
        <w:gridCol w:w="4615"/>
        <w:gridCol w:w="4138"/>
      </w:tblGrid>
      <w:tr w14:paraId="267DAD69">
        <w:tblPrEx>
          <w:tblCellMar>
            <w:top w:w="0" w:type="dxa"/>
            <w:left w:w="0" w:type="dxa"/>
            <w:bottom w:w="0" w:type="dxa"/>
            <w:right w:w="0" w:type="dxa"/>
          </w:tblCellMar>
        </w:tblPrEx>
        <w:trPr>
          <w:trHeight w:val="880" w:hRule="atLeast"/>
        </w:trPr>
        <w:tc>
          <w:tcPr>
            <w:tcW w:w="4615" w:type="dxa"/>
            <w:noWrap w:val="0"/>
            <w:tcMar>
              <w:top w:w="5" w:type="dxa"/>
              <w:left w:w="113" w:type="dxa"/>
              <w:bottom w:w="5" w:type="dxa"/>
              <w:right w:w="113" w:type="dxa"/>
            </w:tcMar>
            <w:vAlign w:val="center"/>
          </w:tcPr>
          <w:p w14:paraId="4997078C">
            <w:pPr>
              <w:spacing w:before="0" w:after="0" w:line="560" w:lineRule="atLeast"/>
              <w:ind w:firstLine="280" w:firstLineChars="100"/>
              <w:jc w:val="both"/>
              <w:rPr>
                <w:rFonts w:hint="default" w:eastAsia="楷体"/>
                <w:b w:val="0"/>
                <w:bCs w:val="0"/>
                <w:i w:val="0"/>
                <w:iCs w:val="0"/>
                <w:smallCaps w:val="0"/>
                <w:color w:val="000000" w:themeColor="text1"/>
                <w:highlight w:val="none"/>
                <w:lang w:val="en-US" w:eastAsia="zh-CN"/>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甲方</w:t>
            </w:r>
            <w:r>
              <w:rPr>
                <w:rFonts w:hint="eastAsia" w:ascii="楷体" w:hAnsi="楷体" w:eastAsia="楷体" w:cs="楷体"/>
                <w:b w:val="0"/>
                <w:bCs w:val="0"/>
                <w:i w:val="0"/>
                <w:iCs w:val="0"/>
                <w:smallCaps w:val="0"/>
                <w:color w:val="000000" w:themeColor="text1"/>
                <w:sz w:val="28"/>
                <w:szCs w:val="28"/>
                <w:highlight w:val="none"/>
                <w:lang w:eastAsia="zh-CN"/>
                <w14:textFill>
                  <w14:solidFill>
                    <w14:schemeClr w14:val="tx1"/>
                  </w14:solidFill>
                </w14:textFill>
              </w:rPr>
              <w:t>：（</w:t>
            </w:r>
            <w:r>
              <w:rPr>
                <w:rFonts w:hint="eastAsia" w:ascii="楷体" w:hAnsi="楷体" w:eastAsia="楷体" w:cs="楷体"/>
                <w:b w:val="0"/>
                <w:bCs w:val="0"/>
                <w:i w:val="0"/>
                <w:iCs w:val="0"/>
                <w:smallCaps w:val="0"/>
                <w:color w:val="000000" w:themeColor="text1"/>
                <w:sz w:val="28"/>
                <w:szCs w:val="28"/>
                <w:highlight w:val="none"/>
                <w:lang w:val="en-US" w:eastAsia="zh-CN"/>
                <w14:textFill>
                  <w14:solidFill>
                    <w14:schemeClr w14:val="tx1"/>
                  </w14:solidFill>
                </w14:textFill>
              </w:rPr>
              <w:t>盖章）</w:t>
            </w:r>
          </w:p>
        </w:tc>
        <w:tc>
          <w:tcPr>
            <w:tcW w:w="4138" w:type="dxa"/>
            <w:noWrap w:val="0"/>
            <w:tcMar>
              <w:top w:w="5" w:type="dxa"/>
              <w:left w:w="113" w:type="dxa"/>
              <w:bottom w:w="5" w:type="dxa"/>
              <w:right w:w="113" w:type="dxa"/>
            </w:tcMar>
            <w:vAlign w:val="center"/>
          </w:tcPr>
          <w:p w14:paraId="3C4EFBCC">
            <w:pPr>
              <w:spacing w:before="0" w:after="0" w:line="560" w:lineRule="atLeast"/>
              <w:jc w:val="both"/>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乙方</w:t>
            </w:r>
            <w:r>
              <w:rPr>
                <w:rFonts w:hint="eastAsia" w:ascii="楷体" w:hAnsi="楷体" w:eastAsia="楷体" w:cs="楷体"/>
                <w:b w:val="0"/>
                <w:bCs w:val="0"/>
                <w:i w:val="0"/>
                <w:iCs w:val="0"/>
                <w:smallCaps w:val="0"/>
                <w:color w:val="000000" w:themeColor="text1"/>
                <w:sz w:val="28"/>
                <w:szCs w:val="28"/>
                <w:highlight w:val="none"/>
                <w:lang w:eastAsia="zh-CN"/>
                <w14:textFill>
                  <w14:solidFill>
                    <w14:schemeClr w14:val="tx1"/>
                  </w14:solidFill>
                </w14:textFill>
              </w:rPr>
              <w:t>：（</w:t>
            </w:r>
            <w:r>
              <w:rPr>
                <w:rFonts w:hint="eastAsia" w:ascii="楷体" w:hAnsi="楷体" w:eastAsia="楷体" w:cs="楷体"/>
                <w:b w:val="0"/>
                <w:bCs w:val="0"/>
                <w:i w:val="0"/>
                <w:iCs w:val="0"/>
                <w:smallCaps w:val="0"/>
                <w:color w:val="000000" w:themeColor="text1"/>
                <w:sz w:val="28"/>
                <w:szCs w:val="28"/>
                <w:highlight w:val="none"/>
                <w:lang w:val="en-US" w:eastAsia="zh-CN"/>
                <w14:textFill>
                  <w14:solidFill>
                    <w14:schemeClr w14:val="tx1"/>
                  </w14:solidFill>
                </w14:textFill>
              </w:rPr>
              <w:t>盖章）</w:t>
            </w:r>
          </w:p>
        </w:tc>
      </w:tr>
      <w:tr w14:paraId="2F0B96A8">
        <w:tblPrEx>
          <w:tblCellMar>
            <w:top w:w="0" w:type="dxa"/>
            <w:left w:w="0" w:type="dxa"/>
            <w:bottom w:w="0" w:type="dxa"/>
            <w:right w:w="0" w:type="dxa"/>
          </w:tblCellMar>
        </w:tblPrEx>
        <w:trPr>
          <w:trHeight w:val="2045" w:hRule="atLeast"/>
        </w:trPr>
        <w:tc>
          <w:tcPr>
            <w:tcW w:w="4615" w:type="dxa"/>
            <w:noWrap w:val="0"/>
            <w:tcMar>
              <w:top w:w="5" w:type="dxa"/>
              <w:left w:w="113" w:type="dxa"/>
              <w:bottom w:w="5" w:type="dxa"/>
              <w:right w:w="113" w:type="dxa"/>
            </w:tcMar>
            <w:vAlign w:val="top"/>
          </w:tcPr>
          <w:p w14:paraId="5EF80EE5">
            <w:pPr>
              <w:spacing w:before="0" w:after="0" w:line="560" w:lineRule="atLeast"/>
              <w:ind w:left="1061" w:hanging="840"/>
              <w:jc w:val="both"/>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单位：伊吾县淖毛湖镇人民政府</w:t>
            </w:r>
          </w:p>
          <w:p w14:paraId="04428DCC">
            <w:pPr>
              <w:spacing w:before="0" w:after="0" w:line="560" w:lineRule="atLeast"/>
              <w:ind w:left="1061" w:hanging="840"/>
              <w:jc w:val="both"/>
              <w:rPr>
                <w:rFonts w:hint="eastAsia" w:ascii="楷体" w:hAnsi="楷体" w:eastAsia="楷体" w:cs="楷体"/>
                <w:b w:val="0"/>
                <w:bCs w:val="0"/>
                <w:i w:val="0"/>
                <w:iCs w:val="0"/>
                <w:smallCap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i w:val="0"/>
                <w:iCs w:val="0"/>
                <w:smallCaps w:val="0"/>
                <w:color w:val="000000" w:themeColor="text1"/>
                <w:sz w:val="28"/>
                <w:szCs w:val="28"/>
                <w:highlight w:val="none"/>
                <w:lang w:val="en-US" w:eastAsia="zh-CN"/>
                <w14:textFill>
                  <w14:solidFill>
                    <w14:schemeClr w14:val="tx1"/>
                  </w14:solidFill>
                </w14:textFill>
              </w:rPr>
              <w:t>机构代码：11652223010614807F</w:t>
            </w:r>
          </w:p>
        </w:tc>
        <w:tc>
          <w:tcPr>
            <w:tcW w:w="4138" w:type="dxa"/>
            <w:noWrap w:val="0"/>
            <w:tcMar>
              <w:top w:w="5" w:type="dxa"/>
              <w:left w:w="113" w:type="dxa"/>
              <w:bottom w:w="5" w:type="dxa"/>
              <w:right w:w="113" w:type="dxa"/>
            </w:tcMar>
            <w:vAlign w:val="top"/>
          </w:tcPr>
          <w:p w14:paraId="6EB319DC">
            <w:pPr>
              <w:spacing w:before="0" w:after="0" w:line="560" w:lineRule="atLeast"/>
              <w:jc w:val="both"/>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单位：</w:t>
            </w:r>
          </w:p>
          <w:p w14:paraId="7DDB27BD">
            <w:pPr>
              <w:spacing w:before="0" w:after="0" w:line="560" w:lineRule="atLeast"/>
              <w:ind w:firstLine="560"/>
              <w:jc w:val="both"/>
              <w:rPr>
                <w:b w:val="0"/>
                <w:bCs w:val="0"/>
                <w:i w:val="0"/>
                <w:iCs w:val="0"/>
                <w:smallCaps w:val="0"/>
                <w:color w:val="000000" w:themeColor="text1"/>
                <w:highlight w:val="none"/>
                <w14:textFill>
                  <w14:solidFill>
                    <w14:schemeClr w14:val="tx1"/>
                  </w14:solidFill>
                </w14:textFill>
              </w:rPr>
            </w:pPr>
          </w:p>
        </w:tc>
      </w:tr>
      <w:tr w14:paraId="45090BF4">
        <w:tblPrEx>
          <w:tblCellMar>
            <w:top w:w="0" w:type="dxa"/>
            <w:left w:w="0" w:type="dxa"/>
            <w:bottom w:w="0" w:type="dxa"/>
            <w:right w:w="0" w:type="dxa"/>
          </w:tblCellMar>
        </w:tblPrEx>
        <w:trPr>
          <w:trHeight w:val="2177" w:hRule="atLeast"/>
        </w:trPr>
        <w:tc>
          <w:tcPr>
            <w:tcW w:w="4615" w:type="dxa"/>
            <w:noWrap w:val="0"/>
            <w:tcMar>
              <w:top w:w="5" w:type="dxa"/>
              <w:left w:w="113" w:type="dxa"/>
              <w:bottom w:w="5" w:type="dxa"/>
              <w:right w:w="113" w:type="dxa"/>
            </w:tcMar>
            <w:vAlign w:val="top"/>
          </w:tcPr>
          <w:p w14:paraId="3BAA5763">
            <w:pPr>
              <w:spacing w:before="0" w:after="0" w:line="560" w:lineRule="atLeast"/>
              <w:ind w:firstLine="140"/>
              <w:jc w:val="both"/>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法定代表人（或委托代理人）：</w:t>
            </w:r>
          </w:p>
        </w:tc>
        <w:tc>
          <w:tcPr>
            <w:tcW w:w="4138" w:type="dxa"/>
            <w:noWrap w:val="0"/>
            <w:tcMar>
              <w:top w:w="5" w:type="dxa"/>
              <w:left w:w="113" w:type="dxa"/>
              <w:bottom w:w="5" w:type="dxa"/>
              <w:right w:w="113" w:type="dxa"/>
            </w:tcMar>
            <w:vAlign w:val="top"/>
          </w:tcPr>
          <w:p w14:paraId="23F1F870">
            <w:pPr>
              <w:spacing w:before="0" w:after="0" w:line="560" w:lineRule="atLeast"/>
              <w:jc w:val="both"/>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法定代表（或委托代理人）：</w:t>
            </w:r>
          </w:p>
        </w:tc>
      </w:tr>
      <w:tr w14:paraId="3B977E2C">
        <w:tblPrEx>
          <w:tblCellMar>
            <w:top w:w="0" w:type="dxa"/>
            <w:left w:w="0" w:type="dxa"/>
            <w:bottom w:w="0" w:type="dxa"/>
            <w:right w:w="0" w:type="dxa"/>
          </w:tblCellMar>
        </w:tblPrEx>
        <w:trPr>
          <w:trHeight w:val="520" w:hRule="atLeast"/>
        </w:trPr>
        <w:tc>
          <w:tcPr>
            <w:tcW w:w="4615" w:type="dxa"/>
            <w:noWrap w:val="0"/>
            <w:tcMar>
              <w:top w:w="5" w:type="dxa"/>
              <w:left w:w="113" w:type="dxa"/>
              <w:bottom w:w="5" w:type="dxa"/>
              <w:right w:w="113" w:type="dxa"/>
            </w:tcMar>
            <w:vAlign w:val="top"/>
          </w:tcPr>
          <w:p w14:paraId="0E2BE425">
            <w:pPr>
              <w:spacing w:before="0" w:after="0" w:line="560" w:lineRule="atLeast"/>
              <w:jc w:val="both"/>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单位地址：</w:t>
            </w:r>
            <w:r>
              <w:rPr>
                <w:rFonts w:hint="eastAsia" w:ascii="楷体" w:hAnsi="楷体" w:eastAsia="楷体" w:cs="楷体"/>
                <w:b w:val="0"/>
                <w:bCs w:val="0"/>
                <w:i w:val="0"/>
                <w:iCs w:val="0"/>
                <w:smallCaps w:val="0"/>
                <w:color w:val="000000" w:themeColor="text1"/>
                <w:sz w:val="28"/>
                <w:szCs w:val="28"/>
                <w:highlight w:val="none"/>
                <w14:textFill>
                  <w14:solidFill>
                    <w14:schemeClr w14:val="tx1"/>
                  </w14:solidFill>
                </w14:textFill>
              </w:rPr>
              <w:t>淖毛湖镇幸福西路790号</w:t>
            </w:r>
          </w:p>
        </w:tc>
        <w:tc>
          <w:tcPr>
            <w:tcW w:w="4138" w:type="dxa"/>
            <w:noWrap w:val="0"/>
            <w:tcMar>
              <w:top w:w="5" w:type="dxa"/>
              <w:left w:w="113" w:type="dxa"/>
              <w:bottom w:w="5" w:type="dxa"/>
              <w:right w:w="113" w:type="dxa"/>
            </w:tcMar>
            <w:vAlign w:val="top"/>
          </w:tcPr>
          <w:p w14:paraId="13D99E1C">
            <w:pPr>
              <w:spacing w:before="0" w:after="0" w:line="560" w:lineRule="atLeast"/>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单位地址</w:t>
            </w:r>
            <w:r>
              <w:rPr>
                <w:rFonts w:hint="eastAsia" w:ascii="楷体" w:hAnsi="楷体" w:eastAsia="楷体" w:cs="楷体"/>
                <w:b w:val="0"/>
                <w:bCs w:val="0"/>
                <w:i w:val="0"/>
                <w:iCs w:val="0"/>
                <w:smallCaps w:val="0"/>
                <w:color w:val="000000" w:themeColor="text1"/>
                <w:sz w:val="28"/>
                <w:szCs w:val="28"/>
                <w:highlight w:val="none"/>
                <w:lang w:eastAsia="zh-CN"/>
                <w14:textFill>
                  <w14:solidFill>
                    <w14:schemeClr w14:val="tx1"/>
                  </w14:solidFill>
                </w14:textFill>
              </w:rPr>
              <w:t>：</w:t>
            </w:r>
          </w:p>
        </w:tc>
      </w:tr>
      <w:tr w14:paraId="44EAF3A2">
        <w:tblPrEx>
          <w:tblCellMar>
            <w:top w:w="0" w:type="dxa"/>
            <w:left w:w="0" w:type="dxa"/>
            <w:bottom w:w="0" w:type="dxa"/>
            <w:right w:w="0" w:type="dxa"/>
          </w:tblCellMar>
        </w:tblPrEx>
        <w:trPr>
          <w:trHeight w:val="520" w:hRule="atLeast"/>
        </w:trPr>
        <w:tc>
          <w:tcPr>
            <w:tcW w:w="4615" w:type="dxa"/>
            <w:noWrap w:val="0"/>
            <w:tcMar>
              <w:top w:w="5" w:type="dxa"/>
              <w:left w:w="113" w:type="dxa"/>
              <w:bottom w:w="5" w:type="dxa"/>
              <w:right w:w="113" w:type="dxa"/>
            </w:tcMar>
            <w:vAlign w:val="center"/>
          </w:tcPr>
          <w:p w14:paraId="1A867FAB">
            <w:pPr>
              <w:spacing w:before="0" w:after="0" w:line="560" w:lineRule="atLeast"/>
              <w:jc w:val="both"/>
              <w:rPr>
                <w:rFonts w:hint="default" w:eastAsia="楷体"/>
                <w:b w:val="0"/>
                <w:bCs w:val="0"/>
                <w:i w:val="0"/>
                <w:iCs w:val="0"/>
                <w:smallCaps w:val="0"/>
                <w:color w:val="000000" w:themeColor="text1"/>
                <w:highlight w:val="none"/>
                <w:lang w:val="en-US" w:eastAsia="zh-CN"/>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邮编：</w:t>
            </w:r>
            <w:r>
              <w:rPr>
                <w:rFonts w:hint="eastAsia" w:ascii="楷体" w:hAnsi="楷体" w:eastAsia="楷体" w:cs="楷体"/>
                <w:b w:val="0"/>
                <w:bCs w:val="0"/>
                <w:i w:val="0"/>
                <w:iCs w:val="0"/>
                <w:smallCaps w:val="0"/>
                <w:color w:val="000000" w:themeColor="text1"/>
                <w:sz w:val="28"/>
                <w:szCs w:val="28"/>
                <w:highlight w:val="none"/>
                <w:lang w:val="en-US" w:eastAsia="zh-CN"/>
                <w14:textFill>
                  <w14:solidFill>
                    <w14:schemeClr w14:val="tx1"/>
                  </w14:solidFill>
                </w14:textFill>
              </w:rPr>
              <w:t>839303</w:t>
            </w:r>
          </w:p>
        </w:tc>
        <w:tc>
          <w:tcPr>
            <w:tcW w:w="4138" w:type="dxa"/>
            <w:noWrap w:val="0"/>
            <w:tcMar>
              <w:top w:w="5" w:type="dxa"/>
              <w:left w:w="113" w:type="dxa"/>
              <w:bottom w:w="5" w:type="dxa"/>
              <w:right w:w="113" w:type="dxa"/>
            </w:tcMar>
            <w:vAlign w:val="center"/>
          </w:tcPr>
          <w:p w14:paraId="3517EDB7">
            <w:pPr>
              <w:spacing w:before="0" w:after="0" w:line="560" w:lineRule="atLeast"/>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邮编：</w:t>
            </w:r>
          </w:p>
        </w:tc>
      </w:tr>
      <w:tr w14:paraId="3F5BA59F">
        <w:tblPrEx>
          <w:tblCellMar>
            <w:top w:w="0" w:type="dxa"/>
            <w:left w:w="0" w:type="dxa"/>
            <w:bottom w:w="0" w:type="dxa"/>
            <w:right w:w="0" w:type="dxa"/>
          </w:tblCellMar>
        </w:tblPrEx>
        <w:trPr>
          <w:trHeight w:val="520" w:hRule="atLeast"/>
        </w:trPr>
        <w:tc>
          <w:tcPr>
            <w:tcW w:w="4615" w:type="dxa"/>
            <w:noWrap w:val="0"/>
            <w:tcMar>
              <w:top w:w="5" w:type="dxa"/>
              <w:left w:w="113" w:type="dxa"/>
              <w:bottom w:w="5" w:type="dxa"/>
              <w:right w:w="113" w:type="dxa"/>
            </w:tcMar>
            <w:vAlign w:val="center"/>
          </w:tcPr>
          <w:p w14:paraId="4F0D7882">
            <w:pPr>
              <w:spacing w:before="0" w:after="0" w:line="560" w:lineRule="atLeast"/>
              <w:jc w:val="both"/>
              <w:rPr>
                <w:rFonts w:hint="default" w:eastAsia="楷体"/>
                <w:b w:val="0"/>
                <w:bCs w:val="0"/>
                <w:i w:val="0"/>
                <w:iCs w:val="0"/>
                <w:smallCaps w:val="0"/>
                <w:color w:val="000000" w:themeColor="text1"/>
                <w:highlight w:val="none"/>
                <w:lang w:val="en-US" w:eastAsia="zh-CN"/>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电话：</w:t>
            </w:r>
            <w:r>
              <w:rPr>
                <w:rFonts w:hint="eastAsia" w:ascii="楷体" w:hAnsi="楷体" w:eastAsia="楷体" w:cs="楷体"/>
                <w:b w:val="0"/>
                <w:bCs w:val="0"/>
                <w:i w:val="0"/>
                <w:iCs w:val="0"/>
                <w:smallCaps w:val="0"/>
                <w:color w:val="000000" w:themeColor="text1"/>
                <w:sz w:val="28"/>
                <w:szCs w:val="28"/>
                <w:highlight w:val="none"/>
                <w14:textFill>
                  <w14:solidFill>
                    <w14:schemeClr w14:val="tx1"/>
                  </w14:solidFill>
                </w14:textFill>
              </w:rPr>
              <w:t>0902-67</w:t>
            </w:r>
            <w:r>
              <w:rPr>
                <w:rFonts w:hint="eastAsia" w:ascii="楷体" w:hAnsi="楷体" w:eastAsia="楷体" w:cs="楷体"/>
                <w:b w:val="0"/>
                <w:bCs w:val="0"/>
                <w:i w:val="0"/>
                <w:iCs w:val="0"/>
                <w:smallCaps w:val="0"/>
                <w:color w:val="000000" w:themeColor="text1"/>
                <w:sz w:val="28"/>
                <w:szCs w:val="28"/>
                <w:highlight w:val="none"/>
                <w:lang w:val="en-US" w:eastAsia="zh-CN"/>
                <w14:textFill>
                  <w14:solidFill>
                    <w14:schemeClr w14:val="tx1"/>
                  </w14:solidFill>
                </w14:textFill>
              </w:rPr>
              <w:t>25123</w:t>
            </w:r>
          </w:p>
        </w:tc>
        <w:tc>
          <w:tcPr>
            <w:tcW w:w="4138" w:type="dxa"/>
            <w:noWrap w:val="0"/>
            <w:tcMar>
              <w:top w:w="5" w:type="dxa"/>
              <w:left w:w="113" w:type="dxa"/>
              <w:bottom w:w="5" w:type="dxa"/>
              <w:right w:w="113" w:type="dxa"/>
            </w:tcMar>
            <w:vAlign w:val="center"/>
          </w:tcPr>
          <w:p w14:paraId="3D6606DE">
            <w:pPr>
              <w:spacing w:before="0" w:after="0" w:line="560" w:lineRule="atLeast"/>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电话：</w:t>
            </w:r>
          </w:p>
        </w:tc>
      </w:tr>
      <w:tr w14:paraId="6E35638E">
        <w:tblPrEx>
          <w:tblCellMar>
            <w:top w:w="0" w:type="dxa"/>
            <w:left w:w="0" w:type="dxa"/>
            <w:bottom w:w="0" w:type="dxa"/>
            <w:right w:w="0" w:type="dxa"/>
          </w:tblCellMar>
        </w:tblPrEx>
        <w:trPr>
          <w:trHeight w:val="520" w:hRule="atLeast"/>
        </w:trPr>
        <w:tc>
          <w:tcPr>
            <w:tcW w:w="4615" w:type="dxa"/>
            <w:noWrap w:val="0"/>
            <w:tcMar>
              <w:top w:w="5" w:type="dxa"/>
              <w:left w:w="113" w:type="dxa"/>
              <w:bottom w:w="5" w:type="dxa"/>
              <w:right w:w="113" w:type="dxa"/>
            </w:tcMar>
            <w:vAlign w:val="center"/>
          </w:tcPr>
          <w:p w14:paraId="7B61E013">
            <w:pPr>
              <w:spacing w:before="0" w:after="0" w:line="560" w:lineRule="atLeast"/>
              <w:ind w:left="1400" w:hanging="1400"/>
              <w:jc w:val="both"/>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付款单位</w:t>
            </w:r>
            <w:r>
              <w:rPr>
                <w:rFonts w:hint="eastAsia" w:ascii="楷体" w:hAnsi="楷体" w:eastAsia="楷体" w:cs="楷体"/>
                <w:b w:val="0"/>
                <w:bCs w:val="0"/>
                <w:i w:val="0"/>
                <w:iCs w:val="0"/>
                <w:smallCaps w:val="0"/>
                <w:color w:val="000000" w:themeColor="text1"/>
                <w:sz w:val="28"/>
                <w:szCs w:val="28"/>
                <w:highlight w:val="none"/>
                <w:lang w:eastAsia="zh-CN"/>
                <w14:textFill>
                  <w14:solidFill>
                    <w14:schemeClr w14:val="tx1"/>
                  </w14:solidFill>
                </w14:textFill>
              </w:rPr>
              <w:t>：</w:t>
            </w: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伊吾县淖毛湖镇人民政府</w:t>
            </w:r>
          </w:p>
        </w:tc>
        <w:tc>
          <w:tcPr>
            <w:tcW w:w="4138" w:type="dxa"/>
            <w:noWrap w:val="0"/>
            <w:tcMar>
              <w:top w:w="5" w:type="dxa"/>
              <w:left w:w="113" w:type="dxa"/>
              <w:bottom w:w="5" w:type="dxa"/>
              <w:right w:w="113" w:type="dxa"/>
            </w:tcMar>
            <w:vAlign w:val="center"/>
          </w:tcPr>
          <w:p w14:paraId="69B84D2A">
            <w:pPr>
              <w:spacing w:before="0" w:after="0" w:line="560" w:lineRule="atLeast"/>
              <w:ind w:left="1400" w:hanging="1400"/>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收款单位：</w:t>
            </w:r>
          </w:p>
        </w:tc>
      </w:tr>
      <w:tr w14:paraId="77D745C7">
        <w:tblPrEx>
          <w:tblCellMar>
            <w:top w:w="0" w:type="dxa"/>
            <w:left w:w="0" w:type="dxa"/>
            <w:bottom w:w="0" w:type="dxa"/>
            <w:right w:w="0" w:type="dxa"/>
          </w:tblCellMar>
        </w:tblPrEx>
        <w:trPr>
          <w:trHeight w:val="520" w:hRule="atLeast"/>
        </w:trPr>
        <w:tc>
          <w:tcPr>
            <w:tcW w:w="4615" w:type="dxa"/>
            <w:noWrap w:val="0"/>
            <w:tcMar>
              <w:top w:w="5" w:type="dxa"/>
              <w:left w:w="113" w:type="dxa"/>
              <w:bottom w:w="5" w:type="dxa"/>
              <w:right w:w="113" w:type="dxa"/>
            </w:tcMar>
            <w:vAlign w:val="center"/>
          </w:tcPr>
          <w:p w14:paraId="0680946C">
            <w:pPr>
              <w:spacing w:before="0" w:after="0" w:line="560" w:lineRule="atLeast"/>
              <w:jc w:val="both"/>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开户银行：</w:t>
            </w:r>
            <w:r>
              <w:rPr>
                <w:rFonts w:hint="eastAsia" w:ascii="楷体" w:hAnsi="楷体" w:eastAsia="楷体" w:cs="楷体"/>
                <w:b w:val="0"/>
                <w:bCs w:val="0"/>
                <w:i w:val="0"/>
                <w:iCs w:val="0"/>
                <w:smallCaps w:val="0"/>
                <w:color w:val="000000" w:themeColor="text1"/>
                <w:sz w:val="28"/>
                <w:szCs w:val="28"/>
                <w:highlight w:val="none"/>
                <w14:textFill>
                  <w14:solidFill>
                    <w14:schemeClr w14:val="tx1"/>
                  </w14:solidFill>
                </w14:textFill>
              </w:rPr>
              <w:t>伊吾县农村信用合作联社淖毛湖信用社</w:t>
            </w:r>
          </w:p>
        </w:tc>
        <w:tc>
          <w:tcPr>
            <w:tcW w:w="4138" w:type="dxa"/>
            <w:noWrap w:val="0"/>
            <w:tcMar>
              <w:top w:w="5" w:type="dxa"/>
              <w:left w:w="113" w:type="dxa"/>
              <w:bottom w:w="5" w:type="dxa"/>
              <w:right w:w="113" w:type="dxa"/>
            </w:tcMar>
            <w:vAlign w:val="center"/>
          </w:tcPr>
          <w:p w14:paraId="0661B698">
            <w:pPr>
              <w:spacing w:before="0" w:after="0" w:line="560" w:lineRule="atLeast"/>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开户银行：</w:t>
            </w:r>
          </w:p>
        </w:tc>
      </w:tr>
      <w:tr w14:paraId="39672977">
        <w:tblPrEx>
          <w:tblCellMar>
            <w:top w:w="0" w:type="dxa"/>
            <w:left w:w="0" w:type="dxa"/>
            <w:bottom w:w="0" w:type="dxa"/>
            <w:right w:w="0" w:type="dxa"/>
          </w:tblCellMar>
        </w:tblPrEx>
        <w:trPr>
          <w:trHeight w:val="520" w:hRule="atLeast"/>
        </w:trPr>
        <w:tc>
          <w:tcPr>
            <w:tcW w:w="4615" w:type="dxa"/>
            <w:noWrap w:val="0"/>
            <w:tcMar>
              <w:top w:w="5" w:type="dxa"/>
              <w:left w:w="113" w:type="dxa"/>
              <w:bottom w:w="5" w:type="dxa"/>
              <w:right w:w="113" w:type="dxa"/>
            </w:tcMar>
            <w:vAlign w:val="center"/>
          </w:tcPr>
          <w:p w14:paraId="1C5C3DC4">
            <w:pPr>
              <w:spacing w:before="0" w:after="0" w:line="560" w:lineRule="atLeast"/>
              <w:jc w:val="both"/>
              <w:rPr>
                <w:rFonts w:hint="default" w:eastAsia="楷体"/>
                <w:b w:val="0"/>
                <w:bCs w:val="0"/>
                <w:i w:val="0"/>
                <w:iCs w:val="0"/>
                <w:smallCaps w:val="0"/>
                <w:color w:val="000000" w:themeColor="text1"/>
                <w:highlight w:val="none"/>
                <w:lang w:val="en-US" w:eastAsia="zh-CN"/>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传真：</w:t>
            </w:r>
            <w:r>
              <w:rPr>
                <w:rFonts w:hint="eastAsia" w:ascii="楷体" w:hAnsi="楷体" w:eastAsia="楷体" w:cs="楷体"/>
                <w:b w:val="0"/>
                <w:bCs w:val="0"/>
                <w:i w:val="0"/>
                <w:iCs w:val="0"/>
                <w:smallCaps w:val="0"/>
                <w:color w:val="000000" w:themeColor="text1"/>
                <w:sz w:val="28"/>
                <w:szCs w:val="28"/>
                <w:highlight w:val="none"/>
                <w:lang w:val="en-US" w:eastAsia="zh-CN"/>
                <w14:textFill>
                  <w14:solidFill>
                    <w14:schemeClr w14:val="tx1"/>
                  </w14:solidFill>
                </w14:textFill>
              </w:rPr>
              <w:t>6725123</w:t>
            </w:r>
          </w:p>
        </w:tc>
        <w:tc>
          <w:tcPr>
            <w:tcW w:w="4138" w:type="dxa"/>
            <w:noWrap w:val="0"/>
            <w:tcMar>
              <w:top w:w="5" w:type="dxa"/>
              <w:left w:w="113" w:type="dxa"/>
              <w:bottom w:w="5" w:type="dxa"/>
              <w:right w:w="113" w:type="dxa"/>
            </w:tcMar>
            <w:vAlign w:val="center"/>
          </w:tcPr>
          <w:p w14:paraId="5A8DA41B">
            <w:pPr>
              <w:spacing w:before="0" w:after="0" w:line="560" w:lineRule="atLeast"/>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传真：</w:t>
            </w:r>
          </w:p>
        </w:tc>
      </w:tr>
      <w:tr w14:paraId="0A5D203B">
        <w:tblPrEx>
          <w:tblCellMar>
            <w:top w:w="0" w:type="dxa"/>
            <w:left w:w="0" w:type="dxa"/>
            <w:bottom w:w="0" w:type="dxa"/>
            <w:right w:w="0" w:type="dxa"/>
          </w:tblCellMar>
        </w:tblPrEx>
        <w:trPr>
          <w:trHeight w:val="520" w:hRule="atLeast"/>
        </w:trPr>
        <w:tc>
          <w:tcPr>
            <w:tcW w:w="4615" w:type="dxa"/>
            <w:noWrap w:val="0"/>
            <w:tcMar>
              <w:top w:w="5" w:type="dxa"/>
              <w:left w:w="113" w:type="dxa"/>
              <w:bottom w:w="5" w:type="dxa"/>
              <w:right w:w="113" w:type="dxa"/>
            </w:tcMar>
            <w:vAlign w:val="center"/>
          </w:tcPr>
          <w:p w14:paraId="0069E083">
            <w:pPr>
              <w:spacing w:before="0" w:after="0" w:line="560" w:lineRule="atLeast"/>
              <w:jc w:val="both"/>
              <w:rPr>
                <w:b w:val="0"/>
                <w:bCs w:val="0"/>
                <w:i w:val="0"/>
                <w:iCs w:val="0"/>
                <w:smallCaps w:val="0"/>
                <w:color w:val="000000" w:themeColor="text1"/>
                <w:highlight w:val="none"/>
                <w14:textFill>
                  <w14:solidFill>
                    <w14:schemeClr w14:val="tx1"/>
                  </w14:solidFill>
                </w14:textFill>
              </w:rPr>
            </w:pPr>
            <w:r>
              <w:rPr>
                <w:rFonts w:hint="eastAsia" w:ascii="楷体" w:hAnsi="楷体" w:eastAsia="楷体" w:cs="楷体"/>
                <w:b w:val="0"/>
                <w:bCs w:val="0"/>
                <w:i w:val="0"/>
                <w:iCs w:val="0"/>
                <w:smallCaps w:val="0"/>
                <w:color w:val="000000" w:themeColor="text1"/>
                <w:sz w:val="28"/>
                <w:szCs w:val="28"/>
                <w:highlight w:val="none"/>
                <w:lang w:eastAsia="zh-CN"/>
                <w14:textFill>
                  <w14:solidFill>
                    <w14:schemeClr w14:val="tx1"/>
                  </w14:solidFill>
                </w14:textFill>
              </w:rPr>
              <w:t>账</w:t>
            </w: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号：</w:t>
            </w:r>
            <w:r>
              <w:rPr>
                <w:rFonts w:hint="eastAsia" w:ascii="楷体" w:hAnsi="楷体" w:eastAsia="楷体" w:cs="楷体"/>
                <w:b w:val="0"/>
                <w:bCs w:val="0"/>
                <w:i w:val="0"/>
                <w:iCs w:val="0"/>
                <w:smallCaps w:val="0"/>
                <w:color w:val="000000" w:themeColor="text1"/>
                <w:sz w:val="28"/>
                <w:szCs w:val="28"/>
                <w:highlight w:val="none"/>
                <w14:textFill>
                  <w14:solidFill>
                    <w14:schemeClr w14:val="tx1"/>
                  </w14:solidFill>
                </w14:textFill>
              </w:rPr>
              <w:t>8411130001201100003650</w:t>
            </w:r>
          </w:p>
        </w:tc>
        <w:tc>
          <w:tcPr>
            <w:tcW w:w="4138" w:type="dxa"/>
            <w:noWrap w:val="0"/>
            <w:tcMar>
              <w:top w:w="5" w:type="dxa"/>
              <w:left w:w="113" w:type="dxa"/>
              <w:bottom w:w="5" w:type="dxa"/>
              <w:right w:w="113" w:type="dxa"/>
            </w:tcMar>
            <w:vAlign w:val="center"/>
          </w:tcPr>
          <w:p w14:paraId="65D51105">
            <w:pPr>
              <w:spacing w:before="0" w:after="0" w:line="560" w:lineRule="atLeast"/>
              <w:rPr>
                <w:b w:val="0"/>
                <w:bCs w:val="0"/>
                <w:i w:val="0"/>
                <w:iCs w:val="0"/>
                <w:smallCaps w:val="0"/>
                <w:color w:val="000000" w:themeColor="text1"/>
                <w:highlight w:val="none"/>
                <w14:textFill>
                  <w14:solidFill>
                    <w14:schemeClr w14:val="tx1"/>
                  </w14:solidFill>
                </w14:textFill>
              </w:rPr>
            </w:pPr>
            <w:r>
              <w:rPr>
                <w:rFonts w:ascii="楷体" w:hAnsi="楷体" w:eastAsia="楷体" w:cs="楷体"/>
                <w:b w:val="0"/>
                <w:bCs w:val="0"/>
                <w:i w:val="0"/>
                <w:iCs w:val="0"/>
                <w:smallCaps w:val="0"/>
                <w:color w:val="000000" w:themeColor="text1"/>
                <w:sz w:val="28"/>
                <w:szCs w:val="28"/>
                <w:highlight w:val="none"/>
                <w14:textFill>
                  <w14:solidFill>
                    <w14:schemeClr w14:val="tx1"/>
                  </w14:solidFill>
                </w14:textFill>
              </w:rPr>
              <w:t>银行账号：</w:t>
            </w:r>
          </w:p>
        </w:tc>
      </w:tr>
      <w:tr w14:paraId="212C752C">
        <w:tblPrEx>
          <w:tblCellMar>
            <w:top w:w="0" w:type="dxa"/>
            <w:left w:w="0" w:type="dxa"/>
            <w:bottom w:w="0" w:type="dxa"/>
            <w:right w:w="0" w:type="dxa"/>
          </w:tblCellMar>
        </w:tblPrEx>
        <w:trPr>
          <w:trHeight w:val="520" w:hRule="atLeast"/>
        </w:trPr>
        <w:tc>
          <w:tcPr>
            <w:tcW w:w="4615" w:type="dxa"/>
            <w:noWrap w:val="0"/>
            <w:tcMar>
              <w:top w:w="5" w:type="dxa"/>
              <w:left w:w="113" w:type="dxa"/>
              <w:bottom w:w="5" w:type="dxa"/>
              <w:right w:w="113" w:type="dxa"/>
            </w:tcMar>
            <w:vAlign w:val="center"/>
          </w:tcPr>
          <w:p w14:paraId="1A5C2868">
            <w:pPr>
              <w:spacing w:before="0" w:after="0" w:line="560" w:lineRule="atLeast"/>
              <w:jc w:val="both"/>
              <w:rPr>
                <w:b w:val="0"/>
                <w:bCs w:val="0"/>
                <w:i w:val="0"/>
                <w:iCs w:val="0"/>
                <w:smallCaps w:val="0"/>
                <w:color w:val="000000" w:themeColor="text1"/>
                <w:highlight w:val="none"/>
                <w14:textFill>
                  <w14:solidFill>
                    <w14:schemeClr w14:val="tx1"/>
                  </w14:solidFill>
                </w14:textFill>
              </w:rPr>
            </w:pPr>
            <w:r>
              <w:rPr>
                <w:rStyle w:val="32"/>
                <w:rFonts w:ascii="楷体" w:hAnsi="楷体" w:eastAsia="楷体" w:cs="楷体"/>
                <w:b w:val="0"/>
                <w:bCs w:val="0"/>
                <w:i w:val="0"/>
                <w:iCs w:val="0"/>
                <w:smallCaps w:val="0"/>
                <w:color w:val="000000" w:themeColor="text1"/>
                <w:sz w:val="28"/>
                <w:szCs w:val="28"/>
                <w:highlight w:val="none"/>
                <w14:textFill>
                  <w14:solidFill>
                    <w14:schemeClr w14:val="tx1"/>
                  </w14:solidFill>
                </w14:textFill>
              </w:rPr>
              <w:t>签订日期：</w:t>
            </w:r>
            <w:r>
              <w:rPr>
                <w:rStyle w:val="32"/>
                <w:rFonts w:hint="eastAsia" w:ascii="楷体" w:hAnsi="楷体" w:eastAsia="楷体" w:cs="楷体"/>
                <w:b w:val="0"/>
                <w:bCs w:val="0"/>
                <w:i w:val="0"/>
                <w:iCs w:val="0"/>
                <w:smallCaps w:val="0"/>
                <w:color w:val="000000" w:themeColor="text1"/>
                <w:sz w:val="28"/>
                <w:szCs w:val="28"/>
                <w:highlight w:val="none"/>
                <w:u w:val="single"/>
                <w:lang w:val="en-US" w:eastAsia="zh-CN"/>
                <w14:textFill>
                  <w14:solidFill>
                    <w14:schemeClr w14:val="tx1"/>
                  </w14:solidFill>
                </w14:textFill>
              </w:rPr>
              <w:t xml:space="preserve">    </w:t>
            </w:r>
            <w:r>
              <w:rPr>
                <w:rStyle w:val="32"/>
                <w:rFonts w:ascii="楷体" w:hAnsi="楷体" w:eastAsia="楷体" w:cs="楷体"/>
                <w:b w:val="0"/>
                <w:bCs w:val="0"/>
                <w:i w:val="0"/>
                <w:iCs w:val="0"/>
                <w:smallCaps w:val="0"/>
                <w:color w:val="000000" w:themeColor="text1"/>
                <w:sz w:val="28"/>
                <w:szCs w:val="28"/>
                <w:highlight w:val="none"/>
                <w14:textFill>
                  <w14:solidFill>
                    <w14:schemeClr w14:val="tx1"/>
                  </w14:solidFill>
                </w14:textFill>
              </w:rPr>
              <w:t>年</w:t>
            </w:r>
            <w:r>
              <w:rPr>
                <w:rStyle w:val="32"/>
                <w:rFonts w:hint="eastAsia" w:ascii="楷体" w:hAnsi="楷体" w:eastAsia="楷体" w:cs="楷体"/>
                <w:b w:val="0"/>
                <w:bCs w:val="0"/>
                <w:i w:val="0"/>
                <w:iCs w:val="0"/>
                <w:smallCaps w:val="0"/>
                <w:color w:val="000000" w:themeColor="text1"/>
                <w:sz w:val="28"/>
                <w:szCs w:val="28"/>
                <w:highlight w:val="none"/>
                <w:u w:val="single"/>
                <w:lang w:val="en-US" w:eastAsia="zh-CN"/>
                <w14:textFill>
                  <w14:solidFill>
                    <w14:schemeClr w14:val="tx1"/>
                  </w14:solidFill>
                </w14:textFill>
              </w:rPr>
              <w:t xml:space="preserve">   </w:t>
            </w:r>
            <w:r>
              <w:rPr>
                <w:rStyle w:val="32"/>
                <w:rFonts w:ascii="楷体" w:hAnsi="楷体" w:eastAsia="楷体" w:cs="楷体"/>
                <w:b w:val="0"/>
                <w:bCs w:val="0"/>
                <w:i w:val="0"/>
                <w:iCs w:val="0"/>
                <w:smallCaps w:val="0"/>
                <w:color w:val="000000" w:themeColor="text1"/>
                <w:sz w:val="28"/>
                <w:szCs w:val="28"/>
                <w:highlight w:val="none"/>
                <w14:textFill>
                  <w14:solidFill>
                    <w14:schemeClr w14:val="tx1"/>
                  </w14:solidFill>
                </w14:textFill>
              </w:rPr>
              <w:t>月</w:t>
            </w:r>
            <w:r>
              <w:rPr>
                <w:rStyle w:val="32"/>
                <w:rFonts w:hint="eastAsia" w:ascii="楷体" w:hAnsi="楷体" w:eastAsia="楷体" w:cs="楷体"/>
                <w:b w:val="0"/>
                <w:bCs w:val="0"/>
                <w:i w:val="0"/>
                <w:iCs w:val="0"/>
                <w:smallCaps w:val="0"/>
                <w:color w:val="000000" w:themeColor="text1"/>
                <w:sz w:val="28"/>
                <w:szCs w:val="28"/>
                <w:highlight w:val="none"/>
                <w:u w:val="single"/>
                <w:lang w:val="en-US" w:eastAsia="zh-CN"/>
                <w14:textFill>
                  <w14:solidFill>
                    <w14:schemeClr w14:val="tx1"/>
                  </w14:solidFill>
                </w14:textFill>
              </w:rPr>
              <w:t xml:space="preserve">   </w:t>
            </w:r>
            <w:r>
              <w:rPr>
                <w:rStyle w:val="32"/>
                <w:rFonts w:ascii="楷体" w:hAnsi="楷体" w:eastAsia="楷体" w:cs="楷体"/>
                <w:b w:val="0"/>
                <w:bCs w:val="0"/>
                <w:i w:val="0"/>
                <w:iCs w:val="0"/>
                <w:smallCaps w:val="0"/>
                <w:color w:val="000000" w:themeColor="text1"/>
                <w:sz w:val="28"/>
                <w:szCs w:val="28"/>
                <w:highlight w:val="none"/>
                <w14:textFill>
                  <w14:solidFill>
                    <w14:schemeClr w14:val="tx1"/>
                  </w14:solidFill>
                </w14:textFill>
              </w:rPr>
              <w:t>日</w:t>
            </w:r>
          </w:p>
        </w:tc>
        <w:tc>
          <w:tcPr>
            <w:tcW w:w="4138" w:type="dxa"/>
            <w:noWrap w:val="0"/>
            <w:tcMar>
              <w:top w:w="5" w:type="dxa"/>
              <w:left w:w="113" w:type="dxa"/>
              <w:bottom w:w="5" w:type="dxa"/>
              <w:right w:w="113" w:type="dxa"/>
            </w:tcMar>
            <w:vAlign w:val="center"/>
          </w:tcPr>
          <w:p w14:paraId="2B057722">
            <w:pPr>
              <w:spacing w:before="0" w:after="0" w:line="560" w:lineRule="atLeast"/>
              <w:rPr>
                <w:b w:val="0"/>
                <w:bCs w:val="0"/>
                <w:i w:val="0"/>
                <w:iCs w:val="0"/>
                <w:smallCaps w:val="0"/>
                <w:color w:val="000000" w:themeColor="text1"/>
                <w:highlight w:val="none"/>
                <w14:textFill>
                  <w14:solidFill>
                    <w14:schemeClr w14:val="tx1"/>
                  </w14:solidFill>
                </w14:textFill>
              </w:rPr>
            </w:pPr>
            <w:r>
              <w:rPr>
                <w:rStyle w:val="33"/>
                <w:rFonts w:ascii="楷体" w:hAnsi="楷体" w:eastAsia="楷体" w:cs="楷体"/>
                <w:b w:val="0"/>
                <w:bCs w:val="0"/>
                <w:i w:val="0"/>
                <w:iCs w:val="0"/>
                <w:smallCaps w:val="0"/>
                <w:color w:val="000000" w:themeColor="text1"/>
                <w:sz w:val="28"/>
                <w:szCs w:val="28"/>
                <w:highlight w:val="none"/>
                <w14:textFill>
                  <w14:solidFill>
                    <w14:schemeClr w14:val="tx1"/>
                  </w14:solidFill>
                </w14:textFill>
              </w:rPr>
              <w:t>签订日期：</w:t>
            </w:r>
            <w:r>
              <w:rPr>
                <w:rStyle w:val="32"/>
                <w:rFonts w:hint="eastAsia" w:ascii="楷体" w:hAnsi="楷体" w:eastAsia="楷体" w:cs="楷体"/>
                <w:b w:val="0"/>
                <w:bCs w:val="0"/>
                <w:i w:val="0"/>
                <w:iCs w:val="0"/>
                <w:smallCaps w:val="0"/>
                <w:color w:val="000000" w:themeColor="text1"/>
                <w:sz w:val="28"/>
                <w:szCs w:val="28"/>
                <w:highlight w:val="none"/>
                <w:u w:val="single"/>
                <w:lang w:val="en-US" w:eastAsia="zh-CN"/>
                <w14:textFill>
                  <w14:solidFill>
                    <w14:schemeClr w14:val="tx1"/>
                  </w14:solidFill>
                </w14:textFill>
              </w:rPr>
              <w:t xml:space="preserve">    </w:t>
            </w:r>
            <w:r>
              <w:rPr>
                <w:rStyle w:val="33"/>
                <w:rFonts w:ascii="楷体" w:hAnsi="楷体" w:eastAsia="楷体" w:cs="楷体"/>
                <w:b w:val="0"/>
                <w:bCs w:val="0"/>
                <w:i w:val="0"/>
                <w:iCs w:val="0"/>
                <w:smallCaps w:val="0"/>
                <w:color w:val="000000" w:themeColor="text1"/>
                <w:sz w:val="28"/>
                <w:szCs w:val="28"/>
                <w:highlight w:val="none"/>
                <w14:textFill>
                  <w14:solidFill>
                    <w14:schemeClr w14:val="tx1"/>
                  </w14:solidFill>
                </w14:textFill>
              </w:rPr>
              <w:t>年</w:t>
            </w:r>
            <w:r>
              <w:rPr>
                <w:rStyle w:val="32"/>
                <w:rFonts w:hint="eastAsia" w:ascii="楷体" w:hAnsi="楷体" w:eastAsia="楷体" w:cs="楷体"/>
                <w:b w:val="0"/>
                <w:bCs w:val="0"/>
                <w:i w:val="0"/>
                <w:iCs w:val="0"/>
                <w:smallCaps w:val="0"/>
                <w:color w:val="000000" w:themeColor="text1"/>
                <w:sz w:val="28"/>
                <w:szCs w:val="28"/>
                <w:highlight w:val="none"/>
                <w:u w:val="single"/>
                <w:lang w:val="en-US" w:eastAsia="zh-CN"/>
                <w14:textFill>
                  <w14:solidFill>
                    <w14:schemeClr w14:val="tx1"/>
                  </w14:solidFill>
                </w14:textFill>
              </w:rPr>
              <w:t xml:space="preserve">   </w:t>
            </w:r>
            <w:r>
              <w:rPr>
                <w:rStyle w:val="33"/>
                <w:rFonts w:ascii="楷体" w:hAnsi="楷体" w:eastAsia="楷体" w:cs="楷体"/>
                <w:b w:val="0"/>
                <w:bCs w:val="0"/>
                <w:i w:val="0"/>
                <w:iCs w:val="0"/>
                <w:smallCaps w:val="0"/>
                <w:color w:val="000000" w:themeColor="text1"/>
                <w:sz w:val="28"/>
                <w:szCs w:val="28"/>
                <w:highlight w:val="none"/>
                <w14:textFill>
                  <w14:solidFill>
                    <w14:schemeClr w14:val="tx1"/>
                  </w14:solidFill>
                </w14:textFill>
              </w:rPr>
              <w:t>月</w:t>
            </w:r>
            <w:r>
              <w:rPr>
                <w:rStyle w:val="32"/>
                <w:rFonts w:hint="eastAsia" w:ascii="楷体" w:hAnsi="楷体" w:eastAsia="楷体" w:cs="楷体"/>
                <w:b w:val="0"/>
                <w:bCs w:val="0"/>
                <w:i w:val="0"/>
                <w:iCs w:val="0"/>
                <w:smallCaps w:val="0"/>
                <w:color w:val="000000" w:themeColor="text1"/>
                <w:sz w:val="28"/>
                <w:szCs w:val="28"/>
                <w:highlight w:val="none"/>
                <w:u w:val="single"/>
                <w:lang w:val="en-US" w:eastAsia="zh-CN"/>
                <w14:textFill>
                  <w14:solidFill>
                    <w14:schemeClr w14:val="tx1"/>
                  </w14:solidFill>
                </w14:textFill>
              </w:rPr>
              <w:t xml:space="preserve">   </w:t>
            </w:r>
            <w:r>
              <w:rPr>
                <w:rStyle w:val="33"/>
                <w:rFonts w:ascii="楷体" w:hAnsi="楷体" w:eastAsia="楷体" w:cs="楷体"/>
                <w:b w:val="0"/>
                <w:bCs w:val="0"/>
                <w:i w:val="0"/>
                <w:iCs w:val="0"/>
                <w:smallCaps w:val="0"/>
                <w:color w:val="000000" w:themeColor="text1"/>
                <w:sz w:val="28"/>
                <w:szCs w:val="28"/>
                <w:highlight w:val="none"/>
                <w14:textFill>
                  <w14:solidFill>
                    <w14:schemeClr w14:val="tx1"/>
                  </w14:solidFill>
                </w14:textFill>
              </w:rPr>
              <w:t>日</w:t>
            </w:r>
          </w:p>
        </w:tc>
      </w:tr>
    </w:tbl>
    <w:p w14:paraId="7A24923D">
      <w:pPr>
        <w:widowControl w:val="0"/>
        <w:spacing w:before="0" w:after="0" w:line="480" w:lineRule="auto"/>
        <w:jc w:val="both"/>
        <w:rPr>
          <w:rFonts w:ascii="宋体" w:hAnsi="宋体" w:eastAsia="宋体" w:cs="宋体"/>
          <w:b/>
          <w:bCs/>
          <w:color w:val="000000" w:themeColor="text1"/>
          <w:highlight w:val="none"/>
          <w14:textFill>
            <w14:solidFill>
              <w14:schemeClr w14:val="tx1"/>
            </w14:solidFill>
          </w14:textFill>
        </w:rPr>
      </w:pPr>
    </w:p>
    <w:p w14:paraId="43082095">
      <w:pPr>
        <w:widowControl w:val="0"/>
        <w:spacing w:before="0" w:after="0" w:line="480" w:lineRule="auto"/>
        <w:jc w:val="both"/>
        <w:rPr>
          <w:rFonts w:ascii="宋体" w:hAnsi="宋体" w:eastAsia="宋体" w:cs="宋体"/>
          <w:b/>
          <w:bCs/>
          <w:color w:val="000000" w:themeColor="text1"/>
          <w:highlight w:val="none"/>
          <w14:textFill>
            <w14:solidFill>
              <w14:schemeClr w14:val="tx1"/>
            </w14:solidFill>
          </w14:textFill>
        </w:rPr>
      </w:pPr>
    </w:p>
    <w:p w14:paraId="6FEEC80D">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highlight w:val="none"/>
          <w14:textFill>
            <w14:solidFill>
              <w14:schemeClr w14:val="tx1"/>
            </w14:solidFill>
          </w14:textFill>
        </w:rPr>
        <w:t>附件1</w:t>
      </w:r>
    </w:p>
    <w:p w14:paraId="678D2BAE">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ascii="宋体" w:hAnsi="宋体" w:eastAsia="宋体" w:cs="宋体"/>
          <w:b/>
          <w:bCs/>
          <w:color w:val="000000" w:themeColor="text1"/>
          <w:sz w:val="36"/>
          <w:szCs w:val="36"/>
          <w:highlight w:val="none"/>
          <w14:textFill>
            <w14:solidFill>
              <w14:schemeClr w14:val="tx1"/>
            </w14:solidFill>
          </w14:textFill>
        </w:rPr>
      </w:pPr>
      <w:r>
        <w:rPr>
          <w:rFonts w:ascii="宋体" w:hAnsi="宋体" w:eastAsia="宋体" w:cs="宋体"/>
          <w:b/>
          <w:bCs/>
          <w:color w:val="000000" w:themeColor="text1"/>
          <w:sz w:val="36"/>
          <w:szCs w:val="36"/>
          <w:highlight w:val="none"/>
          <w14:textFill>
            <w14:solidFill>
              <w14:schemeClr w14:val="tx1"/>
            </w14:solidFill>
          </w14:textFill>
        </w:rPr>
        <w:t>廉 政 协 议</w:t>
      </w:r>
    </w:p>
    <w:p w14:paraId="02E6BB92">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ascii="宋体" w:hAnsi="宋体" w:eastAsia="宋体" w:cs="宋体"/>
          <w:b/>
          <w:bCs/>
          <w:color w:val="000000" w:themeColor="text1"/>
          <w:sz w:val="36"/>
          <w:szCs w:val="36"/>
          <w:highlight w:val="none"/>
          <w14:textFill>
            <w14:solidFill>
              <w14:schemeClr w14:val="tx1"/>
            </w14:solidFill>
          </w14:textFill>
        </w:rPr>
      </w:pPr>
    </w:p>
    <w:p w14:paraId="776EFA2E">
      <w:pPr>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b w:val="0"/>
          <w:bCs w:val="0"/>
          <w:i w:val="0"/>
          <w:iCs w:val="0"/>
          <w:smallCap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i w:val="0"/>
          <w:iCs w:val="0"/>
          <w:smallCaps w:val="0"/>
          <w:color w:val="000000" w:themeColor="text1"/>
          <w:sz w:val="24"/>
          <w:szCs w:val="24"/>
          <w:highlight w:val="none"/>
          <w14:textFill>
            <w14:solidFill>
              <w14:schemeClr w14:val="tx1"/>
            </w14:solidFill>
          </w14:textFill>
        </w:rPr>
        <w:t>法定代表人（或委托代理人）</w:t>
      </w:r>
      <w:r>
        <w:rPr>
          <w:rFonts w:hint="eastAsia" w:ascii="宋体" w:hAnsi="宋体" w:eastAsia="宋体" w:cs="宋体"/>
          <w:b w:val="0"/>
          <w:bCs w:val="0"/>
          <w:i w:val="0"/>
          <w:iCs w:val="0"/>
          <w:smallCap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z w:val="24"/>
          <w:szCs w:val="24"/>
          <w:highlight w:val="none"/>
          <w:lang w:val="en-US" w:eastAsia="zh-CN"/>
          <w14:textFill>
            <w14:solidFill>
              <w14:schemeClr w14:val="tx1"/>
            </w14:solidFill>
          </w14:textFill>
        </w:rPr>
        <w:t>盖章）</w:t>
      </w:r>
    </w:p>
    <w:p w14:paraId="02A92645">
      <w:pPr>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b w:val="0"/>
          <w:bCs w:val="0"/>
          <w:i w:val="0"/>
          <w:iCs w:val="0"/>
          <w:smallCaps w:val="0"/>
          <w:color w:val="000000" w:themeColor="text1"/>
          <w:sz w:val="24"/>
          <w:szCs w:val="24"/>
          <w:highlight w:val="none"/>
          <w:lang w:val="en-US" w:eastAsia="zh-CN"/>
          <w14:textFill>
            <w14:solidFill>
              <w14:schemeClr w14:val="tx1"/>
            </w14:solidFill>
          </w14:textFill>
        </w:rPr>
      </w:pPr>
    </w:p>
    <w:p w14:paraId="45F97912">
      <w:pPr>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b w:val="0"/>
          <w:bCs w:val="0"/>
          <w:i w:val="0"/>
          <w:iCs w:val="0"/>
          <w:smallCaps w:val="0"/>
          <w:color w:val="000000" w:themeColor="text1"/>
          <w:sz w:val="24"/>
          <w:szCs w:val="24"/>
          <w:highlight w:val="none"/>
          <w14:textFill>
            <w14:solidFill>
              <w14:schemeClr w14:val="tx1"/>
            </w14:solidFill>
          </w14:textFill>
        </w:rPr>
        <w:t>法定代表人（或委托代理人）</w:t>
      </w:r>
      <w:r>
        <w:rPr>
          <w:rFonts w:hint="eastAsia" w:ascii="宋体" w:hAnsi="宋体" w:eastAsia="宋体" w:cs="宋体"/>
          <w:b w:val="0"/>
          <w:bCs w:val="0"/>
          <w:i w:val="0"/>
          <w:iCs w:val="0"/>
          <w:smallCap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i w:val="0"/>
          <w:iCs w:val="0"/>
          <w:smallCaps w:val="0"/>
          <w:color w:val="000000" w:themeColor="text1"/>
          <w:sz w:val="24"/>
          <w:szCs w:val="24"/>
          <w:highlight w:val="none"/>
          <w:lang w:val="en-US" w:eastAsia="zh-CN"/>
          <w14:textFill>
            <w14:solidFill>
              <w14:schemeClr w14:val="tx1"/>
            </w14:solidFill>
          </w14:textFill>
        </w:rPr>
        <w:t>盖章）</w:t>
      </w:r>
    </w:p>
    <w:p w14:paraId="1392304D">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根据国家、省（市）、自治区有关廉政建设的规定，为做好合同工程的廉政建设，保证工程质量与施工安全，提高建设资金的有效使用和投资效益，合同双方当事人就加强合同工程的廉政建设，订立本合同。</w:t>
      </w:r>
    </w:p>
    <w:p w14:paraId="468CDF86">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双方权利和义务</w:t>
      </w:r>
    </w:p>
    <w:p w14:paraId="50E6EA1F">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严格遵守国家、省有关法律法规的规定。</w:t>
      </w:r>
    </w:p>
    <w:p w14:paraId="27996596">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 严格执行合同工程一切合同文件，自觉按合同办事。</w:t>
      </w:r>
    </w:p>
    <w:p w14:paraId="5189B601">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 合同双方当事人的业务活动应坚持公平、公开、公正和诚信原则（法律认定的商业秘密和合同文件另有规定除外），不得损害国家和集体利益，不得违反工程建设管理规章制度。</w:t>
      </w:r>
    </w:p>
    <w:p w14:paraId="2EA2AFFE">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 建立健全廉政制度，开展廉政教育，设立廉政告示牌，公布举报电话，监督并认真查处违法违纪行为。</w:t>
      </w:r>
    </w:p>
    <w:p w14:paraId="2B19E40D">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发现对方在业务活动中有违反廉政建设规定的行为，应及时给予提醒和纠正。</w:t>
      </w:r>
    </w:p>
    <w:p w14:paraId="54BFA096">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 发现对方严重违反合同的行为，有向其上级部门举报、建议给予处理并要求告知处理结果的权利。</w:t>
      </w:r>
    </w:p>
    <w:p w14:paraId="2B1367C4">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甲方义务</w:t>
      </w:r>
    </w:p>
    <w:p w14:paraId="33AFD319">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甲方及其工作人员不得索取或接受乙方的礼金、有价证券和贵重物品，不得由乙方报销任何应由甲方或其工作人员个人支付的费用。</w:t>
      </w:r>
    </w:p>
    <w:p w14:paraId="3D6245B8">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甲方及其工作人员不得参加乙方安排的宴请（工作餐除外）和娱乐活动，不得接受乙方提供的通讯、交通工具和高档办公用品等物品。</w:t>
      </w:r>
    </w:p>
    <w:p w14:paraId="2CD65371">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甲方及其工作人员不得要求或者接受乙方为其住房装修、婚丧嫁娶活动、配偶子女工作安排以及出国出境、旅游等提供方便。</w:t>
      </w:r>
    </w:p>
    <w:p w14:paraId="03047A43">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甲方及其工作人员不得以任何理由向乙方推荐分包人、推销材料和工程设备，不得要求乙方购买合同以外的材料和工程设备。</w:t>
      </w:r>
    </w:p>
    <w:p w14:paraId="3C81D4CD">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 甲方及其工作人员要秉公办事，不准营私舞弊，不准利用职权私自为合同工程安排施工队伍，也不得从事与合同工程有关的各种有偿中介活动。</w:t>
      </w:r>
    </w:p>
    <w:p w14:paraId="72348855">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 甲方及其工作人员（含其配偶、子女）不得从事与合同工程有关的材料和工程设备供应、工程分包、劳务等经济活动。</w:t>
      </w:r>
    </w:p>
    <w:p w14:paraId="30C7F5F0">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2.7甲方及其工作人员不得利用职权和工作之便向乙方提出上述各项规定禁止事项或要求之外的与工作业务无关的事项或要求。</w:t>
      </w:r>
    </w:p>
    <w:p w14:paraId="6166D1E2">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乙方义务</w:t>
      </w:r>
    </w:p>
    <w:p w14:paraId="014E14B0">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乙方不得以任何理由向甲方及其工作人员行贿或馈赠礼金、有价证券、贵重礼品。</w:t>
      </w:r>
    </w:p>
    <w:p w14:paraId="77AD6179">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乙方不得以</w:t>
      </w:r>
      <w:r>
        <w:rPr>
          <w:rFonts w:hint="eastAsia" w:ascii="宋体" w:hAnsi="宋体" w:eastAsia="宋体" w:cs="宋体"/>
          <w:color w:val="000000" w:themeColor="text1"/>
          <w:sz w:val="24"/>
          <w:szCs w:val="24"/>
          <w:highlight w:val="none"/>
          <w:lang w:eastAsia="zh-CN"/>
          <w14:textFill>
            <w14:solidFill>
              <w14:schemeClr w14:val="tx1"/>
            </w14:solidFill>
          </w14:textFill>
        </w:rPr>
        <w:t>任何</w:t>
      </w:r>
      <w:r>
        <w:rPr>
          <w:rFonts w:hint="eastAsia" w:ascii="宋体" w:hAnsi="宋体" w:eastAsia="宋体" w:cs="宋体"/>
          <w:color w:val="000000" w:themeColor="text1"/>
          <w:sz w:val="24"/>
          <w:szCs w:val="24"/>
          <w:highlight w:val="none"/>
          <w14:textFill>
            <w14:solidFill>
              <w14:schemeClr w14:val="tx1"/>
            </w14:solidFill>
          </w14:textFill>
        </w:rPr>
        <w:t>名义为甲方及其工作人员报销应由甲方或其工作人员个人支付任何</w:t>
      </w:r>
      <w:r>
        <w:rPr>
          <w:rFonts w:hint="eastAsia" w:ascii="宋体" w:hAnsi="宋体" w:eastAsia="宋体" w:cs="宋体"/>
          <w:color w:val="000000" w:themeColor="text1"/>
          <w:sz w:val="24"/>
          <w:szCs w:val="24"/>
          <w:highlight w:val="none"/>
          <w:lang w:eastAsia="zh-CN"/>
          <w14:textFill>
            <w14:solidFill>
              <w14:schemeClr w14:val="tx1"/>
            </w14:solidFill>
          </w14:textFill>
        </w:rPr>
        <w:t>费用</w:t>
      </w:r>
      <w:r>
        <w:rPr>
          <w:rFonts w:hint="eastAsia" w:ascii="宋体" w:hAnsi="宋体" w:eastAsia="宋体" w:cs="宋体"/>
          <w:color w:val="000000" w:themeColor="text1"/>
          <w:sz w:val="24"/>
          <w:szCs w:val="24"/>
          <w:highlight w:val="none"/>
          <w14:textFill>
            <w14:solidFill>
              <w14:schemeClr w14:val="tx1"/>
            </w14:solidFill>
          </w14:textFill>
        </w:rPr>
        <w:t>。</w:t>
      </w:r>
    </w:p>
    <w:p w14:paraId="36C6D8FB">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 乙方不得以任何理由安排甲方及其工作人员参加宴请（工作餐除外）及娱乐活动。</w:t>
      </w:r>
    </w:p>
    <w:p w14:paraId="59F1EB16">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 乙方不得为甲方和个人购置或</w:t>
      </w:r>
      <w:r>
        <w:rPr>
          <w:rFonts w:hint="eastAsia" w:ascii="宋体" w:hAnsi="宋体" w:eastAsia="宋体" w:cs="宋体"/>
          <w:color w:val="000000" w:themeColor="text1"/>
          <w:sz w:val="24"/>
          <w:szCs w:val="24"/>
          <w:highlight w:val="none"/>
          <w:lang w:eastAsia="zh-CN"/>
          <w14:textFill>
            <w14:solidFill>
              <w14:schemeClr w14:val="tx1"/>
            </w14:solidFill>
          </w14:textFill>
        </w:rPr>
        <w:t>提供通信</w:t>
      </w:r>
      <w:r>
        <w:rPr>
          <w:rFonts w:hint="eastAsia" w:ascii="宋体" w:hAnsi="宋体" w:eastAsia="宋体" w:cs="宋体"/>
          <w:color w:val="000000" w:themeColor="text1"/>
          <w:sz w:val="24"/>
          <w:szCs w:val="24"/>
          <w:highlight w:val="none"/>
          <w14:textFill>
            <w14:solidFill>
              <w14:schemeClr w14:val="tx1"/>
            </w14:solidFill>
          </w14:textFill>
        </w:rPr>
        <w:t>、交通工具和高档办公用品等物品。</w:t>
      </w:r>
    </w:p>
    <w:p w14:paraId="3DE7110B">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 乙方不得为甲方及其工作人员的住房装修、婚丧嫁娶活动、配偶子女工作安排以及出国出境、旅游等提供方便。</w:t>
      </w:r>
    </w:p>
    <w:p w14:paraId="028F803C">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3.6甲方对涉嫌不廉洁的商业行为进行调查时，乙方有配合甲方提供证据、</w:t>
      </w:r>
      <w:r>
        <w:rPr>
          <w:rFonts w:hint="eastAsia" w:ascii="宋体" w:hAnsi="宋体" w:eastAsia="宋体" w:cs="宋体"/>
          <w:color w:val="000000" w:themeColor="text1"/>
          <w:sz w:val="24"/>
          <w:szCs w:val="24"/>
          <w:highlight w:val="none"/>
          <w:lang w:eastAsia="zh-CN"/>
          <w14:textFill>
            <w14:solidFill>
              <w14:schemeClr w14:val="tx1"/>
            </w14:solidFill>
          </w14:textFill>
        </w:rPr>
        <w:t>做证</w:t>
      </w:r>
      <w:r>
        <w:rPr>
          <w:rFonts w:hint="eastAsia" w:ascii="宋体" w:hAnsi="宋体" w:eastAsia="宋体" w:cs="宋体"/>
          <w:color w:val="000000" w:themeColor="text1"/>
          <w:sz w:val="24"/>
          <w:szCs w:val="24"/>
          <w:highlight w:val="none"/>
          <w14:textFill>
            <w14:solidFill>
              <w14:schemeClr w14:val="tx1"/>
            </w14:solidFill>
          </w14:textFill>
        </w:rPr>
        <w:t>的义务。</w:t>
      </w:r>
    </w:p>
    <w:p w14:paraId="06BCBC2B">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3.7</w:t>
      </w:r>
      <w:r>
        <w:rPr>
          <w:rFonts w:hint="eastAsia" w:ascii="宋体" w:hAnsi="宋体" w:eastAsia="宋体" w:cs="宋体"/>
          <w:color w:val="000000" w:themeColor="text1"/>
          <w:sz w:val="24"/>
          <w:szCs w:val="24"/>
          <w:highlight w:val="none"/>
          <w14:textFill>
            <w14:solidFill>
              <w14:schemeClr w14:val="tx1"/>
            </w14:solidFill>
          </w14:textFill>
        </w:rPr>
        <w:t>在履行本合同过程中，乙方利用甲方提供的资料、数据等完成的检测成果，其知识产权归甲方所有。</w:t>
      </w:r>
    </w:p>
    <w:p w14:paraId="3034FA00">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未经甲方单位书面同意，乙方不得向任何新闻媒体、第三人述及有关甲方及其工作人员廉政建设方面的评价、信息。</w:t>
      </w:r>
    </w:p>
    <w:p w14:paraId="194FADA8">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违约责任</w:t>
      </w:r>
    </w:p>
    <w:p w14:paraId="701F4CDD">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甲方及其工作人员有违反本合同第1条、第2条规定的，甲方将对有关人员进行经济处罚和行政处理（包括调岗、降级、降职，以至解除劳动关系等，视情节轻重而定）；涉嫌犯罪的，移交司法机关追究刑事责任；给乙方造成损失的，应予赔偿。</w:t>
      </w:r>
    </w:p>
    <w:p w14:paraId="675E3676">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4.2乙方及其工作人员有违反本合同第1条、第3条规定的，根据具体情节和造成的后果，给予乙方通报、解除合同、1～3 年内不得进入辖内工程建设市场的处罚；涉嫌犯罪的，建议司法机关追究刑事责任；给甲方造成损失的，应予赔偿。</w:t>
      </w:r>
    </w:p>
    <w:p w14:paraId="3A830087">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双方约定</w:t>
      </w:r>
    </w:p>
    <w:p w14:paraId="525D13A4">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本合同由合同双方当事人或其上级部门负责监督执行，并由合同双方当事人或其上级部门相互约请对本合同执行情况进行检查。</w:t>
      </w:r>
    </w:p>
    <w:p w14:paraId="44801271">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合同法律效力  本合同作为</w:t>
      </w:r>
      <w:r>
        <w:rPr>
          <w:rFonts w:hint="eastAsia" w:ascii="宋体" w:hAnsi="宋体" w:eastAsia="宋体" w:cs="宋体"/>
          <w:b/>
          <w:bCs/>
          <w:color w:val="000000" w:themeColor="text1"/>
          <w:sz w:val="24"/>
          <w:szCs w:val="24"/>
          <w:highlight w:val="none"/>
          <w:u w:val="single"/>
          <w14:textFill>
            <w14:solidFill>
              <w14:schemeClr w14:val="tx1"/>
            </w14:solidFill>
          </w14:textFill>
        </w:rPr>
        <w:t>见证取样 </w:t>
      </w:r>
      <w:r>
        <w:rPr>
          <w:rFonts w:hint="eastAsia" w:ascii="宋体" w:hAnsi="宋体" w:eastAsia="宋体" w:cs="宋体"/>
          <w:color w:val="000000" w:themeColor="text1"/>
          <w:sz w:val="24"/>
          <w:szCs w:val="24"/>
          <w:highlight w:val="none"/>
          <w14:textFill>
            <w14:solidFill>
              <w14:schemeClr w14:val="tx1"/>
            </w14:solidFill>
          </w14:textFill>
        </w:rPr>
        <w:t>合同的附件，与施工合同具有同等的法律效力。</w:t>
      </w:r>
    </w:p>
    <w:p w14:paraId="5CDEFBFB">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合同生效  本合同自合同双方当事人签署之日起生效。</w:t>
      </w:r>
    </w:p>
    <w:p w14:paraId="34953978">
      <w:pPr>
        <w:keepNext w:val="0"/>
        <w:keepLines w:val="0"/>
        <w:pageBreakBefore w:val="0"/>
        <w:widowControl w:val="0"/>
        <w:kinsoku/>
        <w:wordWrap/>
        <w:overflowPunct/>
        <w:topLinePunct w:val="0"/>
        <w:autoSpaceDE/>
        <w:autoSpaceDN/>
        <w:bidi w:val="0"/>
        <w:adjustRightInd/>
        <w:snapToGrid/>
        <w:spacing w:before="0" w:after="0" w:line="400" w:lineRule="exact"/>
        <w:ind w:firstLine="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合同份数  本合同一式</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份，甲方持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sz w:val="24"/>
          <w:szCs w:val="24"/>
          <w:highlight w:val="none"/>
          <w14:textFill>
            <w14:solidFill>
              <w14:schemeClr w14:val="tx1"/>
            </w14:solidFill>
          </w14:textFill>
        </w:rPr>
        <w:t>份，乙方持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份。</w:t>
      </w:r>
    </w:p>
    <w:p w14:paraId="713F1277">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color w:val="000000" w:themeColor="text1"/>
          <w:highlight w:val="none"/>
          <w14:textFill>
            <w14:solidFill>
              <w14:schemeClr w14:val="tx1"/>
            </w14:solidFill>
          </w14:textFill>
        </w:rPr>
      </w:pPr>
    </w:p>
    <w:p w14:paraId="145E8868">
      <w:pPr>
        <w:widowControl w:val="0"/>
        <w:spacing w:before="0" w:after="0" w:line="360" w:lineRule="auto"/>
        <w:jc w:val="both"/>
        <w:rPr>
          <w:color w:val="000000" w:themeColor="text1"/>
          <w:highlight w:val="none"/>
          <w14:textFill>
            <w14:solidFill>
              <w14:schemeClr w14:val="tx1"/>
            </w14:solidFill>
          </w14:textFill>
        </w:rPr>
      </w:pPr>
    </w:p>
    <w:p w14:paraId="0640943B">
      <w:pPr>
        <w:widowControl w:val="0"/>
        <w:spacing w:before="0" w:after="0" w:line="360" w:lineRule="auto"/>
        <w:jc w:val="both"/>
        <w:rPr>
          <w:color w:val="000000" w:themeColor="text1"/>
          <w:highlight w:val="none"/>
          <w14:textFill>
            <w14:solidFill>
              <w14:schemeClr w14:val="tx1"/>
            </w14:solidFill>
          </w14:textFill>
        </w:rPr>
      </w:pPr>
    </w:p>
    <w:p w14:paraId="71194470">
      <w:pPr>
        <w:pStyle w:val="8"/>
        <w:spacing w:line="266" w:lineRule="auto"/>
        <w:rPr>
          <w:rFonts w:hint="eastAsia" w:ascii="宋体" w:hAnsi="宋体" w:eastAsia="宋体" w:cs="宋体"/>
          <w:color w:val="000000" w:themeColor="text1"/>
          <w:sz w:val="24"/>
          <w:szCs w:val="24"/>
          <w:highlight w:val="none"/>
          <w14:textFill>
            <w14:solidFill>
              <w14:schemeClr w14:val="tx1"/>
            </w14:solidFill>
          </w14:textFill>
        </w:rPr>
      </w:pPr>
    </w:p>
    <w:p w14:paraId="69CD2B03">
      <w:pPr>
        <w:spacing w:before="78" w:line="217" w:lineRule="auto"/>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2"/>
          <w:sz w:val="24"/>
          <w:szCs w:val="24"/>
          <w:highlight w:val="none"/>
          <w14:textFill>
            <w14:solidFill>
              <w14:schemeClr w14:val="tx1"/>
            </w14:solidFill>
          </w14:textFill>
        </w:rPr>
        <w:t>甲     方 ：</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14:textFill>
            <w14:solidFill>
              <w14:schemeClr w14:val="tx1"/>
            </w14:solidFill>
          </w14:textFill>
        </w:rPr>
        <w:t xml:space="preserve"> </w:t>
      </w:r>
      <w:r>
        <w:rPr>
          <w:rFonts w:hint="eastAsia" w:ascii="宋体" w:hAnsi="宋体" w:eastAsia="宋体" w:cs="宋体"/>
          <w:i w:val="0"/>
          <w:iCs w:val="0"/>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22"/>
          <w:sz w:val="24"/>
          <w:szCs w:val="24"/>
          <w:highlight w:val="none"/>
          <w14:textFill>
            <w14:solidFill>
              <w14:schemeClr w14:val="tx1"/>
            </w14:solidFill>
          </w14:textFill>
        </w:rPr>
        <w:t>乙</w:t>
      </w:r>
      <w:r>
        <w:rPr>
          <w:rFonts w:hint="eastAsia" w:ascii="宋体" w:hAnsi="宋体" w:eastAsia="宋体" w:cs="宋体"/>
          <w:i w:val="0"/>
          <w:iCs w:val="0"/>
          <w:color w:val="000000" w:themeColor="text1"/>
          <w:spacing w:val="7"/>
          <w:sz w:val="24"/>
          <w:szCs w:val="24"/>
          <w:highlight w:val="none"/>
          <w14:textFill>
            <w14:solidFill>
              <w14:schemeClr w14:val="tx1"/>
            </w14:solidFill>
          </w14:textFill>
        </w:rPr>
        <w:t xml:space="preserve">    </w:t>
      </w:r>
      <w:r>
        <w:rPr>
          <w:rFonts w:hint="eastAsia" w:ascii="宋体" w:hAnsi="宋体" w:eastAsia="宋体" w:cs="宋体"/>
          <w:i w:val="0"/>
          <w:iCs w:val="0"/>
          <w:color w:val="000000" w:themeColor="text1"/>
          <w:spacing w:val="-22"/>
          <w:sz w:val="24"/>
          <w:szCs w:val="24"/>
          <w:highlight w:val="none"/>
          <w14:textFill>
            <w14:solidFill>
              <w14:schemeClr w14:val="tx1"/>
            </w14:solidFill>
          </w14:textFill>
        </w:rPr>
        <w:t>方：</w:t>
      </w:r>
    </w:p>
    <w:p w14:paraId="330FAE92">
      <w:pPr>
        <w:pStyle w:val="8"/>
        <w:spacing w:line="289" w:lineRule="auto"/>
        <w:rPr>
          <w:rFonts w:hint="eastAsia" w:ascii="宋体" w:hAnsi="宋体" w:eastAsia="宋体" w:cs="宋体"/>
          <w:i w:val="0"/>
          <w:iCs w:val="0"/>
          <w:color w:val="000000" w:themeColor="text1"/>
          <w:sz w:val="24"/>
          <w:szCs w:val="24"/>
          <w:highlight w:val="none"/>
          <w14:textFill>
            <w14:solidFill>
              <w14:schemeClr w14:val="tx1"/>
            </w14:solidFill>
          </w14:textFill>
        </w:rPr>
      </w:pPr>
    </w:p>
    <w:p w14:paraId="508A5871">
      <w:pPr>
        <w:spacing w:before="75" w:line="221"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单位名称(公章):</w:t>
      </w:r>
      <w:r>
        <w:rPr>
          <w:rFonts w:hint="eastAsia" w:ascii="宋体" w:hAnsi="宋体" w:eastAsia="宋体" w:cs="宋体"/>
          <w:color w:val="000000" w:themeColor="text1"/>
          <w:spacing w:val="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单位名称(公章):</w:t>
      </w:r>
    </w:p>
    <w:p w14:paraId="31F1E417">
      <w:pPr>
        <w:pStyle w:val="8"/>
        <w:spacing w:line="296" w:lineRule="auto"/>
        <w:rPr>
          <w:rFonts w:hint="eastAsia" w:ascii="宋体" w:hAnsi="宋体" w:eastAsia="宋体" w:cs="宋体"/>
          <w:color w:val="000000" w:themeColor="text1"/>
          <w:sz w:val="24"/>
          <w:szCs w:val="24"/>
          <w:highlight w:val="none"/>
          <w14:textFill>
            <w14:solidFill>
              <w14:schemeClr w14:val="tx1"/>
            </w14:solidFill>
          </w14:textFill>
        </w:rPr>
      </w:pPr>
    </w:p>
    <w:p w14:paraId="6E0FE7B0">
      <w:pPr>
        <w:spacing w:before="75" w:line="222" w:lineRule="auto"/>
        <w:jc w:val="center"/>
        <w:rPr>
          <w:rFonts w:hint="eastAsia" w:ascii="宋体" w:hAnsi="宋体" w:eastAsia="宋体" w:cs="宋体"/>
          <w:color w:val="000000" w:themeColor="text1"/>
          <w:spacing w:val="19"/>
          <w:sz w:val="24"/>
          <w:szCs w:val="24"/>
          <w:highlight w:val="none"/>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法定代表人或授权代理人：(签字)   法定代表人或授权代理人：(签字)</w:t>
      </w:r>
    </w:p>
    <w:p w14:paraId="185C5A1B">
      <w:pPr>
        <w:spacing w:before="71" w:line="223" w:lineRule="auto"/>
        <w:rPr>
          <w:rFonts w:hint="eastAsia" w:ascii="宋体" w:hAnsi="宋体" w:eastAsia="宋体" w:cs="宋体"/>
          <w:color w:val="000000" w:themeColor="text1"/>
          <w:spacing w:val="-12"/>
          <w:sz w:val="24"/>
          <w:szCs w:val="24"/>
          <w:highlight w:val="none"/>
          <w14:textFill>
            <w14:solidFill>
              <w14:schemeClr w14:val="tx1"/>
            </w14:solidFill>
          </w14:textFill>
        </w:rPr>
      </w:pPr>
    </w:p>
    <w:p w14:paraId="551085A9">
      <w:pPr>
        <w:spacing w:before="71" w:line="223" w:lineRule="auto"/>
        <w:rPr>
          <w:rFonts w:hint="eastAsia" w:ascii="宋体" w:hAnsi="宋体" w:eastAsia="宋体" w:cs="宋体"/>
          <w:color w:val="000000" w:themeColor="text1"/>
          <w:spacing w:val="-12"/>
          <w:sz w:val="24"/>
          <w:szCs w:val="24"/>
          <w:highlight w:val="none"/>
          <w14:textFill>
            <w14:solidFill>
              <w14:schemeClr w14:val="tx1"/>
            </w14:solidFill>
          </w14:textFill>
        </w:rPr>
      </w:pPr>
    </w:p>
    <w:p w14:paraId="02CC2244">
      <w:pPr>
        <w:spacing w:before="71" w:line="223"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12"/>
          <w:sz w:val="24"/>
          <w:szCs w:val="24"/>
          <w:highlight w:val="none"/>
          <w14:textFill>
            <w14:solidFill>
              <w14:schemeClr w14:val="tx1"/>
            </w14:solidFill>
          </w14:textFill>
        </w:rPr>
        <w:t>电</w:t>
      </w:r>
      <w:r>
        <w:rPr>
          <w:rFonts w:hint="eastAsia" w:ascii="宋体" w:hAnsi="宋体" w:eastAsia="宋体" w:cs="宋体"/>
          <w:b w:val="0"/>
          <w:bCs w:val="0"/>
          <w:color w:val="000000" w:themeColor="text1"/>
          <w:spacing w:val="22"/>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12"/>
          <w:sz w:val="24"/>
          <w:szCs w:val="24"/>
          <w:highlight w:val="none"/>
          <w14:textFill>
            <w14:solidFill>
              <w14:schemeClr w14:val="tx1"/>
            </w14:solidFill>
          </w14:textFill>
        </w:rPr>
        <w:t xml:space="preserve">话 ：                </w:t>
      </w:r>
      <w:r>
        <w:rPr>
          <w:rFonts w:hint="eastAsia" w:ascii="宋体" w:hAnsi="宋体" w:eastAsia="宋体" w:cs="宋体"/>
          <w:b w:val="0"/>
          <w:bCs w:val="0"/>
          <w:color w:val="000000" w:themeColor="text1"/>
          <w:spacing w:val="-13"/>
          <w:sz w:val="24"/>
          <w:szCs w:val="24"/>
          <w:highlight w:val="none"/>
          <w14:textFill>
            <w14:solidFill>
              <w14:schemeClr w14:val="tx1"/>
            </w14:solidFill>
          </w14:textFill>
        </w:rPr>
        <w:t xml:space="preserve">                  </w:t>
      </w:r>
      <w:r>
        <w:rPr>
          <w:rFonts w:hint="eastAsia" w:ascii="宋体" w:hAnsi="宋体" w:cs="宋体"/>
          <w:b w:val="0"/>
          <w:bCs w:val="0"/>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3"/>
          <w:sz w:val="24"/>
          <w:szCs w:val="24"/>
          <w:highlight w:val="none"/>
          <w14:textFill>
            <w14:solidFill>
              <w14:schemeClr w14:val="tx1"/>
            </w14:solidFill>
          </w14:textFill>
        </w:rPr>
        <w:t>电</w:t>
      </w:r>
      <w:r>
        <w:rPr>
          <w:rFonts w:hint="eastAsia" w:ascii="宋体" w:hAnsi="宋体" w:eastAsia="宋体" w:cs="宋体"/>
          <w:b w:val="0"/>
          <w:bCs w:val="0"/>
          <w:color w:val="000000" w:themeColor="text1"/>
          <w:spacing w:val="19"/>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13"/>
          <w:sz w:val="24"/>
          <w:szCs w:val="24"/>
          <w:highlight w:val="none"/>
          <w14:textFill>
            <w14:solidFill>
              <w14:schemeClr w14:val="tx1"/>
            </w14:solidFill>
          </w14:textFill>
        </w:rPr>
        <w:t>话</w:t>
      </w:r>
      <w:r>
        <w:rPr>
          <w:rFonts w:hint="eastAsia" w:ascii="宋体" w:hAnsi="宋体" w:eastAsia="宋体" w:cs="宋体"/>
          <w:b w:val="0"/>
          <w:bCs w:val="0"/>
          <w:color w:val="000000" w:themeColor="text1"/>
          <w:spacing w:val="-43"/>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13"/>
          <w:sz w:val="24"/>
          <w:szCs w:val="24"/>
          <w:highlight w:val="none"/>
          <w14:textFill>
            <w14:solidFill>
              <w14:schemeClr w14:val="tx1"/>
            </w14:solidFill>
          </w14:textFill>
        </w:rPr>
        <w:t>：</w:t>
      </w:r>
    </w:p>
    <w:p w14:paraId="2921CB2D">
      <w:pPr>
        <w:pStyle w:val="8"/>
        <w:spacing w:line="290" w:lineRule="auto"/>
        <w:rPr>
          <w:rFonts w:hint="eastAsia" w:ascii="宋体" w:hAnsi="宋体" w:eastAsia="宋体" w:cs="宋体"/>
          <w:b w:val="0"/>
          <w:bCs w:val="0"/>
          <w:color w:val="000000" w:themeColor="text1"/>
          <w:sz w:val="24"/>
          <w:szCs w:val="24"/>
          <w:highlight w:val="none"/>
          <w14:textFill>
            <w14:solidFill>
              <w14:schemeClr w14:val="tx1"/>
            </w14:solidFill>
          </w14:textFill>
        </w:rPr>
      </w:pPr>
    </w:p>
    <w:p w14:paraId="277A8666">
      <w:pPr>
        <w:spacing w:before="72" w:line="223" w:lineRule="auto"/>
        <w:rPr>
          <w:rFonts w:hint="eastAsia" w:ascii="宋体" w:hAnsi="宋体" w:eastAsia="宋体" w:cs="宋体"/>
          <w:b w:val="0"/>
          <w:bCs w:val="0"/>
          <w:color w:val="000000" w:themeColor="text1"/>
          <w:spacing w:val="9"/>
          <w:sz w:val="24"/>
          <w:szCs w:val="24"/>
          <w:highlight w:val="none"/>
          <w14:textFill>
            <w14:solidFill>
              <w14:schemeClr w14:val="tx1"/>
            </w14:solidFill>
          </w14:textFill>
        </w:rPr>
      </w:pPr>
      <w:r>
        <w:rPr>
          <w:rFonts w:hint="eastAsia" w:ascii="宋体" w:hAnsi="宋体" w:eastAsia="宋体" w:cs="宋体"/>
          <w:b w:val="0"/>
          <w:bCs w:val="0"/>
          <w:color w:val="000000" w:themeColor="text1"/>
          <w:spacing w:val="10"/>
          <w:sz w:val="24"/>
          <w:szCs w:val="24"/>
          <w:highlight w:val="none"/>
          <w14:textFill>
            <w14:solidFill>
              <w14:schemeClr w14:val="tx1"/>
            </w14:solidFill>
          </w14:textFill>
        </w:rPr>
        <w:t xml:space="preserve">签订日期：                 </w:t>
      </w:r>
      <w:r>
        <w:rPr>
          <w:rFonts w:hint="eastAsia" w:ascii="宋体" w:hAnsi="宋体" w:eastAsia="宋体" w:cs="宋体"/>
          <w:b w:val="0"/>
          <w:bCs w:val="0"/>
          <w:color w:val="000000" w:themeColor="text1"/>
          <w:spacing w:val="9"/>
          <w:sz w:val="24"/>
          <w:szCs w:val="24"/>
          <w:highlight w:val="none"/>
          <w14:textFill>
            <w14:solidFill>
              <w14:schemeClr w14:val="tx1"/>
            </w14:solidFill>
          </w14:textFill>
        </w:rPr>
        <w:t xml:space="preserve">         签订日期：</w:t>
      </w:r>
    </w:p>
    <w:p w14:paraId="78C6876F">
      <w:pPr>
        <w:spacing w:before="72" w:line="223" w:lineRule="auto"/>
        <w:rPr>
          <w:rFonts w:hint="eastAsia" w:ascii="宋体" w:hAnsi="宋体" w:eastAsia="宋体" w:cs="宋体"/>
          <w:b w:val="0"/>
          <w:bCs w:val="0"/>
          <w:color w:val="000000" w:themeColor="text1"/>
          <w:spacing w:val="9"/>
          <w:sz w:val="24"/>
          <w:szCs w:val="24"/>
          <w:highlight w:val="none"/>
          <w14:textFill>
            <w14:solidFill>
              <w14:schemeClr w14:val="tx1"/>
            </w14:solidFill>
          </w14:textFill>
        </w:rPr>
      </w:pPr>
    </w:p>
    <w:p w14:paraId="4496B11F">
      <w:pPr>
        <w:spacing w:before="72" w:line="223" w:lineRule="auto"/>
        <w:rPr>
          <w:rFonts w:hint="eastAsia" w:ascii="宋体" w:hAnsi="宋体" w:eastAsia="宋体" w:cs="宋体"/>
          <w:b w:val="0"/>
          <w:bCs w:val="0"/>
          <w:color w:val="000000" w:themeColor="text1"/>
          <w:spacing w:val="9"/>
          <w:sz w:val="24"/>
          <w:szCs w:val="24"/>
          <w:highlight w:val="none"/>
          <w14:textFill>
            <w14:solidFill>
              <w14:schemeClr w14:val="tx1"/>
            </w14:solidFill>
          </w14:textFill>
        </w:rPr>
      </w:pPr>
    </w:p>
    <w:p w14:paraId="1F138609">
      <w:pPr>
        <w:spacing w:before="72" w:line="221" w:lineRule="auto"/>
        <w:jc w:val="left"/>
        <w:rPr>
          <w:rFonts w:hint="eastAsia" w:ascii="宋体" w:hAnsi="宋体" w:eastAsia="宋体" w:cs="宋体"/>
          <w:color w:val="000000" w:themeColor="text1"/>
          <w:highlight w:val="none"/>
          <w:lang w:eastAsia="zh-CN"/>
          <w14:textFill>
            <w14:solidFill>
              <w14:schemeClr w14:val="tx1"/>
            </w14:solidFill>
          </w14:textFill>
        </w:rPr>
        <w:sectPr>
          <w:footerReference r:id="rId6" w:type="default"/>
          <w:pgSz w:w="11900" w:h="16830"/>
          <w:pgMar w:top="1430" w:right="1785" w:bottom="1161" w:left="1529" w:header="0" w:footer="850" w:gutter="0"/>
          <w:pgNumType w:fmt="decimal"/>
          <w:cols w:space="720" w:num="1"/>
        </w:sectPr>
      </w:pPr>
      <w:r>
        <w:rPr>
          <w:rFonts w:hint="eastAsia" w:ascii="宋体" w:hAnsi="宋体" w:eastAsia="宋体" w:cs="宋体"/>
          <w:b w:val="0"/>
          <w:bCs w:val="0"/>
          <w:color w:val="000000" w:themeColor="text1"/>
          <w:spacing w:val="-11"/>
          <w:sz w:val="24"/>
          <w:szCs w:val="24"/>
          <w:highlight w:val="none"/>
          <w14:textFill>
            <w14:solidFill>
              <w14:schemeClr w14:val="tx1"/>
            </w14:solidFill>
          </w14:textFill>
        </w:rPr>
        <w:t>(注：本协议书仅为参考文本，签订双方可根据项目的具体要求进行修订</w:t>
      </w:r>
      <w:r>
        <w:rPr>
          <w:rFonts w:hint="eastAsia" w:ascii="宋体" w:hAnsi="宋体" w:cs="宋体"/>
          <w:b w:val="0"/>
          <w:bCs w:val="0"/>
          <w:color w:val="000000" w:themeColor="text1"/>
          <w:spacing w:val="-11"/>
          <w:sz w:val="24"/>
          <w:szCs w:val="24"/>
          <w:highlight w:val="none"/>
          <w:lang w:eastAsia="zh-CN"/>
          <w14:textFill>
            <w14:solidFill>
              <w14:schemeClr w14:val="tx1"/>
            </w14:solidFill>
          </w14:textFill>
        </w:rPr>
        <w:t>）</w:t>
      </w:r>
    </w:p>
    <w:p w14:paraId="7068ACF1">
      <w:pPr>
        <w:pStyle w:val="2"/>
        <w:numPr>
          <w:ilvl w:val="0"/>
          <w:numId w:val="0"/>
        </w:numPr>
        <w:tabs>
          <w:tab w:val="left" w:pos="0"/>
        </w:tabs>
        <w:spacing w:before="0" w:after="0" w:line="240" w:lineRule="atLeast"/>
        <w:jc w:val="center"/>
        <w:rPr>
          <w:rFonts w:hint="eastAsia" w:ascii="宋体" w:hAnsi="宋体" w:eastAsia="宋体" w:cs="宋体"/>
          <w:color w:val="000000" w:themeColor="text1"/>
          <w:sz w:val="20"/>
          <w:szCs w:val="22"/>
          <w:highlight w:val="none"/>
          <w14:textFill>
            <w14:solidFill>
              <w14:schemeClr w14:val="tx1"/>
            </w14:solidFill>
          </w14:textFill>
        </w:rPr>
      </w:pPr>
      <w:bookmarkStart w:id="457" w:name="_Toc4942"/>
      <w:bookmarkStart w:id="458" w:name="_Toc8232"/>
      <w:bookmarkStart w:id="459" w:name="_Toc27000"/>
      <w:r>
        <w:rPr>
          <w:rFonts w:hint="eastAsia" w:hAnsi="宋体" w:cs="宋体"/>
          <w:color w:val="000000" w:themeColor="text1"/>
          <w:highlight w:val="none"/>
          <w:lang w:val="en-US" w:eastAsia="zh-CN"/>
          <w14:textFill>
            <w14:solidFill>
              <w14:schemeClr w14:val="tx1"/>
            </w14:solidFill>
          </w14:textFill>
        </w:rPr>
        <w:t xml:space="preserve">第七章  </w:t>
      </w:r>
      <w:r>
        <w:rPr>
          <w:rFonts w:hint="eastAsia" w:ascii="宋体" w:hAnsi="宋体" w:eastAsia="宋体" w:cs="宋体"/>
          <w:color w:val="000000" w:themeColor="text1"/>
          <w:highlight w:val="none"/>
          <w14:textFill>
            <w14:solidFill>
              <w14:schemeClr w14:val="tx1"/>
            </w14:solidFill>
          </w14:textFill>
        </w:rPr>
        <w:t>响应文件格式</w:t>
      </w:r>
      <w:bookmarkEnd w:id="457"/>
      <w:bookmarkEnd w:id="458"/>
      <w:bookmarkEnd w:id="459"/>
    </w:p>
    <w:p w14:paraId="63CD3372">
      <w:pPr>
        <w:numPr>
          <w:ilvl w:val="0"/>
          <w:numId w:val="0"/>
        </w:numPr>
        <w:rPr>
          <w:rFonts w:hint="eastAsia" w:ascii="宋体" w:hAnsi="宋体" w:eastAsia="宋体" w:cs="宋体"/>
          <w:color w:val="000000" w:themeColor="text1"/>
          <w:sz w:val="20"/>
          <w:szCs w:val="22"/>
          <w:highlight w:val="none"/>
          <w14:textFill>
            <w14:solidFill>
              <w14:schemeClr w14:val="tx1"/>
            </w14:solidFill>
          </w14:textFill>
        </w:rPr>
      </w:pPr>
    </w:p>
    <w:p w14:paraId="0BD6826E">
      <w:pPr>
        <w:tabs>
          <w:tab w:val="left" w:pos="5580"/>
        </w:tabs>
        <w:spacing w:line="360" w:lineRule="auto"/>
        <w:ind w:firstLine="480" w:firstLineChars="200"/>
        <w:jc w:val="left"/>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1、磋商书</w:t>
      </w:r>
    </w:p>
    <w:p w14:paraId="4C0E9F6B">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1.1、磋商报价一览表;</w:t>
      </w:r>
    </w:p>
    <w:p w14:paraId="578CFDC6">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2、法人或者非法人组织的营业执照等证明文件或自然人的身份证明；</w:t>
      </w:r>
    </w:p>
    <w:p w14:paraId="6D1AF08D">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3、法定代表人资格证明书或法人授权委托书及被授权人身份证(响应文件格式二，自然人投标的无需提供)；</w:t>
      </w:r>
    </w:p>
    <w:p w14:paraId="2FC81D07">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4、满足《中华人民共和国政府采购法》第二十二条规定；</w:t>
      </w:r>
    </w:p>
    <w:p w14:paraId="05D65A3B">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4.1、合法有效的营业执照；</w:t>
      </w:r>
    </w:p>
    <w:p w14:paraId="31302A0B">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4.2、具有良好的商业信誉和健全的财务会计制度的证明文件</w:t>
      </w:r>
    </w:p>
    <w:p w14:paraId="150D532D">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4.3、根据项目需求提供履行合同所必需的设备和专业技术能力的加盖单位公章的书面承诺函；</w:t>
      </w:r>
    </w:p>
    <w:p w14:paraId="3C971D86">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4.4、提供参加本次政府采购活动前近12个月内任意一个月的依法缴纳税收和社会保障资金的相关材料；</w:t>
      </w:r>
    </w:p>
    <w:p w14:paraId="58888110">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4.5、提供参加本次政府采购活动前3年内在经营活动中没有重大违法记录的书面承诺函并加盖单位公章；</w:t>
      </w:r>
    </w:p>
    <w:p w14:paraId="7326AFDA">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5、法律、行政法规规定的其他条件；</w:t>
      </w:r>
    </w:p>
    <w:p w14:paraId="6FE09FF3">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6、不参与围标串标承诺书；</w:t>
      </w:r>
    </w:p>
    <w:p w14:paraId="51C6060D">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7、磋商保证金；</w:t>
      </w:r>
    </w:p>
    <w:p w14:paraId="59423549">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8、不存在与参加本项目的其它供应商负责人为同一人或者存在直接控股、管理关系；</w:t>
      </w:r>
    </w:p>
    <w:p w14:paraId="1B7C26B8">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9、中小企业声明函；</w:t>
      </w:r>
    </w:p>
    <w:p w14:paraId="79C2CF56">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10、针对本次项目《反商业贿赂承诺书》；</w:t>
      </w:r>
    </w:p>
    <w:p w14:paraId="74B771F6">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11、供应商须知资料表要求的其他资格证明文件；</w:t>
      </w:r>
    </w:p>
    <w:p w14:paraId="6019B0D6">
      <w:pPr>
        <w:tabs>
          <w:tab w:val="left" w:pos="5580"/>
        </w:tabs>
        <w:spacing w:line="360" w:lineRule="auto"/>
        <w:ind w:firstLine="480" w:firstLineChars="200"/>
        <w:jc w:val="left"/>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12、企业类似业绩一览表</w:t>
      </w:r>
    </w:p>
    <w:p w14:paraId="400B66E7">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13、具备履行合同所必须的专业技术能力表；</w:t>
      </w:r>
    </w:p>
    <w:p w14:paraId="4528FFCE">
      <w:p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13.1项目负责人简历表(附项目负责人类似项目业绩)</w:t>
      </w:r>
    </w:p>
    <w:p w14:paraId="07A20C5F">
      <w:pPr>
        <w:numPr>
          <w:ilvl w:val="0"/>
          <w:numId w:val="7"/>
        </w:numPr>
        <w:tabs>
          <w:tab w:val="left" w:pos="5580"/>
        </w:tabs>
        <w:spacing w:line="360" w:lineRule="auto"/>
        <w:ind w:firstLine="480" w:firstLineChars="20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提供有利于磋商的其他证明材料</w:t>
      </w:r>
    </w:p>
    <w:p w14:paraId="329B1B50">
      <w:pPr>
        <w:spacing w:before="35" w:line="359" w:lineRule="auto"/>
        <w:ind w:firstLine="482" w:firstLineChars="200"/>
        <w:jc w:val="both"/>
        <w:rPr>
          <w:rFonts w:hint="eastAsia" w:ascii="仿宋" w:hAnsi="仿宋" w:eastAsia="仿宋" w:cs="仿宋"/>
          <w:b/>
          <w:bCs/>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技术部分文件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（供应商根据竞争性磋商文件评审方法的规定自行编写）</w:t>
      </w:r>
    </w:p>
    <w:p w14:paraId="1025E4AD">
      <w:pPr>
        <w:numPr>
          <w:ilvl w:val="0"/>
          <w:numId w:val="0"/>
        </w:numPr>
        <w:tabs>
          <w:tab w:val="left" w:pos="5580"/>
        </w:tabs>
        <w:spacing w:line="360" w:lineRule="auto"/>
        <w:jc w:val="left"/>
        <w:rPr>
          <w:rFonts w:hint="eastAsia" w:ascii="宋体" w:hAnsi="宋体" w:cs="宋体"/>
          <w:color w:val="000000" w:themeColor="text1"/>
          <w:sz w:val="24"/>
          <w:szCs w:val="24"/>
          <w:highlight w:val="none"/>
          <w:lang w:val="en-US" w:eastAsia="zh-CN"/>
          <w14:textFill>
            <w14:solidFill>
              <w14:schemeClr w14:val="tx1"/>
            </w14:solidFill>
          </w14:textFill>
        </w:rPr>
      </w:pPr>
    </w:p>
    <w:p w14:paraId="5332A50B">
      <w:pPr>
        <w:pStyle w:val="3"/>
        <w:spacing w:before="0"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bookmarkStart w:id="460" w:name="_Toc8940"/>
      <w:bookmarkStart w:id="461" w:name="_Toc14915"/>
      <w:bookmarkStart w:id="462" w:name="_Toc515647817"/>
      <w:bookmarkStart w:id="463" w:name="_Toc12852"/>
      <w:bookmarkStart w:id="464" w:name="_Toc18506"/>
      <w:bookmarkStart w:id="465" w:name="_Toc11475"/>
      <w:bookmarkStart w:id="466" w:name="_Toc2041"/>
      <w:bookmarkStart w:id="467" w:name="_Toc22432"/>
      <w:bookmarkStart w:id="468" w:name="_Toc10302"/>
      <w:bookmarkStart w:id="469" w:name="_Toc14858"/>
      <w:bookmarkStart w:id="470" w:name="_Toc18614"/>
      <w:bookmarkStart w:id="471" w:name="_Toc17319"/>
      <w:bookmarkStart w:id="472" w:name="_Toc31486"/>
      <w:bookmarkStart w:id="473" w:name="_Toc14437"/>
      <w:bookmarkStart w:id="474" w:name="_Toc494296984"/>
      <w:bookmarkStart w:id="475" w:name="_Ref467988698"/>
      <w:bookmarkStart w:id="476" w:name="_Toc480942349"/>
      <w:bookmarkStart w:id="477" w:name="_Toc520356217"/>
      <w:bookmarkStart w:id="478" w:name="_Toc216582813"/>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磋商书</w:t>
      </w:r>
      <w:bookmarkEnd w:id="460"/>
      <w:bookmarkEnd w:id="461"/>
      <w:bookmarkEnd w:id="462"/>
      <w:bookmarkEnd w:id="463"/>
      <w:bookmarkEnd w:id="464"/>
      <w:bookmarkEnd w:id="465"/>
      <w:bookmarkEnd w:id="466"/>
      <w:bookmarkEnd w:id="467"/>
      <w:bookmarkEnd w:id="468"/>
      <w:bookmarkEnd w:id="469"/>
      <w:bookmarkEnd w:id="470"/>
      <w:bookmarkEnd w:id="471"/>
      <w:bookmarkEnd w:id="472"/>
    </w:p>
    <w:p w14:paraId="251636F3">
      <w:pPr>
        <w:keepNext w:val="0"/>
        <w:keepLines w:val="0"/>
        <w:pageBreakBefore w:val="0"/>
        <w:widowControl w:val="0"/>
        <w:tabs>
          <w:tab w:val="left" w:pos="5580"/>
        </w:tabs>
        <w:kinsoku/>
        <w:wordWrap/>
        <w:overflowPunct/>
        <w:topLinePunct w:val="0"/>
        <w:bidi w:val="0"/>
        <w:snapToGrid/>
        <w:spacing w:line="400" w:lineRule="exact"/>
        <w:ind w:left="1080" w:hanging="108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p>
    <w:p w14:paraId="0162D25A">
      <w:pPr>
        <w:pStyle w:val="12"/>
        <w:keepNext w:val="0"/>
        <w:keepLines w:val="0"/>
        <w:pageBreakBefore w:val="0"/>
        <w:widowControl w:val="0"/>
        <w:tabs>
          <w:tab w:val="left" w:pos="5580"/>
        </w:tabs>
        <w:kinsoku/>
        <w:wordWrap/>
        <w:overflowPunct/>
        <w:topLinePunct w:val="0"/>
        <w:bidi w:val="0"/>
        <w:snapToGrid/>
        <w:spacing w:line="400" w:lineRule="exact"/>
        <w:ind w:left="2" w:leftChars="1"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w:t>
      </w:r>
      <w:r>
        <w:rPr>
          <w:rFonts w:hint="eastAsia" w:ascii="宋体" w:hAnsi="宋体" w:eastAsia="宋体" w:cs="宋体"/>
          <w:i/>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)项目的磋商邀请(</w:t>
      </w:r>
      <w:r>
        <w:rPr>
          <w:rFonts w:hint="eastAsia" w:ascii="宋体" w:hAnsi="宋体" w:eastAsia="宋体" w:cs="宋体"/>
          <w:i/>
          <w:color w:val="000000" w:themeColor="text1"/>
          <w:sz w:val="24"/>
          <w:szCs w:val="24"/>
          <w:highlight w:val="none"/>
          <w:u w:val="single"/>
          <w14:textFill>
            <w14:solidFill>
              <w14:schemeClr w14:val="tx1"/>
            </w14:solidFill>
          </w14:textFill>
        </w:rPr>
        <w:t>项目编号</w:t>
      </w:r>
      <w:r>
        <w:rPr>
          <w:rFonts w:hint="eastAsia" w:ascii="宋体" w:hAnsi="宋体" w:eastAsia="宋体" w:cs="宋体"/>
          <w:color w:val="000000" w:themeColor="text1"/>
          <w:sz w:val="24"/>
          <w:szCs w:val="24"/>
          <w:highlight w:val="none"/>
          <w14:textFill>
            <w14:solidFill>
              <w14:schemeClr w14:val="tx1"/>
            </w14:solidFill>
          </w14:textFill>
        </w:rPr>
        <w:t>),签字代表(</w:t>
      </w:r>
      <w:r>
        <w:rPr>
          <w:rFonts w:hint="eastAsia" w:ascii="宋体" w:hAnsi="宋体" w:eastAsia="宋体" w:cs="宋体"/>
          <w:i/>
          <w:color w:val="000000" w:themeColor="text1"/>
          <w:sz w:val="24"/>
          <w:szCs w:val="24"/>
          <w:highlight w:val="none"/>
          <w:u w:val="single"/>
          <w14:textFill>
            <w14:solidFill>
              <w14:schemeClr w14:val="tx1"/>
            </w14:solidFill>
          </w14:textFill>
        </w:rPr>
        <w:t>姓名、职务</w:t>
      </w:r>
      <w:r>
        <w:rPr>
          <w:rFonts w:hint="eastAsia" w:ascii="宋体" w:hAnsi="宋体" w:eastAsia="宋体" w:cs="宋体"/>
          <w:color w:val="000000" w:themeColor="text1"/>
          <w:sz w:val="24"/>
          <w:szCs w:val="24"/>
          <w:highlight w:val="none"/>
          <w14:textFill>
            <w14:solidFill>
              <w14:schemeClr w14:val="tx1"/>
            </w14:solidFill>
          </w14:textFill>
        </w:rPr>
        <w:t>)经正式授权并代表供应商（</w:t>
      </w:r>
      <w:r>
        <w:rPr>
          <w:rFonts w:hint="eastAsia" w:ascii="宋体" w:hAnsi="宋体" w:eastAsia="宋体" w:cs="宋体"/>
          <w:i/>
          <w:color w:val="000000" w:themeColor="text1"/>
          <w:sz w:val="24"/>
          <w:szCs w:val="24"/>
          <w:highlight w:val="none"/>
          <w:u w:val="single"/>
          <w14:textFill>
            <w14:solidFill>
              <w14:schemeClr w14:val="tx1"/>
            </w14:solidFill>
          </w14:textFill>
        </w:rPr>
        <w:t>名称、地址</w:t>
      </w:r>
      <w:r>
        <w:rPr>
          <w:rFonts w:hint="eastAsia" w:ascii="宋体" w:hAnsi="宋体" w:eastAsia="宋体" w:cs="宋体"/>
          <w:color w:val="000000" w:themeColor="text1"/>
          <w:sz w:val="24"/>
          <w:szCs w:val="24"/>
          <w:highlight w:val="none"/>
          <w14:textFill>
            <w14:solidFill>
              <w14:schemeClr w14:val="tx1"/>
            </w14:solidFill>
          </w14:textFill>
        </w:rPr>
        <w:t>）以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形式出具的金额为人民币</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元的磋商保证金。</w:t>
      </w:r>
    </w:p>
    <w:p w14:paraId="08E4C9C7">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据此，签字代表宣布同意如下：</w:t>
      </w:r>
    </w:p>
    <w:p w14:paraId="683C2E3E">
      <w:pPr>
        <w:pStyle w:val="12"/>
        <w:keepNext w:val="0"/>
        <w:keepLines w:val="0"/>
        <w:pageBreakBefore w:val="0"/>
        <w:widowControl w:val="0"/>
        <w:tabs>
          <w:tab w:val="left" w:pos="720"/>
          <w:tab w:val="left" w:pos="900"/>
        </w:tabs>
        <w:kinsoku/>
        <w:wordWrap/>
        <w:overflowPunct/>
        <w:topLinePunct w:val="0"/>
        <w:bidi w:val="0"/>
        <w:snapToGrid/>
        <w:spacing w:line="400" w:lineRule="exact"/>
        <w:ind w:left="769" w:leftChars="257" w:hanging="229"/>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（1）附磋商价格表中规定的应提供服务的磋商总价详见磋商开启一览表，</w:t>
      </w:r>
      <w:r>
        <w:rPr>
          <w:rFonts w:hint="eastAsia" w:ascii="宋体" w:hAnsi="宋体" w:eastAsia="宋体" w:cs="宋体"/>
          <w:color w:val="000000" w:themeColor="text1"/>
          <w:sz w:val="24"/>
          <w:szCs w:val="24"/>
          <w:highlight w:val="none"/>
          <w:u w:val="single"/>
          <w14:textFill>
            <w14:solidFill>
              <w14:schemeClr w14:val="tx1"/>
            </w14:solidFill>
          </w14:textFill>
        </w:rPr>
        <w:t>其中由</w:t>
      </w:r>
      <w:r>
        <w:rPr>
          <w:rFonts w:hint="eastAsia" w:hAnsi="宋体" w:cs="宋体"/>
          <w:color w:val="000000" w:themeColor="text1"/>
          <w:sz w:val="24"/>
          <w:szCs w:val="24"/>
          <w:highlight w:val="none"/>
          <w:u w:val="single"/>
          <w:lang w:val="en-US" w:eastAsia="zh-CN"/>
          <w14:textFill>
            <w14:solidFill>
              <w14:schemeClr w14:val="tx1"/>
            </w14:solidFill>
          </w14:textFill>
        </w:rPr>
        <w:t>中</w:t>
      </w:r>
      <w:r>
        <w:rPr>
          <w:rFonts w:hint="eastAsia" w:ascii="宋体" w:hAnsi="宋体" w:eastAsia="宋体" w:cs="宋体"/>
          <w:color w:val="000000" w:themeColor="text1"/>
          <w:sz w:val="24"/>
          <w:szCs w:val="24"/>
          <w:highlight w:val="none"/>
          <w:u w:val="single"/>
          <w14:textFill>
            <w14:solidFill>
              <w14:schemeClr w14:val="tx1"/>
            </w14:solidFill>
          </w14:textFill>
        </w:rPr>
        <w:t>型和</w:t>
      </w:r>
      <w:r>
        <w:rPr>
          <w:rFonts w:hint="eastAsia" w:hAnsi="宋体" w:cs="宋体"/>
          <w:color w:val="000000" w:themeColor="text1"/>
          <w:sz w:val="24"/>
          <w:szCs w:val="24"/>
          <w:highlight w:val="none"/>
          <w:u w:val="single"/>
          <w:lang w:val="en-US" w:eastAsia="zh-CN"/>
          <w14:textFill>
            <w14:solidFill>
              <w14:schemeClr w14:val="tx1"/>
            </w14:solidFill>
          </w14:textFill>
        </w:rPr>
        <w:t>小</w:t>
      </w:r>
      <w:r>
        <w:rPr>
          <w:rFonts w:hint="eastAsia" w:ascii="宋体" w:hAnsi="宋体" w:eastAsia="宋体" w:cs="宋体"/>
          <w:color w:val="000000" w:themeColor="text1"/>
          <w:sz w:val="24"/>
          <w:szCs w:val="24"/>
          <w:highlight w:val="none"/>
          <w:u w:val="single"/>
          <w14:textFill>
            <w14:solidFill>
              <w14:schemeClr w14:val="tx1"/>
            </w14:solidFill>
          </w14:textFill>
        </w:rPr>
        <w:t>型企业</w:t>
      </w:r>
      <w:r>
        <w:rPr>
          <w:rFonts w:hint="eastAsia" w:ascii="宋体" w:hAnsi="宋体" w:eastAsia="宋体" w:cs="宋体"/>
          <w:color w:val="000000" w:themeColor="text1"/>
          <w:sz w:val="24"/>
          <w:szCs w:val="24"/>
          <w:highlight w:val="none"/>
          <w14:textFill>
            <w14:solidFill>
              <w14:schemeClr w14:val="tx1"/>
            </w14:solidFill>
          </w14:textFill>
        </w:rPr>
        <w:t>提供服务的价格为</w:t>
      </w:r>
      <w:r>
        <w:rPr>
          <w:rFonts w:hint="eastAsia" w:ascii="宋体" w:hAnsi="宋体" w:eastAsia="宋体" w:cs="宋体"/>
          <w:color w:val="000000" w:themeColor="text1"/>
          <w:sz w:val="24"/>
          <w:szCs w:val="24"/>
          <w:highlight w:val="none"/>
          <w:u w:val="single"/>
          <w14:textFill>
            <w14:solidFill>
              <w14:schemeClr w14:val="tx1"/>
            </w14:solidFill>
          </w14:textFill>
        </w:rPr>
        <w:t>　　  （用文字和数字表示），占磋商总价   %</w:t>
      </w:r>
      <w:r>
        <w:rPr>
          <w:rFonts w:hint="eastAsia" w:ascii="宋体" w:hAnsi="宋体" w:eastAsia="宋体" w:cs="宋体"/>
          <w:color w:val="000000" w:themeColor="text1"/>
          <w:sz w:val="24"/>
          <w:szCs w:val="24"/>
          <w:highlight w:val="none"/>
          <w14:textFill>
            <w14:solidFill>
              <w14:schemeClr w14:val="tx1"/>
            </w14:solidFill>
          </w14:textFill>
        </w:rPr>
        <w:t>。</w:t>
      </w:r>
    </w:p>
    <w:p w14:paraId="3AFFBE3B">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（2）本磋商有效期为自磋商截止之日起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个日历日。</w:t>
      </w:r>
    </w:p>
    <w:p w14:paraId="49EAE73D">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（3）联合体中的大中型企业和其他自然人、法人或者非法人组织，与联合体中的小型、微型企业之间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存在、不存在）投资关系（如果是联合体的话）。</w:t>
      </w:r>
    </w:p>
    <w:p w14:paraId="1CA7C27B">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（4）已详细审查全部磋商文件，包括所有补充通知（如果有的话），完全理解并同意放弃对这方面有不明、误解和质疑的权力。</w:t>
      </w:r>
    </w:p>
    <w:p w14:paraId="5851542E">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（5）在规定的磋商开启时间后，遵守磋商文件中有关保证金的规定。</w:t>
      </w:r>
    </w:p>
    <w:p w14:paraId="70E6AE0D">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（6）我方不是为本项目提供整体设计、规范编制或者项目管理、监理、检测等要求的供应商，我方不是采购代理机构的附属机构。</w:t>
      </w:r>
    </w:p>
    <w:p w14:paraId="338C390F">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（7）在领取成交通知书的同时按磋商文件规定的形式，向贵方一次性支付成交服务费。</w:t>
      </w:r>
    </w:p>
    <w:p w14:paraId="65D7005B">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（8）按照贵方可能要求，提供与其磋商有关的一切数据或资料，完全理解贵方不一定接受最低价的磋商或收到的任何磋商。</w:t>
      </w:r>
    </w:p>
    <w:p w14:paraId="48204C50">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（9）按照磋商文件的规定履行合同责任和义务。</w:t>
      </w:r>
    </w:p>
    <w:p w14:paraId="2FDD014A">
      <w:pPr>
        <w:pStyle w:val="5"/>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21EA483">
      <w:pPr>
        <w:pStyle w:val="12"/>
        <w:keepNext w:val="0"/>
        <w:keepLines w:val="0"/>
        <w:pageBreakBefore w:val="0"/>
        <w:widowControl w:val="0"/>
        <w:tabs>
          <w:tab w:val="left" w:pos="5580"/>
        </w:tabs>
        <w:kinsoku/>
        <w:wordWrap/>
        <w:overflowPunct/>
        <w:topLinePunct w:val="0"/>
        <w:bidi w:val="0"/>
        <w:snapToGrid/>
        <w:spacing w:line="400" w:lineRule="exact"/>
        <w:ind w:left="359" w:leftChars="68" w:hanging="216" w:hangingChars="9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与本磋商有关的一切正式往来信函请寄：</w:t>
      </w:r>
    </w:p>
    <w:p w14:paraId="463C7273">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传真</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305203D">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电子函件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B28F4FD">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lang w:val="en-US" w:eastAsia="zh-CN"/>
          <w14:textFill>
            <w14:solidFill>
              <w14:schemeClr w14:val="tx1"/>
            </w14:solidFill>
          </w14:textFill>
        </w:rPr>
        <w:t>CA</w:t>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hAnsi="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26FC771">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供应商名称（全称）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C714829">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供应商开户银行（全称）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29EBB7B">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供应商银行帐号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w:t>
      </w:r>
    </w:p>
    <w:p w14:paraId="47C50069">
      <w:pPr>
        <w:pStyle w:val="12"/>
        <w:keepNext w:val="0"/>
        <w:keepLines w:val="0"/>
        <w:pageBreakBefore w:val="0"/>
        <w:widowControl w:val="0"/>
        <w:tabs>
          <w:tab w:val="left" w:pos="5580"/>
        </w:tabs>
        <w:kinsoku/>
        <w:wordWrap/>
        <w:overflowPunct/>
        <w:topLinePunct w:val="0"/>
        <w:bidi w:val="0"/>
        <w:snapToGrid/>
        <w:spacing w:line="400" w:lineRule="exact"/>
        <w:ind w:left="1080" w:leftChars="257" w:hanging="54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电子签章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w:t>
      </w:r>
      <w:bookmarkStart w:id="479" w:name="_Toc20897"/>
      <w:bookmarkStart w:id="480" w:name="_Toc1881"/>
      <w:bookmarkStart w:id="481" w:name="_Toc216582815"/>
      <w:bookmarkStart w:id="482" w:name="_Toc515647818"/>
    </w:p>
    <w:p w14:paraId="11B7EB15">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highlight w:val="none"/>
          <w14:textFill>
            <w14:solidFill>
              <w14:schemeClr w14:val="tx1"/>
            </w14:solidFill>
          </w14:textFill>
        </w:rPr>
      </w:pPr>
      <w:bookmarkStart w:id="483" w:name="_Toc9110"/>
      <w:bookmarkStart w:id="484" w:name="_Toc16705"/>
      <w:bookmarkStart w:id="485" w:name="_Toc22674"/>
      <w:bookmarkStart w:id="486" w:name="_Toc23321"/>
      <w:bookmarkStart w:id="487" w:name="_Toc29155"/>
      <w:bookmarkStart w:id="488" w:name="_Toc23248"/>
      <w:bookmarkStart w:id="489" w:name="_Toc18221"/>
      <w:bookmarkStart w:id="490" w:name="_Toc12874"/>
      <w:r>
        <w:rPr>
          <w:rFonts w:hint="eastAsia" w:ascii="宋体" w:hAnsi="宋体" w:eastAsia="宋体" w:cs="宋体"/>
          <w:color w:val="000000" w:themeColor="text1"/>
          <w:sz w:val="24"/>
          <w:highlight w:val="none"/>
          <w14:textFill>
            <w14:solidFill>
              <w14:schemeClr w14:val="tx1"/>
            </w14:solidFill>
          </w14:textFill>
        </w:rPr>
        <w:br w:type="page"/>
      </w:r>
    </w:p>
    <w:bookmarkEnd w:id="479"/>
    <w:bookmarkEnd w:id="480"/>
    <w:bookmarkEnd w:id="481"/>
    <w:bookmarkEnd w:id="482"/>
    <w:bookmarkEnd w:id="483"/>
    <w:bookmarkEnd w:id="484"/>
    <w:bookmarkEnd w:id="485"/>
    <w:bookmarkEnd w:id="486"/>
    <w:bookmarkEnd w:id="487"/>
    <w:bookmarkEnd w:id="488"/>
    <w:bookmarkEnd w:id="489"/>
    <w:bookmarkEnd w:id="490"/>
    <w:p w14:paraId="5CACF2FB">
      <w:pPr>
        <w:pStyle w:val="3"/>
        <w:spacing w:before="0" w:line="240" w:lineRule="atLeast"/>
        <w:ind w:left="1080" w:leftChars="257" w:hanging="540"/>
        <w:rPr>
          <w:rFonts w:hint="eastAsia" w:ascii="宋体" w:hAnsi="宋体" w:eastAsia="宋体" w:cs="宋体"/>
          <w:color w:val="000000" w:themeColor="text1"/>
          <w:sz w:val="28"/>
          <w:szCs w:val="28"/>
          <w:highlight w:val="none"/>
          <w14:textFill>
            <w14:solidFill>
              <w14:schemeClr w14:val="tx1"/>
            </w14:solidFill>
          </w14:textFill>
        </w:rPr>
      </w:pPr>
      <w:bookmarkStart w:id="491" w:name="_Toc24190"/>
      <w:r>
        <w:rPr>
          <w:rFonts w:hint="eastAsia" w:ascii="宋体" w:hAnsi="宋体" w:eastAsia="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磋商报价一览表</w:t>
      </w:r>
      <w:bookmarkEnd w:id="473"/>
      <w:bookmarkEnd w:id="491"/>
    </w:p>
    <w:p w14:paraId="6C96C8E1">
      <w:pPr>
        <w:pStyle w:val="8"/>
        <w:spacing w:line="270" w:lineRule="auto"/>
        <w:rPr>
          <w:color w:val="000000" w:themeColor="text1"/>
          <w:highlight w:val="none"/>
          <w14:textFill>
            <w14:solidFill>
              <w14:schemeClr w14:val="tx1"/>
            </w14:solidFill>
          </w14:textFill>
        </w:rPr>
      </w:pPr>
    </w:p>
    <w:p w14:paraId="0D47BD52">
      <w:pPr>
        <w:spacing w:line="130" w:lineRule="exact"/>
        <w:rPr>
          <w:color w:val="000000" w:themeColor="text1"/>
          <w:highlight w:val="none"/>
          <w14:textFill>
            <w14:solidFill>
              <w14:schemeClr w14:val="tx1"/>
            </w14:solidFill>
          </w14:textFill>
        </w:rPr>
      </w:pPr>
    </w:p>
    <w:tbl>
      <w:tblPr>
        <w:tblStyle w:val="29"/>
        <w:tblW w:w="91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2"/>
        <w:gridCol w:w="6757"/>
      </w:tblGrid>
      <w:tr w14:paraId="05460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12" w:type="dxa"/>
            <w:vAlign w:val="top"/>
          </w:tcPr>
          <w:p w14:paraId="62E8D179">
            <w:pPr>
              <w:pStyle w:val="28"/>
              <w:spacing w:before="245" w:line="220" w:lineRule="auto"/>
              <w:ind w:left="694"/>
              <w:rPr>
                <w:color w:val="000000" w:themeColor="text1"/>
                <w:sz w:val="25"/>
                <w:szCs w:val="25"/>
                <w:highlight w:val="none"/>
                <w14:textFill>
                  <w14:solidFill>
                    <w14:schemeClr w14:val="tx1"/>
                  </w14:solidFill>
                </w14:textFill>
              </w:rPr>
            </w:pPr>
            <w:r>
              <w:rPr>
                <w:color w:val="000000" w:themeColor="text1"/>
                <w:spacing w:val="3"/>
                <w:sz w:val="25"/>
                <w:szCs w:val="25"/>
                <w:highlight w:val="none"/>
                <w14:textFill>
                  <w14:solidFill>
                    <w14:schemeClr w14:val="tx1"/>
                  </w14:solidFill>
                </w14:textFill>
              </w:rPr>
              <w:t>项目名称</w:t>
            </w:r>
          </w:p>
        </w:tc>
        <w:tc>
          <w:tcPr>
            <w:tcW w:w="6757" w:type="dxa"/>
            <w:vAlign w:val="top"/>
          </w:tcPr>
          <w:p w14:paraId="2AA7547F">
            <w:pPr>
              <w:rPr>
                <w:rFonts w:ascii="Arial"/>
                <w:color w:val="000000" w:themeColor="text1"/>
                <w:sz w:val="21"/>
                <w:highlight w:val="none"/>
                <w14:textFill>
                  <w14:solidFill>
                    <w14:schemeClr w14:val="tx1"/>
                  </w14:solidFill>
                </w14:textFill>
              </w:rPr>
            </w:pPr>
          </w:p>
        </w:tc>
      </w:tr>
      <w:tr w14:paraId="39E98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412" w:type="dxa"/>
            <w:vAlign w:val="top"/>
          </w:tcPr>
          <w:p w14:paraId="71547FBB">
            <w:pPr>
              <w:pStyle w:val="28"/>
              <w:spacing w:before="241" w:line="219" w:lineRule="auto"/>
              <w:ind w:left="694"/>
              <w:rPr>
                <w:color w:val="000000" w:themeColor="text1"/>
                <w:sz w:val="25"/>
                <w:szCs w:val="25"/>
                <w:highlight w:val="none"/>
                <w14:textFill>
                  <w14:solidFill>
                    <w14:schemeClr w14:val="tx1"/>
                  </w14:solidFill>
                </w14:textFill>
              </w:rPr>
            </w:pPr>
            <w:r>
              <w:rPr>
                <w:color w:val="000000" w:themeColor="text1"/>
                <w:spacing w:val="3"/>
                <w:sz w:val="25"/>
                <w:szCs w:val="25"/>
                <w:highlight w:val="none"/>
                <w14:textFill>
                  <w14:solidFill>
                    <w14:schemeClr w14:val="tx1"/>
                  </w14:solidFill>
                </w14:textFill>
              </w:rPr>
              <w:t>项目编号</w:t>
            </w:r>
          </w:p>
        </w:tc>
        <w:tc>
          <w:tcPr>
            <w:tcW w:w="6757" w:type="dxa"/>
            <w:vAlign w:val="top"/>
          </w:tcPr>
          <w:p w14:paraId="17503AE6">
            <w:pPr>
              <w:rPr>
                <w:rFonts w:ascii="Arial"/>
                <w:color w:val="000000" w:themeColor="text1"/>
                <w:sz w:val="21"/>
                <w:highlight w:val="none"/>
                <w14:textFill>
                  <w14:solidFill>
                    <w14:schemeClr w14:val="tx1"/>
                  </w14:solidFill>
                </w14:textFill>
              </w:rPr>
            </w:pPr>
          </w:p>
        </w:tc>
      </w:tr>
      <w:tr w14:paraId="1A48F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2412" w:type="dxa"/>
            <w:vAlign w:val="top"/>
          </w:tcPr>
          <w:p w14:paraId="28AFB77B">
            <w:pPr>
              <w:spacing w:line="275" w:lineRule="auto"/>
              <w:rPr>
                <w:rFonts w:ascii="Arial"/>
                <w:color w:val="000000" w:themeColor="text1"/>
                <w:sz w:val="21"/>
                <w:highlight w:val="none"/>
                <w14:textFill>
                  <w14:solidFill>
                    <w14:schemeClr w14:val="tx1"/>
                  </w14:solidFill>
                </w14:textFill>
              </w:rPr>
            </w:pPr>
          </w:p>
          <w:p w14:paraId="060E2B14">
            <w:pPr>
              <w:spacing w:line="275" w:lineRule="auto"/>
              <w:rPr>
                <w:rFonts w:ascii="Arial"/>
                <w:color w:val="000000" w:themeColor="text1"/>
                <w:sz w:val="21"/>
                <w:highlight w:val="none"/>
                <w14:textFill>
                  <w14:solidFill>
                    <w14:schemeClr w14:val="tx1"/>
                  </w14:solidFill>
                </w14:textFill>
              </w:rPr>
            </w:pPr>
          </w:p>
          <w:p w14:paraId="0BBA38B2">
            <w:pPr>
              <w:spacing w:line="275" w:lineRule="auto"/>
              <w:rPr>
                <w:rFonts w:ascii="Arial"/>
                <w:color w:val="000000" w:themeColor="text1"/>
                <w:sz w:val="21"/>
                <w:highlight w:val="none"/>
                <w14:textFill>
                  <w14:solidFill>
                    <w14:schemeClr w14:val="tx1"/>
                  </w14:solidFill>
                </w14:textFill>
              </w:rPr>
            </w:pPr>
          </w:p>
          <w:p w14:paraId="1E2F8E53">
            <w:pPr>
              <w:spacing w:line="276" w:lineRule="auto"/>
              <w:rPr>
                <w:rFonts w:ascii="Arial"/>
                <w:color w:val="000000" w:themeColor="text1"/>
                <w:sz w:val="21"/>
                <w:highlight w:val="none"/>
                <w14:textFill>
                  <w14:solidFill>
                    <w14:schemeClr w14:val="tx1"/>
                  </w14:solidFill>
                </w14:textFill>
              </w:rPr>
            </w:pPr>
          </w:p>
          <w:p w14:paraId="52F31D18">
            <w:pPr>
              <w:pStyle w:val="28"/>
              <w:spacing w:before="82" w:line="218" w:lineRule="auto"/>
              <w:ind w:left="694"/>
              <w:rPr>
                <w:color w:val="000000" w:themeColor="text1"/>
                <w:sz w:val="25"/>
                <w:szCs w:val="25"/>
                <w:highlight w:val="none"/>
                <w14:textFill>
                  <w14:solidFill>
                    <w14:schemeClr w14:val="tx1"/>
                  </w14:solidFill>
                </w14:textFill>
              </w:rPr>
            </w:pPr>
            <w:r>
              <w:rPr>
                <w:color w:val="000000" w:themeColor="text1"/>
                <w:spacing w:val="10"/>
                <w:sz w:val="25"/>
                <w:szCs w:val="25"/>
                <w:highlight w:val="none"/>
                <w14:textFill>
                  <w14:solidFill>
                    <w14:schemeClr w14:val="tx1"/>
                  </w14:solidFill>
                </w14:textFill>
              </w:rPr>
              <w:t>报价</w:t>
            </w:r>
          </w:p>
        </w:tc>
        <w:tc>
          <w:tcPr>
            <w:tcW w:w="6757" w:type="dxa"/>
            <w:vAlign w:val="top"/>
          </w:tcPr>
          <w:p w14:paraId="356C472E">
            <w:pPr>
              <w:spacing w:line="263" w:lineRule="auto"/>
              <w:rPr>
                <w:rFonts w:ascii="Arial"/>
                <w:color w:val="000000" w:themeColor="text1"/>
                <w:sz w:val="21"/>
                <w:highlight w:val="none"/>
                <w14:textFill>
                  <w14:solidFill>
                    <w14:schemeClr w14:val="tx1"/>
                  </w14:solidFill>
                </w14:textFill>
              </w:rPr>
            </w:pPr>
          </w:p>
          <w:p w14:paraId="475BA94E">
            <w:pPr>
              <w:spacing w:line="263" w:lineRule="auto"/>
              <w:rPr>
                <w:rFonts w:ascii="Arial"/>
                <w:color w:val="000000" w:themeColor="text1"/>
                <w:sz w:val="21"/>
                <w:highlight w:val="none"/>
                <w14:textFill>
                  <w14:solidFill>
                    <w14:schemeClr w14:val="tx1"/>
                  </w14:solidFill>
                </w14:textFill>
              </w:rPr>
            </w:pPr>
          </w:p>
          <w:p w14:paraId="001947F0">
            <w:pPr>
              <w:spacing w:line="263" w:lineRule="auto"/>
              <w:rPr>
                <w:rFonts w:ascii="Arial"/>
                <w:color w:val="000000" w:themeColor="text1"/>
                <w:sz w:val="21"/>
                <w:highlight w:val="none"/>
                <w14:textFill>
                  <w14:solidFill>
                    <w14:schemeClr w14:val="tx1"/>
                  </w14:solidFill>
                </w14:textFill>
              </w:rPr>
            </w:pPr>
          </w:p>
          <w:p w14:paraId="624321FA">
            <w:pPr>
              <w:pStyle w:val="28"/>
              <w:spacing w:before="81" w:line="221" w:lineRule="auto"/>
              <w:ind w:left="92"/>
              <w:rPr>
                <w:color w:val="000000" w:themeColor="text1"/>
                <w:sz w:val="25"/>
                <w:szCs w:val="25"/>
                <w:highlight w:val="none"/>
                <w14:textFill>
                  <w14:solidFill>
                    <w14:schemeClr w14:val="tx1"/>
                  </w14:solidFill>
                </w14:textFill>
              </w:rPr>
            </w:pPr>
            <w:r>
              <w:rPr>
                <w:color w:val="000000" w:themeColor="text1"/>
                <w:spacing w:val="-11"/>
                <w:sz w:val="25"/>
                <w:szCs w:val="25"/>
                <w:highlight w:val="none"/>
                <w14:textFill>
                  <w14:solidFill>
                    <w14:schemeClr w14:val="tx1"/>
                  </w14:solidFill>
                </w14:textFill>
              </w:rPr>
              <w:t>小写：</w:t>
            </w:r>
            <w:r>
              <w:rPr>
                <w:color w:val="000000" w:themeColor="text1"/>
                <w:sz w:val="25"/>
                <w:szCs w:val="25"/>
                <w:highlight w:val="none"/>
                <w:u w:val="single" w:color="000000"/>
                <w14:textFill>
                  <w14:solidFill>
                    <w14:schemeClr w14:val="tx1"/>
                  </w14:solidFill>
                </w14:textFill>
              </w:rPr>
              <w:t xml:space="preserve">                                  </w:t>
            </w:r>
          </w:p>
          <w:p w14:paraId="043C3B92">
            <w:pPr>
              <w:pStyle w:val="28"/>
              <w:spacing w:before="318" w:line="220" w:lineRule="auto"/>
              <w:ind w:left="92"/>
              <w:rPr>
                <w:color w:val="000000" w:themeColor="text1"/>
                <w:sz w:val="25"/>
                <w:szCs w:val="25"/>
                <w:highlight w:val="none"/>
                <w14:textFill>
                  <w14:solidFill>
                    <w14:schemeClr w14:val="tx1"/>
                  </w14:solidFill>
                </w14:textFill>
              </w:rPr>
            </w:pPr>
            <w:r>
              <w:rPr>
                <w:color w:val="000000" w:themeColor="text1"/>
                <w:spacing w:val="-11"/>
                <w:sz w:val="25"/>
                <w:szCs w:val="25"/>
                <w:highlight w:val="none"/>
                <w14:textFill>
                  <w14:solidFill>
                    <w14:schemeClr w14:val="tx1"/>
                  </w14:solidFill>
                </w14:textFill>
              </w:rPr>
              <w:t>大写：</w:t>
            </w:r>
            <w:r>
              <w:rPr>
                <w:color w:val="000000" w:themeColor="text1"/>
                <w:sz w:val="25"/>
                <w:szCs w:val="25"/>
                <w:highlight w:val="none"/>
                <w:u w:val="single" w:color="000000"/>
                <w14:textFill>
                  <w14:solidFill>
                    <w14:schemeClr w14:val="tx1"/>
                  </w14:solidFill>
                </w14:textFill>
              </w:rPr>
              <w:t xml:space="preserve">                   </w:t>
            </w:r>
            <w:r>
              <w:rPr>
                <w:rFonts w:hint="eastAsia"/>
                <w:color w:val="000000" w:themeColor="text1"/>
                <w:sz w:val="25"/>
                <w:szCs w:val="25"/>
                <w:highlight w:val="none"/>
                <w:u w:val="single" w:color="000000"/>
                <w:lang w:val="en-US" w:eastAsia="zh-CN"/>
                <w14:textFill>
                  <w14:solidFill>
                    <w14:schemeClr w14:val="tx1"/>
                  </w14:solidFill>
                </w14:textFill>
              </w:rPr>
              <w:t xml:space="preserve">   </w:t>
            </w:r>
            <w:r>
              <w:rPr>
                <w:color w:val="000000" w:themeColor="text1"/>
                <w:sz w:val="25"/>
                <w:szCs w:val="25"/>
                <w:highlight w:val="none"/>
                <w:u w:val="single" w:color="000000"/>
                <w14:textFill>
                  <w14:solidFill>
                    <w14:schemeClr w14:val="tx1"/>
                  </w14:solidFill>
                </w14:textFill>
              </w:rPr>
              <w:t xml:space="preserve">             </w:t>
            </w:r>
          </w:p>
        </w:tc>
      </w:tr>
      <w:tr w14:paraId="621A8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412" w:type="dxa"/>
            <w:vAlign w:val="top"/>
          </w:tcPr>
          <w:p w14:paraId="3D382567">
            <w:pPr>
              <w:pStyle w:val="28"/>
              <w:spacing w:before="296" w:line="219" w:lineRule="auto"/>
              <w:ind w:left="575"/>
              <w:rPr>
                <w:rFonts w:hint="default" w:eastAsia="宋体"/>
                <w:color w:val="000000" w:themeColor="text1"/>
                <w:sz w:val="25"/>
                <w:szCs w:val="25"/>
                <w:highlight w:val="none"/>
                <w:lang w:val="en-US" w:eastAsia="zh-CN"/>
                <w14:textFill>
                  <w14:solidFill>
                    <w14:schemeClr w14:val="tx1"/>
                  </w14:solidFill>
                </w14:textFill>
              </w:rPr>
            </w:pPr>
            <w:r>
              <w:rPr>
                <w:rFonts w:hint="eastAsia"/>
                <w:color w:val="000000" w:themeColor="text1"/>
                <w:spacing w:val="2"/>
                <w:sz w:val="25"/>
                <w:szCs w:val="25"/>
                <w:highlight w:val="none"/>
                <w:lang w:val="en-US" w:eastAsia="zh-CN"/>
                <w14:textFill>
                  <w14:solidFill>
                    <w14:schemeClr w14:val="tx1"/>
                  </w14:solidFill>
                </w14:textFill>
              </w:rPr>
              <w:t>磋商保证金</w:t>
            </w:r>
          </w:p>
        </w:tc>
        <w:tc>
          <w:tcPr>
            <w:tcW w:w="6757" w:type="dxa"/>
            <w:vAlign w:val="top"/>
          </w:tcPr>
          <w:p w14:paraId="24F845BC">
            <w:pPr>
              <w:rPr>
                <w:rFonts w:ascii="Arial"/>
                <w:color w:val="000000" w:themeColor="text1"/>
                <w:sz w:val="21"/>
                <w:highlight w:val="none"/>
                <w14:textFill>
                  <w14:solidFill>
                    <w14:schemeClr w14:val="tx1"/>
                  </w14:solidFill>
                </w14:textFill>
              </w:rPr>
            </w:pPr>
          </w:p>
        </w:tc>
      </w:tr>
      <w:tr w14:paraId="162AB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412" w:type="dxa"/>
            <w:vAlign w:val="top"/>
          </w:tcPr>
          <w:p w14:paraId="4BA1F29A">
            <w:pPr>
              <w:pStyle w:val="28"/>
              <w:spacing w:before="296" w:line="219" w:lineRule="auto"/>
              <w:ind w:left="575"/>
              <w:rPr>
                <w:color w:val="000000" w:themeColor="text1"/>
                <w:spacing w:val="2"/>
                <w:sz w:val="25"/>
                <w:szCs w:val="25"/>
                <w:highlight w:val="none"/>
                <w14:textFill>
                  <w14:solidFill>
                    <w14:schemeClr w14:val="tx1"/>
                  </w14:solidFill>
                </w14:textFill>
              </w:rPr>
            </w:pPr>
            <w:r>
              <w:rPr>
                <w:color w:val="000000" w:themeColor="text1"/>
                <w:spacing w:val="2"/>
                <w:sz w:val="25"/>
                <w:szCs w:val="25"/>
                <w:highlight w:val="none"/>
                <w14:textFill>
                  <w14:solidFill>
                    <w14:schemeClr w14:val="tx1"/>
                  </w14:solidFill>
                </w14:textFill>
              </w:rPr>
              <w:t>项目负责人</w:t>
            </w:r>
          </w:p>
        </w:tc>
        <w:tc>
          <w:tcPr>
            <w:tcW w:w="6757" w:type="dxa"/>
            <w:vAlign w:val="top"/>
          </w:tcPr>
          <w:p w14:paraId="394338EA">
            <w:pPr>
              <w:rPr>
                <w:rFonts w:ascii="Arial"/>
                <w:color w:val="000000" w:themeColor="text1"/>
                <w:sz w:val="21"/>
                <w:highlight w:val="none"/>
                <w14:textFill>
                  <w14:solidFill>
                    <w14:schemeClr w14:val="tx1"/>
                  </w14:solidFill>
                </w14:textFill>
              </w:rPr>
            </w:pPr>
          </w:p>
        </w:tc>
      </w:tr>
      <w:tr w14:paraId="608D6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2412" w:type="dxa"/>
            <w:vAlign w:val="top"/>
          </w:tcPr>
          <w:p w14:paraId="052CA5C1">
            <w:pPr>
              <w:pStyle w:val="28"/>
              <w:spacing w:before="296" w:line="219" w:lineRule="auto"/>
              <w:ind w:left="575"/>
              <w:rPr>
                <w:color w:val="000000" w:themeColor="text1"/>
                <w:sz w:val="25"/>
                <w:szCs w:val="25"/>
                <w:highlight w:val="none"/>
                <w14:textFill>
                  <w14:solidFill>
                    <w14:schemeClr w14:val="tx1"/>
                  </w14:solidFill>
                </w14:textFill>
              </w:rPr>
            </w:pPr>
            <w:r>
              <w:rPr>
                <w:rFonts w:ascii="宋体" w:hAnsi="宋体" w:eastAsia="宋体" w:cs="宋体"/>
                <w:color w:val="000000" w:themeColor="text1"/>
                <w:spacing w:val="2"/>
                <w:sz w:val="25"/>
                <w:szCs w:val="25"/>
                <w:highlight w:val="none"/>
                <w14:textFill>
                  <w14:solidFill>
                    <w14:schemeClr w14:val="tx1"/>
                  </w14:solidFill>
                </w14:textFill>
              </w:rPr>
              <w:t>服务期</w:t>
            </w:r>
          </w:p>
        </w:tc>
        <w:tc>
          <w:tcPr>
            <w:tcW w:w="6757" w:type="dxa"/>
            <w:vAlign w:val="top"/>
          </w:tcPr>
          <w:p w14:paraId="695C3CF8">
            <w:pPr>
              <w:rPr>
                <w:rFonts w:ascii="Arial"/>
                <w:color w:val="000000" w:themeColor="text1"/>
                <w:sz w:val="21"/>
                <w:highlight w:val="none"/>
                <w14:textFill>
                  <w14:solidFill>
                    <w14:schemeClr w14:val="tx1"/>
                  </w14:solidFill>
                </w14:textFill>
              </w:rPr>
            </w:pPr>
          </w:p>
        </w:tc>
      </w:tr>
      <w:tr w14:paraId="475C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trPr>
        <w:tc>
          <w:tcPr>
            <w:tcW w:w="9169" w:type="dxa"/>
            <w:gridSpan w:val="2"/>
            <w:vAlign w:val="top"/>
          </w:tcPr>
          <w:p w14:paraId="6080C7F7">
            <w:pPr>
              <w:pStyle w:val="28"/>
              <w:spacing w:before="180" w:line="221" w:lineRule="auto"/>
              <w:ind w:left="104"/>
              <w:rPr>
                <w:color w:val="000000" w:themeColor="text1"/>
                <w:sz w:val="25"/>
                <w:szCs w:val="25"/>
                <w:highlight w:val="none"/>
                <w14:textFill>
                  <w14:solidFill>
                    <w14:schemeClr w14:val="tx1"/>
                  </w14:solidFill>
                </w14:textFill>
              </w:rPr>
            </w:pPr>
            <w:r>
              <w:rPr>
                <w:color w:val="000000" w:themeColor="text1"/>
                <w:spacing w:val="-2"/>
                <w:sz w:val="25"/>
                <w:szCs w:val="25"/>
                <w:highlight w:val="none"/>
                <w14:textFill>
                  <w14:solidFill>
                    <w14:schemeClr w14:val="tx1"/>
                  </w14:solidFill>
                </w14:textFill>
              </w:rPr>
              <w:t>备注：</w:t>
            </w:r>
          </w:p>
        </w:tc>
      </w:tr>
    </w:tbl>
    <w:p w14:paraId="7B98D621">
      <w:pPr>
        <w:pStyle w:val="12"/>
        <w:tabs>
          <w:tab w:val="left" w:pos="5580"/>
        </w:tabs>
        <w:spacing w:line="240" w:lineRule="atLeast"/>
        <w:rPr>
          <w:rFonts w:hint="eastAsia" w:ascii="宋体" w:hAnsi="宋体" w:eastAsia="宋体" w:cs="宋体"/>
          <w:color w:val="000000" w:themeColor="text1"/>
          <w:spacing w:val="9"/>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说明：</w:t>
      </w:r>
    </w:p>
    <w:p w14:paraId="291891B5">
      <w:pPr>
        <w:pStyle w:val="12"/>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1、供应商严格按照规定的格式填写。</w:t>
      </w:r>
    </w:p>
    <w:p w14:paraId="2F1C3F18">
      <w:pPr>
        <w:pStyle w:val="12"/>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2、任何有选择或有条件的投标报价或表中某一包填写多个报价，均将导致投标被拒绝。</w:t>
      </w:r>
    </w:p>
    <w:p w14:paraId="080F6887">
      <w:pPr>
        <w:pStyle w:val="12"/>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3、供应商必须自行考虑本项目在实施期间的一切可能产生的费用。在合同执行过程中，采购人将不再另行支付与本项目相关的任何费用。</w:t>
      </w:r>
    </w:p>
    <w:p w14:paraId="0E97EC6F">
      <w:pPr>
        <w:pStyle w:val="12"/>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40DCE34">
      <w:pPr>
        <w:pStyle w:val="12"/>
        <w:tabs>
          <w:tab w:val="left" w:pos="5580"/>
        </w:tabs>
        <w:spacing w:line="240" w:lineRule="atLeast"/>
        <w:rPr>
          <w:rFonts w:hint="eastAsia" w:ascii="宋体" w:hAnsi="宋体" w:eastAsia="宋体" w:cs="宋体"/>
          <w:color w:val="000000" w:themeColor="text1"/>
          <w:sz w:val="24"/>
          <w:szCs w:val="24"/>
          <w:highlight w:val="none"/>
          <w:u w:val="single"/>
          <w14:textFill>
            <w14:solidFill>
              <w14:schemeClr w14:val="tx1"/>
            </w14:solidFill>
          </w14:textFill>
        </w:rPr>
      </w:pPr>
    </w:p>
    <w:p w14:paraId="469702FA">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w:t>
      </w:r>
      <w:r>
        <w:rPr>
          <w:rFonts w:hint="eastAsia" w:ascii="宋体" w:hAnsi="宋体" w:eastAsia="宋体" w:cs="宋体"/>
          <w:color w:val="000000" w:themeColor="text1"/>
          <w:sz w:val="24"/>
          <w:szCs w:val="24"/>
          <w:highlight w:val="none"/>
          <w:lang w:eastAsia="zh-CN"/>
          <w14:textFill>
            <w14:solidFill>
              <w14:schemeClr w14:val="tx1"/>
            </w14:solidFill>
          </w14:textFill>
        </w:rPr>
        <w:t>电子签章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91D9820">
      <w:pPr>
        <w:pStyle w:val="12"/>
        <w:tabs>
          <w:tab w:val="left" w:pos="5580"/>
        </w:tabs>
        <w:spacing w:line="240" w:lineRule="atLeast"/>
        <w:ind w:left="1080" w:leftChars="257" w:hanging="54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法定代表人或委托代理(</w:t>
      </w:r>
      <w:r>
        <w:rPr>
          <w:rFonts w:hint="eastAsia" w:ascii="宋体" w:hAnsi="宋体" w:eastAsia="宋体" w:cs="宋体"/>
          <w:color w:val="000000" w:themeColor="text1"/>
          <w:sz w:val="24"/>
          <w:szCs w:val="24"/>
          <w:highlight w:val="none"/>
          <w:lang w:val="en-US" w:eastAsia="zh-CN"/>
          <w14:textFill>
            <w14:solidFill>
              <w14:schemeClr w14:val="tx1"/>
            </w14:solidFill>
          </w14:textFill>
        </w:rPr>
        <w:t>CA</w:t>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hAnsi="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hAnsi="宋体" w:cs="宋体"/>
          <w:color w:val="000000" w:themeColor="text1"/>
          <w:sz w:val="24"/>
          <w:szCs w:val="24"/>
          <w:highlight w:val="none"/>
          <w:u w:val="single"/>
          <w:lang w:val="en-US" w:eastAsia="zh-CN"/>
          <w14:textFill>
            <w14:solidFill>
              <w14:schemeClr w14:val="tx1"/>
            </w14:solidFill>
          </w14:textFill>
        </w:rPr>
        <w:t xml:space="preserve">     </w:t>
      </w:r>
    </w:p>
    <w:p w14:paraId="75E26303">
      <w:pPr>
        <w:pStyle w:val="12"/>
        <w:numPr>
          <w:ilvl w:val="0"/>
          <w:numId w:val="0"/>
        </w:numPr>
        <w:tabs>
          <w:tab w:val="left" w:pos="5580"/>
        </w:tabs>
        <w:spacing w:line="240" w:lineRule="atLeast"/>
        <w:ind w:leftChars="353"/>
        <w:rPr>
          <w:rFonts w:hint="eastAsia" w:ascii="宋体" w:hAnsi="宋体" w:eastAsia="宋体" w:cs="宋体"/>
          <w:color w:val="000000" w:themeColor="text1"/>
          <w:sz w:val="24"/>
          <w:szCs w:val="24"/>
          <w:highlight w:val="none"/>
          <w14:textFill>
            <w14:solidFill>
              <w14:schemeClr w14:val="tx1"/>
            </w14:solidFill>
          </w14:textFill>
        </w:rPr>
      </w:pPr>
    </w:p>
    <w:bookmarkEnd w:id="474"/>
    <w:p w14:paraId="1BB2496B">
      <w:pPr>
        <w:pStyle w:val="16"/>
        <w:rPr>
          <w:rFonts w:hint="eastAsia" w:ascii="宋体" w:hAnsi="宋体" w:eastAsia="宋体" w:cs="宋体"/>
          <w:color w:val="000000" w:themeColor="text1"/>
          <w:highlight w:val="none"/>
          <w14:textFill>
            <w14:solidFill>
              <w14:schemeClr w14:val="tx1"/>
            </w14:solidFill>
          </w14:textFill>
        </w:rPr>
      </w:pPr>
      <w:bookmarkStart w:id="492" w:name="_Toc22089"/>
      <w:bookmarkStart w:id="493" w:name="_Toc16088"/>
      <w:bookmarkStart w:id="494" w:name="_Toc16516"/>
      <w:bookmarkStart w:id="495" w:name="_Toc8241"/>
    </w:p>
    <w:p w14:paraId="5900F903">
      <w:pPr>
        <w:pStyle w:val="16"/>
        <w:rPr>
          <w:rFonts w:hint="eastAsia" w:ascii="宋体" w:hAnsi="宋体" w:eastAsia="宋体" w:cs="宋体"/>
          <w:color w:val="000000" w:themeColor="text1"/>
          <w:highlight w:val="none"/>
          <w14:textFill>
            <w14:solidFill>
              <w14:schemeClr w14:val="tx1"/>
            </w14:solidFill>
          </w14:textFill>
        </w:rPr>
      </w:pPr>
    </w:p>
    <w:p w14:paraId="0370815F">
      <w:pPr>
        <w:pStyle w:val="16"/>
        <w:rPr>
          <w:rFonts w:hint="eastAsia" w:ascii="宋体" w:hAnsi="宋体" w:eastAsia="宋体" w:cs="宋体"/>
          <w:color w:val="000000" w:themeColor="text1"/>
          <w:highlight w:val="none"/>
          <w14:textFill>
            <w14:solidFill>
              <w14:schemeClr w14:val="tx1"/>
            </w14:solidFill>
          </w14:textFill>
        </w:rPr>
      </w:pPr>
    </w:p>
    <w:p w14:paraId="55CB381D">
      <w:pPr>
        <w:pStyle w:val="16"/>
        <w:rPr>
          <w:rFonts w:hint="eastAsia" w:ascii="宋体" w:hAnsi="宋体" w:eastAsia="宋体" w:cs="宋体"/>
          <w:color w:val="000000" w:themeColor="text1"/>
          <w:highlight w:val="none"/>
          <w14:textFill>
            <w14:solidFill>
              <w14:schemeClr w14:val="tx1"/>
            </w14:solidFill>
          </w14:textFill>
        </w:rPr>
      </w:pPr>
    </w:p>
    <w:p w14:paraId="75201070">
      <w:pPr>
        <w:pStyle w:val="16"/>
        <w:rPr>
          <w:rFonts w:hint="eastAsia" w:ascii="宋体" w:hAnsi="宋体" w:eastAsia="宋体" w:cs="宋体"/>
          <w:color w:val="000000" w:themeColor="text1"/>
          <w:highlight w:val="none"/>
          <w14:textFill>
            <w14:solidFill>
              <w14:schemeClr w14:val="tx1"/>
            </w14:solidFill>
          </w14:textFill>
        </w:rPr>
      </w:pPr>
    </w:p>
    <w:p w14:paraId="7CDAEE3C">
      <w:pPr>
        <w:pStyle w:val="16"/>
        <w:rPr>
          <w:rFonts w:hint="eastAsia" w:ascii="宋体" w:hAnsi="宋体" w:eastAsia="宋体" w:cs="宋体"/>
          <w:color w:val="000000" w:themeColor="text1"/>
          <w:highlight w:val="none"/>
          <w14:textFill>
            <w14:solidFill>
              <w14:schemeClr w14:val="tx1"/>
            </w14:solidFill>
          </w14:textFill>
        </w:rPr>
      </w:pPr>
    </w:p>
    <w:p w14:paraId="4991A3B6">
      <w:pPr>
        <w:pStyle w:val="16"/>
        <w:rPr>
          <w:rFonts w:hint="eastAsia" w:ascii="宋体" w:hAnsi="宋体" w:eastAsia="宋体" w:cs="宋体"/>
          <w:color w:val="000000" w:themeColor="text1"/>
          <w:highlight w:val="none"/>
          <w14:textFill>
            <w14:solidFill>
              <w14:schemeClr w14:val="tx1"/>
            </w14:solidFill>
          </w14:textFill>
        </w:rPr>
      </w:pPr>
    </w:p>
    <w:p w14:paraId="54A043CD">
      <w:pPr>
        <w:pStyle w:val="16"/>
        <w:rPr>
          <w:rFonts w:hint="eastAsia" w:ascii="宋体" w:hAnsi="宋体" w:eastAsia="宋体" w:cs="宋体"/>
          <w:color w:val="000000" w:themeColor="text1"/>
          <w:highlight w:val="none"/>
          <w14:textFill>
            <w14:solidFill>
              <w14:schemeClr w14:val="tx1"/>
            </w14:solidFill>
          </w14:textFill>
        </w:rPr>
      </w:pPr>
    </w:p>
    <w:p w14:paraId="383157F4">
      <w:pPr>
        <w:pStyle w:val="16"/>
        <w:rPr>
          <w:rFonts w:hint="eastAsia" w:ascii="宋体" w:hAnsi="宋体" w:eastAsia="宋体" w:cs="宋体"/>
          <w:color w:val="000000" w:themeColor="text1"/>
          <w:highlight w:val="none"/>
          <w14:textFill>
            <w14:solidFill>
              <w14:schemeClr w14:val="tx1"/>
            </w14:solidFill>
          </w14:textFill>
        </w:rPr>
      </w:pPr>
    </w:p>
    <w:p w14:paraId="0EDCE4BE">
      <w:pPr>
        <w:pStyle w:val="3"/>
        <w:spacing w:before="0" w:line="240" w:lineRule="atLeast"/>
        <w:jc w:val="left"/>
        <w:rPr>
          <w:rFonts w:hint="eastAsia" w:ascii="宋体" w:hAnsi="宋体" w:eastAsia="宋体" w:cs="宋体"/>
          <w:color w:val="000000" w:themeColor="text1"/>
          <w:sz w:val="28"/>
          <w:szCs w:val="28"/>
          <w:highlight w:val="none"/>
          <w14:textFill>
            <w14:solidFill>
              <w14:schemeClr w14:val="tx1"/>
            </w14:solidFill>
          </w14:textFill>
        </w:rPr>
      </w:pPr>
      <w:bookmarkStart w:id="496" w:name="_Toc29157"/>
      <w:bookmarkStart w:id="497" w:name="_Toc7347"/>
      <w:bookmarkStart w:id="498" w:name="_Toc12579"/>
      <w:r>
        <w:rPr>
          <w:rFonts w:hint="eastAsia" w:ascii="宋体" w:hAnsi="宋体" w:eastAsia="宋体" w:cs="宋体"/>
          <w:color w:val="000000" w:themeColor="text1"/>
          <w:sz w:val="28"/>
          <w:szCs w:val="28"/>
          <w:highlight w:val="none"/>
          <w14:textFill>
            <w14:solidFill>
              <w14:schemeClr w14:val="tx1"/>
            </w14:solidFill>
          </w14:textFill>
        </w:rPr>
        <w:t>2</w:t>
      </w:r>
      <w:bookmarkEnd w:id="492"/>
      <w:bookmarkEnd w:id="493"/>
      <w:bookmarkEnd w:id="494"/>
      <w:bookmarkEnd w:id="495"/>
      <w:r>
        <w:rPr>
          <w:rFonts w:hint="eastAsia" w:ascii="宋体" w:hAnsi="宋体" w:eastAsia="宋体" w:cs="宋体"/>
          <w:color w:val="000000" w:themeColor="text1"/>
          <w:sz w:val="28"/>
          <w:szCs w:val="28"/>
          <w:highlight w:val="none"/>
          <w14:textFill>
            <w14:solidFill>
              <w14:schemeClr w14:val="tx1"/>
            </w14:solidFill>
          </w14:textFill>
        </w:rPr>
        <w:t>、</w:t>
      </w:r>
      <w:bookmarkEnd w:id="496"/>
      <w:bookmarkStart w:id="499" w:name="_Toc4629"/>
      <w:r>
        <w:rPr>
          <w:rFonts w:hint="eastAsia" w:ascii="宋体" w:hAnsi="宋体" w:eastAsia="宋体" w:cs="宋体"/>
          <w:color w:val="000000" w:themeColor="text1"/>
          <w:sz w:val="28"/>
          <w:szCs w:val="28"/>
          <w:highlight w:val="none"/>
          <w14:textFill>
            <w14:solidFill>
              <w14:schemeClr w14:val="tx1"/>
            </w14:solidFill>
          </w14:textFill>
        </w:rPr>
        <w:t>法人或者其他组织的营业执照等证明文件，自然人的身份证明；</w:t>
      </w:r>
      <w:bookmarkEnd w:id="497"/>
      <w:bookmarkEnd w:id="498"/>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471416DE">
      <w:pPr>
        <w:rPr>
          <w:rFonts w:hint="eastAsia" w:ascii="宋体" w:hAnsi="宋体" w:eastAsia="宋体" w:cs="宋体"/>
          <w:color w:val="000000" w:themeColor="text1"/>
          <w:sz w:val="28"/>
          <w:szCs w:val="28"/>
          <w:highlight w:val="none"/>
          <w14:textFill>
            <w14:solidFill>
              <w14:schemeClr w14:val="tx1"/>
            </w14:solidFill>
          </w14:textFill>
        </w:rPr>
      </w:pPr>
    </w:p>
    <w:p w14:paraId="1E89B6E3">
      <w:pPr>
        <w:rPr>
          <w:rFonts w:hint="eastAsia" w:ascii="宋体" w:hAnsi="宋体" w:eastAsia="宋体" w:cs="宋体"/>
          <w:color w:val="000000" w:themeColor="text1"/>
          <w:sz w:val="28"/>
          <w:szCs w:val="28"/>
          <w:highlight w:val="none"/>
          <w14:textFill>
            <w14:solidFill>
              <w14:schemeClr w14:val="tx1"/>
            </w14:solidFill>
          </w14:textFill>
        </w:rPr>
      </w:pPr>
    </w:p>
    <w:p w14:paraId="57962B1A">
      <w:pPr>
        <w:rPr>
          <w:rFonts w:hint="eastAsia" w:ascii="宋体" w:hAnsi="宋体" w:eastAsia="宋体" w:cs="宋体"/>
          <w:color w:val="000000" w:themeColor="text1"/>
          <w:sz w:val="28"/>
          <w:szCs w:val="28"/>
          <w:highlight w:val="none"/>
          <w14:textFill>
            <w14:solidFill>
              <w14:schemeClr w14:val="tx1"/>
            </w14:solidFill>
          </w14:textFill>
        </w:rPr>
      </w:pPr>
    </w:p>
    <w:p w14:paraId="11AA5B1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说明：1.提供有效的营业执照复印件，复印件上应加盖本单位章。</w:t>
      </w:r>
    </w:p>
    <w:p w14:paraId="03EBBCF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为自然人的，应提供身份证明的复印件。</w:t>
      </w:r>
    </w:p>
    <w:p w14:paraId="32D33D4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3.联合体投标应提供联合体各方满足以上要求的证明文件。</w:t>
      </w:r>
    </w:p>
    <w:p w14:paraId="13475AA7">
      <w:pPr>
        <w:pStyle w:val="5"/>
        <w:rPr>
          <w:rFonts w:hint="eastAsia" w:ascii="宋体" w:hAnsi="宋体" w:eastAsia="宋体" w:cs="宋体"/>
          <w:color w:val="000000" w:themeColor="text1"/>
          <w:sz w:val="24"/>
          <w:szCs w:val="24"/>
          <w:highlight w:val="none"/>
          <w14:textFill>
            <w14:solidFill>
              <w14:schemeClr w14:val="tx1"/>
            </w14:solidFill>
          </w14:textFill>
        </w:rPr>
      </w:pPr>
    </w:p>
    <w:bookmarkEnd w:id="499"/>
    <w:p w14:paraId="7E127B7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50B99306">
      <w:pPr>
        <w:pStyle w:val="3"/>
        <w:spacing w:before="0"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500" w:name="_Toc27787"/>
      <w:bookmarkStart w:id="501" w:name="_Toc30259"/>
      <w:r>
        <w:rPr>
          <w:rFonts w:hint="eastAsia" w:ascii="宋体" w:hAnsi="宋体" w:eastAsia="宋体" w:cs="宋体"/>
          <w:color w:val="000000" w:themeColor="text1"/>
          <w:sz w:val="24"/>
          <w:szCs w:val="24"/>
          <w:highlight w:val="none"/>
          <w14:textFill>
            <w14:solidFill>
              <w14:schemeClr w14:val="tx1"/>
            </w14:solidFill>
          </w14:textFill>
        </w:rPr>
        <w:t>3、法定代表人资格证明书或法人授权委托书及被授权人身份证(</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格式二，自然人投标的无需提供)；</w:t>
      </w:r>
      <w:bookmarkEnd w:id="500"/>
      <w:bookmarkEnd w:id="501"/>
    </w:p>
    <w:p w14:paraId="72B5E6FA">
      <w:pPr>
        <w:pStyle w:val="3"/>
        <w:spacing w:before="0"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502" w:name="_Toc7144"/>
      <w:bookmarkStart w:id="503" w:name="_Toc22645"/>
      <w:r>
        <w:rPr>
          <w:rFonts w:hint="eastAsia" w:ascii="宋体" w:hAnsi="宋体" w:eastAsia="宋体" w:cs="宋体"/>
          <w:color w:val="000000" w:themeColor="text1"/>
          <w:sz w:val="24"/>
          <w:szCs w:val="24"/>
          <w:highlight w:val="none"/>
          <w14:textFill>
            <w14:solidFill>
              <w14:schemeClr w14:val="tx1"/>
            </w14:solidFill>
          </w14:textFill>
        </w:rPr>
        <w:t>3.1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法定代表人身份证明</w:t>
      </w:r>
      <w:bookmarkEnd w:id="502"/>
      <w:bookmarkEnd w:id="503"/>
    </w:p>
    <w:p w14:paraId="02ADD5C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同志，现任我单位          职务，为法定代表人，特此证明。</w:t>
      </w:r>
    </w:p>
    <w:p w14:paraId="0D26B1C1">
      <w:pPr>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签发日期：                  单位：         </w:t>
      </w:r>
    </w:p>
    <w:p w14:paraId="7D2B6DEF">
      <w:pPr>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附：代表人性别：            年龄：           身份证号码：</w:t>
      </w:r>
    </w:p>
    <w:p w14:paraId="4F62A84D">
      <w:pPr>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14:paraId="1BC44AF3">
      <w:pPr>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营业执照号码：              经济性质：</w:t>
      </w:r>
    </w:p>
    <w:p w14:paraId="7D52077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14:paraId="17DFE7A7">
      <w:pPr>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1、法定代表人为企业事业单位、国家机关、社会团体的主要行政负责人。</w:t>
      </w:r>
    </w:p>
    <w:p w14:paraId="3B66BEF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2、内容必须填写真实、清楚、涂改无效，不得转让。</w:t>
      </w:r>
    </w:p>
    <w:p w14:paraId="765F917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(为避免废标，请供应商务必提供本附件)</w:t>
      </w:r>
    </w:p>
    <w:p w14:paraId="5A11750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135890</wp:posOffset>
                </wp:positionH>
                <wp:positionV relativeFrom="paragraph">
                  <wp:posOffset>168275</wp:posOffset>
                </wp:positionV>
                <wp:extent cx="4281805" cy="1375410"/>
                <wp:effectExtent l="4445" t="4445" r="11430" b="6985"/>
                <wp:wrapNone/>
                <wp:docPr id="14" name="流程图: 可选过程 14"/>
                <wp:cNvGraphicFramePr/>
                <a:graphic xmlns:a="http://schemas.openxmlformats.org/drawingml/2006/main">
                  <a:graphicData uri="http://schemas.microsoft.com/office/word/2010/wordprocessingShape">
                    <wps:wsp>
                      <wps:cNvSpPr/>
                      <wps:spPr>
                        <a:xfrm>
                          <a:off x="0" y="0"/>
                          <a:ext cx="428180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7BB876C">
                            <w:pPr>
                              <w:jc w:val="center"/>
                              <w:rPr>
                                <w:rFonts w:hAnsi="宋体"/>
                                <w:szCs w:val="21"/>
                              </w:rPr>
                            </w:pPr>
                          </w:p>
                          <w:p w14:paraId="43AB1150">
                            <w:pPr>
                              <w:jc w:val="center"/>
                              <w:rPr>
                                <w:rFonts w:hAnsi="宋体"/>
                                <w:szCs w:val="21"/>
                              </w:rPr>
                            </w:pPr>
                          </w:p>
                          <w:p w14:paraId="58B8332D">
                            <w:pPr>
                              <w:jc w:val="center"/>
                              <w:rPr>
                                <w:rFonts w:hint="eastAsia" w:ascii="宋体" w:hAnsi="宋体" w:eastAsia="宋体" w:cs="宋体"/>
                                <w:szCs w:val="21"/>
                              </w:rPr>
                            </w:pPr>
                          </w:p>
                          <w:p w14:paraId="4331F1F2">
                            <w:pPr>
                              <w:ind w:firstLine="240" w:firstLineChars="100"/>
                              <w:jc w:val="center"/>
                              <w:rPr>
                                <w:rFonts w:hint="eastAsia" w:ascii="宋体" w:hAnsi="宋体" w:eastAsia="宋体" w:cs="宋体"/>
                                <w:sz w:val="24"/>
                              </w:rPr>
                            </w:pPr>
                            <w:r>
                              <w:rPr>
                                <w:rFonts w:hint="eastAsia" w:ascii="宋体" w:hAnsi="宋体" w:eastAsia="宋体" w:cs="宋体"/>
                                <w:sz w:val="24"/>
                              </w:rPr>
                              <w:t>法定代表人身份证复印件正反面</w:t>
                            </w:r>
                          </w:p>
                        </w:txbxContent>
                      </wps:txbx>
                      <wps:bodyPr upright="1"/>
                    </wps:wsp>
                  </a:graphicData>
                </a:graphic>
              </wp:anchor>
            </w:drawing>
          </mc:Choice>
          <mc:Fallback>
            <w:pict>
              <v:shape id="_x0000_s1026" o:spid="_x0000_s1026" o:spt="176" type="#_x0000_t176" style="position:absolute;left:0pt;margin-left:10.7pt;margin-top:13.25pt;height:108.3pt;width:337.15pt;z-index:251660288;mso-width-relative:page;mso-height-relative:page;" fillcolor="#FFFFFF" filled="t" stroked="t" coordsize="21600,21600" o:gfxdata="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PufE2QAAAAkBAAAPAAAAAAAAAAEAIAAAACIAAABkcnMvZG93bnJldi54bWxQ&#10;SwECFAAUAAAACACHTuJAFQVjKy8CAABgBAAADgAAAAAAAAABACAAAAAoAQAAZHJzL2Uyb0RvYy54&#10;bWxQSwUGAAAAAAYABgBZAQAAyQUAAAAA&#10;">
                <v:fill on="t" focussize="0,0"/>
                <v:stroke color="#000000" joinstyle="miter"/>
                <v:imagedata o:title=""/>
                <o:lock v:ext="edit" aspectratio="f"/>
                <v:textbox>
                  <w:txbxContent>
                    <w:p w14:paraId="17BB876C">
                      <w:pPr>
                        <w:jc w:val="center"/>
                        <w:rPr>
                          <w:rFonts w:hAnsi="宋体"/>
                          <w:szCs w:val="21"/>
                        </w:rPr>
                      </w:pPr>
                    </w:p>
                    <w:p w14:paraId="43AB1150">
                      <w:pPr>
                        <w:jc w:val="center"/>
                        <w:rPr>
                          <w:rFonts w:hAnsi="宋体"/>
                          <w:szCs w:val="21"/>
                        </w:rPr>
                      </w:pPr>
                    </w:p>
                    <w:p w14:paraId="58B8332D">
                      <w:pPr>
                        <w:jc w:val="center"/>
                        <w:rPr>
                          <w:rFonts w:hint="eastAsia" w:ascii="宋体" w:hAnsi="宋体" w:eastAsia="宋体" w:cs="宋体"/>
                          <w:szCs w:val="21"/>
                        </w:rPr>
                      </w:pPr>
                    </w:p>
                    <w:p w14:paraId="4331F1F2">
                      <w:pPr>
                        <w:ind w:firstLine="240" w:firstLineChars="100"/>
                        <w:jc w:val="center"/>
                        <w:rPr>
                          <w:rFonts w:hint="eastAsia" w:ascii="宋体" w:hAnsi="宋体" w:eastAsia="宋体" w:cs="宋体"/>
                          <w:sz w:val="24"/>
                        </w:rPr>
                      </w:pPr>
                      <w:r>
                        <w:rPr>
                          <w:rFonts w:hint="eastAsia" w:ascii="宋体" w:hAnsi="宋体" w:eastAsia="宋体" w:cs="宋体"/>
                          <w:sz w:val="24"/>
                        </w:rPr>
                        <w:t>法定代表人身份证复印件正反面</w:t>
                      </w:r>
                    </w:p>
                  </w:txbxContent>
                </v:textbox>
              </v:shape>
            </w:pict>
          </mc:Fallback>
        </mc:AlternateContent>
      </w:r>
    </w:p>
    <w:p w14:paraId="457671E2">
      <w:pPr>
        <w:rPr>
          <w:rFonts w:hint="eastAsia" w:ascii="宋体" w:hAnsi="宋体" w:eastAsia="宋体" w:cs="宋体"/>
          <w:color w:val="000000" w:themeColor="text1"/>
          <w:sz w:val="24"/>
          <w:szCs w:val="24"/>
          <w:highlight w:val="none"/>
          <w14:textFill>
            <w14:solidFill>
              <w14:schemeClr w14:val="tx1"/>
            </w14:solidFill>
          </w14:textFill>
        </w:rPr>
      </w:pPr>
    </w:p>
    <w:p w14:paraId="17DCAA61">
      <w:pPr>
        <w:rPr>
          <w:rFonts w:hint="eastAsia" w:ascii="宋体" w:hAnsi="宋体" w:eastAsia="宋体" w:cs="宋体"/>
          <w:color w:val="000000" w:themeColor="text1"/>
          <w:sz w:val="24"/>
          <w:szCs w:val="24"/>
          <w:highlight w:val="none"/>
          <w14:textFill>
            <w14:solidFill>
              <w14:schemeClr w14:val="tx1"/>
            </w14:solidFill>
          </w14:textFill>
        </w:rPr>
      </w:pPr>
    </w:p>
    <w:p w14:paraId="7E8570C1">
      <w:pPr>
        <w:rPr>
          <w:rFonts w:hint="eastAsia" w:ascii="宋体" w:hAnsi="宋体" w:eastAsia="宋体" w:cs="宋体"/>
          <w:color w:val="000000" w:themeColor="text1"/>
          <w:sz w:val="24"/>
          <w:szCs w:val="24"/>
          <w:highlight w:val="none"/>
          <w14:textFill>
            <w14:solidFill>
              <w14:schemeClr w14:val="tx1"/>
            </w14:solidFill>
          </w14:textFill>
        </w:rPr>
      </w:pPr>
    </w:p>
    <w:p w14:paraId="2BD696F5">
      <w:pPr>
        <w:rPr>
          <w:rFonts w:hint="eastAsia" w:ascii="宋体" w:hAnsi="宋体" w:eastAsia="宋体" w:cs="宋体"/>
          <w:color w:val="000000" w:themeColor="text1"/>
          <w:sz w:val="24"/>
          <w:szCs w:val="24"/>
          <w:highlight w:val="none"/>
          <w14:textFill>
            <w14:solidFill>
              <w14:schemeClr w14:val="tx1"/>
            </w14:solidFill>
          </w14:textFill>
        </w:rPr>
      </w:pPr>
    </w:p>
    <w:p w14:paraId="246927FA">
      <w:pPr>
        <w:rPr>
          <w:rFonts w:hint="eastAsia" w:ascii="宋体" w:hAnsi="宋体" w:eastAsia="宋体" w:cs="宋体"/>
          <w:color w:val="000000" w:themeColor="text1"/>
          <w:sz w:val="24"/>
          <w:szCs w:val="24"/>
          <w:highlight w:val="none"/>
          <w14:textFill>
            <w14:solidFill>
              <w14:schemeClr w14:val="tx1"/>
            </w14:solidFill>
          </w14:textFill>
        </w:rPr>
      </w:pPr>
    </w:p>
    <w:p w14:paraId="439575A4">
      <w:pPr>
        <w:autoSpaceDE w:val="0"/>
        <w:autoSpaceDN w:val="0"/>
        <w:adjustRightInd w:val="0"/>
        <w:ind w:right="246"/>
        <w:rPr>
          <w:rFonts w:hint="eastAsia" w:ascii="宋体" w:hAnsi="宋体" w:eastAsia="宋体" w:cs="宋体"/>
          <w:color w:val="000000" w:themeColor="text1"/>
          <w:sz w:val="24"/>
          <w:szCs w:val="24"/>
          <w:highlight w:val="none"/>
          <w14:textFill>
            <w14:solidFill>
              <w14:schemeClr w14:val="tx1"/>
            </w14:solidFill>
          </w14:textFill>
        </w:rPr>
      </w:pPr>
    </w:p>
    <w:p w14:paraId="1D95C0A0">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p>
    <w:p w14:paraId="4DC77485">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p>
    <w:p w14:paraId="7B0AC6DD">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p>
    <w:p w14:paraId="5B9A9E30">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p>
    <w:p w14:paraId="5FAB0539">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CA</w:t>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hAnsi="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650FC6F">
      <w:pPr>
        <w:pStyle w:val="12"/>
        <w:tabs>
          <w:tab w:val="left" w:pos="5370"/>
        </w:tabs>
        <w:spacing w:line="240" w:lineRule="atLeast"/>
        <w:ind w:left="1155" w:leftChars="371" w:hanging="376" w:hangingChars="157"/>
        <w:rPr>
          <w:rFonts w:hint="eastAsia" w:ascii="宋体" w:hAnsi="宋体" w:eastAsia="宋体" w:cs="宋体"/>
          <w:color w:val="000000" w:themeColor="text1"/>
          <w:sz w:val="24"/>
          <w:szCs w:val="24"/>
          <w:highlight w:val="none"/>
          <w14:textFill>
            <w14:solidFill>
              <w14:schemeClr w14:val="tx1"/>
            </w14:solidFill>
          </w14:textFill>
        </w:rPr>
      </w:pPr>
    </w:p>
    <w:p w14:paraId="5D11D787">
      <w:pPr>
        <w:pStyle w:val="12"/>
        <w:tabs>
          <w:tab w:val="left" w:pos="5370"/>
        </w:tabs>
        <w:spacing w:line="240" w:lineRule="atLeast"/>
        <w:ind w:left="1155" w:leftChars="371" w:hanging="376" w:hangingChars="157"/>
        <w:rPr>
          <w:rFonts w:hint="eastAsia" w:ascii="宋体" w:hAnsi="宋体" w:eastAsia="宋体" w:cs="宋体"/>
          <w:color w:val="000000" w:themeColor="text1"/>
          <w:sz w:val="24"/>
          <w:szCs w:val="24"/>
          <w:highlight w:val="none"/>
          <w14:textFill>
            <w14:solidFill>
              <w14:schemeClr w14:val="tx1"/>
            </w14:solidFill>
          </w14:textFill>
        </w:rPr>
      </w:pPr>
    </w:p>
    <w:p w14:paraId="7161EC1D">
      <w:pPr>
        <w:pStyle w:val="12"/>
        <w:tabs>
          <w:tab w:val="left" w:pos="5370"/>
        </w:tabs>
        <w:spacing w:line="240" w:lineRule="atLeast"/>
        <w:ind w:left="1155" w:leftChars="371" w:hanging="376" w:hangingChars="15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电子</w:t>
      </w:r>
      <w:r>
        <w:rPr>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E790FFA">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4F4E81C">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p>
    <w:p w14:paraId="370AE41F">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p>
    <w:p w14:paraId="0ACBB966">
      <w:pPr>
        <w:adjustRightInd w:val="0"/>
        <w:snapToGrid w:val="0"/>
        <w:ind w:firstLine="784" w:firstLineChars="3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A2D4254">
      <w:pPr>
        <w:pStyle w:val="12"/>
        <w:tabs>
          <w:tab w:val="left" w:pos="5580"/>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说明：1.提供有效的营业执照等证明文件复印件，复印件上应加盖本单位章。</w:t>
      </w:r>
    </w:p>
    <w:p w14:paraId="0650D4EF">
      <w:pPr>
        <w:pStyle w:val="12"/>
        <w:tabs>
          <w:tab w:val="left" w:pos="5580"/>
        </w:tabs>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2.供应商为自然人的，应提供身份证明的复印件。</w:t>
      </w:r>
    </w:p>
    <w:p w14:paraId="4EFFA6B7">
      <w:pPr>
        <w:pStyle w:val="12"/>
        <w:tabs>
          <w:tab w:val="left" w:pos="5580"/>
        </w:tabs>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3.联合体磋商应提供联合体各方满足以上要求的证明文件。</w:t>
      </w:r>
      <w:bookmarkStart w:id="504" w:name="_Toc14483"/>
      <w:bookmarkStart w:id="505" w:name="_Toc13107"/>
      <w:bookmarkStart w:id="506" w:name="_Toc515647807"/>
      <w:bookmarkStart w:id="507" w:name="_Toc16635"/>
      <w:bookmarkStart w:id="508" w:name="_Toc17981"/>
      <w:bookmarkStart w:id="509" w:name="_Toc4082"/>
      <w:bookmarkStart w:id="510" w:name="_Toc5436"/>
      <w:bookmarkStart w:id="511" w:name="_Toc6829"/>
      <w:bookmarkStart w:id="512" w:name="_Toc8491"/>
      <w:bookmarkStart w:id="513" w:name="_Toc22472"/>
      <w:bookmarkStart w:id="514" w:name="_Toc4926"/>
      <w:bookmarkStart w:id="515" w:name="_Toc27943"/>
      <w:bookmarkStart w:id="516" w:name="_Toc7748"/>
      <w:bookmarkStart w:id="517" w:name="_Toc21867"/>
      <w:bookmarkStart w:id="518" w:name="_Toc1083"/>
      <w:bookmarkStart w:id="519" w:name="_Toc16640"/>
    </w:p>
    <w:p w14:paraId="713D19B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0AA56B56">
      <w:pPr>
        <w:pStyle w:val="12"/>
        <w:tabs>
          <w:tab w:val="left" w:pos="5580"/>
        </w:tabs>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14:paraId="1630514F">
      <w:pPr>
        <w:pStyle w:val="3"/>
        <w:spacing w:before="0"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520" w:name="_Toc9226"/>
      <w:bookmarkStart w:id="521" w:name="_Toc12691"/>
      <w:r>
        <w:rPr>
          <w:rFonts w:hint="eastAsia" w:ascii="宋体" w:hAnsi="宋体" w:eastAsia="宋体" w:cs="宋体"/>
          <w:color w:val="000000" w:themeColor="text1"/>
          <w:sz w:val="24"/>
          <w:szCs w:val="24"/>
          <w:highlight w:val="none"/>
          <w14:textFill>
            <w14:solidFill>
              <w14:schemeClr w14:val="tx1"/>
            </w14:solidFill>
          </w14:textFill>
        </w:rPr>
        <w:t>3.2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法定代表人授权委托书</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59C2C2C">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bookmarkStart w:id="522" w:name="_Toc515647808"/>
      <w:bookmarkStart w:id="523" w:name="_Toc32520"/>
      <w:bookmarkStart w:id="524" w:name="_Toc7039"/>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本授权书声明：注册于</w:t>
      </w:r>
      <w:r>
        <w:rPr>
          <w:rFonts w:hint="eastAsia" w:ascii="宋体" w:hAnsi="宋体" w:eastAsia="宋体" w:cs="宋体"/>
          <w:color w:val="000000" w:themeColor="text1"/>
          <w:sz w:val="24"/>
          <w:szCs w:val="24"/>
          <w:highlight w:val="none"/>
          <w:u w:val="single"/>
          <w14:textFill>
            <w14:solidFill>
              <w14:schemeClr w14:val="tx1"/>
            </w14:solidFill>
          </w14:textFill>
        </w:rPr>
        <w:t>（国家或地区的名称）</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的在下面签字的</w:t>
      </w:r>
      <w:r>
        <w:rPr>
          <w:rFonts w:hint="eastAsia" w:ascii="宋体" w:hAnsi="宋体" w:eastAsia="宋体" w:cs="宋体"/>
          <w:color w:val="000000" w:themeColor="text1"/>
          <w:sz w:val="24"/>
          <w:szCs w:val="24"/>
          <w:highlight w:val="none"/>
          <w:u w:val="single"/>
          <w14:textFill>
            <w14:solidFill>
              <w14:schemeClr w14:val="tx1"/>
            </w14:solidFill>
          </w14:textFill>
        </w:rPr>
        <w:t>（法人代表姓名、职务）</w:t>
      </w:r>
      <w:r>
        <w:rPr>
          <w:rFonts w:hint="eastAsia" w:ascii="宋体" w:hAnsi="宋体" w:eastAsia="宋体" w:cs="宋体"/>
          <w:color w:val="000000" w:themeColor="text1"/>
          <w:sz w:val="24"/>
          <w:szCs w:val="24"/>
          <w:highlight w:val="none"/>
          <w14:textFill>
            <w14:solidFill>
              <w14:schemeClr w14:val="tx1"/>
            </w14:solidFill>
          </w14:textFill>
        </w:rPr>
        <w:t>代表我单位授权</w:t>
      </w:r>
      <w:r>
        <w:rPr>
          <w:rFonts w:hint="eastAsia" w:ascii="宋体" w:hAnsi="宋体" w:eastAsia="宋体" w:cs="宋体"/>
          <w:color w:val="000000" w:themeColor="text1"/>
          <w:sz w:val="24"/>
          <w:szCs w:val="24"/>
          <w:highlight w:val="none"/>
          <w:u w:val="single"/>
          <w14:textFill>
            <w14:solidFill>
              <w14:schemeClr w14:val="tx1"/>
            </w14:solidFill>
          </w14:textFill>
        </w:rPr>
        <w:t>（单位名称）</w:t>
      </w:r>
      <w:r>
        <w:rPr>
          <w:rFonts w:hint="eastAsia" w:ascii="宋体" w:hAnsi="宋体" w:eastAsia="宋体" w:cs="宋体"/>
          <w:color w:val="000000" w:themeColor="text1"/>
          <w:sz w:val="24"/>
          <w:szCs w:val="24"/>
          <w:highlight w:val="none"/>
          <w14:textFill>
            <w14:solidFill>
              <w14:schemeClr w14:val="tx1"/>
            </w14:solidFill>
          </w14:textFill>
        </w:rPr>
        <w:t>的在下面签字的</w:t>
      </w:r>
      <w:r>
        <w:rPr>
          <w:rFonts w:hint="eastAsia" w:ascii="宋体" w:hAnsi="宋体" w:eastAsia="宋体" w:cs="宋体"/>
          <w:color w:val="000000" w:themeColor="text1"/>
          <w:sz w:val="24"/>
          <w:szCs w:val="24"/>
          <w:highlight w:val="none"/>
          <w:u w:val="single"/>
          <w14:textFill>
            <w14:solidFill>
              <w14:schemeClr w14:val="tx1"/>
            </w14:solidFill>
          </w14:textFill>
        </w:rPr>
        <w:t>（被授权人的姓名、职务）</w:t>
      </w:r>
      <w:r>
        <w:rPr>
          <w:rFonts w:hint="eastAsia" w:ascii="宋体" w:hAnsi="宋体" w:eastAsia="宋体" w:cs="宋体"/>
          <w:color w:val="000000" w:themeColor="text1"/>
          <w:sz w:val="24"/>
          <w:szCs w:val="24"/>
          <w:highlight w:val="none"/>
          <w14:textFill>
            <w14:solidFill>
              <w14:schemeClr w14:val="tx1"/>
            </w14:solidFill>
          </w14:textFill>
        </w:rPr>
        <w:t>为我单位的合法代理人，就（项目名称）的磋商，以我单位名义处理一切与之有关的事务。　　</w:t>
      </w:r>
    </w:p>
    <w:p w14:paraId="1C8500EA">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本授权书于           年     月     日签字生效,特此声明。</w:t>
      </w:r>
    </w:p>
    <w:p w14:paraId="6ABBBA2C">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4618355" cy="1405890"/>
                <wp:effectExtent l="4445" t="5080" r="10160" b="6350"/>
                <wp:wrapNone/>
                <wp:docPr id="19" name="流程图: 可选过程 19"/>
                <wp:cNvGraphicFramePr/>
                <a:graphic xmlns:a="http://schemas.openxmlformats.org/drawingml/2006/main">
                  <a:graphicData uri="http://schemas.microsoft.com/office/word/2010/wordprocessingShape">
                    <wps:wsp>
                      <wps:cNvSpPr/>
                      <wps:spPr>
                        <a:xfrm>
                          <a:off x="0" y="0"/>
                          <a:ext cx="461835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5686AD9">
                            <w:pPr>
                              <w:jc w:val="center"/>
                              <w:rPr>
                                <w:rFonts w:hAnsi="宋体"/>
                              </w:rPr>
                            </w:pPr>
                          </w:p>
                          <w:p w14:paraId="24DB40F8">
                            <w:pPr>
                              <w:jc w:val="center"/>
                              <w:rPr>
                                <w:rFonts w:hAnsi="宋体"/>
                              </w:rPr>
                            </w:pPr>
                          </w:p>
                          <w:p w14:paraId="5C5973BE">
                            <w:pPr>
                              <w:jc w:val="center"/>
                              <w:rPr>
                                <w:rFonts w:hAnsi="宋体"/>
                              </w:rPr>
                            </w:pPr>
                          </w:p>
                          <w:p w14:paraId="3F8FBB12">
                            <w:pPr>
                              <w:pStyle w:val="12"/>
                              <w:tabs>
                                <w:tab w:val="left" w:pos="5580"/>
                              </w:tabs>
                              <w:spacing w:line="240" w:lineRule="atLeast"/>
                              <w:jc w:val="center"/>
                              <w:rPr>
                                <w:rFonts w:hint="eastAsia" w:ascii="宋体" w:hAnsi="宋体" w:eastAsia="宋体" w:cs="宋体"/>
                                <w:sz w:val="24"/>
                                <w:szCs w:val="24"/>
                              </w:rPr>
                            </w:pPr>
                            <w:r>
                              <w:rPr>
                                <w:rFonts w:hint="eastAsia" w:ascii="宋体" w:hAnsi="宋体" w:eastAsia="宋体" w:cs="宋体"/>
                                <w:sz w:val="24"/>
                                <w:szCs w:val="24"/>
                              </w:rPr>
                              <w:t>授权委托人身份证复印件正反面</w:t>
                            </w:r>
                          </w:p>
                        </w:txbxContent>
                      </wps:txbx>
                      <wps:bodyPr upright="1"/>
                    </wps:wsp>
                  </a:graphicData>
                </a:graphic>
              </wp:anchor>
            </w:drawing>
          </mc:Choice>
          <mc:Fallback>
            <w:pict>
              <v:shape id="_x0000_s1026" o:spid="_x0000_s1026" o:spt="176" type="#_x0000_t176" style="position:absolute;left:0pt;margin-left:1.65pt;margin-top:10.7pt;height:110.7pt;width:363.65pt;z-index:251661312;mso-width-relative:page;mso-height-relative:page;" fillcolor="#FFFFFF" filled="t" stroked="t" coordsize="21600,21600" o:gfxdata="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0BiL7WAAAACAEAAA8AAAAAAAAAAQAgAAAAIgAAAGRycy9kb3ducmV2Lnht&#10;bFBLAQIUABQAAAAIAIdO4kAA1NWjNAIAAGAEAAAOAAAAAAAAAAEAIAAAACUBAABkcnMvZTJvRG9j&#10;LnhtbFBLBQYAAAAABgAGAFkBAADLBQAAAAA=&#10;">
                <v:fill on="t" focussize="0,0"/>
                <v:stroke color="#000000" joinstyle="miter"/>
                <v:imagedata o:title=""/>
                <o:lock v:ext="edit" aspectratio="f"/>
                <v:textbox>
                  <w:txbxContent>
                    <w:p w14:paraId="75686AD9">
                      <w:pPr>
                        <w:jc w:val="center"/>
                        <w:rPr>
                          <w:rFonts w:hAnsi="宋体"/>
                        </w:rPr>
                      </w:pPr>
                    </w:p>
                    <w:p w14:paraId="24DB40F8">
                      <w:pPr>
                        <w:jc w:val="center"/>
                        <w:rPr>
                          <w:rFonts w:hAnsi="宋体"/>
                        </w:rPr>
                      </w:pPr>
                    </w:p>
                    <w:p w14:paraId="5C5973BE">
                      <w:pPr>
                        <w:jc w:val="center"/>
                        <w:rPr>
                          <w:rFonts w:hAnsi="宋体"/>
                        </w:rPr>
                      </w:pPr>
                    </w:p>
                    <w:p w14:paraId="3F8FBB12">
                      <w:pPr>
                        <w:pStyle w:val="12"/>
                        <w:tabs>
                          <w:tab w:val="left" w:pos="5580"/>
                        </w:tabs>
                        <w:spacing w:line="240" w:lineRule="atLeast"/>
                        <w:jc w:val="center"/>
                        <w:rPr>
                          <w:rFonts w:hint="eastAsia" w:ascii="宋体" w:hAnsi="宋体" w:eastAsia="宋体" w:cs="宋体"/>
                          <w:sz w:val="24"/>
                          <w:szCs w:val="24"/>
                        </w:rPr>
                      </w:pPr>
                      <w:r>
                        <w:rPr>
                          <w:rFonts w:hint="eastAsia" w:ascii="宋体" w:hAnsi="宋体" w:eastAsia="宋体" w:cs="宋体"/>
                          <w:sz w:val="24"/>
                          <w:szCs w:val="24"/>
                        </w:rPr>
                        <w:t>授权委托人身份证复印件正反面</w:t>
                      </w:r>
                    </w:p>
                  </w:txbxContent>
                </v:textbox>
              </v:shape>
            </w:pict>
          </mc:Fallback>
        </mc:AlternateContent>
      </w:r>
    </w:p>
    <w:p w14:paraId="16F8D789">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14:paraId="3D1278B8">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472D2E3B">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675B0AA6">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0FFABC93">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256856D2">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2140859E">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0727D3FE">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100965</wp:posOffset>
                </wp:positionH>
                <wp:positionV relativeFrom="paragraph">
                  <wp:posOffset>148590</wp:posOffset>
                </wp:positionV>
                <wp:extent cx="4565650" cy="1501775"/>
                <wp:effectExtent l="8255" t="7620" r="13335" b="14605"/>
                <wp:wrapNone/>
                <wp:docPr id="16" name="圆角矩形 16"/>
                <wp:cNvGraphicFramePr/>
                <a:graphic xmlns:a="http://schemas.openxmlformats.org/drawingml/2006/main">
                  <a:graphicData uri="http://schemas.microsoft.com/office/word/2010/wordprocessingShape">
                    <wps:wsp>
                      <wps:cNvSpPr/>
                      <wps:spPr>
                        <a:xfrm>
                          <a:off x="0" y="0"/>
                          <a:ext cx="4565650" cy="150177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436D7565">
                            <w:pPr>
                              <w:jc w:val="center"/>
                              <w:rPr>
                                <w:rFonts w:hAnsi="宋体"/>
                              </w:rPr>
                            </w:pPr>
                          </w:p>
                          <w:p w14:paraId="3B6C75DC">
                            <w:pPr>
                              <w:jc w:val="center"/>
                              <w:rPr>
                                <w:rFonts w:hAnsi="宋体"/>
                              </w:rPr>
                            </w:pPr>
                          </w:p>
                          <w:p w14:paraId="2803F8F8">
                            <w:pPr>
                              <w:jc w:val="center"/>
                              <w:rPr>
                                <w:rFonts w:hAnsi="宋体"/>
                              </w:rPr>
                            </w:pPr>
                          </w:p>
                          <w:p w14:paraId="0D9B5EB4">
                            <w:pPr>
                              <w:pStyle w:val="12"/>
                              <w:tabs>
                                <w:tab w:val="left" w:pos="5580"/>
                              </w:tabs>
                              <w:spacing w:line="240" w:lineRule="atLeast"/>
                              <w:jc w:val="center"/>
                              <w:rPr>
                                <w:rFonts w:hint="eastAsia" w:ascii="仿宋" w:hAnsi="仿宋" w:eastAsia="仿宋" w:cs="仿宋"/>
                                <w:sz w:val="24"/>
                                <w:szCs w:val="24"/>
                              </w:rPr>
                            </w:pPr>
                            <w:r>
                              <w:rPr>
                                <w:rFonts w:hint="eastAsia" w:ascii="宋体" w:hAnsi="宋体" w:eastAsia="宋体" w:cs="宋体"/>
                                <w:sz w:val="24"/>
                                <w:szCs w:val="24"/>
                              </w:rPr>
                              <w:t>法人身份证复印件正反面</w:t>
                            </w:r>
                          </w:p>
                          <w:p w14:paraId="3A96DE91"/>
                        </w:txbxContent>
                      </wps:txbx>
                      <wps:bodyPr upright="1"/>
                    </wps:wsp>
                  </a:graphicData>
                </a:graphic>
              </wp:anchor>
            </w:drawing>
          </mc:Choice>
          <mc:Fallback>
            <w:pict>
              <v:roundrect id="_x0000_s1026" o:spid="_x0000_s1026" o:spt="2" style="position:absolute;left:0pt;margin-left:7.95pt;margin-top:11.7pt;height:118.25pt;width:359.5pt;z-index:251662336;mso-width-relative:page;mso-height-relative:page;" fillcolor="#FFFFFF" filled="t" stroked="t" coordsize="21600,21600" arcsize="0.166666666666667" o:gfxdata="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OItI2QAAAAkBAAAPAAAAAAAAAAEAIAAAACIAAABkcnMvZG93bnJldi54bWxQSwECFAAU&#10;AAAACACHTuJAIzfY0SkCAABoBAAADgAAAAAAAAABACAAAAAoAQAAZHJzL2Uyb0RvYy54bWxQSwUG&#10;AAAAAAYABgBZAQAAwwUAAAAA&#10;">
                <v:fill on="t" focussize="0,0"/>
                <v:stroke weight="1.25pt" color="#808080" joinstyle="round"/>
                <v:imagedata o:title=""/>
                <o:lock v:ext="edit" aspectratio="f"/>
                <v:textbox>
                  <w:txbxContent>
                    <w:p w14:paraId="436D7565">
                      <w:pPr>
                        <w:jc w:val="center"/>
                        <w:rPr>
                          <w:rFonts w:hAnsi="宋体"/>
                        </w:rPr>
                      </w:pPr>
                    </w:p>
                    <w:p w14:paraId="3B6C75DC">
                      <w:pPr>
                        <w:jc w:val="center"/>
                        <w:rPr>
                          <w:rFonts w:hAnsi="宋体"/>
                        </w:rPr>
                      </w:pPr>
                    </w:p>
                    <w:p w14:paraId="2803F8F8">
                      <w:pPr>
                        <w:jc w:val="center"/>
                        <w:rPr>
                          <w:rFonts w:hAnsi="宋体"/>
                        </w:rPr>
                      </w:pPr>
                    </w:p>
                    <w:p w14:paraId="0D9B5EB4">
                      <w:pPr>
                        <w:pStyle w:val="12"/>
                        <w:tabs>
                          <w:tab w:val="left" w:pos="5580"/>
                        </w:tabs>
                        <w:spacing w:line="240" w:lineRule="atLeast"/>
                        <w:jc w:val="center"/>
                        <w:rPr>
                          <w:rFonts w:hint="eastAsia" w:ascii="仿宋" w:hAnsi="仿宋" w:eastAsia="仿宋" w:cs="仿宋"/>
                          <w:sz w:val="24"/>
                          <w:szCs w:val="24"/>
                        </w:rPr>
                      </w:pPr>
                      <w:r>
                        <w:rPr>
                          <w:rFonts w:hint="eastAsia" w:ascii="宋体" w:hAnsi="宋体" w:eastAsia="宋体" w:cs="宋体"/>
                          <w:sz w:val="24"/>
                          <w:szCs w:val="24"/>
                        </w:rPr>
                        <w:t>法人身份证复印件正反面</w:t>
                      </w:r>
                    </w:p>
                    <w:p w14:paraId="3A96DE91"/>
                  </w:txbxContent>
                </v:textbox>
              </v:roundrect>
            </w:pict>
          </mc:Fallback>
        </mc:AlternateContent>
      </w:r>
    </w:p>
    <w:p w14:paraId="5E11F45E">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18B8261C">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供应商（盖单位章）;                           </w:t>
      </w:r>
    </w:p>
    <w:p w14:paraId="1C473ED8">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14:paraId="2F1BE45E">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14:paraId="5E0360F4">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14:paraId="15FFB64D">
      <w:pPr>
        <w:pStyle w:val="12"/>
        <w:tabs>
          <w:tab w:val="left" w:pos="537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5ED40BF">
      <w:pPr>
        <w:pStyle w:val="12"/>
        <w:tabs>
          <w:tab w:val="left" w:pos="537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619DECD">
      <w:pPr>
        <w:pStyle w:val="12"/>
        <w:tabs>
          <w:tab w:val="left" w:pos="537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21172C2">
      <w:pPr>
        <w:pStyle w:val="12"/>
        <w:tabs>
          <w:tab w:val="left" w:pos="5370"/>
        </w:tabs>
        <w:spacing w:line="24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电子签章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 xml:space="preserve"> </w:t>
      </w:r>
    </w:p>
    <w:p w14:paraId="2DD7FB18">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CA</w:t>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hAnsi="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52E9E56">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身份证号码： </w:t>
      </w:r>
    </w:p>
    <w:p w14:paraId="04387A99">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w:t>
      </w:r>
      <w:r>
        <w:rPr>
          <w:rFonts w:hint="eastAsia" w:hAnsi="宋体" w:cs="宋体"/>
          <w:color w:val="000000" w:themeColor="text1"/>
          <w:sz w:val="24"/>
          <w:szCs w:val="24"/>
          <w:highlight w:val="none"/>
          <w:lang w:eastAsia="zh-CN"/>
          <w14:textFill>
            <w14:solidFill>
              <w14:schemeClr w14:val="tx1"/>
            </w14:solidFill>
          </w14:textFill>
        </w:rPr>
        <w:t>签字或盖章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B093BEE">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身份证号码：                                   </w:t>
      </w:r>
    </w:p>
    <w:p w14:paraId="044CC18E">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详细通讯地址：                                 </w:t>
      </w:r>
    </w:p>
    <w:p w14:paraId="4C7140D7">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邮 政 编 码 ：                                 </w:t>
      </w:r>
    </w:p>
    <w:p w14:paraId="7B5B2A26">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传　　　　真：                                 </w:t>
      </w:r>
    </w:p>
    <w:p w14:paraId="0DDA5C2C">
      <w:pPr>
        <w:pStyle w:val="12"/>
        <w:tabs>
          <w:tab w:val="left" w:pos="5580"/>
        </w:tabs>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                                 </w:t>
      </w:r>
      <w:bookmarkEnd w:id="522"/>
      <w:bookmarkEnd w:id="523"/>
      <w:bookmarkEnd w:id="524"/>
      <w:bookmarkStart w:id="525" w:name="_Toc10290"/>
      <w:bookmarkStart w:id="526" w:name="_Toc8410"/>
      <w:bookmarkStart w:id="527" w:name="_Toc28445"/>
      <w:bookmarkStart w:id="528" w:name="_Toc515647809"/>
      <w:bookmarkStart w:id="529" w:name="_Toc4923"/>
      <w:bookmarkStart w:id="530" w:name="_Toc11047"/>
      <w:bookmarkStart w:id="531" w:name="_Toc15480"/>
      <w:bookmarkStart w:id="532" w:name="_Toc22138"/>
    </w:p>
    <w:p w14:paraId="7CBA24A6">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7A8817D3">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5C768F8A">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5CAFC01A">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103A2535">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47A485E2">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7EA20518">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5A15F53B">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56E9FE74">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2E60A336">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3CCB4992">
      <w:pPr>
        <w:pStyle w:val="12"/>
        <w:tabs>
          <w:tab w:val="left" w:pos="558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09FC402F">
      <w:pPr>
        <w:pStyle w:val="12"/>
        <w:tabs>
          <w:tab w:val="left" w:pos="5370"/>
        </w:tabs>
        <w:spacing w:line="240" w:lineRule="atLeast"/>
        <w:ind w:firstLine="482" w:firstLineChars="200"/>
        <w:rPr>
          <w:rFonts w:hint="eastAsia" w:ascii="宋体" w:hAnsi="宋体" w:eastAsia="宋体" w:cs="宋体"/>
          <w:b/>
          <w:bCs/>
          <w:color w:val="000000" w:themeColor="text1"/>
          <w:sz w:val="23"/>
          <w:szCs w:val="23"/>
          <w:highlight w:val="none"/>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pacing w:val="7"/>
          <w:sz w:val="23"/>
          <w:szCs w:val="23"/>
          <w:highlight w:val="none"/>
          <w14:textFill>
            <w14:solidFill>
              <w14:schemeClr w14:val="tx1"/>
            </w14:solidFill>
          </w14:textFill>
        </w:rPr>
        <w:t>满足《中华人民共和国政府采购法》第二十二条规定：</w:t>
      </w:r>
    </w:p>
    <w:p w14:paraId="4E8CDD26">
      <w:pPr>
        <w:pStyle w:val="8"/>
        <w:spacing w:line="314" w:lineRule="auto"/>
        <w:rPr>
          <w:rFonts w:hint="eastAsia" w:ascii="宋体" w:hAnsi="宋体" w:eastAsia="宋体" w:cs="宋体"/>
          <w:b/>
          <w:bCs/>
          <w:color w:val="000000" w:themeColor="text1"/>
          <w:highlight w:val="none"/>
          <w14:textFill>
            <w14:solidFill>
              <w14:schemeClr w14:val="tx1"/>
            </w14:solidFill>
          </w14:textFill>
        </w:rPr>
      </w:pPr>
    </w:p>
    <w:p w14:paraId="038F11B4">
      <w:pPr>
        <w:pStyle w:val="3"/>
        <w:spacing w:before="0"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533" w:name="_Toc5678"/>
      <w:r>
        <w:rPr>
          <w:rFonts w:hint="eastAsia" w:ascii="宋体" w:hAnsi="宋体" w:eastAsia="宋体" w:cs="宋体"/>
          <w:color w:val="000000" w:themeColor="text1"/>
          <w:sz w:val="24"/>
          <w:szCs w:val="24"/>
          <w:highlight w:val="none"/>
          <w:lang w:val="en-US" w:eastAsia="zh-CN"/>
          <w14:textFill>
            <w14:solidFill>
              <w14:schemeClr w14:val="tx1"/>
            </w14:solidFill>
          </w14:textFill>
        </w:rPr>
        <w:t>4.1</w:t>
      </w:r>
      <w:r>
        <w:rPr>
          <w:rFonts w:hint="eastAsia" w:ascii="宋体" w:hAnsi="宋体" w:eastAsia="宋体" w:cs="宋体"/>
          <w:color w:val="000000" w:themeColor="text1"/>
          <w:sz w:val="24"/>
          <w:szCs w:val="24"/>
          <w:highlight w:val="none"/>
          <w14:textFill>
            <w14:solidFill>
              <w14:schemeClr w14:val="tx1"/>
            </w14:solidFill>
          </w14:textFill>
        </w:rPr>
        <w:t>、合法有效的营业执照</w:t>
      </w:r>
      <w:bookmarkEnd w:id="533"/>
    </w:p>
    <w:p w14:paraId="4DAD22B1">
      <w:pPr>
        <w:pStyle w:val="8"/>
        <w:spacing w:line="292" w:lineRule="auto"/>
        <w:rPr>
          <w:color w:val="000000" w:themeColor="text1"/>
          <w:highlight w:val="none"/>
          <w14:textFill>
            <w14:solidFill>
              <w14:schemeClr w14:val="tx1"/>
            </w14:solidFill>
          </w14:textFill>
        </w:rPr>
      </w:pPr>
    </w:p>
    <w:p w14:paraId="473A8F3D">
      <w:pPr>
        <w:pStyle w:val="8"/>
        <w:spacing w:line="293" w:lineRule="auto"/>
        <w:rPr>
          <w:color w:val="000000" w:themeColor="text1"/>
          <w:highlight w:val="none"/>
          <w14:textFill>
            <w14:solidFill>
              <w14:schemeClr w14:val="tx1"/>
            </w14:solidFill>
          </w14:textFill>
        </w:rPr>
      </w:pPr>
    </w:p>
    <w:p w14:paraId="26FC3899">
      <w:pPr>
        <w:pStyle w:val="8"/>
        <w:spacing w:line="293" w:lineRule="auto"/>
        <w:rPr>
          <w:color w:val="000000" w:themeColor="text1"/>
          <w:highlight w:val="none"/>
          <w14:textFill>
            <w14:solidFill>
              <w14:schemeClr w14:val="tx1"/>
            </w14:solidFill>
          </w14:textFill>
        </w:rPr>
      </w:pPr>
    </w:p>
    <w:p w14:paraId="1D263576">
      <w:pPr>
        <w:spacing w:before="75" w:line="222" w:lineRule="auto"/>
        <w:ind w:left="6160"/>
        <w:rPr>
          <w:rFonts w:ascii="仿宋" w:hAnsi="仿宋" w:eastAsia="仿宋" w:cs="仿宋"/>
          <w:color w:val="000000" w:themeColor="text1"/>
          <w:sz w:val="23"/>
          <w:szCs w:val="23"/>
          <w:highlight w:val="none"/>
          <w14:textFill>
            <w14:solidFill>
              <w14:schemeClr w14:val="tx1"/>
            </w14:solidFill>
          </w14:textFill>
        </w:rPr>
      </w:pPr>
    </w:p>
    <w:p w14:paraId="734E0684">
      <w:pPr>
        <w:spacing w:line="222" w:lineRule="auto"/>
        <w:rPr>
          <w:rFonts w:ascii="仿宋" w:hAnsi="仿宋" w:eastAsia="仿宋" w:cs="仿宋"/>
          <w:color w:val="000000" w:themeColor="text1"/>
          <w:sz w:val="23"/>
          <w:szCs w:val="23"/>
          <w:highlight w:val="none"/>
          <w14:textFill>
            <w14:solidFill>
              <w14:schemeClr w14:val="tx1"/>
            </w14:solidFill>
          </w14:textFill>
        </w:rPr>
        <w:sectPr>
          <w:footerReference r:id="rId7" w:type="default"/>
          <w:pgSz w:w="11900" w:h="16830"/>
          <w:pgMar w:top="1430" w:right="1785" w:bottom="1161" w:left="1529" w:header="0" w:footer="979" w:gutter="0"/>
          <w:pgNumType w:fmt="decimal"/>
          <w:cols w:space="720" w:num="1"/>
        </w:sectPr>
      </w:pPr>
    </w:p>
    <w:p w14:paraId="1AB998D5">
      <w:pPr>
        <w:pStyle w:val="3"/>
        <w:spacing w:before="0"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bookmarkStart w:id="534" w:name="_Toc32077"/>
      <w:r>
        <w:rPr>
          <w:rFonts w:hint="eastAsia" w:ascii="宋体" w:hAnsi="宋体" w:eastAsia="宋体" w:cs="宋体"/>
          <w:color w:val="000000" w:themeColor="text1"/>
          <w:sz w:val="24"/>
          <w:szCs w:val="24"/>
          <w:highlight w:val="none"/>
          <w:lang w:val="en-US" w:eastAsia="zh-CN"/>
          <w14:textFill>
            <w14:solidFill>
              <w14:schemeClr w14:val="tx1"/>
            </w14:solidFill>
          </w14:textFill>
        </w:rPr>
        <w:t>4.2、具有良好的商业信誉和健全的财务会计制度的证明文件</w:t>
      </w:r>
      <w:bookmarkEnd w:id="534"/>
    </w:p>
    <w:p w14:paraId="15574A05">
      <w:pPr>
        <w:keepNext w:val="0"/>
        <w:keepLines w:val="0"/>
        <w:pageBreakBefore w:val="0"/>
        <w:widowControl w:val="0"/>
        <w:tabs>
          <w:tab w:val="left" w:pos="5580"/>
        </w:tabs>
        <w:kinsoku/>
        <w:wordWrap/>
        <w:overflowPunct/>
        <w:topLinePunct w:val="0"/>
        <w:autoSpaceDE/>
        <w:autoSpaceDN/>
        <w:bidi w:val="0"/>
        <w:adjustRightInd/>
        <w:snapToGrid/>
        <w:spacing w:line="440" w:lineRule="atLeast"/>
        <w:ind w:left="539"/>
        <w:textAlignment w:val="auto"/>
        <w:rPr>
          <w:rFonts w:hint="eastAsia" w:ascii="宋体" w:hAnsi="宋体" w:eastAsia="宋体" w:cs="宋体"/>
          <w:color w:val="000000" w:themeColor="text1"/>
          <w:sz w:val="24"/>
          <w:highlight w:val="none"/>
          <w14:textFill>
            <w14:solidFill>
              <w14:schemeClr w14:val="tx1"/>
            </w14:solidFill>
          </w14:textFill>
        </w:rPr>
        <w:sectPr>
          <w:footerReference r:id="rId8" w:type="default"/>
          <w:pgSz w:w="11900" w:h="16830"/>
          <w:pgMar w:top="1430" w:right="1533" w:bottom="1161" w:left="1539" w:header="0" w:footer="979" w:gutter="0"/>
          <w:pgNumType w:fmt="decimal"/>
          <w:cols w:space="720" w:num="1"/>
        </w:sectPr>
      </w:pPr>
      <w:r>
        <w:rPr>
          <w:rFonts w:hint="eastAsia" w:ascii="宋体" w:hAnsi="宋体" w:eastAsia="宋体" w:cs="宋体"/>
          <w:color w:val="000000" w:themeColor="text1"/>
          <w:sz w:val="24"/>
          <w:highlight w:val="none"/>
          <w14:textFill>
            <w14:solidFill>
              <w14:schemeClr w14:val="tx1"/>
            </w14:solidFill>
          </w14:textFill>
        </w:rPr>
        <w:t>提供：202</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年的年度财务审计报告或其基本开户银行出具的资信证明复印件，新成立或成立不满一年的组织和自然人无法提供财务状况报告（表）的，可提供银行出具的资信证明复印件</w:t>
      </w:r>
      <w:r>
        <w:rPr>
          <w:rFonts w:hint="eastAsia" w:ascii="宋体" w:hAnsi="宋体" w:eastAsia="宋体" w:cs="宋体"/>
          <w:color w:val="000000" w:themeColor="text1"/>
          <w:sz w:val="24"/>
          <w:highlight w:val="none"/>
          <w:lang w:eastAsia="zh-CN"/>
          <w14:textFill>
            <w14:solidFill>
              <w14:schemeClr w14:val="tx1"/>
            </w14:solidFill>
          </w14:textFill>
        </w:rPr>
        <w:t>。</w:t>
      </w:r>
    </w:p>
    <w:p w14:paraId="26615559">
      <w:pPr>
        <w:pStyle w:val="3"/>
        <w:spacing w:before="0" w:line="240" w:lineRule="atLeast"/>
        <w:ind w:left="1080" w:leftChars="257" w:hanging="54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535" w:name="_Toc6844"/>
      <w:r>
        <w:rPr>
          <w:rFonts w:hint="eastAsia" w:ascii="宋体" w:hAnsi="宋体" w:eastAsia="宋体" w:cs="宋体"/>
          <w:color w:val="000000" w:themeColor="text1"/>
          <w:sz w:val="24"/>
          <w:szCs w:val="24"/>
          <w:highlight w:val="none"/>
          <w:lang w:val="en-US" w:eastAsia="zh-CN"/>
          <w14:textFill>
            <w14:solidFill>
              <w14:schemeClr w14:val="tx1"/>
            </w14:solidFill>
          </w14:textFill>
        </w:rPr>
        <w:t>4.3、根据项目需求提供履行合同所必需的设备和专业技术能力的加盖单位公章的书面承诺函</w:t>
      </w:r>
      <w:bookmarkEnd w:id="535"/>
    </w:p>
    <w:p w14:paraId="5355C6EF">
      <w:pPr>
        <w:pStyle w:val="8"/>
        <w:spacing w:line="273" w:lineRule="auto"/>
        <w:rPr>
          <w:color w:val="000000" w:themeColor="text1"/>
          <w:highlight w:val="none"/>
          <w14:textFill>
            <w14:solidFill>
              <w14:schemeClr w14:val="tx1"/>
            </w14:solidFill>
          </w14:textFill>
        </w:rPr>
      </w:pPr>
    </w:p>
    <w:p w14:paraId="5D13BD1C">
      <w:pPr>
        <w:spacing w:before="74" w:line="223" w:lineRule="auto"/>
        <w:ind w:left="1663"/>
        <w:rPr>
          <w:rFonts w:ascii="楷体" w:hAnsi="楷体" w:eastAsia="楷体" w:cs="楷体"/>
          <w:b/>
          <w:bCs/>
          <w:color w:val="000000" w:themeColor="text1"/>
          <w:spacing w:val="8"/>
          <w:sz w:val="23"/>
          <w:szCs w:val="23"/>
          <w:highlight w:val="none"/>
          <w14:textFill>
            <w14:solidFill>
              <w14:schemeClr w14:val="tx1"/>
            </w14:solidFill>
          </w14:textFill>
        </w:rPr>
      </w:pPr>
    </w:p>
    <w:p w14:paraId="00189B99">
      <w:pPr>
        <w:spacing w:before="74" w:line="223" w:lineRule="auto"/>
        <w:ind w:left="1663"/>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b/>
          <w:bCs/>
          <w:color w:val="000000" w:themeColor="text1"/>
          <w:spacing w:val="8"/>
          <w:sz w:val="23"/>
          <w:szCs w:val="23"/>
          <w:highlight w:val="none"/>
          <w14:textFill>
            <w14:solidFill>
              <w14:schemeClr w14:val="tx1"/>
            </w14:solidFill>
          </w14:textFill>
        </w:rPr>
        <w:t>具有履行合同所必需的设备和专业技术能力书面声明</w:t>
      </w:r>
    </w:p>
    <w:p w14:paraId="2667D6BC">
      <w:pPr>
        <w:pStyle w:val="8"/>
        <w:spacing w:line="291" w:lineRule="auto"/>
        <w:rPr>
          <w:rFonts w:hint="eastAsia" w:ascii="宋体" w:hAnsi="宋体" w:eastAsia="宋体" w:cs="宋体"/>
          <w:color w:val="000000" w:themeColor="text1"/>
          <w:highlight w:val="none"/>
          <w14:textFill>
            <w14:solidFill>
              <w14:schemeClr w14:val="tx1"/>
            </w14:solidFill>
          </w14:textFill>
        </w:rPr>
      </w:pPr>
    </w:p>
    <w:p w14:paraId="263B5661">
      <w:pPr>
        <w:pStyle w:val="8"/>
        <w:spacing w:line="291" w:lineRule="auto"/>
        <w:rPr>
          <w:rFonts w:hint="eastAsia" w:ascii="宋体" w:hAnsi="宋体" w:eastAsia="宋体" w:cs="宋体"/>
          <w:color w:val="000000" w:themeColor="text1"/>
          <w:highlight w:val="none"/>
          <w14:textFill>
            <w14:solidFill>
              <w14:schemeClr w14:val="tx1"/>
            </w14:solidFill>
          </w14:textFill>
        </w:rPr>
      </w:pPr>
    </w:p>
    <w:p w14:paraId="5CF8525E">
      <w:pPr>
        <w:spacing w:before="75" w:line="229" w:lineRule="auto"/>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4"/>
          <w:position w:val="-4"/>
          <w:sz w:val="23"/>
          <w:szCs w:val="23"/>
          <w:highlight w:val="none"/>
          <w14:textFill>
            <w14:solidFill>
              <w14:schemeClr w14:val="tx1"/>
            </w14:solidFill>
          </w14:textFill>
        </w:rPr>
        <w:t>致</w:t>
      </w:r>
      <w:r>
        <w:rPr>
          <w:rFonts w:hint="eastAsia" w:ascii="宋体" w:hAnsi="宋体" w:eastAsia="宋体" w:cs="宋体"/>
          <w:color w:val="000000" w:themeColor="text1"/>
          <w:spacing w:val="-41"/>
          <w:position w:val="-4"/>
          <w:sz w:val="23"/>
          <w:szCs w:val="23"/>
          <w:highlight w:val="none"/>
          <w14:textFill>
            <w14:solidFill>
              <w14:schemeClr w14:val="tx1"/>
            </w14:solidFill>
          </w14:textFill>
        </w:rPr>
        <w:t xml:space="preserve"> </w:t>
      </w:r>
      <w:r>
        <w:rPr>
          <w:rFonts w:hint="eastAsia" w:ascii="宋体" w:hAnsi="宋体" w:eastAsia="宋体" w:cs="宋体"/>
          <w:color w:val="000000" w:themeColor="text1"/>
          <w:spacing w:val="14"/>
          <w:position w:val="-4"/>
          <w:sz w:val="23"/>
          <w:szCs w:val="23"/>
          <w:highlight w:val="none"/>
          <w14:textFill>
            <w14:solidFill>
              <w14:schemeClr w14:val="tx1"/>
            </w14:solidFill>
          </w14:textFill>
        </w:rPr>
        <w:t>：</w:t>
      </w:r>
      <w:r>
        <w:rPr>
          <w:rFonts w:hint="eastAsia" w:ascii="宋体" w:hAnsi="宋体" w:eastAsia="宋体" w:cs="宋体"/>
          <w:color w:val="000000" w:themeColor="text1"/>
          <w:spacing w:val="14"/>
          <w:position w:val="-4"/>
          <w:sz w:val="23"/>
          <w:szCs w:val="23"/>
          <w:highlight w:val="none"/>
          <w:u w:val="single" w:color="000000"/>
          <w14:textFill>
            <w14:solidFill>
              <w14:schemeClr w14:val="tx1"/>
            </w14:solidFill>
          </w14:textFill>
        </w:rPr>
        <w:t xml:space="preserve">                  </w:t>
      </w:r>
      <w:r>
        <w:rPr>
          <w:rFonts w:hint="eastAsia" w:ascii="宋体" w:hAnsi="宋体" w:eastAsia="宋体" w:cs="宋体"/>
          <w:color w:val="000000" w:themeColor="text1"/>
          <w:spacing w:val="-35"/>
          <w:position w:val="-4"/>
          <w:sz w:val="23"/>
          <w:szCs w:val="23"/>
          <w:highlight w:val="none"/>
          <w14:textFill>
            <w14:solidFill>
              <w14:schemeClr w14:val="tx1"/>
            </w14:solidFill>
          </w14:textFill>
        </w:rPr>
        <w:t xml:space="preserve"> </w:t>
      </w:r>
      <w:r>
        <w:rPr>
          <w:rFonts w:hint="eastAsia" w:ascii="宋体" w:hAnsi="宋体" w:eastAsia="宋体" w:cs="宋体"/>
          <w:color w:val="000000" w:themeColor="text1"/>
          <w:spacing w:val="14"/>
          <w:position w:val="1"/>
          <w:sz w:val="23"/>
          <w:szCs w:val="23"/>
          <w:highlight w:val="none"/>
          <w14:textFill>
            <w14:solidFill>
              <w14:schemeClr w14:val="tx1"/>
            </w14:solidFill>
          </w14:textFill>
        </w:rPr>
        <w:t>(采购人):</w:t>
      </w:r>
    </w:p>
    <w:p w14:paraId="5EA09472">
      <w:pPr>
        <w:pStyle w:val="8"/>
        <w:spacing w:line="254" w:lineRule="auto"/>
        <w:rPr>
          <w:rFonts w:hint="eastAsia" w:ascii="宋体" w:hAnsi="宋体" w:eastAsia="宋体" w:cs="宋体"/>
          <w:color w:val="000000" w:themeColor="text1"/>
          <w:highlight w:val="none"/>
          <w14:textFill>
            <w14:solidFill>
              <w14:schemeClr w14:val="tx1"/>
            </w14:solidFill>
          </w14:textFill>
        </w:rPr>
      </w:pPr>
    </w:p>
    <w:p w14:paraId="430C6A29">
      <w:pPr>
        <w:tabs>
          <w:tab w:val="left" w:pos="3140"/>
        </w:tabs>
        <w:spacing w:before="74" w:line="418" w:lineRule="auto"/>
        <w:ind w:firstLine="490"/>
        <w:jc w:val="both"/>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u w:val="single" w:color="auto"/>
          <w14:textFill>
            <w14:solidFill>
              <w14:schemeClr w14:val="tx1"/>
            </w14:solidFill>
          </w14:textFill>
        </w:rPr>
        <w:tab/>
      </w:r>
      <w:r>
        <w:rPr>
          <w:rFonts w:hint="eastAsia" w:ascii="宋体" w:hAnsi="宋体" w:eastAsia="宋体" w:cs="宋体"/>
          <w:color w:val="000000" w:themeColor="text1"/>
          <w:spacing w:val="-22"/>
          <w:sz w:val="23"/>
          <w:szCs w:val="23"/>
          <w:highlight w:val="none"/>
          <w14:textFill>
            <w14:solidFill>
              <w14:schemeClr w14:val="tx1"/>
            </w14:solidFill>
          </w14:textFill>
        </w:rPr>
        <w:t xml:space="preserve"> </w:t>
      </w:r>
      <w:r>
        <w:rPr>
          <w:rFonts w:hint="eastAsia" w:ascii="宋体" w:hAnsi="宋体" w:eastAsia="宋体" w:cs="宋体"/>
          <w:color w:val="000000" w:themeColor="text1"/>
          <w:spacing w:val="8"/>
          <w:sz w:val="23"/>
          <w:szCs w:val="23"/>
          <w:highlight w:val="none"/>
          <w14:textFill>
            <w14:solidFill>
              <w14:schemeClr w14:val="tx1"/>
            </w14:solidFill>
          </w14:textFill>
        </w:rPr>
        <w:t>(投标人名称)郑重声明，我公司具有良好的商业信誉，</w:t>
      </w:r>
      <w:r>
        <w:rPr>
          <w:rFonts w:hint="eastAsia" w:ascii="宋体" w:hAnsi="宋体" w:eastAsia="宋体" w:cs="宋体"/>
          <w:color w:val="000000" w:themeColor="text1"/>
          <w:sz w:val="23"/>
          <w:szCs w:val="23"/>
          <w:highlight w:val="none"/>
          <w14:textFill>
            <w14:solidFill>
              <w14:schemeClr w14:val="tx1"/>
            </w14:solidFill>
          </w14:textFill>
        </w:rPr>
        <w:t xml:space="preserve"> </w:t>
      </w:r>
      <w:r>
        <w:rPr>
          <w:rFonts w:hint="eastAsia" w:ascii="宋体" w:hAnsi="宋体" w:eastAsia="宋体" w:cs="宋体"/>
          <w:color w:val="000000" w:themeColor="text1"/>
          <w:spacing w:val="9"/>
          <w:sz w:val="23"/>
          <w:szCs w:val="23"/>
          <w:highlight w:val="none"/>
          <w14:textFill>
            <w14:solidFill>
              <w14:schemeClr w14:val="tx1"/>
            </w14:solidFill>
          </w14:textFill>
        </w:rPr>
        <w:t>具有履行合同所必需的设备和专业技术能力，并随时接受采购人、采购代理机构的检查验证，符合《政府采购法》规定的投标人资格条件。我方对以上声明负全部法律责任。</w:t>
      </w:r>
    </w:p>
    <w:p w14:paraId="6E308BB2">
      <w:pPr>
        <w:spacing w:before="252" w:line="223" w:lineRule="auto"/>
        <w:ind w:left="490"/>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4"/>
          <w:sz w:val="23"/>
          <w:szCs w:val="23"/>
          <w:highlight w:val="none"/>
          <w14:textFill>
            <w14:solidFill>
              <w14:schemeClr w14:val="tx1"/>
            </w14:solidFill>
          </w14:textFill>
        </w:rPr>
        <w:t>特此声明。</w:t>
      </w:r>
    </w:p>
    <w:p w14:paraId="05C43365">
      <w:pPr>
        <w:pStyle w:val="8"/>
        <w:spacing w:line="242" w:lineRule="auto"/>
        <w:rPr>
          <w:color w:val="000000" w:themeColor="text1"/>
          <w:highlight w:val="none"/>
          <w14:textFill>
            <w14:solidFill>
              <w14:schemeClr w14:val="tx1"/>
            </w14:solidFill>
          </w14:textFill>
        </w:rPr>
      </w:pPr>
    </w:p>
    <w:p w14:paraId="0FC5186D">
      <w:pPr>
        <w:pStyle w:val="8"/>
        <w:spacing w:line="242" w:lineRule="auto"/>
        <w:rPr>
          <w:color w:val="000000" w:themeColor="text1"/>
          <w:highlight w:val="none"/>
          <w14:textFill>
            <w14:solidFill>
              <w14:schemeClr w14:val="tx1"/>
            </w14:solidFill>
          </w14:textFill>
        </w:rPr>
      </w:pPr>
    </w:p>
    <w:p w14:paraId="4FFA515F">
      <w:pPr>
        <w:pStyle w:val="8"/>
        <w:spacing w:line="242" w:lineRule="auto"/>
        <w:rPr>
          <w:color w:val="000000" w:themeColor="text1"/>
          <w:highlight w:val="none"/>
          <w14:textFill>
            <w14:solidFill>
              <w14:schemeClr w14:val="tx1"/>
            </w14:solidFill>
          </w14:textFill>
        </w:rPr>
      </w:pPr>
    </w:p>
    <w:p w14:paraId="47ECE18A">
      <w:pPr>
        <w:pStyle w:val="8"/>
        <w:spacing w:line="242" w:lineRule="auto"/>
        <w:jc w:val="right"/>
        <w:rPr>
          <w:color w:val="000000" w:themeColor="text1"/>
          <w:highlight w:val="none"/>
          <w14:textFill>
            <w14:solidFill>
              <w14:schemeClr w14:val="tx1"/>
            </w14:solidFill>
          </w14:textFill>
        </w:rPr>
      </w:pPr>
    </w:p>
    <w:p w14:paraId="121FB977">
      <w:pPr>
        <w:tabs>
          <w:tab w:val="left" w:pos="3140"/>
        </w:tabs>
        <w:spacing w:before="74" w:line="418" w:lineRule="auto"/>
        <w:ind w:firstLine="490"/>
        <w:jc w:val="center"/>
        <w:rPr>
          <w:rFonts w:hint="eastAsia" w:ascii="宋体" w:hAnsi="宋体" w:eastAsia="宋体" w:cs="宋体"/>
          <w:color w:val="000000" w:themeColor="text1"/>
          <w:spacing w:val="8"/>
          <w:sz w:val="23"/>
          <w:szCs w:val="23"/>
          <w:highlight w:val="none"/>
          <w14:textFill>
            <w14:solidFill>
              <w14:schemeClr w14:val="tx1"/>
            </w14:solidFill>
          </w14:textFill>
        </w:rPr>
      </w:pPr>
      <w:r>
        <w:rPr>
          <w:rFonts w:hint="eastAsia" w:ascii="宋体" w:hAnsi="宋体" w:cs="宋体"/>
          <w:color w:val="000000" w:themeColor="text1"/>
          <w:spacing w:val="8"/>
          <w:sz w:val="23"/>
          <w:szCs w:val="23"/>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3"/>
          <w:szCs w:val="23"/>
          <w:highlight w:val="none"/>
          <w14:textFill>
            <w14:solidFill>
              <w14:schemeClr w14:val="tx1"/>
            </w14:solidFill>
          </w14:textFill>
        </w:rPr>
        <w:t>供应商名称(电子章):</w:t>
      </w:r>
    </w:p>
    <w:p w14:paraId="0B8504CD">
      <w:pPr>
        <w:tabs>
          <w:tab w:val="left" w:pos="3140"/>
        </w:tabs>
        <w:spacing w:before="74" w:line="418" w:lineRule="auto"/>
        <w:ind w:firstLine="490"/>
        <w:jc w:val="right"/>
        <w:rPr>
          <w:rFonts w:hint="eastAsia" w:ascii="宋体" w:hAnsi="宋体" w:eastAsia="宋体" w:cs="宋体"/>
          <w:color w:val="000000" w:themeColor="text1"/>
          <w:spacing w:val="8"/>
          <w:sz w:val="23"/>
          <w:szCs w:val="23"/>
          <w:highlight w:val="none"/>
          <w14:textFill>
            <w14:solidFill>
              <w14:schemeClr w14:val="tx1"/>
            </w14:solidFill>
          </w14:textFill>
        </w:rPr>
      </w:pPr>
      <w:r>
        <w:rPr>
          <w:rFonts w:hint="eastAsia" w:ascii="宋体" w:hAnsi="宋体" w:eastAsia="宋体" w:cs="宋体"/>
          <w:color w:val="000000" w:themeColor="text1"/>
          <w:spacing w:val="8"/>
          <w:sz w:val="23"/>
          <w:szCs w:val="23"/>
          <w:highlight w:val="none"/>
          <w14:textFill>
            <w14:solidFill>
              <w14:schemeClr w14:val="tx1"/>
            </w14:solidFill>
          </w14:textFill>
        </w:rPr>
        <w:t>日 期：  年  月   日</w:t>
      </w:r>
    </w:p>
    <w:p w14:paraId="10B117DF">
      <w:pPr>
        <w:tabs>
          <w:tab w:val="left" w:pos="3140"/>
        </w:tabs>
        <w:spacing w:before="74" w:line="418" w:lineRule="auto"/>
        <w:ind w:firstLine="490"/>
        <w:jc w:val="both"/>
        <w:rPr>
          <w:rFonts w:hint="eastAsia" w:ascii="宋体" w:hAnsi="宋体" w:eastAsia="宋体" w:cs="宋体"/>
          <w:color w:val="000000" w:themeColor="text1"/>
          <w:spacing w:val="8"/>
          <w:sz w:val="23"/>
          <w:szCs w:val="23"/>
          <w:highlight w:val="none"/>
          <w14:textFill>
            <w14:solidFill>
              <w14:schemeClr w14:val="tx1"/>
            </w14:solidFill>
          </w14:textFill>
        </w:rPr>
        <w:sectPr>
          <w:footerReference r:id="rId9" w:type="default"/>
          <w:pgSz w:w="11900" w:h="16830"/>
          <w:pgMar w:top="1430" w:right="1435" w:bottom="1161" w:left="1509" w:header="0" w:footer="979" w:gutter="0"/>
          <w:pgNumType w:fmt="decimal"/>
          <w:cols w:space="720" w:num="1"/>
        </w:sectPr>
      </w:pPr>
    </w:p>
    <w:p w14:paraId="30AC5DEF">
      <w:pPr>
        <w:pStyle w:val="3"/>
        <w:spacing w:before="0" w:line="240" w:lineRule="atLeast"/>
        <w:ind w:left="1080" w:leftChars="257" w:hanging="54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536" w:name="_Toc26557"/>
      <w:r>
        <w:rPr>
          <w:rFonts w:hint="eastAsia" w:ascii="宋体" w:hAnsi="宋体" w:eastAsia="宋体" w:cs="宋体"/>
          <w:color w:val="000000" w:themeColor="text1"/>
          <w:sz w:val="24"/>
          <w:szCs w:val="24"/>
          <w:highlight w:val="none"/>
          <w:lang w:val="en-US" w:eastAsia="zh-CN"/>
          <w14:textFill>
            <w14:solidFill>
              <w14:schemeClr w14:val="tx1"/>
            </w14:solidFill>
          </w14:textFill>
        </w:rPr>
        <w:t>4.4、提供参加本次政府采购活动前近12个月内任意一个月的依法缴纳税收和社会保障资金的相关材料</w:t>
      </w:r>
      <w:bookmarkEnd w:id="536"/>
    </w:p>
    <w:p w14:paraId="40691C5D">
      <w:pPr>
        <w:pStyle w:val="8"/>
        <w:spacing w:line="265" w:lineRule="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须提供</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①近</w:t>
      </w:r>
      <w:r>
        <w:rPr>
          <w:rFonts w:hint="eastAsia" w:ascii="宋体" w:hAnsi="宋体" w:cs="宋体"/>
          <w:b w:val="0"/>
          <w:bCs/>
          <w:color w:val="000000" w:themeColor="text1"/>
          <w:sz w:val="24"/>
          <w:szCs w:val="24"/>
          <w:highlight w:val="none"/>
          <w:shd w:val="clear" w:color="auto" w:fill="auto"/>
          <w:lang w:val="en-US" w:eastAsia="zh-CN"/>
          <w14:textFill>
            <w14:solidFill>
              <w14:schemeClr w14:val="tx1"/>
            </w14:solidFill>
          </w14:textFill>
        </w:rPr>
        <w:t>12个月</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内任意1个月已依法缴纳税收的凭据</w:t>
      </w:r>
      <w:r>
        <w:rPr>
          <w:rFonts w:hint="eastAsia" w:ascii="宋体" w:hAnsi="宋体" w:eastAsia="宋体" w:cs="宋体"/>
          <w:b w:val="0"/>
          <w:bCs/>
          <w:color w:val="000000" w:themeColor="text1"/>
          <w:sz w:val="24"/>
          <w:szCs w:val="24"/>
          <w:highlight w:val="none"/>
          <w:u w:val="none"/>
          <w:shd w:val="clear" w:color="auto" w:fill="auto"/>
          <w:lang w:eastAsia="zh-CN"/>
          <w14:textFill>
            <w14:solidFill>
              <w14:schemeClr w14:val="tx1"/>
            </w14:solidFill>
          </w14:textFill>
        </w:rPr>
        <w:t>（</w:t>
      </w:r>
      <w:r>
        <w:rPr>
          <w:rFonts w:hint="eastAsia" w:ascii="宋体" w:hAnsi="宋体" w:eastAsia="宋体" w:cs="宋体"/>
          <w:b/>
          <w:bCs/>
          <w:color w:val="000000" w:themeColor="text1"/>
          <w:sz w:val="24"/>
          <w:highlight w:val="none"/>
          <w:u w:val="none"/>
          <w:lang w:val="en-US" w:eastAsia="zh-CN"/>
          <w14:textFill>
            <w14:solidFill>
              <w14:schemeClr w14:val="tx1"/>
            </w14:solidFill>
          </w14:textFill>
        </w:rPr>
        <w:t>依法缴纳税记录是指企业增值税、地方教育附加税、城市维护建设税、教育费附加税。）</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②近</w:t>
      </w:r>
      <w:r>
        <w:rPr>
          <w:rFonts w:hint="eastAsia" w:ascii="宋体" w:hAnsi="宋体" w:cs="宋体"/>
          <w:b w:val="0"/>
          <w:bCs/>
          <w:color w:val="000000" w:themeColor="text1"/>
          <w:sz w:val="24"/>
          <w:szCs w:val="24"/>
          <w:highlight w:val="none"/>
          <w:shd w:val="clear" w:color="auto" w:fill="auto"/>
          <w:lang w:val="en-US" w:eastAsia="zh-CN"/>
          <w14:textFill>
            <w14:solidFill>
              <w14:schemeClr w14:val="tx1"/>
            </w14:solidFill>
          </w14:textFill>
        </w:rPr>
        <w:t>12</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个月内任意</w:t>
      </w:r>
      <w:r>
        <w:rPr>
          <w:rFonts w:hint="eastAsia" w:ascii="宋体" w:hAnsi="宋体" w:cs="宋体"/>
          <w:b w:val="0"/>
          <w:bCs/>
          <w:color w:val="000000" w:themeColor="text1"/>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个月已依法缴纳社会保险的凭据。（依法免税或不需要缴纳社会保障资金的</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供应商</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，应提供相应证明文件，新成立企业无需提供。</w:t>
      </w:r>
    </w:p>
    <w:p w14:paraId="29046971">
      <w:pPr>
        <w:pStyle w:val="8"/>
        <w:spacing w:line="265" w:lineRule="auto"/>
        <w:rPr>
          <w:color w:val="000000" w:themeColor="text1"/>
          <w:highlight w:val="none"/>
          <w14:textFill>
            <w14:solidFill>
              <w14:schemeClr w14:val="tx1"/>
            </w14:solidFill>
          </w14:textFill>
        </w:rPr>
      </w:pPr>
    </w:p>
    <w:p w14:paraId="38F95CF3">
      <w:pPr>
        <w:pStyle w:val="8"/>
        <w:spacing w:line="265" w:lineRule="auto"/>
        <w:rPr>
          <w:color w:val="000000" w:themeColor="text1"/>
          <w:highlight w:val="none"/>
          <w14:textFill>
            <w14:solidFill>
              <w14:schemeClr w14:val="tx1"/>
            </w14:solidFill>
          </w14:textFill>
        </w:rPr>
      </w:pPr>
    </w:p>
    <w:p w14:paraId="2815AA5E">
      <w:pPr>
        <w:pStyle w:val="8"/>
        <w:spacing w:line="265" w:lineRule="auto"/>
        <w:rPr>
          <w:color w:val="000000" w:themeColor="text1"/>
          <w:highlight w:val="none"/>
          <w14:textFill>
            <w14:solidFill>
              <w14:schemeClr w14:val="tx1"/>
            </w14:solidFill>
          </w14:textFill>
        </w:rPr>
      </w:pPr>
    </w:p>
    <w:p w14:paraId="1933B636">
      <w:pPr>
        <w:pStyle w:val="8"/>
        <w:spacing w:line="265" w:lineRule="auto"/>
        <w:rPr>
          <w:color w:val="000000" w:themeColor="text1"/>
          <w:highlight w:val="none"/>
          <w14:textFill>
            <w14:solidFill>
              <w14:schemeClr w14:val="tx1"/>
            </w14:solidFill>
          </w14:textFill>
        </w:rPr>
      </w:pPr>
    </w:p>
    <w:p w14:paraId="33D984FE">
      <w:pPr>
        <w:pStyle w:val="8"/>
        <w:spacing w:line="265" w:lineRule="auto"/>
        <w:rPr>
          <w:color w:val="000000" w:themeColor="text1"/>
          <w:highlight w:val="none"/>
          <w14:textFill>
            <w14:solidFill>
              <w14:schemeClr w14:val="tx1"/>
            </w14:solidFill>
          </w14:textFill>
        </w:rPr>
      </w:pPr>
    </w:p>
    <w:p w14:paraId="6B339261">
      <w:pPr>
        <w:pStyle w:val="8"/>
        <w:spacing w:line="265" w:lineRule="auto"/>
        <w:rPr>
          <w:color w:val="000000" w:themeColor="text1"/>
          <w:highlight w:val="none"/>
          <w14:textFill>
            <w14:solidFill>
              <w14:schemeClr w14:val="tx1"/>
            </w14:solidFill>
          </w14:textFill>
        </w:rPr>
      </w:pPr>
    </w:p>
    <w:p w14:paraId="3EAD7E43">
      <w:pPr>
        <w:pStyle w:val="3"/>
        <w:spacing w:before="0" w:line="240" w:lineRule="atLeast"/>
        <w:ind w:left="1080" w:leftChars="257" w:hanging="54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537" w:name="_Toc28103"/>
      <w:r>
        <w:rPr>
          <w:rFonts w:hint="eastAsia" w:ascii="宋体" w:hAnsi="宋体" w:eastAsia="宋体" w:cs="宋体"/>
          <w:color w:val="000000" w:themeColor="text1"/>
          <w:sz w:val="24"/>
          <w:szCs w:val="24"/>
          <w:highlight w:val="none"/>
          <w:lang w:val="en-US" w:eastAsia="zh-CN"/>
          <w14:textFill>
            <w14:solidFill>
              <w14:schemeClr w14:val="tx1"/>
            </w14:solidFill>
          </w14:textFill>
        </w:rPr>
        <w:t>4.5、提供参加本次政府采购活动前3年内在经营活动中没有重大违法记录的书面承诺函并加盖单位公章</w:t>
      </w:r>
      <w:bookmarkEnd w:id="537"/>
    </w:p>
    <w:p w14:paraId="0D0ACBA5">
      <w:pPr>
        <w:pStyle w:val="8"/>
        <w:spacing w:line="252" w:lineRule="auto"/>
        <w:rPr>
          <w:color w:val="000000" w:themeColor="text1"/>
          <w:highlight w:val="none"/>
          <w14:textFill>
            <w14:solidFill>
              <w14:schemeClr w14:val="tx1"/>
            </w14:solidFill>
          </w14:textFill>
        </w:rPr>
      </w:pPr>
    </w:p>
    <w:p w14:paraId="1D315ABB">
      <w:pPr>
        <w:pStyle w:val="8"/>
        <w:spacing w:line="253" w:lineRule="auto"/>
        <w:rPr>
          <w:color w:val="000000" w:themeColor="text1"/>
          <w:highlight w:val="none"/>
          <w14:textFill>
            <w14:solidFill>
              <w14:schemeClr w14:val="tx1"/>
            </w14:solidFill>
          </w14:textFill>
        </w:rPr>
      </w:pPr>
    </w:p>
    <w:p w14:paraId="68629252">
      <w:pPr>
        <w:pStyle w:val="8"/>
        <w:spacing w:line="253" w:lineRule="auto"/>
        <w:jc w:val="center"/>
        <w:rPr>
          <w:color w:val="000000" w:themeColor="text1"/>
          <w:highlight w:val="none"/>
          <w14:textFill>
            <w14:solidFill>
              <w14:schemeClr w14:val="tx1"/>
            </w14:solidFill>
          </w14:textFill>
        </w:rPr>
      </w:pPr>
    </w:p>
    <w:p w14:paraId="5F46BCAA">
      <w:pPr>
        <w:spacing w:before="75" w:line="219" w:lineRule="auto"/>
        <w:ind w:left="580"/>
        <w:jc w:val="center"/>
        <w:rPr>
          <w:rFonts w:hint="eastAsia" w:ascii="宋体" w:hAnsi="宋体" w:eastAsia="宋体" w:cs="宋体"/>
          <w:b/>
          <w:bCs/>
          <w:color w:val="000000" w:themeColor="text1"/>
          <w:spacing w:val="11"/>
          <w:sz w:val="24"/>
          <w:szCs w:val="24"/>
          <w:highlight w:val="none"/>
          <w14:textFill>
            <w14:solidFill>
              <w14:schemeClr w14:val="tx1"/>
            </w14:solidFill>
          </w14:textFill>
        </w:rPr>
      </w:pPr>
      <w:r>
        <w:rPr>
          <w:rFonts w:hint="eastAsia" w:ascii="宋体" w:hAnsi="宋体" w:eastAsia="宋体" w:cs="宋体"/>
          <w:b/>
          <w:bCs/>
          <w:color w:val="000000" w:themeColor="text1"/>
          <w:spacing w:val="11"/>
          <w:sz w:val="24"/>
          <w:szCs w:val="24"/>
          <w:highlight w:val="none"/>
          <w14:textFill>
            <w14:solidFill>
              <w14:schemeClr w14:val="tx1"/>
            </w14:solidFill>
          </w14:textFill>
        </w:rPr>
        <w:t>参与政府采购活动前三年内在经营活动中没有重大违法</w:t>
      </w:r>
    </w:p>
    <w:p w14:paraId="5B7029DB">
      <w:pPr>
        <w:spacing w:before="75" w:line="219" w:lineRule="auto"/>
        <w:ind w:left="58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1"/>
          <w:sz w:val="24"/>
          <w:szCs w:val="24"/>
          <w:highlight w:val="none"/>
          <w14:textFill>
            <w14:solidFill>
              <w14:schemeClr w14:val="tx1"/>
            </w14:solidFill>
          </w14:textFill>
        </w:rPr>
        <w:t>记录的书面声明函</w:t>
      </w:r>
    </w:p>
    <w:p w14:paraId="33539779">
      <w:pPr>
        <w:pStyle w:val="8"/>
        <w:spacing w:line="294" w:lineRule="auto"/>
        <w:rPr>
          <w:color w:val="000000" w:themeColor="text1"/>
          <w:sz w:val="24"/>
          <w:szCs w:val="24"/>
          <w:highlight w:val="none"/>
          <w14:textFill>
            <w14:solidFill>
              <w14:schemeClr w14:val="tx1"/>
            </w14:solidFill>
          </w14:textFill>
        </w:rPr>
      </w:pPr>
    </w:p>
    <w:p w14:paraId="01A1A790">
      <w:pPr>
        <w:spacing w:before="74" w:line="222" w:lineRule="auto"/>
        <w:ind w:left="21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3"/>
          <w:sz w:val="24"/>
          <w:szCs w:val="24"/>
          <w:highlight w:val="none"/>
          <w14:textFill>
            <w14:solidFill>
              <w14:schemeClr w14:val="tx1"/>
            </w14:solidFill>
          </w14:textFill>
        </w:rPr>
        <w:t>(采购人):</w:t>
      </w:r>
    </w:p>
    <w:p w14:paraId="51ACB23C">
      <w:pPr>
        <w:pStyle w:val="8"/>
        <w:spacing w:line="253" w:lineRule="auto"/>
        <w:rPr>
          <w:rFonts w:hint="eastAsia" w:ascii="宋体" w:hAnsi="宋体" w:eastAsia="宋体" w:cs="宋体"/>
          <w:color w:val="000000" w:themeColor="text1"/>
          <w:sz w:val="24"/>
          <w:szCs w:val="24"/>
          <w:highlight w:val="none"/>
          <w14:textFill>
            <w14:solidFill>
              <w14:schemeClr w14:val="tx1"/>
            </w14:solidFill>
          </w14:textFill>
        </w:rPr>
      </w:pPr>
    </w:p>
    <w:p w14:paraId="1A485EAE">
      <w:pPr>
        <w:keepNext w:val="0"/>
        <w:keepLines w:val="0"/>
        <w:pageBreakBefore w:val="0"/>
        <w:widowControl w:val="0"/>
        <w:kinsoku/>
        <w:wordWrap/>
        <w:overflowPunct/>
        <w:topLinePunct w:val="0"/>
        <w:autoSpaceDE/>
        <w:autoSpaceDN/>
        <w:bidi w:val="0"/>
        <w:adjustRightInd/>
        <w:snapToGrid/>
        <w:spacing w:before="75" w:line="5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14:textFill>
            <w14:solidFill>
              <w14:schemeClr w14:val="tx1"/>
            </w14:solidFill>
          </w14:textFill>
        </w:rPr>
        <w:t>我公司承诺，参与政府采购活动前三年内在经营活动中没有重大违法记录现象。如有重大违法记录，由我公司全权负责，如造成严重不良影响的，我公司愿意接受法</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律法规的处罚。</w:t>
      </w:r>
    </w:p>
    <w:p w14:paraId="6EB43A46">
      <w:pPr>
        <w:pStyle w:val="8"/>
        <w:spacing w:line="283" w:lineRule="auto"/>
        <w:rPr>
          <w:rFonts w:hint="eastAsia" w:ascii="宋体" w:hAnsi="宋体" w:eastAsia="宋体" w:cs="宋体"/>
          <w:color w:val="000000" w:themeColor="text1"/>
          <w:sz w:val="24"/>
          <w:szCs w:val="24"/>
          <w:highlight w:val="none"/>
          <w14:textFill>
            <w14:solidFill>
              <w14:schemeClr w14:val="tx1"/>
            </w14:solidFill>
          </w14:textFill>
        </w:rPr>
      </w:pPr>
    </w:p>
    <w:p w14:paraId="197BBCE2">
      <w:pPr>
        <w:pStyle w:val="8"/>
        <w:spacing w:line="284" w:lineRule="auto"/>
        <w:rPr>
          <w:rFonts w:hint="eastAsia" w:ascii="宋体" w:hAnsi="宋体" w:eastAsia="宋体" w:cs="宋体"/>
          <w:color w:val="000000" w:themeColor="text1"/>
          <w:sz w:val="24"/>
          <w:szCs w:val="24"/>
          <w:highlight w:val="none"/>
          <w14:textFill>
            <w14:solidFill>
              <w14:schemeClr w14:val="tx1"/>
            </w14:solidFill>
          </w14:textFill>
        </w:rPr>
      </w:pPr>
    </w:p>
    <w:p w14:paraId="0D1688BB">
      <w:pPr>
        <w:spacing w:before="75" w:line="221" w:lineRule="auto"/>
        <w:ind w:firstLine="5662" w:firstLineChars="19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9"/>
          <w:sz w:val="24"/>
          <w:szCs w:val="24"/>
          <w:highlight w:val="none"/>
          <w14:textFill>
            <w14:solidFill>
              <w14:schemeClr w14:val="tx1"/>
            </w14:solidFill>
          </w14:textFill>
        </w:rPr>
        <w:t>供应商名称(电子章):</w:t>
      </w:r>
    </w:p>
    <w:p w14:paraId="7E39D888">
      <w:pPr>
        <w:pStyle w:val="8"/>
        <w:spacing w:line="250" w:lineRule="auto"/>
        <w:rPr>
          <w:rFonts w:hint="eastAsia" w:ascii="宋体" w:hAnsi="宋体" w:eastAsia="宋体" w:cs="宋体"/>
          <w:color w:val="000000" w:themeColor="text1"/>
          <w:sz w:val="24"/>
          <w:szCs w:val="24"/>
          <w:highlight w:val="none"/>
          <w14:textFill>
            <w14:solidFill>
              <w14:schemeClr w14:val="tx1"/>
            </w14:solidFill>
          </w14:textFill>
        </w:rPr>
      </w:pPr>
    </w:p>
    <w:p w14:paraId="0A111500">
      <w:pPr>
        <w:spacing w:before="75" w:line="222" w:lineRule="auto"/>
        <w:ind w:firstLine="5662" w:firstLineChars="19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9"/>
          <w:sz w:val="24"/>
          <w:szCs w:val="24"/>
          <w:highlight w:val="none"/>
          <w14:textFill>
            <w14:solidFill>
              <w14:schemeClr w14:val="tx1"/>
            </w14:solidFill>
          </w14:textFill>
        </w:rPr>
        <w:t xml:space="preserve">日 期： </w:t>
      </w:r>
      <w:r>
        <w:rPr>
          <w:rFonts w:hint="eastAsia" w:ascii="宋体" w:hAnsi="宋体" w:eastAsia="宋体" w:cs="宋体"/>
          <w:color w:val="000000" w:themeColor="text1"/>
          <w:spacing w:val="2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9"/>
          <w:sz w:val="24"/>
          <w:szCs w:val="24"/>
          <w:highlight w:val="none"/>
          <w14:textFill>
            <w14:solidFill>
              <w14:schemeClr w14:val="tx1"/>
            </w14:solidFill>
          </w14:textFill>
        </w:rPr>
        <w:t>年</w:t>
      </w:r>
      <w:r>
        <w:rPr>
          <w:rFonts w:hint="eastAsia" w:ascii="宋体" w:hAnsi="宋体" w:eastAsia="宋体" w:cs="宋体"/>
          <w:color w:val="000000" w:themeColor="text1"/>
          <w:spacing w:val="1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9"/>
          <w:sz w:val="24"/>
          <w:szCs w:val="24"/>
          <w:highlight w:val="none"/>
          <w14:textFill>
            <w14:solidFill>
              <w14:schemeClr w14:val="tx1"/>
            </w14:solidFill>
          </w14:textFill>
        </w:rPr>
        <w:t>月</w:t>
      </w:r>
      <w:r>
        <w:rPr>
          <w:rFonts w:hint="eastAsia" w:ascii="宋体" w:hAnsi="宋体" w:eastAsia="宋体" w:cs="宋体"/>
          <w:color w:val="000000" w:themeColor="text1"/>
          <w:spacing w:val="3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9"/>
          <w:sz w:val="24"/>
          <w:szCs w:val="24"/>
          <w:highlight w:val="none"/>
          <w14:textFill>
            <w14:solidFill>
              <w14:schemeClr w14:val="tx1"/>
            </w14:solidFill>
          </w14:textFill>
        </w:rPr>
        <w:t>日</w:t>
      </w:r>
    </w:p>
    <w:p w14:paraId="361EC189">
      <w:pPr>
        <w:spacing w:line="222"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0" w:type="default"/>
          <w:pgSz w:w="11900" w:h="16830"/>
          <w:pgMar w:top="1430" w:right="1514" w:bottom="1151" w:left="1529" w:header="0" w:footer="982" w:gutter="0"/>
          <w:pgNumType w:fmt="decimal"/>
          <w:cols w:space="720" w:num="1"/>
        </w:sectPr>
      </w:pPr>
    </w:p>
    <w:p w14:paraId="6D3B2ACB">
      <w:pPr>
        <w:pStyle w:val="3"/>
        <w:spacing w:before="0" w:line="240" w:lineRule="atLeast"/>
        <w:ind w:left="1080" w:leftChars="257" w:hanging="54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538" w:name="_Toc14314"/>
      <w:r>
        <w:rPr>
          <w:rFonts w:hint="eastAsia" w:ascii="宋体" w:hAnsi="宋体" w:eastAsia="宋体" w:cs="宋体"/>
          <w:color w:val="000000" w:themeColor="text1"/>
          <w:sz w:val="24"/>
          <w:szCs w:val="24"/>
          <w:highlight w:val="none"/>
          <w:lang w:val="en-US" w:eastAsia="zh-CN"/>
          <w14:textFill>
            <w14:solidFill>
              <w14:schemeClr w14:val="tx1"/>
            </w14:solidFill>
          </w14:textFill>
        </w:rPr>
        <w:t>5、法律、行政法规规定的其他条件</w:t>
      </w:r>
      <w:bookmarkEnd w:id="538"/>
    </w:p>
    <w:p w14:paraId="60F396B5">
      <w:pPr>
        <w:pStyle w:val="8"/>
        <w:spacing w:line="279" w:lineRule="auto"/>
        <w:rPr>
          <w:color w:val="000000" w:themeColor="text1"/>
          <w:highlight w:val="none"/>
          <w14:textFill>
            <w14:solidFill>
              <w14:schemeClr w14:val="tx1"/>
            </w14:solidFill>
          </w14:textFill>
        </w:rPr>
      </w:pPr>
    </w:p>
    <w:p w14:paraId="07036F1D">
      <w:pPr>
        <w:spacing w:before="78" w:line="224" w:lineRule="auto"/>
        <w:ind w:left="253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3"/>
          <w:sz w:val="24"/>
          <w:szCs w:val="24"/>
          <w:highlight w:val="none"/>
          <w14:textFill>
            <w14:solidFill>
              <w14:schemeClr w14:val="tx1"/>
            </w14:solidFill>
          </w14:textFill>
        </w:rPr>
        <w:t>法律、行政法规规定的其他条件</w:t>
      </w:r>
    </w:p>
    <w:p w14:paraId="27EFD516">
      <w:pPr>
        <w:spacing w:before="287" w:line="227" w:lineRule="auto"/>
        <w:ind w:left="29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5"/>
          <w:sz w:val="24"/>
          <w:szCs w:val="24"/>
          <w:highlight w:val="none"/>
          <w14:textFill>
            <w14:solidFill>
              <w14:schemeClr w14:val="tx1"/>
            </w14:solidFill>
          </w14:textFill>
        </w:rPr>
        <w:t>(采购人):</w:t>
      </w:r>
    </w:p>
    <w:p w14:paraId="5482F41C">
      <w:pPr>
        <w:pStyle w:val="8"/>
        <w:spacing w:line="258" w:lineRule="auto"/>
        <w:rPr>
          <w:rFonts w:hint="eastAsia" w:ascii="宋体" w:hAnsi="宋体" w:eastAsia="宋体" w:cs="宋体"/>
          <w:color w:val="000000" w:themeColor="text1"/>
          <w:sz w:val="24"/>
          <w:szCs w:val="24"/>
          <w:highlight w:val="none"/>
          <w14:textFill>
            <w14:solidFill>
              <w14:schemeClr w14:val="tx1"/>
            </w14:solidFill>
          </w14:textFill>
        </w:rPr>
      </w:pPr>
    </w:p>
    <w:p w14:paraId="14C3A62B">
      <w:pPr>
        <w:spacing w:before="78" w:line="489" w:lineRule="auto"/>
        <w:ind w:left="245" w:firstLine="4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我公司承诺，不存在法律、行政法规规定的其他条件，如有，由我公司全权负责，如造成严重不良影响的，我公司愿意接受法律法规的处罚。</w:t>
      </w:r>
    </w:p>
    <w:p w14:paraId="16F25AE6">
      <w:pPr>
        <w:pStyle w:val="8"/>
        <w:spacing w:line="279" w:lineRule="auto"/>
        <w:rPr>
          <w:rFonts w:hint="eastAsia" w:ascii="宋体" w:hAnsi="宋体" w:eastAsia="宋体" w:cs="宋体"/>
          <w:color w:val="000000" w:themeColor="text1"/>
          <w:sz w:val="24"/>
          <w:szCs w:val="24"/>
          <w:highlight w:val="none"/>
          <w14:textFill>
            <w14:solidFill>
              <w14:schemeClr w14:val="tx1"/>
            </w14:solidFill>
          </w14:textFill>
        </w:rPr>
      </w:pPr>
    </w:p>
    <w:p w14:paraId="28D019A8">
      <w:pPr>
        <w:pStyle w:val="8"/>
        <w:spacing w:line="280" w:lineRule="auto"/>
        <w:rPr>
          <w:rFonts w:hint="eastAsia" w:ascii="宋体" w:hAnsi="宋体" w:eastAsia="宋体" w:cs="宋体"/>
          <w:color w:val="000000" w:themeColor="text1"/>
          <w:sz w:val="24"/>
          <w:szCs w:val="24"/>
          <w:highlight w:val="none"/>
          <w14:textFill>
            <w14:solidFill>
              <w14:schemeClr w14:val="tx1"/>
            </w14:solidFill>
          </w14:textFill>
        </w:rPr>
      </w:pPr>
    </w:p>
    <w:p w14:paraId="7B42A49D">
      <w:pPr>
        <w:spacing w:before="78" w:line="221" w:lineRule="auto"/>
        <w:ind w:left="38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供应商名称(电子章):</w:t>
      </w:r>
    </w:p>
    <w:p w14:paraId="347BD141">
      <w:pPr>
        <w:spacing w:before="78" w:line="221" w:lineRule="auto"/>
        <w:ind w:left="3865"/>
        <w:rPr>
          <w:rFonts w:hint="eastAsia" w:ascii="宋体" w:hAnsi="宋体" w:eastAsia="宋体" w:cs="宋体"/>
          <w:color w:val="000000" w:themeColor="text1"/>
          <w:spacing w:val="20"/>
          <w:sz w:val="24"/>
          <w:szCs w:val="24"/>
          <w:highlight w:val="none"/>
          <w14:textFill>
            <w14:solidFill>
              <w14:schemeClr w14:val="tx1"/>
            </w14:solidFill>
          </w14:textFill>
        </w:rPr>
      </w:pPr>
    </w:p>
    <w:p w14:paraId="30AB3FFE">
      <w:pPr>
        <w:spacing w:before="78" w:line="221" w:lineRule="auto"/>
        <w:ind w:left="38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 xml:space="preserve">日 期： </w:t>
      </w:r>
      <w:r>
        <w:rPr>
          <w:rFonts w:hint="eastAsia" w:ascii="宋体" w:hAnsi="宋体" w:eastAsia="宋体" w:cs="宋体"/>
          <w:color w:val="000000" w:themeColor="text1"/>
          <w:spacing w:val="4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2"/>
          <w:sz w:val="24"/>
          <w:szCs w:val="24"/>
          <w:highlight w:val="none"/>
          <w14:textFill>
            <w14:solidFill>
              <w14:schemeClr w14:val="tx1"/>
            </w14:solidFill>
          </w14:textFill>
        </w:rPr>
        <w:t xml:space="preserve">年  </w:t>
      </w:r>
      <w:r>
        <w:rPr>
          <w:rFonts w:hint="eastAsia" w:ascii="宋体" w:hAnsi="宋体" w:eastAsia="宋体" w:cs="宋体"/>
          <w:color w:val="000000" w:themeColor="text1"/>
          <w:spacing w:val="-2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2"/>
          <w:sz w:val="24"/>
          <w:szCs w:val="24"/>
          <w:highlight w:val="none"/>
          <w14:textFill>
            <w14:solidFill>
              <w14:schemeClr w14:val="tx1"/>
            </w14:solidFill>
          </w14:textFill>
        </w:rPr>
        <w:t xml:space="preserve"> 月</w:t>
      </w:r>
      <w:r>
        <w:rPr>
          <w:rFonts w:hint="eastAsia" w:ascii="宋体" w:hAnsi="宋体" w:eastAsia="宋体" w:cs="宋体"/>
          <w:color w:val="000000" w:themeColor="text1"/>
          <w:spacing w:val="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2"/>
          <w:sz w:val="24"/>
          <w:szCs w:val="24"/>
          <w:highlight w:val="none"/>
          <w14:textFill>
            <w14:solidFill>
              <w14:schemeClr w14:val="tx1"/>
            </w14:solidFill>
          </w14:textFill>
        </w:rPr>
        <w:t>日</w:t>
      </w:r>
    </w:p>
    <w:p w14:paraId="29ACE3DC">
      <w:pPr>
        <w:spacing w:line="222"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1" w:type="default"/>
          <w:pgSz w:w="11900" w:h="16830"/>
          <w:pgMar w:top="1430" w:right="1504" w:bottom="1152" w:left="1785" w:header="0" w:footer="983" w:gutter="0"/>
          <w:pgNumType w:fmt="decimal"/>
          <w:cols w:space="720" w:num="1"/>
        </w:sectPr>
      </w:pPr>
    </w:p>
    <w:p w14:paraId="5D6BC645">
      <w:pPr>
        <w:pStyle w:val="3"/>
        <w:spacing w:before="0" w:line="240" w:lineRule="atLeast"/>
        <w:ind w:left="1080" w:leftChars="257" w:hanging="54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539" w:name="_Toc14748"/>
      <w:r>
        <w:rPr>
          <w:rFonts w:hint="eastAsia" w:ascii="宋体" w:hAnsi="宋体" w:eastAsia="宋体" w:cs="宋体"/>
          <w:color w:val="000000" w:themeColor="text1"/>
          <w:sz w:val="24"/>
          <w:szCs w:val="24"/>
          <w:highlight w:val="none"/>
          <w:lang w:val="en-US" w:eastAsia="zh-CN"/>
          <w14:textFill>
            <w14:solidFill>
              <w14:schemeClr w14:val="tx1"/>
            </w14:solidFill>
          </w14:textFill>
        </w:rPr>
        <w:t>6、不参与围标串标承诺书</w:t>
      </w:r>
      <w:bookmarkEnd w:id="539"/>
    </w:p>
    <w:p w14:paraId="3DD5F292">
      <w:pPr>
        <w:pStyle w:val="8"/>
        <w:spacing w:line="363" w:lineRule="auto"/>
        <w:rPr>
          <w:color w:val="000000" w:themeColor="text1"/>
          <w:highlight w:val="none"/>
          <w14:textFill>
            <w14:solidFill>
              <w14:schemeClr w14:val="tx1"/>
            </w14:solidFill>
          </w14:textFill>
        </w:rPr>
      </w:pPr>
    </w:p>
    <w:p w14:paraId="4AD8A873">
      <w:pPr>
        <w:spacing w:before="78" w:line="225" w:lineRule="auto"/>
        <w:ind w:left="344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不参与围标串标承诺书</w:t>
      </w:r>
    </w:p>
    <w:p w14:paraId="3C49ADB6">
      <w:pPr>
        <w:pStyle w:val="8"/>
        <w:spacing w:line="298" w:lineRule="auto"/>
        <w:rPr>
          <w:color w:val="000000" w:themeColor="text1"/>
          <w:highlight w:val="none"/>
          <w14:textFill>
            <w14:solidFill>
              <w14:schemeClr w14:val="tx1"/>
            </w14:solidFill>
          </w14:textFill>
        </w:rPr>
      </w:pPr>
    </w:p>
    <w:p w14:paraId="31CDF654">
      <w:pPr>
        <w:pStyle w:val="8"/>
        <w:spacing w:line="298" w:lineRule="auto"/>
        <w:rPr>
          <w:color w:val="000000" w:themeColor="text1"/>
          <w:highlight w:val="none"/>
          <w14:textFill>
            <w14:solidFill>
              <w14:schemeClr w14:val="tx1"/>
            </w14:solidFill>
          </w14:textFill>
        </w:rPr>
      </w:pPr>
    </w:p>
    <w:p w14:paraId="72AECD2A">
      <w:pPr>
        <w:pStyle w:val="8"/>
        <w:spacing w:line="298" w:lineRule="auto"/>
        <w:rPr>
          <w:color w:val="000000" w:themeColor="text1"/>
          <w:highlight w:val="none"/>
          <w14:textFill>
            <w14:solidFill>
              <w14:schemeClr w14:val="tx1"/>
            </w14:solidFill>
          </w14:textFill>
        </w:rPr>
      </w:pPr>
    </w:p>
    <w:p w14:paraId="16D5E6A6">
      <w:pPr>
        <w:spacing w:before="78" w:line="493" w:lineRule="auto"/>
        <w:ind w:right="43" w:firstLine="49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本人作为</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6"/>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单</w:t>
      </w:r>
      <w:r>
        <w:rPr>
          <w:rFonts w:hint="eastAsia" w:ascii="宋体" w:hAnsi="宋体" w:eastAsia="宋体" w:cs="宋体"/>
          <w:color w:val="000000" w:themeColor="text1"/>
          <w:spacing w:val="-4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位</w:t>
      </w:r>
      <w:r>
        <w:rPr>
          <w:rFonts w:hint="eastAsia" w:ascii="宋体" w:hAnsi="宋体" w:eastAsia="宋体" w:cs="宋体"/>
          <w:color w:val="000000" w:themeColor="text1"/>
          <w:spacing w:val="-4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名</w:t>
      </w:r>
      <w:r>
        <w:rPr>
          <w:rFonts w:hint="eastAsia" w:ascii="宋体" w:hAnsi="宋体" w:eastAsia="宋体" w:cs="宋体"/>
          <w:color w:val="000000" w:themeColor="text1"/>
          <w:spacing w:val="-4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称</w:t>
      </w:r>
      <w:r>
        <w:rPr>
          <w:rFonts w:hint="eastAsia" w:ascii="宋体" w:hAnsi="宋体" w:eastAsia="宋体" w:cs="宋体"/>
          <w:color w:val="000000" w:themeColor="text1"/>
          <w:spacing w:val="-49"/>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的法人，清楚知晓我公司本项目投</w:t>
      </w:r>
      <w:r>
        <w:rPr>
          <w:rFonts w:hint="eastAsia" w:ascii="宋体" w:hAnsi="宋体" w:eastAsia="宋体" w:cs="宋体"/>
          <w:color w:val="000000" w:themeColor="text1"/>
          <w:sz w:val="24"/>
          <w:szCs w:val="24"/>
          <w:highlight w:val="none"/>
          <w14:textFill>
            <w14:solidFill>
              <w14:schemeClr w14:val="tx1"/>
            </w14:solidFill>
          </w14:textFill>
        </w:rPr>
        <w:t>标活动，对以下事项作出承诺：</w:t>
      </w:r>
    </w:p>
    <w:p w14:paraId="2DDD3871">
      <w:pPr>
        <w:spacing w:before="1" w:line="22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一</w:t>
      </w:r>
      <w:r>
        <w:rPr>
          <w:rFonts w:hint="eastAsia" w:ascii="宋体" w:hAnsi="宋体" w:eastAsia="宋体" w:cs="宋体"/>
          <w:color w:val="000000" w:themeColor="text1"/>
          <w:spacing w:val="-6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、我单位遵循公开、公平、公正、诚实守信的原</w:t>
      </w:r>
      <w:r>
        <w:rPr>
          <w:rFonts w:hint="eastAsia" w:ascii="宋体" w:hAnsi="宋体" w:eastAsia="宋体" w:cs="宋体"/>
          <w:color w:val="000000" w:themeColor="text1"/>
          <w:spacing w:val="-7"/>
          <w:sz w:val="24"/>
          <w:szCs w:val="24"/>
          <w:highlight w:val="none"/>
          <w14:textFill>
            <w14:solidFill>
              <w14:schemeClr w14:val="tx1"/>
            </w14:solidFill>
          </w14:textFill>
        </w:rPr>
        <w:t>则，依法依规参与本项目竞标。</w:t>
      </w:r>
    </w:p>
    <w:p w14:paraId="47071DED">
      <w:pPr>
        <w:pStyle w:val="8"/>
        <w:spacing w:line="291" w:lineRule="auto"/>
        <w:rPr>
          <w:rFonts w:hint="eastAsia" w:ascii="宋体" w:hAnsi="宋体" w:eastAsia="宋体" w:cs="宋体"/>
          <w:color w:val="000000" w:themeColor="text1"/>
          <w:sz w:val="24"/>
          <w:szCs w:val="24"/>
          <w:highlight w:val="none"/>
          <w14:textFill>
            <w14:solidFill>
              <w14:schemeClr w14:val="tx1"/>
            </w14:solidFill>
          </w14:textFill>
        </w:rPr>
      </w:pPr>
    </w:p>
    <w:p w14:paraId="54D87BC5">
      <w:pPr>
        <w:spacing w:before="78" w:line="219" w:lineRule="auto"/>
        <w:ind w:firstLine="464"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二</w:t>
      </w:r>
      <w:r>
        <w:rPr>
          <w:rFonts w:hint="eastAsia" w:ascii="宋体" w:hAnsi="宋体" w:eastAsia="宋体" w:cs="宋体"/>
          <w:color w:val="000000" w:themeColor="text1"/>
          <w:spacing w:val="-5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、我单位在本项目招标投标活动中，未参与围标串标。</w:t>
      </w:r>
    </w:p>
    <w:p w14:paraId="3D49CDA1">
      <w:pPr>
        <w:pStyle w:val="8"/>
        <w:spacing w:line="286" w:lineRule="auto"/>
        <w:rPr>
          <w:rFonts w:hint="eastAsia" w:ascii="宋体" w:hAnsi="宋体" w:eastAsia="宋体" w:cs="宋体"/>
          <w:color w:val="000000" w:themeColor="text1"/>
          <w:sz w:val="24"/>
          <w:szCs w:val="24"/>
          <w:highlight w:val="none"/>
          <w14:textFill>
            <w14:solidFill>
              <w14:schemeClr w14:val="tx1"/>
            </w14:solidFill>
          </w14:textFill>
        </w:rPr>
      </w:pPr>
    </w:p>
    <w:p w14:paraId="176D930D">
      <w:pPr>
        <w:spacing w:before="79" w:line="389" w:lineRule="auto"/>
        <w:ind w:right="103" w:firstLine="49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三</w:t>
      </w:r>
      <w:r>
        <w:rPr>
          <w:rFonts w:hint="eastAsia" w:ascii="宋体" w:hAnsi="宋体" w:eastAsia="宋体" w:cs="宋体"/>
          <w:color w:val="000000" w:themeColor="text1"/>
          <w:spacing w:val="-5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、我单位如被查实在本项目招标投标活动中存在围标串标的，递交投标文件行</w:t>
      </w:r>
      <w:r>
        <w:rPr>
          <w:rFonts w:hint="eastAsia" w:ascii="宋体" w:hAnsi="宋体" w:eastAsia="宋体" w:cs="宋体"/>
          <w:color w:val="000000" w:themeColor="text1"/>
          <w:spacing w:val="-1"/>
          <w:sz w:val="24"/>
          <w:szCs w:val="24"/>
          <w:highlight w:val="none"/>
          <w14:textFill>
            <w14:solidFill>
              <w14:schemeClr w14:val="tx1"/>
            </w14:solidFill>
          </w14:textFill>
        </w:rPr>
        <w:t>为作为实施串通投标违法行为的关键环节，本人承担直接责任人员法律责任，接受相应行政处罚和失信惩戒。</w:t>
      </w:r>
    </w:p>
    <w:p w14:paraId="33519785">
      <w:pPr>
        <w:pStyle w:val="8"/>
        <w:spacing w:line="257" w:lineRule="auto"/>
        <w:rPr>
          <w:rFonts w:hint="eastAsia" w:ascii="宋体" w:hAnsi="宋体" w:eastAsia="宋体" w:cs="宋体"/>
          <w:color w:val="000000" w:themeColor="text1"/>
          <w:sz w:val="24"/>
          <w:szCs w:val="24"/>
          <w:highlight w:val="none"/>
          <w14:textFill>
            <w14:solidFill>
              <w14:schemeClr w14:val="tx1"/>
            </w14:solidFill>
          </w14:textFill>
        </w:rPr>
      </w:pPr>
    </w:p>
    <w:p w14:paraId="0F020D49">
      <w:pPr>
        <w:pStyle w:val="8"/>
        <w:spacing w:line="258" w:lineRule="auto"/>
        <w:rPr>
          <w:rFonts w:hint="eastAsia" w:ascii="宋体" w:hAnsi="宋体" w:eastAsia="宋体" w:cs="宋体"/>
          <w:color w:val="000000" w:themeColor="text1"/>
          <w:sz w:val="24"/>
          <w:szCs w:val="24"/>
          <w:highlight w:val="none"/>
          <w14:textFill>
            <w14:solidFill>
              <w14:schemeClr w14:val="tx1"/>
            </w14:solidFill>
          </w14:textFill>
        </w:rPr>
      </w:pPr>
    </w:p>
    <w:p w14:paraId="2363A641">
      <w:pPr>
        <w:pStyle w:val="8"/>
        <w:spacing w:line="258" w:lineRule="auto"/>
        <w:rPr>
          <w:rFonts w:hint="eastAsia" w:ascii="宋体" w:hAnsi="宋体" w:eastAsia="宋体" w:cs="宋体"/>
          <w:color w:val="000000" w:themeColor="text1"/>
          <w:sz w:val="24"/>
          <w:szCs w:val="24"/>
          <w:highlight w:val="none"/>
          <w14:textFill>
            <w14:solidFill>
              <w14:schemeClr w14:val="tx1"/>
            </w14:solidFill>
          </w14:textFill>
        </w:rPr>
      </w:pPr>
    </w:p>
    <w:p w14:paraId="3FC28D5D">
      <w:pPr>
        <w:pStyle w:val="8"/>
        <w:spacing w:line="258" w:lineRule="auto"/>
        <w:rPr>
          <w:rFonts w:hint="eastAsia" w:ascii="宋体" w:hAnsi="宋体" w:eastAsia="宋体" w:cs="宋体"/>
          <w:color w:val="000000" w:themeColor="text1"/>
          <w:sz w:val="24"/>
          <w:szCs w:val="24"/>
          <w:highlight w:val="none"/>
          <w14:textFill>
            <w14:solidFill>
              <w14:schemeClr w14:val="tx1"/>
            </w14:solidFill>
          </w14:textFill>
        </w:rPr>
      </w:pPr>
    </w:p>
    <w:p w14:paraId="572473A1">
      <w:pPr>
        <w:pStyle w:val="8"/>
        <w:spacing w:line="258" w:lineRule="auto"/>
        <w:rPr>
          <w:rFonts w:hint="eastAsia" w:ascii="宋体" w:hAnsi="宋体" w:eastAsia="宋体" w:cs="宋体"/>
          <w:color w:val="000000" w:themeColor="text1"/>
          <w:sz w:val="24"/>
          <w:szCs w:val="24"/>
          <w:highlight w:val="none"/>
          <w14:textFill>
            <w14:solidFill>
              <w14:schemeClr w14:val="tx1"/>
            </w14:solidFill>
          </w14:textFill>
        </w:rPr>
      </w:pPr>
    </w:p>
    <w:p w14:paraId="3AEB3DB2">
      <w:pPr>
        <w:spacing w:before="78" w:line="22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供应商名称(电子章):</w:t>
      </w:r>
      <w:r>
        <w:rPr>
          <w:rFonts w:hint="eastAsia" w:ascii="宋体" w:hAnsi="宋体" w:eastAsia="宋体" w:cs="宋体"/>
          <w:color w:val="000000" w:themeColor="text1"/>
          <w:spacing w:val="-47"/>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p>
    <w:p w14:paraId="10EE9E64">
      <w:pPr>
        <w:spacing w:before="232" w:line="22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法定代表人(电子签名或电子章):</w:t>
      </w:r>
      <w:r>
        <w:rPr>
          <w:rFonts w:hint="eastAsia" w:ascii="宋体" w:hAnsi="宋体" w:eastAsia="宋体" w:cs="宋体"/>
          <w:color w:val="000000" w:themeColor="text1"/>
          <w:spacing w:val="-46"/>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p>
    <w:p w14:paraId="26B6B7B6">
      <w:pPr>
        <w:spacing w:before="231" w:line="224" w:lineRule="auto"/>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日期：</w:t>
      </w:r>
      <w:r>
        <w:rPr>
          <w:rFonts w:hint="eastAsia" w:ascii="宋体" w:hAnsi="宋体" w:eastAsia="宋体" w:cs="宋体"/>
          <w:b w:val="0"/>
          <w:bCs w:val="0"/>
          <w:color w:val="000000" w:themeColor="text1"/>
          <w:spacing w:val="-43"/>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1"/>
          <w:sz w:val="24"/>
          <w:szCs w:val="24"/>
          <w:highlight w:val="none"/>
          <w:u w:val="none" w:color="auto"/>
          <w14:textFill>
            <w14:solidFill>
              <w14:schemeClr w14:val="tx1"/>
            </w14:solidFill>
          </w14:textFill>
        </w:rPr>
        <w:t xml:space="preserve">      </w:t>
      </w:r>
      <w:r>
        <w:rPr>
          <w:rFonts w:hint="eastAsia" w:ascii="宋体" w:hAnsi="宋体" w:eastAsia="宋体" w:cs="宋体"/>
          <w:b w:val="0"/>
          <w:bCs w:val="0"/>
          <w:color w:val="000000" w:themeColor="text1"/>
          <w:spacing w:val="-106"/>
          <w:sz w:val="24"/>
          <w:szCs w:val="24"/>
          <w:highlight w:val="none"/>
          <w:u w:val="none" w:color="auto"/>
          <w14:textFill>
            <w14:solidFill>
              <w14:schemeClr w14:val="tx1"/>
            </w14:solidFill>
          </w14:textFill>
        </w:rPr>
        <w:t xml:space="preserve"> </w:t>
      </w:r>
      <w:r>
        <w:rPr>
          <w:rFonts w:hint="eastAsia" w:ascii="宋体" w:hAnsi="宋体" w:eastAsia="宋体" w:cs="宋体"/>
          <w:b w:val="0"/>
          <w:bCs w:val="0"/>
          <w:color w:val="000000" w:themeColor="text1"/>
          <w:spacing w:val="-21"/>
          <w:sz w:val="24"/>
          <w:szCs w:val="24"/>
          <w:highlight w:val="none"/>
          <w:u w:val="none" w:color="auto"/>
          <w14:textFill>
            <w14:solidFill>
              <w14:schemeClr w14:val="tx1"/>
            </w14:solidFill>
          </w14:textFill>
        </w:rPr>
        <w:t>年</w:t>
      </w:r>
      <w:r>
        <w:rPr>
          <w:rFonts w:hint="eastAsia" w:ascii="宋体" w:hAnsi="宋体" w:eastAsia="宋体" w:cs="宋体"/>
          <w:b w:val="0"/>
          <w:bCs w:val="0"/>
          <w:color w:val="000000" w:themeColor="text1"/>
          <w:spacing w:val="7"/>
          <w:sz w:val="24"/>
          <w:szCs w:val="24"/>
          <w:highlight w:val="none"/>
          <w:u w:val="none" w:color="auto"/>
          <w14:textFill>
            <w14:solidFill>
              <w14:schemeClr w14:val="tx1"/>
            </w14:solidFill>
          </w14:textFill>
        </w:rPr>
        <w:t xml:space="preserve">    </w:t>
      </w:r>
      <w:r>
        <w:rPr>
          <w:rFonts w:hint="eastAsia" w:ascii="宋体" w:hAnsi="宋体" w:eastAsia="宋体" w:cs="宋体"/>
          <w:b w:val="0"/>
          <w:bCs w:val="0"/>
          <w:color w:val="000000" w:themeColor="text1"/>
          <w:spacing w:val="-108"/>
          <w:sz w:val="24"/>
          <w:szCs w:val="24"/>
          <w:highlight w:val="none"/>
          <w:u w:val="none" w:color="auto"/>
          <w14:textFill>
            <w14:solidFill>
              <w14:schemeClr w14:val="tx1"/>
            </w14:solidFill>
          </w14:textFill>
        </w:rPr>
        <w:t xml:space="preserve"> </w:t>
      </w:r>
      <w:r>
        <w:rPr>
          <w:rFonts w:hint="eastAsia" w:ascii="宋体" w:hAnsi="宋体" w:eastAsia="宋体" w:cs="宋体"/>
          <w:b w:val="0"/>
          <w:bCs w:val="0"/>
          <w:color w:val="000000" w:themeColor="text1"/>
          <w:spacing w:val="-21"/>
          <w:sz w:val="24"/>
          <w:szCs w:val="24"/>
          <w:highlight w:val="none"/>
          <w:u w:val="none" w:color="auto"/>
          <w14:textFill>
            <w14:solidFill>
              <w14:schemeClr w14:val="tx1"/>
            </w14:solidFill>
          </w14:textFill>
        </w:rPr>
        <w:t>月</w:t>
      </w:r>
      <w:r>
        <w:rPr>
          <w:rFonts w:hint="eastAsia" w:ascii="宋体" w:hAnsi="宋体" w:eastAsia="宋体" w:cs="宋体"/>
          <w:b w:val="0"/>
          <w:bCs w:val="0"/>
          <w:color w:val="000000" w:themeColor="text1"/>
          <w:spacing w:val="7"/>
          <w:sz w:val="24"/>
          <w:szCs w:val="24"/>
          <w:highlight w:val="none"/>
          <w:u w:val="none" w:color="auto"/>
          <w14:textFill>
            <w14:solidFill>
              <w14:schemeClr w14:val="tx1"/>
            </w14:solidFill>
          </w14:textFill>
        </w:rPr>
        <w:t xml:space="preserve">    </w:t>
      </w:r>
      <w:r>
        <w:rPr>
          <w:rFonts w:hint="eastAsia" w:ascii="宋体" w:hAnsi="宋体" w:eastAsia="宋体" w:cs="宋体"/>
          <w:b w:val="0"/>
          <w:bCs w:val="0"/>
          <w:color w:val="000000" w:themeColor="text1"/>
          <w:spacing w:val="-21"/>
          <w:sz w:val="24"/>
          <w:szCs w:val="24"/>
          <w:highlight w:val="none"/>
          <w:u w:val="none" w:color="auto"/>
          <w14:textFill>
            <w14:solidFill>
              <w14:schemeClr w14:val="tx1"/>
            </w14:solidFill>
          </w14:textFill>
        </w:rPr>
        <w:t>日</w:t>
      </w:r>
    </w:p>
    <w:p w14:paraId="08BBACC2">
      <w:pPr>
        <w:spacing w:line="224" w:lineRule="auto"/>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sectPr>
          <w:footerReference r:id="rId12" w:type="default"/>
          <w:pgSz w:w="11900" w:h="16830"/>
          <w:pgMar w:top="1430" w:right="1419" w:bottom="1160" w:left="1519" w:header="0" w:footer="978" w:gutter="0"/>
          <w:pgNumType w:fmt="decimal"/>
          <w:cols w:space="720" w:num="1"/>
        </w:sectPr>
      </w:pPr>
    </w:p>
    <w:p w14:paraId="0550C0AF">
      <w:pPr>
        <w:pStyle w:val="3"/>
        <w:spacing w:before="0" w:line="240" w:lineRule="atLeast"/>
        <w:ind w:left="1080" w:leftChars="257" w:hanging="54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540" w:name="_Toc9765"/>
      <w:r>
        <w:rPr>
          <w:rFonts w:hint="eastAsia" w:ascii="宋体" w:hAnsi="宋体" w:eastAsia="宋体" w:cs="宋体"/>
          <w:color w:val="000000" w:themeColor="text1"/>
          <w:sz w:val="24"/>
          <w:szCs w:val="24"/>
          <w:highlight w:val="none"/>
          <w:lang w:val="en-US" w:eastAsia="zh-CN"/>
          <w14:textFill>
            <w14:solidFill>
              <w14:schemeClr w14:val="tx1"/>
            </w14:solidFill>
          </w14:textFill>
        </w:rPr>
        <w:t>7、磋商保证金</w:t>
      </w:r>
      <w:bookmarkEnd w:id="540"/>
    </w:p>
    <w:p w14:paraId="325F12B6">
      <w:pPr>
        <w:spacing w:before="304" w:line="221" w:lineRule="auto"/>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6"/>
          <w:sz w:val="23"/>
          <w:szCs w:val="23"/>
          <w:highlight w:val="none"/>
          <w14:textFill>
            <w14:solidFill>
              <w14:schemeClr w14:val="tx1"/>
            </w14:solidFill>
          </w14:textFill>
        </w:rPr>
        <w:t>说明：1、此处上传</w:t>
      </w:r>
      <w:r>
        <w:rPr>
          <w:rFonts w:hint="eastAsia" w:ascii="宋体" w:hAnsi="宋体" w:cs="宋体"/>
          <w:color w:val="000000" w:themeColor="text1"/>
          <w:spacing w:val="16"/>
          <w:sz w:val="23"/>
          <w:szCs w:val="23"/>
          <w:highlight w:val="none"/>
          <w:lang w:eastAsia="zh-CN"/>
          <w14:textFill>
            <w14:solidFill>
              <w14:schemeClr w14:val="tx1"/>
            </w14:solidFill>
          </w14:textFill>
        </w:rPr>
        <w:t>磋商保证金</w:t>
      </w:r>
      <w:r>
        <w:rPr>
          <w:rFonts w:hint="eastAsia" w:ascii="宋体" w:hAnsi="宋体" w:eastAsia="宋体" w:cs="宋体"/>
          <w:color w:val="000000" w:themeColor="text1"/>
          <w:spacing w:val="16"/>
          <w:sz w:val="23"/>
          <w:szCs w:val="23"/>
          <w:highlight w:val="none"/>
          <w14:textFill>
            <w14:solidFill>
              <w14:schemeClr w14:val="tx1"/>
            </w14:solidFill>
          </w14:textFill>
        </w:rPr>
        <w:t>缴纳证明文件(后附企业基本账户信息)。</w:t>
      </w:r>
    </w:p>
    <w:p w14:paraId="6EEF4A06">
      <w:pPr>
        <w:pStyle w:val="8"/>
        <w:spacing w:line="261" w:lineRule="auto"/>
        <w:rPr>
          <w:color w:val="000000" w:themeColor="text1"/>
          <w:highlight w:val="none"/>
          <w14:textFill>
            <w14:solidFill>
              <w14:schemeClr w14:val="tx1"/>
            </w14:solidFill>
          </w14:textFill>
        </w:rPr>
      </w:pPr>
    </w:p>
    <w:p w14:paraId="2943B95B">
      <w:pPr>
        <w:pStyle w:val="8"/>
        <w:spacing w:line="261" w:lineRule="auto"/>
        <w:rPr>
          <w:color w:val="000000" w:themeColor="text1"/>
          <w:highlight w:val="none"/>
          <w14:textFill>
            <w14:solidFill>
              <w14:schemeClr w14:val="tx1"/>
            </w14:solidFill>
          </w14:textFill>
        </w:rPr>
      </w:pPr>
    </w:p>
    <w:p w14:paraId="12C905E3">
      <w:pPr>
        <w:pStyle w:val="8"/>
        <w:spacing w:line="261" w:lineRule="auto"/>
        <w:rPr>
          <w:color w:val="000000" w:themeColor="text1"/>
          <w:highlight w:val="none"/>
          <w14:textFill>
            <w14:solidFill>
              <w14:schemeClr w14:val="tx1"/>
            </w14:solidFill>
          </w14:textFill>
        </w:rPr>
      </w:pPr>
    </w:p>
    <w:p w14:paraId="4C7129FE">
      <w:pPr>
        <w:pStyle w:val="8"/>
        <w:spacing w:line="261" w:lineRule="auto"/>
        <w:rPr>
          <w:color w:val="000000" w:themeColor="text1"/>
          <w:highlight w:val="none"/>
          <w14:textFill>
            <w14:solidFill>
              <w14:schemeClr w14:val="tx1"/>
            </w14:solidFill>
          </w14:textFill>
        </w:rPr>
      </w:pPr>
    </w:p>
    <w:p w14:paraId="5D6AEB55">
      <w:pPr>
        <w:pStyle w:val="8"/>
        <w:spacing w:line="261" w:lineRule="auto"/>
        <w:rPr>
          <w:color w:val="000000" w:themeColor="text1"/>
          <w:highlight w:val="none"/>
          <w14:textFill>
            <w14:solidFill>
              <w14:schemeClr w14:val="tx1"/>
            </w14:solidFill>
          </w14:textFill>
        </w:rPr>
      </w:pPr>
    </w:p>
    <w:p w14:paraId="7DA875AF">
      <w:pPr>
        <w:pStyle w:val="8"/>
        <w:spacing w:line="261" w:lineRule="auto"/>
        <w:rPr>
          <w:color w:val="000000" w:themeColor="text1"/>
          <w:highlight w:val="none"/>
          <w14:textFill>
            <w14:solidFill>
              <w14:schemeClr w14:val="tx1"/>
            </w14:solidFill>
          </w14:textFill>
        </w:rPr>
      </w:pPr>
    </w:p>
    <w:p w14:paraId="7DB05437">
      <w:pPr>
        <w:pStyle w:val="8"/>
        <w:spacing w:line="261" w:lineRule="auto"/>
        <w:rPr>
          <w:color w:val="000000" w:themeColor="text1"/>
          <w:highlight w:val="none"/>
          <w14:textFill>
            <w14:solidFill>
              <w14:schemeClr w14:val="tx1"/>
            </w14:solidFill>
          </w14:textFill>
        </w:rPr>
      </w:pPr>
    </w:p>
    <w:p w14:paraId="4C83E477">
      <w:pPr>
        <w:pStyle w:val="8"/>
        <w:spacing w:line="262" w:lineRule="auto"/>
        <w:rPr>
          <w:color w:val="000000" w:themeColor="text1"/>
          <w:highlight w:val="none"/>
          <w14:textFill>
            <w14:solidFill>
              <w14:schemeClr w14:val="tx1"/>
            </w14:solidFill>
          </w14:textFill>
        </w:rPr>
      </w:pPr>
    </w:p>
    <w:p w14:paraId="47DEF3DF">
      <w:pPr>
        <w:spacing w:line="224" w:lineRule="auto"/>
        <w:rPr>
          <w:rFonts w:hint="eastAsia" w:ascii="宋体" w:hAnsi="宋体" w:eastAsia="宋体" w:cs="宋体"/>
          <w:color w:val="000000" w:themeColor="text1"/>
          <w:sz w:val="23"/>
          <w:szCs w:val="23"/>
          <w:highlight w:val="none"/>
          <w:u w:val="none" w:color="auto"/>
          <w14:textFill>
            <w14:solidFill>
              <w14:schemeClr w14:val="tx1"/>
            </w14:solidFill>
          </w14:textFill>
        </w:rPr>
        <w:sectPr>
          <w:footerReference r:id="rId13" w:type="default"/>
          <w:pgSz w:w="11900" w:h="16830"/>
          <w:pgMar w:top="1430" w:right="1785" w:bottom="1151" w:left="1529" w:header="0" w:footer="982" w:gutter="0"/>
          <w:pgNumType w:fmt="decimal"/>
          <w:cols w:space="720" w:num="1"/>
        </w:sectPr>
      </w:pPr>
    </w:p>
    <w:p w14:paraId="73637714">
      <w:pPr>
        <w:pStyle w:val="3"/>
        <w:spacing w:before="0" w:line="240" w:lineRule="atLeast"/>
        <w:ind w:left="1080" w:leftChars="257" w:hanging="540"/>
        <w:jc w:val="center"/>
        <w:rPr>
          <w:rFonts w:hint="eastAsia" w:ascii="宋体" w:hAnsi="宋体" w:eastAsia="宋体" w:cs="宋体"/>
          <w:b/>
          <w:color w:val="000000" w:themeColor="text1"/>
          <w:kern w:val="0"/>
          <w:sz w:val="24"/>
          <w:szCs w:val="24"/>
          <w:highlight w:val="none"/>
          <w:u w:val="none"/>
          <w:lang w:val="en-US" w:eastAsia="zh-CN" w:bidi="ar-SA"/>
          <w14:textFill>
            <w14:solidFill>
              <w14:schemeClr w14:val="tx1"/>
            </w14:solidFill>
          </w14:textFill>
        </w:rPr>
      </w:pPr>
      <w:bookmarkStart w:id="541" w:name="_Toc5603"/>
      <w:r>
        <w:rPr>
          <w:rFonts w:hint="eastAsia" w:ascii="宋体" w:hAnsi="宋体" w:eastAsia="宋体" w:cs="宋体"/>
          <w:b/>
          <w:color w:val="000000" w:themeColor="text1"/>
          <w:kern w:val="0"/>
          <w:sz w:val="24"/>
          <w:szCs w:val="24"/>
          <w:highlight w:val="none"/>
          <w:u w:val="none"/>
          <w:lang w:val="en-US" w:eastAsia="zh-CN" w:bidi="ar-SA"/>
          <w14:textFill>
            <w14:solidFill>
              <w14:schemeClr w14:val="tx1"/>
            </w14:solidFill>
          </w14:textFill>
        </w:rPr>
        <w:t>8、不存在与参加本项目的其它供应商负责人为同一人或者存在直接控股、管理关系</w:t>
      </w:r>
      <w:bookmarkEnd w:id="541"/>
    </w:p>
    <w:p w14:paraId="4DBBF46F">
      <w:pPr>
        <w:pStyle w:val="8"/>
        <w:spacing w:line="256" w:lineRule="auto"/>
        <w:rPr>
          <w:color w:val="000000" w:themeColor="text1"/>
          <w:highlight w:val="none"/>
          <w14:textFill>
            <w14:solidFill>
              <w14:schemeClr w14:val="tx1"/>
            </w14:solidFill>
          </w14:textFill>
        </w:rPr>
      </w:pPr>
    </w:p>
    <w:p w14:paraId="0C52EE5B">
      <w:pPr>
        <w:spacing w:before="78" w:line="224" w:lineRule="auto"/>
        <w:ind w:left="4193"/>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pacing w:val="2"/>
          <w:sz w:val="28"/>
          <w:szCs w:val="28"/>
          <w:highlight w:val="none"/>
          <w14:textFill>
            <w14:solidFill>
              <w14:schemeClr w14:val="tx1"/>
            </w14:solidFill>
          </w14:textFill>
        </w:rPr>
        <w:t>承诺</w:t>
      </w:r>
      <w:r>
        <w:rPr>
          <w:rFonts w:hint="eastAsia" w:ascii="宋体" w:hAnsi="宋体" w:cs="宋体"/>
          <w:b/>
          <w:bCs/>
          <w:color w:val="000000" w:themeColor="text1"/>
          <w:spacing w:val="2"/>
          <w:sz w:val="28"/>
          <w:szCs w:val="28"/>
          <w:highlight w:val="none"/>
          <w:lang w:val="en-US" w:eastAsia="zh-CN"/>
          <w14:textFill>
            <w14:solidFill>
              <w14:schemeClr w14:val="tx1"/>
            </w14:solidFill>
          </w14:textFill>
        </w:rPr>
        <w:t>函</w:t>
      </w:r>
    </w:p>
    <w:p w14:paraId="36DCDE07">
      <w:pPr>
        <w:pStyle w:val="8"/>
        <w:spacing w:line="295" w:lineRule="auto"/>
        <w:rPr>
          <w:color w:val="000000" w:themeColor="text1"/>
          <w:highlight w:val="none"/>
          <w14:textFill>
            <w14:solidFill>
              <w14:schemeClr w14:val="tx1"/>
            </w14:solidFill>
          </w14:textFill>
        </w:rPr>
      </w:pPr>
    </w:p>
    <w:p w14:paraId="7878941B">
      <w:pPr>
        <w:pStyle w:val="8"/>
        <w:spacing w:line="296" w:lineRule="auto"/>
        <w:rPr>
          <w:color w:val="000000" w:themeColor="text1"/>
          <w:highlight w:val="none"/>
          <w14:textFill>
            <w14:solidFill>
              <w14:schemeClr w14:val="tx1"/>
            </w14:solidFill>
          </w14:textFill>
        </w:rPr>
      </w:pPr>
    </w:p>
    <w:p w14:paraId="68E7F058">
      <w:pPr>
        <w:pStyle w:val="8"/>
        <w:spacing w:line="296" w:lineRule="auto"/>
        <w:rPr>
          <w:rFonts w:hint="eastAsia" w:ascii="宋体" w:hAnsi="宋体" w:eastAsia="宋体" w:cs="宋体"/>
          <w:color w:val="000000" w:themeColor="text1"/>
          <w:sz w:val="24"/>
          <w:szCs w:val="24"/>
          <w:highlight w:val="none"/>
          <w14:textFill>
            <w14:solidFill>
              <w14:schemeClr w14:val="tx1"/>
            </w14:solidFill>
          </w14:textFill>
        </w:rPr>
      </w:pPr>
    </w:p>
    <w:p w14:paraId="217EE24F">
      <w:pPr>
        <w:spacing w:before="78" w:line="222" w:lineRule="auto"/>
        <w:ind w:left="2104"/>
        <w:rPr>
          <w:rFonts w:hint="eastAsia" w:ascii="宋体" w:hAnsi="宋体" w:eastAsia="宋体" w:cs="宋体"/>
          <w:color w:val="000000" w:themeColor="text1"/>
          <w:spacing w:val="-2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drawing>
          <wp:anchor distT="0" distB="0" distL="0" distR="0" simplePos="0" relativeHeight="251664384" behindDoc="0" locked="0" layoutInCell="1" allowOverlap="1">
            <wp:simplePos x="0" y="0"/>
            <wp:positionH relativeFrom="column">
              <wp:posOffset>0</wp:posOffset>
            </wp:positionH>
            <wp:positionV relativeFrom="paragraph">
              <wp:posOffset>194310</wp:posOffset>
            </wp:positionV>
            <wp:extent cx="2540000" cy="7620"/>
            <wp:effectExtent l="0" t="0" r="0" b="0"/>
            <wp:wrapNone/>
            <wp:docPr id="9" name="IM 8"/>
            <wp:cNvGraphicFramePr/>
            <a:graphic xmlns:a="http://schemas.openxmlformats.org/drawingml/2006/main">
              <a:graphicData uri="http://schemas.openxmlformats.org/drawingml/2006/picture">
                <pic:pic xmlns:pic="http://schemas.openxmlformats.org/drawingml/2006/picture">
                  <pic:nvPicPr>
                    <pic:cNvPr id="9" name="IM 8"/>
                    <pic:cNvPicPr/>
                  </pic:nvPicPr>
                  <pic:blipFill>
                    <a:blip r:embed="rId19"/>
                    <a:stretch>
                      <a:fillRect/>
                    </a:stretch>
                  </pic:blipFill>
                  <pic:spPr>
                    <a:xfrm>
                      <a:off x="0" y="0"/>
                      <a:ext cx="2540041" cy="7619"/>
                    </a:xfrm>
                    <a:prstGeom prst="rect">
                      <a:avLst/>
                    </a:prstGeom>
                  </pic:spPr>
                </pic:pic>
              </a:graphicData>
            </a:graphic>
          </wp:anchor>
        </w:drawing>
      </w:r>
      <w:r>
        <w:rPr>
          <w:rFonts w:hint="eastAsia" w:ascii="宋体" w:hAnsi="宋体" w:eastAsia="宋体" w:cs="宋体"/>
          <w:color w:val="000000" w:themeColor="text1"/>
          <w:spacing w:val="-21"/>
          <w:sz w:val="24"/>
          <w:szCs w:val="24"/>
          <w:highlight w:val="none"/>
          <w14:textFill>
            <w14:solidFill>
              <w14:schemeClr w14:val="tx1"/>
            </w14:solidFill>
          </w14:textFill>
        </w:rPr>
        <w:t>(</w:t>
      </w:r>
      <w:r>
        <w:rPr>
          <w:rFonts w:hint="eastAsia" w:ascii="宋体" w:hAnsi="宋体" w:eastAsia="宋体" w:cs="宋体"/>
          <w:color w:val="000000" w:themeColor="text1"/>
          <w:spacing w:val="7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1"/>
          <w:sz w:val="24"/>
          <w:szCs w:val="24"/>
          <w:highlight w:val="none"/>
          <w14:textFill>
            <w14:solidFill>
              <w14:schemeClr w14:val="tx1"/>
            </w14:solidFill>
          </w14:textFill>
        </w:rPr>
        <w:t>采</w:t>
      </w:r>
      <w:r>
        <w:rPr>
          <w:rFonts w:hint="eastAsia" w:ascii="宋体" w:hAnsi="宋体" w:eastAsia="宋体" w:cs="宋体"/>
          <w:color w:val="000000" w:themeColor="text1"/>
          <w:spacing w:val="6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1"/>
          <w:sz w:val="24"/>
          <w:szCs w:val="24"/>
          <w:highlight w:val="none"/>
          <w14:textFill>
            <w14:solidFill>
              <w14:schemeClr w14:val="tx1"/>
            </w14:solidFill>
          </w14:textFill>
        </w:rPr>
        <w:t>购</w:t>
      </w:r>
      <w:r>
        <w:rPr>
          <w:rFonts w:hint="eastAsia" w:ascii="宋体" w:hAnsi="宋体" w:eastAsia="宋体" w:cs="宋体"/>
          <w:color w:val="000000" w:themeColor="text1"/>
          <w:spacing w:val="7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1"/>
          <w:sz w:val="24"/>
          <w:szCs w:val="24"/>
          <w:highlight w:val="none"/>
          <w14:textFill>
            <w14:solidFill>
              <w14:schemeClr w14:val="tx1"/>
            </w14:solidFill>
          </w14:textFill>
        </w:rPr>
        <w:t>人</w:t>
      </w:r>
      <w:r>
        <w:rPr>
          <w:rFonts w:hint="eastAsia" w:ascii="宋体" w:hAnsi="宋体" w:eastAsia="宋体" w:cs="宋体"/>
          <w:color w:val="000000" w:themeColor="text1"/>
          <w:spacing w:val="6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1"/>
          <w:sz w:val="24"/>
          <w:szCs w:val="24"/>
          <w:highlight w:val="none"/>
          <w14:textFill>
            <w14:solidFill>
              <w14:schemeClr w14:val="tx1"/>
            </w14:solidFill>
          </w14:textFill>
        </w:rPr>
        <w:t>)</w:t>
      </w:r>
    </w:p>
    <w:p w14:paraId="363BF41E">
      <w:pPr>
        <w:spacing w:before="78" w:line="222" w:lineRule="auto"/>
        <w:ind w:left="2104"/>
        <w:rPr>
          <w:rFonts w:hint="eastAsia" w:ascii="宋体" w:hAnsi="宋体" w:eastAsia="宋体" w:cs="宋体"/>
          <w:color w:val="000000" w:themeColor="text1"/>
          <w:spacing w:val="-21"/>
          <w:sz w:val="24"/>
          <w:szCs w:val="24"/>
          <w:highlight w:val="none"/>
          <w14:textFill>
            <w14:solidFill>
              <w14:schemeClr w14:val="tx1"/>
            </w14:solidFill>
          </w14:textFill>
        </w:rPr>
      </w:pPr>
    </w:p>
    <w:p w14:paraId="1C4E6AB2">
      <w:pPr>
        <w:keepNext w:val="0"/>
        <w:keepLines w:val="0"/>
        <w:pageBreakBefore w:val="0"/>
        <w:widowControl w:val="0"/>
        <w:kinsoku/>
        <w:wordWrap/>
        <w:overflowPunct/>
        <w:topLinePunct w:val="0"/>
        <w:autoSpaceDE/>
        <w:autoSpaceDN/>
        <w:bidi w:val="0"/>
        <w:adjustRightInd/>
        <w:snapToGrid/>
        <w:spacing w:before="307" w:line="480" w:lineRule="auto"/>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我公司参加贵单位组织的</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14:textFill>
            <w14:solidFill>
              <w14:schemeClr w14:val="tx1"/>
            </w14:solidFill>
          </w14:textFill>
        </w:rPr>
        <w:t>项目</w:t>
      </w:r>
      <w:r>
        <w:rPr>
          <w:rFonts w:hint="eastAsia" w:ascii="宋体" w:hAnsi="宋体" w:eastAsia="宋体" w:cs="宋体"/>
          <w:color w:val="000000" w:themeColor="text1"/>
          <w:spacing w:val="3"/>
          <w:sz w:val="24"/>
          <w:szCs w:val="24"/>
          <w:highlight w:val="none"/>
          <w14:textFill>
            <w14:solidFill>
              <w14:schemeClr w14:val="tx1"/>
            </w14:solidFill>
          </w14:textFill>
        </w:rPr>
        <w:t>招标活动，郑重承诺：在参</w:t>
      </w:r>
      <w:r>
        <w:rPr>
          <w:rFonts w:hint="eastAsia" w:ascii="宋体" w:hAnsi="宋体" w:eastAsia="宋体" w:cs="宋体"/>
          <w:color w:val="000000" w:themeColor="text1"/>
          <w:spacing w:val="2"/>
          <w:sz w:val="24"/>
          <w:szCs w:val="24"/>
          <w:highlight w:val="none"/>
          <w14:textFill>
            <w14:solidFill>
              <w14:schemeClr w14:val="tx1"/>
            </w14:solidFill>
          </w14:textFill>
        </w:rPr>
        <w:t>加本项</w:t>
      </w:r>
    </w:p>
    <w:p w14:paraId="12066F64">
      <w:pPr>
        <w:keepNext w:val="0"/>
        <w:keepLines w:val="0"/>
        <w:pageBreakBefore w:val="0"/>
        <w:widowControl w:val="0"/>
        <w:kinsoku/>
        <w:wordWrap/>
        <w:overflowPunct/>
        <w:topLinePunct w:val="0"/>
        <w:autoSpaceDE/>
        <w:autoSpaceDN/>
        <w:bidi w:val="0"/>
        <w:adjustRightInd/>
        <w:snapToGrid/>
        <w:spacing w:before="79" w:line="480" w:lineRule="auto"/>
        <w:ind w:right="52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目里不存在与参加本项目的其它供应商负责人为同一人或者存在直接控股、管理关</w:t>
      </w: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我公司与</w:t>
      </w:r>
      <w:r>
        <w:rPr>
          <w:rFonts w:hint="eastAsia" w:ascii="宋体" w:hAnsi="宋体" w:eastAsia="宋体" w:cs="宋体"/>
          <w:color w:val="000000" w:themeColor="text1"/>
          <w:sz w:val="24"/>
          <w:szCs w:val="24"/>
          <w:highlight w:val="none"/>
          <w:u w:val="none"/>
          <w:rtl w:val="0"/>
          <w:lang w:val="en-US" w:eastAsia="zh-CN"/>
          <w14:textFill>
            <w14:solidFill>
              <w14:schemeClr w14:val="tx1"/>
            </w14:solidFill>
          </w14:textFill>
        </w:rPr>
        <w:t>提供整体设计、规范编制或者项目管理、监理、检测等服务的供应商</w:t>
      </w:r>
      <w:r>
        <w:rPr>
          <w:rFonts w:hint="eastAsia" w:ascii="宋体" w:hAnsi="宋体" w:cs="宋体"/>
          <w:color w:val="000000" w:themeColor="text1"/>
          <w:sz w:val="24"/>
          <w:szCs w:val="24"/>
          <w:highlight w:val="none"/>
          <w:u w:val="none"/>
          <w:rtl w:val="0"/>
          <w:lang w:val="en-US" w:eastAsia="zh-CN"/>
          <w14:textFill>
            <w14:solidFill>
              <w14:schemeClr w14:val="tx1"/>
            </w14:solidFill>
          </w14:textFill>
        </w:rPr>
        <w:t>不</w:t>
      </w:r>
      <w:r>
        <w:rPr>
          <w:rFonts w:hint="eastAsia" w:ascii="宋体" w:hAnsi="宋体" w:eastAsia="宋体" w:cs="宋体"/>
          <w:color w:val="000000" w:themeColor="text1"/>
          <w:spacing w:val="-1"/>
          <w:sz w:val="24"/>
          <w:szCs w:val="24"/>
          <w:highlight w:val="none"/>
          <w14:textFill>
            <w14:solidFill>
              <w14:schemeClr w14:val="tx1"/>
            </w14:solidFill>
          </w14:textFill>
        </w:rPr>
        <w:t>存在直接控股、管理关</w:t>
      </w:r>
      <w:r>
        <w:rPr>
          <w:rFonts w:hint="eastAsia" w:ascii="宋体" w:hAnsi="宋体" w:eastAsia="宋体" w:cs="宋体"/>
          <w:color w:val="000000" w:themeColor="text1"/>
          <w:sz w:val="24"/>
          <w:szCs w:val="24"/>
          <w:highlight w:val="none"/>
          <w14:textFill>
            <w14:solidFill>
              <w14:schemeClr w14:val="tx1"/>
            </w14:solidFill>
          </w14:textFill>
        </w:rPr>
        <w:t>系我公司对上述承诺的真实性负责。如有虚假，将依法承担相应责任。特此承诺!</w:t>
      </w:r>
    </w:p>
    <w:p w14:paraId="5B5823F2">
      <w:pPr>
        <w:pStyle w:val="8"/>
        <w:spacing w:line="285" w:lineRule="auto"/>
        <w:rPr>
          <w:rFonts w:hint="eastAsia" w:ascii="宋体" w:hAnsi="宋体" w:eastAsia="宋体" w:cs="宋体"/>
          <w:color w:val="000000" w:themeColor="text1"/>
          <w:sz w:val="24"/>
          <w:szCs w:val="24"/>
          <w:highlight w:val="none"/>
          <w14:textFill>
            <w14:solidFill>
              <w14:schemeClr w14:val="tx1"/>
            </w14:solidFill>
          </w14:textFill>
        </w:rPr>
      </w:pPr>
    </w:p>
    <w:p w14:paraId="25EA3521">
      <w:pPr>
        <w:pStyle w:val="8"/>
        <w:spacing w:line="286" w:lineRule="auto"/>
        <w:rPr>
          <w:rFonts w:hint="eastAsia" w:ascii="宋体" w:hAnsi="宋体" w:eastAsia="宋体" w:cs="宋体"/>
          <w:color w:val="000000" w:themeColor="text1"/>
          <w:sz w:val="24"/>
          <w:szCs w:val="24"/>
          <w:highlight w:val="none"/>
          <w14:textFill>
            <w14:solidFill>
              <w14:schemeClr w14:val="tx1"/>
            </w14:solidFill>
          </w14:textFill>
        </w:rPr>
      </w:pPr>
    </w:p>
    <w:p w14:paraId="1C6B4F99">
      <w:pPr>
        <w:spacing w:before="78" w:line="222" w:lineRule="auto"/>
        <w:ind w:left="4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0"/>
          <w:sz w:val="24"/>
          <w:szCs w:val="24"/>
          <w:highlight w:val="none"/>
          <w14:textFill>
            <w14:solidFill>
              <w14:schemeClr w14:val="tx1"/>
            </w14:solidFill>
          </w14:textFill>
        </w:rPr>
        <w:t>供应商(电子章):</w:t>
      </w:r>
    </w:p>
    <w:p w14:paraId="6239871C">
      <w:pPr>
        <w:spacing w:before="311" w:line="222" w:lineRule="auto"/>
        <w:ind w:left="4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5"/>
          <w:sz w:val="24"/>
          <w:szCs w:val="24"/>
          <w:highlight w:val="none"/>
          <w14:textFill>
            <w14:solidFill>
              <w14:schemeClr w14:val="tx1"/>
            </w14:solidFill>
          </w14:textFill>
        </w:rPr>
        <w:t>法定代表人(电子签名或电子章):</w:t>
      </w:r>
    </w:p>
    <w:p w14:paraId="4BA56217">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pPr>
      <w:r>
        <w:rPr>
          <w:rFonts w:hint="eastAsia" w:ascii="宋体" w:hAnsi="宋体" w:eastAsia="宋体" w:cs="宋体"/>
          <w:color w:val="000000" w:themeColor="text1"/>
          <w:spacing w:val="15"/>
          <w:sz w:val="24"/>
          <w:szCs w:val="24"/>
          <w:highlight w:val="none"/>
          <w14:textFill>
            <w14:solidFill>
              <w14:schemeClr w14:val="tx1"/>
            </w14:solidFill>
          </w14:textFill>
        </w:rPr>
        <w:t>日期：   年   月  日</w:t>
      </w:r>
    </w:p>
    <w:p w14:paraId="22307F66">
      <w:pPr>
        <w:spacing w:before="311" w:line="222" w:lineRule="auto"/>
        <w:ind w:left="470"/>
        <w:rPr>
          <w:rFonts w:hint="eastAsia" w:ascii="宋体" w:hAnsi="宋体" w:eastAsia="宋体" w:cs="宋体"/>
          <w:color w:val="000000" w:themeColor="text1"/>
          <w:spacing w:val="15"/>
          <w:sz w:val="24"/>
          <w:szCs w:val="24"/>
          <w:highlight w:val="none"/>
          <w14:textFill>
            <w14:solidFill>
              <w14:schemeClr w14:val="tx1"/>
            </w14:solidFill>
          </w14:textFill>
        </w:rPr>
        <w:sectPr>
          <w:footerReference r:id="rId14" w:type="default"/>
          <w:pgSz w:w="11900" w:h="16830"/>
          <w:pgMar w:top="1430" w:right="1062" w:bottom="1160" w:left="1529" w:header="0" w:footer="978" w:gutter="0"/>
          <w:pgNumType w:fmt="decimal"/>
          <w:cols w:space="720" w:num="1"/>
        </w:sectPr>
      </w:pPr>
    </w:p>
    <w:p w14:paraId="70AF7CD6">
      <w:pPr>
        <w:pStyle w:val="3"/>
        <w:spacing w:before="0" w:line="240" w:lineRule="atLeast"/>
        <w:ind w:left="1080" w:leftChars="257" w:hanging="540"/>
        <w:jc w:val="center"/>
        <w:rPr>
          <w:rFonts w:hint="eastAsia" w:ascii="宋体" w:hAnsi="宋体" w:eastAsia="宋体" w:cs="宋体"/>
          <w:b/>
          <w:color w:val="000000" w:themeColor="text1"/>
          <w:kern w:val="0"/>
          <w:sz w:val="24"/>
          <w:szCs w:val="24"/>
          <w:highlight w:val="none"/>
          <w:u w:val="none"/>
          <w:lang w:val="en-US" w:eastAsia="zh-CN" w:bidi="ar-SA"/>
          <w14:textFill>
            <w14:solidFill>
              <w14:schemeClr w14:val="tx1"/>
            </w14:solidFill>
          </w14:textFill>
        </w:rPr>
      </w:pPr>
      <w:bookmarkStart w:id="542" w:name="_Toc18442"/>
      <w:bookmarkStart w:id="543" w:name="_Toc17409"/>
      <w:r>
        <w:rPr>
          <w:rFonts w:hint="eastAsia" w:ascii="宋体" w:hAnsi="宋体" w:eastAsia="宋体" w:cs="宋体"/>
          <w:b/>
          <w:color w:val="000000" w:themeColor="text1"/>
          <w:kern w:val="0"/>
          <w:sz w:val="24"/>
          <w:szCs w:val="24"/>
          <w:highlight w:val="none"/>
          <w:u w:val="none"/>
          <w:lang w:val="en-US" w:eastAsia="zh-CN" w:bidi="ar-SA"/>
          <w14:textFill>
            <w14:solidFill>
              <w14:schemeClr w14:val="tx1"/>
            </w14:solidFill>
          </w14:textFill>
        </w:rPr>
        <w:t>9、中小企业声明函（工程、服务）</w:t>
      </w:r>
      <w:bookmarkEnd w:id="542"/>
      <w:bookmarkEnd w:id="543"/>
    </w:p>
    <w:p w14:paraId="28866411">
      <w:pPr>
        <w:widowControl/>
        <w:spacing w:line="500" w:lineRule="exact"/>
        <w:ind w:firstLine="720" w:firstLineChars="3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本公司（联合体）郑重声明，根据《政府采购促进中小企业发展管理办法》（财库﹝2020﹞46 号）的规定，本公司（</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Fonts w:hint="eastAsia" w:ascii="宋体" w:hAnsi="宋体" w:eastAsia="宋体" w:cs="宋体"/>
          <w:color w:val="000000" w:themeColor="text1"/>
          <w:kern w:val="0"/>
          <w:sz w:val="24"/>
          <w:highlight w:val="none"/>
          <w14:textFill>
            <w14:solidFill>
              <w14:schemeClr w14:val="tx1"/>
            </w14:solidFill>
          </w14:textFill>
        </w:rPr>
        <w:t>）参加</w:t>
      </w:r>
      <w:r>
        <w:rPr>
          <w:rFonts w:hint="eastAsia" w:ascii="宋体" w:hAnsi="宋体" w:eastAsia="宋体" w:cs="宋体"/>
          <w:i/>
          <w:color w:val="000000" w:themeColor="text1"/>
          <w:kern w:val="0"/>
          <w:sz w:val="24"/>
          <w:highlight w:val="none"/>
          <w:u w:val="single"/>
          <w14:textFill>
            <w14:solidFill>
              <w14:schemeClr w14:val="tx1"/>
            </w14:solidFill>
          </w14:textFill>
        </w:rPr>
        <w:t>（单位名称）</w:t>
      </w:r>
      <w:r>
        <w:rPr>
          <w:rFonts w:hint="eastAsia" w:ascii="宋体" w:hAnsi="宋体" w:eastAsia="宋体" w:cs="宋体"/>
          <w:color w:val="000000" w:themeColor="text1"/>
          <w:kern w:val="0"/>
          <w:sz w:val="24"/>
          <w:highlight w:val="none"/>
          <w14:textFill>
            <w14:solidFill>
              <w14:schemeClr w14:val="tx1"/>
            </w14:solidFill>
          </w14:textFill>
        </w:rPr>
        <w:t>的</w:t>
      </w:r>
      <w:r>
        <w:rPr>
          <w:rFonts w:hint="eastAsia" w:ascii="宋体" w:hAnsi="宋体" w:eastAsia="宋体" w:cs="宋体"/>
          <w:i/>
          <w:color w:val="000000" w:themeColor="text1"/>
          <w:kern w:val="0"/>
          <w:sz w:val="24"/>
          <w:highlight w:val="none"/>
          <w:u w:val="single"/>
          <w14:textFill>
            <w14:solidFill>
              <w14:schemeClr w14:val="tx1"/>
            </w14:solidFill>
          </w14:textFill>
        </w:rPr>
        <w:t>（项目名称）</w:t>
      </w:r>
      <w:r>
        <w:rPr>
          <w:rFonts w:hint="eastAsia" w:ascii="宋体" w:hAnsi="宋体" w:eastAsia="宋体" w:cs="宋体"/>
          <w:color w:val="000000" w:themeColor="text1"/>
          <w:kern w:val="0"/>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569D855">
      <w:pPr>
        <w:widowControl/>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1. </w:t>
      </w:r>
      <w:r>
        <w:rPr>
          <w:rFonts w:hint="eastAsia" w:ascii="宋体" w:hAnsi="宋体" w:eastAsia="宋体" w:cs="宋体"/>
          <w:i/>
          <w:color w:val="000000" w:themeColor="text1"/>
          <w:kern w:val="0"/>
          <w:sz w:val="24"/>
          <w:highlight w:val="none"/>
          <w:u w:val="single"/>
          <w14:textFill>
            <w14:solidFill>
              <w14:schemeClr w14:val="tx1"/>
            </w14:solidFill>
          </w14:textFill>
        </w:rPr>
        <w:t>（标的名称）</w:t>
      </w:r>
      <w:r>
        <w:rPr>
          <w:rFonts w:hint="eastAsia" w:ascii="宋体" w:hAnsi="宋体" w:eastAsia="宋体" w:cs="宋体"/>
          <w:i/>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，属于</w:t>
      </w:r>
      <w:r>
        <w:rPr>
          <w:rFonts w:hint="eastAsia" w:ascii="宋体" w:hAnsi="宋体" w:eastAsia="宋体" w:cs="宋体"/>
          <w:i/>
          <w:color w:val="000000" w:themeColor="text1"/>
          <w:kern w:val="0"/>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kern w:val="0"/>
          <w:sz w:val="24"/>
          <w:highlight w:val="none"/>
          <w14:textFill>
            <w14:solidFill>
              <w14:schemeClr w14:val="tx1"/>
            </w14:solidFill>
          </w14:textFill>
        </w:rPr>
        <w:t>；承建（承接）企业为</w:t>
      </w:r>
      <w:r>
        <w:rPr>
          <w:rFonts w:hint="eastAsia" w:ascii="宋体" w:hAnsi="宋体" w:eastAsia="宋体" w:cs="宋体"/>
          <w:i/>
          <w:color w:val="000000" w:themeColor="text1"/>
          <w:kern w:val="0"/>
          <w:sz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highlight w:val="none"/>
          <w14:textFill>
            <w14:solidFill>
              <w14:schemeClr w14:val="tx1"/>
            </w14:solidFill>
          </w14:textFill>
        </w:rPr>
        <w:t>，从业人员</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人，营业收入为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万元，资产总额为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万元，属于</w:t>
      </w:r>
      <w:r>
        <w:rPr>
          <w:rFonts w:hint="eastAsia" w:ascii="宋体" w:hAnsi="宋体" w:eastAsia="宋体" w:cs="宋体"/>
          <w:i/>
          <w:color w:val="000000" w:themeColor="text1"/>
          <w:kern w:val="0"/>
          <w:sz w:val="24"/>
          <w:highlight w:val="none"/>
          <w:u w:val="single"/>
          <w14:textFill>
            <w14:solidFill>
              <w14:schemeClr w14:val="tx1"/>
            </w14:solidFill>
          </w14:textFill>
        </w:rPr>
        <w:t>（中型企业、 小型企业、微型企业）</w:t>
      </w: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23EFA8A5">
      <w:pPr>
        <w:widowControl/>
        <w:spacing w:line="50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2. </w:t>
      </w:r>
      <w:r>
        <w:rPr>
          <w:rFonts w:hint="eastAsia" w:ascii="宋体" w:hAnsi="宋体" w:eastAsia="宋体" w:cs="宋体"/>
          <w:i/>
          <w:color w:val="000000" w:themeColor="text1"/>
          <w:kern w:val="0"/>
          <w:sz w:val="24"/>
          <w:highlight w:val="none"/>
          <w:u w:val="single"/>
          <w14:textFill>
            <w14:solidFill>
              <w14:schemeClr w14:val="tx1"/>
            </w14:solidFill>
          </w14:textFill>
        </w:rPr>
        <w:t>（标的名称）</w:t>
      </w:r>
      <w:r>
        <w:rPr>
          <w:rFonts w:hint="eastAsia" w:ascii="宋体" w:hAnsi="宋体" w:eastAsia="宋体" w:cs="宋体"/>
          <w:i/>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，属于</w:t>
      </w:r>
      <w:r>
        <w:rPr>
          <w:rFonts w:hint="eastAsia" w:ascii="宋体" w:hAnsi="宋体" w:eastAsia="宋体" w:cs="宋体"/>
          <w:i/>
          <w:color w:val="000000" w:themeColor="text1"/>
          <w:kern w:val="0"/>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kern w:val="0"/>
          <w:sz w:val="24"/>
          <w:highlight w:val="none"/>
          <w14:textFill>
            <w14:solidFill>
              <w14:schemeClr w14:val="tx1"/>
            </w14:solidFill>
          </w14:textFill>
        </w:rPr>
        <w:t>；承建（承接）企业为</w:t>
      </w:r>
      <w:r>
        <w:rPr>
          <w:rFonts w:hint="eastAsia" w:ascii="宋体" w:hAnsi="宋体" w:eastAsia="宋体" w:cs="宋体"/>
          <w:i/>
          <w:color w:val="000000" w:themeColor="text1"/>
          <w:kern w:val="0"/>
          <w:sz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highlight w:val="none"/>
          <w14:textFill>
            <w14:solidFill>
              <w14:schemeClr w14:val="tx1"/>
            </w14:solidFill>
          </w14:textFill>
        </w:rPr>
        <w:t>，从业人员</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人，营业收入为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万元，资产总额为</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万元，属于</w:t>
      </w:r>
      <w:r>
        <w:rPr>
          <w:rFonts w:hint="eastAsia" w:ascii="宋体" w:hAnsi="宋体" w:eastAsia="宋体" w:cs="宋体"/>
          <w:i/>
          <w:color w:val="000000" w:themeColor="text1"/>
          <w:kern w:val="0"/>
          <w:sz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661435F8">
      <w:pPr>
        <w:widowControl/>
        <w:spacing w:line="500" w:lineRule="exact"/>
        <w:ind w:firstLine="720" w:firstLineChars="3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p w14:paraId="051CEB9A">
      <w:pPr>
        <w:widowControl/>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以上企业，不属于大企业的分支机构，不存在控股股东为大企业的情形，也不存在与大企业的负责人为同一人的情形。</w:t>
      </w:r>
    </w:p>
    <w:p w14:paraId="7179D083">
      <w:pPr>
        <w:widowControl/>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本企业对上述声明内容的真实性负责。如有虚假，将依法承担相应责任。 </w:t>
      </w:r>
    </w:p>
    <w:p w14:paraId="18BA7FAF">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3F91D83A">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企业名称（</w:t>
      </w:r>
      <w:r>
        <w:rPr>
          <w:rFonts w:hint="eastAsia" w:ascii="宋体" w:hAnsi="宋体" w:eastAsia="宋体" w:cs="宋体"/>
          <w:color w:val="000000" w:themeColor="text1"/>
          <w:kern w:val="0"/>
          <w:sz w:val="24"/>
          <w:highlight w:val="none"/>
          <w:lang w:eastAsia="zh-CN"/>
          <w14:textFill>
            <w14:solidFill>
              <w14:schemeClr w14:val="tx1"/>
            </w14:solidFill>
          </w14:textFill>
        </w:rPr>
        <w:t>电子签章</w:t>
      </w:r>
      <w:r>
        <w:rPr>
          <w:rFonts w:hint="eastAsia" w:ascii="宋体" w:hAnsi="宋体" w:eastAsia="宋体" w:cs="宋体"/>
          <w:color w:val="000000" w:themeColor="text1"/>
          <w:kern w:val="0"/>
          <w:sz w:val="24"/>
          <w:highlight w:val="none"/>
          <w14:textFill>
            <w14:solidFill>
              <w14:schemeClr w14:val="tx1"/>
            </w14:solidFill>
          </w14:textFill>
        </w:rPr>
        <w:t>）：</w:t>
      </w:r>
    </w:p>
    <w:p w14:paraId="39B4777E">
      <w:pPr>
        <w:widowControl/>
        <w:ind w:firstLine="3600" w:firstLineChars="15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 期：</w:t>
      </w:r>
    </w:p>
    <w:p w14:paraId="1919454A">
      <w:pPr>
        <w:pStyle w:val="20"/>
        <w:ind w:firstLine="0" w:firstLineChars="0"/>
        <w:rPr>
          <w:rFonts w:hint="eastAsia" w:ascii="宋体" w:hAnsi="宋体" w:eastAsia="宋体" w:cs="宋体"/>
          <w:color w:val="000000" w:themeColor="text1"/>
          <w:kern w:val="0"/>
          <w:highlight w:val="none"/>
          <w14:textFill>
            <w14:solidFill>
              <w14:schemeClr w14:val="tx1"/>
            </w14:solidFill>
          </w14:textFill>
        </w:rPr>
      </w:pPr>
    </w:p>
    <w:p w14:paraId="3D674B46">
      <w:pPr>
        <w:pStyle w:val="20"/>
        <w:ind w:firstLine="0" w:firstLineChars="0"/>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t>注：1、从业人员、营业收入、资产总额填报上一年度数据，无上一年度数据的新成立企业可不填报。</w:t>
      </w:r>
    </w:p>
    <w:p w14:paraId="2365C68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EA50090">
      <w:pPr>
        <w:pStyle w:val="4"/>
        <w:jc w:val="center"/>
        <w:rPr>
          <w:rFonts w:hint="eastAsia" w:ascii="宋体" w:hAnsi="宋体" w:eastAsia="宋体" w:cs="宋体"/>
          <w:b/>
          <w:bCs/>
          <w:color w:val="000000" w:themeColor="text1"/>
          <w:kern w:val="0"/>
          <w:sz w:val="24"/>
          <w:szCs w:val="24"/>
          <w:highlight w:val="none"/>
          <w:u w:val="none"/>
          <w:lang w:val="en-US" w:eastAsia="zh-CN" w:bidi="ar-SA"/>
          <w14:textFill>
            <w14:solidFill>
              <w14:schemeClr w14:val="tx1"/>
            </w14:solidFill>
          </w14:textFill>
        </w:rPr>
      </w:pPr>
      <w:bookmarkStart w:id="544" w:name="_Toc2332"/>
      <w:r>
        <w:rPr>
          <w:rFonts w:hint="eastAsia" w:ascii="宋体" w:hAnsi="宋体" w:eastAsia="宋体" w:cs="宋体"/>
          <w:b/>
          <w:bCs/>
          <w:color w:val="000000" w:themeColor="text1"/>
          <w:kern w:val="0"/>
          <w:sz w:val="24"/>
          <w:szCs w:val="24"/>
          <w:highlight w:val="none"/>
          <w:u w:val="none"/>
          <w:lang w:val="en-US" w:eastAsia="zh-CN" w:bidi="ar-SA"/>
          <w14:textFill>
            <w14:solidFill>
              <w14:schemeClr w14:val="tx1"/>
            </w14:solidFill>
          </w14:textFill>
        </w:rPr>
        <w:t>残疾人福利性单位声明函</w:t>
      </w:r>
      <w:bookmarkEnd w:id="544"/>
    </w:p>
    <w:p w14:paraId="5FC872CF">
      <w:pPr>
        <w:spacing w:line="240" w:lineRule="atLeast"/>
        <w:ind w:left="1080" w:leftChars="257" w:hanging="540"/>
        <w:jc w:val="center"/>
        <w:rPr>
          <w:rFonts w:hint="eastAsia" w:ascii="宋体" w:hAnsi="宋体" w:eastAsia="宋体" w:cs="宋体"/>
          <w:color w:val="000000" w:themeColor="text1"/>
          <w:kern w:val="0"/>
          <w:sz w:val="24"/>
          <w:highlight w:val="none"/>
          <w14:textFill>
            <w14:solidFill>
              <w14:schemeClr w14:val="tx1"/>
            </w14:solidFill>
          </w14:textFill>
        </w:rPr>
      </w:pPr>
    </w:p>
    <w:p w14:paraId="7C6627F9">
      <w:pPr>
        <w:keepNext w:val="0"/>
        <w:keepLines w:val="0"/>
        <w:pageBreakBefore w:val="0"/>
        <w:widowControl w:val="0"/>
        <w:kinsoku/>
        <w:wordWrap/>
        <w:overflowPunct/>
        <w:topLinePunct w:val="0"/>
        <w:autoSpaceDE/>
        <w:autoSpaceDN/>
        <w:bidi w:val="0"/>
        <w:adjustRightInd/>
        <w:snapToGrid/>
        <w:spacing w:line="400" w:lineRule="exact"/>
        <w:ind w:firstLine="567"/>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的服务。</w:t>
      </w:r>
    </w:p>
    <w:p w14:paraId="08BA4A88">
      <w:pPr>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本单位对上述声明的真实性负责。如有虚假，将依法承担相应责任。</w:t>
      </w:r>
    </w:p>
    <w:p w14:paraId="2B33396C">
      <w:pPr>
        <w:keepNext w:val="0"/>
        <w:keepLines w:val="0"/>
        <w:pageBreakBefore w:val="0"/>
        <w:widowControl w:val="0"/>
        <w:kinsoku/>
        <w:wordWrap/>
        <w:overflowPunct/>
        <w:topLinePunct w:val="0"/>
        <w:autoSpaceDE/>
        <w:autoSpaceDN/>
        <w:bidi w:val="0"/>
        <w:adjustRightInd/>
        <w:snapToGrid/>
        <w:spacing w:line="400" w:lineRule="exact"/>
        <w:ind w:left="1080" w:leftChars="257" w:hanging="540"/>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36468584">
      <w:pPr>
        <w:spacing w:line="240" w:lineRule="atLeast"/>
        <w:ind w:left="1080" w:leftChars="257" w:hanging="540"/>
        <w:jc w:val="center"/>
        <w:rPr>
          <w:rFonts w:hint="eastAsia" w:ascii="宋体" w:hAnsi="宋体" w:eastAsia="宋体" w:cs="宋体"/>
          <w:color w:val="000000" w:themeColor="text1"/>
          <w:kern w:val="0"/>
          <w:sz w:val="24"/>
          <w:highlight w:val="none"/>
          <w14:textFill>
            <w14:solidFill>
              <w14:schemeClr w14:val="tx1"/>
            </w14:solidFill>
          </w14:textFill>
        </w:rPr>
      </w:pPr>
    </w:p>
    <w:p w14:paraId="00EF8B21">
      <w:pPr>
        <w:spacing w:line="240" w:lineRule="atLeast"/>
        <w:ind w:left="1080" w:leftChars="257" w:hanging="54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残疾人福利性单位名称（</w:t>
      </w:r>
      <w:r>
        <w:rPr>
          <w:rFonts w:hint="eastAsia" w:ascii="宋体" w:hAnsi="宋体" w:eastAsia="宋体" w:cs="宋体"/>
          <w:color w:val="000000" w:themeColor="text1"/>
          <w:kern w:val="0"/>
          <w:sz w:val="24"/>
          <w:highlight w:val="none"/>
          <w:lang w:eastAsia="zh-CN"/>
          <w14:textFill>
            <w14:solidFill>
              <w14:schemeClr w14:val="tx1"/>
            </w14:solidFill>
          </w14:textFill>
        </w:rPr>
        <w:t>电子签章</w:t>
      </w:r>
      <w:r>
        <w:rPr>
          <w:rFonts w:hint="eastAsia" w:ascii="宋体" w:hAnsi="宋体" w:eastAsia="宋体" w:cs="宋体"/>
          <w:color w:val="000000" w:themeColor="text1"/>
          <w:kern w:val="0"/>
          <w:sz w:val="24"/>
          <w:highlight w:val="none"/>
          <w14:textFill>
            <w14:solidFill>
              <w14:schemeClr w14:val="tx1"/>
            </w14:solidFill>
          </w14:textFill>
        </w:rPr>
        <w:t>）：______________</w:t>
      </w:r>
    </w:p>
    <w:p w14:paraId="46041038">
      <w:pPr>
        <w:spacing w:line="240" w:lineRule="atLeast"/>
        <w:ind w:left="1080" w:leftChars="257" w:hanging="540"/>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日  期：____________________________________</w:t>
      </w:r>
    </w:p>
    <w:p w14:paraId="49743B46">
      <w:pPr>
        <w:spacing w:line="240" w:lineRule="atLeast"/>
        <w:ind w:left="1080" w:leftChars="257" w:hanging="540"/>
        <w:jc w:val="center"/>
        <w:rPr>
          <w:rFonts w:hint="eastAsia" w:ascii="宋体" w:hAnsi="宋体" w:eastAsia="宋体" w:cs="宋体"/>
          <w:b/>
          <w:color w:val="000000" w:themeColor="text1"/>
          <w:kern w:val="0"/>
          <w:sz w:val="24"/>
          <w:highlight w:val="none"/>
          <w14:textFill>
            <w14:solidFill>
              <w14:schemeClr w14:val="tx1"/>
            </w14:solidFill>
          </w14:textFill>
        </w:rPr>
      </w:pPr>
    </w:p>
    <w:p w14:paraId="709C4A31">
      <w:pPr>
        <w:spacing w:line="240" w:lineRule="atLeast"/>
        <w:ind w:left="1080" w:leftChars="257" w:hanging="540"/>
        <w:jc w:val="center"/>
        <w:rPr>
          <w:rFonts w:hint="eastAsia" w:ascii="宋体" w:hAnsi="宋体" w:eastAsia="宋体" w:cs="宋体"/>
          <w:b/>
          <w:color w:val="000000" w:themeColor="text1"/>
          <w:kern w:val="0"/>
          <w:sz w:val="24"/>
          <w:highlight w:val="none"/>
          <w14:textFill>
            <w14:solidFill>
              <w14:schemeClr w14:val="tx1"/>
            </w14:solidFill>
          </w14:textFill>
        </w:rPr>
      </w:pPr>
    </w:p>
    <w:p w14:paraId="0842DB57">
      <w:pPr>
        <w:pStyle w:val="20"/>
        <w:ind w:firstLine="480"/>
        <w:rPr>
          <w:rFonts w:hint="eastAsia" w:ascii="宋体" w:hAnsi="宋体" w:eastAsia="宋体" w:cs="宋体"/>
          <w:color w:val="000000" w:themeColor="text1"/>
          <w:highlight w:val="none"/>
          <w14:textFill>
            <w14:solidFill>
              <w14:schemeClr w14:val="tx1"/>
            </w14:solidFill>
          </w14:textFill>
        </w:rPr>
      </w:pPr>
    </w:p>
    <w:p w14:paraId="5958E268">
      <w:pPr>
        <w:spacing w:line="240" w:lineRule="atLeast"/>
        <w:rPr>
          <w:rFonts w:hint="eastAsia" w:ascii="宋体" w:hAnsi="宋体" w:eastAsia="宋体" w:cs="宋体"/>
          <w:b/>
          <w:color w:val="000000" w:themeColor="text1"/>
          <w:kern w:val="0"/>
          <w:sz w:val="24"/>
          <w:highlight w:val="none"/>
          <w14:textFill>
            <w14:solidFill>
              <w14:schemeClr w14:val="tx1"/>
            </w14:solidFill>
          </w14:textFill>
        </w:rPr>
      </w:pPr>
    </w:p>
    <w:p w14:paraId="022FB0C6">
      <w:pPr>
        <w:rPr>
          <w:rFonts w:hint="eastAsia" w:ascii="宋体" w:hAnsi="宋体" w:eastAsia="宋体" w:cs="宋体"/>
          <w:color w:val="000000" w:themeColor="text1"/>
          <w:highlight w:val="none"/>
          <w14:textFill>
            <w14:solidFill>
              <w14:schemeClr w14:val="tx1"/>
            </w14:solidFill>
          </w14:textFill>
        </w:rPr>
      </w:pPr>
    </w:p>
    <w:p w14:paraId="5DDF442C">
      <w:pPr>
        <w:rPr>
          <w:rFonts w:hint="eastAsia" w:ascii="宋体" w:hAnsi="宋体" w:eastAsia="宋体" w:cs="宋体"/>
          <w:color w:val="000000" w:themeColor="text1"/>
          <w:highlight w:val="none"/>
          <w14:textFill>
            <w14:solidFill>
              <w14:schemeClr w14:val="tx1"/>
            </w14:solidFill>
          </w14:textFill>
        </w:rPr>
      </w:pPr>
    </w:p>
    <w:p w14:paraId="28A766E2">
      <w:pPr>
        <w:rPr>
          <w:rFonts w:hint="eastAsia" w:ascii="宋体" w:hAnsi="宋体" w:eastAsia="宋体" w:cs="宋体"/>
          <w:color w:val="000000" w:themeColor="text1"/>
          <w:highlight w:val="none"/>
          <w14:textFill>
            <w14:solidFill>
              <w14:schemeClr w14:val="tx1"/>
            </w14:solidFill>
          </w14:textFill>
        </w:rPr>
      </w:pPr>
    </w:p>
    <w:p w14:paraId="25800477">
      <w:pPr>
        <w:rPr>
          <w:rFonts w:hint="eastAsia" w:ascii="宋体" w:hAnsi="宋体" w:eastAsia="宋体" w:cs="宋体"/>
          <w:color w:val="000000" w:themeColor="text1"/>
          <w:highlight w:val="none"/>
          <w14:textFill>
            <w14:solidFill>
              <w14:schemeClr w14:val="tx1"/>
            </w14:solidFill>
          </w14:textFill>
        </w:rPr>
      </w:pPr>
    </w:p>
    <w:p w14:paraId="39FEE587">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2BD830FB">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7B0D691D">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1952DA37">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1EE6079B">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703CA7E8">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36C097B2">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6D5F46A1">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4B7CAF63">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7F885590">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19F67826">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7349CE0C">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0EA56FBB">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0E77AB16">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77145C58">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05BA6AAC">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2BA8B521">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6FBD2967">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450DBFEF">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5A8B14C7">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05AB7669">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58B23053">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14907959">
      <w:pPr>
        <w:pStyle w:val="12"/>
        <w:tabs>
          <w:tab w:val="left" w:pos="5580"/>
        </w:tabs>
        <w:spacing w:line="240" w:lineRule="atLeast"/>
        <w:ind w:left="1080" w:leftChars="257" w:hanging="540"/>
        <w:rPr>
          <w:rFonts w:hint="eastAsia" w:ascii="宋体" w:hAnsi="宋体" w:eastAsia="宋体" w:cs="宋体"/>
          <w:color w:val="000000" w:themeColor="text1"/>
          <w:kern w:val="0"/>
          <w:sz w:val="24"/>
          <w:highlight w:val="none"/>
          <w14:textFill>
            <w14:solidFill>
              <w14:schemeClr w14:val="tx1"/>
            </w14:solidFill>
          </w14:textFill>
        </w:rPr>
      </w:pPr>
    </w:p>
    <w:p w14:paraId="4CCA9F40">
      <w:pPr>
        <w:pStyle w:val="6"/>
        <w:rPr>
          <w:rFonts w:hint="eastAsia" w:ascii="宋体" w:hAnsi="宋体" w:eastAsia="宋体" w:cs="宋体"/>
          <w:color w:val="000000" w:themeColor="text1"/>
          <w:highlight w:val="none"/>
          <w14:textFill>
            <w14:solidFill>
              <w14:schemeClr w14:val="tx1"/>
            </w14:solidFill>
          </w14:textFill>
        </w:rPr>
      </w:pPr>
    </w:p>
    <w:p w14:paraId="16A86E2B">
      <w:pPr>
        <w:pStyle w:val="3"/>
        <w:spacing w:before="0" w:line="240" w:lineRule="atLeast"/>
        <w:ind w:left="1258" w:leftChars="599" w:firstLine="583" w:firstLineChars="242"/>
        <w:jc w:val="both"/>
        <w:rPr>
          <w:rFonts w:hint="eastAsia" w:ascii="宋体" w:hAnsi="宋体" w:eastAsia="宋体" w:cs="宋体"/>
          <w:color w:val="000000" w:themeColor="text1"/>
          <w:sz w:val="24"/>
          <w:szCs w:val="24"/>
          <w:highlight w:val="none"/>
          <w14:textFill>
            <w14:solidFill>
              <w14:schemeClr w14:val="tx1"/>
            </w14:solidFill>
          </w14:textFill>
        </w:rPr>
      </w:pPr>
      <w:bookmarkStart w:id="545" w:name="_Toc13995"/>
      <w:bookmarkStart w:id="546" w:name="_Toc27715"/>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w:t>
      </w:r>
      <w:bookmarkStart w:id="547" w:name="_Toc28363"/>
      <w:r>
        <w:rPr>
          <w:rFonts w:hint="eastAsia" w:ascii="宋体" w:hAnsi="宋体" w:eastAsia="宋体" w:cs="宋体"/>
          <w:b/>
          <w:color w:val="000000" w:themeColor="text1"/>
          <w:sz w:val="24"/>
          <w:highlight w:val="none"/>
          <w:lang w:val="en-US" w:eastAsia="zh-CN"/>
          <w14:textFill>
            <w14:solidFill>
              <w14:schemeClr w14:val="tx1"/>
            </w14:solidFill>
          </w14:textFill>
        </w:rPr>
        <w:t>针对本次项目《反商业贿赂承诺书》</w:t>
      </w:r>
      <w:bookmarkEnd w:id="545"/>
      <w:bookmarkEnd w:id="546"/>
      <w:bookmarkEnd w:id="547"/>
    </w:p>
    <w:p w14:paraId="2312BC08">
      <w:pPr>
        <w:pStyle w:val="20"/>
        <w:ind w:left="420" w:firstLine="0" w:firstLineChars="0"/>
        <w:jc w:val="left"/>
        <w:rPr>
          <w:rFonts w:hint="eastAsia" w:ascii="宋体" w:hAnsi="宋体" w:eastAsia="宋体" w:cs="宋体"/>
          <w:color w:val="000000" w:themeColor="text1"/>
          <w:highlight w:val="none"/>
          <w14:textFill>
            <w14:solidFill>
              <w14:schemeClr w14:val="tx1"/>
            </w14:solidFill>
          </w14:textFill>
        </w:rPr>
      </w:pPr>
    </w:p>
    <w:p w14:paraId="1DFB6FDE">
      <w:pPr>
        <w:pStyle w:val="20"/>
        <w:ind w:left="420" w:firstLine="0" w:firstLineChars="0"/>
        <w:jc w:val="left"/>
        <w:rPr>
          <w:rFonts w:hint="eastAsia" w:ascii="宋体" w:hAnsi="宋体" w:eastAsia="宋体" w:cs="宋体"/>
          <w:color w:val="000000" w:themeColor="text1"/>
          <w:highlight w:val="none"/>
          <w14:textFill>
            <w14:solidFill>
              <w14:schemeClr w14:val="tx1"/>
            </w14:solidFill>
          </w14:textFill>
        </w:rPr>
      </w:pPr>
    </w:p>
    <w:p w14:paraId="214278B9">
      <w:pPr>
        <w:pStyle w:val="3"/>
        <w:spacing w:before="0" w:line="240" w:lineRule="atLeast"/>
        <w:ind w:left="1080" w:leftChars="257" w:hanging="540"/>
        <w:rPr>
          <w:rFonts w:hint="eastAsia" w:ascii="宋体" w:hAnsi="宋体" w:eastAsia="宋体" w:cs="宋体"/>
          <w:color w:val="000000" w:themeColor="text1"/>
          <w:sz w:val="24"/>
          <w:highlight w:val="none"/>
          <w14:textFill>
            <w14:solidFill>
              <w14:schemeClr w14:val="tx1"/>
            </w14:solidFill>
          </w14:textFill>
        </w:rPr>
      </w:pPr>
      <w:bookmarkStart w:id="548" w:name="_Toc2281"/>
      <w:bookmarkStart w:id="549" w:name="_Toc24362"/>
      <w:bookmarkStart w:id="550" w:name="_Toc13091"/>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须知资料表要求的其他资格证明文件</w:t>
      </w:r>
      <w:bookmarkEnd w:id="548"/>
      <w:bookmarkEnd w:id="549"/>
      <w:bookmarkEnd w:id="550"/>
    </w:p>
    <w:p w14:paraId="1B1735F8">
      <w:pPr>
        <w:spacing w:line="240" w:lineRule="atLeast"/>
        <w:ind w:left="1080" w:leftChars="257" w:hanging="540"/>
        <w:jc w:val="center"/>
        <w:rPr>
          <w:rFonts w:hint="eastAsia" w:ascii="宋体" w:hAnsi="宋体" w:eastAsia="宋体" w:cs="宋体"/>
          <w:b/>
          <w:bCs/>
          <w:color w:val="000000" w:themeColor="text1"/>
          <w:sz w:val="24"/>
          <w:highlight w:val="none"/>
          <w14:textFill>
            <w14:solidFill>
              <w14:schemeClr w14:val="tx1"/>
            </w14:solidFill>
          </w14:textFill>
        </w:rPr>
      </w:pPr>
    </w:p>
    <w:p w14:paraId="4A4D0F99">
      <w:pPr>
        <w:spacing w:line="240" w:lineRule="atLeast"/>
        <w:ind w:left="1080" w:leftChars="257" w:hanging="540"/>
        <w:jc w:val="center"/>
        <w:rPr>
          <w:rFonts w:hint="eastAsia" w:ascii="宋体" w:hAnsi="宋体" w:eastAsia="宋体" w:cs="宋体"/>
          <w:b/>
          <w:bCs/>
          <w:color w:val="000000" w:themeColor="text1"/>
          <w:sz w:val="24"/>
          <w:highlight w:val="none"/>
          <w14:textFill>
            <w14:solidFill>
              <w14:schemeClr w14:val="tx1"/>
            </w14:solidFill>
          </w14:textFill>
        </w:rPr>
      </w:pPr>
    </w:p>
    <w:p w14:paraId="07C0D63C">
      <w:pPr>
        <w:spacing w:line="240" w:lineRule="atLeast"/>
        <w:ind w:left="1080" w:leftChars="257" w:hanging="540"/>
        <w:jc w:val="center"/>
        <w:rPr>
          <w:rFonts w:hint="eastAsia" w:ascii="宋体" w:hAnsi="宋体" w:eastAsia="宋体" w:cs="宋体"/>
          <w:b/>
          <w:bCs/>
          <w:color w:val="000000" w:themeColor="text1"/>
          <w:sz w:val="24"/>
          <w:highlight w:val="none"/>
          <w14:textFill>
            <w14:solidFill>
              <w14:schemeClr w14:val="tx1"/>
            </w14:solidFill>
          </w14:textFill>
        </w:rPr>
      </w:pPr>
    </w:p>
    <w:p w14:paraId="23D2805C">
      <w:pPr>
        <w:pStyle w:val="12"/>
        <w:keepNext w:val="0"/>
        <w:keepLines w:val="0"/>
        <w:pageBreakBefore w:val="0"/>
        <w:widowControl w:val="0"/>
        <w:tabs>
          <w:tab w:val="left" w:pos="5580"/>
        </w:tabs>
        <w:kinsoku/>
        <w:wordWrap/>
        <w:overflowPunct/>
        <w:topLinePunct w:val="0"/>
        <w:autoSpaceDE/>
        <w:autoSpaceDN/>
        <w:bidi w:val="0"/>
        <w:adjustRightInd/>
        <w:snapToGrid/>
        <w:spacing w:line="44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说明：1.应提供</w:t>
      </w:r>
      <w:r>
        <w:rPr>
          <w:rFonts w:hint="eastAsia" w:hAnsi="宋体" w:cs="宋体"/>
          <w:color w:val="000000" w:themeColor="text1"/>
          <w:sz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须知资料表</w:t>
      </w:r>
      <w:r>
        <w:rPr>
          <w:rFonts w:hint="eastAsia" w:ascii="宋体" w:hAnsi="宋体" w:eastAsia="宋体" w:cs="宋体"/>
          <w:color w:val="000000" w:themeColor="text1"/>
          <w:sz w:val="24"/>
          <w:highlight w:val="none"/>
          <w14:textFill>
            <w14:solidFill>
              <w14:schemeClr w14:val="tx1"/>
            </w14:solidFill>
          </w14:textFill>
        </w:rPr>
        <w:t>要求的其他资格证明文件。</w:t>
      </w:r>
    </w:p>
    <w:p w14:paraId="4D17388B">
      <w:pPr>
        <w:pStyle w:val="12"/>
        <w:keepNext w:val="0"/>
        <w:keepLines w:val="0"/>
        <w:pageBreakBefore w:val="0"/>
        <w:widowControl w:val="0"/>
        <w:tabs>
          <w:tab w:val="left" w:pos="5580"/>
        </w:tabs>
        <w:kinsoku/>
        <w:wordWrap/>
        <w:overflowPunct/>
        <w:topLinePunct w:val="0"/>
        <w:autoSpaceDE/>
        <w:autoSpaceDN/>
        <w:bidi w:val="0"/>
        <w:adjustRightInd/>
        <w:snapToGrid/>
        <w:spacing w:line="440" w:lineRule="atLeast"/>
        <w:ind w:left="1080" w:leftChars="257" w:hanging="54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2.复印件上应加盖本单位章（自然人投标的无需盖章，需要签字）。</w:t>
      </w:r>
    </w:p>
    <w:p w14:paraId="0439AE33">
      <w:pPr>
        <w:pStyle w:val="12"/>
        <w:keepNext w:val="0"/>
        <w:keepLines w:val="0"/>
        <w:pageBreakBefore w:val="0"/>
        <w:widowControl w:val="0"/>
        <w:tabs>
          <w:tab w:val="left" w:pos="5580"/>
        </w:tabs>
        <w:kinsoku/>
        <w:wordWrap/>
        <w:overflowPunct/>
        <w:topLinePunct w:val="0"/>
        <w:autoSpaceDE/>
        <w:autoSpaceDN/>
        <w:bidi w:val="0"/>
        <w:adjustRightInd/>
        <w:snapToGrid/>
        <w:spacing w:line="440" w:lineRule="atLeast"/>
        <w:ind w:left="1260" w:leftChars="344" w:hanging="53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3. 如果是联合体投标，联合体各方需提供的满足</w:t>
      </w:r>
      <w:r>
        <w:rPr>
          <w:rFonts w:hint="eastAsia" w:ascii="宋体" w:hAnsi="宋体" w:eastAsia="宋体" w:cs="宋体"/>
          <w:color w:val="000000" w:themeColor="text1"/>
          <w:sz w:val="24"/>
          <w:highlight w:val="none"/>
          <w:lang w:eastAsia="zh-CN"/>
          <w14:textFill>
            <w14:solidFill>
              <w14:schemeClr w14:val="tx1"/>
            </w14:solidFill>
          </w14:textFill>
        </w:rPr>
        <w:t>磋商文件</w:t>
      </w:r>
      <w:r>
        <w:rPr>
          <w:rFonts w:hint="eastAsia" w:ascii="宋体" w:hAnsi="宋体" w:eastAsia="宋体" w:cs="宋体"/>
          <w:color w:val="000000" w:themeColor="text1"/>
          <w:sz w:val="24"/>
          <w:highlight w:val="none"/>
          <w14:textFill>
            <w14:solidFill>
              <w14:schemeClr w14:val="tx1"/>
            </w14:solidFill>
          </w14:textFill>
        </w:rPr>
        <w:t>要求的其他资格证明文件。</w:t>
      </w:r>
    </w:p>
    <w:p w14:paraId="33C46AD1">
      <w:pPr>
        <w:rPr>
          <w:rFonts w:hint="eastAsia" w:ascii="宋体" w:hAnsi="宋体" w:eastAsia="宋体" w:cs="宋体"/>
          <w:color w:val="000000" w:themeColor="text1"/>
          <w:sz w:val="24"/>
          <w:szCs w:val="24"/>
          <w:highlight w:val="none"/>
          <w14:textFill>
            <w14:solidFill>
              <w14:schemeClr w14:val="tx1"/>
            </w14:solidFill>
          </w14:textFill>
        </w:rPr>
      </w:pPr>
    </w:p>
    <w:bookmarkEnd w:id="525"/>
    <w:bookmarkEnd w:id="526"/>
    <w:bookmarkEnd w:id="527"/>
    <w:bookmarkEnd w:id="528"/>
    <w:bookmarkEnd w:id="529"/>
    <w:bookmarkEnd w:id="530"/>
    <w:bookmarkEnd w:id="531"/>
    <w:bookmarkEnd w:id="532"/>
    <w:p w14:paraId="2D73C77C">
      <w:pPr>
        <w:pStyle w:val="12"/>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pPr>
    </w:p>
    <w:p w14:paraId="6967A10A">
      <w:pPr>
        <w:pStyle w:val="12"/>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pPr>
    </w:p>
    <w:p w14:paraId="0C8D5B8D">
      <w:pPr>
        <w:pStyle w:val="12"/>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pPr>
    </w:p>
    <w:p w14:paraId="5FE18E55">
      <w:pPr>
        <w:pStyle w:val="12"/>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pPr>
    </w:p>
    <w:p w14:paraId="20EAF618">
      <w:pPr>
        <w:pStyle w:val="12"/>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pPr>
    </w:p>
    <w:p w14:paraId="32B32EAA">
      <w:pPr>
        <w:pStyle w:val="12"/>
        <w:tabs>
          <w:tab w:val="left" w:pos="5580"/>
        </w:tabs>
        <w:spacing w:line="360" w:lineRule="exact"/>
        <w:rPr>
          <w:rFonts w:hint="eastAsia" w:ascii="宋体" w:hAnsi="宋体" w:eastAsia="宋体" w:cs="宋体"/>
          <w:color w:val="000000" w:themeColor="text1"/>
          <w:sz w:val="24"/>
          <w:szCs w:val="24"/>
          <w:highlight w:val="none"/>
          <w:u w:val="single"/>
          <w14:textFill>
            <w14:solidFill>
              <w14:schemeClr w14:val="tx1"/>
            </w14:solidFill>
          </w14:textFill>
        </w:rPr>
        <w:sectPr>
          <w:footerReference r:id="rId1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01609A1D">
      <w:pPr>
        <w:pStyle w:val="3"/>
        <w:spacing w:before="0"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551" w:name="_Toc5717"/>
      <w:bookmarkStart w:id="552" w:name="_Toc29975"/>
      <w:bookmarkStart w:id="553" w:name="_Toc28253"/>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具备履行合同所必须的专业技术能力表</w:t>
      </w:r>
      <w:bookmarkEnd w:id="551"/>
      <w:bookmarkEnd w:id="552"/>
      <w:bookmarkEnd w:id="553"/>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403"/>
        <w:gridCol w:w="1403"/>
        <w:gridCol w:w="1204"/>
        <w:gridCol w:w="1239"/>
        <w:gridCol w:w="1766"/>
      </w:tblGrid>
      <w:tr w14:paraId="60F6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trPr>
        <w:tc>
          <w:tcPr>
            <w:tcW w:w="1403" w:type="dxa"/>
            <w:vAlign w:val="center"/>
          </w:tcPr>
          <w:p w14:paraId="2D837AE6">
            <w:pPr>
              <w:pStyle w:val="12"/>
              <w:tabs>
                <w:tab w:val="left" w:pos="5580"/>
              </w:tabs>
              <w:spacing w:line="24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岗位</w:t>
            </w:r>
          </w:p>
        </w:tc>
        <w:tc>
          <w:tcPr>
            <w:tcW w:w="1403" w:type="dxa"/>
            <w:vAlign w:val="center"/>
          </w:tcPr>
          <w:p w14:paraId="4F29EE14">
            <w:pPr>
              <w:pStyle w:val="12"/>
              <w:tabs>
                <w:tab w:val="left" w:pos="5580"/>
              </w:tabs>
              <w:spacing w:line="24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姓名</w:t>
            </w:r>
          </w:p>
        </w:tc>
        <w:tc>
          <w:tcPr>
            <w:tcW w:w="1403" w:type="dxa"/>
            <w:vAlign w:val="center"/>
          </w:tcPr>
          <w:p w14:paraId="23A38F60">
            <w:pPr>
              <w:pStyle w:val="12"/>
              <w:tabs>
                <w:tab w:val="left" w:pos="5580"/>
              </w:tabs>
              <w:spacing w:line="24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岗位职责</w:t>
            </w:r>
          </w:p>
        </w:tc>
        <w:tc>
          <w:tcPr>
            <w:tcW w:w="1204" w:type="dxa"/>
            <w:vAlign w:val="center"/>
          </w:tcPr>
          <w:p w14:paraId="1F7CF141">
            <w:pPr>
              <w:pStyle w:val="12"/>
              <w:tabs>
                <w:tab w:val="left" w:pos="5580"/>
              </w:tabs>
              <w:spacing w:line="24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性别</w:t>
            </w:r>
          </w:p>
        </w:tc>
        <w:tc>
          <w:tcPr>
            <w:tcW w:w="1239" w:type="dxa"/>
            <w:vAlign w:val="center"/>
          </w:tcPr>
          <w:p w14:paraId="3E6431DB">
            <w:pPr>
              <w:pStyle w:val="12"/>
              <w:tabs>
                <w:tab w:val="left" w:pos="5580"/>
              </w:tabs>
              <w:spacing w:line="24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工作年限</w:t>
            </w:r>
          </w:p>
        </w:tc>
        <w:tc>
          <w:tcPr>
            <w:tcW w:w="1766" w:type="dxa"/>
            <w:vAlign w:val="center"/>
          </w:tcPr>
          <w:p w14:paraId="1A7C0845">
            <w:pPr>
              <w:pStyle w:val="12"/>
              <w:tabs>
                <w:tab w:val="left" w:pos="5580"/>
              </w:tabs>
              <w:spacing w:line="24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岗位证书（资格证书、职称证书）及编号</w:t>
            </w:r>
          </w:p>
        </w:tc>
      </w:tr>
      <w:tr w14:paraId="178A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1403" w:type="dxa"/>
          </w:tcPr>
          <w:p w14:paraId="1F52260C">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79D12E92">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68E350D4">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04" w:type="dxa"/>
          </w:tcPr>
          <w:p w14:paraId="7149AAC9">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39" w:type="dxa"/>
          </w:tcPr>
          <w:p w14:paraId="422E824E">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66" w:type="dxa"/>
          </w:tcPr>
          <w:p w14:paraId="11AEC756">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r w14:paraId="71E3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1403" w:type="dxa"/>
          </w:tcPr>
          <w:p w14:paraId="663345C3">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6B014C4F">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64AD21BD">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04" w:type="dxa"/>
          </w:tcPr>
          <w:p w14:paraId="0A057183">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39" w:type="dxa"/>
          </w:tcPr>
          <w:p w14:paraId="26462A33">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66" w:type="dxa"/>
          </w:tcPr>
          <w:p w14:paraId="162B7390">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r w14:paraId="676A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1403" w:type="dxa"/>
          </w:tcPr>
          <w:p w14:paraId="7C6618FF">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6F7D11C1">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2CA736ED">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04" w:type="dxa"/>
          </w:tcPr>
          <w:p w14:paraId="0F30D0B2">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39" w:type="dxa"/>
          </w:tcPr>
          <w:p w14:paraId="1A4B457D">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66" w:type="dxa"/>
          </w:tcPr>
          <w:p w14:paraId="147472B3">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r w14:paraId="1068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1403" w:type="dxa"/>
          </w:tcPr>
          <w:p w14:paraId="5A5DE0D0">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26D48DA9">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5ED0A505">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04" w:type="dxa"/>
          </w:tcPr>
          <w:p w14:paraId="7CD233F9">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39" w:type="dxa"/>
          </w:tcPr>
          <w:p w14:paraId="6FAABF47">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66" w:type="dxa"/>
          </w:tcPr>
          <w:p w14:paraId="0C24A692">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r w14:paraId="641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1403" w:type="dxa"/>
          </w:tcPr>
          <w:p w14:paraId="3208C23E">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5656B51A">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70AE3365">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04" w:type="dxa"/>
          </w:tcPr>
          <w:p w14:paraId="70D96060">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39" w:type="dxa"/>
          </w:tcPr>
          <w:p w14:paraId="600326B7">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66" w:type="dxa"/>
          </w:tcPr>
          <w:p w14:paraId="132A0A32">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r w14:paraId="0742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1403" w:type="dxa"/>
          </w:tcPr>
          <w:p w14:paraId="477DF330">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7672F4D5">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1AC51276">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04" w:type="dxa"/>
          </w:tcPr>
          <w:p w14:paraId="05B321F3">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39" w:type="dxa"/>
          </w:tcPr>
          <w:p w14:paraId="4B69BDF3">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66" w:type="dxa"/>
          </w:tcPr>
          <w:p w14:paraId="3265B6E6">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r w14:paraId="768A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1403" w:type="dxa"/>
          </w:tcPr>
          <w:p w14:paraId="7072814E">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01A4B63A">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403" w:type="dxa"/>
          </w:tcPr>
          <w:p w14:paraId="07CC70D8">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04" w:type="dxa"/>
          </w:tcPr>
          <w:p w14:paraId="672138B8">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239" w:type="dxa"/>
          </w:tcPr>
          <w:p w14:paraId="5B73AC2E">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1766" w:type="dxa"/>
          </w:tcPr>
          <w:p w14:paraId="64842826">
            <w:pPr>
              <w:pStyle w:val="12"/>
              <w:tabs>
                <w:tab w:val="left" w:pos="5580"/>
              </w:tabs>
              <w:spacing w:line="240" w:lineRule="atLeast"/>
              <w:rPr>
                <w:rFonts w:hint="eastAsia" w:ascii="宋体" w:hAnsi="宋体" w:eastAsia="宋体" w:cs="宋体"/>
                <w:color w:val="000000" w:themeColor="text1"/>
                <w:kern w:val="0"/>
                <w:sz w:val="24"/>
                <w:highlight w:val="none"/>
                <w14:textFill>
                  <w14:solidFill>
                    <w14:schemeClr w14:val="tx1"/>
                  </w14:solidFill>
                </w14:textFill>
              </w:rPr>
            </w:pPr>
          </w:p>
        </w:tc>
      </w:tr>
    </w:tbl>
    <w:p w14:paraId="7AE8AD39">
      <w:pPr>
        <w:pStyle w:val="12"/>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应附</w:t>
      </w:r>
      <w:r>
        <w:rPr>
          <w:rFonts w:hint="eastAsia" w:hAnsi="宋体" w:cs="宋体"/>
          <w:color w:val="000000" w:themeColor="text1"/>
          <w:sz w:val="24"/>
          <w:szCs w:val="24"/>
          <w:highlight w:val="none"/>
          <w:lang w:val="en-US" w:eastAsia="zh-CN"/>
          <w14:textFill>
            <w14:solidFill>
              <w14:schemeClr w14:val="tx1"/>
            </w14:solidFill>
          </w14:textFill>
        </w:rPr>
        <w:t>人员</w:t>
      </w:r>
      <w:r>
        <w:rPr>
          <w:rFonts w:hint="eastAsia" w:ascii="宋体" w:hAnsi="宋体" w:eastAsia="宋体" w:cs="宋体"/>
          <w:color w:val="000000" w:themeColor="text1"/>
          <w:sz w:val="24"/>
          <w:szCs w:val="24"/>
          <w:highlight w:val="none"/>
          <w14:textFill>
            <w14:solidFill>
              <w14:schemeClr w14:val="tx1"/>
            </w14:solidFill>
          </w14:textFill>
        </w:rPr>
        <w:t>身份证、职称证、学历证、本单位缴纳的近</w:t>
      </w:r>
      <w:r>
        <w:rPr>
          <w:rFonts w:hint="eastAsia" w:hAnsi="宋体" w:cs="宋体"/>
          <w:color w:val="000000" w:themeColor="text1"/>
          <w:sz w:val="24"/>
          <w:szCs w:val="24"/>
          <w:highlight w:val="none"/>
          <w:lang w:val="en-US" w:eastAsia="zh-CN"/>
          <w14:textFill>
            <w14:solidFill>
              <w14:schemeClr w14:val="tx1"/>
            </w14:solidFill>
          </w14:textFill>
        </w:rPr>
        <w:t>半</w:t>
      </w:r>
      <w:r>
        <w:rPr>
          <w:rFonts w:hint="eastAsia" w:ascii="宋体" w:hAnsi="宋体" w:eastAsia="宋体" w:cs="宋体"/>
          <w:color w:val="000000" w:themeColor="text1"/>
          <w:sz w:val="24"/>
          <w:szCs w:val="24"/>
          <w:highlight w:val="none"/>
          <w14:textFill>
            <w14:solidFill>
              <w14:schemeClr w14:val="tx1"/>
            </w14:solidFill>
          </w14:textFill>
        </w:rPr>
        <w:t>年内任意1个月的社保证明，如为退休人员，提供退休证和聘用证明资料。</w:t>
      </w:r>
    </w:p>
    <w:p w14:paraId="2BC2EEF3">
      <w:pPr>
        <w:pStyle w:val="12"/>
        <w:tabs>
          <w:tab w:val="left" w:pos="5580"/>
        </w:tabs>
        <w:spacing w:line="240" w:lineRule="atLeast"/>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688527E">
      <w:pPr>
        <w:pStyle w:val="8"/>
        <w:spacing w:line="280" w:lineRule="auto"/>
        <w:rPr>
          <w:color w:val="000000" w:themeColor="text1"/>
          <w:highlight w:val="none"/>
          <w14:textFill>
            <w14:solidFill>
              <w14:schemeClr w14:val="tx1"/>
            </w14:solidFill>
          </w14:textFill>
        </w:rPr>
      </w:pPr>
    </w:p>
    <w:p w14:paraId="0D4AB518">
      <w:pPr>
        <w:pStyle w:val="8"/>
        <w:spacing w:line="280" w:lineRule="auto"/>
        <w:rPr>
          <w:color w:val="000000" w:themeColor="text1"/>
          <w:highlight w:val="none"/>
          <w14:textFill>
            <w14:solidFill>
              <w14:schemeClr w14:val="tx1"/>
            </w14:solidFill>
          </w14:textFill>
        </w:rPr>
      </w:pPr>
    </w:p>
    <w:p w14:paraId="0D8097A8">
      <w:pPr>
        <w:pStyle w:val="8"/>
        <w:spacing w:line="280" w:lineRule="auto"/>
        <w:rPr>
          <w:color w:val="000000" w:themeColor="text1"/>
          <w:highlight w:val="none"/>
          <w14:textFill>
            <w14:solidFill>
              <w14:schemeClr w14:val="tx1"/>
            </w14:solidFill>
          </w14:textFill>
        </w:rPr>
      </w:pPr>
    </w:p>
    <w:p w14:paraId="66AFD35B">
      <w:pPr>
        <w:pStyle w:val="8"/>
        <w:spacing w:line="280" w:lineRule="auto"/>
        <w:rPr>
          <w:color w:val="000000" w:themeColor="text1"/>
          <w:highlight w:val="none"/>
          <w14:textFill>
            <w14:solidFill>
              <w14:schemeClr w14:val="tx1"/>
            </w14:solidFill>
          </w14:textFill>
        </w:rPr>
      </w:pPr>
    </w:p>
    <w:p w14:paraId="04CA50F9">
      <w:pPr>
        <w:pStyle w:val="8"/>
        <w:spacing w:line="280" w:lineRule="auto"/>
        <w:rPr>
          <w:color w:val="000000" w:themeColor="text1"/>
          <w:highlight w:val="none"/>
          <w14:textFill>
            <w14:solidFill>
              <w14:schemeClr w14:val="tx1"/>
            </w14:solidFill>
          </w14:textFill>
        </w:rPr>
      </w:pPr>
    </w:p>
    <w:p w14:paraId="73399EA1">
      <w:pPr>
        <w:pStyle w:val="8"/>
        <w:spacing w:line="280" w:lineRule="auto"/>
        <w:rPr>
          <w:color w:val="000000" w:themeColor="text1"/>
          <w:highlight w:val="none"/>
          <w14:textFill>
            <w14:solidFill>
              <w14:schemeClr w14:val="tx1"/>
            </w14:solidFill>
          </w14:textFill>
        </w:rPr>
      </w:pPr>
    </w:p>
    <w:p w14:paraId="419EBBC5">
      <w:pPr>
        <w:pStyle w:val="8"/>
        <w:spacing w:line="280" w:lineRule="auto"/>
        <w:rPr>
          <w:color w:val="000000" w:themeColor="text1"/>
          <w:highlight w:val="none"/>
          <w14:textFill>
            <w14:solidFill>
              <w14:schemeClr w14:val="tx1"/>
            </w14:solidFill>
          </w14:textFill>
        </w:rPr>
      </w:pPr>
    </w:p>
    <w:p w14:paraId="5B97AF83">
      <w:pPr>
        <w:pStyle w:val="8"/>
        <w:spacing w:line="280" w:lineRule="auto"/>
        <w:rPr>
          <w:color w:val="000000" w:themeColor="text1"/>
          <w:highlight w:val="none"/>
          <w14:textFill>
            <w14:solidFill>
              <w14:schemeClr w14:val="tx1"/>
            </w14:solidFill>
          </w14:textFill>
        </w:rPr>
      </w:pPr>
    </w:p>
    <w:p w14:paraId="06EAB1BA">
      <w:pPr>
        <w:pStyle w:val="8"/>
        <w:spacing w:line="280" w:lineRule="auto"/>
        <w:rPr>
          <w:color w:val="000000" w:themeColor="text1"/>
          <w:highlight w:val="none"/>
          <w14:textFill>
            <w14:solidFill>
              <w14:schemeClr w14:val="tx1"/>
            </w14:solidFill>
          </w14:textFill>
        </w:rPr>
      </w:pPr>
    </w:p>
    <w:p w14:paraId="5325962B">
      <w:pPr>
        <w:pStyle w:val="8"/>
        <w:spacing w:line="280" w:lineRule="auto"/>
        <w:rPr>
          <w:color w:val="000000" w:themeColor="text1"/>
          <w:highlight w:val="none"/>
          <w14:textFill>
            <w14:solidFill>
              <w14:schemeClr w14:val="tx1"/>
            </w14:solidFill>
          </w14:textFill>
        </w:rPr>
      </w:pPr>
    </w:p>
    <w:p w14:paraId="4DA0F9A3">
      <w:pPr>
        <w:pStyle w:val="8"/>
        <w:spacing w:line="280" w:lineRule="auto"/>
        <w:rPr>
          <w:color w:val="000000" w:themeColor="text1"/>
          <w:highlight w:val="none"/>
          <w14:textFill>
            <w14:solidFill>
              <w14:schemeClr w14:val="tx1"/>
            </w14:solidFill>
          </w14:textFill>
        </w:rPr>
      </w:pPr>
    </w:p>
    <w:p w14:paraId="6A212512">
      <w:pPr>
        <w:pStyle w:val="8"/>
        <w:spacing w:line="280" w:lineRule="auto"/>
        <w:rPr>
          <w:color w:val="000000" w:themeColor="text1"/>
          <w:highlight w:val="none"/>
          <w14:textFill>
            <w14:solidFill>
              <w14:schemeClr w14:val="tx1"/>
            </w14:solidFill>
          </w14:textFill>
        </w:rPr>
      </w:pPr>
    </w:p>
    <w:p w14:paraId="0EC33A34">
      <w:pPr>
        <w:pStyle w:val="3"/>
        <w:spacing w:before="0"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554" w:name="_Toc27867"/>
      <w:bookmarkStart w:id="555" w:name="_Toc1142"/>
      <w:r>
        <w:rPr>
          <w:rFonts w:hint="eastAsia" w:ascii="宋体" w:hAnsi="宋体" w:eastAsia="宋体" w:cs="宋体"/>
          <w:color w:val="000000" w:themeColor="text1"/>
          <w:sz w:val="24"/>
          <w:szCs w:val="24"/>
          <w:highlight w:val="none"/>
          <w:lang w:val="en-US" w:eastAsia="zh-CN"/>
          <w14:textFill>
            <w14:solidFill>
              <w14:schemeClr w14:val="tx1"/>
            </w14:solidFill>
          </w14:textFill>
        </w:rPr>
        <w:t>12.1</w:t>
      </w:r>
      <w:r>
        <w:rPr>
          <w:rFonts w:hint="eastAsia" w:ascii="宋体" w:hAnsi="宋体" w:eastAsia="宋体" w:cs="宋体"/>
          <w:color w:val="000000" w:themeColor="text1"/>
          <w:sz w:val="24"/>
          <w:szCs w:val="24"/>
          <w:highlight w:val="none"/>
          <w14:textFill>
            <w14:solidFill>
              <w14:schemeClr w14:val="tx1"/>
            </w14:solidFill>
          </w14:textFill>
        </w:rPr>
        <w:t>项目负责人简历表(附项目负责人类似项目业绩)</w:t>
      </w:r>
      <w:bookmarkEnd w:id="554"/>
      <w:bookmarkEnd w:id="555"/>
    </w:p>
    <w:p w14:paraId="62834974">
      <w:pPr>
        <w:spacing w:line="137" w:lineRule="exact"/>
        <w:rPr>
          <w:color w:val="000000" w:themeColor="text1"/>
          <w:highlight w:val="none"/>
          <w14:textFill>
            <w14:solidFill>
              <w14:schemeClr w14:val="tx1"/>
            </w14:solidFill>
          </w14:textFill>
        </w:rPr>
      </w:pPr>
    </w:p>
    <w:tbl>
      <w:tblPr>
        <w:tblStyle w:val="29"/>
        <w:tblW w:w="8519"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349"/>
        <w:gridCol w:w="729"/>
        <w:gridCol w:w="919"/>
        <w:gridCol w:w="1079"/>
        <w:gridCol w:w="689"/>
        <w:gridCol w:w="1259"/>
        <w:gridCol w:w="180"/>
        <w:gridCol w:w="2122"/>
      </w:tblGrid>
      <w:tr w14:paraId="5EF08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193" w:type="dxa"/>
            <w:vAlign w:val="top"/>
          </w:tcPr>
          <w:p w14:paraId="58853362">
            <w:pPr>
              <w:pStyle w:val="28"/>
              <w:spacing w:before="204" w:line="219" w:lineRule="auto"/>
              <w:ind w:left="285"/>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姓</w:t>
            </w:r>
            <w:r>
              <w:rPr>
                <w:color w:val="000000" w:themeColor="text1"/>
                <w:spacing w:val="9"/>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名</w:t>
            </w:r>
          </w:p>
        </w:tc>
        <w:tc>
          <w:tcPr>
            <w:tcW w:w="1078" w:type="dxa"/>
            <w:gridSpan w:val="2"/>
            <w:vAlign w:val="top"/>
          </w:tcPr>
          <w:p w14:paraId="65A7CB96">
            <w:pPr>
              <w:rPr>
                <w:rFonts w:ascii="Arial"/>
                <w:color w:val="000000" w:themeColor="text1"/>
                <w:sz w:val="21"/>
                <w:highlight w:val="none"/>
                <w14:textFill>
                  <w14:solidFill>
                    <w14:schemeClr w14:val="tx1"/>
                  </w14:solidFill>
                </w14:textFill>
              </w:rPr>
            </w:pPr>
          </w:p>
        </w:tc>
        <w:tc>
          <w:tcPr>
            <w:tcW w:w="919" w:type="dxa"/>
            <w:vAlign w:val="top"/>
          </w:tcPr>
          <w:p w14:paraId="60BB6A37">
            <w:pPr>
              <w:pStyle w:val="28"/>
              <w:spacing w:before="204" w:line="219" w:lineRule="auto"/>
              <w:ind w:left="21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年龄</w:t>
            </w:r>
          </w:p>
        </w:tc>
        <w:tc>
          <w:tcPr>
            <w:tcW w:w="1079" w:type="dxa"/>
            <w:vAlign w:val="top"/>
          </w:tcPr>
          <w:p w14:paraId="24A1D718">
            <w:pPr>
              <w:rPr>
                <w:rFonts w:ascii="Arial"/>
                <w:color w:val="000000" w:themeColor="text1"/>
                <w:sz w:val="21"/>
                <w:highlight w:val="none"/>
                <w14:textFill>
                  <w14:solidFill>
                    <w14:schemeClr w14:val="tx1"/>
                  </w14:solidFill>
                </w14:textFill>
              </w:rPr>
            </w:pPr>
          </w:p>
        </w:tc>
        <w:tc>
          <w:tcPr>
            <w:tcW w:w="2128" w:type="dxa"/>
            <w:gridSpan w:val="3"/>
            <w:vAlign w:val="top"/>
          </w:tcPr>
          <w:p w14:paraId="4BBF2C7A">
            <w:pPr>
              <w:pStyle w:val="28"/>
              <w:spacing w:before="206" w:line="221" w:lineRule="auto"/>
              <w:ind w:left="815"/>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学历</w:t>
            </w:r>
          </w:p>
        </w:tc>
        <w:tc>
          <w:tcPr>
            <w:tcW w:w="2122" w:type="dxa"/>
            <w:vAlign w:val="top"/>
          </w:tcPr>
          <w:p w14:paraId="03739B76">
            <w:pPr>
              <w:rPr>
                <w:rFonts w:ascii="Arial"/>
                <w:color w:val="000000" w:themeColor="text1"/>
                <w:sz w:val="21"/>
                <w:highlight w:val="none"/>
                <w14:textFill>
                  <w14:solidFill>
                    <w14:schemeClr w14:val="tx1"/>
                  </w14:solidFill>
                </w14:textFill>
              </w:rPr>
            </w:pPr>
          </w:p>
        </w:tc>
      </w:tr>
      <w:tr w14:paraId="0A1AC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93" w:type="dxa"/>
            <w:vAlign w:val="top"/>
          </w:tcPr>
          <w:p w14:paraId="4A4B3EB9">
            <w:pPr>
              <w:pStyle w:val="28"/>
              <w:spacing w:before="194" w:line="221" w:lineRule="auto"/>
              <w:ind w:left="285"/>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职</w:t>
            </w:r>
            <w:r>
              <w:rPr>
                <w:color w:val="000000" w:themeColor="text1"/>
                <w:spacing w:val="10"/>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称</w:t>
            </w:r>
          </w:p>
        </w:tc>
        <w:tc>
          <w:tcPr>
            <w:tcW w:w="1078" w:type="dxa"/>
            <w:gridSpan w:val="2"/>
            <w:vAlign w:val="top"/>
          </w:tcPr>
          <w:p w14:paraId="4FD34164">
            <w:pPr>
              <w:rPr>
                <w:rFonts w:ascii="Arial"/>
                <w:color w:val="000000" w:themeColor="text1"/>
                <w:sz w:val="21"/>
                <w:highlight w:val="none"/>
                <w14:textFill>
                  <w14:solidFill>
                    <w14:schemeClr w14:val="tx1"/>
                  </w14:solidFill>
                </w14:textFill>
              </w:rPr>
            </w:pPr>
          </w:p>
        </w:tc>
        <w:tc>
          <w:tcPr>
            <w:tcW w:w="919" w:type="dxa"/>
            <w:vAlign w:val="top"/>
          </w:tcPr>
          <w:p w14:paraId="2B2FEAC7">
            <w:pPr>
              <w:pStyle w:val="28"/>
              <w:spacing w:before="190" w:line="219" w:lineRule="auto"/>
              <w:ind w:left="14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职</w:t>
            </w:r>
            <w:r>
              <w:rPr>
                <w:color w:val="000000" w:themeColor="text1"/>
                <w:spacing w:val="53"/>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务</w:t>
            </w:r>
          </w:p>
        </w:tc>
        <w:tc>
          <w:tcPr>
            <w:tcW w:w="1079" w:type="dxa"/>
            <w:vAlign w:val="top"/>
          </w:tcPr>
          <w:p w14:paraId="59C2FC96">
            <w:pPr>
              <w:rPr>
                <w:rFonts w:ascii="Arial"/>
                <w:color w:val="000000" w:themeColor="text1"/>
                <w:sz w:val="21"/>
                <w:highlight w:val="none"/>
                <w14:textFill>
                  <w14:solidFill>
                    <w14:schemeClr w14:val="tx1"/>
                  </w14:solidFill>
                </w14:textFill>
              </w:rPr>
            </w:pPr>
          </w:p>
        </w:tc>
        <w:tc>
          <w:tcPr>
            <w:tcW w:w="2128" w:type="dxa"/>
            <w:gridSpan w:val="3"/>
            <w:vAlign w:val="top"/>
          </w:tcPr>
          <w:p w14:paraId="54AC6F5E">
            <w:pPr>
              <w:pStyle w:val="28"/>
              <w:spacing w:before="189" w:line="219" w:lineRule="auto"/>
              <w:ind w:left="21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拟在本合同任职</w:t>
            </w:r>
          </w:p>
        </w:tc>
        <w:tc>
          <w:tcPr>
            <w:tcW w:w="2122" w:type="dxa"/>
            <w:vAlign w:val="top"/>
          </w:tcPr>
          <w:p w14:paraId="080B02A0">
            <w:pPr>
              <w:rPr>
                <w:rFonts w:ascii="Arial"/>
                <w:color w:val="000000" w:themeColor="text1"/>
                <w:sz w:val="21"/>
                <w:highlight w:val="none"/>
                <w14:textFill>
                  <w14:solidFill>
                    <w14:schemeClr w14:val="tx1"/>
                  </w14:solidFill>
                </w14:textFill>
              </w:rPr>
            </w:pPr>
          </w:p>
        </w:tc>
      </w:tr>
      <w:tr w14:paraId="46AE6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93" w:type="dxa"/>
            <w:vAlign w:val="top"/>
          </w:tcPr>
          <w:p w14:paraId="38E170C4">
            <w:pPr>
              <w:pStyle w:val="28"/>
              <w:spacing w:before="201" w:line="219" w:lineRule="auto"/>
              <w:ind w:left="10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毕业学校</w:t>
            </w:r>
          </w:p>
        </w:tc>
        <w:tc>
          <w:tcPr>
            <w:tcW w:w="7326" w:type="dxa"/>
            <w:gridSpan w:val="8"/>
            <w:vAlign w:val="top"/>
          </w:tcPr>
          <w:p w14:paraId="7FB5E036">
            <w:pPr>
              <w:pStyle w:val="28"/>
              <w:spacing w:before="152" w:line="226" w:lineRule="auto"/>
              <w:ind w:left="81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年毕业于</w:t>
            </w:r>
            <w:r>
              <w:rPr>
                <w:color w:val="000000" w:themeColor="text1"/>
                <w:spacing w:val="1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学校</w:t>
            </w:r>
            <w:r>
              <w:rPr>
                <w:color w:val="000000" w:themeColor="text1"/>
                <w:spacing w:val="1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专业</w:t>
            </w:r>
          </w:p>
        </w:tc>
      </w:tr>
      <w:tr w14:paraId="4D1C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519" w:type="dxa"/>
            <w:gridSpan w:val="9"/>
            <w:vAlign w:val="top"/>
          </w:tcPr>
          <w:p w14:paraId="11D044C0">
            <w:pPr>
              <w:pStyle w:val="28"/>
              <w:spacing w:before="193" w:line="220" w:lineRule="auto"/>
              <w:ind w:left="114"/>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主要工作经历</w:t>
            </w:r>
          </w:p>
        </w:tc>
      </w:tr>
      <w:tr w14:paraId="53013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542" w:type="dxa"/>
            <w:gridSpan w:val="2"/>
            <w:vAlign w:val="top"/>
          </w:tcPr>
          <w:p w14:paraId="1AC1ED55">
            <w:pPr>
              <w:pStyle w:val="28"/>
              <w:spacing w:before="207" w:line="221" w:lineRule="auto"/>
              <w:ind w:left="104"/>
              <w:jc w:val="center"/>
              <w:rPr>
                <w:color w:val="000000" w:themeColor="text1"/>
                <w:highlight w:val="none"/>
                <w14:textFill>
                  <w14:solidFill>
                    <w14:schemeClr w14:val="tx1"/>
                  </w14:solidFill>
                </w14:textFill>
              </w:rPr>
            </w:pPr>
            <w:r>
              <w:rPr>
                <w:color w:val="000000" w:themeColor="text1"/>
                <w:spacing w:val="-11"/>
                <w:highlight w:val="none"/>
                <w14:textFill>
                  <w14:solidFill>
                    <w14:schemeClr w14:val="tx1"/>
                  </w14:solidFill>
                </w14:textFill>
              </w:rPr>
              <w:t>时</w:t>
            </w:r>
            <w:r>
              <w:rPr>
                <w:color w:val="000000" w:themeColor="text1"/>
                <w:spacing w:val="72"/>
                <w:highlight w:val="none"/>
                <w14:textFill>
                  <w14:solidFill>
                    <w14:schemeClr w14:val="tx1"/>
                  </w14:solidFill>
                </w14:textFill>
              </w:rPr>
              <w:t xml:space="preserve"> </w:t>
            </w:r>
            <w:r>
              <w:rPr>
                <w:color w:val="000000" w:themeColor="text1"/>
                <w:spacing w:val="-11"/>
                <w:highlight w:val="none"/>
                <w14:textFill>
                  <w14:solidFill>
                    <w14:schemeClr w14:val="tx1"/>
                  </w14:solidFill>
                </w14:textFill>
              </w:rPr>
              <w:t>间</w:t>
            </w:r>
          </w:p>
        </w:tc>
        <w:tc>
          <w:tcPr>
            <w:tcW w:w="3416" w:type="dxa"/>
            <w:gridSpan w:val="4"/>
            <w:vAlign w:val="top"/>
          </w:tcPr>
          <w:p w14:paraId="01F3B317">
            <w:pPr>
              <w:pStyle w:val="28"/>
              <w:spacing w:before="204" w:line="219" w:lineRule="auto"/>
              <w:ind w:left="112"/>
              <w:jc w:val="center"/>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参加过的类似项目</w:t>
            </w:r>
          </w:p>
        </w:tc>
        <w:tc>
          <w:tcPr>
            <w:tcW w:w="1259" w:type="dxa"/>
            <w:vAlign w:val="top"/>
          </w:tcPr>
          <w:p w14:paraId="724642E7">
            <w:pPr>
              <w:pStyle w:val="28"/>
              <w:spacing w:before="204" w:line="219" w:lineRule="auto"/>
              <w:ind w:left="106"/>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担任职务</w:t>
            </w:r>
          </w:p>
        </w:tc>
        <w:tc>
          <w:tcPr>
            <w:tcW w:w="2302" w:type="dxa"/>
            <w:gridSpan w:val="2"/>
            <w:vAlign w:val="top"/>
          </w:tcPr>
          <w:p w14:paraId="1AF6265F">
            <w:pPr>
              <w:pStyle w:val="28"/>
              <w:spacing w:before="204" w:line="220" w:lineRule="auto"/>
              <w:ind w:left="10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发包人及联系电话</w:t>
            </w:r>
          </w:p>
        </w:tc>
      </w:tr>
      <w:tr w14:paraId="2E40D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542" w:type="dxa"/>
            <w:gridSpan w:val="2"/>
            <w:vAlign w:val="top"/>
          </w:tcPr>
          <w:p w14:paraId="5797C9AC">
            <w:pPr>
              <w:rPr>
                <w:rFonts w:ascii="Arial"/>
                <w:color w:val="000000" w:themeColor="text1"/>
                <w:sz w:val="21"/>
                <w:highlight w:val="none"/>
                <w14:textFill>
                  <w14:solidFill>
                    <w14:schemeClr w14:val="tx1"/>
                  </w14:solidFill>
                </w14:textFill>
              </w:rPr>
            </w:pPr>
          </w:p>
        </w:tc>
        <w:tc>
          <w:tcPr>
            <w:tcW w:w="3416" w:type="dxa"/>
            <w:gridSpan w:val="4"/>
            <w:vAlign w:val="top"/>
          </w:tcPr>
          <w:p w14:paraId="7BF8EE20">
            <w:pPr>
              <w:rPr>
                <w:rFonts w:ascii="Arial"/>
                <w:color w:val="000000" w:themeColor="text1"/>
                <w:sz w:val="21"/>
                <w:highlight w:val="none"/>
                <w14:textFill>
                  <w14:solidFill>
                    <w14:schemeClr w14:val="tx1"/>
                  </w14:solidFill>
                </w14:textFill>
              </w:rPr>
            </w:pPr>
          </w:p>
        </w:tc>
        <w:tc>
          <w:tcPr>
            <w:tcW w:w="1259" w:type="dxa"/>
            <w:vAlign w:val="top"/>
          </w:tcPr>
          <w:p w14:paraId="6F50B354">
            <w:pPr>
              <w:rPr>
                <w:rFonts w:ascii="Arial"/>
                <w:color w:val="000000" w:themeColor="text1"/>
                <w:sz w:val="21"/>
                <w:highlight w:val="none"/>
                <w14:textFill>
                  <w14:solidFill>
                    <w14:schemeClr w14:val="tx1"/>
                  </w14:solidFill>
                </w14:textFill>
              </w:rPr>
            </w:pPr>
          </w:p>
        </w:tc>
        <w:tc>
          <w:tcPr>
            <w:tcW w:w="2302" w:type="dxa"/>
            <w:gridSpan w:val="2"/>
            <w:vAlign w:val="top"/>
          </w:tcPr>
          <w:p w14:paraId="300ECABB">
            <w:pPr>
              <w:rPr>
                <w:rFonts w:ascii="Arial"/>
                <w:color w:val="000000" w:themeColor="text1"/>
                <w:sz w:val="21"/>
                <w:highlight w:val="none"/>
                <w14:textFill>
                  <w14:solidFill>
                    <w14:schemeClr w14:val="tx1"/>
                  </w14:solidFill>
                </w14:textFill>
              </w:rPr>
            </w:pPr>
          </w:p>
        </w:tc>
      </w:tr>
      <w:tr w14:paraId="228AD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2" w:type="dxa"/>
            <w:gridSpan w:val="2"/>
            <w:vAlign w:val="top"/>
          </w:tcPr>
          <w:p w14:paraId="40996674">
            <w:pPr>
              <w:rPr>
                <w:rFonts w:ascii="Arial"/>
                <w:color w:val="000000" w:themeColor="text1"/>
                <w:sz w:val="21"/>
                <w:highlight w:val="none"/>
                <w14:textFill>
                  <w14:solidFill>
                    <w14:schemeClr w14:val="tx1"/>
                  </w14:solidFill>
                </w14:textFill>
              </w:rPr>
            </w:pPr>
          </w:p>
        </w:tc>
        <w:tc>
          <w:tcPr>
            <w:tcW w:w="3416" w:type="dxa"/>
            <w:gridSpan w:val="4"/>
            <w:vAlign w:val="top"/>
          </w:tcPr>
          <w:p w14:paraId="3B6B960A">
            <w:pPr>
              <w:rPr>
                <w:rFonts w:ascii="Arial"/>
                <w:color w:val="000000" w:themeColor="text1"/>
                <w:sz w:val="21"/>
                <w:highlight w:val="none"/>
                <w14:textFill>
                  <w14:solidFill>
                    <w14:schemeClr w14:val="tx1"/>
                  </w14:solidFill>
                </w14:textFill>
              </w:rPr>
            </w:pPr>
          </w:p>
        </w:tc>
        <w:tc>
          <w:tcPr>
            <w:tcW w:w="1259" w:type="dxa"/>
            <w:vAlign w:val="top"/>
          </w:tcPr>
          <w:p w14:paraId="779107C4">
            <w:pPr>
              <w:rPr>
                <w:rFonts w:ascii="Arial"/>
                <w:color w:val="000000" w:themeColor="text1"/>
                <w:sz w:val="21"/>
                <w:highlight w:val="none"/>
                <w14:textFill>
                  <w14:solidFill>
                    <w14:schemeClr w14:val="tx1"/>
                  </w14:solidFill>
                </w14:textFill>
              </w:rPr>
            </w:pPr>
          </w:p>
        </w:tc>
        <w:tc>
          <w:tcPr>
            <w:tcW w:w="2302" w:type="dxa"/>
            <w:gridSpan w:val="2"/>
            <w:vAlign w:val="top"/>
          </w:tcPr>
          <w:p w14:paraId="6C62AEA8">
            <w:pPr>
              <w:rPr>
                <w:rFonts w:ascii="Arial"/>
                <w:color w:val="000000" w:themeColor="text1"/>
                <w:sz w:val="21"/>
                <w:highlight w:val="none"/>
                <w14:textFill>
                  <w14:solidFill>
                    <w14:schemeClr w14:val="tx1"/>
                  </w14:solidFill>
                </w14:textFill>
              </w:rPr>
            </w:pPr>
          </w:p>
        </w:tc>
      </w:tr>
      <w:tr w14:paraId="3DB58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542" w:type="dxa"/>
            <w:gridSpan w:val="2"/>
            <w:vAlign w:val="top"/>
          </w:tcPr>
          <w:p w14:paraId="13065B1E">
            <w:pPr>
              <w:rPr>
                <w:rFonts w:ascii="Arial"/>
                <w:color w:val="000000" w:themeColor="text1"/>
                <w:sz w:val="21"/>
                <w:highlight w:val="none"/>
                <w14:textFill>
                  <w14:solidFill>
                    <w14:schemeClr w14:val="tx1"/>
                  </w14:solidFill>
                </w14:textFill>
              </w:rPr>
            </w:pPr>
          </w:p>
        </w:tc>
        <w:tc>
          <w:tcPr>
            <w:tcW w:w="3416" w:type="dxa"/>
            <w:gridSpan w:val="4"/>
            <w:vAlign w:val="top"/>
          </w:tcPr>
          <w:p w14:paraId="4F81212D">
            <w:pPr>
              <w:rPr>
                <w:rFonts w:ascii="Arial"/>
                <w:color w:val="000000" w:themeColor="text1"/>
                <w:sz w:val="21"/>
                <w:highlight w:val="none"/>
                <w14:textFill>
                  <w14:solidFill>
                    <w14:schemeClr w14:val="tx1"/>
                  </w14:solidFill>
                </w14:textFill>
              </w:rPr>
            </w:pPr>
          </w:p>
        </w:tc>
        <w:tc>
          <w:tcPr>
            <w:tcW w:w="1259" w:type="dxa"/>
            <w:vAlign w:val="top"/>
          </w:tcPr>
          <w:p w14:paraId="5010CB79">
            <w:pPr>
              <w:rPr>
                <w:rFonts w:ascii="Arial"/>
                <w:color w:val="000000" w:themeColor="text1"/>
                <w:sz w:val="21"/>
                <w:highlight w:val="none"/>
                <w14:textFill>
                  <w14:solidFill>
                    <w14:schemeClr w14:val="tx1"/>
                  </w14:solidFill>
                </w14:textFill>
              </w:rPr>
            </w:pPr>
          </w:p>
        </w:tc>
        <w:tc>
          <w:tcPr>
            <w:tcW w:w="2302" w:type="dxa"/>
            <w:gridSpan w:val="2"/>
            <w:vAlign w:val="top"/>
          </w:tcPr>
          <w:p w14:paraId="470648B4">
            <w:pPr>
              <w:rPr>
                <w:rFonts w:ascii="Arial"/>
                <w:color w:val="000000" w:themeColor="text1"/>
                <w:sz w:val="21"/>
                <w:highlight w:val="none"/>
                <w14:textFill>
                  <w14:solidFill>
                    <w14:schemeClr w14:val="tx1"/>
                  </w14:solidFill>
                </w14:textFill>
              </w:rPr>
            </w:pPr>
          </w:p>
        </w:tc>
      </w:tr>
      <w:tr w14:paraId="5C114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2" w:type="dxa"/>
            <w:gridSpan w:val="2"/>
            <w:vAlign w:val="top"/>
          </w:tcPr>
          <w:p w14:paraId="7E823AB6">
            <w:pPr>
              <w:rPr>
                <w:rFonts w:ascii="Arial"/>
                <w:color w:val="000000" w:themeColor="text1"/>
                <w:sz w:val="21"/>
                <w:highlight w:val="none"/>
                <w14:textFill>
                  <w14:solidFill>
                    <w14:schemeClr w14:val="tx1"/>
                  </w14:solidFill>
                </w14:textFill>
              </w:rPr>
            </w:pPr>
          </w:p>
        </w:tc>
        <w:tc>
          <w:tcPr>
            <w:tcW w:w="3416" w:type="dxa"/>
            <w:gridSpan w:val="4"/>
            <w:vAlign w:val="top"/>
          </w:tcPr>
          <w:p w14:paraId="5E66B273">
            <w:pPr>
              <w:rPr>
                <w:rFonts w:ascii="Arial"/>
                <w:color w:val="000000" w:themeColor="text1"/>
                <w:sz w:val="21"/>
                <w:highlight w:val="none"/>
                <w14:textFill>
                  <w14:solidFill>
                    <w14:schemeClr w14:val="tx1"/>
                  </w14:solidFill>
                </w14:textFill>
              </w:rPr>
            </w:pPr>
          </w:p>
        </w:tc>
        <w:tc>
          <w:tcPr>
            <w:tcW w:w="1259" w:type="dxa"/>
            <w:vAlign w:val="top"/>
          </w:tcPr>
          <w:p w14:paraId="1EF3BBA8">
            <w:pPr>
              <w:rPr>
                <w:rFonts w:ascii="Arial"/>
                <w:color w:val="000000" w:themeColor="text1"/>
                <w:sz w:val="21"/>
                <w:highlight w:val="none"/>
                <w14:textFill>
                  <w14:solidFill>
                    <w14:schemeClr w14:val="tx1"/>
                  </w14:solidFill>
                </w14:textFill>
              </w:rPr>
            </w:pPr>
          </w:p>
        </w:tc>
        <w:tc>
          <w:tcPr>
            <w:tcW w:w="2302" w:type="dxa"/>
            <w:gridSpan w:val="2"/>
            <w:vAlign w:val="top"/>
          </w:tcPr>
          <w:p w14:paraId="55318362">
            <w:pPr>
              <w:rPr>
                <w:rFonts w:ascii="Arial"/>
                <w:color w:val="000000" w:themeColor="text1"/>
                <w:sz w:val="21"/>
                <w:highlight w:val="none"/>
                <w14:textFill>
                  <w14:solidFill>
                    <w14:schemeClr w14:val="tx1"/>
                  </w14:solidFill>
                </w14:textFill>
              </w:rPr>
            </w:pPr>
          </w:p>
        </w:tc>
      </w:tr>
      <w:tr w14:paraId="7D4E6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42" w:type="dxa"/>
            <w:gridSpan w:val="2"/>
            <w:vAlign w:val="top"/>
          </w:tcPr>
          <w:p w14:paraId="115B481B">
            <w:pPr>
              <w:rPr>
                <w:rFonts w:ascii="Arial"/>
                <w:color w:val="000000" w:themeColor="text1"/>
                <w:sz w:val="21"/>
                <w:highlight w:val="none"/>
                <w14:textFill>
                  <w14:solidFill>
                    <w14:schemeClr w14:val="tx1"/>
                  </w14:solidFill>
                </w14:textFill>
              </w:rPr>
            </w:pPr>
          </w:p>
        </w:tc>
        <w:tc>
          <w:tcPr>
            <w:tcW w:w="3416" w:type="dxa"/>
            <w:gridSpan w:val="4"/>
            <w:vAlign w:val="top"/>
          </w:tcPr>
          <w:p w14:paraId="5CE39D4D">
            <w:pPr>
              <w:rPr>
                <w:rFonts w:ascii="Arial"/>
                <w:color w:val="000000" w:themeColor="text1"/>
                <w:sz w:val="21"/>
                <w:highlight w:val="none"/>
                <w14:textFill>
                  <w14:solidFill>
                    <w14:schemeClr w14:val="tx1"/>
                  </w14:solidFill>
                </w14:textFill>
              </w:rPr>
            </w:pPr>
          </w:p>
        </w:tc>
        <w:tc>
          <w:tcPr>
            <w:tcW w:w="1259" w:type="dxa"/>
            <w:vAlign w:val="top"/>
          </w:tcPr>
          <w:p w14:paraId="079B551B">
            <w:pPr>
              <w:rPr>
                <w:rFonts w:ascii="Arial"/>
                <w:color w:val="000000" w:themeColor="text1"/>
                <w:sz w:val="21"/>
                <w:highlight w:val="none"/>
                <w14:textFill>
                  <w14:solidFill>
                    <w14:schemeClr w14:val="tx1"/>
                  </w14:solidFill>
                </w14:textFill>
              </w:rPr>
            </w:pPr>
          </w:p>
        </w:tc>
        <w:tc>
          <w:tcPr>
            <w:tcW w:w="2302" w:type="dxa"/>
            <w:gridSpan w:val="2"/>
            <w:vAlign w:val="top"/>
          </w:tcPr>
          <w:p w14:paraId="6BA9A57B">
            <w:pPr>
              <w:rPr>
                <w:rFonts w:ascii="Arial"/>
                <w:color w:val="000000" w:themeColor="text1"/>
                <w:sz w:val="21"/>
                <w:highlight w:val="none"/>
                <w14:textFill>
                  <w14:solidFill>
                    <w14:schemeClr w14:val="tx1"/>
                  </w14:solidFill>
                </w14:textFill>
              </w:rPr>
            </w:pPr>
          </w:p>
        </w:tc>
      </w:tr>
      <w:tr w14:paraId="52223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542" w:type="dxa"/>
            <w:gridSpan w:val="2"/>
            <w:vAlign w:val="top"/>
          </w:tcPr>
          <w:p w14:paraId="12928DBF">
            <w:pPr>
              <w:rPr>
                <w:rFonts w:ascii="Arial"/>
                <w:color w:val="000000" w:themeColor="text1"/>
                <w:sz w:val="21"/>
                <w:highlight w:val="none"/>
                <w14:textFill>
                  <w14:solidFill>
                    <w14:schemeClr w14:val="tx1"/>
                  </w14:solidFill>
                </w14:textFill>
              </w:rPr>
            </w:pPr>
          </w:p>
        </w:tc>
        <w:tc>
          <w:tcPr>
            <w:tcW w:w="3416" w:type="dxa"/>
            <w:gridSpan w:val="4"/>
            <w:vAlign w:val="top"/>
          </w:tcPr>
          <w:p w14:paraId="7297600C">
            <w:pPr>
              <w:rPr>
                <w:rFonts w:ascii="Arial"/>
                <w:color w:val="000000" w:themeColor="text1"/>
                <w:sz w:val="21"/>
                <w:highlight w:val="none"/>
                <w14:textFill>
                  <w14:solidFill>
                    <w14:schemeClr w14:val="tx1"/>
                  </w14:solidFill>
                </w14:textFill>
              </w:rPr>
            </w:pPr>
          </w:p>
        </w:tc>
        <w:tc>
          <w:tcPr>
            <w:tcW w:w="1259" w:type="dxa"/>
            <w:vAlign w:val="top"/>
          </w:tcPr>
          <w:p w14:paraId="027F2030">
            <w:pPr>
              <w:rPr>
                <w:rFonts w:ascii="Arial"/>
                <w:color w:val="000000" w:themeColor="text1"/>
                <w:sz w:val="21"/>
                <w:highlight w:val="none"/>
                <w14:textFill>
                  <w14:solidFill>
                    <w14:schemeClr w14:val="tx1"/>
                  </w14:solidFill>
                </w14:textFill>
              </w:rPr>
            </w:pPr>
          </w:p>
        </w:tc>
        <w:tc>
          <w:tcPr>
            <w:tcW w:w="2302" w:type="dxa"/>
            <w:gridSpan w:val="2"/>
            <w:vAlign w:val="top"/>
          </w:tcPr>
          <w:p w14:paraId="479BA0F5">
            <w:pPr>
              <w:rPr>
                <w:rFonts w:ascii="Arial"/>
                <w:color w:val="000000" w:themeColor="text1"/>
                <w:sz w:val="21"/>
                <w:highlight w:val="none"/>
                <w14:textFill>
                  <w14:solidFill>
                    <w14:schemeClr w14:val="tx1"/>
                  </w14:solidFill>
                </w14:textFill>
              </w:rPr>
            </w:pPr>
          </w:p>
        </w:tc>
      </w:tr>
      <w:tr w14:paraId="2F199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2" w:type="dxa"/>
            <w:gridSpan w:val="2"/>
            <w:vAlign w:val="top"/>
          </w:tcPr>
          <w:p w14:paraId="10B6F445">
            <w:pPr>
              <w:rPr>
                <w:rFonts w:ascii="Arial"/>
                <w:color w:val="000000" w:themeColor="text1"/>
                <w:sz w:val="21"/>
                <w:highlight w:val="none"/>
                <w14:textFill>
                  <w14:solidFill>
                    <w14:schemeClr w14:val="tx1"/>
                  </w14:solidFill>
                </w14:textFill>
              </w:rPr>
            </w:pPr>
          </w:p>
        </w:tc>
        <w:tc>
          <w:tcPr>
            <w:tcW w:w="3416" w:type="dxa"/>
            <w:gridSpan w:val="4"/>
            <w:vAlign w:val="top"/>
          </w:tcPr>
          <w:p w14:paraId="35DFAA90">
            <w:pPr>
              <w:rPr>
                <w:rFonts w:ascii="Arial"/>
                <w:color w:val="000000" w:themeColor="text1"/>
                <w:sz w:val="21"/>
                <w:highlight w:val="none"/>
                <w14:textFill>
                  <w14:solidFill>
                    <w14:schemeClr w14:val="tx1"/>
                  </w14:solidFill>
                </w14:textFill>
              </w:rPr>
            </w:pPr>
          </w:p>
        </w:tc>
        <w:tc>
          <w:tcPr>
            <w:tcW w:w="1259" w:type="dxa"/>
            <w:vAlign w:val="top"/>
          </w:tcPr>
          <w:p w14:paraId="71AA7EF9">
            <w:pPr>
              <w:rPr>
                <w:rFonts w:ascii="Arial"/>
                <w:color w:val="000000" w:themeColor="text1"/>
                <w:sz w:val="21"/>
                <w:highlight w:val="none"/>
                <w14:textFill>
                  <w14:solidFill>
                    <w14:schemeClr w14:val="tx1"/>
                  </w14:solidFill>
                </w14:textFill>
              </w:rPr>
            </w:pPr>
          </w:p>
        </w:tc>
        <w:tc>
          <w:tcPr>
            <w:tcW w:w="2302" w:type="dxa"/>
            <w:gridSpan w:val="2"/>
            <w:vAlign w:val="top"/>
          </w:tcPr>
          <w:p w14:paraId="268B1E16">
            <w:pPr>
              <w:rPr>
                <w:rFonts w:ascii="Arial"/>
                <w:color w:val="000000" w:themeColor="text1"/>
                <w:sz w:val="21"/>
                <w:highlight w:val="none"/>
                <w14:textFill>
                  <w14:solidFill>
                    <w14:schemeClr w14:val="tx1"/>
                  </w14:solidFill>
                </w14:textFill>
              </w:rPr>
            </w:pPr>
          </w:p>
        </w:tc>
      </w:tr>
      <w:tr w14:paraId="75E25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542" w:type="dxa"/>
            <w:gridSpan w:val="2"/>
            <w:vAlign w:val="top"/>
          </w:tcPr>
          <w:p w14:paraId="4627797C">
            <w:pPr>
              <w:rPr>
                <w:rFonts w:ascii="Arial"/>
                <w:color w:val="000000" w:themeColor="text1"/>
                <w:sz w:val="21"/>
                <w:highlight w:val="none"/>
                <w14:textFill>
                  <w14:solidFill>
                    <w14:schemeClr w14:val="tx1"/>
                  </w14:solidFill>
                </w14:textFill>
              </w:rPr>
            </w:pPr>
          </w:p>
        </w:tc>
        <w:tc>
          <w:tcPr>
            <w:tcW w:w="3416" w:type="dxa"/>
            <w:gridSpan w:val="4"/>
            <w:vAlign w:val="top"/>
          </w:tcPr>
          <w:p w14:paraId="0112EEE7">
            <w:pPr>
              <w:rPr>
                <w:rFonts w:ascii="Arial"/>
                <w:color w:val="000000" w:themeColor="text1"/>
                <w:sz w:val="21"/>
                <w:highlight w:val="none"/>
                <w14:textFill>
                  <w14:solidFill>
                    <w14:schemeClr w14:val="tx1"/>
                  </w14:solidFill>
                </w14:textFill>
              </w:rPr>
            </w:pPr>
          </w:p>
        </w:tc>
        <w:tc>
          <w:tcPr>
            <w:tcW w:w="1259" w:type="dxa"/>
            <w:vAlign w:val="top"/>
          </w:tcPr>
          <w:p w14:paraId="0CEFCF00">
            <w:pPr>
              <w:rPr>
                <w:rFonts w:ascii="Arial"/>
                <w:color w:val="000000" w:themeColor="text1"/>
                <w:sz w:val="21"/>
                <w:highlight w:val="none"/>
                <w14:textFill>
                  <w14:solidFill>
                    <w14:schemeClr w14:val="tx1"/>
                  </w14:solidFill>
                </w14:textFill>
              </w:rPr>
            </w:pPr>
          </w:p>
        </w:tc>
        <w:tc>
          <w:tcPr>
            <w:tcW w:w="2302" w:type="dxa"/>
            <w:gridSpan w:val="2"/>
            <w:vAlign w:val="top"/>
          </w:tcPr>
          <w:p w14:paraId="79E99529">
            <w:pPr>
              <w:rPr>
                <w:rFonts w:ascii="Arial"/>
                <w:color w:val="000000" w:themeColor="text1"/>
                <w:sz w:val="21"/>
                <w:highlight w:val="none"/>
                <w14:textFill>
                  <w14:solidFill>
                    <w14:schemeClr w14:val="tx1"/>
                  </w14:solidFill>
                </w14:textFill>
              </w:rPr>
            </w:pPr>
          </w:p>
        </w:tc>
      </w:tr>
    </w:tbl>
    <w:p w14:paraId="118A20ED">
      <w:pPr>
        <w:pStyle w:val="12"/>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1EC67E00">
      <w:pPr>
        <w:pStyle w:val="12"/>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1、项目负责人应附身份证、职称证、学历证、本单位缴纳的近</w:t>
      </w:r>
      <w:r>
        <w:rPr>
          <w:rFonts w:hint="eastAsia" w:hAnsi="宋体" w:cs="宋体"/>
          <w:color w:val="000000" w:themeColor="text1"/>
          <w:sz w:val="24"/>
          <w:szCs w:val="24"/>
          <w:highlight w:val="none"/>
          <w:lang w:val="en-US" w:eastAsia="zh-CN"/>
          <w14:textFill>
            <w14:solidFill>
              <w14:schemeClr w14:val="tx1"/>
            </w14:solidFill>
          </w14:textFill>
        </w:rPr>
        <w:t>半</w:t>
      </w:r>
      <w:r>
        <w:rPr>
          <w:rFonts w:hint="eastAsia" w:ascii="宋体" w:hAnsi="宋体" w:eastAsia="宋体" w:cs="宋体"/>
          <w:color w:val="000000" w:themeColor="text1"/>
          <w:sz w:val="24"/>
          <w:szCs w:val="24"/>
          <w:highlight w:val="none"/>
          <w14:textFill>
            <w14:solidFill>
              <w14:schemeClr w14:val="tx1"/>
            </w14:solidFill>
          </w14:textFill>
        </w:rPr>
        <w:t>年内任意1个月的社保证明，如为退休人员，提供退休证和聘用证明资料。</w:t>
      </w:r>
    </w:p>
    <w:p w14:paraId="48FAC0E8">
      <w:pPr>
        <w:pStyle w:val="12"/>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未提供业绩证明材料或内容模糊不清的，其业绩不予认定。</w:t>
      </w:r>
    </w:p>
    <w:p w14:paraId="66C6C265">
      <w:pPr>
        <w:pStyle w:val="12"/>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3、业绩为近三年业绩。(近三年指2023年</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月1 日起至今)</w:t>
      </w:r>
    </w:p>
    <w:p w14:paraId="7FD6EC72">
      <w:pPr>
        <w:pStyle w:val="12"/>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footerReference r:id="rId16" w:type="default"/>
          <w:pgSz w:w="11900" w:h="16830"/>
          <w:pgMar w:top="1430" w:right="1785" w:bottom="1151" w:left="1785" w:header="0" w:footer="982" w:gutter="0"/>
          <w:pgNumType w:fmt="decimal"/>
          <w:cols w:space="720" w:num="1"/>
        </w:sectPr>
      </w:pPr>
    </w:p>
    <w:bookmarkEnd w:id="475"/>
    <w:bookmarkEnd w:id="476"/>
    <w:bookmarkEnd w:id="477"/>
    <w:bookmarkEnd w:id="478"/>
    <w:p w14:paraId="6678AC9D">
      <w:pPr>
        <w:pStyle w:val="3"/>
        <w:spacing w:before="0"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bookmarkStart w:id="556" w:name="_Toc2443"/>
      <w:bookmarkStart w:id="557" w:name="_Toc2200"/>
      <w:bookmarkStart w:id="558" w:name="_Toc25251"/>
      <w:bookmarkStart w:id="559" w:name="_Toc22216"/>
      <w:bookmarkStart w:id="560" w:name="_Toc22132"/>
      <w:bookmarkStart w:id="561" w:name="_Toc9921"/>
      <w:bookmarkStart w:id="562" w:name="_Toc24292"/>
      <w:bookmarkStart w:id="563" w:name="_Toc22104"/>
      <w:bookmarkStart w:id="564" w:name="_Toc14037"/>
      <w:bookmarkStart w:id="565" w:name="_Toc515647819"/>
      <w:bookmarkStart w:id="566" w:name="_Toc6343"/>
      <w:bookmarkStart w:id="567" w:name="_Toc18267"/>
      <w:bookmarkStart w:id="568" w:name="_Toc216582816"/>
      <w:bookmarkStart w:id="569" w:name="_Toc12151"/>
      <w:bookmarkStart w:id="570" w:name="_Toc15807"/>
      <w:bookmarkStart w:id="571" w:name="_Toc13906"/>
      <w:bookmarkStart w:id="572" w:name="_Toc10150"/>
      <w:bookmarkStart w:id="573" w:name="_Toc20570"/>
      <w:r>
        <w:rPr>
          <w:rFonts w:hint="eastAsia" w:ascii="宋体" w:hAnsi="宋体" w:eastAsia="宋体" w:cs="宋体"/>
          <w:color w:val="000000" w:themeColor="text1"/>
          <w:sz w:val="24"/>
          <w:szCs w:val="24"/>
          <w:highlight w:val="none"/>
          <w:lang w:val="en-US" w:eastAsia="zh-CN"/>
          <w14:textFill>
            <w14:solidFill>
              <w14:schemeClr w14:val="tx1"/>
            </w14:solidFill>
          </w14:textFill>
        </w:rPr>
        <w:t>13、企业类似业绩</w:t>
      </w:r>
      <w:r>
        <w:rPr>
          <w:rFonts w:hint="eastAsia" w:ascii="宋体" w:hAnsi="宋体" w:eastAsia="宋体" w:cs="宋体"/>
          <w:color w:val="000000" w:themeColor="text1"/>
          <w:sz w:val="24"/>
          <w:szCs w:val="24"/>
          <w:highlight w:val="none"/>
          <w14:textFill>
            <w14:solidFill>
              <w14:schemeClr w14:val="tx1"/>
            </w14:solidFill>
          </w14:textFill>
        </w:rPr>
        <w:t>一览表</w:t>
      </w:r>
      <w:bookmarkEnd w:id="556"/>
      <w:bookmarkEnd w:id="557"/>
    </w:p>
    <w:p w14:paraId="01113292">
      <w:pPr>
        <w:pStyle w:val="12"/>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p w14:paraId="1777260E">
      <w:pPr>
        <w:pStyle w:val="12"/>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项目名称:                </w:t>
      </w:r>
    </w:p>
    <w:p w14:paraId="11EA83F1">
      <w:pPr>
        <w:pStyle w:val="12"/>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项目编号:                       </w:t>
      </w:r>
    </w:p>
    <w:p w14:paraId="61AA10BE">
      <w:pPr>
        <w:pStyle w:val="12"/>
        <w:spacing w:line="240" w:lineRule="atLeast"/>
        <w:ind w:left="1080" w:leftChars="257" w:hanging="540"/>
        <w:rPr>
          <w:rFonts w:hint="eastAsia" w:ascii="宋体" w:hAnsi="宋体" w:eastAsia="宋体" w:cs="宋体"/>
          <w:color w:val="000000" w:themeColor="text1"/>
          <w:sz w:val="24"/>
          <w:szCs w:val="24"/>
          <w:highlight w:val="none"/>
          <w14:textFill>
            <w14:solidFill>
              <w14:schemeClr w14:val="tx1"/>
            </w14:solidFill>
          </w14:textFill>
        </w:rPr>
      </w:pPr>
    </w:p>
    <w:tbl>
      <w:tblPr>
        <w:tblStyle w:val="21"/>
        <w:tblW w:w="7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27"/>
        <w:gridCol w:w="2175"/>
        <w:gridCol w:w="1256"/>
        <w:gridCol w:w="1227"/>
        <w:gridCol w:w="1132"/>
      </w:tblGrid>
      <w:tr w14:paraId="286E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7" w:type="dxa"/>
            <w:vAlign w:val="center"/>
          </w:tcPr>
          <w:p w14:paraId="6F89D28B">
            <w:pPr>
              <w:pStyle w:val="12"/>
              <w:spacing w:line="2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427" w:type="dxa"/>
            <w:vAlign w:val="center"/>
          </w:tcPr>
          <w:p w14:paraId="73AC891C">
            <w:pPr>
              <w:pStyle w:val="12"/>
              <w:spacing w:line="2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2175" w:type="dxa"/>
            <w:vAlign w:val="center"/>
          </w:tcPr>
          <w:p w14:paraId="441DC60E">
            <w:pPr>
              <w:pStyle w:val="12"/>
              <w:spacing w:line="2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服务内容</w:t>
            </w:r>
          </w:p>
        </w:tc>
        <w:tc>
          <w:tcPr>
            <w:tcW w:w="1256" w:type="dxa"/>
            <w:vAlign w:val="center"/>
          </w:tcPr>
          <w:p w14:paraId="1A6ADD59">
            <w:pPr>
              <w:pStyle w:val="12"/>
              <w:spacing w:line="2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服务期限</w:t>
            </w:r>
          </w:p>
        </w:tc>
        <w:tc>
          <w:tcPr>
            <w:tcW w:w="1227" w:type="dxa"/>
            <w:vAlign w:val="center"/>
          </w:tcPr>
          <w:p w14:paraId="64810BD3">
            <w:pPr>
              <w:pStyle w:val="12"/>
              <w:spacing w:line="2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服务地点</w:t>
            </w:r>
          </w:p>
        </w:tc>
        <w:tc>
          <w:tcPr>
            <w:tcW w:w="1132" w:type="dxa"/>
            <w:vAlign w:val="center"/>
          </w:tcPr>
          <w:p w14:paraId="38ACAF10">
            <w:pPr>
              <w:pStyle w:val="12"/>
              <w:spacing w:line="2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其它</w:t>
            </w:r>
          </w:p>
        </w:tc>
      </w:tr>
      <w:tr w14:paraId="6A88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77" w:type="dxa"/>
            <w:vAlign w:val="center"/>
          </w:tcPr>
          <w:p w14:paraId="0B40AA71">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49F747BD">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0D6180E7">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148BAC47">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40C6D99C">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454F0C19">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5A3B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77" w:type="dxa"/>
            <w:vAlign w:val="center"/>
          </w:tcPr>
          <w:p w14:paraId="5F214391">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709B3DEB">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657E7B0F">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12DFA0EC">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411D8EAF">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2A72A5A1">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353D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77" w:type="dxa"/>
            <w:vAlign w:val="center"/>
          </w:tcPr>
          <w:p w14:paraId="73F78F92">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37DB8451">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08FAD8D7">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6FD9440B">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2725F17A">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6ED966D6">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6692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77" w:type="dxa"/>
            <w:vAlign w:val="center"/>
          </w:tcPr>
          <w:p w14:paraId="5535DE81">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6B302710">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194A23BE">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017BA2CC">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589334F7">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65B78115">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4EBF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60A598B3">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3FA7EC95">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502CCBD7">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5C211DFA">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64C3E174">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15CC8D9D">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056D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11AF5006">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48E14F59">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7617E17B">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2B7B9FCC">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26C04E80">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69325867">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0609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2785EB7D">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5E2A162C">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7E27F729">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0E1D3FE6">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28B54506">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3A450126">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4791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3991EBB7">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123EDDDE">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7FE4B75B">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091C4D79">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40949EF5">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2E37A19D">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5128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795535B9">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33CAFE72">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7258B5CA">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320C867A">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768A0E56">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65329E82">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0787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44113B97">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3BEE7F84">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6AA0B2DB">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323ECE1B">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6EB68A71">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30ADD69D">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2F23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5497CAFF">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5595315D">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6435593D">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0A496C0C">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550B7D81">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6C15538C">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6CBB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3469512C">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38F10FE8">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53823EF8">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7A183355">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2AC9D2AB">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5CC74CA1">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100D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7" w:type="dxa"/>
            <w:vAlign w:val="center"/>
          </w:tcPr>
          <w:p w14:paraId="42382F31">
            <w:pPr>
              <w:widowControl/>
              <w:jc w:val="center"/>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1427" w:type="dxa"/>
            <w:vAlign w:val="center"/>
          </w:tcPr>
          <w:p w14:paraId="6115A0AC">
            <w:pPr>
              <w:widowControl/>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p>
        </w:tc>
        <w:tc>
          <w:tcPr>
            <w:tcW w:w="2175" w:type="dxa"/>
            <w:vAlign w:val="center"/>
          </w:tcPr>
          <w:p w14:paraId="5AFF2269">
            <w:pPr>
              <w:pStyle w:val="12"/>
              <w:spacing w:line="240" w:lineRule="atLeast"/>
              <w:jc w:val="left"/>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56" w:type="dxa"/>
            <w:vAlign w:val="center"/>
          </w:tcPr>
          <w:p w14:paraId="4FA911E4">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27" w:type="dxa"/>
            <w:vAlign w:val="center"/>
          </w:tcPr>
          <w:p w14:paraId="048D1702">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14:paraId="657AACA3">
            <w:pPr>
              <w:pStyle w:val="12"/>
              <w:spacing w:line="240" w:lineRule="atLeast"/>
              <w:ind w:left="1080" w:leftChars="257" w:hanging="540"/>
              <w:jc w:val="left"/>
              <w:rPr>
                <w:rFonts w:hint="eastAsia" w:ascii="宋体" w:hAnsi="宋体" w:eastAsia="宋体" w:cs="宋体"/>
                <w:color w:val="000000" w:themeColor="text1"/>
                <w:sz w:val="24"/>
                <w:szCs w:val="24"/>
                <w:highlight w:val="none"/>
                <w14:textFill>
                  <w14:solidFill>
                    <w14:schemeClr w14:val="tx1"/>
                  </w14:solidFill>
                </w14:textFill>
              </w:rPr>
            </w:pPr>
          </w:p>
        </w:tc>
      </w:tr>
      <w:bookmarkEnd w:id="558"/>
      <w:bookmarkEnd w:id="559"/>
      <w:bookmarkEnd w:id="560"/>
      <w:bookmarkEnd w:id="561"/>
      <w:bookmarkEnd w:id="562"/>
      <w:bookmarkEnd w:id="563"/>
      <w:bookmarkEnd w:id="564"/>
      <w:bookmarkEnd w:id="565"/>
      <w:bookmarkEnd w:id="566"/>
      <w:bookmarkEnd w:id="567"/>
      <w:bookmarkEnd w:id="568"/>
      <w:bookmarkEnd w:id="569"/>
    </w:tbl>
    <w:p w14:paraId="5C2F6B6A">
      <w:pPr>
        <w:pStyle w:val="12"/>
        <w:tabs>
          <w:tab w:val="left" w:pos="5580"/>
        </w:tabs>
        <w:spacing w:line="240" w:lineRule="atLeas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574" w:name="_Toc16873"/>
      <w:r>
        <w:rPr>
          <w:rFonts w:hint="eastAsia" w:ascii="宋体" w:hAnsi="宋体" w:eastAsia="宋体" w:cs="宋体"/>
          <w:color w:val="000000" w:themeColor="text1"/>
          <w:sz w:val="24"/>
          <w:szCs w:val="24"/>
          <w:highlight w:val="none"/>
          <w14:textFill>
            <w14:solidFill>
              <w14:schemeClr w14:val="tx1"/>
            </w14:solidFill>
          </w14:textFill>
        </w:rPr>
        <w:t>1、每个业绩须单独附表，并附上合同或中标(成交)通知书，否则专家在评审时将不予采信；</w:t>
      </w:r>
    </w:p>
    <w:p w14:paraId="311D5656">
      <w:pPr>
        <w:pStyle w:val="12"/>
        <w:tabs>
          <w:tab w:val="left" w:pos="5580"/>
        </w:tabs>
        <w:spacing w:line="240" w:lineRule="atLeast"/>
        <w:ind w:firstLine="480" w:firstLineChars="200"/>
        <w:rPr>
          <w:rFonts w:hint="eastAsia"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2、业绩为近三年业绩。(近三年指2023年</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月1日起一至</w:t>
      </w:r>
      <w:r>
        <w:rPr>
          <w:rFonts w:hint="eastAsia" w:hAnsi="宋体" w:cs="宋体"/>
          <w:color w:val="000000" w:themeColor="text1"/>
          <w:sz w:val="24"/>
          <w:szCs w:val="24"/>
          <w:highlight w:val="none"/>
          <w:lang w:val="en-US" w:eastAsia="zh-CN"/>
          <w14:textFill>
            <w14:solidFill>
              <w14:schemeClr w14:val="tx1"/>
            </w14:solidFill>
          </w14:textFill>
        </w:rPr>
        <w:t>今）</w:t>
      </w:r>
    </w:p>
    <w:p w14:paraId="3AA5EF15">
      <w:pPr>
        <w:pStyle w:val="12"/>
        <w:tabs>
          <w:tab w:val="left" w:pos="5580"/>
        </w:tabs>
        <w:spacing w:line="240" w:lineRule="atLeast"/>
        <w:ind w:firstLine="480" w:firstLineChars="200"/>
        <w:rPr>
          <w:rFonts w:hint="eastAsia" w:hAnsi="宋体" w:cs="宋体"/>
          <w:color w:val="000000" w:themeColor="text1"/>
          <w:sz w:val="24"/>
          <w:szCs w:val="24"/>
          <w:highlight w:val="none"/>
          <w:lang w:val="en-US" w:eastAsia="zh-CN"/>
          <w14:textFill>
            <w14:solidFill>
              <w14:schemeClr w14:val="tx1"/>
            </w14:solidFill>
          </w14:textFill>
        </w:rPr>
      </w:pPr>
    </w:p>
    <w:p w14:paraId="4435B74E">
      <w:pPr>
        <w:pStyle w:val="12"/>
        <w:spacing w:line="24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lang w:val="en-US" w:eastAsia="zh-CN"/>
          <w14:textFill>
            <w14:solidFill>
              <w14:schemeClr w14:val="tx1"/>
            </w14:solidFill>
          </w14:textFill>
        </w:rPr>
        <w:t>CA</w:t>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hAnsi="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D11BE3B">
      <w:pPr>
        <w:pStyle w:val="12"/>
        <w:tabs>
          <w:tab w:val="left" w:pos="5370"/>
        </w:tabs>
        <w:spacing w:line="240" w:lineRule="atLeas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电子签章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ab/>
      </w:r>
    </w:p>
    <w:p w14:paraId="4858BA56">
      <w:pPr>
        <w:pStyle w:val="12"/>
        <w:tabs>
          <w:tab w:val="left" w:pos="5370"/>
        </w:tabs>
        <w:spacing w:line="24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bookmarkEnd w:id="574"/>
    <w:p w14:paraId="1DD2BBB7">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7241C880">
      <w:pPr>
        <w:rPr>
          <w:rFonts w:hint="eastAsia" w:ascii="宋体" w:hAnsi="宋体" w:eastAsia="宋体" w:cs="宋体"/>
          <w:color w:val="000000" w:themeColor="text1"/>
          <w:highlight w:val="none"/>
          <w14:textFill>
            <w14:solidFill>
              <w14:schemeClr w14:val="tx1"/>
            </w14:solidFill>
          </w14:textFill>
        </w:rPr>
      </w:pPr>
    </w:p>
    <w:p w14:paraId="356593CB">
      <w:pPr>
        <w:pStyle w:val="3"/>
        <w:numPr>
          <w:ilvl w:val="0"/>
          <w:numId w:val="0"/>
        </w:numPr>
        <w:spacing w:before="0" w:line="240" w:lineRule="atLeast"/>
        <w:ind w:leftChars="257"/>
        <w:jc w:val="both"/>
        <w:rPr>
          <w:rFonts w:hint="eastAsia" w:ascii="宋体" w:hAnsi="宋体" w:eastAsia="宋体" w:cs="宋体"/>
          <w:bCs/>
          <w:color w:val="000000" w:themeColor="text1"/>
          <w:sz w:val="24"/>
          <w:szCs w:val="24"/>
          <w:highlight w:val="none"/>
          <w14:textFill>
            <w14:solidFill>
              <w14:schemeClr w14:val="tx1"/>
            </w14:solidFill>
          </w14:textFill>
        </w:rPr>
      </w:pPr>
      <w:bookmarkStart w:id="575" w:name="_Toc17527"/>
      <w:r>
        <w:rPr>
          <w:rFonts w:hint="eastAsia" w:ascii="宋体" w:hAnsi="宋体" w:eastAsia="宋体" w:cs="宋体"/>
          <w:bCs/>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Cs/>
          <w:color w:val="000000" w:themeColor="text1"/>
          <w:sz w:val="24"/>
          <w:szCs w:val="24"/>
          <w:highlight w:val="none"/>
          <w14:textFill>
            <w14:solidFill>
              <w14:schemeClr w14:val="tx1"/>
            </w14:solidFill>
          </w14:textFill>
        </w:rPr>
        <w:t>提供有利于磋商的其他证明材料</w:t>
      </w:r>
      <w:bookmarkEnd w:id="570"/>
      <w:bookmarkEnd w:id="571"/>
      <w:bookmarkEnd w:id="572"/>
      <w:bookmarkEnd w:id="573"/>
      <w:bookmarkEnd w:id="575"/>
    </w:p>
    <w:p w14:paraId="468B39B1">
      <w:pPr>
        <w:numPr>
          <w:ilvl w:val="0"/>
          <w:numId w:val="0"/>
        </w:num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2FD61D89">
      <w:pPr>
        <w:numPr>
          <w:ilvl w:val="0"/>
          <w:numId w:val="0"/>
        </w:numPr>
        <w:ind w:firstLine="482" w:firstLineChars="200"/>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 xml:space="preserve"> 注：未提供格式的请</w:t>
      </w:r>
      <w:r>
        <w:rPr>
          <w:rFonts w:hint="eastAsia" w:ascii="宋体" w:hAnsi="宋体" w:cs="宋体"/>
          <w:b/>
          <w:bCs/>
          <w:color w:val="000000" w:themeColor="text1"/>
          <w:sz w:val="24"/>
          <w:szCs w:val="32"/>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自拟</w:t>
      </w:r>
    </w:p>
    <w:p w14:paraId="6EA80762">
      <w:pPr>
        <w:spacing w:line="240" w:lineRule="atLeast"/>
        <w:jc w:val="center"/>
        <w:outlineLvl w:val="1"/>
        <w:rPr>
          <w:rFonts w:hint="eastAsia" w:ascii="宋体" w:hAnsi="宋体" w:eastAsia="宋体" w:cs="宋体"/>
          <w:b/>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bookmarkStart w:id="576" w:name="_Toc32089"/>
      <w:bookmarkStart w:id="577" w:name="_Toc20471"/>
      <w:bookmarkStart w:id="578" w:name="_Toc8073"/>
      <w:bookmarkStart w:id="579" w:name="_Toc23300"/>
      <w:bookmarkStart w:id="580" w:name="_Toc29345"/>
      <w:bookmarkStart w:id="581" w:name="_Toc24705"/>
      <w:bookmarkStart w:id="582" w:name="_Toc13385"/>
      <w:bookmarkStart w:id="583" w:name="_Toc2099"/>
      <w:bookmarkStart w:id="584" w:name="_Toc8814"/>
      <w:bookmarkStart w:id="585" w:name="_Toc25307"/>
      <w:r>
        <w:rPr>
          <w:rFonts w:hint="eastAsia" w:ascii="宋体" w:hAnsi="宋体" w:eastAsia="宋体" w:cs="宋体"/>
          <w:b/>
          <w:color w:val="000000" w:themeColor="text1"/>
          <w:kern w:val="0"/>
          <w:sz w:val="24"/>
          <w:szCs w:val="20"/>
          <w:highlight w:val="none"/>
          <w14:textFill>
            <w14:solidFill>
              <w14:schemeClr w14:val="tx1"/>
            </w14:solidFill>
          </w14:textFill>
        </w:rPr>
        <w:t>响应文件格式范本</w:t>
      </w:r>
      <w:bookmarkEnd w:id="576"/>
      <w:bookmarkEnd w:id="577"/>
      <w:bookmarkEnd w:id="578"/>
      <w:bookmarkEnd w:id="579"/>
      <w:bookmarkEnd w:id="580"/>
      <w:bookmarkEnd w:id="581"/>
      <w:bookmarkEnd w:id="582"/>
      <w:bookmarkEnd w:id="583"/>
      <w:bookmarkEnd w:id="584"/>
      <w:bookmarkEnd w:id="585"/>
    </w:p>
    <w:tbl>
      <w:tblPr>
        <w:tblStyle w:val="21"/>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672F434B">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1132" w:hRule="atLeast"/>
        </w:trPr>
        <w:tc>
          <w:tcPr>
            <w:tcW w:w="9120" w:type="dxa"/>
            <w:shd w:val="clear" w:color="auto" w:fill="FCFEEA"/>
          </w:tcPr>
          <w:p w14:paraId="12226CD9">
            <w:pPr>
              <w:pStyle w:val="8"/>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                                                （正本）</w:t>
            </w:r>
          </w:p>
          <w:p w14:paraId="5D148D17">
            <w:pPr>
              <w:pStyle w:val="8"/>
              <w:ind w:firstLine="4216" w:firstLineChars="1500"/>
              <w:rPr>
                <w:rFonts w:hint="eastAsia" w:ascii="宋体" w:hAnsi="宋体" w:eastAsia="宋体" w:cs="宋体"/>
                <w:b/>
                <w:bCs/>
                <w:color w:val="000000" w:themeColor="text1"/>
                <w:sz w:val="28"/>
                <w:szCs w:val="28"/>
                <w:highlight w:val="none"/>
                <w14:textFill>
                  <w14:solidFill>
                    <w14:schemeClr w14:val="tx1"/>
                  </w14:solidFill>
                </w14:textFill>
              </w:rPr>
            </w:pPr>
          </w:p>
          <w:p w14:paraId="09FBD029">
            <w:pPr>
              <w:tabs>
                <w:tab w:val="center" w:pos="4509"/>
              </w:tabs>
              <w:spacing w:line="700" w:lineRule="exact"/>
              <w:jc w:val="center"/>
              <w:outlineLvl w:val="0"/>
              <w:rPr>
                <w:rFonts w:hint="eastAsia" w:ascii="宋体" w:hAnsi="宋体" w:eastAsia="宋体" w:cs="宋体"/>
                <w:b/>
                <w:bCs/>
                <w:color w:val="000000" w:themeColor="text1"/>
                <w:spacing w:val="7"/>
                <w:sz w:val="48"/>
                <w:szCs w:val="48"/>
                <w:highlight w:val="none"/>
                <w:lang w:eastAsia="zh-CN"/>
                <w14:textFill>
                  <w14:solidFill>
                    <w14:schemeClr w14:val="tx1"/>
                  </w14:solidFill>
                </w14:textFill>
              </w:rPr>
            </w:pPr>
            <w:bookmarkStart w:id="586" w:name="_Toc4750"/>
            <w:bookmarkStart w:id="587" w:name="_Toc14512"/>
            <w:bookmarkStart w:id="588" w:name="_Toc28008"/>
            <w:r>
              <w:rPr>
                <w:rFonts w:hint="eastAsia" w:ascii="宋体" w:hAnsi="宋体" w:cs="宋体"/>
                <w:b/>
                <w:bCs/>
                <w:color w:val="000000" w:themeColor="text1"/>
                <w:spacing w:val="7"/>
                <w:sz w:val="48"/>
                <w:szCs w:val="48"/>
                <w:highlight w:val="none"/>
                <w:lang w:eastAsia="zh-CN"/>
                <w14:textFill>
                  <w14:solidFill>
                    <w14:schemeClr w14:val="tx1"/>
                  </w14:solidFill>
                </w14:textFill>
              </w:rPr>
              <w:t>新疆哈密市伊吾县淖毛湖镇基础设施配套建设项目-工程材料检测服务</w:t>
            </w:r>
            <w:bookmarkEnd w:id="586"/>
            <w:bookmarkEnd w:id="587"/>
            <w:bookmarkEnd w:id="588"/>
          </w:p>
          <w:p w14:paraId="2A926A3A">
            <w:pPr>
              <w:pStyle w:val="8"/>
              <w:ind w:firstLine="4216" w:firstLineChars="1500"/>
              <w:rPr>
                <w:rFonts w:hint="eastAsia" w:ascii="宋体" w:hAnsi="宋体" w:eastAsia="宋体" w:cs="宋体"/>
                <w:b/>
                <w:bCs/>
                <w:color w:val="000000" w:themeColor="text1"/>
                <w:sz w:val="28"/>
                <w:szCs w:val="28"/>
                <w:highlight w:val="none"/>
                <w14:textFill>
                  <w14:solidFill>
                    <w14:schemeClr w14:val="tx1"/>
                  </w14:solidFill>
                </w14:textFill>
              </w:rPr>
            </w:pPr>
          </w:p>
          <w:p w14:paraId="1BF673A9">
            <w:pPr>
              <w:pStyle w:val="8"/>
              <w:rPr>
                <w:rFonts w:hint="eastAsia" w:ascii="宋体" w:hAnsi="宋体" w:eastAsia="宋体" w:cs="宋体"/>
                <w:b/>
                <w:bCs/>
                <w:color w:val="000000" w:themeColor="text1"/>
                <w:sz w:val="28"/>
                <w:szCs w:val="28"/>
                <w:highlight w:val="none"/>
                <w14:textFill>
                  <w14:solidFill>
                    <w14:schemeClr w14:val="tx1"/>
                  </w14:solidFill>
                </w14:textFill>
              </w:rPr>
            </w:pPr>
          </w:p>
          <w:p w14:paraId="15963316">
            <w:pPr>
              <w:pStyle w:val="8"/>
              <w:jc w:val="center"/>
              <w:rPr>
                <w:rFonts w:hint="eastAsia" w:ascii="宋体" w:hAnsi="宋体" w:eastAsia="宋体" w:cs="宋体"/>
                <w:b/>
                <w:bCs/>
                <w:color w:val="000000" w:themeColor="text1"/>
                <w:sz w:val="48"/>
                <w:highlight w:val="none"/>
                <w14:textFill>
                  <w14:solidFill>
                    <w14:schemeClr w14:val="tx1"/>
                  </w14:solidFill>
                </w14:textFill>
              </w:rPr>
            </w:pPr>
          </w:p>
          <w:p w14:paraId="0BA5B8FA">
            <w:pPr>
              <w:pStyle w:val="8"/>
              <w:jc w:val="center"/>
              <w:rPr>
                <w:rFonts w:hint="eastAsia" w:ascii="宋体" w:hAnsi="宋体" w:eastAsia="宋体" w:cs="宋体"/>
                <w:b/>
                <w:bCs/>
                <w:color w:val="000000" w:themeColor="text1"/>
                <w:sz w:val="48"/>
                <w:highlight w:val="none"/>
                <w14:textFill>
                  <w14:solidFill>
                    <w14:schemeClr w14:val="tx1"/>
                  </w14:solidFill>
                </w14:textFill>
              </w:rPr>
            </w:pPr>
            <w:r>
              <w:rPr>
                <w:rFonts w:hint="eastAsia" w:ascii="宋体" w:hAnsi="宋体" w:eastAsia="宋体" w:cs="宋体"/>
                <w:b/>
                <w:bCs/>
                <w:color w:val="000000" w:themeColor="text1"/>
                <w:sz w:val="48"/>
                <w:highlight w:val="none"/>
                <w14:textFill>
                  <w14:solidFill>
                    <w14:schemeClr w14:val="tx1"/>
                  </w14:solidFill>
                </w14:textFill>
              </w:rPr>
              <w:t>响 应 文 件</w:t>
            </w:r>
          </w:p>
          <w:p w14:paraId="6AF4A42C">
            <w:pPr>
              <w:jc w:val="center"/>
              <w:rPr>
                <w:rFonts w:hint="eastAsia" w:ascii="宋体" w:hAnsi="宋体" w:eastAsia="宋体" w:cs="宋体"/>
                <w:b/>
                <w:color w:val="000000" w:themeColor="text1"/>
                <w:sz w:val="32"/>
                <w:highlight w:val="none"/>
                <w14:textFill>
                  <w14:solidFill>
                    <w14:schemeClr w14:val="tx1"/>
                  </w14:solidFill>
                </w14:textFill>
              </w:rPr>
            </w:pPr>
          </w:p>
          <w:p w14:paraId="1C637776">
            <w:pPr>
              <w:pStyle w:val="5"/>
              <w:ind w:firstLine="0"/>
              <w:rPr>
                <w:rFonts w:hint="eastAsia" w:ascii="宋体" w:hAnsi="宋体" w:eastAsia="宋体" w:cs="宋体"/>
                <w:b/>
                <w:color w:val="000000" w:themeColor="text1"/>
                <w:sz w:val="32"/>
                <w:highlight w:val="none"/>
                <w14:textFill>
                  <w14:solidFill>
                    <w14:schemeClr w14:val="tx1"/>
                  </w14:solidFill>
                </w14:textFill>
              </w:rPr>
            </w:pPr>
          </w:p>
          <w:p w14:paraId="1EED7CF8">
            <w:pPr>
              <w:spacing w:line="360" w:lineRule="auto"/>
              <w:ind w:left="176" w:leftChars="84" w:firstLine="84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磋商单位：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（公章）</w:t>
            </w:r>
          </w:p>
          <w:p w14:paraId="52F0459E">
            <w:pPr>
              <w:spacing w:line="360" w:lineRule="auto"/>
              <w:ind w:left="176" w:leftChars="84"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1220ABA">
            <w:pPr>
              <w:spacing w:line="360" w:lineRule="auto"/>
              <w:ind w:left="176" w:leftChars="84"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 系 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FDDD8C6">
            <w:pPr>
              <w:spacing w:line="360" w:lineRule="auto"/>
              <w:ind w:left="176" w:leftChars="84" w:firstLine="840"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7E958A3">
            <w:pPr>
              <w:spacing w:line="360" w:lineRule="auto"/>
              <w:ind w:left="176" w:leftChars="84" w:firstLine="840" w:firstLineChars="4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地    址  ：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066AA5B">
            <w:pPr>
              <w:spacing w:line="360" w:lineRule="auto"/>
              <w:ind w:left="176" w:leftChars="84" w:firstLine="960" w:firstLineChars="400"/>
              <w:rPr>
                <w:rFonts w:hint="eastAsia" w:ascii="宋体" w:hAnsi="宋体" w:eastAsia="宋体" w:cs="宋体"/>
                <w:color w:val="000000" w:themeColor="text1"/>
                <w:sz w:val="24"/>
                <w:highlight w:val="none"/>
                <w14:textFill>
                  <w14:solidFill>
                    <w14:schemeClr w14:val="tx1"/>
                  </w14:solidFill>
                </w14:textFill>
              </w:rPr>
            </w:pPr>
          </w:p>
          <w:p w14:paraId="34C78937">
            <w:pPr>
              <w:jc w:val="center"/>
              <w:rPr>
                <w:rFonts w:hint="eastAsia" w:ascii="宋体" w:hAnsi="宋体" w:eastAsia="宋体" w:cs="宋体"/>
                <w:b/>
                <w:bCs/>
                <w:color w:val="000000" w:themeColor="text1"/>
                <w:highlight w:val="none"/>
                <w14:textFill>
                  <w14:solidFill>
                    <w14:schemeClr w14:val="tx1"/>
                  </w14:solidFill>
                </w14:textFill>
              </w:rPr>
            </w:pPr>
          </w:p>
          <w:p w14:paraId="3BC7708C">
            <w:pPr>
              <w:jc w:val="center"/>
              <w:rPr>
                <w:rFonts w:hint="eastAsia" w:ascii="宋体" w:hAnsi="宋体" w:eastAsia="宋体" w:cs="宋体"/>
                <w:b/>
                <w:bCs/>
                <w:color w:val="000000" w:themeColor="text1"/>
                <w:highlight w:val="none"/>
                <w14:textFill>
                  <w14:solidFill>
                    <w14:schemeClr w14:val="tx1"/>
                  </w14:solidFill>
                </w14:textFill>
              </w:rPr>
            </w:pPr>
          </w:p>
          <w:p w14:paraId="5300E2B3">
            <w:pPr>
              <w:jc w:val="center"/>
              <w:rPr>
                <w:rFonts w:hint="eastAsia" w:ascii="宋体" w:hAnsi="宋体" w:eastAsia="宋体" w:cs="宋体"/>
                <w:b/>
                <w:bCs/>
                <w:color w:val="000000" w:themeColor="text1"/>
                <w:highlight w:val="none"/>
                <w14:textFill>
                  <w14:solidFill>
                    <w14:schemeClr w14:val="tx1"/>
                  </w14:solidFill>
                </w14:textFill>
              </w:rPr>
            </w:pPr>
          </w:p>
          <w:p w14:paraId="6110D7F4">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   在20XX年   月  日 X午</w:t>
            </w:r>
            <w:r>
              <w:rPr>
                <w:rFonts w:hint="eastAsia" w:ascii="宋体" w:hAnsi="宋体" w:eastAsia="宋体" w:cs="宋体"/>
                <w:color w:val="000000" w:themeColor="text1"/>
                <w:kern w:val="0"/>
                <w:szCs w:val="21"/>
                <w:highlight w:val="none"/>
                <w:lang w:bidi="ar"/>
                <w14:textFill>
                  <w14:solidFill>
                    <w14:schemeClr w14:val="tx1"/>
                  </w14:solidFill>
                </w14:textFill>
              </w:rPr>
              <w:t>XX</w:t>
            </w:r>
            <w:r>
              <w:rPr>
                <w:rFonts w:hint="eastAsia" w:ascii="宋体" w:hAnsi="宋体" w:eastAsia="宋体" w:cs="宋体"/>
                <w:b/>
                <w:bCs/>
                <w:color w:val="000000" w:themeColor="text1"/>
                <w:highlight w:val="none"/>
                <w14:textFill>
                  <w14:solidFill>
                    <w14:schemeClr w14:val="tx1"/>
                  </w14:solidFill>
                </w14:textFill>
              </w:rPr>
              <w:t>之前不得启封</w:t>
            </w:r>
          </w:p>
          <w:p w14:paraId="771AB80C">
            <w:pPr>
              <w:pStyle w:val="3"/>
              <w:rPr>
                <w:rFonts w:hint="eastAsia" w:ascii="宋体" w:hAnsi="宋体" w:eastAsia="宋体" w:cs="宋体"/>
                <w:color w:val="000000" w:themeColor="text1"/>
                <w:highlight w:val="none"/>
                <w14:textFill>
                  <w14:solidFill>
                    <w14:schemeClr w14:val="tx1"/>
                  </w14:solidFill>
                </w14:textFill>
              </w:rPr>
            </w:pPr>
          </w:p>
          <w:p w14:paraId="430E2C17">
            <w:pPr>
              <w:jc w:val="center"/>
              <w:rPr>
                <w:rFonts w:hint="eastAsia" w:ascii="宋体" w:hAnsi="宋体" w:eastAsia="宋体" w:cs="宋体"/>
                <w:b/>
                <w:bCs/>
                <w:color w:val="000000" w:themeColor="text1"/>
                <w:highlight w:val="none"/>
                <w14:textFill>
                  <w14:solidFill>
                    <w14:schemeClr w14:val="tx1"/>
                  </w14:solidFill>
                </w14:textFill>
              </w:rPr>
            </w:pPr>
          </w:p>
        </w:tc>
      </w:tr>
    </w:tbl>
    <w:p w14:paraId="1EBBA332">
      <w:pPr>
        <w:spacing w:line="240" w:lineRule="atLeast"/>
        <w:rPr>
          <w:rFonts w:hint="eastAsia" w:ascii="宋体" w:hAnsi="宋体" w:eastAsia="宋体" w:cs="宋体"/>
          <w:color w:val="000000" w:themeColor="text1"/>
          <w:highlight w:val="none"/>
          <w14:textFill>
            <w14:solidFill>
              <w14:schemeClr w14:val="tx1"/>
            </w14:solidFill>
          </w14:textFill>
        </w:rPr>
      </w:pPr>
    </w:p>
    <w:sectPr>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AF92C04-9E42-4034-95D7-7B08C5F93102}"/>
  </w:font>
  <w:font w:name="Arial">
    <w:panose1 w:val="020B0604020202020204"/>
    <w:charset w:val="01"/>
    <w:family w:val="swiss"/>
    <w:pitch w:val="default"/>
    <w:sig w:usb0="E0002EFF" w:usb1="C000785B" w:usb2="00000009" w:usb3="00000000" w:csb0="400001FF" w:csb1="FFFF0000"/>
    <w:embedRegular r:id="rId2" w:fontKey="{B766340E-3AB5-4E55-A65D-8C46B17BE4D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8E1A6A7-29C2-4B8E-A4BB-70ED0DA43F06}"/>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83C214CE-A3C4-4891-877D-B0E6BB092F74}"/>
  </w:font>
  <w:font w:name="微软雅黑">
    <w:panose1 w:val="020B0503020204020204"/>
    <w:charset w:val="86"/>
    <w:family w:val="auto"/>
    <w:pitch w:val="default"/>
    <w:sig w:usb0="80000287" w:usb1="2ACF3C50" w:usb2="00000016" w:usb3="00000000" w:csb0="0004001F" w:csb1="00000000"/>
    <w:embedRegular r:id="rId5" w:fontKey="{AF5B8C97-A904-4C1C-8FB8-D257569EE09B}"/>
  </w:font>
  <w:font w:name="楷体">
    <w:panose1 w:val="02010609060101010101"/>
    <w:charset w:val="86"/>
    <w:family w:val="auto"/>
    <w:pitch w:val="default"/>
    <w:sig w:usb0="800002BF" w:usb1="38CF7CFA" w:usb2="00000016" w:usb3="00000000" w:csb0="00040001" w:csb1="00000000"/>
    <w:embedRegular r:id="rId6" w:fontKey="{89CB1308-7C3E-4B4F-ABE3-283A0F5601EB}"/>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D3C57">
    <w:pPr>
      <w:pStyle w:val="13"/>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8D99">
    <w:pPr>
      <w:spacing w:line="226" w:lineRule="auto"/>
      <w:ind w:left="4219"/>
      <w:rPr>
        <w:rFonts w:ascii="宋体" w:hAnsi="宋体" w:eastAsia="宋体" w:cs="宋体"/>
        <w:sz w:val="14"/>
        <w:szCs w:val="14"/>
      </w:rPr>
    </w:pPr>
    <w:r>
      <w:rPr>
        <w:sz w:val="1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F4BF1">
                          <w:pPr>
                            <w:pStyle w:val="1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62F4BF1">
                    <w:pPr>
                      <w:pStyle w:val="13"/>
                    </w:pPr>
                    <w:r>
                      <w:fldChar w:fldCharType="begin"/>
                    </w:r>
                    <w:r>
                      <w:instrText xml:space="preserve"> PAGE  \* MERGEFORMAT </w:instrText>
                    </w:r>
                    <w:r>
                      <w:fldChar w:fldCharType="separate"/>
                    </w:r>
                    <w:r>
                      <w:t>65</w:t>
                    </w:r>
                    <w:r>
                      <w:fldChar w:fldCharType="end"/>
                    </w:r>
                  </w:p>
                </w:txbxContent>
              </v:textbox>
            </v:shape>
          </w:pict>
        </mc:Fallback>
      </mc:AlternateContent>
    </w:r>
    <w:r>
      <w:rPr>
        <w:rFonts w:ascii="宋体" w:hAnsi="宋体" w:eastAsia="宋体" w:cs="宋体"/>
        <w:spacing w:val="-2"/>
        <w:sz w:val="14"/>
        <w:szCs w:val="14"/>
      </w:rPr>
      <w:t>—52—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EB194">
    <w:pPr>
      <w:spacing w:line="225" w:lineRule="auto"/>
      <w:ind w:left="4219"/>
      <w:rPr>
        <w:rFonts w:ascii="宋体" w:hAnsi="宋体" w:eastAsia="宋体" w:cs="宋体"/>
        <w:sz w:val="13"/>
        <w:szCs w:val="13"/>
      </w:rPr>
    </w:pPr>
    <w:r>
      <w:rPr>
        <w:sz w:val="13"/>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D0ACB">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6BD0ACB">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24E0F">
    <w:pPr>
      <w:spacing w:line="226" w:lineRule="auto"/>
      <w:ind w:left="4209"/>
      <w:rPr>
        <w:rFonts w:ascii="宋体" w:hAnsi="宋体" w:eastAsia="宋体" w:cs="宋体"/>
        <w:sz w:val="14"/>
        <w:szCs w:val="14"/>
      </w:rPr>
    </w:pPr>
    <w:r>
      <w:rPr>
        <w:sz w:val="1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6A75A">
                          <w:pPr>
                            <w:pStyle w:val="1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C46A75A">
                    <w:pPr>
                      <w:pStyle w:val="1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60AA7">
    <w:pPr>
      <w:tabs>
        <w:tab w:val="center" w:pos="4153"/>
        <w:tab w:val="right" w:pos="8306"/>
      </w:tabs>
      <w:ind w:right="360"/>
      <w:jc w:val="both"/>
      <w:rPr>
        <w:rFonts w:hint="eastAsia"/>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A2586">
                          <w:pPr>
                            <w:pStyle w:val="1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63A2586">
                    <w:pPr>
                      <w:pStyle w:val="1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8091">
    <w:pPr>
      <w:spacing w:line="225" w:lineRule="auto"/>
      <w:ind w:left="3964"/>
      <w:rPr>
        <w:rFonts w:ascii="宋体" w:hAnsi="宋体" w:eastAsia="宋体" w:cs="宋体"/>
        <w:sz w:val="13"/>
        <w:szCs w:val="13"/>
      </w:rPr>
    </w:pPr>
    <w:r>
      <w:rPr>
        <w:sz w:val="13"/>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4D541">
                          <w:pPr>
                            <w:pStyle w:val="1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6904D541">
                    <w:pPr>
                      <w:pStyle w:val="1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AD3E">
    <w:pPr>
      <w:spacing w:line="225" w:lineRule="auto"/>
      <w:ind w:left="3964"/>
      <w:rPr>
        <w:rFonts w:ascii="宋体" w:hAnsi="宋体" w:eastAsia="宋体" w:cs="宋体"/>
        <w:sz w:val="13"/>
        <w:szCs w:val="13"/>
      </w:rPr>
    </w:pPr>
    <w:r>
      <w:rPr>
        <w:sz w:val="13"/>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26067">
                          <w:pPr>
                            <w:pStyle w:val="1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1026067">
                    <w:pPr>
                      <w:pStyle w:val="1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6E2B">
    <w:pPr>
      <w:pStyle w:val="13"/>
      <w:tabs>
        <w:tab w:val="clear" w:pos="4153"/>
      </w:tabs>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D068A">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FD068A">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9B9A5">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9075" cy="16192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19075"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8DC6A">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75pt;width:17.25pt;mso-position-horizontal:center;mso-position-horizontal-relative:margin;z-index:251660288;mso-width-relative:page;mso-height-relative:page;" filled="f" stroked="f" coordsize="21600,21600" o:gfxdata="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08FQTUAAAAAwEAAA8AAAAAAAAAAQAgAAAAIgAAAGRycy9kb3ducmV2&#10;LnhtbFBLAQIUABQAAAAIAIdO4kAdbAYTOQIAAGMEAAAOAAAAAAAAAAEAIAAAACMBAABkcnMvZTJv&#10;RG9jLnhtbFBLBQYAAAAABgAGAFkBAADOBQAAAAA=&#10;">
              <v:fill on="f" focussize="0,0"/>
              <v:stroke on="f" weight="0.5pt"/>
              <v:imagedata o:title=""/>
              <o:lock v:ext="edit" aspectratio="f"/>
              <v:textbox inset="0mm,0mm,0mm,0mm">
                <w:txbxContent>
                  <w:p w14:paraId="0598DC6A">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B8CD9">
    <w:pPr>
      <w:spacing w:line="226" w:lineRule="auto"/>
      <w:ind w:left="4211"/>
      <w:rPr>
        <w:rFonts w:ascii="宋体" w:hAnsi="宋体" w:eastAsia="宋体" w:cs="宋体"/>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posOffset>2567305</wp:posOffset>
              </wp:positionH>
              <wp:positionV relativeFrom="paragraph">
                <wp:posOffset>7620</wp:posOffset>
              </wp:positionV>
              <wp:extent cx="219075" cy="14668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19075"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12671">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15pt;margin-top:0.6pt;height:11.55pt;width:17.25pt;mso-position-horizontal-relative:margin;z-index:251663360;mso-width-relative:page;mso-height-relative:page;" filled="f" stroked="f" coordsize="21600,21600" o:gfxdata="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yXiEnWAAAACAEAAA8AAAAAAAAAAQAgAAAAIgAAAGRycy9kb3du&#10;cmV2LnhtbFBLAQIUABQAAAAIAIdO4kDBOst2OgIAAGMEAAAOAAAAAAAAAAEAIAAAACUBAABkcnMv&#10;ZTJvRG9jLnhtbFBLBQYAAAAABgAGAFkBAADRBQAAAAA=&#10;">
              <v:fill on="f" focussize="0,0"/>
              <v:stroke on="f" weight="0.5pt"/>
              <v:imagedata o:title=""/>
              <o:lock v:ext="edit" aspectratio="f"/>
              <v:textbox inset="0mm,0mm,0mm,0mm">
                <w:txbxContent>
                  <w:p w14:paraId="5B412671">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7BA83">
    <w:pPr>
      <w:spacing w:line="226" w:lineRule="auto"/>
      <w:ind w:left="4211"/>
      <w:rPr>
        <w:rFonts w:ascii="宋体" w:hAnsi="宋体" w:eastAsia="宋体" w:cs="宋体"/>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61C90">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2461C90">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7881A">
    <w:pPr>
      <w:spacing w:line="226" w:lineRule="auto"/>
      <w:ind w:left="4191"/>
      <w:rPr>
        <w:rFonts w:ascii="宋体" w:hAnsi="宋体" w:eastAsia="宋体" w:cs="宋体"/>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853CC">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7F853CC">
                    <w:pPr>
                      <w:pStyle w:val="1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D4478">
    <w:pPr>
      <w:spacing w:line="226" w:lineRule="auto"/>
      <w:ind w:left="4231"/>
      <w:rPr>
        <w:rFonts w:ascii="宋体" w:hAnsi="宋体" w:eastAsia="宋体" w:cs="宋体"/>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BEFF8">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93BEFF8">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0D3B">
    <w:pPr>
      <w:spacing w:line="225" w:lineRule="auto"/>
      <w:ind w:left="4219"/>
      <w:rPr>
        <w:rFonts w:ascii="宋体" w:hAnsi="宋体" w:eastAsia="宋体" w:cs="宋体"/>
        <w:sz w:val="13"/>
        <w:szCs w:val="13"/>
      </w:rPr>
    </w:pPr>
    <w:r>
      <w:rPr>
        <w:sz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75F50">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FC75F50">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8B92">
    <w:pPr>
      <w:spacing w:line="225" w:lineRule="auto"/>
      <w:ind w:left="3966"/>
      <w:rPr>
        <w:rFonts w:ascii="宋体" w:hAnsi="宋体" w:eastAsia="宋体" w:cs="宋体"/>
        <w:sz w:val="13"/>
        <w:szCs w:val="13"/>
      </w:rPr>
    </w:pPr>
    <w:r>
      <w:rPr>
        <w:sz w:val="1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CC937">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40CC937">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3387B"/>
    <w:multiLevelType w:val="singleLevel"/>
    <w:tmpl w:val="9DA3387B"/>
    <w:lvl w:ilvl="0" w:tentative="0">
      <w:start w:val="1"/>
      <w:numFmt w:val="decimal"/>
      <w:lvlText w:val="%1)"/>
      <w:lvlJc w:val="left"/>
      <w:pPr>
        <w:tabs>
          <w:tab w:val="left" w:pos="312"/>
        </w:tabs>
      </w:pPr>
      <w:rPr>
        <w:rFonts w:hint="default"/>
        <w:b/>
        <w:bCs/>
      </w:rPr>
    </w:lvl>
  </w:abstractNum>
  <w:abstractNum w:abstractNumId="1">
    <w:nsid w:val="EA9B91AC"/>
    <w:multiLevelType w:val="singleLevel"/>
    <w:tmpl w:val="EA9B91AC"/>
    <w:lvl w:ilvl="0" w:tentative="0">
      <w:start w:val="14"/>
      <w:numFmt w:val="decimal"/>
      <w:suff w:val="nothing"/>
      <w:lvlText w:val="%1、"/>
      <w:lvlJc w:val="left"/>
    </w:lvl>
  </w:abstractNum>
  <w:abstractNum w:abstractNumId="2">
    <w:nsid w:val="F52CC76B"/>
    <w:multiLevelType w:val="singleLevel"/>
    <w:tmpl w:val="F52CC76B"/>
    <w:lvl w:ilvl="0" w:tentative="0">
      <w:start w:val="2"/>
      <w:numFmt w:val="decimal"/>
      <w:suff w:val="nothing"/>
      <w:lvlText w:val="%1、"/>
      <w:lvlJc w:val="left"/>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43874994"/>
    <w:multiLevelType w:val="multilevel"/>
    <w:tmpl w:val="43874994"/>
    <w:lvl w:ilvl="0" w:tentative="0">
      <w:start w:val="1"/>
      <w:numFmt w:val="decimal"/>
      <w:lvlText w:val="%1."/>
      <w:lvlJc w:val="left"/>
      <w:pPr>
        <w:ind w:left="460" w:hanging="360"/>
      </w:pPr>
      <w:rPr>
        <w:rFonts w:hint="default" w:ascii="宋体" w:hAnsi="宋体" w:eastAsia="宋体" w:cs="宋体"/>
        <w:w w:val="100"/>
        <w:sz w:val="24"/>
        <w:szCs w:val="24"/>
      </w:rPr>
    </w:lvl>
    <w:lvl w:ilvl="1" w:tentative="0">
      <w:start w:val="1"/>
      <w:numFmt w:val="decimal"/>
      <w:lvlText w:val="%2."/>
      <w:lvlJc w:val="left"/>
      <w:pPr>
        <w:ind w:left="1296" w:hanging="244"/>
      </w:pPr>
      <w:rPr>
        <w:rFonts w:hint="default" w:ascii="宋体" w:hAnsi="宋体" w:eastAsia="宋体" w:cs="宋体"/>
        <w:b/>
        <w:bCs/>
        <w:spacing w:val="0"/>
        <w:w w:val="99"/>
        <w:sz w:val="22"/>
        <w:szCs w:val="22"/>
      </w:rPr>
    </w:lvl>
    <w:lvl w:ilvl="2" w:tentative="0">
      <w:start w:val="1"/>
      <w:numFmt w:val="decimal"/>
      <w:lvlText w:val="%2.%3"/>
      <w:lvlJc w:val="left"/>
      <w:pPr>
        <w:ind w:left="1473" w:hanging="423"/>
      </w:pPr>
      <w:rPr>
        <w:rFonts w:hint="default" w:ascii="宋体" w:hAnsi="宋体" w:eastAsia="宋体" w:cs="宋体"/>
        <w:w w:val="100"/>
        <w:sz w:val="24"/>
        <w:szCs w:val="24"/>
      </w:rPr>
    </w:lvl>
    <w:lvl w:ilvl="3" w:tentative="0">
      <w:start w:val="1"/>
      <w:numFmt w:val="decimal"/>
      <w:lvlText w:val="%2.%3.%4"/>
      <w:lvlJc w:val="left"/>
      <w:pPr>
        <w:ind w:left="1813" w:hanging="641"/>
      </w:pPr>
      <w:rPr>
        <w:rFonts w:hint="default" w:ascii="宋体" w:hAnsi="宋体" w:eastAsia="宋体" w:cs="宋体"/>
        <w:w w:val="100"/>
        <w:sz w:val="24"/>
        <w:szCs w:val="24"/>
      </w:rPr>
    </w:lvl>
    <w:lvl w:ilvl="4" w:tentative="0">
      <w:start w:val="0"/>
      <w:numFmt w:val="bullet"/>
      <w:lvlText w:val="•"/>
      <w:lvlJc w:val="left"/>
      <w:pPr>
        <w:ind w:left="1820" w:hanging="641"/>
      </w:pPr>
      <w:rPr>
        <w:rFonts w:hint="default"/>
      </w:rPr>
    </w:lvl>
    <w:lvl w:ilvl="5" w:tentative="0">
      <w:start w:val="0"/>
      <w:numFmt w:val="bullet"/>
      <w:lvlText w:val="•"/>
      <w:lvlJc w:val="left"/>
      <w:pPr>
        <w:ind w:left="3094" w:hanging="641"/>
      </w:pPr>
      <w:rPr>
        <w:rFonts w:hint="default"/>
      </w:rPr>
    </w:lvl>
    <w:lvl w:ilvl="6" w:tentative="0">
      <w:start w:val="0"/>
      <w:numFmt w:val="bullet"/>
      <w:lvlText w:val="•"/>
      <w:lvlJc w:val="left"/>
      <w:pPr>
        <w:ind w:left="4369" w:hanging="641"/>
      </w:pPr>
      <w:rPr>
        <w:rFonts w:hint="default"/>
      </w:rPr>
    </w:lvl>
    <w:lvl w:ilvl="7" w:tentative="0">
      <w:start w:val="0"/>
      <w:numFmt w:val="bullet"/>
      <w:lvlText w:val="•"/>
      <w:lvlJc w:val="left"/>
      <w:pPr>
        <w:ind w:left="5643" w:hanging="641"/>
      </w:pPr>
      <w:rPr>
        <w:rFonts w:hint="default"/>
      </w:rPr>
    </w:lvl>
    <w:lvl w:ilvl="8" w:tentative="0">
      <w:start w:val="0"/>
      <w:numFmt w:val="bullet"/>
      <w:lvlText w:val="•"/>
      <w:lvlJc w:val="left"/>
      <w:pPr>
        <w:ind w:left="6918" w:hanging="641"/>
      </w:pPr>
      <w:rPr>
        <w:rFonts w:hint="default"/>
      </w:rPr>
    </w:lvl>
  </w:abstractNum>
  <w:abstractNum w:abstractNumId="6">
    <w:nsid w:val="72BED396"/>
    <w:multiLevelType w:val="singleLevel"/>
    <w:tmpl w:val="72BED396"/>
    <w:lvl w:ilvl="0" w:tentative="0">
      <w:start w:val="18"/>
      <w:numFmt w:val="decimal"/>
      <w:suff w:val="space"/>
      <w:lvlText w:val="%1."/>
      <w:lvlJc w:val="left"/>
    </w:lvl>
  </w:abstractNum>
  <w:num w:numId="1">
    <w:abstractNumId w:val="4"/>
  </w:num>
  <w:num w:numId="2">
    <w:abstractNumId w:val="6"/>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6B45"/>
    <w:rsid w:val="001D7D62"/>
    <w:rsid w:val="003A01EC"/>
    <w:rsid w:val="00665BAD"/>
    <w:rsid w:val="00D5331A"/>
    <w:rsid w:val="01174064"/>
    <w:rsid w:val="01205D5C"/>
    <w:rsid w:val="01312D03"/>
    <w:rsid w:val="014E16D1"/>
    <w:rsid w:val="0156177E"/>
    <w:rsid w:val="015B501D"/>
    <w:rsid w:val="0168074B"/>
    <w:rsid w:val="01763BCE"/>
    <w:rsid w:val="019D115B"/>
    <w:rsid w:val="01C42B8B"/>
    <w:rsid w:val="01EC44CA"/>
    <w:rsid w:val="021D1B47"/>
    <w:rsid w:val="02445A7A"/>
    <w:rsid w:val="026944DA"/>
    <w:rsid w:val="026C6D7F"/>
    <w:rsid w:val="027653BD"/>
    <w:rsid w:val="02786099"/>
    <w:rsid w:val="027D0F8C"/>
    <w:rsid w:val="027D3E9D"/>
    <w:rsid w:val="02866093"/>
    <w:rsid w:val="028975AE"/>
    <w:rsid w:val="029167E5"/>
    <w:rsid w:val="03287ACA"/>
    <w:rsid w:val="032D650E"/>
    <w:rsid w:val="035E0DBD"/>
    <w:rsid w:val="03D42E2E"/>
    <w:rsid w:val="03DA0078"/>
    <w:rsid w:val="03E5503B"/>
    <w:rsid w:val="03FB03BA"/>
    <w:rsid w:val="044004C3"/>
    <w:rsid w:val="048919BD"/>
    <w:rsid w:val="049D3B67"/>
    <w:rsid w:val="04AB17C9"/>
    <w:rsid w:val="0599432F"/>
    <w:rsid w:val="05BE5B43"/>
    <w:rsid w:val="05C869C2"/>
    <w:rsid w:val="05E51322"/>
    <w:rsid w:val="05F96B7B"/>
    <w:rsid w:val="062747EF"/>
    <w:rsid w:val="06293905"/>
    <w:rsid w:val="062F741B"/>
    <w:rsid w:val="064A7E58"/>
    <w:rsid w:val="06F55739"/>
    <w:rsid w:val="076745CB"/>
    <w:rsid w:val="07B05960"/>
    <w:rsid w:val="07C80EFB"/>
    <w:rsid w:val="07C81BD2"/>
    <w:rsid w:val="07CC09EB"/>
    <w:rsid w:val="07EA0E72"/>
    <w:rsid w:val="08365E65"/>
    <w:rsid w:val="085F5CC9"/>
    <w:rsid w:val="08C43471"/>
    <w:rsid w:val="09012917"/>
    <w:rsid w:val="09500FA6"/>
    <w:rsid w:val="09877A86"/>
    <w:rsid w:val="098A6F7A"/>
    <w:rsid w:val="09B47989"/>
    <w:rsid w:val="09C53944"/>
    <w:rsid w:val="09E54489"/>
    <w:rsid w:val="0A1263F9"/>
    <w:rsid w:val="0A6F1B02"/>
    <w:rsid w:val="0A8C0317"/>
    <w:rsid w:val="0A943317"/>
    <w:rsid w:val="0AAB0D8C"/>
    <w:rsid w:val="0BDE6348"/>
    <w:rsid w:val="0C2D2898"/>
    <w:rsid w:val="0C523489"/>
    <w:rsid w:val="0C6A07D3"/>
    <w:rsid w:val="0D5154EF"/>
    <w:rsid w:val="0D616EF9"/>
    <w:rsid w:val="0D705975"/>
    <w:rsid w:val="0D731DDF"/>
    <w:rsid w:val="0D8D4779"/>
    <w:rsid w:val="0D935B07"/>
    <w:rsid w:val="0D987182"/>
    <w:rsid w:val="0D9D3449"/>
    <w:rsid w:val="0DA17D16"/>
    <w:rsid w:val="0DC363ED"/>
    <w:rsid w:val="0DDB0848"/>
    <w:rsid w:val="0DF2282E"/>
    <w:rsid w:val="0DF94D7C"/>
    <w:rsid w:val="0E341099"/>
    <w:rsid w:val="0E9658AF"/>
    <w:rsid w:val="0E982ADE"/>
    <w:rsid w:val="0EB209A7"/>
    <w:rsid w:val="0F136F00"/>
    <w:rsid w:val="0F1A028E"/>
    <w:rsid w:val="0F31745F"/>
    <w:rsid w:val="0F3330FE"/>
    <w:rsid w:val="0F4D20F6"/>
    <w:rsid w:val="0F5D45EF"/>
    <w:rsid w:val="0FB57FB7"/>
    <w:rsid w:val="0FBE2419"/>
    <w:rsid w:val="0FD146C5"/>
    <w:rsid w:val="1007788E"/>
    <w:rsid w:val="102E3B3F"/>
    <w:rsid w:val="10582CA3"/>
    <w:rsid w:val="10765998"/>
    <w:rsid w:val="10A92B97"/>
    <w:rsid w:val="110034B4"/>
    <w:rsid w:val="11254CC9"/>
    <w:rsid w:val="112E7E5E"/>
    <w:rsid w:val="116972AB"/>
    <w:rsid w:val="116F5173"/>
    <w:rsid w:val="117A4BD6"/>
    <w:rsid w:val="11813F2D"/>
    <w:rsid w:val="11B2684C"/>
    <w:rsid w:val="11B83D8F"/>
    <w:rsid w:val="11E626AA"/>
    <w:rsid w:val="11EE5A02"/>
    <w:rsid w:val="1254215C"/>
    <w:rsid w:val="12B63F3E"/>
    <w:rsid w:val="12E27315"/>
    <w:rsid w:val="12FD414F"/>
    <w:rsid w:val="130B54F4"/>
    <w:rsid w:val="130D3C66"/>
    <w:rsid w:val="133149E8"/>
    <w:rsid w:val="13677FDD"/>
    <w:rsid w:val="137141F5"/>
    <w:rsid w:val="13A740BB"/>
    <w:rsid w:val="13C407C9"/>
    <w:rsid w:val="13C92283"/>
    <w:rsid w:val="14121C46"/>
    <w:rsid w:val="145002AE"/>
    <w:rsid w:val="1461070D"/>
    <w:rsid w:val="147D2B4E"/>
    <w:rsid w:val="14A06D59"/>
    <w:rsid w:val="14B7751E"/>
    <w:rsid w:val="14DC6C9D"/>
    <w:rsid w:val="14EB47A4"/>
    <w:rsid w:val="14F36F5F"/>
    <w:rsid w:val="14FB79FC"/>
    <w:rsid w:val="158A3C94"/>
    <w:rsid w:val="15AC1D9E"/>
    <w:rsid w:val="15C57C68"/>
    <w:rsid w:val="15E6711C"/>
    <w:rsid w:val="15EA1883"/>
    <w:rsid w:val="15F22031"/>
    <w:rsid w:val="1635775C"/>
    <w:rsid w:val="16695657"/>
    <w:rsid w:val="16A87D4B"/>
    <w:rsid w:val="16BA4105"/>
    <w:rsid w:val="16FC296F"/>
    <w:rsid w:val="170B70F7"/>
    <w:rsid w:val="17174E4F"/>
    <w:rsid w:val="17283764"/>
    <w:rsid w:val="173E0892"/>
    <w:rsid w:val="173E0E11"/>
    <w:rsid w:val="17400AAE"/>
    <w:rsid w:val="177E1729"/>
    <w:rsid w:val="17A0154D"/>
    <w:rsid w:val="17A056D1"/>
    <w:rsid w:val="17C23271"/>
    <w:rsid w:val="17F43647"/>
    <w:rsid w:val="18131D1F"/>
    <w:rsid w:val="18216F24"/>
    <w:rsid w:val="185A1073"/>
    <w:rsid w:val="18614316"/>
    <w:rsid w:val="186E164B"/>
    <w:rsid w:val="1876405C"/>
    <w:rsid w:val="18866995"/>
    <w:rsid w:val="190B6E9A"/>
    <w:rsid w:val="19195744"/>
    <w:rsid w:val="19A215AC"/>
    <w:rsid w:val="19A8293B"/>
    <w:rsid w:val="19E71B48"/>
    <w:rsid w:val="19FE07AD"/>
    <w:rsid w:val="1A09478B"/>
    <w:rsid w:val="1A1B4F7F"/>
    <w:rsid w:val="1A4C32C6"/>
    <w:rsid w:val="1A530AF8"/>
    <w:rsid w:val="1AA475A6"/>
    <w:rsid w:val="1AE654C9"/>
    <w:rsid w:val="1AEB0D31"/>
    <w:rsid w:val="1AF20311"/>
    <w:rsid w:val="1B4C5927"/>
    <w:rsid w:val="1B5A7C65"/>
    <w:rsid w:val="1BC10D18"/>
    <w:rsid w:val="1BD46603"/>
    <w:rsid w:val="1BD723D6"/>
    <w:rsid w:val="1BE81A43"/>
    <w:rsid w:val="1C5A43C0"/>
    <w:rsid w:val="1C907DE2"/>
    <w:rsid w:val="1C9F1DD3"/>
    <w:rsid w:val="1CD65C5D"/>
    <w:rsid w:val="1CF163A7"/>
    <w:rsid w:val="1D7F39B2"/>
    <w:rsid w:val="1D8316F5"/>
    <w:rsid w:val="1D8A593D"/>
    <w:rsid w:val="1DB60B4F"/>
    <w:rsid w:val="1DDC0E05"/>
    <w:rsid w:val="1DEB1048"/>
    <w:rsid w:val="1DF11408"/>
    <w:rsid w:val="1DF167C4"/>
    <w:rsid w:val="1E4812B5"/>
    <w:rsid w:val="1E5D0198"/>
    <w:rsid w:val="1E8A6AB3"/>
    <w:rsid w:val="1EC21DA9"/>
    <w:rsid w:val="1EE12B77"/>
    <w:rsid w:val="1EE4141F"/>
    <w:rsid w:val="1F1C0F96"/>
    <w:rsid w:val="1F2411E5"/>
    <w:rsid w:val="1F654BB1"/>
    <w:rsid w:val="1F720C23"/>
    <w:rsid w:val="1F923E71"/>
    <w:rsid w:val="1FB060A5"/>
    <w:rsid w:val="1FE47B4B"/>
    <w:rsid w:val="1FF73CD4"/>
    <w:rsid w:val="1FFE32B4"/>
    <w:rsid w:val="204D5FEA"/>
    <w:rsid w:val="206E3B8C"/>
    <w:rsid w:val="20E34258"/>
    <w:rsid w:val="20E410EC"/>
    <w:rsid w:val="21050673"/>
    <w:rsid w:val="21252CB1"/>
    <w:rsid w:val="2149055F"/>
    <w:rsid w:val="219A0DBB"/>
    <w:rsid w:val="21DF2C72"/>
    <w:rsid w:val="21FA5397"/>
    <w:rsid w:val="22636C97"/>
    <w:rsid w:val="22665141"/>
    <w:rsid w:val="22753611"/>
    <w:rsid w:val="227D7B30"/>
    <w:rsid w:val="22A7378F"/>
    <w:rsid w:val="22D327D6"/>
    <w:rsid w:val="230211FF"/>
    <w:rsid w:val="231F6A45"/>
    <w:rsid w:val="2322375E"/>
    <w:rsid w:val="23D26F32"/>
    <w:rsid w:val="23DC56BB"/>
    <w:rsid w:val="23EF1892"/>
    <w:rsid w:val="242A0480"/>
    <w:rsid w:val="2439262D"/>
    <w:rsid w:val="24CF521F"/>
    <w:rsid w:val="24D46CDA"/>
    <w:rsid w:val="25461985"/>
    <w:rsid w:val="256C658B"/>
    <w:rsid w:val="25911D6E"/>
    <w:rsid w:val="261A33D9"/>
    <w:rsid w:val="264F486A"/>
    <w:rsid w:val="26D33C77"/>
    <w:rsid w:val="26DE174A"/>
    <w:rsid w:val="27277595"/>
    <w:rsid w:val="27A110F5"/>
    <w:rsid w:val="27A26C1B"/>
    <w:rsid w:val="27BF3329"/>
    <w:rsid w:val="28377363"/>
    <w:rsid w:val="28433F5A"/>
    <w:rsid w:val="285C4088"/>
    <w:rsid w:val="2898365D"/>
    <w:rsid w:val="28B60BD0"/>
    <w:rsid w:val="29010B9E"/>
    <w:rsid w:val="292D69B8"/>
    <w:rsid w:val="293E2974"/>
    <w:rsid w:val="29622B06"/>
    <w:rsid w:val="29B33362"/>
    <w:rsid w:val="29D4705B"/>
    <w:rsid w:val="29F61486"/>
    <w:rsid w:val="2A0239A1"/>
    <w:rsid w:val="2A104310"/>
    <w:rsid w:val="2A342274"/>
    <w:rsid w:val="2A761117"/>
    <w:rsid w:val="2A781EB5"/>
    <w:rsid w:val="2A946CEF"/>
    <w:rsid w:val="2AD25A69"/>
    <w:rsid w:val="2AF96930"/>
    <w:rsid w:val="2AFE685E"/>
    <w:rsid w:val="2B2636BF"/>
    <w:rsid w:val="2B5449A3"/>
    <w:rsid w:val="2B6F6851"/>
    <w:rsid w:val="2BC730F4"/>
    <w:rsid w:val="2BD14A92"/>
    <w:rsid w:val="2C54393F"/>
    <w:rsid w:val="2C5F157F"/>
    <w:rsid w:val="2C636685"/>
    <w:rsid w:val="2C66290D"/>
    <w:rsid w:val="2CAD22EA"/>
    <w:rsid w:val="2CB03B88"/>
    <w:rsid w:val="2CDA30E3"/>
    <w:rsid w:val="2CEA52EC"/>
    <w:rsid w:val="2CF41CC7"/>
    <w:rsid w:val="2D0068BE"/>
    <w:rsid w:val="2D1265F1"/>
    <w:rsid w:val="2D1A5F91"/>
    <w:rsid w:val="2D447E18"/>
    <w:rsid w:val="2D636E4D"/>
    <w:rsid w:val="2D9E60D7"/>
    <w:rsid w:val="2DB15942"/>
    <w:rsid w:val="2DD613CD"/>
    <w:rsid w:val="2DF07E86"/>
    <w:rsid w:val="2E112405"/>
    <w:rsid w:val="2E141EF5"/>
    <w:rsid w:val="2E64718B"/>
    <w:rsid w:val="2E823302"/>
    <w:rsid w:val="2E8250B1"/>
    <w:rsid w:val="2EB16AEA"/>
    <w:rsid w:val="2EFD1A21"/>
    <w:rsid w:val="2F1403FE"/>
    <w:rsid w:val="2F2D326E"/>
    <w:rsid w:val="2F3A3BDD"/>
    <w:rsid w:val="2F494D9F"/>
    <w:rsid w:val="2F972DDE"/>
    <w:rsid w:val="2FA21EAE"/>
    <w:rsid w:val="2FD90EB7"/>
    <w:rsid w:val="30030473"/>
    <w:rsid w:val="30156353"/>
    <w:rsid w:val="303625F7"/>
    <w:rsid w:val="304A2389"/>
    <w:rsid w:val="312F5353"/>
    <w:rsid w:val="31432160"/>
    <w:rsid w:val="31A57A34"/>
    <w:rsid w:val="31B9528D"/>
    <w:rsid w:val="32432DA9"/>
    <w:rsid w:val="327B69E7"/>
    <w:rsid w:val="32B53CA7"/>
    <w:rsid w:val="32CE6B16"/>
    <w:rsid w:val="331D35FA"/>
    <w:rsid w:val="33857B1D"/>
    <w:rsid w:val="33A06705"/>
    <w:rsid w:val="33E365F1"/>
    <w:rsid w:val="342F5CDB"/>
    <w:rsid w:val="34315F42"/>
    <w:rsid w:val="34530979"/>
    <w:rsid w:val="34FC3E0F"/>
    <w:rsid w:val="3502780C"/>
    <w:rsid w:val="350C4582"/>
    <w:rsid w:val="354E03E2"/>
    <w:rsid w:val="3550415A"/>
    <w:rsid w:val="3564627D"/>
    <w:rsid w:val="35647C06"/>
    <w:rsid w:val="35771BC5"/>
    <w:rsid w:val="358C0518"/>
    <w:rsid w:val="359C74CB"/>
    <w:rsid w:val="35C0308E"/>
    <w:rsid w:val="35C2490E"/>
    <w:rsid w:val="35C948C7"/>
    <w:rsid w:val="35FE3BB6"/>
    <w:rsid w:val="366A1951"/>
    <w:rsid w:val="36727F69"/>
    <w:rsid w:val="369B31B3"/>
    <w:rsid w:val="36E76A51"/>
    <w:rsid w:val="36E93304"/>
    <w:rsid w:val="37076A9B"/>
    <w:rsid w:val="375201D1"/>
    <w:rsid w:val="37620175"/>
    <w:rsid w:val="378679C0"/>
    <w:rsid w:val="37985945"/>
    <w:rsid w:val="37BF0103"/>
    <w:rsid w:val="37EA2644"/>
    <w:rsid w:val="37F0752F"/>
    <w:rsid w:val="381E22EE"/>
    <w:rsid w:val="382A2A41"/>
    <w:rsid w:val="38395C09"/>
    <w:rsid w:val="389C7F90"/>
    <w:rsid w:val="38AB7495"/>
    <w:rsid w:val="38C8225A"/>
    <w:rsid w:val="38D91655"/>
    <w:rsid w:val="390D7DB6"/>
    <w:rsid w:val="39261A80"/>
    <w:rsid w:val="3926502D"/>
    <w:rsid w:val="397C3FDE"/>
    <w:rsid w:val="39BD1693"/>
    <w:rsid w:val="39F71049"/>
    <w:rsid w:val="3A0177D1"/>
    <w:rsid w:val="3B0B1074"/>
    <w:rsid w:val="3B0C28D2"/>
    <w:rsid w:val="3B6B7A84"/>
    <w:rsid w:val="3B705689"/>
    <w:rsid w:val="3B8C3A12"/>
    <w:rsid w:val="3BA23236"/>
    <w:rsid w:val="3BEB0739"/>
    <w:rsid w:val="3C253BCC"/>
    <w:rsid w:val="3C7E77FF"/>
    <w:rsid w:val="3C8800D3"/>
    <w:rsid w:val="3CDE029E"/>
    <w:rsid w:val="3D00228A"/>
    <w:rsid w:val="3D411F6F"/>
    <w:rsid w:val="3D7604D6"/>
    <w:rsid w:val="3D8D4148"/>
    <w:rsid w:val="3DE235C1"/>
    <w:rsid w:val="3DFA688D"/>
    <w:rsid w:val="3E295549"/>
    <w:rsid w:val="3E826884"/>
    <w:rsid w:val="3F3360DA"/>
    <w:rsid w:val="3F557A18"/>
    <w:rsid w:val="3FC41290"/>
    <w:rsid w:val="3FF37D68"/>
    <w:rsid w:val="40002CE8"/>
    <w:rsid w:val="40352173"/>
    <w:rsid w:val="403D46F7"/>
    <w:rsid w:val="4062536E"/>
    <w:rsid w:val="40754AB5"/>
    <w:rsid w:val="409356AF"/>
    <w:rsid w:val="409E7D57"/>
    <w:rsid w:val="40D75730"/>
    <w:rsid w:val="415C79E3"/>
    <w:rsid w:val="41780CC1"/>
    <w:rsid w:val="41AE1F3B"/>
    <w:rsid w:val="41C602F5"/>
    <w:rsid w:val="425E0143"/>
    <w:rsid w:val="427113AE"/>
    <w:rsid w:val="427C799E"/>
    <w:rsid w:val="42C76F9F"/>
    <w:rsid w:val="430014FE"/>
    <w:rsid w:val="431247FD"/>
    <w:rsid w:val="43446568"/>
    <w:rsid w:val="43C755E8"/>
    <w:rsid w:val="43CA4702"/>
    <w:rsid w:val="43F32881"/>
    <w:rsid w:val="44496945"/>
    <w:rsid w:val="44587486"/>
    <w:rsid w:val="44847DA0"/>
    <w:rsid w:val="448B0D0B"/>
    <w:rsid w:val="44AB315B"/>
    <w:rsid w:val="44F64161"/>
    <w:rsid w:val="452A22D2"/>
    <w:rsid w:val="45302890"/>
    <w:rsid w:val="455058D9"/>
    <w:rsid w:val="4569586D"/>
    <w:rsid w:val="459F41C9"/>
    <w:rsid w:val="45EF0E26"/>
    <w:rsid w:val="46016800"/>
    <w:rsid w:val="46040D75"/>
    <w:rsid w:val="462404E5"/>
    <w:rsid w:val="4672394C"/>
    <w:rsid w:val="467C7226"/>
    <w:rsid w:val="46A77952"/>
    <w:rsid w:val="46D06AFD"/>
    <w:rsid w:val="470429C3"/>
    <w:rsid w:val="47094169"/>
    <w:rsid w:val="47490A0A"/>
    <w:rsid w:val="47523D62"/>
    <w:rsid w:val="475F1FDB"/>
    <w:rsid w:val="47CB2B77"/>
    <w:rsid w:val="47E349BA"/>
    <w:rsid w:val="48025817"/>
    <w:rsid w:val="48416D65"/>
    <w:rsid w:val="485E533F"/>
    <w:rsid w:val="48D569F9"/>
    <w:rsid w:val="48F74BC1"/>
    <w:rsid w:val="490966A2"/>
    <w:rsid w:val="49373210"/>
    <w:rsid w:val="494D610D"/>
    <w:rsid w:val="49655C0C"/>
    <w:rsid w:val="49753559"/>
    <w:rsid w:val="49927A46"/>
    <w:rsid w:val="4A361719"/>
    <w:rsid w:val="4A6242BC"/>
    <w:rsid w:val="4A6435BD"/>
    <w:rsid w:val="4A82495E"/>
    <w:rsid w:val="4AE051E1"/>
    <w:rsid w:val="4AF3760A"/>
    <w:rsid w:val="4B074E64"/>
    <w:rsid w:val="4B393E6B"/>
    <w:rsid w:val="4B3A2B43"/>
    <w:rsid w:val="4B412124"/>
    <w:rsid w:val="4B5C6F5D"/>
    <w:rsid w:val="4B5E0F27"/>
    <w:rsid w:val="4B8D35BB"/>
    <w:rsid w:val="4B9B321A"/>
    <w:rsid w:val="4BC652FD"/>
    <w:rsid w:val="4C51283A"/>
    <w:rsid w:val="4C6C5AF1"/>
    <w:rsid w:val="4C746529"/>
    <w:rsid w:val="4C940979"/>
    <w:rsid w:val="4CE27F91"/>
    <w:rsid w:val="4D3A1520"/>
    <w:rsid w:val="4D437405"/>
    <w:rsid w:val="4D4759EB"/>
    <w:rsid w:val="4D662315"/>
    <w:rsid w:val="4DD3727F"/>
    <w:rsid w:val="4DDF79D2"/>
    <w:rsid w:val="4E564138"/>
    <w:rsid w:val="4EBD0AE9"/>
    <w:rsid w:val="4EFB470C"/>
    <w:rsid w:val="4F0F2539"/>
    <w:rsid w:val="4F10078B"/>
    <w:rsid w:val="4F1634D1"/>
    <w:rsid w:val="4F1A1ED7"/>
    <w:rsid w:val="4F3F12D7"/>
    <w:rsid w:val="4F975776"/>
    <w:rsid w:val="4FD74E04"/>
    <w:rsid w:val="4FE442AD"/>
    <w:rsid w:val="5011153E"/>
    <w:rsid w:val="501A61F2"/>
    <w:rsid w:val="50827466"/>
    <w:rsid w:val="508652CD"/>
    <w:rsid w:val="508A77AF"/>
    <w:rsid w:val="50F84E45"/>
    <w:rsid w:val="51087240"/>
    <w:rsid w:val="51624BA2"/>
    <w:rsid w:val="516A21C9"/>
    <w:rsid w:val="51DE0F0A"/>
    <w:rsid w:val="51E967F2"/>
    <w:rsid w:val="51F85506"/>
    <w:rsid w:val="5201085F"/>
    <w:rsid w:val="52140592"/>
    <w:rsid w:val="523676EA"/>
    <w:rsid w:val="524E4433"/>
    <w:rsid w:val="5294522F"/>
    <w:rsid w:val="52A25C20"/>
    <w:rsid w:val="52AB07CA"/>
    <w:rsid w:val="52D06E52"/>
    <w:rsid w:val="52DE1C23"/>
    <w:rsid w:val="52E33AC0"/>
    <w:rsid w:val="52F97788"/>
    <w:rsid w:val="53F25181"/>
    <w:rsid w:val="54066B2B"/>
    <w:rsid w:val="54161C73"/>
    <w:rsid w:val="542919A7"/>
    <w:rsid w:val="546E1AAF"/>
    <w:rsid w:val="549906F7"/>
    <w:rsid w:val="54D50CAC"/>
    <w:rsid w:val="55024486"/>
    <w:rsid w:val="55054EB9"/>
    <w:rsid w:val="55284354"/>
    <w:rsid w:val="55332A56"/>
    <w:rsid w:val="553D46AE"/>
    <w:rsid w:val="55D02A22"/>
    <w:rsid w:val="561D2CC5"/>
    <w:rsid w:val="5641747C"/>
    <w:rsid w:val="56680EAC"/>
    <w:rsid w:val="56CF335F"/>
    <w:rsid w:val="572F0CE8"/>
    <w:rsid w:val="57300557"/>
    <w:rsid w:val="57340D8E"/>
    <w:rsid w:val="57870CF1"/>
    <w:rsid w:val="57D367F9"/>
    <w:rsid w:val="580A7D41"/>
    <w:rsid w:val="58156E12"/>
    <w:rsid w:val="582B03E3"/>
    <w:rsid w:val="58FF53CC"/>
    <w:rsid w:val="5A0E034B"/>
    <w:rsid w:val="5A144EA7"/>
    <w:rsid w:val="5A5A4FB0"/>
    <w:rsid w:val="5AD05272"/>
    <w:rsid w:val="5AEE74A6"/>
    <w:rsid w:val="5AFA4F12"/>
    <w:rsid w:val="5B150ED7"/>
    <w:rsid w:val="5B7F2B98"/>
    <w:rsid w:val="5BC36B85"/>
    <w:rsid w:val="5BE70AC5"/>
    <w:rsid w:val="5BED59B0"/>
    <w:rsid w:val="5C163DE7"/>
    <w:rsid w:val="5C272C70"/>
    <w:rsid w:val="5C5B500F"/>
    <w:rsid w:val="5C8400C2"/>
    <w:rsid w:val="5D0905C7"/>
    <w:rsid w:val="5D5E726C"/>
    <w:rsid w:val="5D650029"/>
    <w:rsid w:val="5D7C6FEB"/>
    <w:rsid w:val="5D8A079E"/>
    <w:rsid w:val="5DF11787"/>
    <w:rsid w:val="5E7B72A3"/>
    <w:rsid w:val="5E9B7945"/>
    <w:rsid w:val="5F13397F"/>
    <w:rsid w:val="5F1E1D1D"/>
    <w:rsid w:val="5F2C67EF"/>
    <w:rsid w:val="5F357D99"/>
    <w:rsid w:val="5FB20AF9"/>
    <w:rsid w:val="5FF76DFD"/>
    <w:rsid w:val="5FFB718A"/>
    <w:rsid w:val="607C4315"/>
    <w:rsid w:val="6082700E"/>
    <w:rsid w:val="60996106"/>
    <w:rsid w:val="60A043C2"/>
    <w:rsid w:val="618A01A8"/>
    <w:rsid w:val="61D46C3D"/>
    <w:rsid w:val="61D974A5"/>
    <w:rsid w:val="61F71336"/>
    <w:rsid w:val="623315E8"/>
    <w:rsid w:val="623E51B7"/>
    <w:rsid w:val="624F4CCE"/>
    <w:rsid w:val="629118D9"/>
    <w:rsid w:val="629B6165"/>
    <w:rsid w:val="62DF6342"/>
    <w:rsid w:val="62EE44E7"/>
    <w:rsid w:val="63195DA0"/>
    <w:rsid w:val="63332788"/>
    <w:rsid w:val="633D725E"/>
    <w:rsid w:val="63464323"/>
    <w:rsid w:val="63600BB5"/>
    <w:rsid w:val="637F3391"/>
    <w:rsid w:val="63982E0E"/>
    <w:rsid w:val="63C65464"/>
    <w:rsid w:val="63CB2A7A"/>
    <w:rsid w:val="63F83144"/>
    <w:rsid w:val="64045A64"/>
    <w:rsid w:val="64416899"/>
    <w:rsid w:val="645C7B76"/>
    <w:rsid w:val="64D140C0"/>
    <w:rsid w:val="65037DB5"/>
    <w:rsid w:val="65156AAD"/>
    <w:rsid w:val="657431E7"/>
    <w:rsid w:val="658B24C1"/>
    <w:rsid w:val="659C2241"/>
    <w:rsid w:val="65C07B80"/>
    <w:rsid w:val="65DB75BE"/>
    <w:rsid w:val="66442670"/>
    <w:rsid w:val="66524299"/>
    <w:rsid w:val="665533E3"/>
    <w:rsid w:val="667035AB"/>
    <w:rsid w:val="66761E42"/>
    <w:rsid w:val="66886A01"/>
    <w:rsid w:val="6723497B"/>
    <w:rsid w:val="67277FC8"/>
    <w:rsid w:val="677B6565"/>
    <w:rsid w:val="67EB7A4A"/>
    <w:rsid w:val="68580655"/>
    <w:rsid w:val="6864524C"/>
    <w:rsid w:val="68863E64"/>
    <w:rsid w:val="68A613C0"/>
    <w:rsid w:val="68CD2DF1"/>
    <w:rsid w:val="68E8445D"/>
    <w:rsid w:val="692C5D69"/>
    <w:rsid w:val="69366BE8"/>
    <w:rsid w:val="69403A10"/>
    <w:rsid w:val="694E5AB8"/>
    <w:rsid w:val="69740693"/>
    <w:rsid w:val="69813EAB"/>
    <w:rsid w:val="69B30239"/>
    <w:rsid w:val="69EA7AF9"/>
    <w:rsid w:val="69F055C0"/>
    <w:rsid w:val="6A6D6639"/>
    <w:rsid w:val="6A8C0A2C"/>
    <w:rsid w:val="6A902328"/>
    <w:rsid w:val="6AA25882"/>
    <w:rsid w:val="6B2D401B"/>
    <w:rsid w:val="6BC404DB"/>
    <w:rsid w:val="6BF32B6E"/>
    <w:rsid w:val="6BFF59B7"/>
    <w:rsid w:val="6C240F7A"/>
    <w:rsid w:val="6C3F5DB4"/>
    <w:rsid w:val="6C4B4758"/>
    <w:rsid w:val="6C586E75"/>
    <w:rsid w:val="6C5B0FC2"/>
    <w:rsid w:val="6C6677E4"/>
    <w:rsid w:val="6C7041BF"/>
    <w:rsid w:val="6C7F4402"/>
    <w:rsid w:val="6C8E6D3B"/>
    <w:rsid w:val="6C9E65C1"/>
    <w:rsid w:val="6CB814BC"/>
    <w:rsid w:val="6CED104F"/>
    <w:rsid w:val="6CF43042"/>
    <w:rsid w:val="6D193D0C"/>
    <w:rsid w:val="6D904050"/>
    <w:rsid w:val="6D94212F"/>
    <w:rsid w:val="6DCA5B51"/>
    <w:rsid w:val="6DD15131"/>
    <w:rsid w:val="6DD62748"/>
    <w:rsid w:val="6DD95D94"/>
    <w:rsid w:val="6DF56B72"/>
    <w:rsid w:val="6E3631E6"/>
    <w:rsid w:val="6E3C2BCA"/>
    <w:rsid w:val="6E6E472E"/>
    <w:rsid w:val="6E7C509D"/>
    <w:rsid w:val="6E802433"/>
    <w:rsid w:val="6E901ADE"/>
    <w:rsid w:val="6E985C4F"/>
    <w:rsid w:val="6EAE7221"/>
    <w:rsid w:val="6EC90C44"/>
    <w:rsid w:val="6ECA348F"/>
    <w:rsid w:val="6EED7D49"/>
    <w:rsid w:val="6F0155A2"/>
    <w:rsid w:val="6F3516F0"/>
    <w:rsid w:val="6FCC7249"/>
    <w:rsid w:val="6FEC6252"/>
    <w:rsid w:val="703E5F0E"/>
    <w:rsid w:val="705D2CAC"/>
    <w:rsid w:val="70A21873"/>
    <w:rsid w:val="711A0B9D"/>
    <w:rsid w:val="712832BA"/>
    <w:rsid w:val="713D663A"/>
    <w:rsid w:val="71566CAE"/>
    <w:rsid w:val="71F52906"/>
    <w:rsid w:val="72023B0B"/>
    <w:rsid w:val="72181581"/>
    <w:rsid w:val="722A3062"/>
    <w:rsid w:val="727D13E4"/>
    <w:rsid w:val="72AB41A3"/>
    <w:rsid w:val="72C74D55"/>
    <w:rsid w:val="72E50D55"/>
    <w:rsid w:val="73005B71"/>
    <w:rsid w:val="732B21DF"/>
    <w:rsid w:val="7375627A"/>
    <w:rsid w:val="737604CA"/>
    <w:rsid w:val="7379310F"/>
    <w:rsid w:val="738844E4"/>
    <w:rsid w:val="739015EB"/>
    <w:rsid w:val="739E1612"/>
    <w:rsid w:val="73A525BB"/>
    <w:rsid w:val="73C05A2C"/>
    <w:rsid w:val="73C66DBA"/>
    <w:rsid w:val="73F41B79"/>
    <w:rsid w:val="74116287"/>
    <w:rsid w:val="746A3800"/>
    <w:rsid w:val="74736F42"/>
    <w:rsid w:val="74F51705"/>
    <w:rsid w:val="75051E70"/>
    <w:rsid w:val="75B570E6"/>
    <w:rsid w:val="75BC66C7"/>
    <w:rsid w:val="75CE0AAF"/>
    <w:rsid w:val="75D074E8"/>
    <w:rsid w:val="76193200"/>
    <w:rsid w:val="761A27A3"/>
    <w:rsid w:val="76267B2C"/>
    <w:rsid w:val="766528BB"/>
    <w:rsid w:val="76B15B00"/>
    <w:rsid w:val="76D87530"/>
    <w:rsid w:val="76F346C7"/>
    <w:rsid w:val="77651271"/>
    <w:rsid w:val="77884AB3"/>
    <w:rsid w:val="77964814"/>
    <w:rsid w:val="77B21B30"/>
    <w:rsid w:val="77CB7519"/>
    <w:rsid w:val="781E71C5"/>
    <w:rsid w:val="7840713B"/>
    <w:rsid w:val="789C1ED9"/>
    <w:rsid w:val="789E3E62"/>
    <w:rsid w:val="78A02A5A"/>
    <w:rsid w:val="78BD078C"/>
    <w:rsid w:val="78E21FA1"/>
    <w:rsid w:val="78EE303B"/>
    <w:rsid w:val="798E3ED6"/>
    <w:rsid w:val="79E67836"/>
    <w:rsid w:val="7A2B3E1B"/>
    <w:rsid w:val="7A47775E"/>
    <w:rsid w:val="7B1B5C3E"/>
    <w:rsid w:val="7B1F43D0"/>
    <w:rsid w:val="7B3311D9"/>
    <w:rsid w:val="7B353530"/>
    <w:rsid w:val="7B6770D5"/>
    <w:rsid w:val="7B713AB0"/>
    <w:rsid w:val="7B8C07EE"/>
    <w:rsid w:val="7BDA78A7"/>
    <w:rsid w:val="7C1152C9"/>
    <w:rsid w:val="7C207132"/>
    <w:rsid w:val="7C75312C"/>
    <w:rsid w:val="7C857813"/>
    <w:rsid w:val="7C907F65"/>
    <w:rsid w:val="7CB4634A"/>
    <w:rsid w:val="7D5D42EC"/>
    <w:rsid w:val="7D6A7B33"/>
    <w:rsid w:val="7DA921EA"/>
    <w:rsid w:val="7DB84DCB"/>
    <w:rsid w:val="7DE844FD"/>
    <w:rsid w:val="7DEE6983"/>
    <w:rsid w:val="7E135450"/>
    <w:rsid w:val="7E3A462D"/>
    <w:rsid w:val="7E484F9C"/>
    <w:rsid w:val="7E906943"/>
    <w:rsid w:val="7EC9775F"/>
    <w:rsid w:val="7ECF2FC7"/>
    <w:rsid w:val="7EDB5E10"/>
    <w:rsid w:val="7EFC65E6"/>
    <w:rsid w:val="7F597E98"/>
    <w:rsid w:val="7F637BB3"/>
    <w:rsid w:val="7F9D0618"/>
    <w:rsid w:val="7FCC4820"/>
    <w:rsid w:val="7FE60762"/>
    <w:rsid w:val="7FEA4C3C"/>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rPr>
  </w:style>
  <w:style w:type="paragraph" w:styleId="7">
    <w:name w:val="annotation text"/>
    <w:basedOn w:val="1"/>
    <w:qFormat/>
    <w:uiPriority w:val="0"/>
    <w:pPr>
      <w:jc w:val="left"/>
    </w:p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next w:val="10"/>
    <w:qFormat/>
    <w:uiPriority w:val="0"/>
    <w:pPr>
      <w:spacing w:line="360" w:lineRule="auto"/>
      <w:ind w:firstLine="570"/>
    </w:pPr>
    <w:rPr>
      <w:sz w:val="24"/>
    </w:rPr>
  </w:style>
  <w:style w:type="paragraph" w:customStyle="1" w:styleId="10">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footnote text"/>
    <w:basedOn w:val="1"/>
    <w:next w:val="8"/>
    <w:qFormat/>
    <w:uiPriority w:val="0"/>
    <w:pPr>
      <w:snapToGrid w:val="0"/>
      <w:jc w:val="left"/>
    </w:pPr>
    <w:rPr>
      <w:sz w:val="18"/>
    </w:rPr>
  </w:style>
  <w:style w:type="paragraph" w:styleId="17">
    <w:name w:val="toc 2"/>
    <w:basedOn w:val="1"/>
    <w:next w:val="1"/>
    <w:qFormat/>
    <w:uiPriority w:val="0"/>
    <w:pPr>
      <w:ind w:left="420" w:leftChars="200"/>
    </w:pPr>
  </w:style>
  <w:style w:type="paragraph" w:styleId="18">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w:basedOn w:val="8"/>
    <w:qFormat/>
    <w:uiPriority w:val="0"/>
    <w:pPr>
      <w:spacing w:after="120"/>
      <w:ind w:firstLine="420" w:firstLineChars="100"/>
    </w:pPr>
    <w:rPr>
      <w:sz w:val="21"/>
    </w:rPr>
  </w:style>
  <w:style w:type="paragraph" w:styleId="20">
    <w:name w:val="Body Text First Indent 2"/>
    <w:basedOn w:val="9"/>
    <w:qFormat/>
    <w:uiPriority w:val="0"/>
    <w:pPr>
      <w:ind w:firstLine="420" w:firstLineChars="200"/>
    </w:pPr>
  </w:style>
  <w:style w:type="character" w:styleId="23">
    <w:name w:val="Strong"/>
    <w:basedOn w:val="22"/>
    <w:qFormat/>
    <w:uiPriority w:val="0"/>
    <w:rPr>
      <w:b/>
      <w:bCs/>
    </w:rPr>
  </w:style>
  <w:style w:type="paragraph" w:customStyle="1" w:styleId="24">
    <w:name w:val="正文+缩进"/>
    <w:basedOn w:val="1"/>
    <w:qFormat/>
    <w:uiPriority w:val="0"/>
    <w:pPr>
      <w:ind w:firstLine="200" w:firstLineChars="200"/>
    </w:pPr>
  </w:style>
  <w:style w:type="paragraph" w:customStyle="1" w:styleId="25">
    <w:name w:val="Heading 6"/>
    <w:basedOn w:val="1"/>
    <w:autoRedefine/>
    <w:qFormat/>
    <w:uiPriority w:val="1"/>
    <w:pPr>
      <w:ind w:left="950" w:hanging="363"/>
      <w:outlineLvl w:val="6"/>
    </w:pPr>
    <w:rPr>
      <w:b/>
      <w:bCs/>
      <w:sz w:val="24"/>
      <w:szCs w:val="24"/>
    </w:rPr>
  </w:style>
  <w:style w:type="paragraph" w:styleId="26">
    <w:name w:val="List Paragraph"/>
    <w:basedOn w:val="1"/>
    <w:autoRedefine/>
    <w:qFormat/>
    <w:uiPriority w:val="1"/>
    <w:pPr>
      <w:ind w:left="107" w:firstLine="480"/>
    </w:pPr>
  </w:style>
  <w:style w:type="paragraph" w:customStyle="1" w:styleId="27">
    <w:name w:val="Table Paragraph"/>
    <w:basedOn w:val="1"/>
    <w:autoRedefine/>
    <w:qFormat/>
    <w:uiPriority w:val="1"/>
    <w:rPr>
      <w:rFonts w:ascii="宋体" w:hAnsi="宋体" w:cs="宋体"/>
      <w:lang w:val="zh-CN" w:bidi="zh-CN"/>
    </w:rPr>
  </w:style>
  <w:style w:type="paragraph" w:customStyle="1" w:styleId="28">
    <w:name w:val="Table Text"/>
    <w:basedOn w:val="1"/>
    <w:autoRedefine/>
    <w:semiHidden/>
    <w:qFormat/>
    <w:uiPriority w:val="0"/>
    <w:rPr>
      <w:rFonts w:ascii="宋体" w:hAnsi="宋体" w:eastAsia="宋体" w:cs="宋体"/>
      <w:sz w:val="24"/>
      <w:szCs w:val="24"/>
      <w:lang w:val="en-US" w:eastAsia="en-US"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null5"/>
    <w:hidden/>
    <w:qFormat/>
    <w:uiPriority w:val="0"/>
    <w:rPr>
      <w:rFonts w:hint="eastAsia" w:ascii="仿宋_GB2312" w:hAnsi="仿宋_GB2312" w:eastAsia="仿宋_GB2312" w:cs="仿宋_GB2312"/>
      <w:sz w:val="24"/>
      <w:szCs w:val="24"/>
      <w:lang w:val="en-US" w:eastAsia="zh-CN" w:bidi="ar-SA"/>
    </w:rPr>
  </w:style>
  <w:style w:type="paragraph" w:customStyle="1" w:styleId="31">
    <w:name w:val="WPS Plain"/>
    <w:basedOn w:val="1"/>
    <w:qFormat/>
    <w:uiPriority w:val="0"/>
    <w:pPr>
      <w:widowControl/>
      <w:adjustRightInd/>
      <w:spacing w:line="240" w:lineRule="auto"/>
      <w:jc w:val="left"/>
      <w:textAlignment w:val="auto"/>
    </w:pPr>
    <w:rPr>
      <w:rFonts w:ascii="Times New Roman" w:hAnsi="Times New Roman" w:eastAsia="宋体" w:cs="Times New Roman"/>
      <w:sz w:val="24"/>
      <w:szCs w:val="24"/>
    </w:rPr>
  </w:style>
  <w:style w:type="character" w:customStyle="1" w:styleId="32">
    <w:name w:val="contractReviewCommentRevision_db6b5afb26354e5b94501a36df0001ef"/>
    <w:basedOn w:val="22"/>
    <w:qFormat/>
    <w:uiPriority w:val="0"/>
  </w:style>
  <w:style w:type="character" w:customStyle="1" w:styleId="33">
    <w:name w:val="contractReviewCommentRevision_e5a9a684b73f4af9baf133eb09c27c72"/>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12394</Words>
  <Characters>13835</Characters>
  <Lines>0</Lines>
  <Paragraphs>0</Paragraphs>
  <TotalTime>9</TotalTime>
  <ScaleCrop>false</ScaleCrop>
  <LinksUpToDate>false</LinksUpToDate>
  <CharactersWithSpaces>14311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2025-12-30T10:29:00Z</dcterms:created>
  <dc:creator>13809942992</dc:creator>
  <cp:lastModifiedBy>新疆新招</cp:lastModifiedBy>
  <dcterms:modified xsi:type="dcterms:W3CDTF">2026-05-07T11:25:24Z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eyJoZGlkIjoiMTMxMGNkYTJhN2NkODc0MzYwZWZhYmI0Y2E4ZDVlOGEiLCJ1c2VySWQiOiIyNDAyOTA4MzkifQ==</vt:lpwstr>
  </property>
  <property fmtid="{D5CDD505-2E9C-101B-9397-08002B2CF9AE}" pid="4" name="ICV">
    <vt:lpwstr>C731E5D1785F4D4983C5FD9327A5CF40_13</vt:lpwstr>
  </property>
</Properties>
</file>