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版本号：N511504202600001620260302001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观音镇镇域经济（城乡融合发展）规划编制项目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N5115042026000016</w:t>
      </w:r>
    </w:p>
    <w:p>
      <w:pPr>
        <w:pStyle w:val="null3"/>
        <w:jc w:val="center"/>
        <w:outlineLvl w:val="2"/>
      </w:pPr>
      <w:r>
        <w:rPr>
          <w:rFonts w:ascii="仿宋_GB2312" w:hAnsi="仿宋_GB2312" w:cs="仿宋_GB2312" w:eastAsia="仿宋_GB2312"/>
          <w:sz w:val="28"/>
          <w:b/>
        </w:rPr>
        <w:t>宜宾市叙州区观音镇人民政府</w:t>
      </w:r>
    </w:p>
    <w:p>
      <w:pPr>
        <w:pStyle w:val="null3"/>
        <w:jc w:val="center"/>
        <w:outlineLvl w:val="2"/>
      </w:pPr>
      <w:r>
        <w:rPr>
          <w:rFonts w:ascii="仿宋_GB2312" w:hAnsi="仿宋_GB2312" w:cs="仿宋_GB2312" w:eastAsia="仿宋_GB2312"/>
          <w:sz w:val="28"/>
          <w:b/>
        </w:rPr>
        <w:t>长沐项目管理有限公司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长沐项目管理有限公司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宜宾市叙州区观音镇人民政府</w:t>
      </w:r>
      <w:r>
        <w:rPr>
          <w:rFonts w:ascii="仿宋_GB2312" w:hAnsi="仿宋_GB2312" w:cs="仿宋_GB2312" w:eastAsia="仿宋_GB2312"/>
        </w:rPr>
        <w:t xml:space="preserve"> 委托，拟对 </w:t>
      </w:r>
      <w:r>
        <w:rPr>
          <w:rFonts w:ascii="仿宋_GB2312" w:hAnsi="仿宋_GB2312" w:cs="仿宋_GB2312" w:eastAsia="仿宋_GB2312"/>
        </w:rPr>
        <w:t>观音镇镇域经济（城乡融合发展）规划编制项目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N5115042026000016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观音镇镇域经济（城乡融合发展）规划编制项目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为深入贯彻落实宜宾市巩固拓展脱贫攻坚成果暨镇域经济高质量发展大会要求，围绕推动镇域经济高质量发展目标，坚持“ 以规划为引领、以产业为先导、以适度聚居为方向 ”，编制好场镇片区规划和农文旅片区规划，通过高标准建设聚居点、推动产镇融合发展、补足场镇设施短板等关键举措，以微更新的手法逐步完善场镇功能，提升场镇品质和吸引力，推动镇域经济高质量发展。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1、供应商具有行政主管部门颁发的有效的城乡规划编制乙级或以上资质证书（描述：供应商提供行政主管部门颁发的有效的城乡规划编制乙级或以上资质证书扫描件）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宜宾市叙州区观音镇人民政府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四川省宜宾市叙州区观音镇群益街35号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何焕春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18048773955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长沐项目管理有限公司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宜宾市翠屏区五新起步广场12-2-(6-10)号商铺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杜章瑞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0831-2325999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根据《政府采购代理机构管理暂行办法》(财库〔2018〕2号)第十五条、四川省财政厅关于印发《四川省政府采购营商环境指标提升专项行动工作方案》的通知(川财采〔2020〕74号)规定以及招标代理委托协议约定，本项目招标代理服务费由成交供应商支付。2.本项目招标代理服务费以本包采购预算金额为计费基数，按照差额定率累进法计算“100万元以下x1.5%(费率)”的标准计取，代理服务费计算后为8250元（大写：捌仟贰佰伍拾元整）。3.收取方式：由成交供应商支付至采购代理机构。4.账户信息： 收款单位：长沐项目管理有限公司、 开 户 行：宜宾市商业银行直属支行、 银行账号：01301201000011624。</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宜宾市叙州区观音镇人民政府</w:t>
      </w:r>
      <w:r>
        <w:rPr>
          <w:rFonts w:ascii="仿宋_GB2312" w:hAnsi="仿宋_GB2312" w:cs="仿宋_GB2312" w:eastAsia="仿宋_GB2312"/>
        </w:rPr>
        <w:t xml:space="preserve"> 和 </w:t>
      </w:r>
      <w:r>
        <w:rPr>
          <w:rFonts w:ascii="仿宋_GB2312" w:hAnsi="仿宋_GB2312" w:cs="仿宋_GB2312" w:eastAsia="仿宋_GB2312"/>
        </w:rPr>
        <w:t>长沐项目管理有限公司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宜宾市叙州区观音镇人民政府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长沐项目管理有限公司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本项目签订合同后，提供有效票据后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提交初步方案后，提供有效票据后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本项目规划成果通过业主或相关县级规划审议程序审查合格，提交正式成果后，提供有效票据后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 (财库〔2016〕205号)《政府采购需求管理办法》 (财库〔2021〕22 号)及采购文件相关规定组织验收。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合同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 (财库〔2016〕205号)《政府采购需求管理办法》 (财库〔2021〕22 号)及采购文件相关规定组织验收。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宜宾市叙州区观音镇人民政府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长沐项目管理有限公司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长沐项目管理有限公司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联系人：何焕春</w:t>
      </w:r>
    </w:p>
    <w:p>
      <w:pPr>
        <w:pStyle w:val="null3"/>
        <w:jc w:val="left"/>
      </w:pPr>
      <w:r>
        <w:rPr>
          <w:rFonts w:ascii="仿宋_GB2312" w:hAnsi="仿宋_GB2312" w:cs="仿宋_GB2312" w:eastAsia="仿宋_GB2312"/>
        </w:rPr>
        <w:t>联系电话：18048773955</w:t>
      </w:r>
    </w:p>
    <w:p>
      <w:pPr>
        <w:pStyle w:val="null3"/>
        <w:jc w:val="left"/>
      </w:pPr>
      <w:r>
        <w:rPr>
          <w:rFonts w:ascii="仿宋_GB2312" w:hAnsi="仿宋_GB2312" w:cs="仿宋_GB2312" w:eastAsia="仿宋_GB2312"/>
        </w:rPr>
        <w:t>地址：四川省宜宾市叙州区观音镇群益街35号。</w:t>
      </w:r>
    </w:p>
    <w:p>
      <w:pPr>
        <w:pStyle w:val="null3"/>
        <w:jc w:val="left"/>
      </w:pPr>
      <w:r>
        <w:rPr>
          <w:rFonts w:ascii="仿宋_GB2312" w:hAnsi="仿宋_GB2312" w:cs="仿宋_GB2312" w:eastAsia="仿宋_GB2312"/>
        </w:rPr>
        <w:t>邮编：644604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联系人：杜章瑞</w:t>
      </w:r>
    </w:p>
    <w:p>
      <w:pPr>
        <w:pStyle w:val="null3"/>
        <w:jc w:val="left"/>
      </w:pPr>
      <w:r>
        <w:rPr>
          <w:rFonts w:ascii="仿宋_GB2312" w:hAnsi="仿宋_GB2312" w:cs="仿宋_GB2312" w:eastAsia="仿宋_GB2312"/>
        </w:rPr>
        <w:t>联系电话：0831-2325999</w:t>
      </w:r>
    </w:p>
    <w:p>
      <w:pPr>
        <w:pStyle w:val="null3"/>
        <w:jc w:val="left"/>
      </w:pPr>
      <w:r>
        <w:rPr>
          <w:rFonts w:ascii="仿宋_GB2312" w:hAnsi="仿宋_GB2312" w:cs="仿宋_GB2312" w:eastAsia="仿宋_GB2312"/>
        </w:rPr>
        <w:t>地址：宜宾市翠屏区五新起步广场12-2-(6-10)号商铺</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观音镇镇域经济（城乡融合发展）规划编制项目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观音镇镇域经济（城乡融合发展）规划编制项目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标的名称：观音镇镇域经济（城乡融合发展）规划编制项目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服务标准及总体要求</w:t>
            </w:r>
          </w:p>
        </w:tc>
        <w:tc>
          <w:tcPr>
            <w:tcW w:type="dxa" w:w="5814"/>
          </w:tcPr>
          <w:p>
            <w:pPr>
              <w:pStyle w:val="null3"/>
              <w:spacing w:before="210"/>
              <w:ind w:left="135" w:right="150" w:firstLine="490"/>
              <w:jc w:val="left"/>
            </w:pPr>
            <w:r>
              <w:rPr>
                <w:rFonts w:ascii="仿宋_GB2312" w:hAnsi="仿宋_GB2312" w:cs="仿宋_GB2312" w:eastAsia="仿宋_GB2312"/>
                <w:sz w:val="24"/>
                <w:color w:val="000000"/>
              </w:rPr>
              <w:t>1.供应商应保证所提供的服</w:t>
            </w:r>
            <w:r>
              <w:rPr>
                <w:rFonts w:ascii="仿宋_GB2312" w:hAnsi="仿宋_GB2312" w:cs="仿宋_GB2312" w:eastAsia="仿宋_GB2312"/>
                <w:sz w:val="24"/>
                <w:color w:val="000000"/>
              </w:rPr>
              <w:t>务或其任何一部分均不会侵犯任何第三方的专利权、商标权或著</w:t>
            </w:r>
            <w:r>
              <w:rPr>
                <w:rFonts w:ascii="仿宋_GB2312" w:hAnsi="仿宋_GB2312" w:cs="仿宋_GB2312" w:eastAsia="仿宋_GB2312"/>
                <w:sz w:val="24"/>
                <w:color w:val="000000"/>
              </w:rPr>
              <w:t>作权。</w:t>
            </w:r>
          </w:p>
          <w:p>
            <w:pPr>
              <w:pStyle w:val="null3"/>
              <w:spacing w:before="240"/>
              <w:ind w:left="135" w:right="150" w:firstLine="474"/>
              <w:jc w:val="left"/>
            </w:pPr>
            <w:r>
              <w:rPr>
                <w:rFonts w:ascii="仿宋_GB2312" w:hAnsi="仿宋_GB2312" w:cs="仿宋_GB2312" w:eastAsia="仿宋_GB2312"/>
                <w:sz w:val="24"/>
                <w:color w:val="000000"/>
              </w:rPr>
              <w:t>2.接受项目行业管理部门及</w:t>
            </w:r>
            <w:r>
              <w:rPr>
                <w:rFonts w:ascii="仿宋_GB2312" w:hAnsi="仿宋_GB2312" w:cs="仿宋_GB2312" w:eastAsia="仿宋_GB2312"/>
                <w:sz w:val="24"/>
                <w:color w:val="000000"/>
              </w:rPr>
              <w:t>政府有关部门的指导，接受采购</w:t>
            </w:r>
            <w:r>
              <w:rPr>
                <w:rFonts w:ascii="仿宋_GB2312" w:hAnsi="仿宋_GB2312" w:cs="仿宋_GB2312" w:eastAsia="仿宋_GB2312"/>
                <w:sz w:val="24"/>
                <w:color w:val="000000"/>
              </w:rPr>
              <w:t>人的监督。</w:t>
            </w:r>
          </w:p>
          <w:p>
            <w:pPr>
              <w:pStyle w:val="null3"/>
              <w:jc w:val="left"/>
            </w:pPr>
            <w:r>
              <w:rPr>
                <w:rFonts w:ascii="仿宋_GB2312" w:hAnsi="仿宋_GB2312" w:cs="仿宋_GB2312" w:eastAsia="仿宋_GB2312"/>
                <w:sz w:val="21"/>
                <w:color w:val="000000"/>
              </w:rPr>
              <w:t>3.供应商定期及时向采购人通告本项目服务范围内有关服务的重大事</w:t>
            </w:r>
            <w:r>
              <w:rPr>
                <w:rFonts w:ascii="仿宋_GB2312" w:hAnsi="仿宋_GB2312" w:cs="仿宋_GB2312" w:eastAsia="仿宋_GB2312"/>
                <w:sz w:val="21"/>
                <w:color w:val="000000"/>
              </w:rPr>
              <w:t>项及其进度。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65"/>
              <w:ind w:left="615"/>
              <w:jc w:val="left"/>
            </w:pPr>
            <w:r>
              <w:rPr>
                <w:rFonts w:ascii="仿宋_GB2312" w:hAnsi="仿宋_GB2312" w:cs="仿宋_GB2312" w:eastAsia="仿宋_GB2312"/>
                <w:sz w:val="24"/>
                <w:color w:val="000000"/>
              </w:rPr>
              <w:t>（一）服务范围</w:t>
            </w:r>
          </w:p>
          <w:p>
            <w:pPr>
              <w:pStyle w:val="null3"/>
              <w:spacing w:before="150"/>
              <w:ind w:left="150" w:right="120" w:firstLine="476"/>
              <w:jc w:val="left"/>
            </w:pPr>
            <w:r>
              <w:rPr>
                <w:rFonts w:ascii="仿宋_GB2312" w:hAnsi="仿宋_GB2312" w:cs="仿宋_GB2312" w:eastAsia="仿宋_GB2312"/>
                <w:sz w:val="24"/>
                <w:color w:val="000000"/>
              </w:rPr>
              <w:t>叙州区观音镇镇区城镇开发边界及周边区域。</w:t>
            </w:r>
          </w:p>
          <w:p>
            <w:pPr>
              <w:pStyle w:val="null3"/>
              <w:ind w:left="615"/>
              <w:jc w:val="left"/>
            </w:pPr>
            <w:r>
              <w:rPr>
                <w:rFonts w:ascii="仿宋_GB2312" w:hAnsi="仿宋_GB2312" w:cs="仿宋_GB2312" w:eastAsia="仿宋_GB2312"/>
                <w:sz w:val="24"/>
                <w:color w:val="000000"/>
              </w:rPr>
              <w:t>（二）服务内容</w:t>
            </w:r>
          </w:p>
          <w:p>
            <w:pPr>
              <w:pStyle w:val="null3"/>
              <w:spacing w:before="165"/>
              <w:ind w:left="630"/>
              <w:jc w:val="left"/>
            </w:pPr>
            <w:r>
              <w:rPr>
                <w:rFonts w:ascii="仿宋_GB2312" w:hAnsi="仿宋_GB2312" w:cs="仿宋_GB2312" w:eastAsia="仿宋_GB2312"/>
                <w:sz w:val="24"/>
                <w:color w:val="000000"/>
              </w:rPr>
              <w:t>1.基础分析</w:t>
            </w:r>
          </w:p>
          <w:p>
            <w:pPr>
              <w:pStyle w:val="null3"/>
              <w:spacing w:before="150"/>
              <w:ind w:left="135" w:right="120" w:firstLine="480"/>
              <w:jc w:val="left"/>
            </w:pPr>
            <w:r>
              <w:rPr>
                <w:rFonts w:ascii="仿宋_GB2312" w:hAnsi="仿宋_GB2312" w:cs="仿宋_GB2312" w:eastAsia="仿宋_GB2312"/>
                <w:sz w:val="24"/>
                <w:color w:val="000000"/>
              </w:rPr>
              <w:t>调研摸排观音镇镇域及镇区现状情况，主要针对镇域区位条件、人口趋势、产业发展、土地资源、镇区建筑、镇区设施等多方面情况进行深化分析，总结研判观音镇现状特征及问题。</w:t>
            </w:r>
          </w:p>
          <w:p>
            <w:pPr>
              <w:pStyle w:val="null3"/>
              <w:ind w:left="615"/>
              <w:jc w:val="left"/>
            </w:pPr>
            <w:r>
              <w:rPr>
                <w:rFonts w:ascii="仿宋_GB2312" w:hAnsi="仿宋_GB2312" w:cs="仿宋_GB2312" w:eastAsia="仿宋_GB2312"/>
                <w:sz w:val="24"/>
                <w:color w:val="000000"/>
              </w:rPr>
              <w:t>2.规划方案</w:t>
            </w:r>
          </w:p>
          <w:p>
            <w:pPr>
              <w:pStyle w:val="null3"/>
              <w:spacing w:before="150"/>
              <w:ind w:left="135" w:right="120" w:firstLine="485"/>
              <w:jc w:val="left"/>
            </w:pPr>
            <w:r>
              <w:rPr>
                <w:rFonts w:ascii="仿宋_GB2312" w:hAnsi="仿宋_GB2312" w:cs="仿宋_GB2312" w:eastAsia="仿宋_GB2312"/>
                <w:sz w:val="24"/>
                <w:color w:val="000000"/>
              </w:rPr>
              <w:t>通过对基础条件的深入分析，研判片区未来发展思路、规划</w:t>
            </w:r>
            <w:r>
              <w:rPr>
                <w:rFonts w:ascii="仿宋_GB2312" w:hAnsi="仿宋_GB2312" w:cs="仿宋_GB2312" w:eastAsia="仿宋_GB2312"/>
              </w:rPr>
              <w:t xml:space="preserve"> </w:t>
            </w:r>
            <w:r>
              <w:rPr>
                <w:rFonts w:ascii="仿宋_GB2312" w:hAnsi="仿宋_GB2312" w:cs="仿宋_GB2312" w:eastAsia="仿宋_GB2312"/>
                <w:sz w:val="24"/>
                <w:color w:val="000000"/>
              </w:rPr>
              <w:t>目标及发展路径</w:t>
            </w:r>
            <w:r>
              <w:rPr>
                <w:rFonts w:ascii="仿宋_GB2312" w:hAnsi="仿宋_GB2312" w:cs="仿宋_GB2312" w:eastAsia="仿宋_GB2312"/>
              </w:rPr>
              <w:t xml:space="preserve"> </w:t>
            </w:r>
            <w:r>
              <w:rPr>
                <w:rFonts w:ascii="仿宋_GB2312" w:hAnsi="仿宋_GB2312" w:cs="仿宋_GB2312" w:eastAsia="仿宋_GB2312"/>
                <w:sz w:val="24"/>
                <w:color w:val="000000"/>
              </w:rPr>
              <w:t>，通过对产业、人</w:t>
            </w:r>
            <w:r>
              <w:rPr>
                <w:rFonts w:ascii="仿宋_GB2312" w:hAnsi="仿宋_GB2312" w:cs="仿宋_GB2312" w:eastAsia="仿宋_GB2312"/>
              </w:rPr>
              <w:t xml:space="preserve"> </w:t>
            </w:r>
            <w:r>
              <w:rPr>
                <w:rFonts w:ascii="仿宋_GB2312" w:hAnsi="仿宋_GB2312" w:cs="仿宋_GB2312" w:eastAsia="仿宋_GB2312"/>
                <w:sz w:val="24"/>
                <w:color w:val="000000"/>
              </w:rPr>
              <w:t>口、配套等多方面多层次进行研判明确</w:t>
            </w:r>
            <w:r>
              <w:rPr>
                <w:rFonts w:ascii="仿宋_GB2312" w:hAnsi="仿宋_GB2312" w:cs="仿宋_GB2312" w:eastAsia="仿宋_GB2312"/>
              </w:rPr>
              <w:t xml:space="preserve"> </w:t>
            </w:r>
            <w:r>
              <w:rPr>
                <w:rFonts w:ascii="仿宋_GB2312" w:hAnsi="仿宋_GB2312" w:cs="仿宋_GB2312" w:eastAsia="仿宋_GB2312"/>
                <w:sz w:val="24"/>
                <w:color w:val="000000"/>
              </w:rPr>
              <w:t>，提出具有针对性、落地性的镇域谋划与镇区实施方案，落实镇区用地方案及近期项目布局。</w:t>
            </w:r>
          </w:p>
          <w:p>
            <w:pPr>
              <w:pStyle w:val="null3"/>
              <w:ind w:left="615"/>
              <w:jc w:val="left"/>
            </w:pPr>
            <w:r>
              <w:rPr>
                <w:rFonts w:ascii="仿宋_GB2312" w:hAnsi="仿宋_GB2312" w:cs="仿宋_GB2312" w:eastAsia="仿宋_GB2312"/>
                <w:sz w:val="24"/>
                <w:color w:val="000000"/>
              </w:rPr>
              <w:t>3.概念方案</w:t>
            </w:r>
          </w:p>
          <w:p>
            <w:pPr>
              <w:pStyle w:val="null3"/>
              <w:jc w:val="left"/>
            </w:pPr>
            <w:r>
              <w:rPr>
                <w:rFonts w:ascii="仿宋_GB2312" w:hAnsi="仿宋_GB2312" w:cs="仿宋_GB2312" w:eastAsia="仿宋_GB2312"/>
                <w:sz w:val="24"/>
                <w:color w:val="000000"/>
              </w:rPr>
              <w:t>围绕镇区用地方案，提出具有生态性、特色性的镇区总体概念方案</w:t>
            </w:r>
            <w:r>
              <w:rPr>
                <w:rFonts w:ascii="仿宋_GB2312" w:hAnsi="仿宋_GB2312" w:cs="仿宋_GB2312" w:eastAsia="仿宋_GB2312"/>
              </w:rPr>
              <w:t xml:space="preserve"> </w:t>
            </w:r>
            <w:r>
              <w:rPr>
                <w:rFonts w:ascii="仿宋_GB2312" w:hAnsi="仿宋_GB2312" w:cs="仿宋_GB2312" w:eastAsia="仿宋_GB2312"/>
                <w:sz w:val="24"/>
                <w:color w:val="000000"/>
              </w:rPr>
              <w:t>，引导场镇未来风貌建设。同时提出重点项目概念设计方案</w:t>
            </w:r>
            <w:r>
              <w:rPr>
                <w:rFonts w:ascii="仿宋_GB2312" w:hAnsi="仿宋_GB2312" w:cs="仿宋_GB2312" w:eastAsia="仿宋_GB2312"/>
              </w:rPr>
              <w:t xml:space="preserve"> </w:t>
            </w:r>
            <w:r>
              <w:rPr>
                <w:rFonts w:ascii="仿宋_GB2312" w:hAnsi="仿宋_GB2312" w:cs="仿宋_GB2312" w:eastAsia="仿宋_GB2312"/>
                <w:sz w:val="24"/>
                <w:color w:val="000000"/>
              </w:rPr>
              <w:t>，如聚居点</w:t>
            </w:r>
            <w:r>
              <w:rPr>
                <w:rFonts w:ascii="仿宋_GB2312" w:hAnsi="仿宋_GB2312" w:cs="仿宋_GB2312" w:eastAsia="仿宋_GB2312"/>
              </w:rPr>
              <w:t xml:space="preserve"> </w:t>
            </w:r>
            <w:r>
              <w:rPr>
                <w:rFonts w:ascii="仿宋_GB2312" w:hAnsi="仿宋_GB2312" w:cs="仿宋_GB2312" w:eastAsia="仿宋_GB2312"/>
                <w:sz w:val="24"/>
                <w:color w:val="000000"/>
              </w:rPr>
              <w:t>、小微产业园等，并进行深化分析。</w:t>
            </w:r>
          </w:p>
          <w:p>
            <w:pPr>
              <w:pStyle w:val="null3"/>
              <w:ind w:left="615"/>
              <w:jc w:val="left"/>
            </w:pPr>
            <w:r>
              <w:rPr>
                <w:rFonts w:ascii="仿宋_GB2312" w:hAnsi="仿宋_GB2312" w:cs="仿宋_GB2312" w:eastAsia="仿宋_GB2312"/>
                <w:sz w:val="24"/>
                <w:color w:val="000000"/>
              </w:rPr>
              <w:t>4.保障安排</w:t>
            </w:r>
          </w:p>
          <w:p>
            <w:pPr>
              <w:pStyle w:val="null3"/>
              <w:spacing w:before="150"/>
              <w:ind w:left="150" w:right="120" w:firstLine="476"/>
              <w:jc w:val="left"/>
            </w:pPr>
            <w:r>
              <w:rPr>
                <w:rFonts w:ascii="仿宋_GB2312" w:hAnsi="仿宋_GB2312" w:cs="仿宋_GB2312" w:eastAsia="仿宋_GB2312"/>
                <w:sz w:val="24"/>
                <w:color w:val="000000"/>
              </w:rPr>
              <w:t>依托总体项目布局，根据地方资金、政策等相关要素支撑，完善关于土地资金、建设计划、实施保障等相关的保障措施安排内容。</w:t>
            </w:r>
          </w:p>
          <w:p>
            <w:pPr>
              <w:pStyle w:val="null3"/>
              <w:ind w:left="615"/>
              <w:jc w:val="left"/>
            </w:pPr>
            <w:r>
              <w:rPr>
                <w:rFonts w:ascii="仿宋_GB2312" w:hAnsi="仿宋_GB2312" w:cs="仿宋_GB2312" w:eastAsia="仿宋_GB2312"/>
                <w:sz w:val="24"/>
                <w:color w:val="000000"/>
              </w:rPr>
              <w:t>（三）成果要求</w:t>
            </w:r>
          </w:p>
          <w:p>
            <w:pPr>
              <w:pStyle w:val="null3"/>
              <w:jc w:val="left"/>
            </w:pPr>
            <w:r>
              <w:rPr>
                <w:rFonts w:ascii="仿宋_GB2312" w:hAnsi="仿宋_GB2312" w:cs="仿宋_GB2312" w:eastAsia="仿宋_GB2312"/>
                <w:sz w:val="24"/>
                <w:color w:val="000000"/>
              </w:rPr>
              <w:t>成果内容应满足相关技术审查要求，规划文本、图件及其电子文档（数据光盘）。纸质成果印制数量根据实际情况而定，数据光盘</w:t>
            </w:r>
            <w:r>
              <w:rPr>
                <w:rFonts w:ascii="仿宋_GB2312" w:hAnsi="仿宋_GB2312" w:cs="仿宋_GB2312" w:eastAsia="仿宋_GB2312"/>
                <w:sz w:val="24"/>
                <w:color w:val="000000"/>
              </w:rPr>
              <w:t>1套。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项目履约能力</w:t>
            </w:r>
          </w:p>
        </w:tc>
        <w:tc>
          <w:tcPr>
            <w:tcW w:type="dxa" w:w="5814"/>
          </w:tcPr>
          <w:p>
            <w:pPr>
              <w:pStyle w:val="null3"/>
              <w:spacing w:before="210"/>
              <w:ind w:left="135" w:right="120" w:firstLine="490"/>
              <w:jc w:val="left"/>
            </w:pPr>
            <w:r>
              <w:rPr>
                <w:rFonts w:ascii="仿宋_GB2312" w:hAnsi="仿宋_GB2312" w:cs="仿宋_GB2312" w:eastAsia="仿宋_GB2312"/>
                <w:sz w:val="24"/>
                <w:color w:val="000000"/>
              </w:rPr>
              <w:t>1.项目履约所需的人员配置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项目负责人,技术负责人,项目团队成员</w:t>
            </w:r>
            <w:r>
              <w:rPr>
                <w:rFonts w:ascii="仿宋_GB2312" w:hAnsi="仿宋_GB2312" w:cs="仿宋_GB2312" w:eastAsia="仿宋_GB2312"/>
                <w:sz w:val="24"/>
                <w:color w:val="000000"/>
              </w:rPr>
              <w:t>职称情况</w:t>
            </w:r>
            <w:r>
              <w:rPr>
                <w:rFonts w:ascii="仿宋_GB2312" w:hAnsi="仿宋_GB2312" w:cs="仿宋_GB2312" w:eastAsia="仿宋_GB2312"/>
                <w:sz w:val="24"/>
                <w:color w:val="000000"/>
              </w:rPr>
              <w:t>（具</w:t>
            </w:r>
            <w:r>
              <w:rPr>
                <w:rFonts w:ascii="仿宋_GB2312" w:hAnsi="仿宋_GB2312" w:cs="仿宋_GB2312" w:eastAsia="仿宋_GB2312"/>
                <w:sz w:val="24"/>
                <w:color w:val="000000"/>
              </w:rPr>
              <w:t>体详</w:t>
            </w:r>
            <w:r>
              <w:rPr>
                <w:rFonts w:ascii="仿宋_GB2312" w:hAnsi="仿宋_GB2312" w:cs="仿宋_GB2312" w:eastAsia="仿宋_GB2312"/>
                <w:sz w:val="24"/>
                <w:color w:val="000000"/>
              </w:rPr>
              <w:t>见评审细则）；</w:t>
            </w:r>
          </w:p>
          <w:p>
            <w:pPr>
              <w:pStyle w:val="null3"/>
              <w:spacing w:before="225"/>
              <w:ind w:left="135" w:right="120" w:firstLine="475"/>
              <w:jc w:val="left"/>
            </w:pPr>
            <w:r>
              <w:rPr>
                <w:rFonts w:ascii="仿宋_GB2312" w:hAnsi="仿宋_GB2312" w:cs="仿宋_GB2312" w:eastAsia="仿宋_GB2312"/>
                <w:sz w:val="24"/>
                <w:color w:val="000000"/>
              </w:rPr>
              <w:t>2.供应商具有类似项目履约经验：</w:t>
            </w:r>
            <w:r>
              <w:rPr>
                <w:rFonts w:ascii="仿宋_GB2312" w:hAnsi="仿宋_GB2312" w:cs="仿宋_GB2312" w:eastAsia="仿宋_GB2312"/>
                <w:sz w:val="24"/>
                <w:color w:val="000000"/>
              </w:rPr>
              <w:t>根据供应商提供的2021年1月1日以来类似项目履约经验</w:t>
            </w:r>
            <w:r>
              <w:rPr>
                <w:rFonts w:ascii="仿宋_GB2312" w:hAnsi="仿宋_GB2312" w:cs="仿宋_GB2312" w:eastAsia="仿宋_GB2312"/>
                <w:sz w:val="24"/>
                <w:color w:val="000000"/>
              </w:rPr>
              <w:t>（具体详见评审细则）；</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3.项目服务方案</w:t>
            </w:r>
          </w:p>
          <w:p>
            <w:pPr>
              <w:pStyle w:val="null3"/>
              <w:spacing w:before="90"/>
              <w:ind w:left="660"/>
              <w:jc w:val="left"/>
            </w:pPr>
            <w:r>
              <w:rPr>
                <w:rFonts w:ascii="仿宋_GB2312" w:hAnsi="仿宋_GB2312" w:cs="仿宋_GB2312" w:eastAsia="仿宋_GB2312"/>
                <w:sz w:val="24"/>
                <w:color w:val="000000"/>
              </w:rPr>
              <w:t>(1)现状分析，</w:t>
            </w:r>
            <w:r>
              <w:rPr>
                <w:rFonts w:ascii="仿宋_GB2312" w:hAnsi="仿宋_GB2312" w:cs="仿宋_GB2312" w:eastAsia="仿宋_GB2312"/>
              </w:rPr>
              <w:t xml:space="preserve"> </w:t>
            </w:r>
            <w:r>
              <w:rPr>
                <w:rFonts w:ascii="仿宋_GB2312" w:hAnsi="仿宋_GB2312" w:cs="仿宋_GB2312" w:eastAsia="仿宋_GB2312"/>
                <w:sz w:val="24"/>
                <w:color w:val="000000"/>
              </w:rPr>
              <w:t>内容包含：</w:t>
            </w:r>
          </w:p>
          <w:p>
            <w:pPr>
              <w:pStyle w:val="null3"/>
              <w:spacing w:before="150"/>
              <w:ind w:left="135" w:right="120"/>
              <w:jc w:val="left"/>
            </w:pPr>
            <w:r>
              <w:rPr>
                <w:rFonts w:ascii="仿宋_GB2312" w:hAnsi="仿宋_GB2312" w:cs="仿宋_GB2312" w:eastAsia="仿宋_GB2312"/>
                <w:sz w:val="24"/>
                <w:color w:val="000000"/>
              </w:rPr>
              <w:t>①镇域概况；②底图底数；③产业现状分析；④人口特征分析；</w:t>
            </w:r>
            <w:r>
              <w:rPr>
                <w:rFonts w:ascii="仿宋_GB2312" w:hAnsi="仿宋_GB2312" w:cs="仿宋_GB2312" w:eastAsia="仿宋_GB2312"/>
              </w:rPr>
              <w:t xml:space="preserve"> </w:t>
            </w:r>
            <w:r>
              <w:rPr>
                <w:rFonts w:ascii="仿宋_GB2312" w:hAnsi="仿宋_GB2312" w:cs="仿宋_GB2312" w:eastAsia="仿宋_GB2312"/>
                <w:sz w:val="24"/>
                <w:color w:val="000000"/>
              </w:rPr>
              <w:t>⑤镇区建设情况等内容。</w:t>
            </w:r>
          </w:p>
          <w:p>
            <w:pPr>
              <w:pStyle w:val="null3"/>
              <w:spacing w:before="150"/>
              <w:ind w:left="660"/>
              <w:jc w:val="left"/>
            </w:pPr>
            <w:r>
              <w:rPr>
                <w:rFonts w:ascii="仿宋_GB2312" w:hAnsi="仿宋_GB2312" w:cs="仿宋_GB2312" w:eastAsia="仿宋_GB2312"/>
                <w:sz w:val="24"/>
                <w:color w:val="000000"/>
              </w:rPr>
              <w:t>(2)发展研判，</w:t>
            </w:r>
            <w:r>
              <w:rPr>
                <w:rFonts w:ascii="仿宋_GB2312" w:hAnsi="仿宋_GB2312" w:cs="仿宋_GB2312" w:eastAsia="仿宋_GB2312"/>
              </w:rPr>
              <w:t xml:space="preserve"> </w:t>
            </w:r>
            <w:r>
              <w:rPr>
                <w:rFonts w:ascii="仿宋_GB2312" w:hAnsi="仿宋_GB2312" w:cs="仿宋_GB2312" w:eastAsia="仿宋_GB2312"/>
                <w:sz w:val="24"/>
                <w:color w:val="000000"/>
              </w:rPr>
              <w:t>内容包含：</w:t>
            </w:r>
          </w:p>
          <w:p>
            <w:pPr>
              <w:pStyle w:val="null3"/>
              <w:spacing w:before="165"/>
              <w:ind w:left="135" w:right="120"/>
              <w:jc w:val="left"/>
            </w:pPr>
            <w:r>
              <w:rPr>
                <w:rFonts w:ascii="仿宋_GB2312" w:hAnsi="仿宋_GB2312" w:cs="仿宋_GB2312" w:eastAsia="仿宋_GB2312"/>
                <w:sz w:val="24"/>
                <w:color w:val="000000"/>
              </w:rPr>
              <w:t>①分析研究国内类似乡镇优秀案例进行分析解读；②总结经验借鉴等内容。</w:t>
            </w:r>
          </w:p>
          <w:p>
            <w:pPr>
              <w:pStyle w:val="null3"/>
              <w:spacing w:before="165"/>
              <w:ind w:left="660"/>
              <w:jc w:val="left"/>
            </w:pPr>
            <w:r>
              <w:rPr>
                <w:rFonts w:ascii="仿宋_GB2312" w:hAnsi="仿宋_GB2312" w:cs="仿宋_GB2312" w:eastAsia="仿宋_GB2312"/>
                <w:sz w:val="24"/>
                <w:color w:val="000000"/>
              </w:rPr>
              <w:t>(3)规划举措，</w:t>
            </w:r>
            <w:r>
              <w:rPr>
                <w:rFonts w:ascii="仿宋_GB2312" w:hAnsi="仿宋_GB2312" w:cs="仿宋_GB2312" w:eastAsia="仿宋_GB2312"/>
              </w:rPr>
              <w:t xml:space="preserve"> </w:t>
            </w:r>
            <w:r>
              <w:rPr>
                <w:rFonts w:ascii="仿宋_GB2312" w:hAnsi="仿宋_GB2312" w:cs="仿宋_GB2312" w:eastAsia="仿宋_GB2312"/>
                <w:sz w:val="24"/>
                <w:color w:val="000000"/>
              </w:rPr>
              <w:t>内容包含：</w:t>
            </w:r>
          </w:p>
          <w:p>
            <w:pPr>
              <w:pStyle w:val="null3"/>
              <w:spacing w:before="150"/>
              <w:ind w:left="135" w:right="120"/>
              <w:jc w:val="left"/>
            </w:pPr>
            <w:r>
              <w:rPr>
                <w:rFonts w:ascii="仿宋_GB2312" w:hAnsi="仿宋_GB2312" w:cs="仿宋_GB2312" w:eastAsia="仿宋_GB2312"/>
                <w:sz w:val="24"/>
                <w:color w:val="000000"/>
              </w:rPr>
              <w:t>①场镇定位愿景；②镇域产业发展规划；③镇区及周边地区战略谋划；④镇区及周边地区发展路径等内容。</w:t>
            </w:r>
          </w:p>
          <w:p>
            <w:pPr>
              <w:pStyle w:val="null3"/>
              <w:spacing w:before="150"/>
              <w:ind w:left="660"/>
              <w:jc w:val="left"/>
            </w:pPr>
            <w:r>
              <w:rPr>
                <w:rFonts w:ascii="仿宋_GB2312" w:hAnsi="仿宋_GB2312" w:cs="仿宋_GB2312" w:eastAsia="仿宋_GB2312"/>
                <w:sz w:val="24"/>
                <w:color w:val="000000"/>
              </w:rPr>
              <w:t>(4)规划方案，</w:t>
            </w:r>
            <w:r>
              <w:rPr>
                <w:rFonts w:ascii="仿宋_GB2312" w:hAnsi="仿宋_GB2312" w:cs="仿宋_GB2312" w:eastAsia="仿宋_GB2312"/>
              </w:rPr>
              <w:t xml:space="preserve"> </w:t>
            </w:r>
            <w:r>
              <w:rPr>
                <w:rFonts w:ascii="仿宋_GB2312" w:hAnsi="仿宋_GB2312" w:cs="仿宋_GB2312" w:eastAsia="仿宋_GB2312"/>
                <w:sz w:val="24"/>
                <w:color w:val="000000"/>
              </w:rPr>
              <w:t>内容包含：</w:t>
            </w:r>
          </w:p>
          <w:p>
            <w:pPr>
              <w:pStyle w:val="null3"/>
              <w:spacing w:before="165"/>
              <w:ind w:left="135" w:right="120"/>
              <w:jc w:val="left"/>
            </w:pPr>
            <w:r>
              <w:rPr>
                <w:rFonts w:ascii="仿宋_GB2312" w:hAnsi="仿宋_GB2312" w:cs="仿宋_GB2312" w:eastAsia="仿宋_GB2312"/>
                <w:sz w:val="24"/>
                <w:color w:val="000000"/>
              </w:rPr>
              <w:t>①镇区功能布局方案；②镇区配套设施规划；③镇区概念设计总平面；④镇区重点项目等相关规划内容和图纸等内容。</w:t>
            </w:r>
          </w:p>
          <w:p>
            <w:pPr>
              <w:pStyle w:val="null3"/>
              <w:spacing w:before="195"/>
              <w:ind w:left="135" w:right="150" w:firstLine="517"/>
              <w:jc w:val="left"/>
            </w:pPr>
            <w:r>
              <w:rPr>
                <w:rFonts w:ascii="仿宋_GB2312" w:hAnsi="仿宋_GB2312" w:cs="仿宋_GB2312" w:eastAsia="仿宋_GB2312"/>
                <w:sz w:val="24"/>
                <w:color w:val="000000"/>
              </w:rPr>
              <w:t>(5)服务保障措施，内容包含：①工期保障措施；②质量保证措施；③安全管理制度；④售后服务制度等内容。</w:t>
            </w:r>
          </w:p>
          <w:p>
            <w:pPr>
              <w:pStyle w:val="null3"/>
              <w:spacing w:before="240"/>
              <w:ind w:left="135" w:right="150" w:firstLine="493"/>
              <w:jc w:val="left"/>
            </w:pPr>
            <w:r>
              <w:rPr>
                <w:rFonts w:ascii="仿宋_GB2312" w:hAnsi="仿宋_GB2312" w:cs="仿宋_GB2312" w:eastAsia="仿宋_GB2312"/>
                <w:sz w:val="24"/>
                <w:color w:val="000000"/>
              </w:rPr>
              <w:t>注：</w:t>
            </w:r>
            <w:r>
              <w:rPr>
                <w:rFonts w:ascii="仿宋_GB2312" w:hAnsi="仿宋_GB2312" w:cs="仿宋_GB2312" w:eastAsia="仿宋_GB2312"/>
              </w:rPr>
              <w:t xml:space="preserve"> </w:t>
            </w:r>
            <w:r>
              <w:rPr>
                <w:rFonts w:ascii="仿宋_GB2312" w:hAnsi="仿宋_GB2312" w:cs="仿宋_GB2312" w:eastAsia="仿宋_GB2312"/>
                <w:sz w:val="24"/>
                <w:color w:val="000000"/>
              </w:rPr>
              <w:t>(1)供应商应当根据本项目实际情况提供真实、客观的证明材料。</w:t>
            </w:r>
          </w:p>
          <w:p>
            <w:pPr>
              <w:pStyle w:val="null3"/>
              <w:ind w:left="135" w:right="150" w:firstLine="517"/>
              <w:jc w:val="left"/>
            </w:pPr>
            <w:r>
              <w:rPr>
                <w:rFonts w:ascii="仿宋_GB2312" w:hAnsi="仿宋_GB2312" w:cs="仿宋_GB2312" w:eastAsia="仿宋_GB2312"/>
                <w:sz w:val="24"/>
                <w:color w:val="000000"/>
              </w:rPr>
              <w:t>(2)供应商应当保证所提交的所有材料的真实性，若提交虚假材料谋取成交的，将上报同级监管部门依法处理。</w:t>
            </w:r>
          </w:p>
          <w:p>
            <w:pPr>
              <w:pStyle w:val="null3"/>
              <w:jc w:val="left"/>
            </w:pPr>
            <w:r>
              <w:rPr>
                <w:rFonts w:ascii="仿宋_GB2312" w:hAnsi="仿宋_GB2312" w:cs="仿宋_GB2312" w:eastAsia="仿宋_GB2312"/>
                <w:sz w:val="21"/>
                <w:color w:val="000000"/>
              </w:rPr>
              <w:t>(3)供应商根据项目的实际需求和具体情况实事求是地编制响应文件，能具体量化，具有可行性及便于高质量履约。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仿宋_GB2312" w:hAnsi="仿宋_GB2312" w:cs="仿宋_GB2312" w:eastAsia="仿宋_GB2312"/>
                <w:sz w:val="24"/>
              </w:rPr>
              <w:t>2.供应商应为本项目提供履约的所有人员按照国家规定购买相关保险。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自政府采购合同签订之日起60日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宜宾市叙州区观音镇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(一)本项目现场验收由采购人组织，供应商配合进行。采购人可以邀请参加本项目的其他供应商或者第三方专业机构及专家参与验收，相关验收意见作为验收的参考资料。 (二)服务在供应商通知履约完成后10日内组织验收。 验收标准：按国家有关规定以及采购文件的质量要求和技术指标(包括每一项技术和商务要求的履约情况)、供应商的响应文件及承诺与本合同约定标准进行验收；双方如对质量要 求和技术指标的约定标准有相互抵触或异议的事项，由采购人在响应文件中按质量要求和技术指标比较优胜的原则确定该项的约定标准进行验收； (四)验收时如发现所提交的成果不符合标准及本合同规定之情形者，采购人应做出详尽的现场记录，或由双方签署备忘录，此现场记录或备忘录可用作补充、缺失和整改的有效证据，由此产生的时间延误与有关费用由供应商承担，验收期限相应顺延； (五)如验收合格，双方签署验收报告。 (六)项目验收不合格且拒不整改的，将不予支付采购资金，还可能上报本项目同级财政部门按照政府采购法律法规等有关规定给予行政处罚； (七)其他未尽事宜应严格按照《财政部 关于进一步加强政府采购需求和履约验收管理的指导意见》 (财库〔2016〕205号)、《政府采购需求管理办法》(财库〔2021〕22号)及采购人验收相关规定组织验收。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1、进度款，本项目签订合同后，提供有效票据，达到付款条件起10日内，支付合同总金额的30.00%</w:t>
            </w:r>
          </w:p>
          <w:p>
            <w:pPr>
              <w:pStyle w:val="null3"/>
              <w:jc w:val="left"/>
            </w:pPr>
            <w:r>
              <w:rPr>
                <w:rFonts w:ascii="仿宋_GB2312" w:hAnsi="仿宋_GB2312" w:cs="仿宋_GB2312" w:eastAsia="仿宋_GB2312"/>
              </w:rPr>
              <w:t>2、进度款，提交初步方案后，提供有效票据后，达到付款条件起10日内，支付合同总金额的50.00%</w:t>
            </w:r>
          </w:p>
          <w:p>
            <w:pPr>
              <w:pStyle w:val="null3"/>
              <w:jc w:val="left"/>
            </w:pPr>
            <w:r>
              <w:rPr>
                <w:rFonts w:ascii="仿宋_GB2312" w:hAnsi="仿宋_GB2312" w:cs="仿宋_GB2312" w:eastAsia="仿宋_GB2312"/>
              </w:rPr>
              <w:t>3、尾款，本项目规划成果通过业主或相关县级规划审议程序审查合格，提交正式成果后，提供有效票据后，达到付款条件起10日内，支付合同总金额的20.00%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 xml:space="preserve"> (一)违约责任 甲方违约责任 1.甲方逾期支付合同款项的，除应及时付足合同款外，应向乙方偿付欠款总额万分之 1 /天的违约金；逾 期付款超过 30 天的，乙方有权终止合同； 2. 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律师费、诉讼费、公证费、保全费、保全保险费、鉴定费等以及由此而导致的甲方对任何第三方的法律责任等，乙方对此均应承担全部的赔偿责任。 3.乙方交付的履约质量不符合合同规定的，须在合同规定的履约时间内整改完成甲方要求，否则，视作乙方不能正常履约而违约，按本条款下述第“4”项规定由乙方承担违约责任。 4.乙方不能正常履约或逾期履约而违约的，除应及时完成履约外，应向甲方偿付逾期履约部分合同总额的万分之 1 /天的违约金；逾期交付超过15天，甲方有权终止合同，乙方则应按合同总价的百分之 10 的款额向甲方偿付违约金，并须全额退还甲方已经付给乙方的合同款项及其利息。 5.乙方保证本合同项下的权利无瑕疵，包括各项服务及知识产权等权利无瑕疵。如任何第三方经法院(或仲裁机构)裁决有权对上述服务主张权利或国家机关依法对服务进行查封的，乙方除应向甲方返还已收款项外，还应另按合同总价的百分之 10 向甲方支付违约金并赔偿因此给甲方造成的一切损失。 6.乙方应当遵守甲方的相关项目需求及相关技术服务要求及实质性条款，实施完成采购合同应当完全满足相关项目需求及相关技术、服务要求及实质性条款，若乙方瑕疵履行采购合同，甲方有权向乙方要求赔偿合同总价款20%的违约金，若造成相关损失且违约金不足以弥补甲方损失的，甲方有权要求乙方承担所有赔偿责任。 (二)解决争议的方法 因服务的质量问题发生争议，由采购人或其指定的第三方机构进行质量鉴定。服务符合标准的，鉴定费由采购人承担；服务不符合质量标准的，鉴定费由供应商承担。 2.合同履行期间，若双方发生争议，可协商或由有关部门调解解决，协商或调解不成的，向项目所在地法院提起诉讼。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知识产权：1.供应商在本项目使用任何产品和服务(包括部分使用)时，不会产生因第三方提出侵犯其专利权、商标权、著作权或其它知识产权而引起的法律和经济纠纷，如因专利权、商标权、著作权或其它知识产权而引起法律和经济纠纷，由供应商承担所有相关责任。2.采购人享有本项目实施过程中产生的知识成果及知识产权，并依据实际情况对采购标的涉及的知识产权的进行处理。3.供应商如欲在项目实施过程中采用自有知识成果，需在投标文件中声明，并提供相关知识产权证明文件。使用该知识成果后，供应商需提供相关技术文档，并承诺提供无限期技术支持，采购人享有永久使用权。4.如采用供应商所不拥有的知识产权，则在报价中必须包括合法获取该知识产权的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“技术、服务及其他要求”中“3.2.技术要求”，“3.3.服务要求”，但不得变动磋商文件中的其他内容。实质性变动的内容，须经采购人代表确认。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(1)供应商提供2024年度或者2025年度经过会计师事务所审计的财务报告复印件(经审计的有效财务报告应包括报告及报告中所附的完整内容，并由注册会计师签名、盖章以及会计师事务所盖章)； (2)供应商提供2024年度或者2025年度供应商内部的财务报表复印件(至少包含资产负债表)； (3)供应商提供响应文件递交截止日前一年内银行为其出具的资信证明复印件； (4)供应商注册时间截至响应文件递交截止日不足一年的，可提供公司章程复印件； (5)供应商为事业单位或其他组织(不具备法人条件的组织，如合伙组织、个体工商户、农村承包经营户等)或自然人时，可提供承诺函； 注：①具有健全的财务会计制度的证明材料中第(1)-(5)项具有同等的效力，供应商可根据自身实际情况选择提供其中任意一项。</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供应商具有行政主管部门颁发的有效的城乡规划编制乙级或以上资质证书</w:t>
            </w:r>
          </w:p>
        </w:tc>
        <w:tc>
          <w:tcPr>
            <w:tcW w:type="dxa" w:w="3322"/>
          </w:tcPr>
          <w:p>
            <w:pPr>
              <w:pStyle w:val="null3"/>
              <w:jc w:val="left"/>
            </w:pPr>
            <w:r>
              <w:rPr>
                <w:rFonts w:ascii="仿宋_GB2312" w:hAnsi="仿宋_GB2312" w:cs="仿宋_GB2312" w:eastAsia="仿宋_GB2312"/>
              </w:rPr>
              <w:t>供应商提供行政主管部门颁发的有效的城乡规划编制乙级或以上资质证书扫描件</w:t>
            </w:r>
          </w:p>
        </w:tc>
        <w:tc>
          <w:tcPr>
            <w:tcW w:type="dxa" w:w="1661"/>
          </w:tcPr>
          <w:p>
            <w:pPr>
              <w:pStyle w:val="null3"/>
              <w:jc w:val="left"/>
            </w:pPr>
            <w:r>
              <w:rPr>
                <w:rFonts w:ascii="仿宋_GB2312" w:hAnsi="仿宋_GB2312" w:cs="仿宋_GB2312" w:eastAsia="仿宋_GB2312"/>
              </w:rPr>
              <w:t>供应商应提交的相关资格证明材料.docx,实质性要求承诺.docx,投标（响应）函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响应文件封面,商务应答表.docx,实质性要求承诺.docx,投标（响应）函,服务应答表.docx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包含竞争性磋商文件第三章带“★”号在内的，其他符合性(实质性)审查内容。</w:t>
            </w:r>
          </w:p>
        </w:tc>
        <w:tc>
          <w:tcPr>
            <w:tcW w:type="dxa" w:w="1661"/>
          </w:tcPr>
          <w:p>
            <w:pPr>
              <w:pStyle w:val="null3"/>
              <w:jc w:val="left"/>
            </w:pPr>
            <w:r>
              <w:rPr>
                <w:rFonts w:ascii="仿宋_GB2312" w:hAnsi="仿宋_GB2312" w:cs="仿宋_GB2312" w:eastAsia="仿宋_GB2312"/>
              </w:rPr>
              <w:t>实质性要求承诺.docx,商务应答表.docx,投标（响应）函,服务应答表.docx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本项目允许联合体磋商</w:t>
            </w:r>
          </w:p>
        </w:tc>
        <w:tc>
          <w:tcPr>
            <w:tcW w:type="dxa" w:w="3322"/>
          </w:tcPr>
          <w:p>
            <w:pPr>
              <w:pStyle w:val="null3"/>
              <w:jc w:val="left"/>
            </w:pPr>
            <w:r>
              <w:rPr>
                <w:rFonts w:ascii="仿宋_GB2312" w:hAnsi="仿宋_GB2312" w:cs="仿宋_GB2312" w:eastAsia="仿宋_GB2312"/>
              </w:rPr>
              <w:t>本项目允许联合体磋商；供应商是联合体时，联合体各方之间应当签订联合体协议，明确约定联合体各方承担的工作和相应的责任。联合体参与磋商的，应在响应文件中提供联合体协议原件的扫描件；以联合体形式参加政府采购活动的，联合体各方不得再单独参加或者与其他供应商另外组成联合体参加本次政府采购活动</w:t>
            </w:r>
          </w:p>
        </w:tc>
        <w:tc>
          <w:tcPr>
            <w:tcW w:type="dxa" w:w="1661"/>
          </w:tcPr>
          <w:p>
            <w:pPr>
              <w:pStyle w:val="null3"/>
              <w:jc w:val="left"/>
            </w:pPr>
            <w:r>
              <w:rPr>
                <w:rFonts w:ascii="仿宋_GB2312" w:hAnsi="仿宋_GB2312" w:cs="仿宋_GB2312" w:eastAsia="仿宋_GB2312"/>
              </w:rPr>
              <w:t>联合体协议.docx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现状分析，发展研判，规划举措，规划方案，服务保障措施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现状分析</w:t>
            </w:r>
          </w:p>
        </w:tc>
        <w:tc>
          <w:tcPr>
            <w:tcW w:type="dxa" w:w="2575"/>
          </w:tcPr>
          <w:p>
            <w:pPr>
              <w:pStyle w:val="null3"/>
              <w:jc w:val="left"/>
            </w:pPr>
            <w:r>
              <w:rPr>
                <w:rFonts w:ascii="仿宋_GB2312" w:hAnsi="仿宋_GB2312" w:cs="仿宋_GB2312" w:eastAsia="仿宋_GB2312"/>
              </w:rPr>
              <w:t>供应商针对本项目提供的现状分析，内容包 含：内容包含：①镇域概况；②底图底数；③产业现状分析；④人口特征分析；⑤镇区建设情况等五项内容。 根据供应商针对上述五项内容在响应文件中的响应情况进行综合评审：以上内容完整，且符合项目要求的得15分；每缺少一项内容扣3分，每有一处内容存在不足的扣 1.5分，每项最多扣3分；15分扣完为止。 注：内容存在不足是指①涉及内容未能体现出本项目的特点或与实际需求不完全相符；②语言错误或存在歧义，项目名称、实施地点、政策、规范标准与本项目不一致等情形；③采购需求中涉及的国家或行业等规范性要求，方案内容与之不符合或低于标准要求；④服务方案中的方案与服务、商务要求不一致（服务、商务表应答正确，但在服务方案中出现不一致的描述）的。</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发展研判</w:t>
            </w:r>
          </w:p>
        </w:tc>
        <w:tc>
          <w:tcPr>
            <w:tcW w:type="dxa" w:w="2575"/>
          </w:tcPr>
          <w:p>
            <w:pPr>
              <w:pStyle w:val="null3"/>
              <w:jc w:val="left"/>
            </w:pPr>
            <w:r>
              <w:rPr>
                <w:rFonts w:ascii="仿宋_GB2312" w:hAnsi="仿宋_GB2312" w:cs="仿宋_GB2312" w:eastAsia="仿宋_GB2312"/>
              </w:rPr>
              <w:t>供应商针对本项目提供的发展研判，内容包含：①分析研究国内类似乡镇优秀案例进行分析解读；②总结经验借鉴等两项内容。 根据供应商针对上述两项内容在响应文件中的响应情况进行综合评审：以上内容完整，且符合项目要求的得8分；每缺少一项内容扣4分，每有一处内容存在不足的扣2分，每项最多扣4分；8分扣完为止。 注：内容存在不足是指①涉及内容未能体现出本项目的特点或与实际需求不完全相符；②语言错误或存在歧义，项目名称、实施地点、政策、规范标准与本项目不一致等情形；③采购需求中涉及的国家或行业等规范性要求，方案内容与之不符合或低于标准要求；④服务方案中的方案与服务、商务要求不一致（服务、商务表应答正确，但在服务方案中出现不一致的描述）的。</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规划举措</w:t>
            </w:r>
          </w:p>
        </w:tc>
        <w:tc>
          <w:tcPr>
            <w:tcW w:type="dxa" w:w="2575"/>
          </w:tcPr>
          <w:p>
            <w:pPr>
              <w:pStyle w:val="null3"/>
              <w:jc w:val="left"/>
            </w:pPr>
            <w:r>
              <w:rPr>
                <w:rFonts w:ascii="仿宋_GB2312" w:hAnsi="仿宋_GB2312" w:cs="仿宋_GB2312" w:eastAsia="仿宋_GB2312"/>
              </w:rPr>
              <w:t>供应商针对本项目提供的规划举措，内容包含：①场镇定位愿景；②镇域产业发展规划；③镇区及周边地区战略谋划；④镇区及周边地区发展路径等四项内容。 根据供应商针对上述四项内容在响应文件中的响应情况进行综合评审：以上内容完整，且符合项目要求的得16分；每缺少一项内容扣4分，每有一处内容存在不足的扣2分，每项最多扣4分；16分扣完为止。注：内容存在不足是指①涉及内容未能体现出本项目的特点或与实际需求不完全相符；②语言错误或存在歧义，项目名称、实施地点、政策、规范标准与本项目不一致等情形；③采购需求中涉及的国家或行业等规范性要求，方案内容与之不符合或低于标准要求；④服务方案中的方案与服务、商务要求不一致（服务、商务表应答正确，但在服务方案中出现不一致的描述）的。</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规划方案</w:t>
            </w:r>
          </w:p>
        </w:tc>
        <w:tc>
          <w:tcPr>
            <w:tcW w:type="dxa" w:w="2575"/>
          </w:tcPr>
          <w:p>
            <w:pPr>
              <w:pStyle w:val="null3"/>
              <w:jc w:val="left"/>
            </w:pPr>
            <w:r>
              <w:rPr>
                <w:rFonts w:ascii="仿宋_GB2312" w:hAnsi="仿宋_GB2312" w:cs="仿宋_GB2312" w:eastAsia="仿宋_GB2312"/>
              </w:rPr>
              <w:t>供应商针对本项目提供的规划方案，内容包含：①镇区功能布局方案；②镇区配套设施规划；③镇区概念设计总平面；④镇区重点项目等相关规划内容和图纸等四项内容。 根据供应商针对上述四项内容在响应文件中的响应情况进行综合评审：以上内容完整，且符合项目要求的得16分；每缺少一项内容扣4分，每有一处内容存在不足的扣2分，每项最多扣4分；16分扣完为止。 注：内容存在不足是指①涉及内容未能体现出本项目的特点或与实际需求不完全相符；②语言错误或存在歧义，项目名称、实施地点、政策、规范标准与本项目不一致等情形；③采购需求中涉及的国家或行业等规范性要求，方案内容与之不符合或低于标准要 求；④服务方案中的方案与服务、商务要求不一致（服务、商务表应答正确，但在服务方案中出现不一致的描述）的。</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服务保障措施</w:t>
            </w:r>
          </w:p>
        </w:tc>
        <w:tc>
          <w:tcPr>
            <w:tcW w:type="dxa" w:w="2575"/>
          </w:tcPr>
          <w:p>
            <w:pPr>
              <w:pStyle w:val="null3"/>
              <w:jc w:val="left"/>
            </w:pPr>
            <w:r>
              <w:rPr>
                <w:rFonts w:ascii="仿宋_GB2312" w:hAnsi="仿宋_GB2312" w:cs="仿宋_GB2312" w:eastAsia="仿宋_GB2312"/>
              </w:rPr>
              <w:t>供应商针对本项目提供的服务保障措施，内容包含：①工期保障措施；②质量保证措施；③安全管理制度；④售后服务制度等四项内容。 根据供应商针对上述四项内容在响应文件中的响应情况进行综合评审：以上内容完整，且符合项目要求的得12分；每缺少一项内容扣3分，每有一处内容存在不足的扣1.5分，每项最多扣3分；12分扣完为止。 注：内容存在不足是指①涉及内容未能体现出本项目的特点或与实际需求不完全相符；②语言错误或存在歧义，项目名称、实施地点、政策、规范标准与本项目不一致等情形；③采购需求中涉及的国家或行业等规范性要求，方案内容与之不符合或低于标准要求；④服务方案中的方案与服务、商务要求不一致（服务、商务表应答正确，但在服务方案中出现不一致的描述）的。</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1.项目负责人（1人）:供应商拟投入本项目的项目负责人具有国家注册城市（乡）规划师的得3分；同时具有规划类中级技术职称的加1分，具有规划类高级及以上技术职称的加3分，同时，本项最多得6分。 2.技术负责人（1人）：供应商拟投入本项目的技术负责人具有国家注册城市(乡)规划师的得2分；同时具有规划类中级及以上技术职称的加2分，本项最多得4分。 3.项目团队成员（3人）供应商拟投入本项目的团队成员中，每具有一名规划专业中级及以上技术职称的得2分；每具有一名规划专业助理工程师的得1分；本项最多得6分。 注:所有人员不重复计分，提供有效的证书复印件、身份证复印、在职证明；证书涉及注册类证书的，注册证书上的工作单位须与供应商单位名称一致。</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p>
            <w:pPr>
              <w:pStyle w:val="null3"/>
              <w:jc w:val="left"/>
            </w:pPr>
            <w:r>
              <w:rPr>
                <w:rFonts w:ascii="仿宋_GB2312" w:hAnsi="仿宋_GB2312" w:cs="仿宋_GB2312" w:eastAsia="仿宋_GB2312"/>
              </w:rPr>
              <w:t>供应商针对本项目人员配置情况表.docx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供应商具有2021年1月1日以来类似项目履约经验的，每提供1个得3.5分，最多得7分。 注：1.提供中标/成交通知书复印件或合同复印件证明材料并进行电子签章，否则对应得分项不得分； 2.以中标/成交通知书落款时间或合同签订时间为准，两者都提供的，以合同签订时间为准。 3.类似项目履约经验是：镇级及以上国土空间规划、城镇详细规划或城镇类城市设计等。</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中小企业声明函,残疾人福利性单位声明函,联合体协议.docx,报价表,监狱企业的证明文件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详见附件：履约能力及相关证明.docx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详见附件：联合体协议.docx</w:t>
      </w:r>
    </w:p>
    <w:p>
      <w:pPr>
        <w:pStyle w:val="null3"/>
        <w:ind w:firstLine="960"/>
        <w:jc w:val="left"/>
      </w:pPr>
      <w:r>
        <w:rPr>
          <w:rFonts w:ascii="仿宋_GB2312" w:hAnsi="仿宋_GB2312" w:cs="仿宋_GB2312" w:eastAsia="仿宋_GB2312"/>
        </w:rPr>
        <w:t>详见附件：供应商针对本项目人员配置情况表.docx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