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版本号：N511001202600003520260402001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医学检验（外送检验）服务项目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N5110012026000035</w:t>
      </w:r>
    </w:p>
    <w:p>
      <w:pPr>
        <w:pStyle w:val="null3"/>
        <w:jc w:val="center"/>
        <w:outlineLvl w:val="2"/>
      </w:pPr>
      <w:r>
        <w:rPr>
          <w:rFonts w:ascii="仿宋_GB2312" w:hAnsi="仿宋_GB2312" w:cs="仿宋_GB2312" w:eastAsia="仿宋_GB2312"/>
          <w:sz w:val="28"/>
          <w:b/>
        </w:rPr>
        <w:t>内江市第六人民医院（内江经济技术开发区人民医院）</w:t>
      </w:r>
    </w:p>
    <w:p>
      <w:pPr>
        <w:pStyle w:val="null3"/>
        <w:jc w:val="center"/>
        <w:outlineLvl w:val="2"/>
      </w:pPr>
      <w:r>
        <w:rPr>
          <w:rFonts w:ascii="仿宋_GB2312" w:hAnsi="仿宋_GB2312" w:cs="仿宋_GB2312" w:eastAsia="仿宋_GB2312"/>
          <w:sz w:val="28"/>
          <w:b/>
        </w:rPr>
        <w:t>四川尚璟招标代理有限责任公司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四川尚璟招标代理有限责任公司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内江市第六人民医院（内江经济技术开发区人民医院）</w:t>
      </w:r>
      <w:r>
        <w:rPr>
          <w:rFonts w:ascii="仿宋_GB2312" w:hAnsi="仿宋_GB2312" w:cs="仿宋_GB2312" w:eastAsia="仿宋_GB2312"/>
        </w:rPr>
        <w:t xml:space="preserve"> 委托，拟对 </w:t>
      </w:r>
      <w:r>
        <w:rPr>
          <w:rFonts w:ascii="仿宋_GB2312" w:hAnsi="仿宋_GB2312" w:cs="仿宋_GB2312" w:eastAsia="仿宋_GB2312"/>
        </w:rPr>
        <w:t>医学检验（外送检验）服务项目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内江市市本级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N5110012026000035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医学检验（外送检验）服务项目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满足临床科室医学检验服务需求，确保临床医疗工作正常运行，拟采购一家供应商提供医学检验外送服务，本项目预算650000.00元/年，服务期限三年，合同一年一签。每年由采购人对服务质量进行考核，考核合格后续签下一年度合同。</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必须具有卫生部门核发且在有效期内的《中华人民共和国医疗机构执业许可证》【诊疗科目应包含医学检测类并符合本项目检测范围】。（描述：供应商提供卫生部门核发且在有效期内的《中华人民共和国医疗机构执业许可证》【诊疗科目应包含医学检测类并符合本项目检测范围】扫描件并进行电子签章。）</w:t>
      </w:r>
    </w:p>
    <w:p>
      <w:pPr>
        <w:pStyle w:val="null3"/>
        <w:jc w:val="left"/>
      </w:pPr>
      <w:r>
        <w:rPr>
          <w:rFonts w:ascii="仿宋_GB2312" w:hAnsi="仿宋_GB2312" w:cs="仿宋_GB2312" w:eastAsia="仿宋_GB2312"/>
        </w:rPr>
        <w:t>2、供应商必须具有《与人体健康有关的病原微生物实验室备案凭证》。（描述：供应商提供卫生部门核发且在有效期内的《与人体健康有关的病原微生物实验室备案凭证》扫描件并进行电子签章。）</w:t>
      </w:r>
    </w:p>
    <w:p>
      <w:pPr>
        <w:pStyle w:val="null3"/>
        <w:jc w:val="left"/>
      </w:pPr>
      <w:r>
        <w:rPr>
          <w:rFonts w:ascii="仿宋_GB2312" w:hAnsi="仿宋_GB2312" w:cs="仿宋_GB2312" w:eastAsia="仿宋_GB2312"/>
        </w:rPr>
        <w:t>3、供应商必须具有有效的临床基因扩增实验室备案。（描述：供应商须具有有效的临床基因扩增实验室备案（提供备案证明材料扫描件并进行电子签章）。）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内江市第六人民医院（内江经济技术开发区人民医院）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内江市市中区壕子口社区铁站街东巷48号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18283205050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四川尚璟招标代理有限责任公司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内江市东兴区兰桂大道222号负一层3号、4号、5号、6号、7号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0832-2267533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次代理服务费以本项目三年总合同金额为计算基数按照《国家发展改革委关于进一步放开建设项目专业服务价格的通知》(发改价格〔2015)299号)规定，参照原国家计委《关于印发招标代理服务收费管理暂行办法的通知》（计价格[2002]1980号）收取比例和国家发展改革委办公厅《关于招标代理服务收费有关问题的通知》（发改办价格［2003］857号）文件的规定，以成本支出加合理利润为原则向成交供应商定额收取22600元（大写：贰万贰仟陆佰元整）。 付款方式：成交供应商缴纳代理服务费可以使用银行转账、微信支付或者现金支付。 收款单位：四川尚璟招标代理有限责任公司； 开户行：中国邮政储蓄银行股份有限公司内江市市中区支行； 银行账号：95100 10100 0816 8939。</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内江市第六人民医院（内江经济技术开发区人民医院）</w:t>
      </w:r>
      <w:r>
        <w:rPr>
          <w:rFonts w:ascii="仿宋_GB2312" w:hAnsi="仿宋_GB2312" w:cs="仿宋_GB2312" w:eastAsia="仿宋_GB2312"/>
        </w:rPr>
        <w:t xml:space="preserve"> 和 </w:t>
      </w:r>
      <w:r>
        <w:rPr>
          <w:rFonts w:ascii="仿宋_GB2312" w:hAnsi="仿宋_GB2312" w:cs="仿宋_GB2312" w:eastAsia="仿宋_GB2312"/>
        </w:rPr>
        <w:t>四川尚璟招标代理有限责任公司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内江市第六人民医院（内江经济技术开发区人民医院）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四川尚璟招标代理有限责任公司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8.37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严格按照采购文件、政府采购合同及供应商的响应文件中的技术指标和服务要求约定标准进行验收。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严格按照采购文件、政府采购合同及供应商的响应文件中的商务要求内容约定标准进行验收。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财政部关于进一步加强政府采购需求和履约验收管理的指导意见》（财库〔2016〕205号）、《政府采购需求管理办法》（财库〔2021〕22号）以及采购人、采购文件的质量要求和技术指标、供应商的响应文件及承诺与本项目合同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内江市第六人民医院（内江经济技术开发区人民医院）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四川尚璟招标代理有限责任公司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四川尚璟招标代理有限责任公司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联系电话：18283205050</w:t>
      </w:r>
    </w:p>
    <w:p>
      <w:pPr>
        <w:pStyle w:val="null3"/>
        <w:jc w:val="left"/>
      </w:pPr>
      <w:r>
        <w:rPr>
          <w:rFonts w:ascii="仿宋_GB2312" w:hAnsi="仿宋_GB2312" w:cs="仿宋_GB2312" w:eastAsia="仿宋_GB2312"/>
        </w:rPr>
        <w:t>地址：内江市市中区壕子口社区铁站街东巷48号</w:t>
      </w:r>
    </w:p>
    <w:p>
      <w:pPr>
        <w:pStyle w:val="null3"/>
        <w:jc w:val="left"/>
      </w:pPr>
      <w:r>
        <w:rPr>
          <w:rFonts w:ascii="仿宋_GB2312" w:hAnsi="仿宋_GB2312" w:cs="仿宋_GB2312" w:eastAsia="仿宋_GB2312"/>
        </w:rPr>
        <w:t>邮编：641000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联系人：黄女士</w:t>
      </w:r>
    </w:p>
    <w:p>
      <w:pPr>
        <w:pStyle w:val="null3"/>
        <w:jc w:val="left"/>
      </w:pPr>
      <w:r>
        <w:rPr>
          <w:rFonts w:ascii="仿宋_GB2312" w:hAnsi="仿宋_GB2312" w:cs="仿宋_GB2312" w:eastAsia="仿宋_GB2312"/>
        </w:rPr>
        <w:t>联系电话：0832-2267533</w:t>
      </w:r>
    </w:p>
    <w:p>
      <w:pPr>
        <w:pStyle w:val="null3"/>
        <w:jc w:val="left"/>
      </w:pPr>
      <w:r>
        <w:rPr>
          <w:rFonts w:ascii="仿宋_GB2312" w:hAnsi="仿宋_GB2312" w:cs="仿宋_GB2312" w:eastAsia="仿宋_GB2312"/>
        </w:rPr>
        <w:t>地址：内江市东兴区兰桂大道222号负一层3号、4号、5号、6号、7号</w:t>
      </w:r>
    </w:p>
    <w:p>
      <w:pPr>
        <w:pStyle w:val="null3"/>
        <w:jc w:val="left"/>
      </w:pPr>
      <w:r>
        <w:rPr>
          <w:rFonts w:ascii="仿宋_GB2312" w:hAnsi="仿宋_GB2312" w:cs="仿宋_GB2312" w:eastAsia="仿宋_GB2312"/>
        </w:rPr>
        <w:t>邮编：641000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650,000.00</w:t>
      </w:r>
    </w:p>
    <w:p>
      <w:pPr>
        <w:pStyle w:val="null3"/>
        <w:jc w:val="left"/>
      </w:pPr>
      <w:r>
        <w:rPr>
          <w:rFonts w:ascii="仿宋_GB2312" w:hAnsi="仿宋_GB2312" w:cs="仿宋_GB2312" w:eastAsia="仿宋_GB2312"/>
        </w:rPr>
        <w:t>采购包最高限价（元）: 650,000.00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C04990000 其他医疗卫生服务</w:t>
            </w:r>
          </w:p>
        </w:tc>
        <w:tc>
          <w:tcPr>
            <w:tcW w:type="dxa" w:w="821"/>
          </w:tcPr>
          <w:p>
            <w:pPr>
              <w:pStyle w:val="null3"/>
              <w:jc w:val="left"/>
            </w:pPr>
            <w:r>
              <w:rPr>
                <w:rFonts w:ascii="仿宋_GB2312" w:hAnsi="仿宋_GB2312" w:cs="仿宋_GB2312" w:eastAsia="仿宋_GB2312"/>
              </w:rPr>
              <w:t>医学检验（外送检验）服务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650,000.00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医学检验（外送检验）服务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下浮率</w:t>
            </w:r>
          </w:p>
        </w:tc>
        <w:tc>
          <w:tcPr>
            <w:tcW w:type="dxa" w:w="1466"/>
          </w:tcPr>
          <w:p>
            <w:pPr>
              <w:pStyle w:val="null3"/>
              <w:jc w:val="left"/>
            </w:pPr>
            <w:r>
              <w:rPr>
                <w:rFonts w:ascii="仿宋_GB2312" w:hAnsi="仿宋_GB2312" w:cs="仿宋_GB2312" w:eastAsia="仿宋_GB2312"/>
              </w:rPr>
              <w:t>本项目在单价限价的基础上采用下浮率报价，下浮率必须≥65%，且＜100%（有效报价下浮率：65% ≤下浮率＜100%）。供应商报价下浮率低于65%的为无效响应。</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标的名称：医学检验（外送检验）服务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外送检验项目清单</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75"/>
              <w:gridCol w:w="2130"/>
              <w:gridCol w:w="495"/>
              <w:gridCol w:w="2398"/>
            </w:tblGrid>
            <w:tr>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3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细胞角蛋白</w:t>
                  </w:r>
                  <w:r>
                    <w:rPr>
                      <w:rFonts w:ascii="仿宋_GB2312" w:hAnsi="仿宋_GB2312" w:cs="仿宋_GB2312" w:eastAsia="仿宋_GB2312"/>
                      <w:sz w:val="24"/>
                      <w:color w:val="000000"/>
                    </w:rPr>
                    <w:t>19片段</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自身抗体</w:t>
                  </w:r>
                  <w:r>
                    <w:rPr>
                      <w:rFonts w:ascii="仿宋_GB2312" w:hAnsi="仿宋_GB2312" w:cs="仿宋_GB2312" w:eastAsia="仿宋_GB2312"/>
                      <w:sz w:val="24"/>
                      <w:color w:val="000000"/>
                    </w:rPr>
                    <w:t>18项</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糖类抗原检测</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56</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皮质醇</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微量元素五项</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57</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糖尿病抗体</w:t>
                  </w:r>
                  <w:r>
                    <w:rPr>
                      <w:rFonts w:ascii="仿宋_GB2312" w:hAnsi="仿宋_GB2312" w:cs="仿宋_GB2312" w:eastAsia="仿宋_GB2312"/>
                      <w:sz w:val="24"/>
                      <w:color w:val="000000"/>
                    </w:rPr>
                    <w:t>3项</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外周血淋巴细胞微核分析</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抗角蛋白抗体</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外周血染色体畸变</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59</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单纯疱疹全套（</w:t>
                  </w:r>
                  <w:r>
                    <w:rPr>
                      <w:rFonts w:ascii="仿宋_GB2312" w:hAnsi="仿宋_GB2312" w:cs="仿宋_GB2312" w:eastAsia="仿宋_GB2312"/>
                      <w:sz w:val="24"/>
                      <w:color w:val="000000"/>
                    </w:rPr>
                    <w:t>4项HSV1+2型IGG+IGM定性）</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乙型肝炎病毒（</w:t>
                  </w:r>
                  <w:r>
                    <w:rPr>
                      <w:rFonts w:ascii="仿宋_GB2312" w:hAnsi="仿宋_GB2312" w:cs="仿宋_GB2312" w:eastAsia="仿宋_GB2312"/>
                      <w:sz w:val="24"/>
                      <w:color w:val="000000"/>
                    </w:rPr>
                    <w:t>HBV）DNA测定</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肝脏肿瘤标志物</w:t>
                  </w:r>
                  <w:r>
                    <w:rPr>
                      <w:rFonts w:ascii="仿宋_GB2312" w:hAnsi="仿宋_GB2312" w:cs="仿宋_GB2312" w:eastAsia="仿宋_GB2312"/>
                      <w:sz w:val="24"/>
                      <w:color w:val="000000"/>
                    </w:rPr>
                    <w:t>3项</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CD4、CD8绝对值计数（CD4、CD8以及绝对值计数、CD4/CD8）</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61</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轻链</w:t>
                  </w:r>
                  <w:r>
                    <w:rPr>
                      <w:rFonts w:ascii="仿宋_GB2312" w:hAnsi="仿宋_GB2312" w:cs="仿宋_GB2312" w:eastAsia="仿宋_GB2312"/>
                      <w:sz w:val="24"/>
                      <w:color w:val="000000"/>
                    </w:rPr>
                    <w:t>KAPPA定量</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尿微量白蛋白</w:t>
                  </w:r>
                  <w:r>
                    <w:rPr>
                      <w:rFonts w:ascii="仿宋_GB2312" w:hAnsi="仿宋_GB2312" w:cs="仿宋_GB2312" w:eastAsia="仿宋_GB2312"/>
                      <w:sz w:val="24"/>
                      <w:color w:val="000000"/>
                    </w:rPr>
                    <w:t>/尿肌酐比值</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62</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胃泌素</w:t>
                  </w:r>
                  <w:r>
                    <w:rPr>
                      <w:rFonts w:ascii="仿宋_GB2312" w:hAnsi="仿宋_GB2312" w:cs="仿宋_GB2312" w:eastAsia="仿宋_GB2312"/>
                      <w:sz w:val="24"/>
                      <w:color w:val="000000"/>
                    </w:rPr>
                    <w:t>17</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结核分枝杆菌</w:t>
                  </w:r>
                  <w:r>
                    <w:rPr>
                      <w:rFonts w:ascii="仿宋_GB2312" w:hAnsi="仿宋_GB2312" w:cs="仿宋_GB2312" w:eastAsia="仿宋_GB2312"/>
                      <w:sz w:val="24"/>
                      <w:color w:val="000000"/>
                    </w:rPr>
                    <w:t>DNA定性</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63</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人类白细胞抗原</w:t>
                  </w:r>
                  <w:r>
                    <w:rPr>
                      <w:rFonts w:ascii="仿宋_GB2312" w:hAnsi="仿宋_GB2312" w:cs="仿宋_GB2312" w:eastAsia="仿宋_GB2312"/>
                      <w:sz w:val="24"/>
                      <w:color w:val="000000"/>
                    </w:rPr>
                    <w:t>B27</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HPV基因分型（23种分型）</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64</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脂肪酶</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QFT</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地贫全套</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人附睾分泌蛋白</w:t>
                  </w:r>
                  <w:r>
                    <w:rPr>
                      <w:rFonts w:ascii="仿宋_GB2312" w:hAnsi="仿宋_GB2312" w:cs="仿宋_GB2312" w:eastAsia="仿宋_GB2312"/>
                      <w:sz w:val="24"/>
                      <w:color w:val="000000"/>
                    </w:rPr>
                    <w:t>4</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66</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血醛固酮</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肺部肿瘤三项（</w:t>
                  </w:r>
                  <w:r>
                    <w:rPr>
                      <w:rFonts w:ascii="仿宋_GB2312" w:hAnsi="仿宋_GB2312" w:cs="仿宋_GB2312" w:eastAsia="仿宋_GB2312"/>
                      <w:sz w:val="24"/>
                      <w:color w:val="000000"/>
                    </w:rPr>
                    <w:t>CYFRA211/NSE/SCC)</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67</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戊肝抗体两项</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促甲状腺素受体抗体</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68</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抗肾小球基底膜抗体</w:t>
                  </w:r>
                  <w:r>
                    <w:rPr>
                      <w:rFonts w:ascii="仿宋_GB2312" w:hAnsi="仿宋_GB2312" w:cs="仿宋_GB2312" w:eastAsia="仿宋_GB2312"/>
                      <w:sz w:val="24"/>
                      <w:color w:val="000000"/>
                    </w:rPr>
                    <w:t>IgG</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25-羟基维生素D</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69</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骨髓涂片细胞学检查</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抗甲状腺过氧化物酶抗体</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混合组过敏原</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人附睾蛋白</w:t>
                  </w:r>
                  <w:r>
                    <w:rPr>
                      <w:rFonts w:ascii="仿宋_GB2312" w:hAnsi="仿宋_GB2312" w:cs="仿宋_GB2312" w:eastAsia="仿宋_GB2312"/>
                      <w:sz w:val="24"/>
                      <w:color w:val="000000"/>
                    </w:rPr>
                    <w:t>4</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71</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癌胚抗原</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抗甲状腺球蛋白抗体</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72</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甲胎蛋白</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恶性肿瘤特异性生长因子</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神经元特异性烯醇化酶</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贫血三项</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74</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水痘</w:t>
                  </w:r>
                  <w:r>
                    <w:rPr>
                      <w:rFonts w:ascii="仿宋_GB2312" w:hAnsi="仿宋_GB2312" w:cs="仿宋_GB2312" w:eastAsia="仿宋_GB2312"/>
                      <w:sz w:val="24"/>
                      <w:color w:val="000000"/>
                    </w:rPr>
                    <w:t>-带状疱疹病毒抗体两项（IGG+IGM）</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抗甲状腺微粒体抗体（</w:t>
                  </w:r>
                  <w:r>
                    <w:rPr>
                      <w:rFonts w:ascii="仿宋_GB2312" w:hAnsi="仿宋_GB2312" w:cs="仿宋_GB2312" w:eastAsia="仿宋_GB2312"/>
                      <w:sz w:val="24"/>
                      <w:color w:val="000000"/>
                    </w:rPr>
                    <w:t>TMAb）</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一般细菌培养</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鳞状细胞癌抗原（</w:t>
                  </w:r>
                  <w:r>
                    <w:rPr>
                      <w:rFonts w:ascii="仿宋_GB2312" w:hAnsi="仿宋_GB2312" w:cs="仿宋_GB2312" w:eastAsia="仿宋_GB2312"/>
                      <w:sz w:val="24"/>
                      <w:color w:val="000000"/>
                    </w:rPr>
                    <w:t>SCCA）</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76</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巨细胞病毒</w:t>
                  </w:r>
                  <w:r>
                    <w:rPr>
                      <w:rFonts w:ascii="仿宋_GB2312" w:hAnsi="仿宋_GB2312" w:cs="仿宋_GB2312" w:eastAsia="仿宋_GB2312"/>
                      <w:sz w:val="24"/>
                      <w:color w:val="000000"/>
                    </w:rPr>
                    <w:t>IgM（定性）检测</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抗核抗体</w:t>
                  </w:r>
                  <w:r>
                    <w:rPr>
                      <w:rFonts w:ascii="仿宋_GB2312" w:hAnsi="仿宋_GB2312" w:cs="仿宋_GB2312" w:eastAsia="仿宋_GB2312"/>
                      <w:sz w:val="24"/>
                      <w:color w:val="000000"/>
                    </w:rPr>
                    <w:t>10项（新）</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77</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巨细胞病毒抗体</w:t>
                  </w:r>
                  <w:r>
                    <w:rPr>
                      <w:rFonts w:ascii="仿宋_GB2312" w:hAnsi="仿宋_GB2312" w:cs="仿宋_GB2312" w:eastAsia="仿宋_GB2312"/>
                      <w:sz w:val="24"/>
                      <w:color w:val="000000"/>
                    </w:rPr>
                    <w:t>IgG定性</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TCT</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维生素</w:t>
                  </w:r>
                  <w:r>
                    <w:rPr>
                      <w:rFonts w:ascii="仿宋_GB2312" w:hAnsi="仿宋_GB2312" w:cs="仿宋_GB2312" w:eastAsia="仿宋_GB2312"/>
                      <w:sz w:val="24"/>
                      <w:color w:val="000000"/>
                    </w:rPr>
                    <w:t>VB12</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甲状腺球蛋白</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79</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呼吸道病毒</w:t>
                  </w:r>
                  <w:r>
                    <w:rPr>
                      <w:rFonts w:ascii="仿宋_GB2312" w:hAnsi="仿宋_GB2312" w:cs="仿宋_GB2312" w:eastAsia="仿宋_GB2312"/>
                      <w:sz w:val="24"/>
                      <w:color w:val="000000"/>
                    </w:rPr>
                    <w:t>IgM抗体（9项定量）</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性激素六项（</w:t>
                  </w:r>
                  <w:r>
                    <w:rPr>
                      <w:rFonts w:ascii="仿宋_GB2312" w:hAnsi="仿宋_GB2312" w:cs="仿宋_GB2312" w:eastAsia="仿宋_GB2312"/>
                      <w:sz w:val="24"/>
                      <w:color w:val="000000"/>
                    </w:rPr>
                    <w:t>E2/FSH/LH/PRL/PROG/TESTO）</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卵巢肿瘤联合检测</w:t>
                  </w:r>
                  <w:r>
                    <w:rPr>
                      <w:rFonts w:ascii="仿宋_GB2312" w:hAnsi="仿宋_GB2312" w:cs="仿宋_GB2312" w:eastAsia="仿宋_GB2312"/>
                      <w:sz w:val="24"/>
                      <w:color w:val="000000"/>
                    </w:rPr>
                    <w:t>2项</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抗中性粒细胞抗体两项（</w:t>
                  </w:r>
                  <w:r>
                    <w:rPr>
                      <w:rFonts w:ascii="仿宋_GB2312" w:hAnsi="仿宋_GB2312" w:cs="仿宋_GB2312" w:eastAsia="仿宋_GB2312"/>
                      <w:sz w:val="24"/>
                      <w:color w:val="000000"/>
                    </w:rPr>
                    <w:t>ANCA两项a）</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81</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血液流变学检查</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C肽测定</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82</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抗线粒体抗体三项</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胰岛素测定</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83</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降钙素原</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hpv16+18型</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84</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淋巴细胞亚群</w:t>
                  </w:r>
                  <w:r>
                    <w:rPr>
                      <w:rFonts w:ascii="仿宋_GB2312" w:hAnsi="仿宋_GB2312" w:cs="仿宋_GB2312" w:eastAsia="仿宋_GB2312"/>
                      <w:sz w:val="24"/>
                      <w:color w:val="000000"/>
                    </w:rPr>
                    <w:t>6项</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高血压五项（卧位）</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85</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胃功能</w:t>
                  </w:r>
                  <w:r>
                    <w:rPr>
                      <w:rFonts w:ascii="仿宋_GB2312" w:hAnsi="仿宋_GB2312" w:cs="仿宋_GB2312" w:eastAsia="仿宋_GB2312"/>
                      <w:sz w:val="24"/>
                      <w:color w:val="000000"/>
                    </w:rPr>
                    <w:t>4项</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抗环瓜氨酸肽抗体</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骨钙素</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铁蛋白</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87</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梅毒甲苯胺红不加热血清试验</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α肿瘤坏死因子</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88</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梅毒螺旋体特异抗体测定</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肝纤四项</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89</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梅毒血清实验（</w:t>
                  </w:r>
                  <w:r>
                    <w:rPr>
                      <w:rFonts w:ascii="仿宋_GB2312" w:hAnsi="仿宋_GB2312" w:cs="仿宋_GB2312" w:eastAsia="仿宋_GB2312"/>
                      <w:sz w:val="24"/>
                      <w:color w:val="000000"/>
                    </w:rPr>
                    <w:t>RPR）定性</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G试验</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甲型肝炎病毒抗体</w:t>
                  </w:r>
                  <w:r>
                    <w:rPr>
                      <w:rFonts w:ascii="仿宋_GB2312" w:hAnsi="仿宋_GB2312" w:cs="仿宋_GB2312" w:eastAsia="仿宋_GB2312"/>
                      <w:sz w:val="24"/>
                      <w:color w:val="000000"/>
                    </w:rPr>
                    <w:t>IgM</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甲状旁腺素</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91</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β人绒毛膜促性腺激素</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血管炎两项</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92</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糖化血红蛋白</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高血压五项（立位）</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93</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甲功七项（</w:t>
                  </w:r>
                  <w:r>
                    <w:rPr>
                      <w:rFonts w:ascii="仿宋_GB2312" w:hAnsi="仿宋_GB2312" w:cs="仿宋_GB2312" w:eastAsia="仿宋_GB2312"/>
                      <w:sz w:val="24"/>
                      <w:color w:val="000000"/>
                    </w:rPr>
                    <w:t>T3/T4/FT3/FT4/TSH/TPOAb/TGAb）</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过敏原特异性</w:t>
                  </w:r>
                  <w:r>
                    <w:rPr>
                      <w:rFonts w:ascii="仿宋_GB2312" w:hAnsi="仿宋_GB2312" w:cs="仿宋_GB2312" w:eastAsia="仿宋_GB2312"/>
                      <w:sz w:val="24"/>
                      <w:color w:val="000000"/>
                    </w:rPr>
                    <w:t>IgE抗体检测（29项）</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94</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微量元素六项</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体液免疫五项（免疫球蛋白</w:t>
                  </w:r>
                  <w:r>
                    <w:rPr>
                      <w:rFonts w:ascii="仿宋_GB2312" w:hAnsi="仿宋_GB2312" w:cs="仿宋_GB2312" w:eastAsia="仿宋_GB2312"/>
                      <w:sz w:val="24"/>
                      <w:color w:val="000000"/>
                    </w:rPr>
                    <w:t>G/免疫球蛋白A/免疫球蛋白M/补体C3/补体C4）</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血醛固酮（卧位）</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孕酮</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睾酮</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鼻咽癌</w:t>
                  </w:r>
                  <w:r>
                    <w:rPr>
                      <w:rFonts w:ascii="仿宋_GB2312" w:hAnsi="仿宋_GB2312" w:cs="仿宋_GB2312" w:eastAsia="仿宋_GB2312"/>
                      <w:sz w:val="24"/>
                      <w:color w:val="000000"/>
                    </w:rPr>
                    <w:t>EB病毒抗体2项</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97</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ENA8项（抗核提取物抗体检测）</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总铁结合力组套</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血清蛋白电泳</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胃蛋白酶原组合</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99</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风疹病毒</w:t>
                  </w:r>
                  <w:r>
                    <w:rPr>
                      <w:rFonts w:ascii="仿宋_GB2312" w:hAnsi="仿宋_GB2312" w:cs="仿宋_GB2312" w:eastAsia="仿宋_GB2312"/>
                      <w:sz w:val="24"/>
                      <w:color w:val="000000"/>
                    </w:rPr>
                    <w:t>RNA荧光定性</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46</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高血压四项</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血醛固酮（立位）</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47</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24小时尿蛋白定量</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101</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肺炎四项（肺炎支原体</w:t>
                  </w:r>
                  <w:r>
                    <w:rPr>
                      <w:rFonts w:ascii="仿宋_GB2312" w:hAnsi="仿宋_GB2312" w:cs="仿宋_GB2312" w:eastAsia="仿宋_GB2312"/>
                      <w:sz w:val="24"/>
                      <w:color w:val="000000"/>
                    </w:rPr>
                    <w:t>IgM/IgG,肺炎衣原体IgM/IgG）</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48</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总</w:t>
                  </w:r>
                  <w:r>
                    <w:rPr>
                      <w:rFonts w:ascii="仿宋_GB2312" w:hAnsi="仿宋_GB2312" w:cs="仿宋_GB2312" w:eastAsia="仿宋_GB2312"/>
                      <w:sz w:val="24"/>
                      <w:color w:val="000000"/>
                    </w:rPr>
                    <w:t>IgE</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肺部肿瘤四项（</w:t>
                  </w:r>
                  <w:r>
                    <w:rPr>
                      <w:rFonts w:ascii="仿宋_GB2312" w:hAnsi="仿宋_GB2312" w:cs="仿宋_GB2312" w:eastAsia="仿宋_GB2312"/>
                      <w:sz w:val="24"/>
                      <w:color w:val="000000"/>
                    </w:rPr>
                    <w:t>CYFRA211/NSE/SCC/CA125）</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49</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GM试验</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103</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上呼吸道感染</w:t>
                  </w:r>
                  <w:r>
                    <w:rPr>
                      <w:rFonts w:ascii="仿宋_GB2312" w:hAnsi="仿宋_GB2312" w:cs="仿宋_GB2312" w:eastAsia="仿宋_GB2312"/>
                      <w:sz w:val="24"/>
                      <w:color w:val="000000"/>
                    </w:rPr>
                    <w:t>EB病毒抗体4项（定量）</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丙型肝炎病毒核糖核酸扩增定量检测</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卵巢肿瘤联合检测</w:t>
                  </w:r>
                  <w:r>
                    <w:rPr>
                      <w:rFonts w:ascii="仿宋_GB2312" w:hAnsi="仿宋_GB2312" w:cs="仿宋_GB2312" w:eastAsia="仿宋_GB2312"/>
                      <w:sz w:val="24"/>
                      <w:color w:val="000000"/>
                    </w:rPr>
                    <w:t>2项</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51</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自身免疫性肝病抗体</w:t>
                  </w:r>
                  <w:r>
                    <w:rPr>
                      <w:rFonts w:ascii="仿宋_GB2312" w:hAnsi="仿宋_GB2312" w:cs="仿宋_GB2312" w:eastAsia="仿宋_GB2312"/>
                      <w:sz w:val="24"/>
                      <w:color w:val="000000"/>
                    </w:rPr>
                    <w:t>7项</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105</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甲肝病毒抗体二项（</w:t>
                  </w:r>
                  <w:r>
                    <w:rPr>
                      <w:rFonts w:ascii="仿宋_GB2312" w:hAnsi="仿宋_GB2312" w:cs="仿宋_GB2312" w:eastAsia="仿宋_GB2312"/>
                      <w:sz w:val="24"/>
                      <w:color w:val="000000"/>
                    </w:rPr>
                    <w:t>HAV-IgG/HAV-IgM）</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52</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染色体畸变</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106</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丙肝病毒基因分型（测序法）</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53</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甲胎蛋白异质体</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前列腺特异抗原检测</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54</w:t>
                  </w:r>
                </w:p>
              </w:tc>
              <w:tc>
                <w:tcPr>
                  <w:tcW w:type="dxa" w:w="2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异常凝血酶原</w:t>
                  </w:r>
                </w:p>
              </w:tc>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108</w:t>
                  </w:r>
                </w:p>
              </w:tc>
              <w:tc>
                <w:tcPr>
                  <w:tcW w:type="dxa" w:w="23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术前八项定量检测</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注：</w:t>
                  </w:r>
                </w:p>
                <w:p>
                  <w:pPr>
                    <w:pStyle w:val="null3"/>
                    <w:ind w:firstLine="482"/>
                    <w:jc w:val="left"/>
                  </w:pPr>
                  <w:r>
                    <w:rPr>
                      <w:rFonts w:ascii="仿宋_GB2312" w:hAnsi="仿宋_GB2312" w:cs="仿宋_GB2312" w:eastAsia="仿宋_GB2312"/>
                      <w:sz w:val="24"/>
                      <w:b/>
                    </w:rPr>
                    <w:t>1、</w:t>
                  </w:r>
                  <w:r>
                    <w:rPr>
                      <w:rFonts w:ascii="仿宋_GB2312" w:hAnsi="仿宋_GB2312" w:cs="仿宋_GB2312" w:eastAsia="仿宋_GB2312"/>
                      <w:sz w:val="24"/>
                      <w:b/>
                    </w:rPr>
                    <w:t>供应商报价方式为统一</w:t>
                  </w:r>
                  <w:r>
                    <w:rPr>
                      <w:rFonts w:ascii="仿宋_GB2312" w:hAnsi="仿宋_GB2312" w:cs="仿宋_GB2312" w:eastAsia="仿宋_GB2312"/>
                      <w:sz w:val="24"/>
                      <w:b/>
                    </w:rPr>
                    <w:t>下浮率报价</w:t>
                  </w:r>
                  <w:r>
                    <w:rPr>
                      <w:rFonts w:ascii="仿宋_GB2312" w:hAnsi="仿宋_GB2312" w:cs="仿宋_GB2312" w:eastAsia="仿宋_GB2312"/>
                      <w:sz w:val="24"/>
                      <w:b/>
                      <w:shd w:fill="FFFFFF" w:val="clear"/>
                    </w:rPr>
                    <w:t>，</w:t>
                  </w:r>
                  <w:r>
                    <w:rPr>
                      <w:rFonts w:ascii="仿宋_GB2312" w:hAnsi="仿宋_GB2312" w:cs="仿宋_GB2312" w:eastAsia="仿宋_GB2312"/>
                      <w:sz w:val="24"/>
                      <w:b/>
                    </w:rPr>
                    <w:t>且下浮率必须</w:t>
                  </w:r>
                  <w:r>
                    <w:rPr>
                      <w:rFonts w:ascii="仿宋_GB2312" w:hAnsi="仿宋_GB2312" w:cs="仿宋_GB2312" w:eastAsia="仿宋_GB2312"/>
                      <w:sz w:val="24"/>
                      <w:b/>
                    </w:rPr>
                    <w:t>≥65%，且＜100%</w:t>
                  </w:r>
                  <w:r>
                    <w:rPr>
                      <w:rFonts w:ascii="仿宋_GB2312" w:hAnsi="仿宋_GB2312" w:cs="仿宋_GB2312" w:eastAsia="仿宋_GB2312"/>
                      <w:sz w:val="24"/>
                      <w:b/>
                    </w:rPr>
                    <w:t>；</w:t>
                  </w:r>
                </w:p>
                <w:p>
                  <w:pPr>
                    <w:pStyle w:val="null3"/>
                    <w:ind w:firstLine="482"/>
                    <w:jc w:val="left"/>
                  </w:pPr>
                  <w:r>
                    <w:rPr>
                      <w:rFonts w:ascii="仿宋_GB2312" w:hAnsi="仿宋_GB2312" w:cs="仿宋_GB2312" w:eastAsia="仿宋_GB2312"/>
                      <w:sz w:val="24"/>
                      <w:b/>
                    </w:rPr>
                    <w:t>2、外送</w:t>
                  </w:r>
                  <w:r>
                    <w:rPr>
                      <w:rFonts w:ascii="仿宋_GB2312" w:hAnsi="仿宋_GB2312" w:cs="仿宋_GB2312" w:eastAsia="仿宋_GB2312"/>
                      <w:sz w:val="24"/>
                      <w:b/>
                    </w:rPr>
                    <w:t>检验项目</w:t>
                  </w:r>
                  <w:r>
                    <w:rPr>
                      <w:rFonts w:ascii="仿宋_GB2312" w:hAnsi="仿宋_GB2312" w:cs="仿宋_GB2312" w:eastAsia="仿宋_GB2312"/>
                      <w:sz w:val="24"/>
                      <w:b/>
                      <w:shd w:fill="FFFFFF" w:val="clear"/>
                    </w:rPr>
                    <w:t>结算价</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二级医院物价</w:t>
                  </w:r>
                  <w:r>
                    <w:rPr>
                      <w:rFonts w:ascii="仿宋_GB2312" w:hAnsi="仿宋_GB2312" w:cs="仿宋_GB2312" w:eastAsia="仿宋_GB2312"/>
                      <w:sz w:val="24"/>
                      <w:b/>
                      <w:shd w:fill="FFFFFF" w:val="clear"/>
                    </w:rPr>
                    <w:t>标准</w:t>
                  </w:r>
                  <w:r>
                    <w:rPr>
                      <w:rFonts w:ascii="仿宋_GB2312" w:hAnsi="仿宋_GB2312" w:cs="仿宋_GB2312" w:eastAsia="仿宋_GB2312"/>
                      <w:sz w:val="24"/>
                      <w:b/>
                      <w:shd w:fill="FFFFFF" w:val="clear"/>
                    </w:rPr>
                    <w:t>为</w:t>
                  </w:r>
                  <w:r>
                    <w:rPr>
                      <w:rFonts w:ascii="仿宋_GB2312" w:hAnsi="仿宋_GB2312" w:cs="仿宋_GB2312" w:eastAsia="仿宋_GB2312"/>
                      <w:sz w:val="24"/>
                      <w:b/>
                      <w:shd w:fill="FFFFFF" w:val="clear"/>
                    </w:rPr>
                    <w:t>基准价</w:t>
                  </w:r>
                  <w:r>
                    <w:rPr>
                      <w:rFonts w:ascii="仿宋_GB2312" w:hAnsi="仿宋_GB2312" w:cs="仿宋_GB2312" w:eastAsia="仿宋_GB2312"/>
                      <w:sz w:val="24"/>
                      <w:b/>
                      <w:shd w:fill="FFFFFF" w:val="clear"/>
                    </w:rPr>
                    <w:t>×（1−下浮率%）</w:t>
                  </w:r>
                </w:p>
                <w:p>
                  <w:pPr>
                    <w:pStyle w:val="null3"/>
                    <w:ind w:firstLine="482"/>
                    <w:jc w:val="left"/>
                  </w:pPr>
                  <w:r>
                    <w:rPr>
                      <w:rFonts w:ascii="仿宋_GB2312" w:hAnsi="仿宋_GB2312" w:cs="仿宋_GB2312" w:eastAsia="仿宋_GB2312"/>
                      <w:sz w:val="24"/>
                      <w:b/>
                    </w:rPr>
                    <w:t>3、外送检验</w:t>
                  </w:r>
                  <w:r>
                    <w:rPr>
                      <w:rFonts w:ascii="仿宋_GB2312" w:hAnsi="仿宋_GB2312" w:cs="仿宋_GB2312" w:eastAsia="仿宋_GB2312"/>
                      <w:sz w:val="24"/>
                      <w:b/>
                    </w:rPr>
                    <w:t>结算总金额</w:t>
                  </w:r>
                  <w:r>
                    <w:rPr>
                      <w:rFonts w:ascii="仿宋_GB2312" w:hAnsi="仿宋_GB2312" w:cs="仿宋_GB2312" w:eastAsia="仿宋_GB2312"/>
                      <w:sz w:val="24"/>
                      <w:b/>
                    </w:rPr>
                    <w:t>=实际送检量</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二级医院物价</w:t>
                  </w:r>
                  <w:r>
                    <w:rPr>
                      <w:rFonts w:ascii="仿宋_GB2312" w:hAnsi="仿宋_GB2312" w:cs="仿宋_GB2312" w:eastAsia="仿宋_GB2312"/>
                      <w:sz w:val="24"/>
                      <w:b/>
                      <w:shd w:fill="FFFFFF" w:val="clear"/>
                    </w:rPr>
                    <w:t>标准</w:t>
                  </w:r>
                  <w:r>
                    <w:rPr>
                      <w:rFonts w:ascii="仿宋_GB2312" w:hAnsi="仿宋_GB2312" w:cs="仿宋_GB2312" w:eastAsia="仿宋_GB2312"/>
                      <w:sz w:val="24"/>
                      <w:b/>
                      <w:shd w:fill="FFFFFF" w:val="clear"/>
                    </w:rPr>
                    <w:t>为</w:t>
                  </w:r>
                  <w:r>
                    <w:rPr>
                      <w:rFonts w:ascii="仿宋_GB2312" w:hAnsi="仿宋_GB2312" w:cs="仿宋_GB2312" w:eastAsia="仿宋_GB2312"/>
                      <w:sz w:val="24"/>
                      <w:b/>
                      <w:shd w:fill="FFFFFF" w:val="clear"/>
                    </w:rPr>
                    <w:t>基准价</w:t>
                  </w:r>
                  <w:r>
                    <w:rPr>
                      <w:rFonts w:ascii="仿宋_GB2312" w:hAnsi="仿宋_GB2312" w:cs="仿宋_GB2312" w:eastAsia="仿宋_GB2312"/>
                      <w:sz w:val="24"/>
                      <w:b/>
                      <w:shd w:fill="FFFFFF" w:val="clear"/>
                    </w:rPr>
                    <w:t>×（1−下浮率%）</w:t>
                  </w:r>
                  <w:r>
                    <w:rPr>
                      <w:rFonts w:ascii="仿宋_GB2312" w:hAnsi="仿宋_GB2312" w:cs="仿宋_GB2312" w:eastAsia="仿宋_GB2312"/>
                      <w:sz w:val="24"/>
                      <w:b/>
                      <w:shd w:fill="FFFFFF" w:val="clear"/>
                    </w:rPr>
                    <w:t>；</w:t>
                  </w:r>
                </w:p>
                <w:p>
                  <w:pPr>
                    <w:pStyle w:val="null3"/>
                    <w:ind w:firstLine="482"/>
                    <w:jc w:val="left"/>
                  </w:pPr>
                  <w:r>
                    <w:rPr>
                      <w:rFonts w:ascii="仿宋_GB2312" w:hAnsi="仿宋_GB2312" w:cs="仿宋_GB2312" w:eastAsia="仿宋_GB2312"/>
                      <w:sz w:val="24"/>
                      <w:b/>
                    </w:rPr>
                    <w:t>4、下浮率在合同履行期间固定不变，适用于合同内全部价款及变更、新增检验项目；</w:t>
                  </w:r>
                </w:p>
                <w:p>
                  <w:pPr>
                    <w:pStyle w:val="null3"/>
                    <w:ind w:firstLine="482"/>
                    <w:jc w:val="left"/>
                  </w:pPr>
                  <w:r>
                    <w:rPr>
                      <w:rFonts w:ascii="仿宋_GB2312" w:hAnsi="仿宋_GB2312" w:cs="仿宋_GB2312" w:eastAsia="仿宋_GB2312"/>
                      <w:sz w:val="24"/>
                      <w:b/>
                    </w:rPr>
                    <w:t>5、采购人可根据自身医学检验能力，随时对《外送检验项目清单》进行动态调整。</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left"/>
            </w:pPr>
            <w:r>
              <w:rPr>
                <w:rFonts w:ascii="仿宋_GB2312" w:hAnsi="仿宋_GB2312" w:cs="仿宋_GB2312" w:eastAsia="仿宋_GB2312"/>
                <w:sz w:val="24"/>
                <w:b/>
                <w:color w:val="000000"/>
              </w:rPr>
              <w:t>（一）快速响应度</w:t>
            </w:r>
          </w:p>
          <w:p>
            <w:pPr>
              <w:pStyle w:val="null3"/>
              <w:ind w:firstLine="480"/>
              <w:jc w:val="left"/>
            </w:pPr>
            <w:r>
              <w:rPr>
                <w:rFonts w:ascii="仿宋_GB2312" w:hAnsi="仿宋_GB2312" w:cs="仿宋_GB2312" w:eastAsia="仿宋_GB2312"/>
                <w:sz w:val="24"/>
                <w:color w:val="000000"/>
              </w:rPr>
              <w:t>1．7*24小时上门取样（含法定节假日），每日取样时间：11:00-17:30；</w:t>
            </w:r>
          </w:p>
          <w:p>
            <w:pPr>
              <w:pStyle w:val="null3"/>
              <w:ind w:firstLine="480"/>
              <w:jc w:val="left"/>
            </w:pPr>
            <w:r>
              <w:rPr>
                <w:rFonts w:ascii="仿宋_GB2312" w:hAnsi="仿宋_GB2312" w:cs="仿宋_GB2312" w:eastAsia="仿宋_GB2312"/>
                <w:sz w:val="24"/>
                <w:color w:val="000000"/>
              </w:rPr>
              <w:t>2．普通检验结果出来后，检验报告24小时内送达医院；急查检验结果出来后，检验报告2小时内送达医院；</w:t>
            </w:r>
          </w:p>
          <w:p>
            <w:pPr>
              <w:pStyle w:val="null3"/>
              <w:ind w:firstLine="480"/>
              <w:jc w:val="left"/>
            </w:pPr>
            <w:r>
              <w:rPr>
                <w:rFonts w:ascii="仿宋_GB2312" w:hAnsi="仿宋_GB2312" w:cs="仿宋_GB2312" w:eastAsia="仿宋_GB2312"/>
                <w:sz w:val="24"/>
                <w:color w:val="000000"/>
              </w:rPr>
              <w:t>3．危急值结果出来后，10分钟内必须通报医院，2小时内将检验报告送达医院。</w:t>
            </w:r>
          </w:p>
          <w:p>
            <w:pPr>
              <w:pStyle w:val="null3"/>
              <w:ind w:firstLine="480"/>
              <w:jc w:val="left"/>
            </w:pPr>
            <w:r>
              <w:rPr>
                <w:rFonts w:ascii="仿宋_GB2312" w:hAnsi="仿宋_GB2312" w:cs="仿宋_GB2312" w:eastAsia="仿宋_GB2312"/>
                <w:sz w:val="24"/>
                <w:color w:val="000000"/>
              </w:rPr>
              <w:t>4．项目运行过程中出现突发事件或问题的，供应商必须在30分钟内响应，并积极协调解决问题。</w:t>
            </w:r>
          </w:p>
          <w:p>
            <w:pPr>
              <w:pStyle w:val="null3"/>
              <w:ind w:firstLine="480"/>
              <w:jc w:val="left"/>
            </w:pPr>
            <w:r>
              <w:rPr>
                <w:rFonts w:ascii="仿宋_GB2312" w:hAnsi="仿宋_GB2312" w:cs="仿宋_GB2312" w:eastAsia="仿宋_GB2312"/>
                <w:sz w:val="24"/>
                <w:color w:val="000000"/>
              </w:rPr>
              <w:t>5．出现突发事件或问题采购人认为需要供应商派人到现场处置解决的，必须在2小时内到达采购人指定地点并现场解决问题。</w:t>
            </w:r>
          </w:p>
          <w:p>
            <w:pPr>
              <w:pStyle w:val="null3"/>
              <w:ind w:firstLine="480"/>
              <w:jc w:val="left"/>
            </w:pPr>
            <w:r>
              <w:rPr>
                <w:rFonts w:ascii="仿宋_GB2312" w:hAnsi="仿宋_GB2312" w:cs="仿宋_GB2312" w:eastAsia="仿宋_GB2312"/>
                <w:sz w:val="24"/>
                <w:b/>
                <w:color w:val="000000"/>
              </w:rPr>
              <w:t>（二）标本运输</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标本运输必须委托具备法定资质的冷链或专业标本运输机构承担标本运输工作，</w:t>
            </w:r>
            <w:r>
              <w:rPr>
                <w:rFonts w:ascii="仿宋_GB2312" w:hAnsi="仿宋_GB2312" w:cs="仿宋_GB2312" w:eastAsia="仿宋_GB2312"/>
                <w:sz w:val="24"/>
                <w:color w:val="000000"/>
              </w:rPr>
              <w:t>运输人员须经生物安全防护、标本交接流程及突发事件应急处置等专业培训并考核合格，方可上岗。</w:t>
            </w:r>
          </w:p>
          <w:p>
            <w:pPr>
              <w:pStyle w:val="null3"/>
              <w:ind w:firstLine="480"/>
              <w:jc w:val="left"/>
            </w:pPr>
            <w:r>
              <w:rPr>
                <w:rFonts w:ascii="仿宋_GB2312" w:hAnsi="仿宋_GB2312" w:cs="仿宋_GB2312" w:eastAsia="仿宋_GB2312"/>
                <w:sz w:val="24"/>
                <w:color w:val="000000"/>
              </w:rPr>
              <w:t>2.供应商根据采购人提供的需要检测的检验项目造册登记信息，对标本从采购人现场交付起至送达其检测实验室止的全过程负完全责任，包括但不限于标本的完好性、时效性、生物安全及可追溯性，并承担因运输不当引发的全部法律及赔偿责任。</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运输工具必须保持清洁</w:t>
            </w:r>
            <w:r>
              <w:rPr>
                <w:rFonts w:ascii="仿宋_GB2312" w:hAnsi="仿宋_GB2312" w:cs="仿宋_GB2312" w:eastAsia="仿宋_GB2312"/>
                <w:sz w:val="24"/>
                <w:color w:val="000000"/>
              </w:rPr>
              <w:t>卫生，且具备</w:t>
            </w:r>
            <w:r>
              <w:rPr>
                <w:rFonts w:ascii="仿宋_GB2312" w:hAnsi="仿宋_GB2312" w:cs="仿宋_GB2312" w:eastAsia="仿宋_GB2312"/>
                <w:sz w:val="24"/>
                <w:color w:val="000000"/>
              </w:rPr>
              <w:t>密闭、避光及防震</w:t>
            </w:r>
            <w:r>
              <w:rPr>
                <w:rFonts w:ascii="仿宋_GB2312" w:hAnsi="仿宋_GB2312" w:cs="仿宋_GB2312" w:eastAsia="仿宋_GB2312"/>
                <w:sz w:val="24"/>
                <w:color w:val="000000"/>
              </w:rPr>
              <w:t>的性能</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4．严禁将检验标本与其他任何物品混装运输（包括但不限于：</w:t>
            </w:r>
            <w:r>
              <w:rPr>
                <w:rFonts w:ascii="仿宋_GB2312" w:hAnsi="仿宋_GB2312" w:cs="仿宋_GB2312" w:eastAsia="仿宋_GB2312"/>
                <w:sz w:val="24"/>
                <w:color w:val="000000"/>
              </w:rPr>
              <w:t>有毒有害、易燃易爆、食品等</w:t>
            </w:r>
            <w:r>
              <w:rPr>
                <w:rFonts w:ascii="仿宋_GB2312" w:hAnsi="仿宋_GB2312" w:cs="仿宋_GB2312" w:eastAsia="仿宋_GB2312"/>
                <w:sz w:val="24"/>
                <w:color w:val="000000"/>
              </w:rPr>
              <w:t>），必须实行专车</w:t>
            </w:r>
            <w:r>
              <w:rPr>
                <w:rFonts w:ascii="仿宋_GB2312" w:hAnsi="仿宋_GB2312" w:cs="仿宋_GB2312" w:eastAsia="仿宋_GB2312"/>
                <w:sz w:val="24"/>
                <w:color w:val="000000"/>
              </w:rPr>
              <w:t>/专箱运输。</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严格执行</w:t>
            </w:r>
            <w:r>
              <w:rPr>
                <w:rFonts w:ascii="仿宋_GB2312" w:hAnsi="仿宋_GB2312" w:cs="仿宋_GB2312" w:eastAsia="仿宋_GB2312"/>
                <w:sz w:val="24"/>
                <w:color w:val="000000"/>
              </w:rPr>
              <w:t>标本交接双签字</w:t>
            </w:r>
            <w:r>
              <w:rPr>
                <w:rFonts w:ascii="仿宋_GB2312" w:hAnsi="仿宋_GB2312" w:cs="仿宋_GB2312" w:eastAsia="仿宋_GB2312"/>
                <w:sz w:val="24"/>
                <w:color w:val="000000"/>
              </w:rPr>
              <w:t>制度。</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包装执行</w:t>
            </w:r>
            <w:r>
              <w:rPr>
                <w:rFonts w:ascii="仿宋_GB2312" w:hAnsi="仿宋_GB2312" w:cs="仿宋_GB2312" w:eastAsia="仿宋_GB2312"/>
                <w:sz w:val="24"/>
                <w:color w:val="000000"/>
              </w:rPr>
              <w:t>三层包装</w:t>
            </w:r>
            <w:r>
              <w:rPr>
                <w:rFonts w:ascii="仿宋_GB2312" w:hAnsi="仿宋_GB2312" w:cs="仿宋_GB2312" w:eastAsia="仿宋_GB2312"/>
                <w:sz w:val="24"/>
                <w:color w:val="000000"/>
              </w:rPr>
              <w:t>：</w:t>
            </w:r>
          </w:p>
          <w:p>
            <w:pPr>
              <w:pStyle w:val="null3"/>
              <w:ind w:firstLine="5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内层：标本容器密封、无渗漏、无破损；</w:t>
            </w:r>
          </w:p>
          <w:p>
            <w:pPr>
              <w:pStyle w:val="null3"/>
              <w:ind w:firstLine="5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中层：吸水材料、防渗漏、防破碎缓冲层；</w:t>
            </w:r>
          </w:p>
          <w:p>
            <w:pPr>
              <w:pStyle w:val="null3"/>
              <w:ind w:firstLine="50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外层：坚固、抗压、防水转运箱。</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外箱标识清晰</w:t>
            </w:r>
            <w:r>
              <w:rPr>
                <w:rFonts w:ascii="仿宋_GB2312" w:hAnsi="仿宋_GB2312" w:cs="仿宋_GB2312" w:eastAsia="仿宋_GB2312"/>
                <w:sz w:val="24"/>
                <w:color w:val="000000"/>
              </w:rPr>
              <w:t>至少包含</w:t>
            </w:r>
            <w:r>
              <w:rPr>
                <w:rFonts w:ascii="仿宋_GB2312" w:hAnsi="仿宋_GB2312" w:cs="仿宋_GB2312" w:eastAsia="仿宋_GB2312"/>
                <w:sz w:val="24"/>
                <w:color w:val="000000"/>
              </w:rPr>
              <w:t>：标本类型、检验项目、数量、送检单位、接收单位、采集时间、装箱时间、生物安全警示标识（如感染性物质）</w:t>
            </w:r>
            <w:r>
              <w:rPr>
                <w:rFonts w:ascii="仿宋_GB2312" w:hAnsi="仿宋_GB2312" w:cs="仿宋_GB2312" w:eastAsia="仿宋_GB2312"/>
                <w:sz w:val="24"/>
                <w:color w:val="000000"/>
              </w:rPr>
              <w:t>等内容。</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w:t>
            </w:r>
            <w:r>
              <w:rPr>
                <w:rFonts w:ascii="仿宋_GB2312" w:hAnsi="仿宋_GB2312" w:cs="仿宋_GB2312" w:eastAsia="仿宋_GB2312"/>
                <w:sz w:val="24"/>
                <w:color w:val="000000"/>
              </w:rPr>
              <w:t>温度与冷链要求</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常规标本</w:t>
            </w:r>
            <w:r>
              <w:rPr>
                <w:rFonts w:ascii="仿宋_GB2312" w:hAnsi="仿宋_GB2312" w:cs="仿宋_GB2312" w:eastAsia="仿宋_GB2312"/>
                <w:sz w:val="24"/>
                <w:color w:val="000000"/>
              </w:rPr>
              <w:t>：</w:t>
            </w:r>
            <w:r>
              <w:rPr>
                <w:rFonts w:ascii="仿宋_GB2312" w:hAnsi="仿宋_GB2312" w:cs="仿宋_GB2312" w:eastAsia="仿宋_GB2312"/>
                <w:sz w:val="24"/>
                <w:color w:val="000000"/>
              </w:rPr>
              <w:t>1～4℃冷藏运输，严禁冷冻；</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特殊标本</w:t>
            </w:r>
            <w:r>
              <w:rPr>
                <w:rFonts w:ascii="仿宋_GB2312" w:hAnsi="仿宋_GB2312" w:cs="仿宋_GB2312" w:eastAsia="仿宋_GB2312"/>
                <w:sz w:val="24"/>
                <w:color w:val="000000"/>
              </w:rPr>
              <w:t>（血气、微生物、病理、分子、需室温等）按项目要求执行；</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室温标本：</w:t>
            </w:r>
            <w:r>
              <w:rPr>
                <w:rFonts w:ascii="仿宋_GB2312" w:hAnsi="仿宋_GB2312" w:cs="仿宋_GB2312" w:eastAsia="仿宋_GB2312"/>
                <w:sz w:val="24"/>
                <w:color w:val="000000"/>
              </w:rPr>
              <w:t>18～25℃避光运输；</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冷冻标本：</w:t>
            </w:r>
            <w:r>
              <w:rPr>
                <w:rFonts w:ascii="仿宋_GB2312" w:hAnsi="仿宋_GB2312" w:cs="仿宋_GB2312" w:eastAsia="仿宋_GB2312"/>
                <w:sz w:val="24"/>
                <w:color w:val="000000"/>
              </w:rPr>
              <w:t>-20℃或 - 70℃以下运输。</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转运箱配温度记录仪</w:t>
            </w:r>
            <w:r>
              <w:rPr>
                <w:rFonts w:ascii="仿宋_GB2312" w:hAnsi="仿宋_GB2312" w:cs="仿宋_GB2312" w:eastAsia="仿宋_GB2312"/>
                <w:sz w:val="24"/>
                <w:color w:val="000000"/>
              </w:rPr>
              <w:t>/</w:t>
            </w:r>
            <w:r>
              <w:rPr>
                <w:rFonts w:ascii="仿宋_GB2312" w:hAnsi="仿宋_GB2312" w:cs="仿宋_GB2312" w:eastAsia="仿宋_GB2312"/>
                <w:sz w:val="24"/>
                <w:color w:val="000000"/>
              </w:rPr>
              <w:t>冰排，</w:t>
            </w:r>
            <w:r>
              <w:rPr>
                <w:rFonts w:ascii="仿宋_GB2312" w:hAnsi="仿宋_GB2312" w:cs="仿宋_GB2312" w:eastAsia="仿宋_GB2312"/>
                <w:sz w:val="24"/>
                <w:color w:val="000000"/>
              </w:rPr>
              <w:t>全程温度实时记录</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运输安全与应急：</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运输途中严禁开箱、更换标本、涂改信息。</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发生泄漏、破损、交通事故、温度异常的处置：立即停止运输；按生物安全流程处置；第一时间通知送检方与实验室；做好记录、拍照留证，不得隐瞒。</w:t>
            </w:r>
          </w:p>
          <w:p>
            <w:pPr>
              <w:pStyle w:val="null3"/>
              <w:ind w:firstLine="480"/>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发生以下情况</w:t>
            </w:r>
            <w:r>
              <w:rPr>
                <w:rFonts w:ascii="仿宋_GB2312" w:hAnsi="仿宋_GB2312" w:cs="仿宋_GB2312" w:eastAsia="仿宋_GB2312"/>
                <w:sz w:val="24"/>
                <w:color w:val="000000"/>
              </w:rPr>
              <w:t>实验室有权拒收标本：</w:t>
            </w:r>
            <w:r>
              <w:rPr>
                <w:rFonts w:ascii="仿宋_GB2312" w:hAnsi="仿宋_GB2312" w:cs="仿宋_GB2312" w:eastAsia="仿宋_GB2312"/>
                <w:sz w:val="24"/>
                <w:color w:val="000000"/>
              </w:rPr>
              <w:t>无标识、信息错误、与交接单不符、容器破损、渗漏、污染、超稳定时限、未按要求温控、包装不符合生物安全要求、无运输记录或记录造假。</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．供应商须严格遵循冷链物流规范，建立并保存包含标本收取、装箱、启运、实验室签收及温度曲线在内的完整溯源记录，确保储存运输全程符合《冷链物流规范要求》，且相关记录至少留存</w:t>
            </w:r>
            <w:r>
              <w:rPr>
                <w:rFonts w:ascii="仿宋_GB2312" w:hAnsi="仿宋_GB2312" w:cs="仿宋_GB2312" w:eastAsia="仿宋_GB2312"/>
                <w:sz w:val="24"/>
                <w:color w:val="000000"/>
              </w:rPr>
              <w:t>3年备查。</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.转运可感染人</w:t>
            </w:r>
            <w:r>
              <w:rPr>
                <w:rFonts w:ascii="仿宋_GB2312" w:hAnsi="仿宋_GB2312" w:cs="仿宋_GB2312" w:eastAsia="仿宋_GB2312"/>
                <w:sz w:val="24"/>
                <w:color w:val="000000"/>
              </w:rPr>
              <w:t>类的高致病性病原微生物菌（毒）种或样本时，供应商必须具备《可感染人类的高致病性病原微生物菌（毒）种或样本准运证书》。</w:t>
            </w:r>
            <w:r>
              <w:rPr>
                <w:rFonts w:ascii="仿宋_GB2312" w:hAnsi="仿宋_GB2312" w:cs="仿宋_GB2312" w:eastAsia="仿宋_GB2312"/>
                <w:sz w:val="24"/>
                <w:b/>
                <w:color w:val="000000"/>
              </w:rPr>
              <w:t>（供应商须在响应文件中提供承诺函，明确承诺：在进行高致病病原微生物标本运输前，完成《可感染人类的高致病性病原微生物菌（毒）种或样本准运证书》办理。承诺函格式自拟，需加盖供应商公章）</w:t>
            </w:r>
          </w:p>
          <w:p>
            <w:pPr>
              <w:pStyle w:val="null3"/>
              <w:ind w:firstLine="480"/>
              <w:jc w:val="left"/>
            </w:pPr>
            <w:r>
              <w:rPr>
                <w:rFonts w:ascii="仿宋_GB2312" w:hAnsi="仿宋_GB2312" w:cs="仿宋_GB2312" w:eastAsia="仿宋_GB2312"/>
                <w:sz w:val="24"/>
                <w:b/>
                <w:color w:val="000000"/>
              </w:rPr>
              <w:t>（三）质量要求</w:t>
            </w:r>
          </w:p>
          <w:p>
            <w:pPr>
              <w:pStyle w:val="null3"/>
              <w:ind w:firstLine="480"/>
              <w:jc w:val="left"/>
            </w:pPr>
            <w:r>
              <w:rPr>
                <w:rFonts w:ascii="仿宋_GB2312" w:hAnsi="仿宋_GB2312" w:cs="仿宋_GB2312" w:eastAsia="仿宋_GB2312"/>
                <w:sz w:val="24"/>
                <w:color w:val="000000"/>
              </w:rPr>
              <w:t>1．检验结果与临床资料相符程度不低于95%。</w:t>
            </w:r>
          </w:p>
          <w:p>
            <w:pPr>
              <w:pStyle w:val="null3"/>
              <w:ind w:firstLine="480"/>
              <w:jc w:val="left"/>
            </w:pPr>
            <w:r>
              <w:rPr>
                <w:rFonts w:ascii="仿宋_GB2312" w:hAnsi="仿宋_GB2312" w:cs="仿宋_GB2312" w:eastAsia="仿宋_GB2312"/>
                <w:sz w:val="24"/>
                <w:color w:val="000000"/>
              </w:rPr>
              <w:t>2．检验结果与诊断报告不可前后矛盾，相符程度不低于99%。</w:t>
            </w:r>
          </w:p>
          <w:p>
            <w:pPr>
              <w:pStyle w:val="null3"/>
              <w:ind w:firstLine="480"/>
              <w:jc w:val="left"/>
            </w:pPr>
            <w:r>
              <w:rPr>
                <w:rFonts w:ascii="仿宋_GB2312" w:hAnsi="仿宋_GB2312" w:cs="仿宋_GB2312" w:eastAsia="仿宋_GB2312"/>
                <w:sz w:val="24"/>
                <w:color w:val="000000"/>
              </w:rPr>
              <w:t>3．核对报告内容是否与报告结论相吻合。</w:t>
            </w:r>
          </w:p>
          <w:p>
            <w:pPr>
              <w:pStyle w:val="null3"/>
              <w:ind w:firstLine="480"/>
              <w:jc w:val="left"/>
            </w:pPr>
            <w:r>
              <w:rPr>
                <w:rFonts w:ascii="仿宋_GB2312" w:hAnsi="仿宋_GB2312" w:cs="仿宋_GB2312" w:eastAsia="仿宋_GB2312"/>
                <w:sz w:val="24"/>
                <w:color w:val="000000"/>
              </w:rPr>
              <w:t>4．核对检测项目是否与院方开单项目相吻合。</w:t>
            </w:r>
          </w:p>
          <w:p>
            <w:pPr>
              <w:pStyle w:val="null3"/>
              <w:ind w:firstLine="480"/>
              <w:jc w:val="left"/>
            </w:pPr>
            <w:r>
              <w:rPr>
                <w:rFonts w:ascii="仿宋_GB2312" w:hAnsi="仿宋_GB2312" w:cs="仿宋_GB2312" w:eastAsia="仿宋_GB2312"/>
                <w:sz w:val="24"/>
                <w:color w:val="000000"/>
              </w:rPr>
              <w:t>5．检测标本丢失、运送错误的概率每季度不能高于1‰</w:t>
            </w:r>
            <w:r>
              <w:rPr>
                <w:rFonts w:ascii="仿宋_GB2312" w:hAnsi="仿宋_GB2312" w:cs="仿宋_GB2312" w:eastAsia="仿宋_GB2312"/>
                <w:sz w:val="24"/>
                <w:color w:val="000000"/>
              </w:rPr>
              <w:t>（次数累计</w:t>
            </w:r>
            <w:r>
              <w:rPr>
                <w:rFonts w:ascii="仿宋_GB2312" w:hAnsi="仿宋_GB2312" w:cs="仿宋_GB2312" w:eastAsia="仿宋_GB2312"/>
                <w:sz w:val="24"/>
                <w:color w:val="000000"/>
              </w:rPr>
              <w:t>/月/季度）</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6．报告延误送达每月不高于3例，每季度不高于10例。</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若因供应商原因导致医疗投诉、医疗纠纷或医疗事故，供应商应独自承担由此产生的全部赔偿责任和相关法律责任，并赔偿采购人因此遭受的全部损失；涉嫌犯罪的，采购人可依法移送司法机关处理。</w:t>
            </w:r>
          </w:p>
          <w:p>
            <w:pPr>
              <w:pStyle w:val="null3"/>
              <w:ind w:firstLine="480"/>
              <w:jc w:val="left"/>
            </w:pPr>
            <w:r>
              <w:rPr>
                <w:rFonts w:ascii="仿宋_GB2312" w:hAnsi="仿宋_GB2312" w:cs="仿宋_GB2312" w:eastAsia="仿宋_GB2312"/>
                <w:sz w:val="24"/>
                <w:color w:val="000000"/>
              </w:rPr>
              <w:t>8．制定符合本项目要求的各项管理服务质量指标，供应商应严格依据本项目的具体需求、相关行业标准及法律法规要求，确保其符合本项目的实际需要，并满足合同约定及合规性要求。</w:t>
            </w:r>
          </w:p>
          <w:p>
            <w:pPr>
              <w:pStyle w:val="null3"/>
              <w:ind w:firstLine="480"/>
              <w:jc w:val="left"/>
            </w:pPr>
            <w:r>
              <w:rPr>
                <w:rFonts w:ascii="仿宋_GB2312" w:hAnsi="仿宋_GB2312" w:cs="仿宋_GB2312" w:eastAsia="仿宋_GB2312"/>
                <w:sz w:val="24"/>
                <w:color w:val="000000"/>
              </w:rPr>
              <w:t>9．供应商需保证外送检验项目的检测质量，保证按照国家检验规范操作，并对检验结果的准确性和真实性负责。如因供应商检测结果不准确导致误诊，供应商须承担全部的经济和法律责任。</w:t>
            </w:r>
          </w:p>
          <w:p>
            <w:pPr>
              <w:pStyle w:val="null3"/>
              <w:ind w:firstLine="480"/>
              <w:jc w:val="left"/>
            </w:pPr>
            <w:r>
              <w:rPr>
                <w:rFonts w:ascii="仿宋_GB2312" w:hAnsi="仿宋_GB2312" w:cs="仿宋_GB2312" w:eastAsia="仿宋_GB2312"/>
                <w:sz w:val="24"/>
                <w:color w:val="000000"/>
              </w:rPr>
              <w:t>10．供应商所使用的试剂、检测方法必须符合国家标准。</w:t>
            </w:r>
          </w:p>
          <w:p>
            <w:pPr>
              <w:pStyle w:val="null3"/>
              <w:ind w:firstLine="480"/>
              <w:jc w:val="left"/>
            </w:pPr>
            <w:r>
              <w:rPr>
                <w:rFonts w:ascii="仿宋_GB2312" w:hAnsi="仿宋_GB2312" w:cs="仿宋_GB2312" w:eastAsia="仿宋_GB2312"/>
                <w:sz w:val="24"/>
                <w:b/>
                <w:color w:val="000000"/>
              </w:rPr>
              <w:t>（四）考核标准</w:t>
            </w:r>
          </w:p>
          <w:p>
            <w:pPr>
              <w:pStyle w:val="null3"/>
              <w:ind w:firstLine="480"/>
              <w:jc w:val="left"/>
            </w:pPr>
            <w:r>
              <w:rPr>
                <w:rFonts w:ascii="仿宋_GB2312" w:hAnsi="仿宋_GB2312" w:cs="仿宋_GB2312" w:eastAsia="仿宋_GB2312"/>
                <w:sz w:val="24"/>
                <w:color w:val="000000"/>
              </w:rPr>
              <w:t>1.采购人将不定期对供应商进行考核，满分100分。</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1）凡是考核出现一票否决问题，则直接判定不合格。</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2）考核分数在90分（含90分）及以上的考核结果为合格。</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考核分数低于90分的，考核结果为不合格，每少1分，采购人将扣除1000.00元作为违约金。同时，采购人有权责令其限期整改，直至整改合格。若有“检验科外送项目清单”内的检验项目投诉，采购人还可直接扣除相应的服务费作为投诉违约金；</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4）凡供应商累计一个年度内三次考核得分低于90分的，采购人有权单方面解除合同，且有权不续签合同；</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5）投诉考核：因供应商安排的服务人员的服务质量和服务态度引起的投诉，经双方现场核查属实后，一次扣2000.00元作为违约金，双方签字确认在当月服务费用中扣除；</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6）供应商不得擅自减少服务人数，每发现一次扣除当月服务费用2000.00元。</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6）以上条款所有扣除费用采购人均可在当月服务费用中直接扣除，且均不再返还；</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7）采购人每次考核后将以书面形式向供应商提供考核结果，供应商必须针对问题及时整改，并提供整改报告。供应商</w:t>
            </w:r>
            <w:r>
              <w:rPr>
                <w:rFonts w:ascii="仿宋_GB2312" w:hAnsi="仿宋_GB2312" w:cs="仿宋_GB2312" w:eastAsia="仿宋_GB2312"/>
                <w:sz w:val="24"/>
                <w:color w:val="000000"/>
              </w:rPr>
              <w:t>拒不整改或整改不到位或出现一票否决条款问题的</w:t>
            </w:r>
            <w:r>
              <w:rPr>
                <w:rFonts w:ascii="仿宋_GB2312" w:hAnsi="仿宋_GB2312" w:cs="仿宋_GB2312" w:eastAsia="仿宋_GB2312"/>
                <w:sz w:val="24"/>
                <w:color w:val="000000"/>
              </w:rPr>
              <w:t>，采购人有权单方面解除本项目合同，采购人不承担任何违约责任，因此所造成的全部损失由供应商全部承担。</w:t>
            </w:r>
          </w:p>
          <w:p>
            <w:pPr>
              <w:pStyle w:val="null3"/>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.检验外送服务质量考核表</w:t>
            </w:r>
          </w:p>
          <w:tbl>
            <w:tblPr>
              <w:tblBorders>
                <w:top w:val="none" w:color="000000" w:sz="4"/>
                <w:left w:val="none" w:color="000000" w:sz="4"/>
                <w:bottom w:val="none" w:color="000000" w:sz="4"/>
                <w:right w:val="none" w:color="000000" w:sz="4"/>
                <w:insideH w:val="none"/>
                <w:insideV w:val="none"/>
              </w:tblBorders>
            </w:tblPr>
            <w:tblGrid>
              <w:gridCol w:w="506"/>
              <w:gridCol w:w="2194"/>
              <w:gridCol w:w="2878"/>
            </w:tblGrid>
            <w:tr>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考核指标</w:t>
                  </w:r>
                </w:p>
              </w:tc>
              <w:tc>
                <w:tcPr>
                  <w:tcW w:type="dxa" w:w="2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考核方法</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检验机构资质是否合格。</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查看营业执照、实验室资质材料，不符合要求的，一票否决。</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检验机构室间质评是否合格。</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查看实验室室间质评材料，不符合要求的，一票否决。</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检验机构是否存在分包转包行为。</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查询实验室检验原始登记材料及出具的检验报告，不符合要求的，一票否决。</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检验机构所使用的试剂、检测方法是否符合国家标准，是否存在使用不合格试剂行为，是否存在使用国家明令禁止和淘汰技术的情况。</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供应商提供试剂采购证明材料，不符合要求的，一票否决。</w:t>
                  </w:r>
                </w:p>
                <w:p>
                  <w:pPr>
                    <w:pStyle w:val="null3"/>
                    <w:jc w:val="left"/>
                  </w:pPr>
                  <w:r>
                    <w:rPr>
                      <w:rFonts w:ascii="仿宋_GB2312" w:hAnsi="仿宋_GB2312" w:cs="仿宋_GB2312" w:eastAsia="仿宋_GB2312"/>
                      <w:sz w:val="24"/>
                      <w:color w:val="000000"/>
                    </w:rPr>
                    <w:t>提供检测项目技术目录，不符合要求的，一票否决。</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检验机构是否严格执行“外送检验项目的结算价 = 二级医院物价标准为基准价×（1 − 下浮率%）；外送检验结算总金额=实际送检量×二级医院物价标准为基准价×（1 − 下浮率%）”（包括增加项目）。</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查看供应商计费、收费原始依据，不符合要求的，一票否决。</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检验机构是否存在虚假检测行为。</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抽查实验室检测记录，不符合要求的，一票否决。</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检验机构是否提供专人管理服务对接。</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供应商提供专人服务的依据，未提供专人服务扣</w:t>
                  </w:r>
                  <w:r>
                    <w:rPr>
                      <w:rFonts w:ascii="仿宋_GB2312" w:hAnsi="仿宋_GB2312" w:cs="仿宋_GB2312" w:eastAsia="仿宋_GB2312"/>
                      <w:sz w:val="24"/>
                      <w:color w:val="000000"/>
                    </w:rPr>
                    <w:t>5分。</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检验机构是否向临床科室提供业务查询、报告查询服务。</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咨询临床科室，供应商是否提供业务查询、报告查询服务，未提供的，扣</w:t>
                  </w:r>
                  <w:r>
                    <w:rPr>
                      <w:rFonts w:ascii="仿宋_GB2312" w:hAnsi="仿宋_GB2312" w:cs="仿宋_GB2312" w:eastAsia="仿宋_GB2312"/>
                      <w:sz w:val="24"/>
                      <w:color w:val="000000"/>
                    </w:rPr>
                    <w:t>5分。</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检验机构是否提供业务咨询服务。</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咨询检验科、临床科室，供应商是否提供业务咨询服务，未提供的，扣</w:t>
                  </w:r>
                  <w:r>
                    <w:rPr>
                      <w:rFonts w:ascii="仿宋_GB2312" w:hAnsi="仿宋_GB2312" w:cs="仿宋_GB2312" w:eastAsia="仿宋_GB2312"/>
                      <w:sz w:val="24"/>
                      <w:color w:val="000000"/>
                    </w:rPr>
                    <w:t>5分。</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检验机构检测结果是否</w:t>
                  </w:r>
                  <w:r>
                    <w:rPr>
                      <w:rFonts w:ascii="仿宋_GB2312" w:hAnsi="仿宋_GB2312" w:cs="仿宋_GB2312" w:eastAsia="仿宋_GB2312"/>
                      <w:sz w:val="24"/>
                      <w:color w:val="000000"/>
                    </w:rPr>
                    <w:t>1周7天反馈检测报告。</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咨询检验科业务人员，未提供的，扣</w:t>
                  </w:r>
                  <w:r>
                    <w:rPr>
                      <w:rFonts w:ascii="仿宋_GB2312" w:hAnsi="仿宋_GB2312" w:cs="仿宋_GB2312" w:eastAsia="仿宋_GB2312"/>
                      <w:sz w:val="24"/>
                      <w:color w:val="000000"/>
                    </w:rPr>
                    <w:t>5分。</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检验报告反馈是否及时。</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咨询检验科工作人员及临床科室，未提供的，扣</w:t>
                  </w:r>
                  <w:r>
                    <w:rPr>
                      <w:rFonts w:ascii="仿宋_GB2312" w:hAnsi="仿宋_GB2312" w:cs="仿宋_GB2312" w:eastAsia="仿宋_GB2312"/>
                      <w:sz w:val="24"/>
                      <w:color w:val="000000"/>
                    </w:rPr>
                    <w:t>5分。</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检验机构是否提供网络报告打印服务，是否提供数据共享。</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检验科根据日常情况和工作情况考核确定：未提供，扣</w:t>
                  </w:r>
                  <w:r>
                    <w:rPr>
                      <w:rFonts w:ascii="仿宋_GB2312" w:hAnsi="仿宋_GB2312" w:cs="仿宋_GB2312" w:eastAsia="仿宋_GB2312"/>
                      <w:sz w:val="24"/>
                      <w:color w:val="000000"/>
                    </w:rPr>
                    <w:t>5分。</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检验机构检测到危急值是否及时报告。</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检验科根据日常情况和工作情况考核确定：发现</w:t>
                  </w:r>
                  <w:r>
                    <w:rPr>
                      <w:rFonts w:ascii="仿宋_GB2312" w:hAnsi="仿宋_GB2312" w:cs="仿宋_GB2312" w:eastAsia="仿宋_GB2312"/>
                      <w:sz w:val="24"/>
                      <w:color w:val="000000"/>
                    </w:rPr>
                    <w:t>1例危急值报告未执行到位，扣1分，扣完为止；</w:t>
                  </w:r>
                </w:p>
                <w:p>
                  <w:pPr>
                    <w:pStyle w:val="null3"/>
                    <w:jc w:val="left"/>
                  </w:pPr>
                  <w:r>
                    <w:rPr>
                      <w:rFonts w:ascii="仿宋_GB2312" w:hAnsi="仿宋_GB2312" w:cs="仿宋_GB2312" w:eastAsia="仿宋_GB2312"/>
                      <w:sz w:val="24"/>
                      <w:color w:val="000000"/>
                    </w:rPr>
                    <w:t>导致纠纷或医疗事故的，一票否决。</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检验机构是否提供</w:t>
                  </w:r>
                  <w:r>
                    <w:rPr>
                      <w:rFonts w:ascii="仿宋_GB2312" w:hAnsi="仿宋_GB2312" w:cs="仿宋_GB2312" w:eastAsia="仿宋_GB2312"/>
                      <w:sz w:val="24"/>
                      <w:color w:val="000000"/>
                    </w:rPr>
                    <w:t>1周7天上门取样。</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检验科根据日常情况和工作情况考核确定：未提供</w:t>
                  </w:r>
                  <w:r>
                    <w:rPr>
                      <w:rFonts w:ascii="仿宋_GB2312" w:hAnsi="仿宋_GB2312" w:cs="仿宋_GB2312" w:eastAsia="仿宋_GB2312"/>
                      <w:sz w:val="24"/>
                      <w:color w:val="000000"/>
                    </w:rPr>
                    <w:t>1周7天上门取样或1周7天上门取样执行情况差严重影响工作，扣5分；1周7天上门取样执行情况差，未严重影响工作开展，扣3分。</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检验机构收取标本是否严格落实登记记录，并进行标本合格性检查。</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检查登记记录，发现</w:t>
                  </w:r>
                  <w:r>
                    <w:rPr>
                      <w:rFonts w:ascii="仿宋_GB2312" w:hAnsi="仿宋_GB2312" w:cs="仿宋_GB2312" w:eastAsia="仿宋_GB2312"/>
                      <w:sz w:val="24"/>
                      <w:color w:val="000000"/>
                    </w:rPr>
                    <w:t>1条不合格扣1分，扣完为止。</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检验机构是否提供特殊专用标本管。</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检验科根据日常情况和工作情况考核确定：未提供，扣</w:t>
                  </w:r>
                  <w:r>
                    <w:rPr>
                      <w:rFonts w:ascii="仿宋_GB2312" w:hAnsi="仿宋_GB2312" w:cs="仿宋_GB2312" w:eastAsia="仿宋_GB2312"/>
                      <w:sz w:val="24"/>
                      <w:color w:val="000000"/>
                    </w:rPr>
                    <w:t>5分；提供不及时，扣2分；提供不合格标本管，一票否决。</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检验机构出具的检测报告是否符合规范。</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检验科根据检验报告实际情况考核确定：</w:t>
                  </w:r>
                </w:p>
                <w:p>
                  <w:pPr>
                    <w:pStyle w:val="null3"/>
                    <w:jc w:val="left"/>
                  </w:pPr>
                  <w:r>
                    <w:rPr>
                      <w:rFonts w:ascii="仿宋_GB2312" w:hAnsi="仿宋_GB2312" w:cs="仿宋_GB2312" w:eastAsia="仿宋_GB2312"/>
                      <w:sz w:val="24"/>
                      <w:color w:val="000000"/>
                    </w:rPr>
                    <w:t>检验报告不规范，发现</w:t>
                  </w:r>
                  <w:r>
                    <w:rPr>
                      <w:rFonts w:ascii="仿宋_GB2312" w:hAnsi="仿宋_GB2312" w:cs="仿宋_GB2312" w:eastAsia="仿宋_GB2312"/>
                      <w:sz w:val="24"/>
                      <w:color w:val="000000"/>
                    </w:rPr>
                    <w:t>1例扣0.5分；整改不合格，扣5分；拒绝整改，一票否决。</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检验机构是否严格执行冷链运输，标本运输是否符合国家法规及生物安全管理规定。</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抽查冷链运输相关记录，发现未严格执行冷链运输，扣</w:t>
                  </w:r>
                  <w:r>
                    <w:rPr>
                      <w:rFonts w:ascii="仿宋_GB2312" w:hAnsi="仿宋_GB2312" w:cs="仿宋_GB2312" w:eastAsia="仿宋_GB2312"/>
                      <w:sz w:val="24"/>
                      <w:color w:val="000000"/>
                    </w:rPr>
                    <w:t>1分；</w:t>
                  </w:r>
                </w:p>
                <w:p>
                  <w:pPr>
                    <w:pStyle w:val="null3"/>
                    <w:jc w:val="left"/>
                  </w:pPr>
                  <w:r>
                    <w:rPr>
                      <w:rFonts w:ascii="仿宋_GB2312" w:hAnsi="仿宋_GB2312" w:cs="仿宋_GB2312" w:eastAsia="仿宋_GB2312"/>
                      <w:sz w:val="24"/>
                      <w:color w:val="000000"/>
                    </w:rPr>
                    <w:t>标本运输不符合国家法规及生物安全管理规定的，扣</w:t>
                  </w:r>
                  <w:r>
                    <w:rPr>
                      <w:rFonts w:ascii="仿宋_GB2312" w:hAnsi="仿宋_GB2312" w:cs="仿宋_GB2312" w:eastAsia="仿宋_GB2312"/>
                      <w:sz w:val="24"/>
                      <w:color w:val="000000"/>
                    </w:rPr>
                    <w:t>2分；</w:t>
                  </w:r>
                </w:p>
                <w:p>
                  <w:pPr>
                    <w:pStyle w:val="null3"/>
                    <w:jc w:val="left"/>
                  </w:pPr>
                  <w:r>
                    <w:rPr>
                      <w:rFonts w:ascii="仿宋_GB2312" w:hAnsi="仿宋_GB2312" w:cs="仿宋_GB2312" w:eastAsia="仿宋_GB2312"/>
                      <w:sz w:val="24"/>
                      <w:color w:val="000000"/>
                    </w:rPr>
                    <w:t>导致生物安全泄露的，一票否决。</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检验机构出具的检测结果是否真实、准确；检验机构是否存在质量不合格行为；是否存在整改后不合格的质量问题。</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存在检验质量问题，发现</w:t>
                  </w:r>
                  <w:r>
                    <w:rPr>
                      <w:rFonts w:ascii="仿宋_GB2312" w:hAnsi="仿宋_GB2312" w:cs="仿宋_GB2312" w:eastAsia="仿宋_GB2312"/>
                      <w:sz w:val="24"/>
                      <w:color w:val="000000"/>
                    </w:rPr>
                    <w:t>1例扣5分；</w:t>
                  </w:r>
                  <w:r>
                    <w:br/>
                  </w:r>
                  <w:r>
                    <w:rPr>
                      <w:rFonts w:ascii="仿宋_GB2312" w:hAnsi="仿宋_GB2312" w:cs="仿宋_GB2312" w:eastAsia="仿宋_GB2312"/>
                      <w:sz w:val="24"/>
                      <w:color w:val="000000"/>
                    </w:rPr>
                    <w:t>整改不合格，扣</w:t>
                  </w:r>
                  <w:r>
                    <w:rPr>
                      <w:rFonts w:ascii="仿宋_GB2312" w:hAnsi="仿宋_GB2312" w:cs="仿宋_GB2312" w:eastAsia="仿宋_GB2312"/>
                      <w:sz w:val="24"/>
                      <w:color w:val="000000"/>
                    </w:rPr>
                    <w:t>20分；</w:t>
                  </w:r>
                  <w:r>
                    <w:br/>
                  </w:r>
                  <w:r>
                    <w:rPr>
                      <w:rFonts w:ascii="仿宋_GB2312" w:hAnsi="仿宋_GB2312" w:cs="仿宋_GB2312" w:eastAsia="仿宋_GB2312"/>
                      <w:sz w:val="24"/>
                      <w:color w:val="000000"/>
                    </w:rPr>
                    <w:t>导致纠纷或医疗事故，一票否决。</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检验机构是否严格执行信息保密相关规定。</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检查生物数据、资料保存措施：</w:t>
                  </w:r>
                  <w:r>
                    <w:br/>
                  </w:r>
                  <w:r>
                    <w:rPr>
                      <w:rFonts w:ascii="仿宋_GB2312" w:hAnsi="仿宋_GB2312" w:cs="仿宋_GB2312" w:eastAsia="仿宋_GB2312"/>
                      <w:sz w:val="24"/>
                      <w:color w:val="000000"/>
                    </w:rPr>
                    <w:t>不符合相关规定扣</w:t>
                  </w:r>
                  <w:r>
                    <w:rPr>
                      <w:rFonts w:ascii="仿宋_GB2312" w:hAnsi="仿宋_GB2312" w:cs="仿宋_GB2312" w:eastAsia="仿宋_GB2312"/>
                      <w:sz w:val="24"/>
                      <w:color w:val="000000"/>
                    </w:rPr>
                    <w:t>2分；</w:t>
                  </w:r>
                  <w:r>
                    <w:br/>
                  </w:r>
                  <w:r>
                    <w:rPr>
                      <w:rFonts w:ascii="仿宋_GB2312" w:hAnsi="仿宋_GB2312" w:cs="仿宋_GB2312" w:eastAsia="仿宋_GB2312"/>
                      <w:sz w:val="24"/>
                      <w:color w:val="000000"/>
                    </w:rPr>
                    <w:t>发生生物数据、信息资料外泄，扣</w:t>
                  </w:r>
                  <w:r>
                    <w:rPr>
                      <w:rFonts w:ascii="仿宋_GB2312" w:hAnsi="仿宋_GB2312" w:cs="仿宋_GB2312" w:eastAsia="仿宋_GB2312"/>
                      <w:sz w:val="24"/>
                      <w:color w:val="000000"/>
                    </w:rPr>
                    <w:t>5分；</w:t>
                  </w:r>
                  <w:r>
                    <w:br/>
                  </w:r>
                  <w:r>
                    <w:rPr>
                      <w:rFonts w:ascii="仿宋_GB2312" w:hAnsi="仿宋_GB2312" w:cs="仿宋_GB2312" w:eastAsia="仿宋_GB2312"/>
                      <w:sz w:val="24"/>
                      <w:color w:val="000000"/>
                    </w:rPr>
                    <w:t>发生生物数据、信息资料外泄，导致严重影响的，一票否决。</w:t>
                  </w:r>
                </w:p>
              </w:tc>
            </w:tr>
            <w:tr>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2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检验机构存在其它违规行为。</w:t>
                  </w:r>
                </w:p>
              </w:tc>
              <w:tc>
                <w:tcPr>
                  <w:tcW w:type="dxa" w:w="2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根据实际情况，酌情扣分。</w:t>
                  </w:r>
                </w:p>
              </w:tc>
            </w:tr>
          </w:tbl>
          <w:p>
            <w:pPr>
              <w:pStyle w:val="null3"/>
              <w:ind w:firstLine="480"/>
              <w:jc w:val="left"/>
            </w:pPr>
            <w:r>
              <w:rPr>
                <w:rFonts w:ascii="仿宋_GB2312" w:hAnsi="仿宋_GB2312" w:cs="仿宋_GB2312" w:eastAsia="仿宋_GB2312"/>
                <w:sz w:val="24"/>
                <w:b/>
                <w:color w:val="000000"/>
              </w:rPr>
              <w:t>（五）人员要求</w:t>
            </w:r>
          </w:p>
          <w:p>
            <w:pPr>
              <w:pStyle w:val="null3"/>
              <w:ind w:firstLine="480"/>
              <w:jc w:val="left"/>
            </w:pPr>
            <w:r>
              <w:rPr>
                <w:rFonts w:ascii="仿宋_GB2312" w:hAnsi="仿宋_GB2312" w:cs="仿宋_GB2312" w:eastAsia="仿宋_GB2312"/>
                <w:sz w:val="24"/>
              </w:rPr>
              <w:t>1.供应商为本项目配备团队成员不得低于5人，其中：项目负责人1名，其余团队成员4名，未经采购人书面同意不得随意更换成员且</w:t>
            </w:r>
            <w:r>
              <w:rPr>
                <w:rFonts w:ascii="仿宋_GB2312" w:hAnsi="仿宋_GB2312" w:cs="仿宋_GB2312" w:eastAsia="仿宋_GB2312"/>
                <w:sz w:val="24"/>
              </w:rPr>
              <w:t>项目</w:t>
            </w:r>
            <w:r>
              <w:rPr>
                <w:rFonts w:ascii="仿宋_GB2312" w:hAnsi="仿宋_GB2312" w:cs="仿宋_GB2312" w:eastAsia="仿宋_GB2312"/>
                <w:sz w:val="24"/>
              </w:rPr>
              <w:t>配备团队成员</w:t>
            </w:r>
            <w:r>
              <w:rPr>
                <w:rFonts w:ascii="仿宋_GB2312" w:hAnsi="仿宋_GB2312" w:cs="仿宋_GB2312" w:eastAsia="仿宋_GB2312"/>
                <w:sz w:val="24"/>
              </w:rPr>
              <w:t>必须</w:t>
            </w:r>
            <w:r>
              <w:rPr>
                <w:rFonts w:ascii="仿宋_GB2312" w:hAnsi="仿宋_GB2312" w:cs="仿宋_GB2312" w:eastAsia="仿宋_GB2312"/>
                <w:sz w:val="24"/>
              </w:rPr>
              <w:t>具有执业资格。</w:t>
            </w:r>
            <w:r>
              <w:rPr>
                <w:rFonts w:ascii="仿宋_GB2312" w:hAnsi="仿宋_GB2312" w:cs="仿宋_GB2312" w:eastAsia="仿宋_GB2312"/>
                <w:sz w:val="24"/>
                <w:b/>
              </w:rPr>
              <w:t>（供应商需在响应文件中提供以上</w:t>
            </w:r>
            <w:r>
              <w:rPr>
                <w:rFonts w:ascii="仿宋_GB2312" w:hAnsi="仿宋_GB2312" w:cs="仿宋_GB2312" w:eastAsia="仿宋_GB2312"/>
                <w:sz w:val="24"/>
                <w:b/>
              </w:rPr>
              <w:t>人员</w:t>
            </w:r>
            <w:r>
              <w:rPr>
                <w:rFonts w:ascii="仿宋_GB2312" w:hAnsi="仿宋_GB2312" w:cs="仿宋_GB2312" w:eastAsia="仿宋_GB2312"/>
                <w:sz w:val="24"/>
                <w:b/>
              </w:rPr>
              <w:t>执业资格证书</w:t>
            </w:r>
            <w:r>
              <w:rPr>
                <w:rFonts w:ascii="仿宋_GB2312" w:hAnsi="仿宋_GB2312" w:cs="仿宋_GB2312" w:eastAsia="仿宋_GB2312"/>
                <w:sz w:val="24"/>
                <w:b/>
              </w:rPr>
              <w:t>扫描件及盖章版</w:t>
            </w:r>
            <w:r>
              <w:rPr>
                <w:rFonts w:ascii="仿宋_GB2312" w:hAnsi="仿宋_GB2312" w:cs="仿宋_GB2312" w:eastAsia="仿宋_GB2312"/>
                <w:sz w:val="24"/>
                <w:b/>
              </w:rPr>
              <w:t>团队人员清单，清单内容包括：人员姓名、职务、联系方式、主要工作内容）</w:t>
            </w:r>
          </w:p>
          <w:p>
            <w:pPr>
              <w:pStyle w:val="null3"/>
              <w:ind w:firstLine="480"/>
              <w:jc w:val="left"/>
            </w:pPr>
            <w:r>
              <w:rPr>
                <w:rFonts w:ascii="仿宋_GB2312" w:hAnsi="仿宋_GB2312" w:cs="仿宋_GB2312" w:eastAsia="仿宋_GB2312"/>
                <w:sz w:val="24"/>
                <w:b/>
                <w:color w:val="000000"/>
              </w:rPr>
              <w:t>（六）其他要求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供应商对出具的检测报告的内容承担相应的法律责任（包括但不限于检测报告内容的准确性、真实性）。</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所有检测项目质量由供应商全权负责并出具报告，检测报告需提供准确的病人信息（至少包括姓名、性别、年龄、住院号、科别、床号），并附有有效的检测人员电子签名。</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对于医院所提供标本的相关信息供应商负有保密责任，未经许可不得向任何第三方透露。（因相关法律法规的明确规定，必须向有关国家机关、政府部门及公众披露的情况除外）</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在本项目的履约过程中，采购人结合医院实际情况，对检测项目有增加或减少的权利。</w:t>
            </w:r>
          </w:p>
          <w:p>
            <w:pPr>
              <w:pStyle w:val="null3"/>
              <w:ind w:firstLine="480"/>
              <w:jc w:val="both"/>
            </w:pPr>
            <w:r>
              <w:rPr>
                <w:rFonts w:ascii="仿宋_GB2312" w:hAnsi="仿宋_GB2312" w:cs="仿宋_GB2312" w:eastAsia="仿宋_GB2312"/>
                <w:sz w:val="24"/>
                <w:color w:val="000000"/>
              </w:rPr>
              <w:t>5.安全要求：</w:t>
            </w:r>
            <w:r>
              <w:rPr>
                <w:rFonts w:ascii="仿宋_GB2312" w:hAnsi="仿宋_GB2312" w:cs="仿宋_GB2312" w:eastAsia="仿宋_GB2312"/>
                <w:sz w:val="24"/>
                <w:color w:val="000000"/>
              </w:rPr>
              <w:t>供应商在服务期内应做好各项安全保障措施，若因供应商或其工作人员在履行职务过程中的疏忽、失职、过错等故意或者过失原因引起的纠纷造成自身人员、采购人或第三方人员伤亡或财产损失的，均由供应商承担全部责任。</w:t>
            </w:r>
            <w:r>
              <w:rPr>
                <w:rFonts w:ascii="仿宋_GB2312" w:hAnsi="仿宋_GB2312" w:cs="仿宋_GB2312" w:eastAsia="仿宋_GB2312"/>
                <w:sz w:val="24"/>
                <w:b/>
                <w:color w:val="000000"/>
              </w:rPr>
              <w:t>（供应商须在投标（响应）文件中提供承诺函原件，格式自拟，并进行电子签章）</w:t>
            </w:r>
          </w:p>
          <w:p>
            <w:pPr>
              <w:pStyle w:val="null3"/>
              <w:ind w:firstLine="480"/>
              <w:jc w:val="left"/>
            </w:pPr>
            <w:r>
              <w:rPr>
                <w:rFonts w:ascii="仿宋_GB2312" w:hAnsi="仿宋_GB2312" w:cs="仿宋_GB2312" w:eastAsia="仿宋_GB2312"/>
                <w:sz w:val="24"/>
                <w:shd w:fill="FFFFFF" w:val="clear"/>
              </w:rPr>
              <w:t>6.报价要求</w:t>
            </w:r>
          </w:p>
          <w:p>
            <w:pPr>
              <w:pStyle w:val="null3"/>
              <w:ind w:firstLine="480"/>
              <w:jc w:val="left"/>
            </w:pPr>
            <w:r>
              <w:rPr>
                <w:rFonts w:ascii="仿宋_GB2312" w:hAnsi="仿宋_GB2312" w:cs="仿宋_GB2312" w:eastAsia="仿宋_GB2312"/>
                <w:sz w:val="24"/>
                <w:shd w:fill="FFFFFF" w:val="clear"/>
              </w:rPr>
              <w:t>6.1本项目在单价限价的基础上采用下浮率报价，下浮率必须≥65%，且＜100%</w:t>
            </w:r>
            <w:r>
              <w:rPr>
                <w:rFonts w:ascii="仿宋_GB2312" w:hAnsi="仿宋_GB2312" w:cs="仿宋_GB2312" w:eastAsia="仿宋_GB2312"/>
                <w:sz w:val="24"/>
                <w:b/>
                <w:shd w:fill="FFFFFF" w:val="clear"/>
              </w:rPr>
              <w:t>（</w:t>
            </w:r>
            <w:r>
              <w:rPr>
                <w:rFonts w:ascii="仿宋_GB2312" w:hAnsi="仿宋_GB2312" w:cs="仿宋_GB2312" w:eastAsia="仿宋_GB2312"/>
                <w:sz w:val="24"/>
                <w:b/>
                <w:shd w:fill="FFFFFF" w:val="clear"/>
              </w:rPr>
              <w:t>有效报价下浮率：</w:t>
            </w:r>
            <w:r>
              <w:rPr>
                <w:rFonts w:ascii="仿宋_GB2312" w:hAnsi="仿宋_GB2312" w:cs="仿宋_GB2312" w:eastAsia="仿宋_GB2312"/>
                <w:sz w:val="24"/>
                <w:b/>
                <w:shd w:fill="FFFFFF" w:val="clear"/>
              </w:rPr>
              <w:t>65% ≤下浮率＜100%</w:t>
            </w:r>
            <w:r>
              <w:rPr>
                <w:rFonts w:ascii="仿宋_GB2312" w:hAnsi="仿宋_GB2312" w:cs="仿宋_GB2312" w:eastAsia="仿宋_GB2312"/>
                <w:sz w:val="24"/>
                <w:b/>
                <w:shd w:fill="FFFFFF" w:val="clear"/>
              </w:rPr>
              <w:t>）</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（下浮率定义：如果基准价为</w:t>
            </w:r>
            <w:r>
              <w:rPr>
                <w:rFonts w:ascii="仿宋_GB2312" w:hAnsi="仿宋_GB2312" w:cs="仿宋_GB2312" w:eastAsia="仿宋_GB2312"/>
                <w:sz w:val="24"/>
                <w:shd w:fill="FFFFFF" w:val="clear"/>
              </w:rPr>
              <w:t>100元，下浮率是70%，实际支付金额=100×（1-70%），即实际支付金额为30元。）合同履行过程中，成交供应商不得调整下浮率。</w:t>
            </w:r>
          </w:p>
          <w:p>
            <w:pPr>
              <w:pStyle w:val="null3"/>
              <w:ind w:firstLine="480"/>
              <w:jc w:val="left"/>
            </w:pPr>
            <w:r>
              <w:rPr>
                <w:rFonts w:ascii="仿宋_GB2312" w:hAnsi="仿宋_GB2312" w:cs="仿宋_GB2312" w:eastAsia="仿宋_GB2312"/>
                <w:sz w:val="24"/>
                <w:shd w:fill="FFFFFF" w:val="clear"/>
              </w:rPr>
              <w:t>6.2供应商的报价是供应商完成本项目所需的一切费用，</w:t>
            </w:r>
            <w:r>
              <w:rPr>
                <w:rFonts w:ascii="仿宋_GB2312" w:hAnsi="仿宋_GB2312" w:cs="仿宋_GB2312" w:eastAsia="仿宋_GB2312"/>
                <w:sz w:val="24"/>
                <w:shd w:fill="FFFFFF" w:val="clear"/>
              </w:rPr>
              <w:t>包含但不限于：检测、人工、设备、差旅、保险、税金、验收、后期服务（如有）、利润、</w:t>
            </w:r>
            <w:r>
              <w:rPr>
                <w:rFonts w:ascii="仿宋_GB2312" w:hAnsi="仿宋_GB2312" w:cs="仿宋_GB2312" w:eastAsia="仿宋_GB2312"/>
                <w:sz w:val="24"/>
                <w:shd w:fill="FFFFFF" w:val="clear"/>
              </w:rPr>
              <w:t>采购</w:t>
            </w:r>
            <w:r>
              <w:rPr>
                <w:rFonts w:ascii="仿宋_GB2312" w:hAnsi="仿宋_GB2312" w:cs="仿宋_GB2312" w:eastAsia="仿宋_GB2312"/>
                <w:sz w:val="24"/>
                <w:shd w:fill="FFFFFF" w:val="clear"/>
              </w:rPr>
              <w:t>代理服务费等一切完成本项目的所有费用，采购人不再额外支付其他任何费用。如</w:t>
            </w:r>
            <w:r>
              <w:rPr>
                <w:rFonts w:ascii="仿宋_GB2312" w:hAnsi="仿宋_GB2312" w:cs="仿宋_GB2312" w:eastAsia="仿宋_GB2312"/>
                <w:sz w:val="24"/>
                <w:shd w:fill="FFFFFF" w:val="clear"/>
              </w:rPr>
              <w:t>出现响应报价估算错误而引起的损失由供应商自行承担。</w:t>
            </w:r>
          </w:p>
          <w:p>
            <w:pPr>
              <w:pStyle w:val="null3"/>
              <w:ind w:firstLine="480"/>
              <w:jc w:val="left"/>
            </w:pPr>
            <w:r>
              <w:rPr>
                <w:rFonts w:ascii="仿宋_GB2312" w:hAnsi="仿宋_GB2312" w:cs="仿宋_GB2312" w:eastAsia="仿宋_GB2312"/>
                <w:sz w:val="24"/>
                <w:shd w:fill="FFFFFF" w:val="clear"/>
              </w:rPr>
              <w:t>7</w:t>
            </w:r>
            <w:r>
              <w:rPr>
                <w:rFonts w:ascii="仿宋_GB2312" w:hAnsi="仿宋_GB2312" w:cs="仿宋_GB2312" w:eastAsia="仿宋_GB2312"/>
                <w:sz w:val="24"/>
                <w:shd w:fill="FFFFFF" w:val="clear"/>
              </w:rPr>
              <w:t>.其他未尽事宜以合同中约定为准。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三年，合同一年一签。每年由采购人对服务质量进行考核，考核合格后续签下一年度合同。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内江市第六人民医院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按照《财政部关于进一步加强政府采购需求和履约验收管理的指导意见》（财库〔2016〕205号）、《政府采购需求管理办法》（财库〔2021〕22号）以及采购人、采购文件的质量要求和技术指标、供应商的响应文件及承诺与本项目合同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1、如成交供应商为中小企业的，预付款在合同签订后，达到付款条件起15日内，据实结算说明为支付预算金额的50%</w:t>
            </w:r>
          </w:p>
          <w:p>
            <w:pPr>
              <w:pStyle w:val="null3"/>
              <w:jc w:val="left"/>
            </w:pPr>
            <w:r>
              <w:rPr>
                <w:rFonts w:ascii="仿宋_GB2312" w:hAnsi="仿宋_GB2312" w:cs="仿宋_GB2312" w:eastAsia="仿宋_GB2312"/>
              </w:rPr>
              <w:t>2、如成交供应商为非中小企业的，预付款在合同签订后，达到付款条件起15日内，据实结算说明为支付预算金额的40%</w:t>
            </w:r>
          </w:p>
          <w:p>
            <w:pPr>
              <w:pStyle w:val="null3"/>
              <w:jc w:val="left"/>
            </w:pPr>
            <w:r>
              <w:rPr>
                <w:rFonts w:ascii="仿宋_GB2312" w:hAnsi="仿宋_GB2312" w:cs="仿宋_GB2312" w:eastAsia="仿宋_GB2312"/>
              </w:rPr>
              <w:t>3、每月采购人在收到供应商按照采购人实际发生的检验项目的导出数据及正规、合法的符合采购人要求的支付票据资料（若供应商未提供符合采购人要求的支付票据资料，采购人有权拒绝付款且不构成违约），经采购人审核无误后，达到付款条件起15日内，据实结算说明为以银行转账方式支付上月的检验服务费用[每月付款金额=（每月外送各类检验项目数量*各类检验项目成交单价）之和-违约金/扣款（如有），（各类检验项目成交单价=各类检验项目单价限价*成交折扣率）]，但应当优先抵扣预付款，若预付款不足以支付当月费用，再由采购人支付当月剩余服务费</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13.1）缔约过失责任：供应商无正当理由未能在规定时间内与采购人签订合同的，按采购预算的【10】%支付赔偿金。赔偿金不足以弥补采购人全部损失的，还应赔偿采购人全部损失。 13.2）违约责任①双方必须遵守合同并执行合同中的各项规定，保证合同的正常履行。②如因供应商工作人员在履行职务过程中的疏忽、失职、过错等故意或者过失原因给采购人或第三方造成损失或侵害，乙方应支付采购预算【10】%的违约金，若违约金不足以弥补甲方损失的，乙方应赔偿甲方全部损失，包括但不限于采购人本身的财产损失、由此而导致的采购人对任何第三方的法律责任等，供应商对此均应承担全部的赔偿责任。 13.3）解决争议的方法：①在执行合同中发生的与本合同有关的争端，双方应通过友好协商解决，经协商不能达成协议时，任意一方均可向采购人所在地人民法院提起诉讼。②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 ②若为事业法人：提供“统一社会信用代码法人登记证书”；未换证的提交“事业法人登记证书、组织机构代码证”； ③若为其他组织：提供“对应主管部门颁发的准许执业证明文件或营业执照”； ④若为自然人：提供“身份证明材料”； ⑤供应商属于银行、保险、石油石化、电力、电信、移动、联通、广电等有行业特殊情况的，可提供企业分支机构统一社会信用代码的营业执照（扫描件）及其他企业分支机构证明文件，法定代表人签署和授权可由分支机构负责人签署和授权。 以上①-⑤项任意提供一项作为证明材料并进行电子签章。</w:t>
            </w:r>
          </w:p>
        </w:tc>
        <w:tc>
          <w:tcPr>
            <w:tcW w:type="dxa" w:w="1661"/>
          </w:tcPr>
          <w:p>
            <w:pPr>
              <w:pStyle w:val="null3"/>
              <w:jc w:val="left"/>
            </w:pPr>
            <w:r>
              <w:rPr>
                <w:rFonts w:ascii="仿宋_GB2312" w:hAnsi="仿宋_GB2312" w:cs="仿宋_GB2312" w:eastAsia="仿宋_GB2312"/>
              </w:rPr>
              <w:t>响应文件封面,具有独立承担民事责任的能力.docx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供应商必须具有卫生部门核发且在有效期内的《中华人民共和国医疗机构执业许可证》【诊疗科目应包含医学检测类并符合本项目检测范围】。</w:t>
            </w:r>
          </w:p>
        </w:tc>
        <w:tc>
          <w:tcPr>
            <w:tcW w:type="dxa" w:w="3322"/>
          </w:tcPr>
          <w:p>
            <w:pPr>
              <w:pStyle w:val="null3"/>
              <w:jc w:val="left"/>
            </w:pPr>
            <w:r>
              <w:rPr>
                <w:rFonts w:ascii="仿宋_GB2312" w:hAnsi="仿宋_GB2312" w:cs="仿宋_GB2312" w:eastAsia="仿宋_GB2312"/>
              </w:rPr>
              <w:t>供应商提供卫生部门核发且在有效期内的《中华人民共和国医疗机构执业许可证》【诊疗科目应包含医学检测类并符合本项目检测范围】扫描件并进行电子签章。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供应商必须具有《与人体健康有关的病原微生物实验室备案凭证》。</w:t>
            </w:r>
          </w:p>
        </w:tc>
        <w:tc>
          <w:tcPr>
            <w:tcW w:type="dxa" w:w="3322"/>
          </w:tcPr>
          <w:p>
            <w:pPr>
              <w:pStyle w:val="null3"/>
              <w:jc w:val="left"/>
            </w:pPr>
            <w:r>
              <w:rPr>
                <w:rFonts w:ascii="仿宋_GB2312" w:hAnsi="仿宋_GB2312" w:cs="仿宋_GB2312" w:eastAsia="仿宋_GB2312"/>
              </w:rPr>
              <w:t>供应商提供卫生部门核发且在有效期内的《与人体健康有关的病原微生物实验室备案凭证》扫描件并进行电子签章。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供应商必须具有有效的临床基因扩增实验室备案。</w:t>
            </w:r>
          </w:p>
        </w:tc>
        <w:tc>
          <w:tcPr>
            <w:tcW w:type="dxa" w:w="3322"/>
          </w:tcPr>
          <w:p>
            <w:pPr>
              <w:pStyle w:val="null3"/>
              <w:jc w:val="left"/>
            </w:pPr>
            <w:r>
              <w:rPr>
                <w:rFonts w:ascii="仿宋_GB2312" w:hAnsi="仿宋_GB2312" w:cs="仿宋_GB2312" w:eastAsia="仿宋_GB2312"/>
              </w:rPr>
              <w:t>供应商须具有有效的临床基因扩增实验室备案（提供备案证明材料扫描件并进行电子签章）。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需要供应商提供证明材料的实质性要求。</w:t>
            </w:r>
          </w:p>
        </w:tc>
        <w:tc>
          <w:tcPr>
            <w:tcW w:type="dxa" w:w="3322"/>
          </w:tcPr>
          <w:p>
            <w:pPr>
              <w:pStyle w:val="null3"/>
              <w:jc w:val="left"/>
            </w:pPr>
            <w:r>
              <w:rPr>
                <w:rFonts w:ascii="仿宋_GB2312" w:hAnsi="仿宋_GB2312" w:cs="仿宋_GB2312" w:eastAsia="仿宋_GB2312"/>
              </w:rPr>
              <w:t>采购文件第三章中明确要求供应商在投标(响应)文件中供证明材料的实质性要求。供应商在投标(响应)文件中如有证明材料缺失或供应商提供证明材料不能证明满足要求的，视为未响应采购文件的实质性要求。</w:t>
            </w:r>
          </w:p>
        </w:tc>
        <w:tc>
          <w:tcPr>
            <w:tcW w:type="dxa" w:w="1661"/>
          </w:tcPr>
          <w:p>
            <w:pPr>
              <w:pStyle w:val="null3"/>
              <w:jc w:val="left"/>
            </w:pPr>
            <w:r>
              <w:rPr>
                <w:rFonts w:ascii="仿宋_GB2312" w:hAnsi="仿宋_GB2312" w:cs="仿宋_GB2312" w:eastAsia="仿宋_GB2312"/>
              </w:rPr>
              <w:t>技术服务要求应答表.docx,商务要求应答表.docx,供应商认为其他应提交的相关材料.docx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需要供应商进行响应的实质性要求。</w:t>
            </w:r>
          </w:p>
        </w:tc>
        <w:tc>
          <w:tcPr>
            <w:tcW w:type="dxa" w:w="3322"/>
          </w:tcPr>
          <w:p>
            <w:pPr>
              <w:pStyle w:val="null3"/>
              <w:jc w:val="left"/>
            </w:pPr>
            <w:r>
              <w:rPr>
                <w:rFonts w:ascii="仿宋_GB2312" w:hAnsi="仿宋_GB2312" w:cs="仿宋_GB2312" w:eastAsia="仿宋_GB2312"/>
              </w:rPr>
              <w:t>采购文件第三章未明确要求供应商在投标(响应)文件中提供证明材料的实质性要求。供应商在投标(响应)文件技术(服务)应答表或商务应答表明确表示不响应或负偏离的，视为未响应采购文件的实质性要求。</w:t>
            </w:r>
          </w:p>
        </w:tc>
        <w:tc>
          <w:tcPr>
            <w:tcW w:type="dxa" w:w="1661"/>
          </w:tcPr>
          <w:p>
            <w:pPr>
              <w:pStyle w:val="null3"/>
              <w:jc w:val="left"/>
            </w:pPr>
            <w:r>
              <w:rPr>
                <w:rFonts w:ascii="仿宋_GB2312" w:hAnsi="仿宋_GB2312" w:cs="仿宋_GB2312" w:eastAsia="仿宋_GB2312"/>
              </w:rPr>
              <w:t>技术服务要求应答表.docx,商务要求应答表.docx,供应商认为其他应提交的相关材料.docx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不需要供应商进行响应的实质性要求。</w:t>
            </w:r>
          </w:p>
        </w:tc>
        <w:tc>
          <w:tcPr>
            <w:tcW w:type="dxa" w:w="3322"/>
          </w:tcPr>
          <w:p>
            <w:pPr>
              <w:pStyle w:val="null3"/>
              <w:jc w:val="left"/>
            </w:pPr>
            <w:r>
              <w:rPr>
                <w:rFonts w:ascii="仿宋_GB2312" w:hAnsi="仿宋_GB2312" w:cs="仿宋_GB2312" w:eastAsia="仿宋_GB2312"/>
              </w:rPr>
              <w:t>采购文件除第三章外的其他实质性要求。供应商在投标(响应)文件除方案部分外的其他部分，明确违反实质性要求的,视为未响应采购文件的实质性要求。</w:t>
            </w:r>
          </w:p>
        </w:tc>
        <w:tc>
          <w:tcPr>
            <w:tcW w:type="dxa" w:w="1661"/>
          </w:tcPr>
          <w:p>
            <w:pPr>
              <w:pStyle w:val="null3"/>
              <w:jc w:val="left"/>
            </w:pPr>
            <w:r>
              <w:rPr>
                <w:rFonts w:ascii="仿宋_GB2312" w:hAnsi="仿宋_GB2312" w:cs="仿宋_GB2312" w:eastAsia="仿宋_GB2312"/>
              </w:rPr>
              <w:t>技术服务要求应答表.docx,商务要求应答表.docx,供应商认为其他应提交的相关材料.docx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详细评审80.00分</w:t>
            </w:r>
          </w:p>
          <w:p>
            <w:pPr>
              <w:pStyle w:val="null3"/>
              <w:jc w:val="left"/>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项目方案</w:t>
            </w:r>
          </w:p>
        </w:tc>
        <w:tc>
          <w:tcPr>
            <w:tcW w:type="dxa" w:w="2575"/>
          </w:tcPr>
          <w:p>
            <w:pPr>
              <w:pStyle w:val="null3"/>
              <w:jc w:val="left"/>
            </w:pPr>
            <w:r>
              <w:rPr>
                <w:rFonts w:ascii="仿宋_GB2312" w:hAnsi="仿宋_GB2312" w:cs="仿宋_GB2312" w:eastAsia="仿宋_GB2312"/>
              </w:rPr>
              <w:t>根据供应商针对本项目提供的服务方案作为评审依据，包括以下内容： ①整体服务流程；②标本接收及运输方案（包括样本采集、标本收取、标本运输）；③实施方案（包括检测工作流程、方法等）；④检验结果送达方案；⑤服务质量保障措施；⑥应急方案（结果异议、报告丢失、标本丢失、急诊项目服务、提供特急标本优先加急服务）；⑦增值服务（包括学科建设支持、检验科质量体系协同建设、技术平台支持、人才培养与继续教育）；⑧科研支持。 以上①-⑧项内容齐全无缺陷得48分，每缺1项内容扣6分，每有1处内容存在缺陷扣1.5分，扣完为止。 注：缺陷是指：①本项目提供的方案中引用法律、规范、标准存在失效或错误②非专门针对本项目或内容与本项目需求无关③仅有框架或标题④复制或套用其他项目内容，以上任意一种情形。</w:t>
            </w:r>
          </w:p>
        </w:tc>
        <w:tc>
          <w:tcPr>
            <w:tcW w:type="dxa" w:w="831"/>
          </w:tcPr>
          <w:p>
            <w:pPr>
              <w:pStyle w:val="null3"/>
              <w:jc w:val="center"/>
            </w:pPr>
            <w:r>
              <w:rPr>
                <w:rFonts w:ascii="仿宋_GB2312" w:hAnsi="仿宋_GB2312" w:cs="仿宋_GB2312" w:eastAsia="仿宋_GB2312"/>
              </w:rPr>
              <w:t>48.0000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供应商认为其他应提交的相关材料.docx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供应商为本项目拟配备的服务团队中： 1、项目负责人具有检验类专业副高级或以上职称的得6分，本小项最多得6分。 2、项目团队服务人员每提供一名检验类专业中级及以上职称得2.5分，本小项最多得10分。 注：①提供以上人员相关证书扫描件。②以上人员不重复计分。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供应商认为其他应提交的相关材料.docx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供应商自2024年01月01日（含）至递交响应文件截止日（以证明材料载明的时间为准）具有类似项目业绩的，每提供一个得3分，本项最高得12分。 注：①类似项目业绩指：外送检验服务或合同中至少包含检验服务或相同语义内容。②提供中标（成交）通知书扫描件或合同（协议）文件扫描件并进行电子签章，不提供或不满足不得分。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供应商认为其他应提交的相关材料.docx</w:t>
            </w:r>
          </w:p>
        </w:tc>
      </w:tr>
      <w:tr>
        <w:tc>
          <w:tcPr>
            <w:tcW w:type="dxa" w:w="831"/>
            <w:vMerge/>
          </w:tcPr>
          <w:p/>
        </w:tc>
        <w:tc>
          <w:tcPr>
            <w:tcW w:type="dxa" w:w="1661"/>
          </w:tcPr>
          <w:p>
            <w:pPr>
              <w:pStyle w:val="null3"/>
              <w:jc w:val="left"/>
            </w:pPr>
            <w:r>
              <w:rPr>
                <w:rFonts w:ascii="仿宋_GB2312" w:hAnsi="仿宋_GB2312" w:cs="仿宋_GB2312" w:eastAsia="仿宋_GB2312"/>
              </w:rPr>
              <w:t>响应时效性</w:t>
            </w:r>
          </w:p>
        </w:tc>
        <w:tc>
          <w:tcPr>
            <w:tcW w:type="dxa" w:w="2575"/>
          </w:tcPr>
          <w:p>
            <w:pPr>
              <w:pStyle w:val="null3"/>
              <w:jc w:val="left"/>
            </w:pPr>
            <w:r>
              <w:rPr>
                <w:rFonts w:ascii="仿宋_GB2312" w:hAnsi="仿宋_GB2312" w:cs="仿宋_GB2312" w:eastAsia="仿宋_GB2312"/>
              </w:rPr>
              <w:t>承诺样品运输时长不超过6小时（含）的得4分； 承诺样品运输时长在6小时（不含）至12小时（含）的得1分； 样品运输时长超过12小时不得分。  注：提供检测地点的场所照片，以及房屋租赁（或购买）合同；同时，需提供从采购人所在地至检测地的主流电子地图平台（如百度地图、高德地图）路线截图。若采用车辆运输，须承诺行驶速度不超过120公里/小时，以确保运输安全。如采用飞机、高铁等其他更快速的运输方式，则需详细说明，并提供符合《国家传染病防治法》要求、能够证明该运输方式合法使用的相关材料。</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供应商认为其他应提交的相关材料.docx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详见附件：供应商认为其他应提交的相关材料.docx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