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版本号：N513401202600006720260422001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2026年血吸虫病防止药品采购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N5134012026000067</w:t>
      </w:r>
    </w:p>
    <w:p>
      <w:pPr>
        <w:pStyle w:val="null3"/>
        <w:jc w:val="center"/>
        <w:outlineLvl w:val="2"/>
      </w:pPr>
      <w:r>
        <w:rPr>
          <w:rFonts w:ascii="仿宋_GB2312" w:hAnsi="仿宋_GB2312" w:cs="仿宋_GB2312" w:eastAsia="仿宋_GB2312"/>
          <w:sz w:val="28"/>
          <w:b/>
        </w:rPr>
        <w:t>西昌市疾病预防控制中心</w:t>
      </w:r>
    </w:p>
    <w:p>
      <w:pPr>
        <w:pStyle w:val="null3"/>
        <w:jc w:val="center"/>
        <w:outlineLvl w:val="2"/>
      </w:pPr>
      <w:r>
        <w:rPr>
          <w:rFonts w:ascii="仿宋_GB2312" w:hAnsi="仿宋_GB2312" w:cs="仿宋_GB2312" w:eastAsia="仿宋_GB2312"/>
          <w:sz w:val="28"/>
          <w:b/>
        </w:rPr>
        <w:t>四川轩辕招标代理有限公司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四川轩辕招标代理有限公司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西昌市疾病预防控制中心</w:t>
      </w:r>
      <w:r>
        <w:rPr>
          <w:rFonts w:ascii="仿宋_GB2312" w:hAnsi="仿宋_GB2312" w:cs="仿宋_GB2312" w:eastAsia="仿宋_GB2312"/>
        </w:rPr>
        <w:t xml:space="preserve"> 委托，拟对 </w:t>
      </w:r>
      <w:r>
        <w:rPr>
          <w:rFonts w:ascii="仿宋_GB2312" w:hAnsi="仿宋_GB2312" w:cs="仿宋_GB2312" w:eastAsia="仿宋_GB2312"/>
        </w:rPr>
        <w:t>2026年血吸虫病防止药品采购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凉山彝族自治州西昌市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N5134012026000067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2026年血吸虫病防止药品采购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西昌市疾病预防控制中心拟对西昌市疾病预防控制中心氯硝柳胺（混悬剂）、（粉剂）采购项目进行采购。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供应商为生产厂家，须具备有效生产许可证；若供应商为经销商，须具备有效《农药经营许可证》，并提供所投产品生产厂家的农药生产批准证书或农药生产许可证（描述：若供应商为生产厂家，须具备有效生产许可证；若供应商为经销商，须具备有效《农药经营许可证》，并提供所投产品生产厂家的农药生产批准证书或农药生产许可证【提供证明材料复印件加盖电子签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若供应商为生产厂家，须具备有效生产许可证；若供应商为经销商，须具备有效《农药经营许可证》，并提供所投产品生产厂家的农药生产批准证书或农药生产许可证（描述：若供应商为生产厂家，须具备有效生产许可证；若供应商为经销商，须具备有效《农药经营许可证》，并提供所投产品生产厂家的农药生产批准证书或农药生产许可证【提供证明材料复印件加盖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西昌市疾病预防控制中心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西昌市胜利北路196号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0834-3223008</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四川轩辕招标代理有限公司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西昌市土城巷151号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谭周菊、蔡铭虎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0834-3352893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采购包1：204,000.00元</w:t>
            </w:r>
          </w:p>
          <w:p>
            <w:pPr>
              <w:pStyle w:val="null3"/>
              <w:jc w:val="left"/>
            </w:pPr>
            <w:r>
              <w:rPr>
                <w:rFonts w:ascii="仿宋_GB2312" w:hAnsi="仿宋_GB2312" w:cs="仿宋_GB2312" w:eastAsia="仿宋_GB2312"/>
              </w:rPr>
              <w:t>采购包2：222,000.00元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代理服务费收费标准：本项目按照《四川省政府采购营商环境指标提升专项行动工作方案》中“成本+合理利润”包1收取：3060元 包2收取：3330元 收款单位：四川轩辕招标代理有限公司凉山分公司； 开 户 行：中国农业银行股份有限公司西昌丝路支行； 银行账号：22654801040001810</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西昌市疾病预防控制中心</w:t>
      </w:r>
      <w:r>
        <w:rPr>
          <w:rFonts w:ascii="仿宋_GB2312" w:hAnsi="仿宋_GB2312" w:cs="仿宋_GB2312" w:eastAsia="仿宋_GB2312"/>
        </w:rPr>
        <w:t xml:space="preserve"> 和 </w:t>
      </w:r>
      <w:r>
        <w:rPr>
          <w:rFonts w:ascii="仿宋_GB2312" w:hAnsi="仿宋_GB2312" w:cs="仿宋_GB2312" w:eastAsia="仿宋_GB2312"/>
        </w:rPr>
        <w:t>四川轩辕招标代理有限公司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西昌市疾病预防控制中心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四川轩辕招标代理有限公司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按照政府采购相关法律法规以及《财政部关于进一步加强政府采购需求和履约验收管理的指导意见》（财库〔2016〕205号）的要求执行。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按照政府采购相关法律法规以及《财政部关于进一步加强政府采购需求和履约验收管理的指导意见》（财库〔2016〕205号）的要求执行。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按照本项目采购文件在“技术要求、服务要求”中的约定执行。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按照本项目采购文件在“技术要求、服务要求”中的约定执行。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按照本项目采购文件在“商务要求”中的约定执行。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按照本项目采购文件在“商务要求”中的约定执行。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按照政府采购相关法律法规以及《财政部关于进一步加强政府采购需求和履约验收管理的指导意见》（财库〔2016〕205号）的要求执行。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按照政府采购相关法律法规以及《财政部关于进一步加强政府采购需求和履约验收管理的指导意见》（财库〔2016〕205号）的要求执行。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西昌市疾病预防控制中心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联系人：谭老师</w:t>
      </w:r>
    </w:p>
    <w:p>
      <w:pPr>
        <w:pStyle w:val="null3"/>
        <w:jc w:val="left"/>
      </w:pPr>
      <w:r>
        <w:rPr>
          <w:rFonts w:ascii="仿宋_GB2312" w:hAnsi="仿宋_GB2312" w:cs="仿宋_GB2312" w:eastAsia="仿宋_GB2312"/>
        </w:rPr>
        <w:t>联系电话：0834-3352893</w:t>
      </w:r>
    </w:p>
    <w:p>
      <w:pPr>
        <w:pStyle w:val="null3"/>
        <w:jc w:val="left"/>
      </w:pPr>
      <w:r>
        <w:rPr>
          <w:rFonts w:ascii="仿宋_GB2312" w:hAnsi="仿宋_GB2312" w:cs="仿宋_GB2312" w:eastAsia="仿宋_GB2312"/>
        </w:rPr>
        <w:t>地址：西昌市土城巷151号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204,000.00</w:t>
      </w:r>
    </w:p>
    <w:p>
      <w:pPr>
        <w:pStyle w:val="null3"/>
        <w:jc w:val="left"/>
      </w:pPr>
      <w:r>
        <w:rPr>
          <w:rFonts w:ascii="仿宋_GB2312" w:hAnsi="仿宋_GB2312" w:cs="仿宋_GB2312" w:eastAsia="仿宋_GB2312"/>
        </w:rPr>
        <w:t>采购包最高限价（元）: 204,000.00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氯硝柳胺（混悬剂）</w:t>
            </w:r>
          </w:p>
        </w:tc>
        <w:tc>
          <w:tcPr>
            <w:tcW w:type="dxa" w:w="821"/>
          </w:tcPr>
          <w:p>
            <w:pPr>
              <w:pStyle w:val="null3"/>
              <w:jc w:val="right"/>
            </w:pPr>
            <w:r>
              <w:rPr>
                <w:rFonts w:ascii="仿宋_GB2312" w:hAnsi="仿宋_GB2312" w:cs="仿宋_GB2312" w:eastAsia="仿宋_GB2312"/>
              </w:rPr>
              <w:t>3.00（吨）</w:t>
            </w:r>
          </w:p>
        </w:tc>
        <w:tc>
          <w:tcPr>
            <w:tcW w:type="dxa" w:w="821"/>
          </w:tcPr>
          <w:p>
            <w:pPr>
              <w:pStyle w:val="null3"/>
              <w:jc w:val="right"/>
            </w:pPr>
            <w:r>
              <w:rPr>
                <w:rFonts w:ascii="仿宋_GB2312" w:hAnsi="仿宋_GB2312" w:cs="仿宋_GB2312" w:eastAsia="仿宋_GB2312"/>
              </w:rPr>
              <w:t>204,000.00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222,000.00</w:t>
      </w:r>
    </w:p>
    <w:p>
      <w:pPr>
        <w:pStyle w:val="null3"/>
        <w:jc w:val="left"/>
      </w:pPr>
      <w:r>
        <w:rPr>
          <w:rFonts w:ascii="仿宋_GB2312" w:hAnsi="仿宋_GB2312" w:cs="仿宋_GB2312" w:eastAsia="仿宋_GB2312"/>
        </w:rPr>
        <w:t>采购包最高限价（元）: 222,000.00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氯硝柳胺（粉剂）</w:t>
            </w:r>
          </w:p>
        </w:tc>
        <w:tc>
          <w:tcPr>
            <w:tcW w:type="dxa" w:w="821"/>
          </w:tcPr>
          <w:p>
            <w:pPr>
              <w:pStyle w:val="null3"/>
              <w:jc w:val="right"/>
            </w:pPr>
            <w:r>
              <w:rPr>
                <w:rFonts w:ascii="仿宋_GB2312" w:hAnsi="仿宋_GB2312" w:cs="仿宋_GB2312" w:eastAsia="仿宋_GB2312"/>
              </w:rPr>
              <w:t>6.00（吨）</w:t>
            </w:r>
          </w:p>
        </w:tc>
        <w:tc>
          <w:tcPr>
            <w:tcW w:type="dxa" w:w="821"/>
          </w:tcPr>
          <w:p>
            <w:pPr>
              <w:pStyle w:val="null3"/>
              <w:jc w:val="right"/>
            </w:pPr>
            <w:r>
              <w:rPr>
                <w:rFonts w:ascii="仿宋_GB2312" w:hAnsi="仿宋_GB2312" w:cs="仿宋_GB2312" w:eastAsia="仿宋_GB2312"/>
              </w:rPr>
              <w:t>222,000.00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氯硝柳胺（混悬剂）</w:t>
            </w:r>
          </w:p>
        </w:tc>
        <w:tc>
          <w:tcPr>
            <w:tcW w:type="dxa" w:w="1138"/>
          </w:tcPr>
          <w:p>
            <w:pPr>
              <w:pStyle w:val="null3"/>
              <w:jc w:val="center"/>
            </w:pPr>
            <w:r>
              <w:rPr>
                <w:rFonts w:ascii="仿宋_GB2312" w:hAnsi="仿宋_GB2312" w:cs="仿宋_GB2312" w:eastAsia="仿宋_GB2312"/>
              </w:rPr>
              <w:t>3.00（吨）</w:t>
            </w:r>
          </w:p>
        </w:tc>
        <w:tc>
          <w:tcPr>
            <w:tcW w:type="dxa" w:w="1365"/>
          </w:tcPr>
          <w:p>
            <w:pPr>
              <w:pStyle w:val="null3"/>
              <w:jc w:val="center"/>
            </w:pPr>
            <w:r>
              <w:rPr>
                <w:rFonts w:ascii="仿宋_GB2312" w:hAnsi="仿宋_GB2312" w:cs="仿宋_GB2312" w:eastAsia="仿宋_GB2312"/>
              </w:rPr>
              <w:t>204,000.00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氯硝柳胺（粉剂）</w:t>
            </w:r>
          </w:p>
        </w:tc>
        <w:tc>
          <w:tcPr>
            <w:tcW w:type="dxa" w:w="1138"/>
          </w:tcPr>
          <w:p>
            <w:pPr>
              <w:pStyle w:val="null3"/>
              <w:jc w:val="center"/>
            </w:pPr>
            <w:r>
              <w:rPr>
                <w:rFonts w:ascii="仿宋_GB2312" w:hAnsi="仿宋_GB2312" w:cs="仿宋_GB2312" w:eastAsia="仿宋_GB2312"/>
              </w:rPr>
              <w:t>6.00（吨）</w:t>
            </w:r>
          </w:p>
        </w:tc>
        <w:tc>
          <w:tcPr>
            <w:tcW w:type="dxa" w:w="1365"/>
          </w:tcPr>
          <w:p>
            <w:pPr>
              <w:pStyle w:val="null3"/>
              <w:jc w:val="center"/>
            </w:pPr>
            <w:r>
              <w:rPr>
                <w:rFonts w:ascii="仿宋_GB2312" w:hAnsi="仿宋_GB2312" w:cs="仿宋_GB2312" w:eastAsia="仿宋_GB2312"/>
              </w:rPr>
              <w:t>222,000.00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氯硝柳胺（混悬剂）</w:t>
            </w:r>
          </w:p>
        </w:tc>
        <w:tc>
          <w:tcPr>
            <w:tcW w:type="dxa" w:w="2492"/>
          </w:tcPr>
          <w:p>
            <w:pPr>
              <w:pStyle w:val="null3"/>
              <w:jc w:val="left"/>
            </w:pPr>
            <w:r>
              <w:rPr>
                <w:rFonts w:ascii="仿宋_GB2312" w:hAnsi="仿宋_GB2312" w:cs="仿宋_GB2312" w:eastAsia="仿宋_GB2312"/>
              </w:rPr>
              <w:t>氯硝柳胺（混悬剂）</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氯硝柳胺（粉剂）</w:t>
            </w:r>
          </w:p>
        </w:tc>
        <w:tc>
          <w:tcPr>
            <w:tcW w:type="dxa" w:w="2492"/>
          </w:tcPr>
          <w:p>
            <w:pPr>
              <w:pStyle w:val="null3"/>
              <w:jc w:val="left"/>
            </w:pPr>
            <w:r>
              <w:rPr>
                <w:rFonts w:ascii="仿宋_GB2312" w:hAnsi="仿宋_GB2312" w:cs="仿宋_GB2312" w:eastAsia="仿宋_GB2312"/>
              </w:rPr>
              <w:t>氯硝柳胺（粉剂）</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标的名称：氯硝柳胺（混悬剂）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氯硝柳胺（混悬剂）</w:t>
            </w:r>
          </w:p>
        </w:tc>
        <w:tc>
          <w:tcPr>
            <w:tcW w:type="dxa" w:w="5814"/>
          </w:tcPr>
          <w:p>
            <w:pPr>
              <w:pStyle w:val="null3"/>
              <w:jc w:val="left"/>
            </w:pPr>
            <w:r>
              <w:rPr>
                <w:rFonts w:ascii="仿宋_GB2312" w:hAnsi="仿宋_GB2312" w:cs="仿宋_GB2312" w:eastAsia="仿宋_GB2312"/>
              </w:rPr>
              <w:t>★1、规格型号：50ml/袋×100袋/箱；</w:t>
            </w:r>
          </w:p>
          <w:p>
            <w:pPr>
              <w:pStyle w:val="null3"/>
              <w:jc w:val="left"/>
            </w:pPr>
            <w:r>
              <w:rPr>
                <w:rFonts w:ascii="仿宋_GB2312" w:hAnsi="仿宋_GB2312" w:cs="仿宋_GB2312" w:eastAsia="仿宋_GB2312"/>
              </w:rPr>
              <w:t>▲2、有效含量：≥50%；（</w:t>
            </w:r>
            <w:r>
              <w:rPr>
                <w:rFonts w:ascii="仿宋_GB2312" w:hAnsi="仿宋_GB2312" w:cs="仿宋_GB2312" w:eastAsia="仿宋_GB2312"/>
                <w:sz w:val="21"/>
              </w:rPr>
              <w:t>需提供带CMA标志的检测报告复印件并加盖电子签章</w:t>
            </w:r>
            <w:r>
              <w:rPr>
                <w:rFonts w:ascii="仿宋_GB2312" w:hAnsi="仿宋_GB2312" w:cs="仿宋_GB2312" w:eastAsia="仿宋_GB2312"/>
              </w:rPr>
              <w:t>）</w:t>
            </w:r>
          </w:p>
          <w:p>
            <w:pPr>
              <w:pStyle w:val="null3"/>
              <w:jc w:val="left"/>
            </w:pPr>
            <w:r>
              <w:rPr>
                <w:rFonts w:ascii="仿宋_GB2312" w:hAnsi="仿宋_GB2312" w:cs="仿宋_GB2312" w:eastAsia="仿宋_GB2312"/>
              </w:rPr>
              <w:t>3、外观：黄色粘稠状可流动液体；</w:t>
            </w:r>
          </w:p>
          <w:p>
            <w:pPr>
              <w:pStyle w:val="null3"/>
              <w:jc w:val="left"/>
            </w:pPr>
            <w:r>
              <w:rPr>
                <w:rFonts w:ascii="仿宋_GB2312" w:hAnsi="仿宋_GB2312" w:cs="仿宋_GB2312" w:eastAsia="仿宋_GB2312"/>
              </w:rPr>
              <w:t>4、杀螺胺乙醇胺盐质量分数：50.0%（±2.0%）；</w:t>
            </w:r>
          </w:p>
          <w:p>
            <w:pPr>
              <w:pStyle w:val="null3"/>
              <w:jc w:val="left"/>
            </w:pPr>
            <w:r>
              <w:rPr>
                <w:rFonts w:ascii="仿宋_GB2312" w:hAnsi="仿宋_GB2312" w:cs="仿宋_GB2312" w:eastAsia="仿宋_GB2312"/>
              </w:rPr>
              <w:t>5、杀螺胺乙醇胺盐质量浓度（20℃）：625g/L（±25g/L）；</w:t>
            </w:r>
          </w:p>
          <w:p>
            <w:pPr>
              <w:pStyle w:val="null3"/>
              <w:jc w:val="left"/>
            </w:pPr>
            <w:r>
              <w:rPr>
                <w:rFonts w:ascii="仿宋_GB2312" w:hAnsi="仿宋_GB2312" w:cs="仿宋_GB2312" w:eastAsia="仿宋_GB2312"/>
              </w:rPr>
              <w:t>6、悬浮率：≥90%；</w:t>
            </w:r>
          </w:p>
          <w:p>
            <w:pPr>
              <w:pStyle w:val="null3"/>
              <w:jc w:val="left"/>
            </w:pPr>
            <w:r>
              <w:rPr>
                <w:rFonts w:ascii="仿宋_GB2312" w:hAnsi="仿宋_GB2312" w:cs="仿宋_GB2312" w:eastAsia="仿宋_GB2312"/>
              </w:rPr>
              <w:t>7、倾倒后残余物：≤5.0%；</w:t>
            </w:r>
          </w:p>
          <w:p>
            <w:pPr>
              <w:pStyle w:val="null3"/>
              <w:jc w:val="left"/>
            </w:pPr>
            <w:r>
              <w:rPr>
                <w:rFonts w:ascii="仿宋_GB2312" w:hAnsi="仿宋_GB2312" w:cs="仿宋_GB2312" w:eastAsia="仿宋_GB2312"/>
              </w:rPr>
              <w:t>8、洗涤后残余物：≤0.5%；</w:t>
            </w:r>
          </w:p>
          <w:p>
            <w:pPr>
              <w:pStyle w:val="null3"/>
              <w:jc w:val="left"/>
            </w:pPr>
            <w:r>
              <w:rPr>
                <w:rFonts w:ascii="仿宋_GB2312" w:hAnsi="仿宋_GB2312" w:cs="仿宋_GB2312" w:eastAsia="仿宋_GB2312"/>
              </w:rPr>
              <w:t>9、湿筛（通过75μm孔径筛）：≥98%；</w:t>
            </w:r>
          </w:p>
          <w:p>
            <w:pPr>
              <w:pStyle w:val="null3"/>
              <w:jc w:val="left"/>
            </w:pPr>
            <w:r>
              <w:rPr>
                <w:rFonts w:ascii="仿宋_GB2312" w:hAnsi="仿宋_GB2312" w:cs="仿宋_GB2312" w:eastAsia="仿宋_GB2312"/>
              </w:rPr>
              <w:t>10、pH值：7.0~10.0；</w:t>
            </w:r>
          </w:p>
          <w:p>
            <w:pPr>
              <w:pStyle w:val="null3"/>
              <w:jc w:val="left"/>
            </w:pPr>
            <w:r>
              <w:rPr>
                <w:rFonts w:ascii="仿宋_GB2312" w:hAnsi="仿宋_GB2312" w:cs="仿宋_GB2312" w:eastAsia="仿宋_GB2312"/>
              </w:rPr>
              <w:t>11、持久起泡性（1min后）：≤25mL。</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jc w:val="both"/>
            </w:pPr>
            <w:r>
              <w:rPr>
                <w:rFonts w:ascii="仿宋_GB2312" w:hAnsi="仿宋_GB2312" w:cs="仿宋_GB2312" w:eastAsia="仿宋_GB2312"/>
              </w:rPr>
              <w:t>1、报价要求：报价包括但不限于产品、运输、售后、税金等履约完成本项目全部内容的价格，供应商应根据本项目的实际情况与自身现实情况，并充分考虑不确定性因素可能导致的风险自行填报。若因供应商原因造成的漏报、错报而导致本项目无法履行的，由供应商负责，采购人不会承担任何费用。</w:t>
            </w:r>
          </w:p>
          <w:p>
            <w:pPr>
              <w:pStyle w:val="null3"/>
              <w:jc w:val="both"/>
            </w:pPr>
            <w:r>
              <w:rPr>
                <w:rFonts w:ascii="仿宋_GB2312" w:hAnsi="仿宋_GB2312" w:cs="仿宋_GB2312" w:eastAsia="仿宋_GB2312"/>
                <w:sz w:val="21"/>
              </w:rPr>
              <w:t>2、质保期：≥12个月</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标的名称：氯硝柳胺（粉剂）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氯硝柳胺（粉剂）</w:t>
            </w:r>
          </w:p>
        </w:tc>
        <w:tc>
          <w:tcPr>
            <w:tcW w:type="dxa" w:w="5814"/>
          </w:tcPr>
          <w:p>
            <w:pPr>
              <w:pStyle w:val="null3"/>
              <w:jc w:val="left"/>
            </w:pPr>
            <w:r>
              <w:rPr>
                <w:rFonts w:ascii="仿宋_GB2312" w:hAnsi="仿宋_GB2312" w:cs="仿宋_GB2312" w:eastAsia="仿宋_GB2312"/>
              </w:rPr>
              <w:t>★1、规格型号：1公斤/包×10包/袋；</w:t>
            </w:r>
          </w:p>
          <w:p>
            <w:pPr>
              <w:pStyle w:val="null3"/>
              <w:jc w:val="left"/>
            </w:pPr>
            <w:r>
              <w:rPr>
                <w:rFonts w:ascii="仿宋_GB2312" w:hAnsi="仿宋_GB2312" w:cs="仿宋_GB2312" w:eastAsia="仿宋_GB2312"/>
              </w:rPr>
              <w:t>▲2、有效含量：≥50%；（</w:t>
            </w:r>
            <w:r>
              <w:rPr>
                <w:rFonts w:ascii="仿宋_GB2312" w:hAnsi="仿宋_GB2312" w:cs="仿宋_GB2312" w:eastAsia="仿宋_GB2312"/>
                <w:sz w:val="21"/>
              </w:rPr>
              <w:t>需提供带</w:t>
            </w:r>
            <w:r>
              <w:rPr>
                <w:rFonts w:ascii="仿宋_GB2312" w:hAnsi="仿宋_GB2312" w:cs="仿宋_GB2312" w:eastAsia="仿宋_GB2312"/>
                <w:sz w:val="21"/>
              </w:rPr>
              <w:t>CMA标志的检测报告复印件并加盖电子签章</w:t>
            </w:r>
            <w:r>
              <w:rPr>
                <w:rFonts w:ascii="仿宋_GB2312" w:hAnsi="仿宋_GB2312" w:cs="仿宋_GB2312" w:eastAsia="仿宋_GB2312"/>
              </w:rPr>
              <w:t>）</w:t>
            </w:r>
          </w:p>
          <w:p>
            <w:pPr>
              <w:pStyle w:val="null3"/>
              <w:jc w:val="left"/>
            </w:pPr>
            <w:r>
              <w:rPr>
                <w:rFonts w:ascii="仿宋_GB2312" w:hAnsi="仿宋_GB2312" w:cs="仿宋_GB2312" w:eastAsia="仿宋_GB2312"/>
              </w:rPr>
              <w:t>3、外观：黄色疏松粉末，无团块；</w:t>
            </w:r>
          </w:p>
          <w:p>
            <w:pPr>
              <w:pStyle w:val="null3"/>
              <w:jc w:val="left"/>
            </w:pPr>
            <w:r>
              <w:rPr>
                <w:rFonts w:ascii="仿宋_GB2312" w:hAnsi="仿宋_GB2312" w:cs="仿宋_GB2312" w:eastAsia="仿宋_GB2312"/>
              </w:rPr>
              <w:t>4、杀螺胺乙醇胺盐质量分数：50.5%（±2.5%）；</w:t>
            </w:r>
          </w:p>
          <w:p>
            <w:pPr>
              <w:pStyle w:val="null3"/>
              <w:jc w:val="left"/>
            </w:pPr>
            <w:r>
              <w:rPr>
                <w:rFonts w:ascii="仿宋_GB2312" w:hAnsi="仿宋_GB2312" w:cs="仿宋_GB2312" w:eastAsia="仿宋_GB2312"/>
              </w:rPr>
              <w:t>5、杀螺胺含量质量分数：42.1%（±2.1%）；</w:t>
            </w:r>
          </w:p>
          <w:p>
            <w:pPr>
              <w:pStyle w:val="null3"/>
              <w:jc w:val="left"/>
            </w:pPr>
            <w:r>
              <w:rPr>
                <w:rFonts w:ascii="仿宋_GB2312" w:hAnsi="仿宋_GB2312" w:cs="仿宋_GB2312" w:eastAsia="仿宋_GB2312"/>
              </w:rPr>
              <w:t>6、乙醇胺质量分数：≥7.3%；</w:t>
            </w:r>
          </w:p>
          <w:p>
            <w:pPr>
              <w:pStyle w:val="null3"/>
              <w:jc w:val="left"/>
            </w:pPr>
            <w:r>
              <w:rPr>
                <w:rFonts w:ascii="仿宋_GB2312" w:hAnsi="仿宋_GB2312" w:cs="仿宋_GB2312" w:eastAsia="仿宋_GB2312"/>
              </w:rPr>
              <w:t>7、悬浮率：≥70%；</w:t>
            </w:r>
          </w:p>
          <w:p>
            <w:pPr>
              <w:pStyle w:val="null3"/>
              <w:jc w:val="left"/>
            </w:pPr>
            <w:r>
              <w:rPr>
                <w:rFonts w:ascii="仿宋_GB2312" w:hAnsi="仿宋_GB2312" w:cs="仿宋_GB2312" w:eastAsia="仿宋_GB2312"/>
              </w:rPr>
              <w:t>8、湿筛（通过75μm孔径筛）：≥98%；</w:t>
            </w:r>
          </w:p>
          <w:p>
            <w:pPr>
              <w:pStyle w:val="null3"/>
              <w:jc w:val="left"/>
            </w:pPr>
            <w:r>
              <w:rPr>
                <w:rFonts w:ascii="仿宋_GB2312" w:hAnsi="仿宋_GB2312" w:cs="仿宋_GB2312" w:eastAsia="仿宋_GB2312"/>
              </w:rPr>
              <w:t>9、润湿时间：≤60</w:t>
            </w:r>
            <w:r>
              <w:rPr>
                <w:rFonts w:ascii="仿宋_GB2312" w:hAnsi="仿宋_GB2312" w:cs="仿宋_GB2312" w:eastAsia="仿宋_GB2312"/>
              </w:rPr>
              <w:t>s</w:t>
            </w:r>
            <w:r>
              <w:rPr>
                <w:rFonts w:ascii="仿宋_GB2312" w:hAnsi="仿宋_GB2312" w:cs="仿宋_GB2312" w:eastAsia="仿宋_GB2312"/>
              </w:rPr>
              <w:t>；</w:t>
            </w:r>
          </w:p>
          <w:p>
            <w:pPr>
              <w:pStyle w:val="null3"/>
              <w:jc w:val="left"/>
            </w:pPr>
            <w:r>
              <w:rPr>
                <w:rFonts w:ascii="仿宋_GB2312" w:hAnsi="仿宋_GB2312" w:cs="仿宋_GB2312" w:eastAsia="仿宋_GB2312"/>
              </w:rPr>
              <w:t>10、水份：≤3.0%；</w:t>
            </w:r>
          </w:p>
          <w:p>
            <w:pPr>
              <w:pStyle w:val="null3"/>
              <w:jc w:val="left"/>
            </w:pPr>
            <w:r>
              <w:rPr>
                <w:rFonts w:ascii="仿宋_GB2312" w:hAnsi="仿宋_GB2312" w:cs="仿宋_GB2312" w:eastAsia="仿宋_GB2312"/>
              </w:rPr>
              <w:t>11、pH值：7.0~10.0；</w:t>
            </w:r>
          </w:p>
          <w:p>
            <w:pPr>
              <w:pStyle w:val="null3"/>
              <w:jc w:val="left"/>
            </w:pPr>
            <w:r>
              <w:rPr>
                <w:rFonts w:ascii="仿宋_GB2312" w:hAnsi="仿宋_GB2312" w:cs="仿宋_GB2312" w:eastAsia="仿宋_GB2312"/>
                <w:sz w:val="21"/>
              </w:rPr>
              <w:t>12、持久起泡性（1min后）：≤60mL。</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jc w:val="left"/>
            </w:pPr>
            <w:r>
              <w:rPr>
                <w:rFonts w:ascii="仿宋_GB2312" w:hAnsi="仿宋_GB2312" w:cs="仿宋_GB2312" w:eastAsia="仿宋_GB2312"/>
              </w:rPr>
              <w:t>1、报价要求：报价包括但不限于产品、运输、售后、税金等履约完成本项目全部内容的价格，供应商应根据本项目的实际情况与自身现实情况，并充分考虑不确定性因素可能导致的风险自行填报。若因供应商原因造成的漏报、错报而导致本项目无法履行的，由供应商负责，采购人不会承担任何费用</w:t>
            </w:r>
          </w:p>
          <w:p>
            <w:pPr>
              <w:pStyle w:val="null3"/>
              <w:jc w:val="left"/>
            </w:pPr>
            <w:r>
              <w:rPr>
                <w:rFonts w:ascii="仿宋_GB2312" w:hAnsi="仿宋_GB2312" w:cs="仿宋_GB2312" w:eastAsia="仿宋_GB2312"/>
                <w:sz w:val="21"/>
              </w:rPr>
              <w:t>2、质保期：≥12个月。</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合同签订后15日内交货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1、合同签订后7个工作日内，达到付款条件起7日内，支付合同总金额的35.00%</w:t>
            </w:r>
          </w:p>
          <w:p>
            <w:pPr>
              <w:pStyle w:val="null3"/>
              <w:jc w:val="left"/>
            </w:pPr>
            <w:r>
              <w:rPr>
                <w:rFonts w:ascii="仿宋_GB2312" w:hAnsi="仿宋_GB2312" w:cs="仿宋_GB2312" w:eastAsia="仿宋_GB2312"/>
              </w:rPr>
              <w:t>2、项目完成、并验收合格，提供相关合法票据给采购人后，达到付款条件起7日内，支付合同总金额的65.00%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按照采购文件、响应文件、国家标准中最优的标准验收，政府采购相关法律法规以及《财政部关于进一步加强政府采购需求和履约验收管理的指导意见》（财库〔2016〕205号）的要求执行。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非因供应商原因导致采购人逾期支付货款的，供应商有权要求采购人以逾期未付款项为基数，按照1年期贷款市场报价利率（LPR）标准单利按天支付逾期付款损失。如非因供应商原因导致采购人逾期支付预付款超过90日的，供应商有权解除本合同，并要求采购人按照预付款总额的20%支付违约金。 2.如非因采购人原因导致供应商逾期完成检验，每逾期一日，采购人有权要求供应商以逾期对应的检验金额为基数，按照每日万分之五的标准支付违约金（注：如出现多种违约行为的，累计计算违约金）。如逾期超过10日的，采购人有权部分或全部终止合同。如采购人选择终止合同的，采购人有权要求供应商按照本合同约定的暂定合同总价的20%支付违约金。如前述违约金不足以弥补采购人损失的，供应商应当另行赔偿。 3．如供应商要求解除或终止合同，供应商应按合同总价款的20%向采购人支付违约金。 4.本合同履行期间，如供应商出现下列情形之一的，采购人有权提前终止本合同，并要求供应商按照本合同约定的暂定合同总价的20%支付违约金： （1）供应本合同项下采购项目所需的其中任一资格、资质被吊销或注销或失效的； （2）被工商行政管理机关在全国企业信用信息公示系统中列入严重违法失信企业名单； （3）被最高人民法院在“信用中国”网站（www.creditchina.gov.cn）或各级信用信息共享平台中列入失信被执行人名单； （4）被纳入政府采购严重违法失信行为记录名单； （5）被应急管理部列入安全生产领域失信行为开展联合惩戒企业名单。 5.合同履行期间，若双方发生争议，可协商或由有关部门调解解决，协商或调解不成的，任何一方均可向采购人住所地有管辖权的人民法院提起诉讼。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合同签订后15日内交货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1、合同签订后7个工作日内，达到付款条件起7日内，支付合同总金额的35.00%</w:t>
            </w:r>
          </w:p>
          <w:p>
            <w:pPr>
              <w:pStyle w:val="null3"/>
              <w:jc w:val="left"/>
            </w:pPr>
            <w:r>
              <w:rPr>
                <w:rFonts w:ascii="仿宋_GB2312" w:hAnsi="仿宋_GB2312" w:cs="仿宋_GB2312" w:eastAsia="仿宋_GB2312"/>
              </w:rPr>
              <w:t>2、项目完成、并验收合格，提供相关合法票据给采购人后，达到付款条件起7日内，支付合同总金额的65.00%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按照采购文件、响应文件、国家标准中最优的标准验收，政府采购相关法律法规以及《财政部关于进一步加强政府采购需求和履约验收管理的指导意见》（财库〔2016〕205号）的要求执行。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非因供应商原因导致采购人逾期支付货款的，供应商有权要求采购人以逾期未付款项为基数，按照1年期贷款市场报价利率（LPR）标准单利按天支付逾期付款损失。如非因供应商原因导致采购人逾期支付预付款超过90日的，供应商有权解除本合同，并要求采购人按照预付款总额的20%支付违约金。 2.如非因采购人原因导致供应商逾期完成检验，每逾期一日，采购人有权要求供应商以逾期对应的检验金额为基数，按照每日万分之五的标准支付违约金（注：如出现多种违约行为的，累计计算违约金）。如逾期超过10日的，采购人有权部分或全部终止合同。如采购人选择终止合同的，采购人有权要求供应商按照本合同约定的暂定合同总价的20%支付违约金。如前述违约金不足以弥补采购人损失的，供应商应当另行赔偿。 3．如供应商要求解除或终止合同，供应商应按合同总价款的20%向采购人支付违约金。 4.本合同履行期间，如供应商出现下列情形之一的，采购人有权提前终止本合同，并要求供应商按照本合同约定的暂定合同总价的20%支付违约金： （1）供应本合同项下采购项目所需的其中任一资格、资质被吊销或注销或失效的； （2）被工商行政管理机关在全国企业信用信息公示系统中列入严重违法失信企业名单； （3）被最高人民法院在“信用中国”网站（www.creditchina.gov.cn）或各级信用信息共享平台中列入失信被执行人名单； （4）被纳入政府采购严重违法失信行为记录名单； （5）被应急管理部列入安全生产领域失信行为开展联合惩戒企业名单。 5.合同履行期间，若双方发生争议，可协商或由有关部门调解解决，协商或调解不成的，任何一方均可向采购人住所地有管辖权的人民法院提起诉讼。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一、供应商应针对本项目结合采购服务需求制定的项目实施方案，方案内容包括：①服务流程；②配送方案；③人员安排；④应急解决方案；⑤质量保障措施 二、售后服务方案：①售后服务网点；②售后人员安排；③响应时间；④售后服务体系；⑤质量保证承诺 三、业绩：供应商提供自2023年1月1日（含） 以来类似业绩。四、关于本国产品标准政策执行及价格扣除详见附件《供应商认为需要提供的其他证明材料》。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一、供应商应针对本项目结合采购服务需求制定的项目实施方案，方案内容包括：①服务流程；②配送方案；③人员安排；④应急解决方案；⑤质量保障措施 二、售后服务方案：①售后服务网点；②售后人员安排；③响应时间；④售后服务体系；⑤质量保证承诺 三、业绩：供应商提供自2023年1月1日（含） 以来类似业绩。四、关于本国产品标准政策执行及价格扣除详见附件《供应商认为需要提供的其他证明材料》。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采购需求中的技术要求、服务要求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第七章</w:t>
      </w: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2.投标人根据自身情况选择提供以下任意一项： ①投标人若为企业法人：提供“统一社会信用代码营业执照”；未换证的提供“营业执照、税务登记证、组织机构代码证或三证合一的营业执照”；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 ③若为其他组织：提供“对应主管部门颁发的准许执业证明文件或营业执照”； ④若为自然人：提供“身份证明材料”；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2.投标人根据自身情况选择提供以下任意一项： ①提供2024年以来任意一年度经审计的财务报告复印件（包含审计报告和审计报告中所涉及的财务报表和报表附注）； ②也可提供2024年以来任意一年度投标人内部的财务报表复印件（至少包含资产负债表）； ③也可提供距文件递交截止日一年内银行出具的资信证明（复印件）； ④投标人注册时间至文件递交截止日不足一年的，可提供加盖电子签章的验资报告或递交响应文件截止日一年内开户行出具的资信证明，或在工商备案的公司章程（复印件）加盖投标人电子签章； ⑤投标人为个体工商户或自然人时，可提供承诺函。</w:t>
            </w:r>
          </w:p>
        </w:tc>
        <w:tc>
          <w:tcPr>
            <w:tcW w:type="dxa" w:w="1661"/>
          </w:tcPr>
          <w:p>
            <w:pPr>
              <w:pStyle w:val="null3"/>
              <w:jc w:val="left"/>
            </w:pPr>
            <w:r>
              <w:rPr>
                <w:rFonts w:ascii="仿宋_GB2312" w:hAnsi="仿宋_GB2312" w:cs="仿宋_GB2312" w:eastAsia="仿宋_GB2312"/>
              </w:rPr>
              <w:t>供应商认为需要提供的其他证明材料.docx,具有健全财务会计制度的证明材料,投标（响应）函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2.投标人根据自身情况选择提供以下任意一项： ①投标人若为企业法人：提供“统一社会信用代码营业执照”；未换证的提供“营业执照、税务登记证、组织机构代码证或三证合一的营业执照”；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 ③若为其他组织：提供“对应主管部门颁发的准许执业证明文件或营业执照”； ④若为自然人：提供“身份证明材料”；</w:t>
            </w:r>
          </w:p>
        </w:tc>
        <w:tc>
          <w:tcPr>
            <w:tcW w:type="dxa" w:w="1661"/>
          </w:tcPr>
          <w:p>
            <w:pPr>
              <w:pStyle w:val="null3"/>
              <w:jc w:val="left"/>
            </w:pPr>
            <w:r>
              <w:rPr>
                <w:rFonts w:ascii="仿宋_GB2312" w:hAnsi="仿宋_GB2312" w:cs="仿宋_GB2312" w:eastAsia="仿宋_GB2312"/>
              </w:rPr>
              <w:t>响应文件封面,供应商认为需要提供的其他证明材料.docx,投标（响应）函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2.投标人根据自身情况选择提供以下任意一项： ①提供2024年以来任意一年度经审计的财务报告复印件（包含审计报告和审计报告中所涉及的财务报表和报表附注）； ②也可提供2024年以来任意一年度投标人内部的财务报表复印件（至少包含资产负债表）； ③也可提供距文件递交截止日一年内银行出具的资信证明（复印件）； ④投标人注册时间至文件递交截止日不足一年的，可提供加盖电子签章的验资报告或递交响应文件截止日一年内开户行出具的资信证明，或在工商备案的公司章程（复印件）加盖投标人电子签章； ⑤投标人为个体工商户或自然人时，可提供承诺函。</w:t>
            </w:r>
          </w:p>
        </w:tc>
        <w:tc>
          <w:tcPr>
            <w:tcW w:type="dxa" w:w="1661"/>
          </w:tcPr>
          <w:p>
            <w:pPr>
              <w:pStyle w:val="null3"/>
              <w:jc w:val="left"/>
            </w:pPr>
            <w:r>
              <w:rPr>
                <w:rFonts w:ascii="仿宋_GB2312" w:hAnsi="仿宋_GB2312" w:cs="仿宋_GB2312" w:eastAsia="仿宋_GB2312"/>
              </w:rPr>
              <w:t>供应商认为需要提供的其他证明材料.docx,具有健全财务会计制度的证明材料,投标（响应）函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若供应商为生产厂家，须具备有效生产许可证；若供应商为经销商，须具备有效《农药经营许可证》，并提供所投产品生产厂家的农药生产批准证书或农药生产许可证</w:t>
            </w:r>
          </w:p>
        </w:tc>
        <w:tc>
          <w:tcPr>
            <w:tcW w:type="dxa" w:w="3322"/>
          </w:tcPr>
          <w:p>
            <w:pPr>
              <w:pStyle w:val="null3"/>
              <w:jc w:val="left"/>
            </w:pPr>
            <w:r>
              <w:rPr>
                <w:rFonts w:ascii="仿宋_GB2312" w:hAnsi="仿宋_GB2312" w:cs="仿宋_GB2312" w:eastAsia="仿宋_GB2312"/>
              </w:rPr>
              <w:t>若供应商为生产厂家，须具备有效生产许可证；若供应商为经销商，须具备有效《农药经营许可证》，并提供所投产品生产厂家的农药生产批准证书或农药生产许可证【提供证明材料复印件加盖电子签章】</w:t>
            </w:r>
          </w:p>
        </w:tc>
        <w:tc>
          <w:tcPr>
            <w:tcW w:type="dxa" w:w="1661"/>
          </w:tcPr>
          <w:p>
            <w:pPr>
              <w:pStyle w:val="null3"/>
              <w:jc w:val="left"/>
            </w:pPr>
            <w:r>
              <w:rPr>
                <w:rFonts w:ascii="仿宋_GB2312" w:hAnsi="仿宋_GB2312" w:cs="仿宋_GB2312" w:eastAsia="仿宋_GB2312"/>
              </w:rPr>
              <w:t>供应商认为需要提供的其他证明材料.docx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若供应商为生产厂家，须具备有效生产许可证；若供应商为经销商，须具备有效《农药经营许可证》，并提供所投产品生产厂家的农药生产批准证书或农药生产许可证</w:t>
            </w:r>
          </w:p>
        </w:tc>
        <w:tc>
          <w:tcPr>
            <w:tcW w:type="dxa" w:w="3322"/>
          </w:tcPr>
          <w:p>
            <w:pPr>
              <w:pStyle w:val="null3"/>
              <w:jc w:val="left"/>
            </w:pPr>
            <w:r>
              <w:rPr>
                <w:rFonts w:ascii="仿宋_GB2312" w:hAnsi="仿宋_GB2312" w:cs="仿宋_GB2312" w:eastAsia="仿宋_GB2312"/>
              </w:rPr>
              <w:t>若供应商为生产厂家，须具备有效生产许可证；若供应商为经销商，须具备有效《农药经营许可证》，并提供所投产品生产厂家的农药生产批准证书或农药生产许可证【提供证明材料复印件加盖电子签章】</w:t>
            </w:r>
          </w:p>
        </w:tc>
        <w:tc>
          <w:tcPr>
            <w:tcW w:type="dxa" w:w="1661"/>
          </w:tcPr>
          <w:p>
            <w:pPr>
              <w:pStyle w:val="null3"/>
              <w:jc w:val="left"/>
            </w:pPr>
            <w:r>
              <w:rPr>
                <w:rFonts w:ascii="仿宋_GB2312" w:hAnsi="仿宋_GB2312" w:cs="仿宋_GB2312" w:eastAsia="仿宋_GB2312"/>
              </w:rPr>
              <w:t>供应商认为需要提供的其他证明材料.docx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因系统固化原因，序号1无法编辑，本项目符合性审查以此处描述为准。1、采购文件中没有要求供应商需要提供承诺函或证明资料进行响应的实质性条款,供应商根据系统给定的格式文件“投标(响应)函、技术要求应答表、商务要求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供应商认为需要提供的其他证明材料.docx,产品技术参数响应表,服务应答表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因系统固化原因，序号1无法编辑，本项目符合性审查以此处描述为准。1、采购文件中没有要求供应商需要提供承诺函或证明资料进行响应的实质性条款,供应商根据系统给定的格式文件“投标(响应)函、技术要求应答表、商务要求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供应商认为需要提供的其他证明材料.docx,产品技术参数响应表,服务应答表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完全符合磋商文件第三章技术参数的要求没有负偏离得25分。 ①标注“▲”的技术参数负偏离或未响应扣7分； ②每有一项无标识的技术参数负偏离或未响应扣2分，本小项共18分，扣完为止。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根据供应商提供的实施方案进行评审，包含①服务流程；②配送方案；③人员安排；④应急解决方案；⑤质量保障措施。完全满足要求得30分，每缺一项扣6分，每有一项内容存在缺陷扣3分，扣完为止。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投标人本项目管理、技术、服务人员情况表.docx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评审，包含①售后服务网点；②售后人员安排；③响应时间；④售后服务体系；⑤质量保证承诺，完全满足要求得10分，每缺一项扣2分，每有一项内容存在缺陷扣1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投标人本项目管理、技术、服务人员情况表.docx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供应商自2023年1月1日以来每具有一个类似项目业绩的得2.5分，最多得5分。 注：提供销售合同或中标（成交）通知书复印件加盖供应商电子签章。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完全符合磋商文件第三章技术参数的要求没有负偏离得28分。 ①标注“▲”的技术参数负偏离或未响应扣8分； ②每有一项无标识的技术参数负偏离或未响应扣2分，本小项共20分。</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根据供应商提供的实施方案进行评审，包含①服务流程；②配送方案；③人员安排；④应急解决方案；⑤质量保障措施。完全满足要求得25分，每缺一项扣5分，每有一项内容存在缺陷扣2.5分，扣完为止。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投标人本项目管理、技术、服务人员情况表.docx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评审，包含①售后服务网点；②售后人员安排；③响应时间；④售后服务体系；⑤质量保证承诺，完全满足要求得10分，每缺一项扣2分，每有一项内容存在缺陷扣1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投标人本项目管理、技术、服务人员情况表.docx</w:t>
            </w:r>
          </w:p>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供应商自2023年1月1日以来每具有一个类似项目业绩的得3.5分，最多得7分。注：提供销售合同或中标（成交）通知书复印件加盖供应商电子签章。</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详见附件：投标人本项目管理、技术、服务人员情况表.docx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详见附件：供应商认为需要提供的其他证明材料.docx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详见附件：投标人本项目管理、技术、服务人员情况表.docx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