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070D11">
      <w:pPr>
        <w:pStyle w:val="8"/>
        <w:jc w:val="center"/>
        <w:outlineLvl w:val="1"/>
      </w:pPr>
      <w:r>
        <w:rPr>
          <w:rFonts w:ascii="仿宋_GB2312" w:hAnsi="仿宋_GB2312" w:eastAsia="仿宋_GB2312" w:cs="仿宋_GB2312"/>
          <w:b/>
          <w:sz w:val="36"/>
        </w:rPr>
        <w:t>第七章 拟签订采购合同文本</w:t>
      </w:r>
    </w:p>
    <w:p w14:paraId="4C1D905F">
      <w:pPr>
        <w:pStyle w:val="8"/>
        <w:jc w:val="center"/>
        <w:outlineLvl w:val="0"/>
      </w:pPr>
      <w:r>
        <w:rPr>
          <w:rFonts w:ascii="仿宋_GB2312" w:hAnsi="仿宋_GB2312" w:eastAsia="仿宋_GB2312" w:cs="仿宋_GB2312"/>
          <w:b/>
          <w:sz w:val="48"/>
        </w:rPr>
        <w:t>政府采购合同</w:t>
      </w:r>
    </w:p>
    <w:p w14:paraId="0E97D7CD">
      <w:pPr>
        <w:pStyle w:val="8"/>
        <w:jc w:val="center"/>
        <w:outlineLvl w:val="0"/>
      </w:pPr>
      <w:r>
        <w:rPr>
          <w:rFonts w:ascii="仿宋_GB2312" w:hAnsi="仿宋_GB2312" w:eastAsia="仿宋_GB2312" w:cs="仿宋_GB2312"/>
          <w:b/>
          <w:sz w:val="48"/>
        </w:rPr>
        <w:t xml:space="preserve"> （服务类）</w:t>
      </w:r>
      <w:r>
        <w:br w:type="textWrapping"/>
      </w:r>
      <w:r>
        <w:br w:type="textWrapping"/>
      </w:r>
      <w:r>
        <w:br w:type="textWrapping"/>
      </w:r>
      <w:r>
        <w:br w:type="textWrapping"/>
      </w:r>
      <w:r>
        <w:br w:type="textWrapping"/>
      </w:r>
    </w:p>
    <w:p w14:paraId="5ACC2B84">
      <w:pPr>
        <w:pStyle w:val="8"/>
        <w:jc w:val="left"/>
      </w:pPr>
      <w:r>
        <w:rPr>
          <w:rFonts w:ascii="仿宋_GB2312" w:hAnsi="仿宋_GB2312" w:eastAsia="仿宋_GB2312" w:cs="仿宋_GB2312"/>
          <w:b/>
          <w:sz w:val="27"/>
        </w:rPr>
        <w:t>政府采购合同编号：__________________</w:t>
      </w:r>
    </w:p>
    <w:p w14:paraId="6AAC7F1F">
      <w:pPr>
        <w:pStyle w:val="8"/>
        <w:jc w:val="left"/>
      </w:pPr>
      <w:r>
        <w:rPr>
          <w:rFonts w:ascii="仿宋_GB2312" w:hAnsi="仿宋_GB2312" w:eastAsia="仿宋_GB2312" w:cs="仿宋_GB2312"/>
          <w:b/>
          <w:sz w:val="27"/>
        </w:rPr>
        <w:t xml:space="preserve"> 履约地点：</w:t>
      </w:r>
      <w:r>
        <w:rPr>
          <w:rFonts w:hint="eastAsia" w:ascii="仿宋_GB2312" w:hAnsi="仿宋_GB2312" w:eastAsia="仿宋_GB2312" w:cs="仿宋_GB2312"/>
          <w:b/>
          <w:sz w:val="27"/>
          <w:u w:val="single"/>
          <w:lang w:val="en-US" w:eastAsia="zh-CN"/>
        </w:rPr>
        <w:t>白玉县</w:t>
      </w:r>
    </w:p>
    <w:p w14:paraId="50AD28FF">
      <w:pPr>
        <w:pStyle w:val="8"/>
        <w:jc w:val="left"/>
        <w:rPr>
          <w:rFonts w:hint="eastAsia" w:eastAsia="仿宋_GB2312"/>
          <w:lang w:val="en-US" w:eastAsia="zh-CN"/>
        </w:rPr>
      </w:pPr>
      <w:r>
        <w:rPr>
          <w:rFonts w:ascii="仿宋_GB2312" w:hAnsi="仿宋_GB2312" w:eastAsia="仿宋_GB2312" w:cs="仿宋_GB2312"/>
          <w:b/>
          <w:sz w:val="27"/>
        </w:rPr>
        <w:t xml:space="preserve"> 签订地点：</w:t>
      </w:r>
      <w:r>
        <w:rPr>
          <w:rFonts w:hint="eastAsia" w:ascii="仿宋_GB2312" w:hAnsi="仿宋_GB2312" w:eastAsia="仿宋_GB2312" w:cs="仿宋_GB2312"/>
          <w:b/>
          <w:sz w:val="27"/>
          <w:u w:val="single"/>
          <w:lang w:val="en-US" w:eastAsia="zh-CN"/>
        </w:rPr>
        <w:t>白玉县</w:t>
      </w:r>
    </w:p>
    <w:p w14:paraId="73F9FBAE">
      <w:pPr>
        <w:pStyle w:val="8"/>
        <w:jc w:val="left"/>
      </w:pPr>
      <w:r>
        <w:rPr>
          <w:rFonts w:ascii="仿宋_GB2312" w:hAnsi="仿宋_GB2312" w:eastAsia="仿宋_GB2312" w:cs="仿宋_GB2312"/>
          <w:b/>
          <w:sz w:val="27"/>
        </w:rPr>
        <w:t xml:space="preserve"> 签订时间：</w:t>
      </w:r>
      <w:r>
        <w:rPr>
          <w:rFonts w:ascii="仿宋_GB2312" w:hAnsi="仿宋_GB2312" w:eastAsia="仿宋_GB2312" w:cs="仿宋_GB2312"/>
          <w:b/>
          <w:sz w:val="27"/>
          <w:u w:val="single"/>
        </w:rPr>
        <w:t>20</w:t>
      </w:r>
      <w:r>
        <w:rPr>
          <w:rFonts w:hint="eastAsia" w:ascii="仿宋_GB2312" w:hAnsi="仿宋_GB2312" w:eastAsia="仿宋_GB2312" w:cs="仿宋_GB2312"/>
          <w:b/>
          <w:sz w:val="27"/>
          <w:u w:val="single"/>
          <w:lang w:val="en-US" w:eastAsia="zh-CN"/>
        </w:rPr>
        <w:t>26</w:t>
      </w:r>
      <w:r>
        <w:rPr>
          <w:rFonts w:ascii="仿宋_GB2312" w:hAnsi="仿宋_GB2312" w:eastAsia="仿宋_GB2312" w:cs="仿宋_GB2312"/>
          <w:b/>
          <w:sz w:val="27"/>
        </w:rPr>
        <w:t>年___月___日</w:t>
      </w:r>
    </w:p>
    <w:p w14:paraId="091C18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left"/>
      </w:pPr>
      <w:r>
        <w:rPr>
          <w:rFonts w:ascii="仿宋_GB2312" w:hAnsi="仿宋_GB2312" w:eastAsia="仿宋_GB2312" w:cs="仿宋_GB2312"/>
          <w:b/>
          <w:sz w:val="27"/>
        </w:rPr>
        <w:t xml:space="preserve"> 采购人（甲方）：</w:t>
      </w:r>
      <w:r>
        <w:rPr>
          <w:rFonts w:hint="eastAsia" w:ascii="仿宋_GB2312" w:hAnsi="仿宋_GB2312" w:eastAsia="仿宋_GB2312" w:cs="仿宋_GB2312"/>
          <w:b/>
          <w:bCs w:val="0"/>
          <w:kern w:val="0"/>
          <w:sz w:val="27"/>
          <w:szCs w:val="20"/>
          <w:u w:val="single"/>
          <w:lang w:val="en-US" w:eastAsia="zh-Hans"/>
        </w:rPr>
        <w:t>白玉县文化广播电视和旅游局</w:t>
      </w:r>
    </w:p>
    <w:p w14:paraId="500D3A3C">
      <w:pPr>
        <w:keepNext w:val="0"/>
        <w:keepLines w:val="0"/>
        <w:widowControl/>
        <w:suppressLineNumbers w:val="0"/>
        <w:jc w:val="left"/>
      </w:pPr>
      <w:r>
        <w:rPr>
          <w:rFonts w:ascii="仿宋_GB2312" w:hAnsi="仿宋_GB2312" w:eastAsia="仿宋_GB2312" w:cs="仿宋_GB2312"/>
          <w:b/>
          <w:sz w:val="27"/>
        </w:rPr>
        <w:t xml:space="preserve"> 采购人地址：</w:t>
      </w:r>
      <w:r>
        <w:rPr>
          <w:rFonts w:hint="eastAsia" w:ascii="仿宋_GB2312" w:hAnsi="仿宋_GB2312" w:eastAsia="仿宋_GB2312" w:cs="仿宋_GB2312"/>
          <w:b/>
          <w:bCs w:val="0"/>
          <w:kern w:val="0"/>
          <w:sz w:val="27"/>
          <w:szCs w:val="20"/>
          <w:u w:val="single"/>
          <w:lang w:val="en-US" w:eastAsia="zh-CN" w:bidi="ar"/>
        </w:rPr>
        <w:t>白玉县建设镇托贡罗布步行街文化中心</w:t>
      </w:r>
      <w:r>
        <w:rPr>
          <w:rFonts w:ascii="宋体" w:hAnsi="宋体" w:eastAsia="宋体" w:cs="宋体"/>
          <w:kern w:val="0"/>
          <w:sz w:val="24"/>
          <w:szCs w:val="24"/>
          <w:lang w:val="en-US" w:eastAsia="zh-CN" w:bidi="ar"/>
        </w:rPr>
        <w:t xml:space="preserve"> </w:t>
      </w:r>
    </w:p>
    <w:p w14:paraId="58532A4C">
      <w:pPr>
        <w:pStyle w:val="8"/>
        <w:jc w:val="left"/>
      </w:pPr>
      <w:r>
        <w:rPr>
          <w:rFonts w:ascii="仿宋_GB2312" w:hAnsi="仿宋_GB2312" w:eastAsia="仿宋_GB2312" w:cs="仿宋_GB2312"/>
          <w:b/>
          <w:sz w:val="27"/>
        </w:rPr>
        <w:t xml:space="preserve"> 供应商(乙方)：__________________</w:t>
      </w:r>
    </w:p>
    <w:p w14:paraId="5FCB6B35">
      <w:pPr>
        <w:pStyle w:val="8"/>
        <w:jc w:val="left"/>
      </w:pPr>
      <w:r>
        <w:rPr>
          <w:rFonts w:ascii="仿宋_GB2312" w:hAnsi="仿宋_GB2312" w:eastAsia="仿宋_GB2312" w:cs="仿宋_GB2312"/>
          <w:b/>
          <w:sz w:val="27"/>
        </w:rPr>
        <w:t xml:space="preserve"> 供应商地址：__________________</w:t>
      </w:r>
    </w:p>
    <w:p w14:paraId="1D284E0D">
      <w:pPr>
        <w:pStyle w:val="8"/>
        <w:jc w:val="left"/>
      </w:pPr>
      <w:r>
        <w:rPr>
          <w:rFonts w:ascii="仿宋_GB2312" w:hAnsi="仿宋_GB2312" w:eastAsia="仿宋_GB2312" w:cs="仿宋_GB2312"/>
        </w:rPr>
        <w:t xml:space="preserve"> </w:t>
      </w:r>
    </w:p>
    <w:p w14:paraId="5C20B114">
      <w:pPr>
        <w:keepNext w:val="0"/>
        <w:keepLines w:val="0"/>
        <w:widowControl/>
        <w:suppressLineNumbers w:val="0"/>
        <w:jc w:val="left"/>
      </w:pPr>
      <w:r>
        <w:rPr>
          <w:rFonts w:ascii="仿宋_GB2312" w:hAnsi="仿宋_GB2312" w:eastAsia="仿宋_GB2312" w:cs="仿宋_GB2312"/>
        </w:rPr>
        <w:t xml:space="preserve"> 依据《中华人民共和国民法典》 《中华人民共和国政府采购法》与项目行业有关的法律法规，以及</w:t>
      </w:r>
      <w:r>
        <w:rPr>
          <w:rFonts w:hint="eastAsia" w:ascii="仿宋_GB2312" w:hAnsi="仿宋_GB2312" w:eastAsia="仿宋_GB2312" w:cs="仿宋_GB2312"/>
          <w:u w:val="single"/>
          <w:lang w:val="en-US" w:eastAsia="zh-CN"/>
        </w:rPr>
        <w:t>白玉县广播电视运行维护服务采购项目</w:t>
      </w:r>
      <w:r>
        <w:rPr>
          <w:rFonts w:ascii="仿宋_GB2312" w:hAnsi="仿宋_GB2312" w:eastAsia="仿宋_GB2312" w:cs="仿宋_GB2312"/>
        </w:rPr>
        <w:t>的 《磋商文件》，乙方的《投标（响应）文件》及《中标（成交）通知书》，甲乙双方同意签订本合同。具体情况及要求如下：</w:t>
      </w:r>
    </w:p>
    <w:p w14:paraId="2001BAE7">
      <w:pPr>
        <w:pStyle w:val="8"/>
        <w:jc w:val="left"/>
        <w:outlineLvl w:val="2"/>
      </w:pPr>
      <w:r>
        <w:rPr>
          <w:rFonts w:ascii="仿宋_GB2312" w:hAnsi="仿宋_GB2312" w:eastAsia="仿宋_GB2312" w:cs="仿宋_GB2312"/>
          <w:b/>
          <w:sz w:val="28"/>
        </w:rPr>
        <w:t xml:space="preserve"> 一、标的信息</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4FD07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3A851FC2">
            <w:pPr>
              <w:pStyle w:val="8"/>
              <w:widowControl w:val="0"/>
              <w:jc w:val="center"/>
              <w:rPr>
                <w:rFonts w:hint="eastAsia" w:eastAsiaTheme="minorEastAsia"/>
                <w:vertAlign w:val="baseline"/>
                <w:lang w:val="en-US" w:eastAsia="zh-CN"/>
              </w:rPr>
            </w:pPr>
            <w:r>
              <w:rPr>
                <w:rFonts w:hint="eastAsia"/>
                <w:vertAlign w:val="baseline"/>
                <w:lang w:val="en-US" w:eastAsia="zh-CN"/>
              </w:rPr>
              <w:t>序号</w:t>
            </w:r>
          </w:p>
        </w:tc>
        <w:tc>
          <w:tcPr>
            <w:tcW w:w="2841" w:type="dxa"/>
          </w:tcPr>
          <w:p w14:paraId="71E52A77">
            <w:pPr>
              <w:pStyle w:val="8"/>
              <w:widowControl w:val="0"/>
              <w:jc w:val="center"/>
              <w:rPr>
                <w:rFonts w:hint="eastAsia" w:eastAsiaTheme="minorEastAsia"/>
                <w:vertAlign w:val="baseline"/>
                <w:lang w:val="en-US" w:eastAsia="zh-CN"/>
              </w:rPr>
            </w:pPr>
            <w:r>
              <w:rPr>
                <w:rFonts w:hint="eastAsia"/>
                <w:vertAlign w:val="baseline"/>
                <w:lang w:val="en-US" w:eastAsia="zh-CN"/>
              </w:rPr>
              <w:t>名称</w:t>
            </w:r>
          </w:p>
        </w:tc>
        <w:tc>
          <w:tcPr>
            <w:tcW w:w="2841" w:type="dxa"/>
          </w:tcPr>
          <w:p w14:paraId="150A1040">
            <w:pPr>
              <w:pStyle w:val="8"/>
              <w:widowControl w:val="0"/>
              <w:jc w:val="center"/>
              <w:rPr>
                <w:rFonts w:hint="default" w:eastAsiaTheme="minorEastAsia"/>
                <w:vertAlign w:val="baseline"/>
                <w:lang w:val="en-US" w:eastAsia="zh-CN"/>
              </w:rPr>
            </w:pPr>
            <w:r>
              <w:rPr>
                <w:rFonts w:hint="eastAsia"/>
                <w:vertAlign w:val="baseline"/>
                <w:lang w:val="en-US" w:eastAsia="zh-CN"/>
              </w:rPr>
              <w:t>服务期限</w:t>
            </w:r>
          </w:p>
        </w:tc>
      </w:tr>
      <w:tr w14:paraId="5E954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840" w:type="dxa"/>
          </w:tcPr>
          <w:p w14:paraId="545B590D">
            <w:pPr>
              <w:pStyle w:val="8"/>
              <w:widowControl w:val="0"/>
              <w:jc w:val="center"/>
              <w:rPr>
                <w:rFonts w:hint="eastAsia" w:eastAsiaTheme="minorEastAsia"/>
                <w:vertAlign w:val="baseline"/>
                <w:lang w:val="en-US" w:eastAsia="zh-CN"/>
              </w:rPr>
            </w:pPr>
            <w:r>
              <w:rPr>
                <w:rFonts w:hint="eastAsia"/>
                <w:vertAlign w:val="baseline"/>
                <w:lang w:val="en-US" w:eastAsia="zh-CN"/>
              </w:rPr>
              <w:t>1</w:t>
            </w:r>
          </w:p>
        </w:tc>
        <w:tc>
          <w:tcPr>
            <w:tcW w:w="2841" w:type="dxa"/>
          </w:tcPr>
          <w:p w14:paraId="66A5C81A">
            <w:pPr>
              <w:pStyle w:val="8"/>
              <w:widowControl w:val="0"/>
              <w:jc w:val="center"/>
              <w:rPr>
                <w:u w:val="none"/>
                <w:vertAlign w:val="baseline"/>
              </w:rPr>
            </w:pPr>
            <w:r>
              <w:rPr>
                <w:rFonts w:hint="eastAsia" w:ascii="仿宋_GB2312" w:hAnsi="仿宋_GB2312" w:eastAsia="仿宋_GB2312" w:cs="仿宋_GB2312"/>
                <w:u w:val="none"/>
                <w:lang w:val="en-US" w:eastAsia="zh-CN"/>
              </w:rPr>
              <w:t>白玉县广播电视运行维护服务采购项目</w:t>
            </w:r>
          </w:p>
        </w:tc>
        <w:tc>
          <w:tcPr>
            <w:tcW w:w="2841" w:type="dxa"/>
          </w:tcPr>
          <w:p w14:paraId="551783DD">
            <w:pPr>
              <w:pStyle w:val="8"/>
              <w:widowControl w:val="0"/>
              <w:jc w:val="center"/>
              <w:rPr>
                <w:u w:val="none"/>
                <w:vertAlign w:val="baseline"/>
              </w:rPr>
            </w:pPr>
            <w:r>
              <w:rPr>
                <w:rFonts w:hint="eastAsia" w:ascii="仿宋_GB2312" w:hAnsi="仿宋_GB2312" w:eastAsia="仿宋_GB2312" w:cs="仿宋_GB2312"/>
                <w:kern w:val="2"/>
                <w:sz w:val="21"/>
                <w:szCs w:val="24"/>
                <w:u w:val="none"/>
                <w:lang w:val="en-US" w:eastAsia="zh-CN" w:bidi="ar-SA"/>
              </w:rPr>
              <w:t>1年（签订合同时间为服务起始时间）</w:t>
            </w:r>
          </w:p>
        </w:tc>
      </w:tr>
      <w:tr w14:paraId="326A6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22" w:type="dxa"/>
            <w:gridSpan w:val="3"/>
          </w:tcPr>
          <w:p w14:paraId="60A935DD">
            <w:pPr>
              <w:pStyle w:val="8"/>
              <w:widowControl w:val="0"/>
              <w:jc w:val="left"/>
              <w:rPr>
                <w:rFonts w:hint="default" w:ascii="仿宋_GB2312" w:hAnsi="仿宋_GB2312" w:eastAsia="仿宋_GB2312" w:cs="仿宋_GB2312"/>
                <w:kern w:val="2"/>
                <w:sz w:val="21"/>
                <w:szCs w:val="24"/>
                <w:u w:val="none"/>
                <w:lang w:val="en-US" w:eastAsia="zh-CN" w:bidi="ar-SA"/>
              </w:rPr>
            </w:pPr>
            <w:r>
              <w:rPr>
                <w:rFonts w:hint="eastAsia" w:ascii="仿宋_GB2312" w:hAnsi="仿宋_GB2312" w:eastAsia="仿宋_GB2312" w:cs="仿宋_GB2312"/>
                <w:kern w:val="2"/>
                <w:sz w:val="21"/>
                <w:szCs w:val="24"/>
                <w:u w:val="none"/>
                <w:lang w:val="en-US" w:eastAsia="zh-CN" w:bidi="ar-SA"/>
              </w:rPr>
              <w:t xml:space="preserve">金额:￥    元 ， 大写:人民币     </w:t>
            </w:r>
          </w:p>
        </w:tc>
      </w:tr>
    </w:tbl>
    <w:p w14:paraId="3247F8E1">
      <w:pPr>
        <w:pStyle w:val="8"/>
        <w:jc w:val="left"/>
      </w:pPr>
    </w:p>
    <w:p w14:paraId="7698B40B">
      <w:pPr>
        <w:pStyle w:val="8"/>
        <w:numPr>
          <w:ilvl w:val="0"/>
          <w:numId w:val="1"/>
        </w:numPr>
        <w:ind w:left="140" w:leftChars="0" w:firstLine="0" w:firstLineChars="0"/>
        <w:jc w:val="left"/>
        <w:outlineLvl w:val="2"/>
        <w:rPr>
          <w:rFonts w:ascii="仿宋_GB2312" w:hAnsi="仿宋_GB2312" w:eastAsia="仿宋_GB2312" w:cs="仿宋_GB2312"/>
          <w:b/>
          <w:sz w:val="28"/>
        </w:rPr>
      </w:pPr>
      <w:r>
        <w:rPr>
          <w:rFonts w:ascii="仿宋_GB2312" w:hAnsi="仿宋_GB2312" w:eastAsia="仿宋_GB2312" w:cs="仿宋_GB2312"/>
          <w:b/>
          <w:sz w:val="28"/>
        </w:rPr>
        <w:t>服务要求</w:t>
      </w:r>
    </w:p>
    <w:p w14:paraId="4114ED59">
      <w:pPr>
        <w:pStyle w:val="9"/>
        <w:spacing w:before="109" w:line="240" w:lineRule="auto"/>
        <w:ind w:firstLine="422" w:firstLineChars="200"/>
        <w:rPr>
          <w:rFonts w:hint="eastAsia" w:eastAsia="宋体"/>
          <w:sz w:val="21"/>
          <w:szCs w:val="21"/>
          <w:highlight w:val="none"/>
          <w:lang w:eastAsia="zh-CN"/>
        </w:rPr>
      </w:pPr>
      <w:r>
        <w:rPr>
          <w:rFonts w:hint="eastAsia" w:ascii="仿宋_GB2312" w:hAnsi="仿宋_GB2312" w:eastAsia="仿宋_GB2312" w:cs="仿宋_GB2312"/>
          <w:b/>
          <w:sz w:val="21"/>
          <w:szCs w:val="21"/>
          <w:lang w:val="en-US" w:eastAsia="zh-CN"/>
        </w:rPr>
        <w:t>1.</w:t>
      </w:r>
      <w:r>
        <w:rPr>
          <w:rFonts w:hint="eastAsia" w:ascii="仿宋_GB2312" w:hAnsi="仿宋_GB2312" w:eastAsia="仿宋_GB2312" w:cs="仿宋_GB2312"/>
          <w:kern w:val="2"/>
          <w:sz w:val="21"/>
          <w:szCs w:val="21"/>
          <w:highlight w:val="none"/>
          <w:lang w:val="en-US" w:eastAsia="zh-CN" w:bidi="ar-SA"/>
        </w:rPr>
        <w:t>由乙方在白玉县本地组建一支不少于3人的运行维护队伍，覆盖白玉县16个乡镇，维护人员需常驻白玉县本地，负责完成全县临时性及常态化的村村响、户户通、寺庙通安装维护工作，以及县域内有线电视的运行维护工作。</w:t>
      </w:r>
    </w:p>
    <w:p w14:paraId="18FA5F85">
      <w:pPr>
        <w:pStyle w:val="9"/>
        <w:spacing w:before="109" w:line="240" w:lineRule="auto"/>
        <w:ind w:firstLine="420" w:firstLineChars="200"/>
        <w:rPr>
          <w:rFonts w:hint="eastAsia" w:eastAsia="宋体"/>
          <w:sz w:val="21"/>
          <w:szCs w:val="21"/>
          <w:lang w:eastAsia="zh-CN"/>
        </w:rPr>
      </w:pPr>
      <w:r>
        <w:rPr>
          <w:rFonts w:hint="eastAsia" w:ascii="仿宋_GB2312" w:hAnsi="仿宋_GB2312" w:eastAsia="仿宋_GB2312" w:cs="仿宋_GB2312"/>
          <w:kern w:val="2"/>
          <w:sz w:val="21"/>
          <w:szCs w:val="21"/>
          <w:highlight w:val="none"/>
          <w:lang w:val="en-US" w:eastAsia="zh-CN" w:bidi="ar-SA"/>
        </w:rPr>
        <w:t>2. 乙方全年至少完成2次针对全县16个乡镇130个村的县级广播平台、应急广播、村村响终端、户户通设备的排查与维修维护工作。</w:t>
      </w:r>
    </w:p>
    <w:p w14:paraId="41633C82">
      <w:pPr>
        <w:numPr>
          <w:ilvl w:val="0"/>
          <w:numId w:val="0"/>
        </w:numPr>
        <w:wordWrap w:val="0"/>
        <w:topLinePunct/>
        <w:adjustRightInd w:val="0"/>
        <w:snapToGrid w:val="0"/>
        <w:spacing w:line="360" w:lineRule="auto"/>
        <w:ind w:firstLine="420" w:firstLineChars="200"/>
        <w:jc w:val="left"/>
        <w:outlineLvl w:val="2"/>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3.乙方全年完成 1次培训任务,对我县乡镇、村广播电视管理人员开展边维护、边</w:t>
      </w:r>
      <w:r>
        <w:rPr>
          <w:rFonts w:hint="eastAsia" w:hAnsi="仿宋_GB2312" w:cs="仿宋_GB2312"/>
          <w:kern w:val="2"/>
          <w:sz w:val="21"/>
          <w:szCs w:val="21"/>
          <w:highlight w:val="none"/>
          <w:lang w:val="en-US" w:eastAsia="zh-CN" w:bidi="ar-SA"/>
        </w:rPr>
        <w:t>培</w:t>
      </w:r>
      <w:r>
        <w:rPr>
          <w:rFonts w:hint="eastAsia" w:ascii="仿宋_GB2312" w:hAnsi="仿宋_GB2312" w:eastAsia="仿宋_GB2312" w:cs="仿宋_GB2312"/>
          <w:kern w:val="2"/>
          <w:sz w:val="21"/>
          <w:szCs w:val="21"/>
          <w:highlight w:val="none"/>
          <w:lang w:val="en-US" w:eastAsia="zh-CN" w:bidi="ar-SA"/>
        </w:rPr>
        <w:t>训工作，提升维护人员技能</w:t>
      </w:r>
      <w:r>
        <w:rPr>
          <w:rFonts w:hint="eastAsia" w:hAnsi="仿宋_GB2312" w:cs="仿宋_GB2312"/>
          <w:kern w:val="2"/>
          <w:sz w:val="21"/>
          <w:szCs w:val="21"/>
          <w:highlight w:val="none"/>
          <w:lang w:val="en-US" w:eastAsia="zh-CN" w:bidi="ar-SA"/>
        </w:rPr>
        <w:t>，</w:t>
      </w:r>
      <w:r>
        <w:rPr>
          <w:rFonts w:hint="eastAsia" w:ascii="仿宋_GB2312" w:hAnsi="仿宋_GB2312" w:eastAsia="仿宋_GB2312" w:cs="仿宋_GB2312"/>
          <w:kern w:val="2"/>
          <w:sz w:val="21"/>
          <w:szCs w:val="21"/>
          <w:highlight w:val="none"/>
          <w:lang w:val="en-US" w:eastAsia="zh-CN" w:bidi="ar-SA"/>
        </w:rPr>
        <w:t>满足我县应急广播体系、村村响、户户通的设备正常运行提供全方位的技术支撑。</w:t>
      </w:r>
    </w:p>
    <w:p w14:paraId="7026F7E5">
      <w:pPr>
        <w:numPr>
          <w:ilvl w:val="0"/>
          <w:numId w:val="0"/>
        </w:numPr>
        <w:wordWrap w:val="0"/>
        <w:topLinePunct/>
        <w:adjustRightInd w:val="0"/>
        <w:snapToGrid w:val="0"/>
        <w:spacing w:line="360" w:lineRule="auto"/>
        <w:ind w:firstLine="420" w:firstLineChars="200"/>
        <w:jc w:val="left"/>
        <w:outlineLvl w:val="2"/>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4.乙方完成全县无线发射台站的设备拆除、搬运与标注。</w:t>
      </w:r>
    </w:p>
    <w:p w14:paraId="0E643337">
      <w:pPr>
        <w:numPr>
          <w:ilvl w:val="0"/>
          <w:numId w:val="0"/>
        </w:numPr>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kern w:val="2"/>
          <w:sz w:val="21"/>
          <w:szCs w:val="21"/>
          <w:highlight w:val="none"/>
          <w:lang w:val="en-US" w:eastAsia="zh-CN" w:bidi="ar-SA"/>
        </w:rPr>
        <w:t>5.乙方应当</w:t>
      </w:r>
      <w:r>
        <w:rPr>
          <w:rFonts w:hint="eastAsia" w:ascii="仿宋_GB2312" w:hAnsi="仿宋_GB2312" w:eastAsia="仿宋_GB2312" w:cs="仿宋_GB2312"/>
          <w:sz w:val="21"/>
          <w:szCs w:val="21"/>
          <w:highlight w:val="none"/>
        </w:rPr>
        <w:t>在当地</w:t>
      </w:r>
      <w:r>
        <w:rPr>
          <w:rFonts w:hint="eastAsia" w:ascii="仿宋_GB2312" w:hAnsi="仿宋_GB2312" w:eastAsia="仿宋_GB2312" w:cs="仿宋_GB2312"/>
          <w:sz w:val="21"/>
          <w:szCs w:val="21"/>
          <w:highlight w:val="none"/>
          <w:lang w:val="en-US" w:eastAsia="zh-CN"/>
        </w:rPr>
        <w:t>设置</w:t>
      </w:r>
      <w:r>
        <w:rPr>
          <w:rFonts w:hint="eastAsia" w:ascii="仿宋_GB2312" w:hAnsi="仿宋_GB2312" w:eastAsia="仿宋_GB2312" w:cs="仿宋_GB2312"/>
          <w:sz w:val="21"/>
          <w:szCs w:val="21"/>
          <w:highlight w:val="none"/>
        </w:rPr>
        <w:t>固定的办公场所，根据县域面积及服务群众数量配备专职人员，有相应的管理制度、操作流程，具备服务网点及进行用户端上门安装调试及操作培训并且经过专业技术培训和政治思想教育培训的专业技术服务人员或团队。</w:t>
      </w:r>
    </w:p>
    <w:p w14:paraId="6CD648AE">
      <w:pPr>
        <w:numPr>
          <w:ilvl w:val="0"/>
          <w:numId w:val="0"/>
        </w:numPr>
        <w:wordWrap w:val="0"/>
        <w:topLinePunct/>
        <w:adjustRightInd w:val="0"/>
        <w:snapToGrid w:val="0"/>
        <w:spacing w:line="360" w:lineRule="auto"/>
        <w:ind w:firstLine="420" w:firstLineChars="200"/>
        <w:jc w:val="left"/>
        <w:outlineLvl w:val="2"/>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6.乙方服务电话必须24小时开通及有专职客户服务人员接听、工单派发、跟踪、服务质量回访。</w:t>
      </w:r>
    </w:p>
    <w:p w14:paraId="54BE74F7">
      <w:pPr>
        <w:numPr>
          <w:ilvl w:val="0"/>
          <w:numId w:val="0"/>
        </w:numPr>
        <w:wordWrap w:val="0"/>
        <w:topLinePunct/>
        <w:adjustRightInd w:val="0"/>
        <w:snapToGrid w:val="0"/>
        <w:spacing w:line="360" w:lineRule="auto"/>
        <w:ind w:firstLine="420" w:firstLineChars="200"/>
        <w:jc w:val="left"/>
        <w:outlineLvl w:val="2"/>
        <w:rPr>
          <w:rFonts w:hint="eastAsia" w:ascii="仿宋_GB2312" w:hAnsi="仿宋_GB2312" w:eastAsia="仿宋_GB2312" w:cs="仿宋_GB2312"/>
          <w:kern w:val="2"/>
          <w:sz w:val="21"/>
          <w:szCs w:val="21"/>
          <w:highlight w:val="none"/>
          <w:lang w:val="en-US" w:eastAsia="zh-CN" w:bidi="ar-SA"/>
        </w:rPr>
      </w:pPr>
      <w:r>
        <w:rPr>
          <w:rFonts w:hint="default" w:ascii="仿宋_GB2312" w:hAnsi="仿宋_GB2312" w:eastAsia="仿宋_GB2312" w:cs="仿宋_GB2312"/>
          <w:kern w:val="2"/>
          <w:sz w:val="21"/>
          <w:szCs w:val="21"/>
          <w:highlight w:val="none"/>
          <w:lang w:val="en-US" w:eastAsia="zh-CN" w:bidi="ar-SA"/>
        </w:rPr>
        <w:t>①</w:t>
      </w:r>
      <w:r>
        <w:rPr>
          <w:rFonts w:hint="eastAsia" w:ascii="仿宋_GB2312" w:hAnsi="仿宋_GB2312" w:eastAsia="仿宋_GB2312" w:cs="仿宋_GB2312"/>
          <w:kern w:val="2"/>
          <w:sz w:val="21"/>
          <w:szCs w:val="21"/>
          <w:highlight w:val="none"/>
          <w:lang w:val="en-US" w:eastAsia="zh-CN" w:bidi="ar-SA"/>
        </w:rPr>
        <w:t xml:space="preserve">.应在接到报修通知1小时内响应，48小时内到达现场及故障排除，中断时间原则上不得超过48小时，特殊故障处理不超过72小时。如遇大雪封山，山体滑坡等不可抗力因素，危险解除后应立即对故障进行排除、处理并按要求做好维修服务过程记录 。 </w:t>
      </w:r>
    </w:p>
    <w:p w14:paraId="66A6D51C">
      <w:pPr>
        <w:numPr>
          <w:ilvl w:val="0"/>
          <w:numId w:val="0"/>
        </w:numPr>
        <w:wordWrap w:val="0"/>
        <w:topLinePunct/>
        <w:adjustRightInd w:val="0"/>
        <w:snapToGrid w:val="0"/>
        <w:spacing w:line="360" w:lineRule="auto"/>
        <w:ind w:firstLine="420" w:firstLineChars="200"/>
        <w:jc w:val="left"/>
        <w:outlineLvl w:val="2"/>
        <w:rPr>
          <w:rFonts w:hint="eastAsia" w:ascii="仿宋_GB2312" w:hAnsi="仿宋_GB2312" w:eastAsia="仿宋_GB2312" w:cs="仿宋_GB2312"/>
          <w:kern w:val="2"/>
          <w:sz w:val="21"/>
          <w:szCs w:val="21"/>
          <w:highlight w:val="none"/>
          <w:lang w:val="en-US" w:eastAsia="zh-CN" w:bidi="ar-SA"/>
        </w:rPr>
      </w:pPr>
      <w:r>
        <w:rPr>
          <w:rFonts w:hint="default" w:ascii="仿宋_GB2312" w:hAnsi="仿宋_GB2312" w:eastAsia="仿宋_GB2312" w:cs="仿宋_GB2312"/>
          <w:kern w:val="2"/>
          <w:sz w:val="21"/>
          <w:szCs w:val="21"/>
          <w:highlight w:val="none"/>
          <w:lang w:val="en-US" w:eastAsia="zh-CN" w:bidi="ar-SA"/>
        </w:rPr>
        <w:t>②</w:t>
      </w:r>
      <w:r>
        <w:rPr>
          <w:rFonts w:hint="eastAsia" w:ascii="仿宋_GB2312" w:hAnsi="仿宋_GB2312" w:eastAsia="仿宋_GB2312" w:cs="仿宋_GB2312"/>
          <w:kern w:val="2"/>
          <w:sz w:val="21"/>
          <w:szCs w:val="21"/>
          <w:highlight w:val="none"/>
          <w:lang w:val="en-US" w:eastAsia="zh-CN" w:bidi="ar-SA"/>
        </w:rPr>
        <w:t xml:space="preserve">.具备所涉及地区的村村响、户户通（终端设备）的应急处置、更换设备及配件、安装及调试设备、操作培训等服务能力。 </w:t>
      </w:r>
    </w:p>
    <w:p w14:paraId="794A7082">
      <w:pPr>
        <w:numPr>
          <w:ilvl w:val="0"/>
          <w:numId w:val="0"/>
        </w:numPr>
        <w:wordWrap w:val="0"/>
        <w:topLinePunct/>
        <w:adjustRightInd w:val="0"/>
        <w:snapToGrid w:val="0"/>
        <w:spacing w:line="360" w:lineRule="auto"/>
        <w:ind w:firstLine="420" w:firstLineChars="200"/>
        <w:jc w:val="left"/>
        <w:outlineLvl w:val="2"/>
        <w:rPr>
          <w:rFonts w:hint="default" w:ascii="仿宋_GB2312" w:hAnsi="仿宋_GB2312" w:eastAsia="仿宋_GB2312" w:cs="仿宋_GB2312"/>
          <w:kern w:val="2"/>
          <w:sz w:val="21"/>
          <w:szCs w:val="21"/>
          <w:highlight w:val="none"/>
          <w:lang w:val="en-US" w:eastAsia="zh-CN" w:bidi="ar-SA"/>
        </w:rPr>
      </w:pPr>
      <w:r>
        <w:rPr>
          <w:rFonts w:hint="default" w:ascii="仿宋_GB2312" w:hAnsi="仿宋_GB2312" w:eastAsia="仿宋_GB2312" w:cs="仿宋_GB2312"/>
          <w:kern w:val="2"/>
          <w:sz w:val="21"/>
          <w:szCs w:val="21"/>
          <w:highlight w:val="none"/>
          <w:lang w:val="en-US" w:eastAsia="zh-CN" w:bidi="ar-SA"/>
        </w:rPr>
        <w:t>③</w:t>
      </w:r>
      <w:r>
        <w:rPr>
          <w:rFonts w:hint="eastAsia" w:ascii="仿宋_GB2312" w:hAnsi="仿宋_GB2312" w:eastAsia="仿宋_GB2312" w:cs="仿宋_GB2312"/>
          <w:kern w:val="2"/>
          <w:sz w:val="21"/>
          <w:szCs w:val="21"/>
          <w:highlight w:val="none"/>
          <w:lang w:val="en-US" w:eastAsia="zh-CN" w:bidi="ar-SA"/>
        </w:rPr>
        <w:t>.运维服务过程中所需设备、元器件、线材等物料，必须严格按照广播电视行业相关规范要求进行准备，所准备物料必须具备正规出入库管理单据作为附件组卷存档。</w:t>
      </w:r>
    </w:p>
    <w:p w14:paraId="598A5AE0">
      <w:pPr>
        <w:numPr>
          <w:ilvl w:val="0"/>
          <w:numId w:val="0"/>
        </w:numPr>
        <w:wordWrap w:val="0"/>
        <w:topLinePunct/>
        <w:adjustRightInd w:val="0"/>
        <w:snapToGrid w:val="0"/>
        <w:spacing w:line="360" w:lineRule="auto"/>
        <w:ind w:firstLine="420" w:firstLineChars="200"/>
        <w:jc w:val="left"/>
        <w:outlineLvl w:val="2"/>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7.应做好省局公服平台数据填报统计工作，做好运行维护及更换维修记录、技术分析及资料归档工作。</w:t>
      </w:r>
    </w:p>
    <w:p w14:paraId="62F7E131">
      <w:pPr>
        <w:numPr>
          <w:ilvl w:val="0"/>
          <w:numId w:val="0"/>
        </w:numPr>
        <w:wordWrap w:val="0"/>
        <w:topLinePunct/>
        <w:adjustRightInd w:val="0"/>
        <w:snapToGrid w:val="0"/>
        <w:spacing w:line="360" w:lineRule="auto"/>
        <w:ind w:firstLine="420" w:firstLineChars="200"/>
        <w:jc w:val="left"/>
        <w:outlineLvl w:val="2"/>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8. 配合甲方完成省州行业部门相关工作安排</w:t>
      </w:r>
    </w:p>
    <w:p w14:paraId="2676BD3B">
      <w:pPr>
        <w:numPr>
          <w:ilvl w:val="0"/>
          <w:numId w:val="0"/>
        </w:numPr>
        <w:wordWrap w:val="0"/>
        <w:topLinePunct/>
        <w:adjustRightInd w:val="0"/>
        <w:snapToGrid w:val="0"/>
        <w:spacing w:line="360" w:lineRule="auto"/>
        <w:ind w:firstLine="420" w:firstLineChars="200"/>
        <w:jc w:val="left"/>
        <w:outlineLvl w:val="2"/>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9、安全管理要求：供应商保证按操作流程和技术规范进行维护、安装，认真执行国家及部委有关安全生产的方针政策，贯彻“安全第一，预防为主”的安全生产方针，采取切实有效措施，杜绝人身伤亡事故。维修服务的安全事故由供应商自行负责，与采购人无关。</w:t>
      </w:r>
    </w:p>
    <w:p w14:paraId="12E90C3F">
      <w:pPr>
        <w:pStyle w:val="3"/>
        <w:spacing w:line="360" w:lineRule="auto"/>
        <w:ind w:left="420"/>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10.服务考核</w:t>
      </w:r>
    </w:p>
    <w:p w14:paraId="5F673EF9">
      <w:pPr>
        <w:numPr>
          <w:ilvl w:val="0"/>
          <w:numId w:val="0"/>
        </w:numPr>
        <w:wordWrap w:val="0"/>
        <w:topLinePunct/>
        <w:adjustRightInd w:val="0"/>
        <w:snapToGrid w:val="0"/>
        <w:spacing w:line="360" w:lineRule="auto"/>
        <w:ind w:firstLine="420" w:firstLineChars="200"/>
        <w:jc w:val="left"/>
        <w:outlineLvl w:val="2"/>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采购人每季度要对供应商是否达到服务数量及质量按照以下办法进行考核，对达到要求的服务应予以确认。</w:t>
      </w:r>
    </w:p>
    <w:p w14:paraId="77973EDF">
      <w:pPr>
        <w:numPr>
          <w:ilvl w:val="0"/>
          <w:numId w:val="0"/>
        </w:numPr>
        <w:wordWrap w:val="0"/>
        <w:topLinePunct/>
        <w:adjustRightInd w:val="0"/>
        <w:snapToGrid w:val="0"/>
        <w:spacing w:line="360" w:lineRule="auto"/>
        <w:ind w:firstLine="420" w:firstLineChars="200"/>
        <w:jc w:val="left"/>
        <w:outlineLvl w:val="2"/>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供应商应于每季度最后一月20日前汇报上季度系统运行情况，出具书面分析报告，统计数据表册。未按时提交报告报表的，每次扣款</w:t>
      </w:r>
      <w:r>
        <w:rPr>
          <w:rFonts w:hint="default" w:ascii="仿宋_GB2312" w:hAnsi="仿宋_GB2312" w:eastAsia="仿宋_GB2312" w:cs="仿宋_GB2312"/>
          <w:kern w:val="2"/>
          <w:sz w:val="21"/>
          <w:szCs w:val="21"/>
          <w:highlight w:val="none"/>
          <w:lang w:val="en-US" w:eastAsia="zh-CN" w:bidi="ar-SA"/>
        </w:rPr>
        <w:t>1000</w:t>
      </w:r>
      <w:r>
        <w:rPr>
          <w:rFonts w:hint="eastAsia" w:ascii="仿宋_GB2312" w:hAnsi="仿宋_GB2312" w:eastAsia="仿宋_GB2312" w:cs="仿宋_GB2312"/>
          <w:kern w:val="2"/>
          <w:sz w:val="21"/>
          <w:szCs w:val="21"/>
          <w:highlight w:val="none"/>
          <w:lang w:val="en-US" w:eastAsia="zh-CN" w:bidi="ar-SA"/>
        </w:rPr>
        <w:t>元。</w:t>
      </w:r>
    </w:p>
    <w:p w14:paraId="3FA322E3">
      <w:pPr>
        <w:numPr>
          <w:ilvl w:val="0"/>
          <w:numId w:val="0"/>
        </w:numPr>
        <w:wordWrap w:val="0"/>
        <w:topLinePunct/>
        <w:adjustRightInd w:val="0"/>
        <w:snapToGrid w:val="0"/>
        <w:spacing w:line="360" w:lineRule="auto"/>
        <w:ind w:firstLine="420" w:firstLineChars="200"/>
        <w:jc w:val="left"/>
        <w:outlineLvl w:val="2"/>
        <w:rPr>
          <w:rFonts w:hint="default" w:ascii="宋体" w:hAnsi="宋体" w:cs="宋体"/>
          <w:szCs w:val="32"/>
          <w:highlight w:val="none"/>
          <w:lang w:val="en-US" w:eastAsia="zh-CN"/>
        </w:rPr>
      </w:pPr>
      <w:r>
        <w:rPr>
          <w:rFonts w:hint="eastAsia" w:ascii="仿宋_GB2312" w:hAnsi="仿宋_GB2312" w:eastAsia="仿宋_GB2312" w:cs="仿宋_GB2312"/>
          <w:kern w:val="2"/>
          <w:sz w:val="21"/>
          <w:szCs w:val="21"/>
          <w:highlight w:val="none"/>
          <w:lang w:val="en-US" w:eastAsia="zh-CN" w:bidi="ar-SA"/>
        </w:rPr>
        <w:t>11.其他要求:设备维护维修过程中需要更换硬件或升级软件时，单次维护费用在3万元（含3万元） 以内的由供应商承担，单次维护费用超过3万元的部分由采购人承担。</w:t>
      </w:r>
    </w:p>
    <w:p w14:paraId="31A22B17">
      <w:pPr>
        <w:pStyle w:val="8"/>
        <w:jc w:val="left"/>
        <w:outlineLvl w:val="2"/>
        <w:rPr>
          <w:rFonts w:ascii="仿宋_GB2312" w:hAnsi="仿宋_GB2312" w:eastAsia="仿宋_GB2312" w:cs="仿宋_GB2312"/>
        </w:rPr>
      </w:pPr>
      <w:r>
        <w:rPr>
          <w:rFonts w:ascii="仿宋_GB2312" w:hAnsi="仿宋_GB2312" w:eastAsia="仿宋_GB2312" w:cs="仿宋_GB2312"/>
          <w:b/>
          <w:sz w:val="28"/>
        </w:rPr>
        <w:t xml:space="preserve"> 三、合同定价方式、付款进度和支付方式 </w:t>
      </w:r>
      <w:r>
        <w:rPr>
          <w:rFonts w:ascii="仿宋_GB2312" w:hAnsi="仿宋_GB2312" w:eastAsia="仿宋_GB2312" w:cs="仿宋_GB2312"/>
        </w:rPr>
        <w:t xml:space="preserve"> </w:t>
      </w:r>
    </w:p>
    <w:p w14:paraId="582BB4EE">
      <w:pPr>
        <w:pStyle w:val="8"/>
        <w:jc w:val="left"/>
        <w:rPr>
          <w:rFonts w:hint="default"/>
          <w:lang w:val="en-US" w:eastAsia="zh-CN"/>
        </w:rPr>
      </w:pPr>
      <w:r>
        <w:rPr>
          <w:rFonts w:hint="eastAsia"/>
          <w:lang w:val="en-US" w:eastAsia="zh-CN"/>
        </w:rPr>
        <w:t>3.1.本项目服务费为:             ,大写人民币           。该费用包括本项目需要的所有费用</w:t>
      </w:r>
    </w:p>
    <w:p w14:paraId="3A7DC919">
      <w:pPr>
        <w:pStyle w:val="8"/>
        <w:jc w:val="left"/>
        <w:rPr>
          <w:rFonts w:hint="eastAsia"/>
          <w:lang w:val="en-US" w:eastAsia="zh-CN"/>
        </w:rPr>
      </w:pPr>
      <w:r>
        <w:rPr>
          <w:rFonts w:hint="eastAsia"/>
          <w:lang w:val="en-US" w:eastAsia="zh-CN"/>
        </w:rPr>
        <w:t>3.2.支付方式</w:t>
      </w:r>
    </w:p>
    <w:p w14:paraId="55436AF2">
      <w:pPr>
        <w:pStyle w:val="8"/>
        <w:jc w:val="left"/>
        <w:rPr>
          <w:rFonts w:hint="eastAsia"/>
          <w:lang w:val="en-US" w:eastAsia="zh-CN"/>
        </w:rPr>
      </w:pPr>
      <w:r>
        <w:rPr>
          <w:rFonts w:hint="eastAsia"/>
          <w:lang w:val="en-US" w:eastAsia="zh-CN"/>
        </w:rPr>
        <w:t>一次性支付分期付款</w:t>
      </w:r>
    </w:p>
    <w:p w14:paraId="18FEA09E">
      <w:pPr>
        <w:pStyle w:val="8"/>
        <w:numPr>
          <w:ilvl w:val="0"/>
          <w:numId w:val="2"/>
        </w:numPr>
        <w:jc w:val="left"/>
        <w:rPr>
          <w:rFonts w:hint="eastAsia"/>
          <w:lang w:val="en-US" w:eastAsia="zh-CN"/>
        </w:rPr>
      </w:pPr>
      <w:r>
        <w:rPr>
          <w:rFonts w:hint="eastAsia"/>
          <w:lang w:val="en-US" w:eastAsia="zh-CN"/>
        </w:rPr>
        <w:t>付款进度安排</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14:paraId="37220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01CAAC05">
            <w:pPr>
              <w:pStyle w:val="8"/>
              <w:widowControl w:val="0"/>
              <w:numPr>
                <w:ilvl w:val="0"/>
                <w:numId w:val="0"/>
              </w:numPr>
              <w:jc w:val="center"/>
              <w:rPr>
                <w:rFonts w:hint="eastAsia" w:eastAsiaTheme="minorEastAsia"/>
                <w:vertAlign w:val="baseline"/>
                <w:lang w:val="en-US" w:eastAsia="zh-CN"/>
              </w:rPr>
            </w:pPr>
            <w:r>
              <w:rPr>
                <w:rFonts w:hint="eastAsia"/>
                <w:vertAlign w:val="baseline"/>
                <w:lang w:val="en-US" w:eastAsia="zh-CN"/>
              </w:rPr>
              <w:t>期次</w:t>
            </w:r>
          </w:p>
        </w:tc>
        <w:tc>
          <w:tcPr>
            <w:tcW w:w="1420" w:type="dxa"/>
          </w:tcPr>
          <w:p w14:paraId="3C9C8874">
            <w:pPr>
              <w:pStyle w:val="8"/>
              <w:widowControl w:val="0"/>
              <w:numPr>
                <w:ilvl w:val="0"/>
                <w:numId w:val="0"/>
              </w:numPr>
              <w:jc w:val="center"/>
              <w:rPr>
                <w:rFonts w:hint="default" w:eastAsiaTheme="minorEastAsia"/>
                <w:vertAlign w:val="baseline"/>
                <w:lang w:val="en-US" w:eastAsia="zh-CN"/>
              </w:rPr>
            </w:pPr>
            <w:r>
              <w:rPr>
                <w:rFonts w:hint="eastAsia"/>
                <w:vertAlign w:val="baseline"/>
                <w:lang w:val="en-US" w:eastAsia="zh-CN"/>
              </w:rPr>
              <w:t>支付金额</w:t>
            </w:r>
          </w:p>
        </w:tc>
        <w:tc>
          <w:tcPr>
            <w:tcW w:w="1420" w:type="dxa"/>
          </w:tcPr>
          <w:p w14:paraId="0C260BE5">
            <w:pPr>
              <w:pStyle w:val="8"/>
              <w:widowControl w:val="0"/>
              <w:numPr>
                <w:ilvl w:val="0"/>
                <w:numId w:val="0"/>
              </w:numPr>
              <w:jc w:val="center"/>
              <w:rPr>
                <w:rFonts w:hint="default" w:eastAsiaTheme="minorEastAsia"/>
                <w:vertAlign w:val="baseline"/>
                <w:lang w:val="en-US" w:eastAsia="zh-CN"/>
              </w:rPr>
            </w:pPr>
            <w:r>
              <w:rPr>
                <w:rFonts w:hint="eastAsia"/>
                <w:vertAlign w:val="baseline"/>
                <w:lang w:val="en-US" w:eastAsia="zh-CN"/>
              </w:rPr>
              <w:t>计划支付日期</w:t>
            </w:r>
          </w:p>
        </w:tc>
        <w:tc>
          <w:tcPr>
            <w:tcW w:w="1420" w:type="dxa"/>
          </w:tcPr>
          <w:p w14:paraId="0FF16FBA">
            <w:pPr>
              <w:pStyle w:val="8"/>
              <w:widowControl w:val="0"/>
              <w:numPr>
                <w:ilvl w:val="0"/>
                <w:numId w:val="0"/>
              </w:numPr>
              <w:jc w:val="center"/>
              <w:rPr>
                <w:rFonts w:hint="default" w:eastAsiaTheme="minorEastAsia"/>
                <w:vertAlign w:val="baseline"/>
                <w:lang w:val="en-US" w:eastAsia="zh-CN"/>
              </w:rPr>
            </w:pPr>
            <w:r>
              <w:rPr>
                <w:rFonts w:hint="eastAsia"/>
                <w:vertAlign w:val="baseline"/>
                <w:lang w:val="en-US" w:eastAsia="zh-CN"/>
              </w:rPr>
              <w:t>收款人</w:t>
            </w:r>
          </w:p>
        </w:tc>
        <w:tc>
          <w:tcPr>
            <w:tcW w:w="1421" w:type="dxa"/>
          </w:tcPr>
          <w:p w14:paraId="47ABE62A">
            <w:pPr>
              <w:pStyle w:val="8"/>
              <w:widowControl w:val="0"/>
              <w:numPr>
                <w:ilvl w:val="0"/>
                <w:numId w:val="0"/>
              </w:numPr>
              <w:jc w:val="center"/>
              <w:rPr>
                <w:rFonts w:hint="default" w:eastAsiaTheme="minorEastAsia"/>
                <w:vertAlign w:val="baseline"/>
                <w:lang w:val="en-US" w:eastAsia="zh-CN"/>
              </w:rPr>
            </w:pPr>
            <w:r>
              <w:rPr>
                <w:rFonts w:hint="eastAsia"/>
                <w:vertAlign w:val="baseline"/>
                <w:lang w:val="en-US" w:eastAsia="zh-CN"/>
              </w:rPr>
              <w:t>支付说明</w:t>
            </w:r>
          </w:p>
        </w:tc>
        <w:tc>
          <w:tcPr>
            <w:tcW w:w="1421" w:type="dxa"/>
          </w:tcPr>
          <w:p w14:paraId="06B475D7">
            <w:pPr>
              <w:pStyle w:val="8"/>
              <w:widowControl w:val="0"/>
              <w:numPr>
                <w:ilvl w:val="0"/>
                <w:numId w:val="0"/>
              </w:numPr>
              <w:jc w:val="center"/>
              <w:rPr>
                <w:rFonts w:hint="default" w:eastAsiaTheme="minorEastAsia"/>
                <w:vertAlign w:val="baseline"/>
                <w:lang w:val="en-US" w:eastAsia="zh-CN"/>
              </w:rPr>
            </w:pPr>
            <w:r>
              <w:rPr>
                <w:rFonts w:hint="eastAsia"/>
                <w:vertAlign w:val="baseline"/>
                <w:lang w:val="en-US" w:eastAsia="zh-CN"/>
              </w:rPr>
              <w:t>是否预付款</w:t>
            </w:r>
          </w:p>
        </w:tc>
      </w:tr>
      <w:tr w14:paraId="6F7A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355B2EC9">
            <w:pPr>
              <w:pStyle w:val="8"/>
              <w:widowControl w:val="0"/>
              <w:numPr>
                <w:ilvl w:val="0"/>
                <w:numId w:val="0"/>
              </w:numPr>
              <w:jc w:val="center"/>
              <w:rPr>
                <w:rFonts w:hint="eastAsia" w:eastAsiaTheme="minorEastAsia"/>
                <w:vertAlign w:val="baseline"/>
                <w:lang w:val="en-US" w:eastAsia="zh-CN"/>
              </w:rPr>
            </w:pPr>
            <w:r>
              <w:rPr>
                <w:rFonts w:hint="eastAsia"/>
                <w:vertAlign w:val="baseline"/>
                <w:lang w:val="en-US" w:eastAsia="zh-CN"/>
              </w:rPr>
              <w:t>第一次</w:t>
            </w:r>
          </w:p>
        </w:tc>
        <w:tc>
          <w:tcPr>
            <w:tcW w:w="1420" w:type="dxa"/>
          </w:tcPr>
          <w:p w14:paraId="0A0BFDB7">
            <w:pPr>
              <w:pStyle w:val="8"/>
              <w:widowControl w:val="0"/>
              <w:numPr>
                <w:ilvl w:val="0"/>
                <w:numId w:val="0"/>
              </w:numPr>
              <w:jc w:val="center"/>
              <w:rPr>
                <w:vertAlign w:val="baseline"/>
              </w:rPr>
            </w:pPr>
          </w:p>
        </w:tc>
        <w:tc>
          <w:tcPr>
            <w:tcW w:w="1420" w:type="dxa"/>
          </w:tcPr>
          <w:p w14:paraId="635E4BA0">
            <w:pPr>
              <w:pStyle w:val="8"/>
              <w:widowControl w:val="0"/>
              <w:numPr>
                <w:ilvl w:val="0"/>
                <w:numId w:val="0"/>
              </w:numPr>
              <w:jc w:val="center"/>
              <w:rPr>
                <w:vertAlign w:val="baseline"/>
              </w:rPr>
            </w:pPr>
            <w:r>
              <w:rPr>
                <w:rFonts w:hint="eastAsia"/>
                <w:vertAlign w:val="baseline"/>
                <w:lang w:val="en-US" w:eastAsia="zh-CN"/>
              </w:rPr>
              <w:t>签订合同后，达到付款条件起10日内</w:t>
            </w:r>
          </w:p>
        </w:tc>
        <w:tc>
          <w:tcPr>
            <w:tcW w:w="1420" w:type="dxa"/>
          </w:tcPr>
          <w:p w14:paraId="7AD5E0BA">
            <w:pPr>
              <w:pStyle w:val="8"/>
              <w:widowControl w:val="0"/>
              <w:numPr>
                <w:ilvl w:val="0"/>
                <w:numId w:val="0"/>
              </w:numPr>
              <w:jc w:val="center"/>
              <w:rPr>
                <w:vertAlign w:val="baseline"/>
              </w:rPr>
            </w:pPr>
          </w:p>
        </w:tc>
        <w:tc>
          <w:tcPr>
            <w:tcW w:w="1421" w:type="dxa"/>
          </w:tcPr>
          <w:p w14:paraId="62EF15C9">
            <w:pPr>
              <w:pStyle w:val="8"/>
              <w:widowControl w:val="0"/>
              <w:numPr>
                <w:ilvl w:val="0"/>
                <w:numId w:val="0"/>
              </w:numPr>
              <w:jc w:val="center"/>
              <w:rPr>
                <w:rFonts w:hint="eastAsia"/>
                <w:vertAlign w:val="baseline"/>
              </w:rPr>
            </w:pPr>
            <w:r>
              <w:rPr>
                <w:rFonts w:hint="eastAsia"/>
                <w:vertAlign w:val="baseline"/>
              </w:rPr>
              <w:t>预付款，合同</w:t>
            </w:r>
          </w:p>
          <w:p w14:paraId="2FE2FE44">
            <w:pPr>
              <w:pStyle w:val="8"/>
              <w:widowControl w:val="0"/>
              <w:numPr>
                <w:ilvl w:val="0"/>
                <w:numId w:val="0"/>
              </w:numPr>
              <w:jc w:val="center"/>
              <w:rPr>
                <w:rFonts w:hint="eastAsia"/>
                <w:vertAlign w:val="baseline"/>
              </w:rPr>
            </w:pPr>
            <w:r>
              <w:rPr>
                <w:rFonts w:hint="eastAsia"/>
                <w:vertAlign w:val="baseline"/>
              </w:rPr>
              <w:t>签订后，达到</w:t>
            </w:r>
          </w:p>
          <w:p w14:paraId="31CBBCD7">
            <w:pPr>
              <w:pStyle w:val="8"/>
              <w:widowControl w:val="0"/>
              <w:numPr>
                <w:ilvl w:val="0"/>
                <w:numId w:val="0"/>
              </w:numPr>
              <w:jc w:val="center"/>
              <w:rPr>
                <w:rFonts w:hint="eastAsia"/>
                <w:vertAlign w:val="baseline"/>
              </w:rPr>
            </w:pPr>
            <w:r>
              <w:rPr>
                <w:rFonts w:hint="eastAsia"/>
                <w:vertAlign w:val="baseline"/>
              </w:rPr>
              <w:t>付款条件起</w:t>
            </w:r>
          </w:p>
          <w:p w14:paraId="2D5D5445">
            <w:pPr>
              <w:pStyle w:val="8"/>
              <w:widowControl w:val="0"/>
              <w:numPr>
                <w:ilvl w:val="0"/>
                <w:numId w:val="0"/>
              </w:numPr>
              <w:jc w:val="center"/>
              <w:rPr>
                <w:rFonts w:hint="eastAsia"/>
                <w:vertAlign w:val="baseline"/>
              </w:rPr>
            </w:pPr>
            <w:r>
              <w:rPr>
                <w:rFonts w:hint="eastAsia"/>
                <w:vertAlign w:val="baseline"/>
                <w:lang w:val="en-US" w:eastAsia="zh-CN"/>
              </w:rPr>
              <w:t>10</w:t>
            </w:r>
            <w:r>
              <w:rPr>
                <w:rFonts w:hint="eastAsia"/>
                <w:vertAlign w:val="baseline"/>
              </w:rPr>
              <w:t>日内，支付合同总金</w:t>
            </w:r>
          </w:p>
          <w:p w14:paraId="3261FA1E">
            <w:pPr>
              <w:pStyle w:val="8"/>
              <w:widowControl w:val="0"/>
              <w:numPr>
                <w:ilvl w:val="0"/>
                <w:numId w:val="0"/>
              </w:numPr>
              <w:jc w:val="center"/>
              <w:rPr>
                <w:vertAlign w:val="baseline"/>
              </w:rPr>
            </w:pPr>
            <w:r>
              <w:rPr>
                <w:rFonts w:hint="eastAsia"/>
                <w:vertAlign w:val="baseline"/>
              </w:rPr>
              <w:t>额的40.00%</w:t>
            </w:r>
          </w:p>
        </w:tc>
        <w:tc>
          <w:tcPr>
            <w:tcW w:w="1421" w:type="dxa"/>
          </w:tcPr>
          <w:p w14:paraId="702431DD">
            <w:pPr>
              <w:pStyle w:val="8"/>
              <w:widowControl w:val="0"/>
              <w:numPr>
                <w:ilvl w:val="0"/>
                <w:numId w:val="0"/>
              </w:numPr>
              <w:jc w:val="center"/>
              <w:rPr>
                <w:rFonts w:hint="eastAsia" w:eastAsiaTheme="minorEastAsia"/>
                <w:vertAlign w:val="baseline"/>
                <w:lang w:val="en-US" w:eastAsia="zh-CN"/>
              </w:rPr>
            </w:pPr>
            <w:r>
              <w:rPr>
                <w:rFonts w:hint="eastAsia"/>
                <w:vertAlign w:val="baseline"/>
                <w:lang w:val="en-US" w:eastAsia="zh-CN"/>
              </w:rPr>
              <w:t>是</w:t>
            </w:r>
          </w:p>
        </w:tc>
      </w:tr>
      <w:tr w14:paraId="17A56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0D47E59F">
            <w:pPr>
              <w:pStyle w:val="8"/>
              <w:widowControl w:val="0"/>
              <w:numPr>
                <w:ilvl w:val="0"/>
                <w:numId w:val="0"/>
              </w:numPr>
              <w:jc w:val="center"/>
              <w:rPr>
                <w:rFonts w:hint="eastAsia" w:eastAsiaTheme="minorEastAsia"/>
                <w:vertAlign w:val="baseline"/>
                <w:lang w:val="en-US" w:eastAsia="zh-CN"/>
              </w:rPr>
            </w:pPr>
            <w:r>
              <w:rPr>
                <w:rFonts w:hint="eastAsia"/>
                <w:vertAlign w:val="baseline"/>
                <w:lang w:val="en-US" w:eastAsia="zh-CN"/>
              </w:rPr>
              <w:t>第二次</w:t>
            </w:r>
          </w:p>
        </w:tc>
        <w:tc>
          <w:tcPr>
            <w:tcW w:w="1420" w:type="dxa"/>
          </w:tcPr>
          <w:p w14:paraId="4B1E817C">
            <w:pPr>
              <w:pStyle w:val="8"/>
              <w:widowControl w:val="0"/>
              <w:numPr>
                <w:ilvl w:val="0"/>
                <w:numId w:val="0"/>
              </w:numPr>
              <w:jc w:val="center"/>
              <w:rPr>
                <w:vertAlign w:val="baseline"/>
              </w:rPr>
            </w:pPr>
          </w:p>
        </w:tc>
        <w:tc>
          <w:tcPr>
            <w:tcW w:w="1420" w:type="dxa"/>
          </w:tcPr>
          <w:p w14:paraId="04512CD9">
            <w:pPr>
              <w:pStyle w:val="8"/>
              <w:widowControl w:val="0"/>
              <w:numPr>
                <w:ilvl w:val="0"/>
                <w:numId w:val="0"/>
              </w:numPr>
              <w:jc w:val="center"/>
              <w:rPr>
                <w:vertAlign w:val="baseline"/>
              </w:rPr>
            </w:pPr>
            <w:r>
              <w:rPr>
                <w:rFonts w:hint="eastAsia"/>
                <w:vertAlign w:val="baseline"/>
                <w:lang w:val="en-US" w:eastAsia="zh-CN"/>
              </w:rPr>
              <w:t>累计完成半年服务并提供书面分析报告，统计数据表册，达到付款条件起10日内</w:t>
            </w:r>
          </w:p>
        </w:tc>
        <w:tc>
          <w:tcPr>
            <w:tcW w:w="1420" w:type="dxa"/>
          </w:tcPr>
          <w:p w14:paraId="104A23EF">
            <w:pPr>
              <w:pStyle w:val="8"/>
              <w:widowControl w:val="0"/>
              <w:numPr>
                <w:ilvl w:val="0"/>
                <w:numId w:val="0"/>
              </w:numPr>
              <w:jc w:val="center"/>
              <w:rPr>
                <w:vertAlign w:val="baseline"/>
              </w:rPr>
            </w:pPr>
          </w:p>
        </w:tc>
        <w:tc>
          <w:tcPr>
            <w:tcW w:w="1421" w:type="dxa"/>
          </w:tcPr>
          <w:p w14:paraId="19283301">
            <w:pPr>
              <w:pStyle w:val="8"/>
              <w:widowControl w:val="0"/>
              <w:numPr>
                <w:ilvl w:val="0"/>
                <w:numId w:val="0"/>
              </w:numPr>
              <w:jc w:val="center"/>
              <w:rPr>
                <w:vertAlign w:val="baseline"/>
              </w:rPr>
            </w:pPr>
            <w:r>
              <w:rPr>
                <w:rFonts w:hint="eastAsia"/>
                <w:vertAlign w:val="baseline"/>
                <w:lang w:val="en-US" w:eastAsia="zh-CN"/>
              </w:rPr>
              <w:t>累计完成半年服务并提供书面分析报告，统计数据表册，达到付款条件起10日内，支付合同总金额的30.00%</w:t>
            </w:r>
          </w:p>
        </w:tc>
        <w:tc>
          <w:tcPr>
            <w:tcW w:w="1421" w:type="dxa"/>
          </w:tcPr>
          <w:p w14:paraId="7644E5E7">
            <w:pPr>
              <w:pStyle w:val="8"/>
              <w:widowControl w:val="0"/>
              <w:numPr>
                <w:ilvl w:val="0"/>
                <w:numId w:val="0"/>
              </w:numPr>
              <w:jc w:val="center"/>
              <w:rPr>
                <w:rFonts w:hint="default" w:eastAsiaTheme="minorEastAsia"/>
                <w:vertAlign w:val="baseline"/>
                <w:lang w:val="en-US" w:eastAsia="zh-CN"/>
              </w:rPr>
            </w:pPr>
            <w:r>
              <w:rPr>
                <w:rFonts w:hint="eastAsia"/>
                <w:vertAlign w:val="baseline"/>
                <w:lang w:val="en-US" w:eastAsia="zh-CN"/>
              </w:rPr>
              <w:t>否</w:t>
            </w:r>
          </w:p>
        </w:tc>
      </w:tr>
      <w:tr w14:paraId="406E2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0B45A6F6">
            <w:pPr>
              <w:pStyle w:val="8"/>
              <w:widowControl w:val="0"/>
              <w:numPr>
                <w:ilvl w:val="0"/>
                <w:numId w:val="0"/>
              </w:numPr>
              <w:jc w:val="center"/>
              <w:rPr>
                <w:rFonts w:hint="eastAsia"/>
                <w:vertAlign w:val="baseline"/>
                <w:lang w:val="en-US" w:eastAsia="zh-CN"/>
              </w:rPr>
            </w:pPr>
            <w:r>
              <w:rPr>
                <w:rFonts w:hint="eastAsia"/>
                <w:vertAlign w:val="baseline"/>
                <w:lang w:val="en-US" w:eastAsia="zh-CN"/>
              </w:rPr>
              <w:t>第三次</w:t>
            </w:r>
          </w:p>
        </w:tc>
        <w:tc>
          <w:tcPr>
            <w:tcW w:w="1420" w:type="dxa"/>
          </w:tcPr>
          <w:p w14:paraId="2B579D5F">
            <w:pPr>
              <w:pStyle w:val="8"/>
              <w:widowControl w:val="0"/>
              <w:numPr>
                <w:ilvl w:val="0"/>
                <w:numId w:val="0"/>
              </w:numPr>
              <w:jc w:val="center"/>
              <w:rPr>
                <w:vertAlign w:val="baseline"/>
              </w:rPr>
            </w:pPr>
          </w:p>
        </w:tc>
        <w:tc>
          <w:tcPr>
            <w:tcW w:w="1420" w:type="dxa"/>
          </w:tcPr>
          <w:p w14:paraId="7161B39D">
            <w:pPr>
              <w:pStyle w:val="8"/>
              <w:widowControl w:val="0"/>
              <w:numPr>
                <w:ilvl w:val="0"/>
                <w:numId w:val="0"/>
              </w:numPr>
              <w:jc w:val="center"/>
              <w:rPr>
                <w:rFonts w:hint="eastAsia"/>
                <w:vertAlign w:val="baseline"/>
                <w:lang w:val="en-US" w:eastAsia="zh-CN"/>
              </w:rPr>
            </w:pPr>
            <w:r>
              <w:rPr>
                <w:rFonts w:hint="eastAsia"/>
                <w:vertAlign w:val="baseline"/>
                <w:lang w:val="en-US" w:eastAsia="zh-CN"/>
              </w:rPr>
              <w:t>服务期满验收合格后，达到付款条件起10日内</w:t>
            </w:r>
          </w:p>
        </w:tc>
        <w:tc>
          <w:tcPr>
            <w:tcW w:w="1420" w:type="dxa"/>
          </w:tcPr>
          <w:p w14:paraId="1030DC7F">
            <w:pPr>
              <w:pStyle w:val="8"/>
              <w:widowControl w:val="0"/>
              <w:numPr>
                <w:ilvl w:val="0"/>
                <w:numId w:val="0"/>
              </w:numPr>
              <w:jc w:val="center"/>
              <w:rPr>
                <w:rFonts w:hint="eastAsia"/>
                <w:vertAlign w:val="baseline"/>
                <w:lang w:val="en-US" w:eastAsia="zh-CN"/>
              </w:rPr>
            </w:pPr>
          </w:p>
        </w:tc>
        <w:tc>
          <w:tcPr>
            <w:tcW w:w="1421" w:type="dxa"/>
          </w:tcPr>
          <w:p w14:paraId="46ED601B">
            <w:pPr>
              <w:pStyle w:val="8"/>
              <w:widowControl w:val="0"/>
              <w:numPr>
                <w:ilvl w:val="0"/>
                <w:numId w:val="0"/>
              </w:numPr>
              <w:jc w:val="center"/>
              <w:rPr>
                <w:rFonts w:hint="eastAsia"/>
                <w:vertAlign w:val="baseline"/>
                <w:lang w:val="en-US" w:eastAsia="zh-CN"/>
              </w:rPr>
            </w:pPr>
            <w:r>
              <w:rPr>
                <w:rFonts w:hint="eastAsia"/>
                <w:vertAlign w:val="baseline"/>
                <w:lang w:val="en-US" w:eastAsia="zh-CN"/>
              </w:rPr>
              <w:t>服务期满验收合格后，达到付款条件起10日内，支付合同总金额的30.00%</w:t>
            </w:r>
          </w:p>
        </w:tc>
        <w:tc>
          <w:tcPr>
            <w:tcW w:w="1421" w:type="dxa"/>
          </w:tcPr>
          <w:p w14:paraId="64C27855">
            <w:pPr>
              <w:pStyle w:val="8"/>
              <w:widowControl w:val="0"/>
              <w:numPr>
                <w:ilvl w:val="0"/>
                <w:numId w:val="0"/>
              </w:numPr>
              <w:jc w:val="center"/>
              <w:rPr>
                <w:rFonts w:hint="eastAsia"/>
                <w:vertAlign w:val="baseline"/>
                <w:lang w:val="en-US" w:eastAsia="zh-CN"/>
              </w:rPr>
            </w:pPr>
            <w:r>
              <w:rPr>
                <w:rFonts w:hint="eastAsia"/>
                <w:vertAlign w:val="baseline"/>
                <w:lang w:val="en-US" w:eastAsia="zh-CN"/>
              </w:rPr>
              <w:t>否</w:t>
            </w:r>
          </w:p>
        </w:tc>
      </w:tr>
    </w:tbl>
    <w:p w14:paraId="1A3A8E1E">
      <w:pPr>
        <w:pStyle w:val="8"/>
        <w:numPr>
          <w:ilvl w:val="0"/>
          <w:numId w:val="0"/>
        </w:numPr>
        <w:jc w:val="left"/>
        <w:rPr>
          <w:rFonts w:hint="default" w:ascii="仿宋_GB2312" w:hAnsi="仿宋_GB2312" w:eastAsia="仿宋_GB2312" w:cs="仿宋_GB2312"/>
          <w:b/>
          <w:sz w:val="28"/>
          <w:lang w:val="en-US" w:eastAsia="zh-CN"/>
        </w:rPr>
      </w:pPr>
      <w:r>
        <w:rPr>
          <w:rFonts w:hint="eastAsia"/>
        </w:rPr>
        <w:t>双方特别约定:遵循“先开票、后付款”的原则，乙方在双方确认当期应付金额尽快开具增值税发票，并于发票开具后2日内提交给甲方。甲方收到乙方发票后，按合同约定向乙方付款，若乙方未开具发票的，甲方有权拒绝付款。</w:t>
      </w:r>
      <w:r>
        <w:br w:type="textWrapping"/>
      </w:r>
      <w:r>
        <w:rPr>
          <w:rFonts w:ascii="仿宋_GB2312" w:hAnsi="仿宋_GB2312" w:eastAsia="仿宋_GB2312" w:cs="仿宋_GB2312"/>
          <w:b/>
          <w:sz w:val="28"/>
        </w:rPr>
        <w:t>四、履约保证金</w:t>
      </w:r>
      <w:r>
        <w:rPr>
          <w:rFonts w:hint="eastAsia" w:ascii="仿宋_GB2312" w:hAnsi="仿宋_GB2312" w:eastAsia="仿宋_GB2312" w:cs="仿宋_GB2312"/>
          <w:b/>
          <w:sz w:val="28"/>
          <w:lang w:val="en-US" w:eastAsia="zh-CN"/>
        </w:rPr>
        <w:t>:</w:t>
      </w:r>
      <w:r>
        <w:rPr>
          <w:rFonts w:hint="eastAsia"/>
          <w:lang w:val="en-US" w:eastAsia="zh-CN"/>
        </w:rPr>
        <w:t>本项目不收取履约保证金</w:t>
      </w:r>
    </w:p>
    <w:p w14:paraId="4911F7BB">
      <w:pPr>
        <w:pStyle w:val="8"/>
        <w:numPr>
          <w:ilvl w:val="0"/>
          <w:numId w:val="3"/>
        </w:numPr>
        <w:ind w:left="100" w:leftChars="0" w:firstLine="0" w:firstLineChars="0"/>
        <w:jc w:val="left"/>
        <w:outlineLvl w:val="2"/>
        <w:rPr>
          <w:rFonts w:ascii="仿宋_GB2312" w:hAnsi="仿宋_GB2312" w:eastAsia="仿宋_GB2312" w:cs="仿宋_GB2312"/>
          <w:b/>
          <w:sz w:val="28"/>
        </w:rPr>
      </w:pPr>
      <w:r>
        <w:rPr>
          <w:rFonts w:ascii="仿宋_GB2312" w:hAnsi="仿宋_GB2312" w:eastAsia="仿宋_GB2312" w:cs="仿宋_GB2312"/>
          <w:b/>
          <w:sz w:val="28"/>
        </w:rPr>
        <w:t>验收标准和方法</w:t>
      </w:r>
    </w:p>
    <w:p w14:paraId="59760DE4">
      <w:pPr>
        <w:pStyle w:val="8"/>
        <w:numPr>
          <w:ilvl w:val="0"/>
          <w:numId w:val="0"/>
        </w:numPr>
        <w:ind w:firstLine="200" w:firstLineChars="100"/>
        <w:jc w:val="left"/>
      </w:pPr>
      <w:r>
        <w:rPr>
          <w:rFonts w:hint="eastAsia"/>
        </w:rPr>
        <w:t>详见采购文件和中标(成交)供应商投标(响应)文件。</w:t>
      </w:r>
    </w:p>
    <w:p w14:paraId="2CD6D1C6">
      <w:pPr>
        <w:pStyle w:val="8"/>
        <w:jc w:val="left"/>
        <w:outlineLvl w:val="2"/>
      </w:pPr>
      <w:r>
        <w:rPr>
          <w:rFonts w:ascii="仿宋_GB2312" w:hAnsi="仿宋_GB2312" w:eastAsia="仿宋_GB2312" w:cs="仿宋_GB2312"/>
          <w:b/>
          <w:sz w:val="28"/>
        </w:rPr>
        <w:t xml:space="preserve"> 六、甲方的权利和义务</w:t>
      </w:r>
    </w:p>
    <w:p w14:paraId="4906B265">
      <w:pPr>
        <w:pStyle w:val="8"/>
        <w:jc w:val="left"/>
      </w:pPr>
      <w:r>
        <w:rPr>
          <w:rFonts w:ascii="仿宋_GB2312" w:hAnsi="仿宋_GB2312" w:eastAsia="仿宋_GB2312" w:cs="仿宋_GB2312"/>
        </w:rPr>
        <w:t>1.甲方有权对合同规定范围内乙方的服务行为进行监督和检查，拥有监管权。有权定期核对乙方提供服务所配备的人员数量。对甲方认为不合理的部分</w:t>
      </w:r>
      <w:r>
        <w:rPr>
          <w:rFonts w:hint="eastAsia" w:ascii="仿宋_GB2312" w:hAnsi="仿宋_GB2312" w:eastAsia="仿宋_GB2312" w:cs="仿宋_GB2312"/>
          <w:lang w:val="en-US" w:eastAsia="zh-CN"/>
        </w:rPr>
        <w:t>有权要求乙方进行整改</w:t>
      </w:r>
      <w:r>
        <w:rPr>
          <w:rFonts w:ascii="仿宋_GB2312" w:hAnsi="仿宋_GB2312" w:eastAsia="仿宋_GB2312" w:cs="仿宋_GB2312"/>
        </w:rPr>
        <w:t>。</w:t>
      </w:r>
    </w:p>
    <w:p w14:paraId="23DA1874">
      <w:pPr>
        <w:pStyle w:val="8"/>
        <w:jc w:val="left"/>
      </w:pPr>
      <w:r>
        <w:rPr>
          <w:rFonts w:ascii="仿宋_GB2312" w:hAnsi="仿宋_GB2312" w:eastAsia="仿宋_GB2312" w:cs="仿宋_GB2312"/>
        </w:rPr>
        <w:t>2.根据本合同规定，按时向乙方支付应付服务费用。</w:t>
      </w:r>
    </w:p>
    <w:p w14:paraId="6E448404">
      <w:pPr>
        <w:pStyle w:val="8"/>
        <w:jc w:val="left"/>
      </w:pPr>
      <w:r>
        <w:rPr>
          <w:rFonts w:ascii="仿宋_GB2312" w:hAnsi="仿宋_GB2312" w:eastAsia="仿宋_GB2312" w:cs="仿宋_GB2312"/>
        </w:rPr>
        <w:t>3.国家法律、法规所规定由甲方承担的其它责任。</w:t>
      </w:r>
    </w:p>
    <w:p w14:paraId="45BF5A68">
      <w:pPr>
        <w:pStyle w:val="8"/>
        <w:jc w:val="left"/>
        <w:outlineLvl w:val="2"/>
      </w:pPr>
      <w:r>
        <w:rPr>
          <w:rFonts w:ascii="仿宋_GB2312" w:hAnsi="仿宋_GB2312" w:eastAsia="仿宋_GB2312" w:cs="仿宋_GB2312"/>
          <w:b/>
          <w:sz w:val="28"/>
        </w:rPr>
        <w:t xml:space="preserve"> 七、乙方的权利和义务</w:t>
      </w:r>
    </w:p>
    <w:p w14:paraId="3B17B327">
      <w:pPr>
        <w:pStyle w:val="8"/>
        <w:jc w:val="left"/>
      </w:pPr>
      <w:r>
        <w:rPr>
          <w:rFonts w:ascii="仿宋_GB2312" w:hAnsi="仿宋_GB2312" w:eastAsia="仿宋_GB2312" w:cs="仿宋_GB2312"/>
        </w:rPr>
        <w:t>1.根据本合同的约定向甲方收取相关服务费用。</w:t>
      </w:r>
    </w:p>
    <w:p w14:paraId="41FC7407">
      <w:pPr>
        <w:pStyle w:val="8"/>
        <w:jc w:val="left"/>
      </w:pPr>
      <w:r>
        <w:rPr>
          <w:rFonts w:ascii="仿宋_GB2312" w:hAnsi="仿宋_GB2312" w:eastAsia="仿宋_GB2312" w:cs="仿宋_GB2312"/>
        </w:rPr>
        <w:t>2.接受项目行业管理部门及政府有关部门的指导，接受甲方的监督。</w:t>
      </w:r>
    </w:p>
    <w:p w14:paraId="5BEF800C">
      <w:pPr>
        <w:pStyle w:val="8"/>
        <w:jc w:val="left"/>
      </w:pPr>
      <w:r>
        <w:rPr>
          <w:rFonts w:ascii="仿宋_GB2312" w:hAnsi="仿宋_GB2312" w:eastAsia="仿宋_GB2312" w:cs="仿宋_GB2312"/>
        </w:rPr>
        <w:t>3.乙方承诺遵守《中华人民共和国劳动合同法》有关规定和《中华人民共和国妇女权益保障法》中关于“劳动和社会保障权益”的有关要求。</w:t>
      </w:r>
    </w:p>
    <w:p w14:paraId="6CB91F94">
      <w:pPr>
        <w:pStyle w:val="8"/>
        <w:jc w:val="left"/>
      </w:pPr>
      <w:r>
        <w:rPr>
          <w:rFonts w:ascii="仿宋_GB2312" w:hAnsi="仿宋_GB2312" w:eastAsia="仿宋_GB2312" w:cs="仿宋_GB2312"/>
        </w:rPr>
        <w:t>4.国家法律、法规所规定由乙方承担的其它责任。</w:t>
      </w:r>
    </w:p>
    <w:p w14:paraId="7A08138F">
      <w:pPr>
        <w:pStyle w:val="8"/>
        <w:jc w:val="left"/>
        <w:outlineLvl w:val="2"/>
      </w:pPr>
      <w:r>
        <w:rPr>
          <w:rFonts w:ascii="仿宋_GB2312" w:hAnsi="仿宋_GB2312" w:eastAsia="仿宋_GB2312" w:cs="仿宋_GB2312"/>
          <w:b/>
          <w:sz w:val="28"/>
        </w:rPr>
        <w:t xml:space="preserve"> 八、违约责任</w:t>
      </w:r>
    </w:p>
    <w:p w14:paraId="6640B465">
      <w:pPr>
        <w:pStyle w:val="8"/>
        <w:jc w:val="left"/>
        <w:rPr>
          <w:rFonts w:hint="eastAsia"/>
        </w:rPr>
      </w:pPr>
      <w:r>
        <w:rPr>
          <w:rFonts w:hint="eastAsia"/>
        </w:rPr>
        <w:t>1、甲乙双方必须遵守本合同并执行合同中的各项规定，保证本合同的正常履行。</w:t>
      </w:r>
    </w:p>
    <w:p w14:paraId="32DC3EF9">
      <w:pPr>
        <w:pStyle w:val="8"/>
        <w:jc w:val="left"/>
      </w:pPr>
      <w:r>
        <w:rPr>
          <w:rFonts w:hint="eastAsia"/>
        </w:rPr>
        <w:t>2、如因乙方工作人员在履行职务过程中的的疏忽、失职、过错等故意或者过失原因给甲方造成损失或侵害，包括但不限于甲方本身的财产损失</w:t>
      </w:r>
      <w:r>
        <w:rPr>
          <w:rFonts w:hint="eastAsia"/>
          <w:lang w:eastAsia="zh-CN"/>
        </w:rPr>
        <w:t>，</w:t>
      </w:r>
      <w:r>
        <w:rPr>
          <w:rFonts w:hint="eastAsia"/>
        </w:rPr>
        <w:t>由此而导致的甲方</w:t>
      </w:r>
      <w:r>
        <w:rPr>
          <w:rFonts w:hint="eastAsia"/>
          <w:lang w:val="en-US" w:eastAsia="zh-CN"/>
        </w:rPr>
        <w:t>对</w:t>
      </w:r>
      <w:r>
        <w:rPr>
          <w:rFonts w:hint="eastAsia"/>
        </w:rPr>
        <w:t>任何第三方的法律责任等，乙方对此均应承担全部的赔偿责任。</w:t>
      </w:r>
      <w:r>
        <w:br w:type="textWrapping"/>
      </w:r>
    </w:p>
    <w:p w14:paraId="01D0369F">
      <w:pPr>
        <w:pStyle w:val="8"/>
        <w:jc w:val="left"/>
        <w:outlineLvl w:val="2"/>
      </w:pPr>
      <w:r>
        <w:rPr>
          <w:rFonts w:ascii="仿宋_GB2312" w:hAnsi="仿宋_GB2312" w:eastAsia="仿宋_GB2312" w:cs="仿宋_GB2312"/>
          <w:b/>
          <w:sz w:val="28"/>
        </w:rPr>
        <w:t xml:space="preserve"> 九、不可抗事件处理</w:t>
      </w:r>
      <w:bookmarkStart w:id="0" w:name="_GoBack"/>
      <w:bookmarkEnd w:id="0"/>
    </w:p>
    <w:p w14:paraId="5C0DDFB2">
      <w:pPr>
        <w:pStyle w:val="8"/>
        <w:jc w:val="left"/>
      </w:pPr>
      <w:r>
        <w:rPr>
          <w:rFonts w:ascii="仿宋_GB2312" w:hAnsi="仿宋_GB2312" w:eastAsia="仿宋_GB2312" w:cs="仿宋_GB2312"/>
        </w:rPr>
        <w:t>1.在合同有效期内，任何一方因战争、洪灾、台风、地震等不可抗力事件导致不能履行合同，则合同履行期可延长，其延长期与不可抗力事件影响期相同。</w:t>
      </w:r>
    </w:p>
    <w:p w14:paraId="28461710">
      <w:pPr>
        <w:pStyle w:val="8"/>
        <w:jc w:val="left"/>
      </w:pPr>
      <w:r>
        <w:rPr>
          <w:rFonts w:ascii="仿宋_GB2312" w:hAnsi="仿宋_GB2312" w:eastAsia="仿宋_GB2312" w:cs="仿宋_GB2312"/>
        </w:rPr>
        <w:t>2.受阻一方应在不可抗事件发生后尽快用电话通知对方并于事故发生后</w:t>
      </w:r>
      <w:r>
        <w:rPr>
          <w:rFonts w:hint="eastAsia" w:ascii="仿宋_GB2312" w:hAnsi="仿宋_GB2312" w:eastAsia="仿宋_GB2312" w:cs="仿宋_GB2312"/>
          <w:lang w:val="en-US" w:eastAsia="zh-CN"/>
        </w:rPr>
        <w:t>7</w:t>
      </w:r>
      <w:r>
        <w:rPr>
          <w:rFonts w:ascii="仿宋_GB2312" w:hAnsi="仿宋_GB2312" w:eastAsia="仿宋_GB2312" w:cs="仿宋_GB2312"/>
        </w:rPr>
        <w:t>天内将有关部门出具的证明文件等用特快专递或挂号信寄给对方审阅确认。</w:t>
      </w:r>
    </w:p>
    <w:p w14:paraId="1AE4B453">
      <w:pPr>
        <w:pStyle w:val="8"/>
        <w:jc w:val="left"/>
      </w:pPr>
      <w:r>
        <w:rPr>
          <w:rFonts w:ascii="仿宋_GB2312" w:hAnsi="仿宋_GB2312" w:eastAsia="仿宋_GB2312" w:cs="仿宋_GB2312"/>
        </w:rPr>
        <w:t>3.不可抗事件延续</w:t>
      </w:r>
      <w:r>
        <w:rPr>
          <w:rFonts w:hint="eastAsia" w:ascii="仿宋_GB2312" w:hAnsi="仿宋_GB2312" w:eastAsia="仿宋_GB2312" w:cs="仿宋_GB2312"/>
          <w:lang w:val="en-US" w:eastAsia="zh-CN"/>
        </w:rPr>
        <w:t>30</w:t>
      </w:r>
      <w:r>
        <w:rPr>
          <w:rFonts w:ascii="仿宋_GB2312" w:hAnsi="仿宋_GB2312" w:eastAsia="仿宋_GB2312" w:cs="仿宋_GB2312"/>
        </w:rPr>
        <w:t>天以上，双方应通过友好协商，确定是否继续履行合同。</w:t>
      </w:r>
    </w:p>
    <w:p w14:paraId="2218D115">
      <w:pPr>
        <w:pStyle w:val="8"/>
        <w:jc w:val="left"/>
        <w:outlineLvl w:val="2"/>
      </w:pPr>
      <w:r>
        <w:rPr>
          <w:rFonts w:ascii="仿宋_GB2312" w:hAnsi="仿宋_GB2312" w:eastAsia="仿宋_GB2312" w:cs="仿宋_GB2312"/>
          <w:b/>
          <w:sz w:val="28"/>
        </w:rPr>
        <w:t xml:space="preserve"> 十、解决合同纠纷的方式</w:t>
      </w:r>
    </w:p>
    <w:p w14:paraId="66503E54">
      <w:pPr>
        <w:pStyle w:val="8"/>
        <w:ind w:firstLine="200" w:firstLineChars="100"/>
        <w:jc w:val="left"/>
      </w:pPr>
      <w:r>
        <w:rPr>
          <w:rFonts w:hint="eastAsia"/>
        </w:rPr>
        <w:t>在执行本合同中发生的或与本合同有关的争端，双方应通过友好协商解决，协商不能达成协议时，应提交合同履行地人民法院诉讼解决。</w:t>
      </w:r>
      <w:r>
        <w:br w:type="textWrapping"/>
      </w:r>
    </w:p>
    <w:p w14:paraId="4E7F5708">
      <w:pPr>
        <w:pStyle w:val="8"/>
        <w:jc w:val="left"/>
        <w:outlineLvl w:val="2"/>
      </w:pPr>
      <w:r>
        <w:rPr>
          <w:rFonts w:ascii="仿宋_GB2312" w:hAnsi="仿宋_GB2312" w:eastAsia="仿宋_GB2312" w:cs="仿宋_GB2312"/>
          <w:b/>
          <w:sz w:val="28"/>
        </w:rPr>
        <w:t xml:space="preserve"> 十一、合同生效及其他</w:t>
      </w:r>
    </w:p>
    <w:p w14:paraId="7D37F669">
      <w:pPr>
        <w:pStyle w:val="8"/>
        <w:jc w:val="left"/>
      </w:pPr>
      <w:r>
        <w:rPr>
          <w:rFonts w:ascii="仿宋_GB2312" w:hAnsi="仿宋_GB2312" w:eastAsia="仿宋_GB2312" w:cs="仿宋_GB2312"/>
        </w:rPr>
        <w:t>1.合同经双方法定代表人（或主要负责人）或授权委托代理人签字并加盖公章后生效。</w:t>
      </w:r>
    </w:p>
    <w:p w14:paraId="1FBBBCBA">
      <w:pPr>
        <w:pStyle w:val="8"/>
        <w:jc w:val="left"/>
      </w:pPr>
      <w:r>
        <w:rPr>
          <w:rFonts w:ascii="仿宋_GB2312" w:hAnsi="仿宋_GB2312" w:eastAsia="仿宋_GB2312" w:cs="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6D8E04D6">
      <w:pPr>
        <w:pStyle w:val="8"/>
        <w:jc w:val="left"/>
      </w:pPr>
      <w:r>
        <w:rPr>
          <w:rFonts w:ascii="仿宋_GB2312" w:hAnsi="仿宋_GB2312" w:eastAsia="仿宋_GB2312" w:cs="仿宋_GB2312"/>
        </w:rPr>
        <w:t>3.本合同一式3份，甲方持有1份，乙方持有1份，同级财政部门备案1份，具有同等法律效力。</w:t>
      </w:r>
    </w:p>
    <w:p w14:paraId="23C6688B">
      <w:pPr>
        <w:pStyle w:val="8"/>
        <w:jc w:val="left"/>
      </w:pPr>
      <w:r>
        <w:br w:type="textWrapping"/>
      </w:r>
      <w:r>
        <w:br w:type="textWrapping"/>
      </w:r>
    </w:p>
    <w:p w14:paraId="244BB38B">
      <w:pPr>
        <w:pStyle w:val="8"/>
        <w:jc w:val="left"/>
      </w:pPr>
      <w:r>
        <w:rPr>
          <w:rFonts w:ascii="仿宋_GB2312" w:hAnsi="仿宋_GB2312" w:eastAsia="仿宋_GB2312" w:cs="仿宋_GB2312"/>
        </w:rPr>
        <w:t xml:space="preserve"> 甲方： （盖章）</w:t>
      </w:r>
    </w:p>
    <w:p w14:paraId="353B1310">
      <w:pPr>
        <w:pStyle w:val="8"/>
        <w:jc w:val="left"/>
      </w:pPr>
      <w:r>
        <w:rPr>
          <w:rFonts w:ascii="仿宋_GB2312" w:hAnsi="仿宋_GB2312" w:eastAsia="仿宋_GB2312" w:cs="仿宋_GB2312"/>
        </w:rPr>
        <w:t xml:space="preserve"> 法定代表人或主要负责人（授权代表）：</w:t>
      </w:r>
    </w:p>
    <w:p w14:paraId="3DA5922D">
      <w:pPr>
        <w:pStyle w:val="8"/>
        <w:jc w:val="left"/>
      </w:pPr>
      <w:r>
        <w:rPr>
          <w:rFonts w:ascii="仿宋_GB2312" w:hAnsi="仿宋_GB2312" w:eastAsia="仿宋_GB2312" w:cs="仿宋_GB2312"/>
        </w:rPr>
        <w:t xml:space="preserve"> 地 址：</w:t>
      </w:r>
    </w:p>
    <w:p w14:paraId="358E5892">
      <w:pPr>
        <w:pStyle w:val="8"/>
        <w:jc w:val="left"/>
      </w:pPr>
      <w:r>
        <w:rPr>
          <w:rFonts w:ascii="仿宋_GB2312" w:hAnsi="仿宋_GB2312" w:eastAsia="仿宋_GB2312" w:cs="仿宋_GB2312"/>
        </w:rPr>
        <w:t xml:space="preserve"> 开户银行：</w:t>
      </w:r>
    </w:p>
    <w:p w14:paraId="3F81DF09">
      <w:pPr>
        <w:pStyle w:val="8"/>
        <w:jc w:val="left"/>
      </w:pPr>
      <w:r>
        <w:rPr>
          <w:rFonts w:ascii="仿宋_GB2312" w:hAnsi="仿宋_GB2312" w:eastAsia="仿宋_GB2312" w:cs="仿宋_GB2312"/>
        </w:rPr>
        <w:t xml:space="preserve"> 账号：</w:t>
      </w:r>
    </w:p>
    <w:p w14:paraId="67FEBF07">
      <w:pPr>
        <w:pStyle w:val="8"/>
        <w:jc w:val="left"/>
      </w:pPr>
      <w:r>
        <w:rPr>
          <w:rFonts w:ascii="仿宋_GB2312" w:hAnsi="仿宋_GB2312" w:eastAsia="仿宋_GB2312" w:cs="仿宋_GB2312"/>
        </w:rPr>
        <w:t xml:space="preserve"> 签订时间： 年 月 日</w:t>
      </w:r>
    </w:p>
    <w:p w14:paraId="43F2908E">
      <w:pPr>
        <w:pStyle w:val="8"/>
        <w:jc w:val="left"/>
      </w:pPr>
      <w:r>
        <w:rPr>
          <w:rFonts w:ascii="仿宋_GB2312" w:hAnsi="仿宋_GB2312" w:eastAsia="仿宋_GB2312" w:cs="仿宋_GB2312"/>
        </w:rPr>
        <w:t xml:space="preserve"> 乙方：(盖章）</w:t>
      </w:r>
    </w:p>
    <w:p w14:paraId="7E3B926C">
      <w:pPr>
        <w:pStyle w:val="8"/>
        <w:jc w:val="left"/>
      </w:pPr>
      <w:r>
        <w:rPr>
          <w:rFonts w:ascii="仿宋_GB2312" w:hAnsi="仿宋_GB2312" w:eastAsia="仿宋_GB2312" w:cs="仿宋_GB2312"/>
        </w:rPr>
        <w:t xml:space="preserve"> 法定代表人或主要负责人（授权代表）：</w:t>
      </w:r>
    </w:p>
    <w:p w14:paraId="446C0DC3">
      <w:pPr>
        <w:pStyle w:val="8"/>
        <w:jc w:val="left"/>
      </w:pPr>
      <w:r>
        <w:rPr>
          <w:rFonts w:ascii="仿宋_GB2312" w:hAnsi="仿宋_GB2312" w:eastAsia="仿宋_GB2312" w:cs="仿宋_GB2312"/>
        </w:rPr>
        <w:t xml:space="preserve"> 地 址：</w:t>
      </w:r>
    </w:p>
    <w:p w14:paraId="1F5843EE">
      <w:pPr>
        <w:pStyle w:val="8"/>
        <w:jc w:val="left"/>
      </w:pPr>
      <w:r>
        <w:rPr>
          <w:rFonts w:ascii="仿宋_GB2312" w:hAnsi="仿宋_GB2312" w:eastAsia="仿宋_GB2312" w:cs="仿宋_GB2312"/>
        </w:rPr>
        <w:t xml:space="preserve"> 开户银行：</w:t>
      </w:r>
    </w:p>
    <w:p w14:paraId="20E67752">
      <w:pPr>
        <w:pStyle w:val="8"/>
        <w:jc w:val="left"/>
      </w:pPr>
      <w:r>
        <w:rPr>
          <w:rFonts w:ascii="仿宋_GB2312" w:hAnsi="仿宋_GB2312" w:eastAsia="仿宋_GB2312" w:cs="仿宋_GB2312"/>
        </w:rPr>
        <w:t xml:space="preserve"> 账号：</w:t>
      </w:r>
    </w:p>
    <w:p w14:paraId="68C181E0">
      <w:pPr>
        <w:pStyle w:val="8"/>
        <w:jc w:val="left"/>
      </w:pPr>
      <w:r>
        <w:rPr>
          <w:rFonts w:ascii="仿宋_GB2312" w:hAnsi="仿宋_GB2312" w:eastAsia="仿宋_GB2312" w:cs="仿宋_GB2312"/>
        </w:rPr>
        <w:t xml:space="preserve"> 签订时间： 年 月 日</w:t>
      </w:r>
    </w:p>
    <w:p w14:paraId="2788258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8A73FC"/>
    <w:multiLevelType w:val="singleLevel"/>
    <w:tmpl w:val="D38A73FC"/>
    <w:lvl w:ilvl="0" w:tentative="0">
      <w:start w:val="3"/>
      <w:numFmt w:val="decimal"/>
      <w:lvlText w:val="%1."/>
      <w:lvlJc w:val="left"/>
      <w:pPr>
        <w:tabs>
          <w:tab w:val="left" w:pos="312"/>
        </w:tabs>
      </w:pPr>
    </w:lvl>
  </w:abstractNum>
  <w:abstractNum w:abstractNumId="1">
    <w:nsid w:val="26FA1848"/>
    <w:multiLevelType w:val="singleLevel"/>
    <w:tmpl w:val="26FA1848"/>
    <w:lvl w:ilvl="0" w:tentative="0">
      <w:start w:val="5"/>
      <w:numFmt w:val="chineseCounting"/>
      <w:suff w:val="nothing"/>
      <w:lvlText w:val="%1、"/>
      <w:lvlJc w:val="left"/>
      <w:pPr>
        <w:ind w:left="100" w:leftChars="0" w:firstLine="0" w:firstLineChars="0"/>
      </w:pPr>
      <w:rPr>
        <w:rFonts w:hint="eastAsia"/>
      </w:rPr>
    </w:lvl>
  </w:abstractNum>
  <w:abstractNum w:abstractNumId="2">
    <w:nsid w:val="27E849A9"/>
    <w:multiLevelType w:val="singleLevel"/>
    <w:tmpl w:val="27E849A9"/>
    <w:lvl w:ilvl="0" w:tentative="0">
      <w:start w:val="2"/>
      <w:numFmt w:val="chineseCounting"/>
      <w:suff w:val="nothing"/>
      <w:lvlText w:val="%1、"/>
      <w:lvlJc w:val="left"/>
      <w:pPr>
        <w:ind w:left="140" w:leftChars="0" w:firstLine="0" w:firstLineChars="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A070B"/>
    <w:rsid w:val="013236AD"/>
    <w:rsid w:val="02F20E19"/>
    <w:rsid w:val="03C6452A"/>
    <w:rsid w:val="07A65F86"/>
    <w:rsid w:val="08153ECA"/>
    <w:rsid w:val="08D40715"/>
    <w:rsid w:val="0D076022"/>
    <w:rsid w:val="17FB2C27"/>
    <w:rsid w:val="18E84F59"/>
    <w:rsid w:val="19AA0632"/>
    <w:rsid w:val="1CFF2872"/>
    <w:rsid w:val="1E2E4EDC"/>
    <w:rsid w:val="25BF5294"/>
    <w:rsid w:val="28CA642A"/>
    <w:rsid w:val="34833930"/>
    <w:rsid w:val="3E360A40"/>
    <w:rsid w:val="3F5860E5"/>
    <w:rsid w:val="3F650802"/>
    <w:rsid w:val="3F732F1F"/>
    <w:rsid w:val="40D64955"/>
    <w:rsid w:val="42D00689"/>
    <w:rsid w:val="4365748F"/>
    <w:rsid w:val="43F16B09"/>
    <w:rsid w:val="480D1A37"/>
    <w:rsid w:val="4B183AE0"/>
    <w:rsid w:val="4C4749A4"/>
    <w:rsid w:val="502838B2"/>
    <w:rsid w:val="564156CE"/>
    <w:rsid w:val="598F1888"/>
    <w:rsid w:val="5DE057CC"/>
    <w:rsid w:val="641E76A1"/>
    <w:rsid w:val="65E971E8"/>
    <w:rsid w:val="6B0A1664"/>
    <w:rsid w:val="6D581840"/>
    <w:rsid w:val="72DB6A04"/>
    <w:rsid w:val="73AF381F"/>
    <w:rsid w:val="73D72D76"/>
    <w:rsid w:val="761248D7"/>
    <w:rsid w:val="785A78DF"/>
    <w:rsid w:val="7A990D85"/>
    <w:rsid w:val="7DEC38C1"/>
    <w:rsid w:val="7E203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1"/>
    <w:rPr>
      <w:rFonts w:ascii="宋体" w:hAnsi="宋体" w:eastAsia="宋体" w:cs="宋体"/>
      <w:sz w:val="32"/>
      <w:szCs w:val="32"/>
      <w:lang w:val="zh-CN" w:eastAsia="zh-CN" w:bidi="zh-CN"/>
    </w:rPr>
  </w:style>
  <w:style w:type="paragraph" w:styleId="4">
    <w:name w:val="Subtitle"/>
    <w:basedOn w:val="1"/>
    <w:next w:val="1"/>
    <w:qFormat/>
    <w:uiPriority w:val="0"/>
    <w:pPr>
      <w:spacing w:before="240" w:after="60" w:line="312" w:lineRule="auto"/>
      <w:jc w:val="center"/>
      <w:outlineLvl w:val="1"/>
    </w:pPr>
    <w:rPr>
      <w:rFonts w:ascii="Cambria" w:hAnsi="Cambria"/>
      <w:b/>
      <w:bCs/>
      <w:kern w:val="28"/>
      <w:sz w:val="32"/>
      <w:szCs w:val="32"/>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2755</Words>
  <Characters>2878</Characters>
  <Lines>0</Lines>
  <Paragraphs>0</Paragraphs>
  <TotalTime>23</TotalTime>
  <ScaleCrop>false</ScaleCrop>
  <LinksUpToDate>false</LinksUpToDate>
  <CharactersWithSpaces>2966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2026-04-20T09:13:00Z</dcterms:created>
  <dc:creator>admin</dc:creator>
  <cp:lastModifiedBy>99</cp:lastModifiedBy>
  <dcterms:modified xsi:type="dcterms:W3CDTF">2026-04-22T03:45:44Z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eyJoZGlkIjoiY2FkMzFmZDdhZGFiODVkMjc1OGU0ODc3MWJkOTU5ZDkifQ==</vt:lpwstr>
  </property>
  <property fmtid="{D5CDD505-2E9C-101B-9397-08002B2CF9AE}" pid="4" name="ICV">
    <vt:lpwstr>DF16945D171B4D19BBE7FBC51B179993_13</vt:lpwstr>
  </property>
</Properties>
</file>