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版本号：N510501202600006420260414001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物业管理及后勤服务(二次)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N5105012026000064</w:t>
      </w:r>
    </w:p>
    <w:p>
      <w:pPr>
        <w:pStyle w:val="null3"/>
        <w:jc w:val="left"/>
        <w:outlineLvl w:val="2"/>
      </w:pPr>
      <w:r>
        <w:rPr>
          <w:rFonts w:ascii="仿宋_GB2312" w:hAnsi="仿宋_GB2312" w:cs="仿宋_GB2312" w:eastAsia="仿宋_GB2312"/>
          <w:sz w:val="28"/>
          <w:b/>
        </w:rPr>
        <w:t>泸州开放大学（泸州社区大学、泸州市文化研究中心）</w:t>
      </w:r>
    </w:p>
    <w:p>
      <w:pPr>
        <w:pStyle w:val="null3"/>
        <w:jc w:val="center"/>
        <w:outlineLvl w:val="2"/>
      </w:pPr>
      <w:r>
        <w:rPr>
          <w:rFonts w:ascii="仿宋_GB2312" w:hAnsi="仿宋_GB2312" w:cs="仿宋_GB2312" w:eastAsia="仿宋_GB2312"/>
          <w:sz w:val="28"/>
          <w:b/>
        </w:rPr>
        <w:t>泸州市人民政府采购中心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泸州市人民政府采购中心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泸州开放大学（泸州社区大学、泸州市文化研究中心）</w:t>
      </w:r>
      <w:r>
        <w:rPr>
          <w:rFonts w:ascii="仿宋_GB2312" w:hAnsi="仿宋_GB2312" w:cs="仿宋_GB2312" w:eastAsia="仿宋_GB2312"/>
        </w:rPr>
        <w:t xml:space="preserve"> 委托，拟对 </w:t>
      </w:r>
      <w:r>
        <w:rPr>
          <w:rFonts w:ascii="仿宋_GB2312" w:hAnsi="仿宋_GB2312" w:cs="仿宋_GB2312" w:eastAsia="仿宋_GB2312"/>
        </w:rPr>
        <w:t>物业管理及后勤服务(二次)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N5105012026000064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物业管理及后勤服务(二次)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为泸州开放大学提供物业管理及后勤服务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泸州开放大学（泸州社区大学、泸州市文化研究中心）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泸州市龙马潭区九狮路3段1号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13508030431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泸州市人民政府采购中心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四川省泸州市龙马潭区学府路1号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况女士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0830-3102699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泸州开放大学（泸州社区大学、泸州市文化研究中心）</w:t>
      </w:r>
      <w:r>
        <w:rPr>
          <w:rFonts w:ascii="仿宋_GB2312" w:hAnsi="仿宋_GB2312" w:cs="仿宋_GB2312" w:eastAsia="仿宋_GB2312"/>
        </w:rPr>
        <w:t xml:space="preserve"> 和 </w:t>
      </w:r>
      <w:r>
        <w:rPr>
          <w:rFonts w:ascii="仿宋_GB2312" w:hAnsi="仿宋_GB2312" w:cs="仿宋_GB2312" w:eastAsia="仿宋_GB2312"/>
        </w:rPr>
        <w:t>泸州市人民政府采购中心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泸州开放大学（泸州社区大学、泸州市文化研究中心）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泸州市人民政府采购中心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完成第一季度物业管理及后勤服务后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完成第二季度物业管理及后勤服务后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完成第三季度物业管理及后勤服务后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完成第四季度物业管理及后勤服务后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按照《中华人民共和国政府采购法》等相关法律法规、采购文件、响应文件及行业规范执行。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按照《中华人民共和国政府采购法》等相关法律法规、采购文件、响应文件及行业规范执行。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按照《中华人民共和国政府采购法》等相关法律法规、采购文件、响应文件及行业规范执行。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政府采购相关法律法规以及《财政部关于进一步加强政府采购需求和履约验收管理的指导意见》（财库〔2016〕205号）的要求、采购文件的质量要求和技术指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按照《中华人民共和国政府采购法》等相关法律法规、采购文件、响应文件及行业规范执行。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泸州开放大学（泸州社区大学、泸州市文化研究中心）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联系电话：13508030431</w:t>
      </w:r>
    </w:p>
    <w:p>
      <w:pPr>
        <w:pStyle w:val="null3"/>
        <w:jc w:val="left"/>
      </w:pPr>
      <w:r>
        <w:rPr>
          <w:rFonts w:ascii="仿宋_GB2312" w:hAnsi="仿宋_GB2312" w:cs="仿宋_GB2312" w:eastAsia="仿宋_GB2312"/>
        </w:rPr>
        <w:t>地址：泸州市龙马潭区九狮路3段1号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联系人：况女士（文件咨询）</w:t>
      </w:r>
    </w:p>
    <w:p>
      <w:pPr>
        <w:pStyle w:val="null3"/>
        <w:jc w:val="left"/>
      </w:pPr>
      <w:r>
        <w:rPr>
          <w:rFonts w:ascii="仿宋_GB2312" w:hAnsi="仿宋_GB2312" w:cs="仿宋_GB2312" w:eastAsia="仿宋_GB2312"/>
        </w:rPr>
        <w:t>联系电话：0830-3102699</w:t>
      </w:r>
    </w:p>
    <w:p>
      <w:pPr>
        <w:pStyle w:val="null3"/>
        <w:jc w:val="left"/>
      </w:pPr>
      <w:r>
        <w:rPr>
          <w:rFonts w:ascii="仿宋_GB2312" w:hAnsi="仿宋_GB2312" w:cs="仿宋_GB2312" w:eastAsia="仿宋_GB2312"/>
        </w:rPr>
        <w:t>地址：泸州市龙马潭区学府路1号C栋8楼</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联系人：黄女士（开评标咨询）</w:t>
      </w:r>
    </w:p>
    <w:p>
      <w:pPr>
        <w:pStyle w:val="null3"/>
        <w:jc w:val="left"/>
      </w:pPr>
      <w:r>
        <w:rPr>
          <w:rFonts w:ascii="仿宋_GB2312" w:hAnsi="仿宋_GB2312" w:cs="仿宋_GB2312" w:eastAsia="仿宋_GB2312"/>
        </w:rPr>
        <w:t>联系电话：0830-3156825</w:t>
      </w:r>
    </w:p>
    <w:p>
      <w:pPr>
        <w:pStyle w:val="null3"/>
        <w:jc w:val="left"/>
      </w:pPr>
      <w:r>
        <w:rPr>
          <w:rFonts w:ascii="仿宋_GB2312" w:hAnsi="仿宋_GB2312" w:cs="仿宋_GB2312" w:eastAsia="仿宋_GB2312"/>
        </w:rPr>
        <w:t>地址：泸州市龙马潭区学府路1号E栋4楼</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物业管理及后勤服务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物业管理及后勤服务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标的名称：物业管理及后勤服务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一、服务范围</w:t>
            </w:r>
          </w:p>
        </w:tc>
        <w:tc>
          <w:tcPr>
            <w:tcW w:type="dxa" w:w="5814"/>
          </w:tcPr>
          <w:p>
            <w:pPr>
              <w:pStyle w:val="null3"/>
              <w:ind w:firstLine="480"/>
              <w:jc w:val="left"/>
            </w:pPr>
            <w:r>
              <w:rPr>
                <w:rFonts w:ascii="仿宋_GB2312" w:hAnsi="仿宋_GB2312" w:cs="仿宋_GB2312" w:eastAsia="仿宋_GB2312"/>
                <w:sz w:val="21"/>
              </w:rPr>
              <w:t>本项目服务范围为</w:t>
            </w:r>
            <w:r>
              <w:rPr>
                <w:rFonts w:ascii="仿宋_GB2312" w:hAnsi="仿宋_GB2312" w:cs="仿宋_GB2312" w:eastAsia="仿宋_GB2312"/>
                <w:sz w:val="21"/>
              </w:rPr>
              <w:t>泸州开放大学校园内（</w:t>
            </w:r>
            <w:r>
              <w:rPr>
                <w:rFonts w:ascii="仿宋_GB2312" w:hAnsi="仿宋_GB2312" w:cs="仿宋_GB2312" w:eastAsia="仿宋_GB2312"/>
                <w:sz w:val="21"/>
              </w:rPr>
              <w:t>泸州市龙马潭区九狮路三段1号），服务内容包括：秩序维护、常规卫生保洁、场馆专项保洁、日常水电及消防设施专业维护。项目建筑面积 3.37 万平方米，共有电梯 5 台。</w:t>
            </w:r>
          </w:p>
          <w:p>
            <w:pPr>
              <w:pStyle w:val="null3"/>
              <w:ind w:firstLine="480"/>
              <w:jc w:val="left"/>
            </w:pPr>
            <w:r>
              <w:rPr>
                <w:rFonts w:ascii="仿宋_GB2312" w:hAnsi="仿宋_GB2312" w:cs="仿宋_GB2312" w:eastAsia="仿宋_GB2312"/>
                <w:sz w:val="21"/>
              </w:rPr>
              <w:t>1.校园分布</w:t>
            </w:r>
          </w:p>
          <w:p>
            <w:pPr>
              <w:pStyle w:val="null3"/>
              <w:ind w:firstLine="480"/>
              <w:jc w:val="left"/>
            </w:pPr>
            <w:r>
              <w:rPr>
                <w:rFonts w:ascii="仿宋_GB2312" w:hAnsi="仿宋_GB2312" w:cs="仿宋_GB2312" w:eastAsia="仿宋_GB2312"/>
                <w:sz w:val="21"/>
              </w:rPr>
              <w:t>1.1体验馆：</w:t>
            </w:r>
          </w:p>
          <w:tbl>
            <w:tblPr>
              <w:tblInd w:type="dxa" w:w="225"/>
              <w:tblBorders>
                <w:top w:val="none" w:color="000000" w:sz="4"/>
                <w:left w:val="none" w:color="000000" w:sz="4"/>
                <w:bottom w:val="none" w:color="000000" w:sz="4"/>
                <w:right w:val="none" w:color="000000" w:sz="4"/>
                <w:insideH w:val="none"/>
                <w:insideV w:val="none"/>
              </w:tblBorders>
            </w:tblPr>
            <w:tblGrid>
              <w:gridCol w:w="1250"/>
              <w:gridCol w:w="2436"/>
              <w:gridCol w:w="1913"/>
            </w:tblGrid>
            <w:tr>
              <w:tc>
                <w:tcPr>
                  <w:tcW w:type="dxa" w:w="12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功能分布</w:t>
                  </w:r>
                </w:p>
              </w:tc>
              <w:tc>
                <w:tcPr>
                  <w:tcW w:type="dxa" w:w="19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一楼</w:t>
                  </w:r>
                </w:p>
              </w:tc>
              <w:tc>
                <w:tcPr>
                  <w:tcW w:type="dxa" w:w="2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儿童职业体验馆、茶艺馆</w:t>
                  </w:r>
                </w:p>
              </w:tc>
              <w:tc>
                <w:tcPr>
                  <w:tcW w:type="dxa" w:w="191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整栋建筑面积约0.6万方米</w:t>
                  </w:r>
                </w:p>
              </w:tc>
            </w:tr>
            <w:tr>
              <w:tc>
                <w:tcPr>
                  <w:tcW w:type="dxa" w:w="1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二楼</w:t>
                  </w:r>
                </w:p>
              </w:tc>
              <w:tc>
                <w:tcPr>
                  <w:tcW w:type="dxa" w:w="2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激光打靶室、禁毒馆、卫生间</w:t>
                  </w:r>
                </w:p>
              </w:tc>
              <w:tc>
                <w:tcPr>
                  <w:tcW w:type="dxa" w:w="1913"/>
                  <w:vMerge/>
                  <w:tcBorders>
                    <w:top w:val="none" w:color="000000" w:sz="4"/>
                    <w:left w:val="none" w:color="000000" w:sz="4"/>
                    <w:bottom w:val="single" w:color="000000" w:sz="4"/>
                    <w:right w:val="single" w:color="000000" w:sz="4"/>
                  </w:tcBorders>
                </w:tcPr>
                <w:p/>
              </w:tc>
            </w:tr>
            <w:tr>
              <w:tc>
                <w:tcPr>
                  <w:tcW w:type="dxa" w:w="1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三楼</w:t>
                  </w:r>
                </w:p>
              </w:tc>
              <w:tc>
                <w:tcPr>
                  <w:tcW w:type="dxa" w:w="2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多功能报告厅、卫生间</w:t>
                  </w:r>
                </w:p>
              </w:tc>
              <w:tc>
                <w:tcPr>
                  <w:tcW w:type="dxa" w:w="1913"/>
                  <w:vMerge/>
                  <w:tcBorders>
                    <w:top w:val="none" w:color="000000" w:sz="4"/>
                    <w:left w:val="none" w:color="000000" w:sz="4"/>
                    <w:bottom w:val="single" w:color="000000" w:sz="4"/>
                    <w:right w:val="single" w:color="000000" w:sz="4"/>
                  </w:tcBorders>
                </w:tcPr>
                <w:p/>
              </w:tc>
            </w:tr>
            <w:tr>
              <w:tc>
                <w:tcPr>
                  <w:tcW w:type="dxa" w:w="1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四楼</w:t>
                  </w:r>
                </w:p>
              </w:tc>
              <w:tc>
                <w:tcPr>
                  <w:tcW w:type="dxa" w:w="2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计算机教室（机房）、卫生间</w:t>
                  </w:r>
                </w:p>
              </w:tc>
              <w:tc>
                <w:tcPr>
                  <w:tcW w:type="dxa" w:w="1913"/>
                  <w:vMerge/>
                  <w:tcBorders>
                    <w:top w:val="none" w:color="000000" w:sz="4"/>
                    <w:left w:val="none" w:color="000000" w:sz="4"/>
                    <w:bottom w:val="single" w:color="000000" w:sz="4"/>
                    <w:right w:val="single" w:color="000000" w:sz="4"/>
                  </w:tcBorders>
                </w:tcPr>
                <w:p/>
              </w:tc>
            </w:tr>
          </w:tbl>
          <w:p>
            <w:pPr>
              <w:pStyle w:val="null3"/>
              <w:ind w:firstLine="480"/>
              <w:jc w:val="left"/>
            </w:pPr>
            <w:r>
              <w:rPr>
                <w:rFonts w:ascii="仿宋_GB2312" w:hAnsi="仿宋_GB2312" w:cs="仿宋_GB2312" w:eastAsia="仿宋_GB2312"/>
                <w:sz w:val="21"/>
              </w:rPr>
              <w:t>1.2实训楼</w:t>
            </w:r>
          </w:p>
          <w:tbl>
            <w:tblPr>
              <w:tblInd w:type="dxa" w:w="225"/>
              <w:tblBorders>
                <w:top w:val="none" w:color="000000" w:sz="4"/>
                <w:left w:val="none" w:color="000000" w:sz="4"/>
                <w:bottom w:val="none" w:color="000000" w:sz="4"/>
                <w:right w:val="none" w:color="000000" w:sz="4"/>
                <w:insideH w:val="none"/>
                <w:insideV w:val="none"/>
              </w:tblBorders>
            </w:tblPr>
            <w:tblGrid>
              <w:gridCol w:w="1237"/>
              <w:gridCol w:w="2448"/>
              <w:gridCol w:w="1913"/>
            </w:tblGrid>
            <w:tr>
              <w:tc>
                <w:tcPr>
                  <w:tcW w:type="dxa" w:w="12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功能分布</w:t>
                  </w:r>
                </w:p>
              </w:tc>
              <w:tc>
                <w:tcPr>
                  <w:tcW w:type="dxa" w:w="19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负一楼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地下停车场</w:t>
                  </w:r>
                </w:p>
              </w:tc>
              <w:tc>
                <w:tcPr>
                  <w:tcW w:type="dxa" w:w="191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整栋建筑面积约1.8万方米</w:t>
                  </w: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保健室、招生办公室、教务科、学生服务中心、消防控制室、创意搭建室、卫生间</w:t>
                  </w:r>
                </w:p>
              </w:tc>
              <w:tc>
                <w:tcPr>
                  <w:tcW w:type="dxa" w:w="1913"/>
                  <w:vMerge/>
                  <w:tcBorders>
                    <w:top w:val="none" w:color="000000" w:sz="4"/>
                    <w:left w:val="none" w:color="000000" w:sz="4"/>
                    <w:bottom w:val="single" w:color="000000" w:sz="4"/>
                    <w:right w:val="single" w:color="000000" w:sz="4"/>
                  </w:tcBorders>
                </w:tcP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监控室、法治教育馆、青少年智慧成长中心、人民防空教育馆、真人CS装备室、卫生间</w:t>
                  </w:r>
                </w:p>
              </w:tc>
              <w:tc>
                <w:tcPr>
                  <w:tcW w:type="dxa" w:w="1913"/>
                  <w:vMerge/>
                  <w:tcBorders>
                    <w:top w:val="none" w:color="000000" w:sz="4"/>
                    <w:left w:val="none" w:color="000000" w:sz="4"/>
                    <w:bottom w:val="single" w:color="000000" w:sz="4"/>
                    <w:right w:val="single" w:color="000000" w:sz="4"/>
                  </w:tcBorders>
                </w:tcP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视频监控室、保管室、红色文化、思维训练、消防安全、生活美学、生态环保、科学探究、地方非遗、民间工艺等教室、卫生间</w:t>
                  </w:r>
                </w:p>
              </w:tc>
              <w:tc>
                <w:tcPr>
                  <w:tcW w:type="dxa" w:w="1913"/>
                  <w:vMerge/>
                  <w:tcBorders>
                    <w:top w:val="none" w:color="000000" w:sz="4"/>
                    <w:left w:val="none" w:color="000000" w:sz="4"/>
                    <w:bottom w:val="single" w:color="000000" w:sz="4"/>
                    <w:right w:val="single" w:color="000000" w:sz="4"/>
                  </w:tcBorders>
                </w:tcP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专题教育教研室、保管室、立体纸艺、生活美学、急救护理、耕读劳动、地方非遗、巧厨味典、铁笔丹青、航空航天等教室、卫生间</w:t>
                  </w:r>
                </w:p>
              </w:tc>
              <w:tc>
                <w:tcPr>
                  <w:tcW w:type="dxa" w:w="1913"/>
                  <w:vMerge/>
                  <w:tcBorders>
                    <w:top w:val="none" w:color="000000" w:sz="4"/>
                    <w:left w:val="none" w:color="000000" w:sz="4"/>
                    <w:bottom w:val="single" w:color="000000" w:sz="4"/>
                    <w:right w:val="single" w:color="000000" w:sz="4"/>
                  </w:tcBorders>
                </w:tcP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老年大学教室、红十字救护教室、卫生间等教室</w:t>
                  </w:r>
                </w:p>
              </w:tc>
              <w:tc>
                <w:tcPr>
                  <w:tcW w:type="dxa" w:w="1913"/>
                  <w:vMerge/>
                  <w:tcBorders>
                    <w:top w:val="none" w:color="000000" w:sz="4"/>
                    <w:left w:val="none" w:color="000000" w:sz="4"/>
                    <w:bottom w:val="single" w:color="000000" w:sz="4"/>
                    <w:right w:val="single" w:color="000000" w:sz="4"/>
                  </w:tcBorders>
                </w:tcP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会议室、人工智能活动室、库房、科技活动室、教室、卫生间等</w:t>
                  </w:r>
                </w:p>
              </w:tc>
              <w:tc>
                <w:tcPr>
                  <w:tcW w:type="dxa" w:w="1913"/>
                  <w:vMerge/>
                  <w:tcBorders>
                    <w:top w:val="none" w:color="000000" w:sz="4"/>
                    <w:left w:val="none" w:color="000000" w:sz="4"/>
                    <w:bottom w:val="single" w:color="000000" w:sz="4"/>
                    <w:right w:val="single" w:color="000000" w:sz="4"/>
                  </w:tcBorders>
                </w:tcP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男女更衣室、非遗舞蹈室、传承工作室、教室、卫生间等</w:t>
                  </w:r>
                </w:p>
              </w:tc>
              <w:tc>
                <w:tcPr>
                  <w:tcW w:type="dxa" w:w="1913"/>
                  <w:vMerge/>
                  <w:tcBorders>
                    <w:top w:val="none" w:color="000000" w:sz="4"/>
                    <w:left w:val="none" w:color="000000" w:sz="4"/>
                    <w:bottom w:val="single" w:color="000000" w:sz="4"/>
                    <w:right w:val="single" w:color="000000" w:sz="4"/>
                  </w:tcBorders>
                </w:tcPr>
                <w:p/>
              </w:tc>
            </w:tr>
            <w:tr>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八楼</w:t>
                  </w:r>
                </w:p>
              </w:tc>
              <w:tc>
                <w:tcPr>
                  <w:tcW w:type="dxa" w:w="24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办公室、教室、卫生间等</w:t>
                  </w:r>
                </w:p>
              </w:tc>
              <w:tc>
                <w:tcPr>
                  <w:tcW w:type="dxa" w:w="1913"/>
                  <w:vMerge/>
                  <w:tcBorders>
                    <w:top w:val="none" w:color="000000" w:sz="4"/>
                    <w:left w:val="none" w:color="000000" w:sz="4"/>
                    <w:bottom w:val="single" w:color="000000" w:sz="4"/>
                    <w:right w:val="single" w:color="000000" w:sz="4"/>
                  </w:tcBorders>
                </w:tcPr>
                <w:p/>
              </w:tc>
            </w:tr>
          </w:tbl>
          <w:p>
            <w:pPr>
              <w:pStyle w:val="null3"/>
              <w:ind w:firstLine="480"/>
              <w:jc w:val="left"/>
            </w:pPr>
            <w:r>
              <w:rPr>
                <w:rFonts w:ascii="仿宋_GB2312" w:hAnsi="仿宋_GB2312" w:cs="仿宋_GB2312" w:eastAsia="仿宋_GB2312"/>
                <w:sz w:val="21"/>
              </w:rPr>
              <w:t>1.3综合楼</w:t>
            </w:r>
          </w:p>
          <w:tbl>
            <w:tblPr>
              <w:tblInd w:type="dxa" w:w="225"/>
              <w:tblBorders>
                <w:top w:val="none" w:color="000000" w:sz="4"/>
                <w:left w:val="none" w:color="000000" w:sz="4"/>
                <w:bottom w:val="none" w:color="000000" w:sz="4"/>
                <w:right w:val="none" w:color="000000" w:sz="4"/>
                <w:insideH w:val="none"/>
                <w:insideV w:val="none"/>
              </w:tblBorders>
            </w:tblPr>
            <w:tblGrid>
              <w:gridCol w:w="1243"/>
              <w:gridCol w:w="2447"/>
              <w:gridCol w:w="1909"/>
            </w:tblGrid>
            <w:tr>
              <w:tc>
                <w:tcPr>
                  <w:tcW w:type="dxa" w:w="124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功能分布</w:t>
                  </w:r>
                </w:p>
              </w:tc>
              <w:tc>
                <w:tcPr>
                  <w:tcW w:type="dxa" w:w="19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w:t>
                  </w:r>
                </w:p>
              </w:tc>
              <w:tc>
                <w:tcPr>
                  <w:tcW w:type="dxa" w:w="2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会议室、信息技术中心、领导办公室、卫生间</w:t>
                  </w:r>
                </w:p>
              </w:tc>
              <w:tc>
                <w:tcPr>
                  <w:tcW w:type="dxa" w:w="190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建筑面积约0.3万方米</w:t>
                  </w:r>
                </w:p>
              </w:tc>
            </w:tr>
            <w:tr>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二层</w:t>
                  </w:r>
                </w:p>
              </w:tc>
              <w:tc>
                <w:tcPr>
                  <w:tcW w:type="dxa" w:w="2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安全学生科、财务科、社区教育办公室、文研中心、总务科、卫生间</w:t>
                  </w:r>
                </w:p>
              </w:tc>
              <w:tc>
                <w:tcPr>
                  <w:tcW w:type="dxa" w:w="1909"/>
                  <w:vMerge/>
                  <w:tcBorders>
                    <w:top w:val="none" w:color="000000" w:sz="4"/>
                    <w:left w:val="none" w:color="000000" w:sz="4"/>
                    <w:bottom w:val="single" w:color="000000" w:sz="4"/>
                    <w:right w:val="single" w:color="000000" w:sz="4"/>
                  </w:tcBorders>
                </w:tcPr>
                <w:p/>
              </w:tc>
            </w:tr>
            <w:tr>
              <w:tc>
                <w:tcPr>
                  <w:tcW w:type="dxa" w:w="12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三层</w:t>
                  </w:r>
                </w:p>
              </w:tc>
              <w:tc>
                <w:tcPr>
                  <w:tcW w:type="dxa" w:w="24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会议室、校园纠纷调解室、退委会办公室、工会办公室、校团委办公室、卫生间</w:t>
                  </w:r>
                </w:p>
              </w:tc>
              <w:tc>
                <w:tcPr>
                  <w:tcW w:type="dxa" w:w="1909"/>
                  <w:vMerge/>
                  <w:tcBorders>
                    <w:top w:val="none" w:color="000000" w:sz="4"/>
                    <w:left w:val="none" w:color="000000" w:sz="4"/>
                    <w:bottom w:val="single" w:color="000000" w:sz="4"/>
                    <w:right w:val="single" w:color="000000" w:sz="4"/>
                  </w:tcBorders>
                </w:tcPr>
                <w:p/>
              </w:tc>
            </w:tr>
          </w:tbl>
          <w:p>
            <w:pPr>
              <w:pStyle w:val="null3"/>
              <w:ind w:firstLine="400"/>
              <w:jc w:val="left"/>
            </w:pPr>
            <w:r>
              <w:rPr>
                <w:rFonts w:ascii="仿宋_GB2312" w:hAnsi="仿宋_GB2312" w:cs="仿宋_GB2312" w:eastAsia="仿宋_GB2312"/>
                <w:sz w:val="21"/>
              </w:rPr>
              <w:t>2.服务区域包含露天游泳池、运动场、足球场、篮球场、高空作业区域、低空作业区域、红色长廊、学生公寓，合计建筑面积0.67万平方米。</w:t>
            </w:r>
          </w:p>
          <w:p>
            <w:pPr>
              <w:pStyle w:val="null3"/>
              <w:ind w:firstLine="480"/>
              <w:jc w:val="left"/>
            </w:pPr>
            <w:r>
              <w:rPr>
                <w:rFonts w:ascii="仿宋_GB2312" w:hAnsi="仿宋_GB2312" w:cs="仿宋_GB2312" w:eastAsia="仿宋_GB2312"/>
                <w:sz w:val="21"/>
              </w:rPr>
              <w:t>3.服务范围内各楼层分布仅供参考，以现场实际分布情况为准。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二、服务内容及要求</w:t>
            </w:r>
          </w:p>
        </w:tc>
        <w:tc>
          <w:tcPr>
            <w:tcW w:type="dxa" w:w="5814"/>
          </w:tcPr>
          <w:p>
            <w:pPr>
              <w:pStyle w:val="null3"/>
              <w:ind w:firstLine="422"/>
              <w:jc w:val="left"/>
            </w:pPr>
            <w:r>
              <w:rPr>
                <w:rFonts w:ascii="仿宋_GB2312" w:hAnsi="仿宋_GB2312" w:cs="仿宋_GB2312" w:eastAsia="仿宋_GB2312"/>
                <w:sz w:val="21"/>
                <w:b/>
              </w:rPr>
              <w:t>（一）保洁卫生要求</w:t>
            </w:r>
          </w:p>
          <w:p>
            <w:pPr>
              <w:pStyle w:val="null3"/>
              <w:ind w:firstLine="420"/>
              <w:jc w:val="left"/>
            </w:pPr>
            <w:r>
              <w:rPr>
                <w:rFonts w:ascii="仿宋_GB2312" w:hAnsi="仿宋_GB2312" w:cs="仿宋_GB2312" w:eastAsia="仿宋_GB2312"/>
                <w:sz w:val="21"/>
              </w:rPr>
              <w:t>1.综合楼、体验馆卫生工作</w:t>
            </w:r>
          </w:p>
          <w:p>
            <w:pPr>
              <w:pStyle w:val="null3"/>
              <w:ind w:firstLine="420"/>
              <w:jc w:val="left"/>
            </w:pPr>
            <w:r>
              <w:rPr>
                <w:rFonts w:ascii="仿宋_GB2312" w:hAnsi="仿宋_GB2312" w:cs="仿宋_GB2312" w:eastAsia="仿宋_GB2312"/>
                <w:sz w:val="21"/>
              </w:rPr>
              <w:t>（1）综合楼卫生工作</w:t>
            </w:r>
          </w:p>
          <w:p>
            <w:pPr>
              <w:pStyle w:val="null3"/>
              <w:ind w:firstLine="403"/>
              <w:jc w:val="left"/>
            </w:pPr>
            <w:r>
              <w:rPr>
                <w:rFonts w:ascii="仿宋_GB2312" w:hAnsi="仿宋_GB2312" w:cs="仿宋_GB2312" w:eastAsia="仿宋_GB2312"/>
                <w:sz w:val="21"/>
              </w:rPr>
              <w:t>①4～6楼步梯、公共通道和厕所每天至少清洁一次；随时保洁。</w:t>
            </w:r>
          </w:p>
          <w:p>
            <w:pPr>
              <w:pStyle w:val="null3"/>
              <w:ind w:firstLine="403"/>
              <w:jc w:val="left"/>
            </w:pPr>
            <w:r>
              <w:rPr>
                <w:rFonts w:ascii="仿宋_GB2312" w:hAnsi="仿宋_GB2312" w:cs="仿宋_GB2312" w:eastAsia="仿宋_GB2312"/>
                <w:sz w:val="21"/>
              </w:rPr>
              <w:t>②411、511、601会议室随时保持清洁（含桌椅）；其他办公室卫生每天清洁一次；玻璃每周清洁一次。</w:t>
            </w:r>
          </w:p>
          <w:p>
            <w:pPr>
              <w:pStyle w:val="null3"/>
              <w:ind w:firstLine="403"/>
              <w:jc w:val="left"/>
            </w:pPr>
            <w:r>
              <w:rPr>
                <w:rFonts w:ascii="仿宋_GB2312" w:hAnsi="仿宋_GB2312" w:cs="仿宋_GB2312" w:eastAsia="仿宋_GB2312"/>
                <w:sz w:val="21"/>
              </w:rPr>
              <w:t>③公共区域玻璃（含电梯）、立面和天花板每周清洁一次。</w:t>
            </w:r>
          </w:p>
          <w:p>
            <w:pPr>
              <w:pStyle w:val="null3"/>
              <w:ind w:firstLine="403"/>
              <w:jc w:val="left"/>
            </w:pPr>
            <w:r>
              <w:rPr>
                <w:rFonts w:ascii="仿宋_GB2312" w:hAnsi="仿宋_GB2312" w:cs="仿宋_GB2312" w:eastAsia="仿宋_GB2312"/>
                <w:sz w:val="21"/>
              </w:rPr>
              <w:t>④垃圾箱（桶）随时保洁、清倒；垃圾每天倒入垃圾库。</w:t>
            </w:r>
          </w:p>
          <w:p>
            <w:pPr>
              <w:pStyle w:val="null3"/>
              <w:ind w:firstLine="403"/>
              <w:jc w:val="left"/>
            </w:pPr>
            <w:r>
              <w:rPr>
                <w:rFonts w:ascii="仿宋_GB2312" w:hAnsi="仿宋_GB2312" w:cs="仿宋_GB2312" w:eastAsia="仿宋_GB2312"/>
                <w:sz w:val="21"/>
              </w:rPr>
              <w:t>⑤所涉及的设备设施若有损毁，及时报告总务科。</w:t>
            </w:r>
          </w:p>
          <w:p>
            <w:pPr>
              <w:pStyle w:val="null3"/>
              <w:ind w:firstLine="420"/>
              <w:jc w:val="left"/>
            </w:pPr>
            <w:r>
              <w:rPr>
                <w:rFonts w:ascii="仿宋_GB2312" w:hAnsi="仿宋_GB2312" w:cs="仿宋_GB2312" w:eastAsia="仿宋_GB2312"/>
                <w:sz w:val="21"/>
              </w:rPr>
              <w:t>（2）体验馆卫生工作</w:t>
            </w:r>
          </w:p>
          <w:p>
            <w:pPr>
              <w:pStyle w:val="null3"/>
              <w:ind w:firstLine="403"/>
              <w:jc w:val="left"/>
            </w:pPr>
            <w:r>
              <w:rPr>
                <w:rFonts w:ascii="仿宋_GB2312" w:hAnsi="仿宋_GB2312" w:cs="仿宋_GB2312" w:eastAsia="仿宋_GB2312"/>
                <w:sz w:val="21"/>
              </w:rPr>
              <w:t>①楼梯、通道、接待室、化妆室、卫生间每日清洁 1 次，实行随时保洁；玻璃、墙面及天花板每周清洁 1 次。</w:t>
            </w:r>
          </w:p>
          <w:p>
            <w:pPr>
              <w:pStyle w:val="null3"/>
              <w:ind w:firstLine="403"/>
              <w:jc w:val="left"/>
            </w:pPr>
            <w:r>
              <w:rPr>
                <w:rFonts w:ascii="仿宋_GB2312" w:hAnsi="仿宋_GB2312" w:cs="仿宋_GB2312" w:eastAsia="仿宋_GB2312"/>
                <w:sz w:val="21"/>
              </w:rPr>
              <w:t>②多功能厅（含舞台）每日保洁，每周拖洗 1 次；定期使用合规登高工具对高空灯光、音响等设施进行清洁。</w:t>
            </w:r>
          </w:p>
          <w:p>
            <w:pPr>
              <w:pStyle w:val="null3"/>
              <w:ind w:firstLine="403"/>
              <w:jc w:val="left"/>
            </w:pPr>
            <w:r>
              <w:rPr>
                <w:rFonts w:ascii="仿宋_GB2312" w:hAnsi="仿宋_GB2312" w:cs="仿宋_GB2312" w:eastAsia="仿宋_GB2312"/>
                <w:sz w:val="21"/>
              </w:rPr>
              <w:t>③举办活动期间，按要求及时清扫保洁。</w:t>
            </w:r>
          </w:p>
          <w:p>
            <w:pPr>
              <w:pStyle w:val="null3"/>
              <w:ind w:firstLine="403"/>
              <w:jc w:val="left"/>
            </w:pPr>
            <w:r>
              <w:rPr>
                <w:rFonts w:ascii="仿宋_GB2312" w:hAnsi="仿宋_GB2312" w:cs="仿宋_GB2312" w:eastAsia="仿宋_GB2312"/>
                <w:sz w:val="21"/>
              </w:rPr>
              <w:t>④所涉及的设备设施若有损毁，及时报告总务科。</w:t>
            </w:r>
          </w:p>
          <w:p>
            <w:pPr>
              <w:pStyle w:val="null3"/>
              <w:ind w:firstLine="420"/>
              <w:jc w:val="left"/>
            </w:pPr>
            <w:r>
              <w:rPr>
                <w:rFonts w:ascii="仿宋_GB2312" w:hAnsi="仿宋_GB2312" w:cs="仿宋_GB2312" w:eastAsia="仿宋_GB2312"/>
                <w:sz w:val="21"/>
              </w:rPr>
              <w:t>2.实训楼卫生工作</w:t>
            </w:r>
          </w:p>
          <w:p>
            <w:pPr>
              <w:pStyle w:val="null3"/>
              <w:ind w:firstLine="420"/>
              <w:jc w:val="left"/>
            </w:pPr>
            <w:r>
              <w:rPr>
                <w:rFonts w:ascii="仿宋_GB2312" w:hAnsi="仿宋_GB2312" w:cs="仿宋_GB2312" w:eastAsia="仿宋_GB2312"/>
                <w:sz w:val="21"/>
              </w:rPr>
              <w:t>(1)1～8楼电梯、步梯、公共通道和厕所每天至少清洁一次；随时保洁；玻璃、立面和天花板每周清洁一次。</w:t>
            </w:r>
          </w:p>
          <w:p>
            <w:pPr>
              <w:pStyle w:val="null3"/>
              <w:ind w:firstLine="420"/>
              <w:jc w:val="left"/>
            </w:pPr>
            <w:r>
              <w:rPr>
                <w:rFonts w:ascii="仿宋_GB2312" w:hAnsi="仿宋_GB2312" w:cs="仿宋_GB2312" w:eastAsia="仿宋_GB2312"/>
                <w:sz w:val="21"/>
              </w:rPr>
              <w:t>（2）实训楼 5 楼老年大学教室卫生，每日上、下午各清扫 1 次。</w:t>
            </w:r>
          </w:p>
          <w:p>
            <w:pPr>
              <w:pStyle w:val="null3"/>
              <w:ind w:firstLine="420"/>
              <w:jc w:val="left"/>
            </w:pPr>
            <w:r>
              <w:rPr>
                <w:rFonts w:ascii="仿宋_GB2312" w:hAnsi="仿宋_GB2312" w:cs="仿宋_GB2312" w:eastAsia="仿宋_GB2312"/>
                <w:sz w:val="21"/>
              </w:rPr>
              <w:t>(3)801、804、509室随时保持清洁（含桌椅），其余教室每天至少清洁一次；玻璃每周清洁一次。</w:t>
            </w:r>
          </w:p>
          <w:p>
            <w:pPr>
              <w:pStyle w:val="null3"/>
              <w:ind w:firstLine="420"/>
              <w:jc w:val="left"/>
            </w:pPr>
            <w:r>
              <w:rPr>
                <w:rFonts w:ascii="仿宋_GB2312" w:hAnsi="仿宋_GB2312" w:cs="仿宋_GB2312" w:eastAsia="仿宋_GB2312"/>
                <w:sz w:val="21"/>
              </w:rPr>
              <w:t>(4)地下车库实行每日清扫保洁，每周不少于 1 次拖洗作业。。</w:t>
            </w:r>
          </w:p>
          <w:p>
            <w:pPr>
              <w:pStyle w:val="null3"/>
              <w:ind w:firstLine="420"/>
              <w:jc w:val="left"/>
            </w:pPr>
            <w:r>
              <w:rPr>
                <w:rFonts w:ascii="仿宋_GB2312" w:hAnsi="仿宋_GB2312" w:cs="仿宋_GB2312" w:eastAsia="仿宋_GB2312"/>
                <w:sz w:val="21"/>
              </w:rPr>
              <w:t>(5)门厅、天井（含侧门外）的花木应根据实际需要浇水。</w:t>
            </w:r>
          </w:p>
          <w:p>
            <w:pPr>
              <w:pStyle w:val="null3"/>
              <w:ind w:firstLine="420"/>
              <w:jc w:val="left"/>
            </w:pPr>
            <w:r>
              <w:rPr>
                <w:rFonts w:ascii="仿宋_GB2312" w:hAnsi="仿宋_GB2312" w:cs="仿宋_GB2312" w:eastAsia="仿宋_GB2312"/>
                <w:sz w:val="21"/>
              </w:rPr>
              <w:t>(6)所涉及的设备设施若有损毁，及时报告总务科。</w:t>
            </w:r>
          </w:p>
          <w:p>
            <w:pPr>
              <w:pStyle w:val="null3"/>
              <w:ind w:firstLine="420"/>
              <w:jc w:val="left"/>
            </w:pPr>
            <w:r>
              <w:rPr>
                <w:rFonts w:ascii="仿宋_GB2312" w:hAnsi="仿宋_GB2312" w:cs="仿宋_GB2312" w:eastAsia="仿宋_GB2312"/>
                <w:sz w:val="21"/>
              </w:rPr>
              <w:t xml:space="preserve"> 3. 校园卫生工作</w:t>
            </w:r>
          </w:p>
          <w:p>
            <w:pPr>
              <w:pStyle w:val="null3"/>
              <w:ind w:firstLine="420"/>
              <w:jc w:val="left"/>
            </w:pPr>
            <w:r>
              <w:rPr>
                <w:rFonts w:ascii="仿宋_GB2312" w:hAnsi="仿宋_GB2312" w:cs="仿宋_GB2312" w:eastAsia="仿宋_GB2312"/>
                <w:sz w:val="21"/>
              </w:rPr>
              <w:t>(1)知行广场、校内道路、游泳池周边、花台（园）内垃圾及落叶每日清扫，做到随时保洁，路边杂草及时清除。</w:t>
            </w:r>
          </w:p>
          <w:p>
            <w:pPr>
              <w:pStyle w:val="null3"/>
              <w:ind w:firstLine="420"/>
              <w:jc w:val="left"/>
            </w:pPr>
            <w:r>
              <w:rPr>
                <w:rFonts w:ascii="仿宋_GB2312" w:hAnsi="仿宋_GB2312" w:cs="仿宋_GB2312" w:eastAsia="仿宋_GB2312"/>
                <w:sz w:val="21"/>
              </w:rPr>
              <w:t>(2)公共厕所每日清洁 1 次，随时保洁；墙面及天花板每周清洁 1 次；每学期对游泳池、消防池进行清洁。</w:t>
            </w:r>
          </w:p>
          <w:p>
            <w:pPr>
              <w:pStyle w:val="null3"/>
              <w:ind w:firstLine="420"/>
              <w:jc w:val="left"/>
            </w:pPr>
            <w:r>
              <w:rPr>
                <w:rFonts w:ascii="仿宋_GB2312" w:hAnsi="仿宋_GB2312" w:cs="仿宋_GB2312" w:eastAsia="仿宋_GB2312"/>
                <w:sz w:val="21"/>
              </w:rPr>
              <w:t>(3)校内公共垃圾箱（桶）及时清倒、保持整洁。</w:t>
            </w:r>
          </w:p>
          <w:p>
            <w:pPr>
              <w:pStyle w:val="null3"/>
              <w:ind w:firstLine="420"/>
              <w:jc w:val="left"/>
            </w:pPr>
            <w:r>
              <w:rPr>
                <w:rFonts w:ascii="仿宋_GB2312" w:hAnsi="仿宋_GB2312" w:cs="仿宋_GB2312" w:eastAsia="仿宋_GB2312"/>
                <w:sz w:val="21"/>
              </w:rPr>
              <w:t>(4)负责管理垃圾库，需清运垃圾时报告总务科。</w:t>
            </w:r>
          </w:p>
          <w:p>
            <w:pPr>
              <w:pStyle w:val="null3"/>
              <w:ind w:firstLine="420"/>
              <w:jc w:val="left"/>
            </w:pPr>
            <w:r>
              <w:rPr>
                <w:rFonts w:ascii="仿宋_GB2312" w:hAnsi="仿宋_GB2312" w:cs="仿宋_GB2312" w:eastAsia="仿宋_GB2312"/>
                <w:sz w:val="21"/>
              </w:rPr>
              <w:t>(5)所涉及的设备设施若有损毁，及时报告总务科。</w:t>
            </w:r>
          </w:p>
          <w:p>
            <w:pPr>
              <w:pStyle w:val="null3"/>
              <w:ind w:firstLine="420"/>
              <w:jc w:val="both"/>
            </w:pPr>
            <w:r>
              <w:rPr>
                <w:rFonts w:ascii="仿宋_GB2312" w:hAnsi="仿宋_GB2312" w:cs="仿宋_GB2312" w:eastAsia="仿宋_GB2312"/>
                <w:sz w:val="21"/>
              </w:rPr>
              <w:t>4.其他要求</w:t>
            </w:r>
          </w:p>
          <w:p>
            <w:pPr>
              <w:pStyle w:val="null3"/>
              <w:ind w:firstLine="420"/>
              <w:jc w:val="left"/>
            </w:pPr>
            <w:r>
              <w:rPr>
                <w:rFonts w:ascii="仿宋_GB2312" w:hAnsi="仿宋_GB2312" w:cs="仿宋_GB2312" w:eastAsia="仿宋_GB2312"/>
                <w:sz w:val="21"/>
              </w:rPr>
              <w:t>(1)每批次综合实践活动学生入校前，对教室、学生公寓进行全面消毒消杀。</w:t>
            </w:r>
          </w:p>
          <w:p>
            <w:pPr>
              <w:pStyle w:val="null3"/>
              <w:ind w:firstLine="420"/>
              <w:jc w:val="left"/>
            </w:pPr>
            <w:r>
              <w:rPr>
                <w:rFonts w:ascii="仿宋_GB2312" w:hAnsi="仿宋_GB2312" w:cs="仿宋_GB2312" w:eastAsia="仿宋_GB2312"/>
                <w:sz w:val="21"/>
              </w:rPr>
              <w:t>(2)定期使用合规登高工具对高空区域进行清洁作业。</w:t>
            </w:r>
          </w:p>
          <w:p>
            <w:pPr>
              <w:pStyle w:val="null3"/>
              <w:ind w:firstLine="420"/>
              <w:jc w:val="left"/>
            </w:pPr>
            <w:r>
              <w:rPr>
                <w:rFonts w:ascii="仿宋_GB2312" w:hAnsi="仿宋_GB2312" w:cs="仿宋_GB2312" w:eastAsia="仿宋_GB2312"/>
                <w:sz w:val="21"/>
              </w:rPr>
              <w:t>(3)登高作业人员作业前，须向采购人提供应急管理部门核发的高处作业操作证。</w:t>
            </w:r>
          </w:p>
          <w:p>
            <w:pPr>
              <w:pStyle w:val="null3"/>
              <w:ind w:firstLine="420"/>
              <w:jc w:val="left"/>
            </w:pPr>
            <w:r>
              <w:rPr>
                <w:rFonts w:ascii="仿宋_GB2312" w:hAnsi="仿宋_GB2312" w:cs="仿宋_GB2312" w:eastAsia="仿宋_GB2312"/>
                <w:sz w:val="21"/>
              </w:rPr>
              <w:t>(4)服从采购人安排的其他临时性工作（含常规搬运、安装、拆卸、零星水电维修等）。</w:t>
            </w:r>
          </w:p>
          <w:p>
            <w:pPr>
              <w:pStyle w:val="null3"/>
              <w:ind w:firstLine="422"/>
              <w:jc w:val="left"/>
            </w:pPr>
            <w:r>
              <w:rPr>
                <w:rFonts w:ascii="仿宋_GB2312" w:hAnsi="仿宋_GB2312" w:cs="仿宋_GB2312" w:eastAsia="仿宋_GB2312"/>
                <w:sz w:val="21"/>
                <w:b/>
              </w:rPr>
              <w:t>（二）安保服务</w:t>
            </w:r>
            <w:r>
              <w:rPr>
                <w:rFonts w:ascii="仿宋_GB2312" w:hAnsi="仿宋_GB2312" w:cs="仿宋_GB2312" w:eastAsia="仿宋_GB2312"/>
                <w:sz w:val="21"/>
                <w:b/>
              </w:rPr>
              <w:t>要求</w:t>
            </w:r>
          </w:p>
          <w:p>
            <w:pPr>
              <w:pStyle w:val="null3"/>
              <w:ind w:firstLine="420"/>
              <w:jc w:val="left"/>
            </w:pPr>
            <w:r>
              <w:rPr>
                <w:rFonts w:ascii="仿宋_GB2312" w:hAnsi="仿宋_GB2312" w:cs="仿宋_GB2312" w:eastAsia="仿宋_GB2312"/>
                <w:sz w:val="21"/>
              </w:rPr>
              <w:t>1.以保护师生人身安全、财产安全、维护学校正常教学秩序为核心职责，爱岗敬业，认真履职。</w:t>
            </w:r>
          </w:p>
          <w:p>
            <w:pPr>
              <w:pStyle w:val="null3"/>
              <w:ind w:firstLine="420"/>
              <w:jc w:val="left"/>
            </w:pPr>
            <w:r>
              <w:rPr>
                <w:rFonts w:ascii="仿宋_GB2312" w:hAnsi="仿宋_GB2312" w:cs="仿宋_GB2312" w:eastAsia="仿宋_GB2312"/>
                <w:sz w:val="21"/>
              </w:rPr>
              <w:t>2.树立服务学生、服务教学的理念，关心爱护学生，做到严格要求、耐心教育、热情帮助；坚持敢抓敢管、勤管善管。</w:t>
            </w:r>
          </w:p>
          <w:p>
            <w:pPr>
              <w:pStyle w:val="null3"/>
              <w:ind w:firstLine="420"/>
              <w:jc w:val="left"/>
            </w:pPr>
            <w:r>
              <w:rPr>
                <w:rFonts w:ascii="仿宋_GB2312" w:hAnsi="仿宋_GB2312" w:cs="仿宋_GB2312" w:eastAsia="仿宋_GB2312"/>
                <w:sz w:val="21"/>
              </w:rPr>
              <w:t>3.遵守学校治安管理相关制度，坚持学习，不断提升业务能力与工作水平。</w:t>
            </w:r>
          </w:p>
          <w:p>
            <w:pPr>
              <w:pStyle w:val="null3"/>
              <w:ind w:firstLine="420"/>
              <w:jc w:val="left"/>
            </w:pPr>
            <w:r>
              <w:rPr>
                <w:rFonts w:ascii="仿宋_GB2312" w:hAnsi="仿宋_GB2312" w:cs="仿宋_GB2312" w:eastAsia="仿宋_GB2312"/>
                <w:sz w:val="21"/>
              </w:rPr>
              <w:t>4.维护校门及周边治安秩序，防范、制止外来无关人员闯入，做好反恐防暴工作。</w:t>
            </w:r>
          </w:p>
          <w:p>
            <w:pPr>
              <w:pStyle w:val="null3"/>
              <w:ind w:firstLine="420"/>
              <w:jc w:val="left"/>
            </w:pPr>
            <w:r>
              <w:rPr>
                <w:rFonts w:ascii="仿宋_GB2312" w:hAnsi="仿宋_GB2312" w:cs="仿宋_GB2312" w:eastAsia="仿宋_GB2312"/>
                <w:sz w:val="21"/>
              </w:rPr>
              <w:t>5.严禁住校学生未经批准或在非规定时间私自外出。</w:t>
            </w:r>
          </w:p>
          <w:p>
            <w:pPr>
              <w:pStyle w:val="null3"/>
              <w:ind w:firstLine="420"/>
              <w:jc w:val="left"/>
            </w:pPr>
            <w:r>
              <w:rPr>
                <w:rFonts w:ascii="仿宋_GB2312" w:hAnsi="仿宋_GB2312" w:cs="仿宋_GB2312" w:eastAsia="仿宋_GB2312"/>
                <w:sz w:val="21"/>
              </w:rPr>
              <w:t>6.除本校教职员工的车辆和因工作需要的交通工具允许进校外，其它车辆（含摩托车）一概严禁入内。</w:t>
            </w:r>
          </w:p>
          <w:p>
            <w:pPr>
              <w:pStyle w:val="null3"/>
              <w:ind w:firstLine="420"/>
              <w:jc w:val="left"/>
            </w:pPr>
            <w:r>
              <w:rPr>
                <w:rFonts w:ascii="仿宋_GB2312" w:hAnsi="仿宋_GB2312" w:cs="仿宋_GB2312" w:eastAsia="仿宋_GB2312"/>
                <w:sz w:val="21"/>
              </w:rPr>
              <w:t>7.实行24小时门卫值班，执行双人双岗制度；加强校园巡逻检查，每日对校园全面巡查不少于 3 次，保障校园人员及财产安全。</w:t>
            </w:r>
          </w:p>
          <w:p>
            <w:pPr>
              <w:pStyle w:val="null3"/>
              <w:ind w:firstLine="420"/>
              <w:jc w:val="left"/>
            </w:pPr>
            <w:r>
              <w:rPr>
                <w:rFonts w:ascii="仿宋_GB2312" w:hAnsi="仿宋_GB2312" w:cs="仿宋_GB2312" w:eastAsia="仿宋_GB2312"/>
                <w:sz w:val="21"/>
              </w:rPr>
              <w:t>8.及时制止、处置巡逻中发现的各类突发事件及异常情况，并做好记录；无法当场处置的，立即报告总务科或值班领导。</w:t>
            </w:r>
          </w:p>
          <w:p>
            <w:pPr>
              <w:pStyle w:val="null3"/>
              <w:ind w:firstLine="420"/>
              <w:jc w:val="left"/>
            </w:pPr>
            <w:r>
              <w:rPr>
                <w:rFonts w:ascii="仿宋_GB2312" w:hAnsi="仿宋_GB2312" w:cs="仿宋_GB2312" w:eastAsia="仿宋_GB2312"/>
                <w:sz w:val="21"/>
              </w:rPr>
              <w:t>9.严格执行交接班制度，交接班期间不得出现脱岗、空岗。</w:t>
            </w:r>
          </w:p>
          <w:p>
            <w:pPr>
              <w:pStyle w:val="null3"/>
              <w:ind w:firstLine="420"/>
              <w:jc w:val="left"/>
            </w:pPr>
            <w:r>
              <w:rPr>
                <w:rFonts w:ascii="仿宋_GB2312" w:hAnsi="仿宋_GB2312" w:cs="仿宋_GB2312" w:eastAsia="仿宋_GB2312"/>
                <w:sz w:val="21"/>
              </w:rPr>
              <w:t>10.每日对校园电器、给排水、消防设施设备开展 2 次巡查，发现问题及时上报并跟进维修。</w:t>
            </w:r>
          </w:p>
          <w:p>
            <w:pPr>
              <w:pStyle w:val="null3"/>
              <w:ind w:firstLine="422"/>
              <w:jc w:val="left"/>
            </w:pPr>
            <w:r>
              <w:rPr>
                <w:rFonts w:ascii="仿宋_GB2312" w:hAnsi="仿宋_GB2312" w:cs="仿宋_GB2312" w:eastAsia="仿宋_GB2312"/>
                <w:sz w:val="21"/>
                <w:b/>
              </w:rPr>
              <w:t>（三）消防专业维护要求</w:t>
            </w:r>
          </w:p>
          <w:p>
            <w:pPr>
              <w:pStyle w:val="null3"/>
              <w:ind w:firstLine="367"/>
              <w:jc w:val="left"/>
            </w:pPr>
            <w:r>
              <w:rPr>
                <w:rFonts w:ascii="仿宋_GB2312" w:hAnsi="仿宋_GB2312" w:cs="仿宋_GB2312" w:eastAsia="仿宋_GB2312"/>
                <w:sz w:val="21"/>
              </w:rPr>
              <w:t>1.消防监控室实行 24 小时值班制度。</w:t>
            </w:r>
          </w:p>
          <w:p>
            <w:pPr>
              <w:pStyle w:val="null3"/>
              <w:ind w:firstLine="367"/>
              <w:jc w:val="left"/>
            </w:pPr>
            <w:r>
              <w:rPr>
                <w:rFonts w:ascii="仿宋_GB2312" w:hAnsi="仿宋_GB2312" w:cs="仿宋_GB2312" w:eastAsia="仿宋_GB2312"/>
                <w:sz w:val="21"/>
              </w:rPr>
              <w:t>2.负责消防值班值守，开展消防设施设备巡查、检查，并协助做好维修工作。</w:t>
            </w:r>
          </w:p>
          <w:p>
            <w:pPr>
              <w:pStyle w:val="null3"/>
              <w:ind w:firstLine="367"/>
              <w:jc w:val="left"/>
            </w:pPr>
            <w:r>
              <w:rPr>
                <w:rFonts w:ascii="仿宋_GB2312" w:hAnsi="仿宋_GB2312" w:cs="仿宋_GB2312" w:eastAsia="仿宋_GB2312"/>
                <w:sz w:val="21"/>
              </w:rPr>
              <w:t>3.负责消防值班日志填写及相关资料整理、报送。</w:t>
            </w:r>
          </w:p>
          <w:p>
            <w:pPr>
              <w:pStyle w:val="null3"/>
              <w:ind w:firstLine="367"/>
              <w:jc w:val="left"/>
            </w:pPr>
            <w:r>
              <w:rPr>
                <w:rFonts w:ascii="仿宋_GB2312" w:hAnsi="仿宋_GB2312" w:cs="仿宋_GB2312" w:eastAsia="仿宋_GB2312"/>
                <w:sz w:val="21"/>
              </w:rPr>
              <w:t>4.负责校园内水电设施零星维修与日常维护工作。</w:t>
            </w:r>
          </w:p>
          <w:p>
            <w:pPr>
              <w:pStyle w:val="null3"/>
              <w:ind w:firstLine="422"/>
              <w:jc w:val="left"/>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绿化维护及小农场管理要求</w:t>
            </w:r>
          </w:p>
          <w:p>
            <w:pPr>
              <w:pStyle w:val="null3"/>
              <w:ind w:firstLine="420"/>
              <w:jc w:val="both"/>
            </w:pPr>
            <w:r>
              <w:rPr>
                <w:rFonts w:ascii="仿宋_GB2312" w:hAnsi="仿宋_GB2312" w:cs="仿宋_GB2312" w:eastAsia="仿宋_GB2312"/>
                <w:sz w:val="21"/>
              </w:rPr>
              <w:t>1.花草生长健壮、花繁叶茂、无残花败叶。绿化带整洁美观、层次分明、图案清晰、色彩搭配适宜。</w:t>
            </w:r>
          </w:p>
          <w:p>
            <w:pPr>
              <w:pStyle w:val="null3"/>
              <w:ind w:firstLine="420"/>
              <w:jc w:val="both"/>
            </w:pPr>
            <w:r>
              <w:rPr>
                <w:rFonts w:ascii="仿宋_GB2312" w:hAnsi="仿宋_GB2312" w:cs="仿宋_GB2312" w:eastAsia="仿宋_GB2312"/>
                <w:sz w:val="21"/>
              </w:rPr>
              <w:t>2.草坪生长茂盛、叶色正常、基本无秃斑、无枯草层、无杂草、无病虫害、覆盖度达 98%以上。</w:t>
            </w:r>
          </w:p>
          <w:p>
            <w:pPr>
              <w:pStyle w:val="null3"/>
              <w:ind w:firstLine="420"/>
              <w:jc w:val="both"/>
            </w:pPr>
            <w:r>
              <w:rPr>
                <w:rFonts w:ascii="仿宋_GB2312" w:hAnsi="仿宋_GB2312" w:cs="仿宋_GB2312" w:eastAsia="仿宋_GB2312"/>
                <w:sz w:val="21"/>
              </w:rPr>
              <w:t>3.应根据不同植物的生物学特性、树龄、季节及土壤干湿程度确定浇水频次与水量，做到适时、适量、无遗漏，每次浇水应浇足浇透。</w:t>
            </w:r>
          </w:p>
          <w:p>
            <w:pPr>
              <w:pStyle w:val="null3"/>
              <w:ind w:firstLine="420"/>
              <w:jc w:val="both"/>
            </w:pPr>
            <w:r>
              <w:rPr>
                <w:rFonts w:ascii="仿宋_GB2312" w:hAnsi="仿宋_GB2312" w:cs="仿宋_GB2312" w:eastAsia="仿宋_GB2312"/>
                <w:sz w:val="21"/>
              </w:rPr>
              <w:t>4.为确保植物正常生长，定期对树木、花卉、草坪等进行施肥。施肥应根据植物种类、树龄、立地条件、生长状况及肥料种类等因素合理实施。</w:t>
            </w:r>
          </w:p>
          <w:p>
            <w:pPr>
              <w:pStyle w:val="null3"/>
              <w:ind w:firstLine="420"/>
              <w:jc w:val="both"/>
            </w:pPr>
            <w:r>
              <w:rPr>
                <w:rFonts w:ascii="仿宋_GB2312" w:hAnsi="仿宋_GB2312" w:cs="仿宋_GB2312" w:eastAsia="仿宋_GB2312"/>
                <w:sz w:val="21"/>
              </w:rPr>
              <w:t>5.修剪：应遵循植物习性、设计意图、养护季节及景观效果等原则，实现均衡树势、调节生长、姿态优美、花繁叶茂的效果。</w:t>
            </w:r>
          </w:p>
          <w:p>
            <w:pPr>
              <w:pStyle w:val="null3"/>
              <w:ind w:firstLine="420"/>
              <w:jc w:val="both"/>
            </w:pPr>
            <w:r>
              <w:rPr>
                <w:rFonts w:ascii="仿宋_GB2312" w:hAnsi="仿宋_GB2312" w:cs="仿宋_GB2312" w:eastAsia="仿宋_GB2312"/>
                <w:sz w:val="21"/>
              </w:rPr>
              <w:t>6.按照学校小农场种植要求开展农作物种植，并做好农场日常管理工作。</w:t>
            </w:r>
          </w:p>
          <w:p>
            <w:pPr>
              <w:pStyle w:val="null3"/>
              <w:ind w:firstLine="420"/>
              <w:jc w:val="both"/>
            </w:pPr>
            <w:r>
              <w:rPr>
                <w:rFonts w:ascii="仿宋_GB2312" w:hAnsi="仿宋_GB2312" w:cs="仿宋_GB2312" w:eastAsia="仿宋_GB2312"/>
                <w:sz w:val="21"/>
              </w:rPr>
              <w:t>7.病虫害防治：遵循 “预防为主，综合防治” 的方针，掌握植物病虫害发生规律，做好病虫害预防工作；对已发生的病虫害应及时有效处置，防止扩散蔓延，病虫害发生率控制在5%以下。</w:t>
            </w:r>
          </w:p>
          <w:p>
            <w:pPr>
              <w:pStyle w:val="null3"/>
              <w:ind w:firstLine="422"/>
              <w:jc w:val="left"/>
            </w:pPr>
            <w:r>
              <w:rPr>
                <w:rFonts w:ascii="仿宋_GB2312" w:hAnsi="仿宋_GB2312" w:cs="仿宋_GB2312" w:eastAsia="仿宋_GB2312"/>
                <w:sz w:val="21"/>
              </w:rPr>
              <w:t>8.松土：土壤板结时要及时进行松土，松土深度 10～20cm 为宜。</w:t>
            </w:r>
          </w:p>
          <w:p>
            <w:pPr>
              <w:pStyle w:val="null3"/>
              <w:ind w:firstLine="422"/>
              <w:jc w:val="left"/>
            </w:pPr>
            <w:r>
              <w:rPr>
                <w:rFonts w:ascii="仿宋_GB2312" w:hAnsi="仿宋_GB2312" w:cs="仿宋_GB2312" w:eastAsia="仿宋_GB2312"/>
                <w:sz w:val="21"/>
              </w:rPr>
              <w:t>9.在综合楼相关办公室绿植租摆大盆16盆，小盆30盆，按需要不定期进行更换。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三、岗位要求</w:t>
            </w:r>
          </w:p>
        </w:tc>
        <w:tc>
          <w:tcPr>
            <w:tcW w:type="dxa" w:w="5814"/>
          </w:tcPr>
          <w:p>
            <w:pPr>
              <w:pStyle w:val="null3"/>
              <w:ind w:firstLine="400"/>
              <w:jc w:val="both"/>
            </w:pPr>
            <w:r>
              <w:rPr>
                <w:rFonts w:ascii="仿宋_GB2312" w:hAnsi="仿宋_GB2312" w:cs="仿宋_GB2312" w:eastAsia="仿宋_GB2312"/>
                <w:sz w:val="21"/>
              </w:rPr>
              <w:t>1. 人员配置</w:t>
            </w:r>
          </w:p>
          <w:tbl>
            <w:tblPr>
              <w:tblBorders>
                <w:top w:val="none" w:color="000000" w:sz="4"/>
                <w:left w:val="none" w:color="000000" w:sz="4"/>
                <w:bottom w:val="none" w:color="000000" w:sz="4"/>
                <w:right w:val="none" w:color="000000" w:sz="4"/>
                <w:insideH w:val="none"/>
                <w:insideV w:val="none"/>
              </w:tblBorders>
            </w:tblPr>
            <w:tblGrid>
              <w:gridCol w:w="718"/>
              <w:gridCol w:w="584"/>
              <w:gridCol w:w="3091"/>
              <w:gridCol w:w="1168"/>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最低岗位人数</w:t>
                  </w:r>
                </w:p>
              </w:tc>
              <w:tc>
                <w:tcPr>
                  <w:tcW w:type="dxa" w:w="3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岗位要求</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男女不限，年龄50岁及其以下，文化程度：大专及以上，具有丰富的物业管理经验，有较强的组织领导能力和协调能力。</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提供毕业证等相关证明材料。</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项目主管</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男女不限，年龄50岁及其以下，工作认真负责，具有一定的管理经验。</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男女不限，年龄60岁及其以下，五官端正，作风正派，工作认真负责。</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安保人员</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中至少配备1名女性，所有人员年龄不超过50周岁，工作认真负责、吃苦耐劳，持有效保安证上岗；退伍军人或具有相关工作经验者优先。须有1名人员持消防设施操作员证或建（构）筑物消防员证，负责消防监控室值班工作。</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消防监控员</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男女不限，年龄50岁及其以下，消防值班岗每班2人，持消防设施操作员证或建（构）筑物消防员证。</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绿化、小农场</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男女不限，年龄50岁及其以下，五官端正，作风正派，工作认真负责。</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w:t>
                  </w:r>
                </w:p>
              </w:tc>
              <w:tc>
                <w:tcPr>
                  <w:tcW w:type="dxa" w:w="48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19人</w:t>
                  </w:r>
                </w:p>
              </w:tc>
            </w:tr>
            <w:tr>
              <w:tc>
                <w:tcPr>
                  <w:tcW w:type="dxa" w:w="556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注：19人为本项目保证服务质量的最低人员，投标人中标后提供人员数量不得少于19人，不得以兼职、顶岗、轮岗等理由减少服务人员数量。</w:t>
                  </w:r>
                </w:p>
              </w:tc>
            </w:tr>
          </w:tbl>
          <w:p>
            <w:pPr>
              <w:pStyle w:val="null3"/>
              <w:ind w:firstLine="400"/>
              <w:jc w:val="both"/>
            </w:pPr>
            <w:r>
              <w:rPr>
                <w:rFonts w:ascii="仿宋_GB2312" w:hAnsi="仿宋_GB2312" w:cs="仿宋_GB2312" w:eastAsia="仿宋_GB2312"/>
                <w:sz w:val="21"/>
              </w:rPr>
              <w:t>（1）安保人员 、消防监控员须持证上岗（投标文件中承诺中标后配置具有对应岗位条件的人员，签订合同前向采购人提交拟派本项目相关人证书进行审核，签合同时不能提供的视为虚假响应，将上报同级财政监督管理部门按规定处理）。</w:t>
            </w:r>
          </w:p>
          <w:p>
            <w:pPr>
              <w:pStyle w:val="null3"/>
              <w:ind w:firstLine="400"/>
              <w:jc w:val="both"/>
            </w:pPr>
            <w:r>
              <w:rPr>
                <w:rFonts w:ascii="仿宋_GB2312" w:hAnsi="仿宋_GB2312" w:cs="仿宋_GB2312" w:eastAsia="仿宋_GB2312"/>
                <w:sz w:val="21"/>
              </w:rPr>
              <w:t>（2） 所有岗位人员必须身体健康，具有相应工作经验。</w:t>
            </w:r>
          </w:p>
          <w:p>
            <w:pPr>
              <w:pStyle w:val="null3"/>
              <w:ind w:firstLine="400"/>
              <w:jc w:val="both"/>
            </w:pPr>
            <w:r>
              <w:rPr>
                <w:rFonts w:ascii="仿宋_GB2312" w:hAnsi="仿宋_GB2312" w:cs="仿宋_GB2312" w:eastAsia="仿宋_GB2312"/>
                <w:sz w:val="21"/>
              </w:rPr>
              <w:t>（3）投标供应商应当与本项目配置的员工建立合法劳动（务）用工关系，并按照国家法律法规购置社保，并对其疾病和人身安全等完全负责。投标供应商负责支付所派出全部工作人员工资、社保，人员工资标准不得低于泸州市的最低工资标准，社保不低于最低社保缴费标准，采购人对此不承担任何的法律责任和义务</w:t>
            </w:r>
            <w:r>
              <w:rPr>
                <w:rFonts w:ascii="仿宋_GB2312" w:hAnsi="仿宋_GB2312" w:cs="仿宋_GB2312" w:eastAsia="仿宋_GB2312"/>
                <w:sz w:val="21"/>
                <w:b/>
              </w:rPr>
              <w:t>(提供承诺函)</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1"/>
              </w:rPr>
              <w:t>（4） 投标供应商对本项目配置的员工不得随意更换，如需更换应征得采购人同意。采购人提出更换不符合对应岗位要求的人员，供应商须在接到采购人通知之日起15日内更换。</w:t>
            </w:r>
            <w:r>
              <w:rPr>
                <w:rFonts w:ascii="仿宋_GB2312" w:hAnsi="仿宋_GB2312" w:cs="仿宋_GB2312" w:eastAsia="仿宋_GB2312"/>
                <w:sz w:val="21"/>
                <w:b/>
              </w:rPr>
              <w:t>(提供承诺函)</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四、其它要求</w:t>
            </w:r>
          </w:p>
        </w:tc>
        <w:tc>
          <w:tcPr>
            <w:tcW w:type="dxa" w:w="5814"/>
          </w:tcPr>
          <w:p>
            <w:pPr>
              <w:pStyle w:val="null3"/>
              <w:jc w:val="both"/>
            </w:pPr>
            <w:r>
              <w:rPr>
                <w:rFonts w:ascii="仿宋_GB2312" w:hAnsi="仿宋_GB2312" w:cs="仿宋_GB2312" w:eastAsia="仿宋_GB2312"/>
                <w:sz w:val="21"/>
              </w:rPr>
              <w:t>1.相关实施方案要求</w:t>
            </w:r>
          </w:p>
          <w:p>
            <w:pPr>
              <w:pStyle w:val="null3"/>
              <w:jc w:val="both"/>
            </w:pPr>
            <w:r>
              <w:rPr>
                <w:rFonts w:ascii="仿宋_GB2312" w:hAnsi="仿宋_GB2312" w:cs="仿宋_GB2312" w:eastAsia="仿宋_GB2312"/>
                <w:sz w:val="21"/>
              </w:rPr>
              <w:t>①针对本项目制定完善可行的实施管理方案，包含服务理念方案、机构设置及职责分工、环境服务方案、秩序维护方案。</w:t>
            </w:r>
          </w:p>
          <w:p>
            <w:pPr>
              <w:pStyle w:val="null3"/>
              <w:jc w:val="both"/>
            </w:pPr>
            <w:r>
              <w:rPr>
                <w:rFonts w:ascii="仿宋_GB2312" w:hAnsi="仿宋_GB2312" w:cs="仿宋_GB2312" w:eastAsia="仿宋_GB2312"/>
                <w:sz w:val="21"/>
              </w:rPr>
              <w:t>②建立健全完善的垃圾收集等日常管理制度。</w:t>
            </w:r>
          </w:p>
          <w:p>
            <w:pPr>
              <w:pStyle w:val="null3"/>
              <w:jc w:val="both"/>
            </w:pPr>
            <w:r>
              <w:rPr>
                <w:rFonts w:ascii="仿宋_GB2312" w:hAnsi="仿宋_GB2312" w:cs="仿宋_GB2312" w:eastAsia="仿宋_GB2312"/>
                <w:sz w:val="21"/>
              </w:rPr>
              <w:t>③加强本项目所有人员的岗前培训、一般技术培训、安全知识培训等专业培训，制定完善的人员配置岗位分布方案。</w:t>
            </w:r>
          </w:p>
          <w:p>
            <w:pPr>
              <w:pStyle w:val="null3"/>
              <w:jc w:val="both"/>
            </w:pPr>
            <w:r>
              <w:rPr>
                <w:rFonts w:ascii="仿宋_GB2312" w:hAnsi="仿宋_GB2312" w:cs="仿宋_GB2312" w:eastAsia="仿宋_GB2312"/>
                <w:sz w:val="21"/>
              </w:rPr>
              <w:t>2.应急处理要求</w:t>
            </w:r>
          </w:p>
          <w:p>
            <w:pPr>
              <w:pStyle w:val="null3"/>
              <w:jc w:val="both"/>
            </w:pPr>
            <w:r>
              <w:rPr>
                <w:rFonts w:ascii="仿宋_GB2312" w:hAnsi="仿宋_GB2312" w:cs="仿宋_GB2312" w:eastAsia="仿宋_GB2312"/>
                <w:sz w:val="21"/>
              </w:rPr>
              <w:t>①建立突发事件应急预案，包括自然灾害、水浸、公共卫生、消防应急、电梯突发事件应急措施等。以便突发事件发生时，能第一时间赶到现场，并井然有序的处理突发事件，在最大限度内控制事态的发展。</w:t>
            </w:r>
          </w:p>
          <w:p>
            <w:pPr>
              <w:pStyle w:val="null3"/>
              <w:jc w:val="both"/>
            </w:pPr>
            <w:r>
              <w:rPr>
                <w:rFonts w:ascii="仿宋_GB2312" w:hAnsi="仿宋_GB2312" w:cs="仿宋_GB2312" w:eastAsia="仿宋_GB2312"/>
                <w:sz w:val="21"/>
              </w:rPr>
              <w:t>②建立火灾应急预案。以便火灾发生时迅速地进行扑救工作，在最大限度内减少损失。</w:t>
            </w:r>
          </w:p>
          <w:p>
            <w:pPr>
              <w:pStyle w:val="null3"/>
              <w:jc w:val="both"/>
            </w:pPr>
            <w:r>
              <w:rPr>
                <w:rFonts w:ascii="仿宋_GB2312" w:hAnsi="仿宋_GB2312" w:cs="仿宋_GB2312" w:eastAsia="仿宋_GB2312"/>
                <w:sz w:val="21"/>
              </w:rPr>
              <w:t>③投标人应具备应急处置能力和风险管控能力。承诺在发生紧急情况时，除本项目投入人员外能在30分钟内组织其他人员到学校协助开展工作。</w:t>
            </w:r>
          </w:p>
          <w:p>
            <w:pPr>
              <w:pStyle w:val="null3"/>
              <w:jc w:val="both"/>
            </w:pPr>
            <w:r>
              <w:rPr>
                <w:rFonts w:ascii="仿宋_GB2312" w:hAnsi="仿宋_GB2312" w:cs="仿宋_GB2312" w:eastAsia="仿宋_GB2312"/>
                <w:sz w:val="21"/>
              </w:rPr>
              <w:t>3.供应商根据采购需求结合自身实际拟定如下方案内容：（1）项目概况分析及服务理念方案：包含但不限于①项目策划思路及服务理念、②管理制度（至少包括岗位职责、保密制度）、③人员管理及考核制度、④服务质量保障措施。（2）保洁服务方案：包含但不限于①人员配置及岗位职责、②室内外保洁服务计划与措施、③保洁质量及其提升计划、④保洁人员培训计划。（3）秩序服务方案：包含但不限于①安防巡查措施；②日常校园秩序维护工作计划；③车辆管理措施；④来人来访接待措施。（4）绿化维护及小农场管理方案：包含但不限于①人员配置及岗位职责、②绿化综合养护计划与措施、③季节性养护措施、④特殊天气应急保障措施。（5）应急处理方案：包含但不限于①自然灾害；②水浸和电梯突发事件；③公共卫生；④消防应急。</w:t>
            </w:r>
          </w:p>
          <w:p>
            <w:pPr>
              <w:pStyle w:val="null3"/>
              <w:jc w:val="left"/>
            </w:pPr>
            <w:r>
              <w:rPr>
                <w:rFonts w:ascii="仿宋_GB2312" w:hAnsi="仿宋_GB2312" w:cs="仿宋_GB2312" w:eastAsia="仿宋_GB2312"/>
                <w:sz w:val="21"/>
              </w:rPr>
              <w:t>4.履约能力：供应商从2023年1月1日起具有类似非住宅物业类项目业绩的（业绩要求同时包含保洁服务、秩序维护、绿化养护服务或类似语义的）。</w:t>
            </w:r>
          </w:p>
          <w:p>
            <w:pPr>
              <w:pStyle w:val="null3"/>
              <w:jc w:val="left"/>
            </w:pPr>
            <w:r>
              <w:rPr>
                <w:rFonts w:ascii="仿宋_GB2312" w:hAnsi="仿宋_GB2312" w:cs="仿宋_GB2312" w:eastAsia="仿宋_GB2312"/>
                <w:sz w:val="21"/>
              </w:rPr>
              <w:t>5.投标人根据本项目对团队实力的要求，提供项目经理、项目主管的相关证明材料。</w:t>
            </w:r>
          </w:p>
          <w:p>
            <w:pPr>
              <w:pStyle w:val="null3"/>
              <w:jc w:val="left"/>
            </w:pPr>
            <w:r>
              <w:rPr>
                <w:rFonts w:ascii="仿宋_GB2312" w:hAnsi="仿宋_GB2312" w:cs="仿宋_GB2312" w:eastAsia="仿宋_GB2312"/>
                <w:sz w:val="21"/>
              </w:rPr>
              <w:t>注：本项要求仅为评审依据，未按要求提供或不符合评分标准的，将按对应评分规则予以扣分，不影响其响应文件的整体有效性。</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泸州开放大学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式：严格按照政府采购相关法律法规及《财政部关于进一步加强政府采购需求和履约验收管理的指导意见》（财库（2016）205号）、《四川省物业服务标准》相关法规要求和招标文件要求、响应文件响应进行验收。 2.服务期限：本项目采用一次采购、两年合作意向模式，总履行期限不超过两年，合同一年一签。依据《财政部关于推进和完善服务项目政府采购有关问题的通知》（财库〔2014〕37 号）规定，成交供应商上一年度考核合格且在年度预算能保障的前提下，采购人与成交供应商续签下一年的合同。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1、完成第一季度物业管理及后勤服务的考核与验收合格后，达到付款条件起30日内，据实结算说明为支付合同总金额的25.00%</w:t>
            </w:r>
          </w:p>
          <w:p>
            <w:pPr>
              <w:pStyle w:val="null3"/>
              <w:jc w:val="left"/>
            </w:pPr>
            <w:r>
              <w:rPr>
                <w:rFonts w:ascii="仿宋_GB2312" w:hAnsi="仿宋_GB2312" w:cs="仿宋_GB2312" w:eastAsia="仿宋_GB2312"/>
              </w:rPr>
              <w:t>2、完成第二季度物业管理及后勤服务的考核与验收合格后，达到付款条件起30日内，据实结算说明为支付合同总金额的25.00%</w:t>
            </w:r>
          </w:p>
          <w:p>
            <w:pPr>
              <w:pStyle w:val="null3"/>
              <w:jc w:val="left"/>
            </w:pPr>
            <w:r>
              <w:rPr>
                <w:rFonts w:ascii="仿宋_GB2312" w:hAnsi="仿宋_GB2312" w:cs="仿宋_GB2312" w:eastAsia="仿宋_GB2312"/>
              </w:rPr>
              <w:t>3、完成第三季度物业管理及后勤服务的考核与验收合格后，达到付款条件起30日内，据实结算说明为支付合同总金额的25.00%</w:t>
            </w:r>
          </w:p>
          <w:p>
            <w:pPr>
              <w:pStyle w:val="null3"/>
              <w:jc w:val="left"/>
            </w:pPr>
            <w:r>
              <w:rPr>
                <w:rFonts w:ascii="仿宋_GB2312" w:hAnsi="仿宋_GB2312" w:cs="仿宋_GB2312" w:eastAsia="仿宋_GB2312"/>
              </w:rPr>
              <w:t>4、完成第四季度物业管理及后勤服务的考核与验收合格后，达到付款条件起30日内，据实结算说明为支付合同总金额的25.00%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若双方发生争议，双方本着友好合作的态度， 对合同履行过程中发生的违约行为进行及时的协商解决或由有关部门调解解决，如不能协商解决可向合同签约地法院通过法律诉讼解决。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三年内任一年度，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按采购文件规定的要求进行审查。</w:t>
            </w:r>
          </w:p>
        </w:tc>
        <w:tc>
          <w:tcPr>
            <w:tcW w:type="dxa" w:w="1661"/>
          </w:tcPr>
          <w:p>
            <w:pPr>
              <w:pStyle w:val="null3"/>
              <w:jc w:val="left"/>
            </w:pPr>
            <w:r>
              <w:rPr>
                <w:rFonts w:ascii="仿宋_GB2312" w:hAnsi="仿宋_GB2312" w:cs="仿宋_GB2312" w:eastAsia="仿宋_GB2312"/>
              </w:rPr>
              <w:t>投标人应提交的相关证明材料,投标文件封面,服务应答表,报价表,技术要求应答表.docx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驻本项目的项目经理：①具有本科及以上学历的得2分；②具有全国物业管理企业经理培训证书或物业管理师证书的得3分，本项最多得5分。（提供身份证、相关证书扫描件，并加盖电子签章，未提供不得分。） 2.拟派驻本项目的项目主管：①具有本科及以上学历的得2分；②具有全国物业管理企业经理培训证书或物业管理师证书的得3分；③具有劳动关系协调员（中级及以上）的得2分。本项最多得7分。（提供身份证、相关证书扫描件，并加盖电子签章，未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从2023年1月1日起具有类似非住宅物业类项目业绩的（业绩要求同时包含保洁服务、秩序维护、绿化养护服务或类似语义的），提供1个得2分，本项最多得12分。（注：1.需完整提供每个合同复印件或中标/成交通知书并加盖电子签章； 2. 每个合同须提供该合同相对应的一张发票扫描件及发票对应的税务局查询截图，未提供查询截图的不予认可（注：查询截图必须包括相关查询网页的地址栏）；3.类似业绩涵盖内容项服务内容意思相近即可。）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根据投标人提供的应急处理方案进行综合评审：方案包含：①自然灾害；②水浸和电梯突发事件；③公共卫生；④消防应急；以上4项方案完全满足招标文件要求的得12分，方案中每缺少一项扣3分，每个单项方案中每存在一处缺陷的扣1.5分，该单项方案的3分扣完为止 。本项最多扣12分。注：内容错误或缺陷是指以下情形中的任意一项：项目名称、实施地点、服务期限、服务内容、服务标准与本项目需求不一致或不相关，方案内容与本项目需求不一致。</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绿化维护及小农场管理方案</w:t>
            </w:r>
          </w:p>
        </w:tc>
        <w:tc>
          <w:tcPr>
            <w:tcW w:type="dxa" w:w="2575"/>
          </w:tcPr>
          <w:p>
            <w:pPr>
              <w:pStyle w:val="null3"/>
              <w:jc w:val="left"/>
            </w:pPr>
            <w:r>
              <w:rPr>
                <w:rFonts w:ascii="仿宋_GB2312" w:hAnsi="仿宋_GB2312" w:cs="仿宋_GB2312" w:eastAsia="仿宋_GB2312"/>
              </w:rPr>
              <w:t>根据投标人提供的绿化维护及小农场管理方案进行综合评审，方案包含：①人员配置及岗位职责、②绿化综合养护方案、③季节性养护方案、④特殊天气应急保障方案；以上4项方案完全满足招标文件要求的得10分，方案中每缺少一项扣2.5分，每个单项方案中每存在一处缺陷的扣1.25分，该单项方案的2.5分扣完为止。本项最多扣10分。 注：内容错误或缺陷是指以下情形中的任意一项：项目名称、实施地点、服务期限、服务内容、服务标准与本项目需求不一致或不相关，方案内容与本项目需求不一致。</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秩序维护服务方案</w:t>
            </w:r>
          </w:p>
        </w:tc>
        <w:tc>
          <w:tcPr>
            <w:tcW w:type="dxa" w:w="2575"/>
          </w:tcPr>
          <w:p>
            <w:pPr>
              <w:pStyle w:val="null3"/>
              <w:jc w:val="left"/>
            </w:pPr>
            <w:r>
              <w:rPr>
                <w:rFonts w:ascii="仿宋_GB2312" w:hAnsi="仿宋_GB2312" w:cs="仿宋_GB2312" w:eastAsia="仿宋_GB2312"/>
              </w:rPr>
              <w:t>根据投标人提供的秩序维护服务方案进行综合评审，方案包含：①安防巡查措施；②日常校园秩序维护工作计划；③车辆管理措施；④来人来访接待措施；以上4项方案完全满足招标文件要求的得12分，方案中每缺少一项扣3分，每个单项方案中每存在一处缺陷的扣1.5分，该单项方案的3分扣完为止。本项最多扣12分。注：内容错误或缺陷是指以下情形中的任意一项：项目名称、实施地点、服务期限、服务内容、服务标准与本项目需求不一致或不相关，方案内容与本项目需求不一致。</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保洁服务方案</w:t>
            </w:r>
          </w:p>
        </w:tc>
        <w:tc>
          <w:tcPr>
            <w:tcW w:type="dxa" w:w="2575"/>
          </w:tcPr>
          <w:p>
            <w:pPr>
              <w:pStyle w:val="null3"/>
              <w:jc w:val="left"/>
            </w:pPr>
            <w:r>
              <w:rPr>
                <w:rFonts w:ascii="仿宋_GB2312" w:hAnsi="仿宋_GB2312" w:cs="仿宋_GB2312" w:eastAsia="仿宋_GB2312"/>
              </w:rPr>
              <w:t>根据投标人提供的保洁服务方案进行综合评审：方案包含：①人员配置及岗位职责、②室内外保洁服务方案、③保洁品质提升计划、④保洁人员培训方案；以上4项方案完全满足招标文件要求的得12分，方案中每缺少一项扣3分，每个单项方案中每存在一处缺陷的扣1.5分，该单项方案的3分扣完为止。本项最多扣12分。注：内容错误或缺陷是指以下情形中的任意一项：项目名称、实施地点、服务期限、服务内容、服务标准与本项目需求不一致或不相关，方案内容与本项目需求不一致。</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项目概况分析及服务理念方案</w:t>
            </w:r>
          </w:p>
        </w:tc>
        <w:tc>
          <w:tcPr>
            <w:tcW w:type="dxa" w:w="2575"/>
          </w:tcPr>
          <w:p>
            <w:pPr>
              <w:pStyle w:val="null3"/>
              <w:jc w:val="left"/>
            </w:pPr>
            <w:r>
              <w:rPr>
                <w:rFonts w:ascii="仿宋_GB2312" w:hAnsi="仿宋_GB2312" w:cs="仿宋_GB2312" w:eastAsia="仿宋_GB2312"/>
              </w:rPr>
              <w:t>根据投标人提供的项目概况分析及服务理念方案进行综合评审：方案包含：①项目策划思路及服务理念、②管理制度（至少包括岗位职责、保密制度）、③人员管理及考核制度、④服务质量保障措施；以上4项方案完全满足招标文件要求的得10分，方案中每缺少一项扣2.5分，每个单项方案中每存在一处缺陷的扣1.25分，该单项方案的2.5分扣完为止。本项最多扣10分。 注：内容错误或缺陷是指以下情形中的任意一项：项目名称、实施地点、服务期限、服务内容、服务标准与本项目需求不一致或不相关，方案内容与本项目需求不一致。</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