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版本号：N510823202600003120260420001</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剑阁县电子政务外网运维服务(二次)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N5108232026000031</w:t>
      </w:r>
    </w:p>
    <w:p>
      <w:pPr>
        <w:pStyle w:val="null3"/>
        <w:jc w:val="left"/>
        <w:outlineLvl w:val="2"/>
      </w:pPr>
      <w:r>
        <w:rPr>
          <w:rFonts w:ascii="仿宋_GB2312" w:hAnsi="仿宋_GB2312" w:cs="仿宋_GB2312" w:eastAsia="仿宋_GB2312"/>
          <w:sz w:val="28"/>
          <w:b/>
        </w:rPr>
        <w:t>剑阁县人民政府办公室</w:t>
      </w:r>
    </w:p>
    <w:p>
      <w:pPr>
        <w:pStyle w:val="null3"/>
        <w:jc w:val="center"/>
        <w:outlineLvl w:val="2"/>
      </w:pPr>
      <w:r>
        <w:rPr>
          <w:rFonts w:ascii="仿宋_GB2312" w:hAnsi="仿宋_GB2312" w:cs="仿宋_GB2312" w:eastAsia="仿宋_GB2312"/>
          <w:sz w:val="28"/>
          <w:b/>
        </w:rPr>
        <w:t>四川川流建筑工程有限公司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四川川流建筑工程有限公司</w:t>
      </w:r>
      <w:r>
        <w:rPr>
          <w:rFonts w:ascii="仿宋_GB2312" w:hAnsi="仿宋_GB2312" w:cs="仿宋_GB2312" w:eastAsia="仿宋_GB2312"/>
        </w:rPr>
        <w:t xml:space="preserve"> （以下简称“代理机构”）受 </w:t>
      </w:r>
      <w:r>
        <w:rPr>
          <w:rFonts w:ascii="仿宋_GB2312" w:hAnsi="仿宋_GB2312" w:cs="仿宋_GB2312" w:eastAsia="仿宋_GB2312"/>
        </w:rPr>
        <w:t>剑阁县人民政府办公室</w:t>
      </w:r>
      <w:r>
        <w:rPr>
          <w:rFonts w:ascii="仿宋_GB2312" w:hAnsi="仿宋_GB2312" w:cs="仿宋_GB2312" w:eastAsia="仿宋_GB2312"/>
        </w:rPr>
        <w:t xml:space="preserve"> 委托，拟对 </w:t>
      </w:r>
      <w:r>
        <w:rPr>
          <w:rFonts w:ascii="仿宋_GB2312" w:hAnsi="仿宋_GB2312" w:cs="仿宋_GB2312" w:eastAsia="仿宋_GB2312"/>
        </w:rPr>
        <w:t>剑阁县电子政务外网运维服务(二次)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广元市剑阁县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N5108232026000031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剑阁县电子政务外网运维服务(二次)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采购剑阁县人民政府电子政务外网专线及备用专线服务、配套网站运维服务、准入安全管理、网络安全及评测服务、网络运维服务等。</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剑阁县人民政府办公室</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剑阁县下寺镇剑门关大道北段389号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628317</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黄先生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18981211873</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四川川流建筑工程有限公司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广元市剑阁县下寺镇大仓坝清江龙湾小区3栋2-1-4</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628317</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邓先生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15700567896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采购包1：748,000.00元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政府购买服务项目（含政府和社会资本合作项目）：是/否</w:t>
            </w:r>
          </w:p>
          <w:p>
            <w:pPr>
              <w:pStyle w:val="null3"/>
              <w:jc w:val="left"/>
            </w:pPr>
            <w:r>
              <w:rPr>
                <w:rFonts w:ascii="仿宋_GB2312" w:hAnsi="仿宋_GB2312" w:cs="仿宋_GB2312" w:eastAsia="仿宋_GB2312"/>
              </w:rPr>
              <w:t xml:space="preserve"> 市场竞争不充分的科研项目：是/否</w:t>
            </w:r>
            <w:r>
              <w:rPr>
                <w:rFonts w:ascii="仿宋_GB2312" w:hAnsi="仿宋_GB2312" w:cs="仿宋_GB2312" w:eastAsia="仿宋_GB2312"/>
              </w:rPr>
              <w:t xml:space="preserve"> 需要扶持的科技成果转化项目：是/否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60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参照《招标代理服务收费管理暂行办法》(计价格[2002]1980号)和《国家发展改革委办公厅关于招标代理服务收费有关问题的通知》（发改办价格[2003]857号）招标代理服务收费标准基础上下浮33%后按7517.4元收取。</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剑阁县人民政府办公室</w:t>
      </w:r>
      <w:r>
        <w:rPr>
          <w:rFonts w:ascii="仿宋_GB2312" w:hAnsi="仿宋_GB2312" w:cs="仿宋_GB2312" w:eastAsia="仿宋_GB2312"/>
        </w:rPr>
        <w:t xml:space="preserve"> 和 </w:t>
      </w:r>
      <w:r>
        <w:rPr>
          <w:rFonts w:ascii="仿宋_GB2312" w:hAnsi="仿宋_GB2312" w:cs="仿宋_GB2312" w:eastAsia="仿宋_GB2312"/>
        </w:rPr>
        <w:t>四川川流建筑工程有限公司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剑阁县人民政府办公室</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四川川流建筑工程有限公司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本项目以下采购包允许合同分包。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采购包号</w:t>
            </w:r>
          </w:p>
        </w:tc>
        <w:tc>
          <w:tcPr>
            <w:tcW w:type="dxa" w:w="2076"/>
          </w:tcPr>
          <w:p>
            <w:pPr>
              <w:pStyle w:val="null3"/>
              <w:jc w:val="left"/>
            </w:pPr>
            <w:r>
              <w:rPr>
                <w:rFonts w:ascii="仿宋_GB2312" w:hAnsi="仿宋_GB2312" w:cs="仿宋_GB2312" w:eastAsia="仿宋_GB2312"/>
              </w:rPr>
              <w:t>分包方式</w:t>
            </w:r>
          </w:p>
        </w:tc>
        <w:tc>
          <w:tcPr>
            <w:tcW w:type="dxa" w:w="2076"/>
          </w:tcPr>
          <w:p>
            <w:pPr>
              <w:pStyle w:val="null3"/>
              <w:jc w:val="left"/>
            </w:pPr>
            <w:r>
              <w:rPr>
                <w:rFonts w:ascii="仿宋_GB2312" w:hAnsi="仿宋_GB2312" w:cs="仿宋_GB2312" w:eastAsia="仿宋_GB2312"/>
              </w:rPr>
              <w:t>分包说明</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采购包1</w:t>
            </w:r>
          </w:p>
        </w:tc>
        <w:tc>
          <w:tcPr>
            <w:tcW w:type="dxa" w:w="2076"/>
          </w:tcPr>
          <w:p>
            <w:pPr>
              <w:pStyle w:val="null3"/>
              <w:jc w:val="left"/>
            </w:pPr>
            <w:r>
              <w:rPr>
                <w:rFonts w:ascii="仿宋_GB2312" w:hAnsi="仿宋_GB2312" w:cs="仿宋_GB2312" w:eastAsia="仿宋_GB2312"/>
              </w:rPr>
              <w:t>内容</w:t>
            </w:r>
          </w:p>
        </w:tc>
        <w:tc>
          <w:tcPr>
            <w:tcW w:type="dxa" w:w="2076"/>
          </w:tcPr>
          <w:p>
            <w:pPr>
              <w:pStyle w:val="null3"/>
              <w:jc w:val="left"/>
            </w:pPr>
            <w:r>
              <w:rPr>
                <w:rFonts w:ascii="仿宋_GB2312" w:hAnsi="仿宋_GB2312" w:cs="仿宋_GB2312" w:eastAsia="仿宋_GB2312"/>
              </w:rPr>
              <w:t>本项目政务外网专线与备线服务须由不同运营商提供，成交供应商须将备用专线服务依法分包给第三方供应商，分包方案须经采购人书面同意后方可实施，分包方不得再次分包。</w:t>
            </w:r>
          </w:p>
        </w:tc>
      </w:tr>
    </w:tbl>
    <w:p>
      <w:pPr>
        <w:pStyle w:val="null3"/>
        <w:jc w:val="left"/>
      </w:pPr>
      <w:r>
        <w:rPr>
          <w:rFonts w:ascii="仿宋_GB2312" w:hAnsi="仿宋_GB2312" w:cs="仿宋_GB2312" w:eastAsia="仿宋_GB2312"/>
        </w:rPr>
        <w:t>注：</w:t>
      </w:r>
    </w:p>
    <w:p>
      <w:pPr>
        <w:pStyle w:val="null3"/>
        <w:jc w:val="left"/>
      </w:pPr>
      <w:r>
        <w:rPr>
          <w:rFonts w:ascii="仿宋_GB2312" w:hAnsi="仿宋_GB2312" w:cs="仿宋_GB2312" w:eastAsia="仿宋_GB2312"/>
        </w:rPr>
        <w:t xml:space="preserve"> 1.供应商根据磋商文件的规定和采购项目的实际情况，拟在成交后将成交项目的非主体、非关键性工作分包的，应当在响应文件中载明分包承担主体，分包承担主体应当具备相应资质条件且不得再次分包。</w:t>
      </w:r>
    </w:p>
    <w:p>
      <w:pPr>
        <w:pStyle w:val="null3"/>
        <w:jc w:val="left"/>
      </w:pPr>
      <w:r>
        <w:rPr>
          <w:rFonts w:ascii="仿宋_GB2312" w:hAnsi="仿宋_GB2312" w:cs="仿宋_GB2312" w:eastAsia="仿宋_GB2312"/>
        </w:rPr>
        <w:t xml:space="preserve"> 2.采购合同实行分包履行的，成交供应商就采购项目和分包项目向采购人负责，分包供应商就分包项目承担责任。</w:t>
      </w:r>
    </w:p>
    <w:p>
      <w:pPr>
        <w:pStyle w:val="null3"/>
        <w:jc w:val="left"/>
      </w:pPr>
      <w:r>
        <w:rPr>
          <w:rFonts w:ascii="仿宋_GB2312" w:hAnsi="仿宋_GB2312" w:cs="仿宋_GB2312" w:eastAsia="仿宋_GB2312"/>
        </w:rPr>
        <w:t xml:space="preserve"> 3.中小企业依据《政府采购促进中小企业发展管理办法》（财库〔2020〕46号）规定的政策获取政府采购合同后，小型、微型企业不得将合同分包给大型、中型企业，中型企业不得将合同分包给大型企业。</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中华人民共和国政府采购法》、《中华人民共和国政府采购法实施条例》及《财政部关于进一步加强政府采购需求和履约验收管理的指导意见》（财库〔2016〕205号）、采购文件及其相关法律法规规定进行履约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中华人民共和国政府采购法》、《中华人民共和国政府采购法实施条例》及《财政部关于进一步加强政府采购需求和履约验收管理的指导意见》（财库〔2016〕205号）、采购文件及其相关法律法规规定进行履约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中华人民共和国政府采购法》、《中华人民共和国政府采购法实施条例》及《财政部关于进一步加强政府采购需求和履约验收管理的指导意见》（财库〔2016〕205号）、采购文件及其相关法律法规规定进行履约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合同约定</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剑阁县人民政府办公室</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四川川流建筑工程有限公司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四川川流建筑工程有限公司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联系人：黄先生</w:t>
      </w:r>
    </w:p>
    <w:p>
      <w:pPr>
        <w:pStyle w:val="null3"/>
        <w:jc w:val="left"/>
      </w:pPr>
      <w:r>
        <w:rPr>
          <w:rFonts w:ascii="仿宋_GB2312" w:hAnsi="仿宋_GB2312" w:cs="仿宋_GB2312" w:eastAsia="仿宋_GB2312"/>
        </w:rPr>
        <w:t>联系电话：18981211873</w:t>
      </w:r>
    </w:p>
    <w:p>
      <w:pPr>
        <w:pStyle w:val="null3"/>
        <w:jc w:val="left"/>
      </w:pPr>
      <w:r>
        <w:rPr>
          <w:rFonts w:ascii="仿宋_GB2312" w:hAnsi="仿宋_GB2312" w:cs="仿宋_GB2312" w:eastAsia="仿宋_GB2312"/>
        </w:rPr>
        <w:t>地址：剑阁县下寺镇剑门关大道北段389号</w:t>
      </w:r>
    </w:p>
    <w:p>
      <w:pPr>
        <w:pStyle w:val="null3"/>
        <w:jc w:val="left"/>
      </w:pPr>
      <w:r>
        <w:rPr>
          <w:rFonts w:ascii="仿宋_GB2312" w:hAnsi="仿宋_GB2312" w:cs="仿宋_GB2312" w:eastAsia="仿宋_GB2312"/>
        </w:rPr>
        <w:t>邮编：628317</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联系人：邓先生</w:t>
      </w:r>
    </w:p>
    <w:p>
      <w:pPr>
        <w:pStyle w:val="null3"/>
        <w:jc w:val="left"/>
      </w:pPr>
      <w:r>
        <w:rPr>
          <w:rFonts w:ascii="仿宋_GB2312" w:hAnsi="仿宋_GB2312" w:cs="仿宋_GB2312" w:eastAsia="仿宋_GB2312"/>
        </w:rPr>
        <w:t>联系电话：15700567896</w:t>
      </w:r>
    </w:p>
    <w:p>
      <w:pPr>
        <w:pStyle w:val="null3"/>
        <w:jc w:val="left"/>
      </w:pPr>
      <w:r>
        <w:rPr>
          <w:rFonts w:ascii="仿宋_GB2312" w:hAnsi="仿宋_GB2312" w:cs="仿宋_GB2312" w:eastAsia="仿宋_GB2312"/>
        </w:rPr>
        <w:t>地址：广元市剑阁县下寺镇大仓坝清江龙湾小区3栋2-1-4</w:t>
      </w:r>
    </w:p>
    <w:p>
      <w:pPr>
        <w:pStyle w:val="null3"/>
        <w:jc w:val="left"/>
      </w:pPr>
      <w:r>
        <w:rPr>
          <w:rFonts w:ascii="仿宋_GB2312" w:hAnsi="仿宋_GB2312" w:cs="仿宋_GB2312" w:eastAsia="仿宋_GB2312"/>
        </w:rPr>
        <w:t>邮编：628317</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748,000.00</w:t>
      </w:r>
    </w:p>
    <w:p>
      <w:pPr>
        <w:pStyle w:val="null3"/>
        <w:jc w:val="left"/>
      </w:pPr>
      <w:r>
        <w:rPr>
          <w:rFonts w:ascii="仿宋_GB2312" w:hAnsi="仿宋_GB2312" w:cs="仿宋_GB2312" w:eastAsia="仿宋_GB2312"/>
        </w:rPr>
        <w:t>采购包最高限价（元）: 748,000.00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C16070300 软件运维服务</w:t>
            </w:r>
          </w:p>
        </w:tc>
        <w:tc>
          <w:tcPr>
            <w:tcW w:type="dxa" w:w="821"/>
          </w:tcPr>
          <w:p>
            <w:pPr>
              <w:pStyle w:val="null3"/>
              <w:jc w:val="left"/>
            </w:pPr>
            <w:r>
              <w:rPr>
                <w:rFonts w:ascii="仿宋_GB2312" w:hAnsi="仿宋_GB2312" w:cs="仿宋_GB2312" w:eastAsia="仿宋_GB2312"/>
              </w:rPr>
              <w:t>剑阁县电子政务外网运维服务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748,000.00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剑阁县电子政务外网运维服务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748,000.00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标的名称：剑阁县电子政务外网运维服务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剑阁县电子政务外网运维服务</w:t>
            </w:r>
          </w:p>
        </w:tc>
        <w:tc>
          <w:tcPr>
            <w:tcW w:type="dxa" w:w="5814"/>
          </w:tcPr>
          <w:p>
            <w:pPr>
              <w:pStyle w:val="null3"/>
              <w:jc w:val="both"/>
            </w:pPr>
            <w:r>
              <w:rPr>
                <w:rFonts w:ascii="仿宋_GB2312" w:hAnsi="仿宋_GB2312" w:cs="仿宋_GB2312" w:eastAsia="仿宋_GB2312"/>
                <w:sz w:val="28"/>
                <w:b/>
              </w:rPr>
              <w:t>一、项目概述</w:t>
            </w:r>
          </w:p>
          <w:p>
            <w:pPr>
              <w:pStyle w:val="null3"/>
              <w:ind w:firstLine="218"/>
              <w:jc w:val="left"/>
            </w:pPr>
            <w:r>
              <w:rPr>
                <w:rFonts w:ascii="仿宋_GB2312" w:hAnsi="仿宋_GB2312" w:cs="仿宋_GB2312" w:eastAsia="仿宋_GB2312"/>
                <w:sz w:val="24"/>
              </w:rPr>
              <w:t>1、项目内容：采购剑阁县人民政府电子政务外网专线及备用专线服务、配套网站运维服务、准入安全管理、网络安全及评测服务、网络运维服务等。</w:t>
            </w:r>
          </w:p>
          <w:p>
            <w:pPr>
              <w:pStyle w:val="null3"/>
              <w:ind w:firstLine="218"/>
              <w:jc w:val="left"/>
            </w:pPr>
            <w:r>
              <w:rPr>
                <w:rFonts w:ascii="仿宋_GB2312" w:hAnsi="仿宋_GB2312" w:cs="仿宋_GB2312" w:eastAsia="仿宋_GB2312"/>
                <w:sz w:val="24"/>
              </w:rPr>
              <w:t>2、采购地址：采购人指定位置。</w:t>
            </w:r>
          </w:p>
          <w:p>
            <w:pPr>
              <w:pStyle w:val="null3"/>
              <w:ind w:firstLine="218"/>
              <w:jc w:val="left"/>
            </w:pPr>
            <w:r>
              <w:rPr>
                <w:rFonts w:ascii="仿宋_GB2312" w:hAnsi="仿宋_GB2312" w:cs="仿宋_GB2312" w:eastAsia="仿宋_GB2312"/>
                <w:sz w:val="24"/>
              </w:rPr>
              <w:t>3、预算资金：74.8 万元/年；服务期限：3年；资金来源：财政性资金。</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8"/>
                <w:b/>
              </w:rPr>
              <w:t>二、</w:t>
            </w:r>
            <w:r>
              <w:rPr>
                <w:rFonts w:ascii="仿宋_GB2312" w:hAnsi="仿宋_GB2312" w:cs="仿宋_GB2312" w:eastAsia="仿宋_GB2312"/>
                <w:sz w:val="28"/>
                <w:b/>
              </w:rPr>
              <w:t>服务内容</w:t>
            </w:r>
          </w:p>
          <w:p>
            <w:pPr>
              <w:pStyle w:val="null3"/>
              <w:jc w:val="both"/>
            </w:pPr>
            <w:r>
              <w:rPr>
                <w:rFonts w:ascii="仿宋_GB2312" w:hAnsi="仿宋_GB2312" w:cs="仿宋_GB2312" w:eastAsia="仿宋_GB2312"/>
                <w:sz w:val="24"/>
                <w:b/>
              </w:rPr>
              <w:t>（一）电子政务外网专线及备用专线服务：</w:t>
            </w:r>
          </w:p>
          <w:p>
            <w:pPr>
              <w:pStyle w:val="null3"/>
              <w:ind w:firstLine="420"/>
              <w:jc w:val="left"/>
            </w:pPr>
            <w:r>
              <w:rPr>
                <w:rFonts w:ascii="仿宋_GB2312" w:hAnsi="仿宋_GB2312" w:cs="仿宋_GB2312" w:eastAsia="仿宋_GB2312"/>
                <w:sz w:val="24"/>
              </w:rPr>
              <w:t>1.供应商提供全县 29 个乡镇及机关企事业单位电子政务外网专线100条，村（社区）电子政务外网专线 364条；全面和市级电子政务外网适配，并提供备用专线。</w:t>
            </w:r>
          </w:p>
          <w:p>
            <w:pPr>
              <w:pStyle w:val="null3"/>
              <w:ind w:firstLine="420"/>
              <w:jc w:val="left"/>
            </w:pPr>
            <w:r>
              <w:rPr>
                <w:rFonts w:ascii="仿宋_GB2312" w:hAnsi="仿宋_GB2312" w:cs="仿宋_GB2312" w:eastAsia="仿宋_GB2312"/>
                <w:sz w:val="24"/>
              </w:rPr>
              <w:t>2.提供县级政务外网网络中心到全县29个乡镇及机关企事业单位电子政务外网专线100条、364个行政村（社县）专线网络364条。按照工作需要及时调配约定线路（包含线路开通和回收时硬件设备和网络资源），后续按需分配给用户单位。</w:t>
            </w:r>
          </w:p>
          <w:p>
            <w:pPr>
              <w:pStyle w:val="null3"/>
              <w:ind w:firstLine="420"/>
              <w:jc w:val="left"/>
            </w:pPr>
            <w:r>
              <w:rPr>
                <w:rFonts w:ascii="仿宋_GB2312" w:hAnsi="仿宋_GB2312" w:cs="仿宋_GB2312" w:eastAsia="仿宋_GB2312"/>
                <w:sz w:val="24"/>
              </w:rPr>
              <w:t>3.</w:t>
            </w:r>
            <w:r>
              <w:rPr>
                <w:rFonts w:ascii="仿宋_GB2312" w:hAnsi="仿宋_GB2312" w:cs="仿宋_GB2312" w:eastAsia="仿宋_GB2312"/>
                <w:sz w:val="24"/>
                <w:color w:val="000000"/>
              </w:rPr>
              <w:t>提供剑阁县电子政务外网网络中心到服务商网络中心互联网光纤电路</w:t>
            </w:r>
            <w:r>
              <w:rPr>
                <w:rFonts w:ascii="仿宋_GB2312" w:hAnsi="仿宋_GB2312" w:cs="仿宋_GB2312" w:eastAsia="仿宋_GB2312"/>
                <w:sz w:val="24"/>
                <w:color w:val="000000"/>
              </w:rPr>
              <w:t>1条，上下行</w:t>
            </w:r>
            <w:r>
              <w:rPr>
                <w:rFonts w:ascii="仿宋_GB2312" w:hAnsi="仿宋_GB2312" w:cs="仿宋_GB2312" w:eastAsia="仿宋_GB2312"/>
                <w:sz w:val="24"/>
                <w:color w:val="000000"/>
              </w:rPr>
              <w:t>对等带宽</w:t>
            </w:r>
            <w:r>
              <w:rPr>
                <w:rFonts w:ascii="仿宋_GB2312" w:hAnsi="仿宋_GB2312" w:cs="仿宋_GB2312" w:eastAsia="仿宋_GB2312"/>
                <w:sz w:val="24"/>
                <w:color w:val="000000"/>
              </w:rPr>
              <w:t>不低于1000M。</w:t>
            </w:r>
          </w:p>
          <w:p>
            <w:pPr>
              <w:pStyle w:val="null3"/>
              <w:ind w:firstLine="420"/>
              <w:jc w:val="left"/>
            </w:pPr>
            <w:r>
              <w:rPr>
                <w:rFonts w:ascii="仿宋_GB2312" w:hAnsi="仿宋_GB2312" w:cs="仿宋_GB2312" w:eastAsia="仿宋_GB2312"/>
                <w:sz w:val="24"/>
                <w:b/>
              </w:rPr>
              <w:t>（二）配套网站运维服务：</w:t>
            </w:r>
          </w:p>
          <w:p>
            <w:pPr>
              <w:pStyle w:val="null3"/>
              <w:ind w:firstLine="420"/>
              <w:jc w:val="left"/>
            </w:pPr>
            <w:r>
              <w:rPr>
                <w:rFonts w:ascii="仿宋_GB2312" w:hAnsi="仿宋_GB2312" w:cs="仿宋_GB2312" w:eastAsia="仿宋_GB2312"/>
                <w:sz w:val="24"/>
              </w:rPr>
              <w:t>供应商负责互联网和电子政务外网上的剑阁县人民政府门户网站升级、维护（合同期内根据剑阁县人民政府办公室要求进行网站改版，栏目设置或根据国家、省、市及采购人要求的动态调整）。</w:t>
            </w:r>
          </w:p>
          <w:p>
            <w:pPr>
              <w:pStyle w:val="null3"/>
              <w:ind w:firstLine="420"/>
              <w:jc w:val="left"/>
            </w:pPr>
            <w:r>
              <w:rPr>
                <w:rFonts w:ascii="仿宋_GB2312" w:hAnsi="仿宋_GB2312" w:cs="仿宋_GB2312" w:eastAsia="仿宋_GB2312"/>
                <w:sz w:val="24"/>
                <w:b/>
              </w:rPr>
              <w:t>（三）准入安全管理控制器：</w:t>
            </w:r>
          </w:p>
          <w:p>
            <w:pPr>
              <w:pStyle w:val="null3"/>
              <w:ind w:firstLine="420"/>
              <w:jc w:val="left"/>
            </w:pPr>
            <w:r>
              <w:rPr>
                <w:rFonts w:ascii="仿宋_GB2312" w:hAnsi="仿宋_GB2312" w:cs="仿宋_GB2312" w:eastAsia="仿宋_GB2312"/>
                <w:sz w:val="24"/>
              </w:rPr>
              <w:t>供应商部署统一管理入口，对所有终端的入网策略、安全状态、访问权限进行集中配置和管理，实现</w:t>
            </w:r>
            <w:r>
              <w:rPr>
                <w:rFonts w:ascii="仿宋_GB2312" w:hAnsi="仿宋_GB2312" w:cs="仿宋_GB2312" w:eastAsia="仿宋_GB2312"/>
                <w:sz w:val="24"/>
              </w:rPr>
              <w:t>“一键式”资源调度和故障监测</w:t>
            </w:r>
            <w:r>
              <w:rPr>
                <w:rFonts w:ascii="仿宋_GB2312" w:hAnsi="仿宋_GB2312" w:cs="仿宋_GB2312" w:eastAsia="仿宋_GB2312"/>
                <w:sz w:val="24"/>
              </w:rPr>
              <w:t>。主动预警与快速处置：并在故障发生时快速定位问题根源，缩短排查时间</w:t>
            </w:r>
            <w:r>
              <w:rPr>
                <w:rFonts w:ascii="仿宋_GB2312" w:hAnsi="仿宋_GB2312" w:cs="仿宋_GB2312" w:eastAsia="仿宋_GB2312"/>
                <w:sz w:val="24"/>
              </w:rPr>
              <w:t>。</w:t>
            </w:r>
          </w:p>
          <w:p>
            <w:pPr>
              <w:pStyle w:val="null3"/>
              <w:ind w:firstLine="420"/>
              <w:jc w:val="left"/>
            </w:pPr>
            <w:r>
              <w:rPr>
                <w:rFonts w:ascii="仿宋_GB2312" w:hAnsi="仿宋_GB2312" w:cs="仿宋_GB2312" w:eastAsia="仿宋_GB2312"/>
                <w:sz w:val="24"/>
                <w:b/>
              </w:rPr>
              <w:t>（四）网络安全及评测服务：</w:t>
            </w:r>
          </w:p>
          <w:p>
            <w:pPr>
              <w:pStyle w:val="null3"/>
              <w:ind w:firstLine="420"/>
              <w:jc w:val="left"/>
            </w:pPr>
            <w:r>
              <w:rPr>
                <w:rFonts w:ascii="仿宋_GB2312" w:hAnsi="仿宋_GB2312" w:cs="仿宋_GB2312" w:eastAsia="仿宋_GB2312"/>
                <w:sz w:val="24"/>
              </w:rPr>
              <w:t>协助采购人办理备案证书；合同期内按要求对县级电子政务外网网络开展二级等保测评。</w:t>
            </w:r>
          </w:p>
          <w:p>
            <w:pPr>
              <w:pStyle w:val="null3"/>
              <w:ind w:firstLine="420"/>
              <w:jc w:val="left"/>
            </w:pPr>
            <w:r>
              <w:rPr>
                <w:rFonts w:ascii="仿宋_GB2312" w:hAnsi="仿宋_GB2312" w:cs="仿宋_GB2312" w:eastAsia="仿宋_GB2312"/>
                <w:sz w:val="24"/>
                <w:b/>
              </w:rPr>
              <w:t>（五）网络运维服务：</w:t>
            </w:r>
          </w:p>
          <w:p>
            <w:pPr>
              <w:pStyle w:val="null3"/>
              <w:ind w:firstLine="420"/>
              <w:jc w:val="left"/>
            </w:pPr>
            <w:r>
              <w:rPr>
                <w:rFonts w:ascii="仿宋_GB2312" w:hAnsi="仿宋_GB2312" w:cs="仿宋_GB2312" w:eastAsia="仿宋_GB2312"/>
                <w:sz w:val="24"/>
              </w:rPr>
              <w:t>供</w:t>
            </w:r>
            <w:r>
              <w:rPr>
                <w:rFonts w:ascii="仿宋_GB2312" w:hAnsi="仿宋_GB2312" w:cs="仿宋_GB2312" w:eastAsia="仿宋_GB2312"/>
                <w:sz w:val="24"/>
              </w:rPr>
              <w:t>应商负责本项目配套所有设备及线路及系统平台的运维服务，并对网络进行</w:t>
            </w:r>
            <w:r>
              <w:rPr>
                <w:rFonts w:ascii="仿宋_GB2312" w:hAnsi="仿宋_GB2312" w:cs="仿宋_GB2312" w:eastAsia="仿宋_GB2312"/>
                <w:sz w:val="24"/>
              </w:rPr>
              <w:t>IPV6改造。并派驻不少于一名专职技术人员负责本项目所需运维工作</w:t>
            </w:r>
            <w:r>
              <w:rPr>
                <w:rFonts w:ascii="仿宋_GB2312" w:hAnsi="仿宋_GB2312" w:cs="仿宋_GB2312" w:eastAsia="仿宋_GB2312"/>
                <w:sz w:val="24"/>
                <w:b/>
              </w:rPr>
              <w:t>（提供承诺函）</w:t>
            </w:r>
            <w:r>
              <w:rPr>
                <w:rFonts w:ascii="仿宋_GB2312" w:hAnsi="仿宋_GB2312" w:cs="仿宋_GB2312" w:eastAsia="仿宋_GB2312"/>
                <w:sz w:val="24"/>
              </w:rPr>
              <w:t>。</w:t>
            </w:r>
          </w:p>
          <w:p>
            <w:pPr>
              <w:pStyle w:val="null3"/>
              <w:jc w:val="both"/>
            </w:pPr>
            <w:r>
              <w:rPr>
                <w:rFonts w:ascii="仿宋_GB2312" w:hAnsi="仿宋_GB2312" w:cs="仿宋_GB2312" w:eastAsia="仿宋_GB2312"/>
                <w:sz w:val="28"/>
                <w:b/>
              </w:rPr>
              <w:t>三、服务的技术要求</w:t>
            </w:r>
          </w:p>
          <w:tbl>
            <w:tblPr>
              <w:tblBorders>
                <w:top w:val="none" w:color="000000" w:sz="4"/>
                <w:left w:val="none" w:color="000000" w:sz="4"/>
                <w:bottom w:val="none" w:color="000000" w:sz="4"/>
                <w:right w:val="none" w:color="000000" w:sz="4"/>
                <w:insideH w:val="none"/>
                <w:insideV w:val="none"/>
              </w:tblBorders>
            </w:tblPr>
            <w:tblGrid>
              <w:gridCol w:w="1187"/>
              <w:gridCol w:w="3745"/>
              <w:gridCol w:w="665"/>
            </w:tblGrid>
            <w:tr>
              <w:tc>
                <w:tcPr>
                  <w:tcW w:type="dxa" w:w="1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电子政务外网专线及备用专线服务</w:t>
                  </w:r>
                </w:p>
              </w:tc>
              <w:tc>
                <w:tcPr>
                  <w:tcW w:type="dxa" w:w="37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color w:val="000000"/>
                    </w:rPr>
                    <w:t>供应商提供</w:t>
                  </w:r>
                  <w:r>
                    <w:rPr>
                      <w:rFonts w:ascii="仿宋_GB2312" w:hAnsi="仿宋_GB2312" w:cs="仿宋_GB2312" w:eastAsia="仿宋_GB2312"/>
                      <w:sz w:val="24"/>
                      <w:color w:val="000000"/>
                    </w:rPr>
                    <w:t>VPN线路以电口交付用户单位，链路全年可用率不低于99.99%，并具备带宽平滑升级扩容功能。</w:t>
                  </w:r>
                  <w:r>
                    <w:br/>
                  </w:r>
                  <w:r>
                    <w:rPr>
                      <w:rFonts w:ascii="仿宋_GB2312" w:hAnsi="仿宋_GB2312" w:cs="仿宋_GB2312" w:eastAsia="仿宋_GB2312"/>
                      <w:sz w:val="24"/>
                      <w:color w:val="000000"/>
                    </w:rPr>
                    <w:t>▲（2）采用组网技术：VPN专网技术</w:t>
                  </w:r>
                  <w:r>
                    <w:rPr>
                      <w:rFonts w:ascii="仿宋_GB2312" w:hAnsi="仿宋_GB2312" w:cs="仿宋_GB2312" w:eastAsia="仿宋_GB2312"/>
                      <w:sz w:val="24"/>
                      <w:color w:val="000000"/>
                    </w:rPr>
                    <w:t>。</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供应商单独提供承诺函，格式自拟</w:t>
                  </w:r>
                  <w:r>
                    <w:rPr>
                      <w:rFonts w:ascii="仿宋_GB2312" w:hAnsi="仿宋_GB2312" w:cs="仿宋_GB2312" w:eastAsia="仿宋_GB2312"/>
                      <w:sz w:val="24"/>
                      <w:b/>
                      <w:color w:val="000000"/>
                    </w:rPr>
                    <w:t>）</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）全</w:t>
                  </w:r>
                  <w:r>
                    <w:rPr>
                      <w:rFonts w:ascii="仿宋_GB2312" w:hAnsi="仿宋_GB2312" w:cs="仿宋_GB2312" w:eastAsia="仿宋_GB2312"/>
                      <w:sz w:val="24"/>
                      <w:color w:val="000000"/>
                    </w:rPr>
                    <w:t>县</w:t>
                  </w:r>
                  <w:r>
                    <w:rPr>
                      <w:rFonts w:ascii="仿宋_GB2312" w:hAnsi="仿宋_GB2312" w:cs="仿宋_GB2312" w:eastAsia="仿宋_GB2312"/>
                      <w:sz w:val="24"/>
                      <w:color w:val="000000"/>
                    </w:rPr>
                    <w:t>电子政务外网专线与互联网通道实现</w:t>
                  </w:r>
                  <w:r>
                    <w:rPr>
                      <w:rFonts w:ascii="仿宋_GB2312" w:hAnsi="仿宋_GB2312" w:cs="仿宋_GB2312" w:eastAsia="仿宋_GB2312"/>
                      <w:sz w:val="24"/>
                      <w:color w:val="000000"/>
                    </w:rPr>
                    <w:t>物理</w:t>
                  </w:r>
                  <w:r>
                    <w:rPr>
                      <w:rFonts w:ascii="仿宋_GB2312" w:hAnsi="仿宋_GB2312" w:cs="仿宋_GB2312" w:eastAsia="仿宋_GB2312"/>
                      <w:sz w:val="24"/>
                      <w:color w:val="000000"/>
                    </w:rPr>
                    <w:t>隔离；</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）网络带宽类型：上下行对</w:t>
                  </w:r>
                  <w:r>
                    <w:rPr>
                      <w:rFonts w:ascii="仿宋_GB2312" w:hAnsi="仿宋_GB2312" w:cs="仿宋_GB2312" w:eastAsia="仿宋_GB2312"/>
                      <w:sz w:val="24"/>
                      <w:color w:val="000000"/>
                    </w:rPr>
                    <w:t>等</w:t>
                  </w:r>
                  <w:r>
                    <w:rPr>
                      <w:rFonts w:ascii="仿宋_GB2312" w:hAnsi="仿宋_GB2312" w:cs="仿宋_GB2312" w:eastAsia="仿宋_GB2312"/>
                      <w:sz w:val="24"/>
                      <w:color w:val="000000"/>
                    </w:rPr>
                    <w:t>网络带宽；</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）网络带宽：县级各单位及各乡镇、各街道接入带宽不低于</w:t>
                  </w:r>
                  <w:r>
                    <w:rPr>
                      <w:rFonts w:ascii="仿宋_GB2312" w:hAnsi="仿宋_GB2312" w:cs="仿宋_GB2312" w:eastAsia="仿宋_GB2312"/>
                      <w:sz w:val="24"/>
                      <w:color w:val="000000"/>
                    </w:rPr>
                    <w:t>100M；</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）网络时延及丢包率：企事业单位及乡镇到</w:t>
                  </w:r>
                  <w:r>
                    <w:rPr>
                      <w:rFonts w:ascii="仿宋_GB2312" w:hAnsi="仿宋_GB2312" w:cs="仿宋_GB2312" w:eastAsia="仿宋_GB2312"/>
                      <w:sz w:val="24"/>
                      <w:color w:val="000000"/>
                    </w:rPr>
                    <w:t>县</w:t>
                  </w:r>
                  <w:r>
                    <w:rPr>
                      <w:rFonts w:ascii="仿宋_GB2312" w:hAnsi="仿宋_GB2312" w:cs="仿宋_GB2312" w:eastAsia="仿宋_GB2312"/>
                      <w:sz w:val="24"/>
                      <w:color w:val="000000"/>
                    </w:rPr>
                    <w:t>中心机房网关延时</w:t>
                  </w:r>
                  <w:r>
                    <w:rPr>
                      <w:rFonts w:ascii="仿宋_GB2312" w:hAnsi="仿宋_GB2312" w:cs="仿宋_GB2312" w:eastAsia="仿宋_GB2312"/>
                      <w:sz w:val="24"/>
                      <w:color w:val="000000"/>
                    </w:rPr>
                    <w:t xml:space="preserve">≤10ms（ping </w:t>
                  </w:r>
                  <w:r>
                    <w:rPr>
                      <w:rFonts w:ascii="仿宋_GB2312" w:hAnsi="仿宋_GB2312" w:cs="仿宋_GB2312" w:eastAsia="仿宋_GB2312"/>
                      <w:sz w:val="24"/>
                      <w:color w:val="000000"/>
                    </w:rPr>
                    <w:t>县</w:t>
                  </w:r>
                  <w:r>
                    <w:rPr>
                      <w:rFonts w:ascii="仿宋_GB2312" w:hAnsi="仿宋_GB2312" w:cs="仿宋_GB2312" w:eastAsia="仿宋_GB2312"/>
                      <w:sz w:val="24"/>
                      <w:color w:val="000000"/>
                    </w:rPr>
                    <w:t>中心机房网关，</w:t>
                  </w:r>
                  <w:r>
                    <w:rPr>
                      <w:rFonts w:ascii="仿宋_GB2312" w:hAnsi="仿宋_GB2312" w:cs="仿宋_GB2312" w:eastAsia="仿宋_GB2312"/>
                      <w:sz w:val="24"/>
                      <w:color w:val="000000"/>
                    </w:rPr>
                    <w:t>ping包字节大小为32字节），丢包率≤0.1%。行政村到</w:t>
                  </w:r>
                  <w:r>
                    <w:rPr>
                      <w:rFonts w:ascii="仿宋_GB2312" w:hAnsi="仿宋_GB2312" w:cs="仿宋_GB2312" w:eastAsia="仿宋_GB2312"/>
                      <w:sz w:val="24"/>
                      <w:color w:val="000000"/>
                    </w:rPr>
                    <w:t>县</w:t>
                  </w:r>
                  <w:r>
                    <w:rPr>
                      <w:rFonts w:ascii="仿宋_GB2312" w:hAnsi="仿宋_GB2312" w:cs="仿宋_GB2312" w:eastAsia="仿宋_GB2312"/>
                      <w:sz w:val="24"/>
                      <w:color w:val="000000"/>
                    </w:rPr>
                    <w:t>中心机房网关延时</w:t>
                  </w:r>
                  <w:r>
                    <w:rPr>
                      <w:rFonts w:ascii="仿宋_GB2312" w:hAnsi="仿宋_GB2312" w:cs="仿宋_GB2312" w:eastAsia="仿宋_GB2312"/>
                      <w:sz w:val="24"/>
                      <w:color w:val="000000"/>
                    </w:rPr>
                    <w:t>≤30ms，（ping</w:t>
                  </w:r>
                  <w:r>
                    <w:rPr>
                      <w:rFonts w:ascii="仿宋_GB2312" w:hAnsi="仿宋_GB2312" w:cs="仿宋_GB2312" w:eastAsia="仿宋_GB2312"/>
                      <w:sz w:val="24"/>
                      <w:color w:val="000000"/>
                    </w:rPr>
                    <w:t>县</w:t>
                  </w:r>
                  <w:r>
                    <w:rPr>
                      <w:rFonts w:ascii="仿宋_GB2312" w:hAnsi="仿宋_GB2312" w:cs="仿宋_GB2312" w:eastAsia="仿宋_GB2312"/>
                      <w:sz w:val="24"/>
                      <w:color w:val="000000"/>
                    </w:rPr>
                    <w:t>中心机房网关，</w:t>
                  </w:r>
                  <w:r>
                    <w:rPr>
                      <w:rFonts w:ascii="仿宋_GB2312" w:hAnsi="仿宋_GB2312" w:cs="仿宋_GB2312" w:eastAsia="仿宋_GB2312"/>
                      <w:sz w:val="24"/>
                      <w:color w:val="000000"/>
                    </w:rPr>
                    <w:t>ping包字节大小为32字节），丢包率≤1%</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供应商单独提供承诺函，格式自拟</w:t>
                  </w:r>
                  <w:r>
                    <w:rPr>
                      <w:rFonts w:ascii="仿宋_GB2312" w:hAnsi="仿宋_GB2312" w:cs="仿宋_GB2312" w:eastAsia="仿宋_GB2312"/>
                      <w:sz w:val="24"/>
                      <w:b/>
                      <w:color w:val="000000"/>
                    </w:rPr>
                    <w:t>）</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7</w:t>
                  </w:r>
                  <w:r>
                    <w:rPr>
                      <w:rFonts w:ascii="仿宋_GB2312" w:hAnsi="仿宋_GB2312" w:cs="仿宋_GB2312" w:eastAsia="仿宋_GB2312"/>
                      <w:sz w:val="24"/>
                      <w:color w:val="000000"/>
                    </w:rPr>
                    <w:t>）</w:t>
                  </w:r>
                  <w:r>
                    <w:rPr>
                      <w:rFonts w:ascii="仿宋_GB2312" w:hAnsi="仿宋_GB2312" w:cs="仿宋_GB2312" w:eastAsia="仿宋_GB2312"/>
                      <w:sz w:val="24"/>
                      <w:color w:val="000000"/>
                    </w:rPr>
                    <w:t>网络</w:t>
                  </w:r>
                  <w:r>
                    <w:rPr>
                      <w:rFonts w:ascii="仿宋_GB2312" w:hAnsi="仿宋_GB2312" w:cs="仿宋_GB2312" w:eastAsia="仿宋_GB2312"/>
                      <w:sz w:val="24"/>
                      <w:color w:val="000000"/>
                    </w:rPr>
                    <w:t>带宽上下行对</w:t>
                  </w:r>
                  <w:r>
                    <w:rPr>
                      <w:rFonts w:ascii="仿宋_GB2312" w:hAnsi="仿宋_GB2312" w:cs="仿宋_GB2312" w:eastAsia="仿宋_GB2312"/>
                      <w:sz w:val="24"/>
                      <w:color w:val="000000"/>
                    </w:rPr>
                    <w:t>等</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b/>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8）专线网络与备用专线须分属不同运营商</w:t>
                  </w:r>
                  <w:r>
                    <w:rPr>
                      <w:rFonts w:ascii="仿宋_GB2312" w:hAnsi="仿宋_GB2312" w:cs="仿宋_GB2312" w:eastAsia="仿宋_GB2312"/>
                      <w:sz w:val="24"/>
                    </w:rPr>
                    <w:t>；</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供应商单独提供承诺函，格式自拟</w:t>
                  </w:r>
                  <w:r>
                    <w:rPr>
                      <w:rFonts w:ascii="仿宋_GB2312" w:hAnsi="仿宋_GB2312" w:cs="仿宋_GB2312" w:eastAsia="仿宋_GB2312"/>
                      <w:sz w:val="24"/>
                      <w:b/>
                      <w:color w:val="000000"/>
                    </w:rPr>
                    <w:t>）</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9</w:t>
                  </w:r>
                  <w:r>
                    <w:rPr>
                      <w:rFonts w:ascii="仿宋_GB2312" w:hAnsi="仿宋_GB2312" w:cs="仿宋_GB2312" w:eastAsia="仿宋_GB2312"/>
                      <w:sz w:val="24"/>
                      <w:color w:val="000000"/>
                    </w:rPr>
                    <w:t>）全</w:t>
                  </w:r>
                  <w:r>
                    <w:rPr>
                      <w:rFonts w:ascii="仿宋_GB2312" w:hAnsi="仿宋_GB2312" w:cs="仿宋_GB2312" w:eastAsia="仿宋_GB2312"/>
                      <w:sz w:val="24"/>
                      <w:color w:val="000000"/>
                    </w:rPr>
                    <w:t>县</w:t>
                  </w:r>
                  <w:r>
                    <w:rPr>
                      <w:rFonts w:ascii="仿宋_GB2312" w:hAnsi="仿宋_GB2312" w:cs="仿宋_GB2312" w:eastAsia="仿宋_GB2312"/>
                      <w:sz w:val="24"/>
                      <w:color w:val="000000"/>
                    </w:rPr>
                    <w:t>电子政务外网</w:t>
                  </w:r>
                  <w:r>
                    <w:rPr>
                      <w:rFonts w:ascii="仿宋_GB2312" w:hAnsi="仿宋_GB2312" w:cs="仿宋_GB2312" w:eastAsia="仿宋_GB2312"/>
                      <w:sz w:val="24"/>
                      <w:color w:val="000000"/>
                    </w:rPr>
                    <w:t>备用</w:t>
                  </w:r>
                  <w:r>
                    <w:rPr>
                      <w:rFonts w:ascii="仿宋_GB2312" w:hAnsi="仿宋_GB2312" w:cs="仿宋_GB2312" w:eastAsia="仿宋_GB2312"/>
                      <w:sz w:val="24"/>
                      <w:color w:val="000000"/>
                    </w:rPr>
                    <w:t>专线与互联网通道实现隔离</w:t>
                  </w:r>
                  <w:r>
                    <w:rPr>
                      <w:rFonts w:ascii="仿宋_GB2312" w:hAnsi="仿宋_GB2312" w:cs="仿宋_GB2312" w:eastAsia="仿宋_GB2312"/>
                      <w:sz w:val="24"/>
                      <w:color w:val="000000"/>
                    </w:rPr>
                    <w:t>。</w:t>
                  </w:r>
                </w:p>
              </w:tc>
              <w:tc>
                <w:tcPr>
                  <w:tcW w:type="dxa" w:w="6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1项</w:t>
                  </w: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配套网站运维服务</w:t>
                  </w:r>
                </w:p>
              </w:tc>
              <w:tc>
                <w:tcPr>
                  <w:tcW w:type="dxa" w:w="3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1）按照市政府办公室《关于推进政府网站集约化建设的通知》以及政府网站普查、政府网站绩效评估指标有关要求进行管理。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依托现有市级政府网站统一技术平台，根据绩效评估体系调整剑阁县政府网站基本信息、公开目录、政务公开、公共服务、信息共享等网站改版，栏目设置工作，提升技术支撑、信息保障、安全防护等管理水平。</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3）负责剑阁县人民政府网站的日常运维、安全监测等服务，每季出具第三方机构运行监测报告。</w:t>
                  </w:r>
                  <w:r>
                    <w:br/>
                  </w:r>
                  <w:r>
                    <w:rPr>
                      <w:rFonts w:ascii="仿宋_GB2312" w:hAnsi="仿宋_GB2312" w:cs="仿宋_GB2312" w:eastAsia="仿宋_GB2312"/>
                      <w:sz w:val="24"/>
                    </w:rPr>
                    <w:t>（</w:t>
                  </w:r>
                  <w:r>
                    <w:rPr>
                      <w:rFonts w:ascii="仿宋_GB2312" w:hAnsi="仿宋_GB2312" w:cs="仿宋_GB2312" w:eastAsia="仿宋_GB2312"/>
                      <w:sz w:val="24"/>
                    </w:rPr>
                    <w:t>4）支持证书管理，提供HTTPS/SSL传输协议中根证书的与集成证书的导入导出功能。</w:t>
                  </w:r>
                  <w:r>
                    <w:rPr>
                      <w:rFonts w:ascii="仿宋_GB2312" w:hAnsi="仿宋_GB2312" w:cs="仿宋_GB2312" w:eastAsia="仿宋_GB2312"/>
                      <w:sz w:val="24"/>
                      <w:b/>
                    </w:rPr>
                    <w:t>（提供产品功能截图，并加盖供应商公章）</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根据本项目的实际履行情况，供应商应当按照网络故障的大小分级不断完善和优化各类故障应急处理措施和应急处置预案，向采购方提交《剑阁县县级电子政务外网安全事件应急预案》，并定期开展相应演练和演练后对预案进一步优化完善服务（每年不少于1次）。应急演练结束后，应当在3个工作日内向采购方提交全面完整的应急演练报告和有效可行的应急预案优化完善方案，以保证本项目网络的可靠性、可用性和连续提供服务的能力。</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应急演练报告内容包括但不限于演练的根本目标、演练的组织、演练的流程和内容、演练的结果等，应急预案优化完善方案内容包括但不限于优化完善的目标和预期效果、演练全过程分析、优化完善依据、预防措施、优化手段、实施方案以及相关建议等。</w:t>
                  </w:r>
                </w:p>
              </w:tc>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1项</w:t>
                  </w: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准入安全管理控制器（一机二用）</w:t>
                  </w:r>
                </w:p>
              </w:tc>
              <w:tc>
                <w:tcPr>
                  <w:tcW w:type="dxa" w:w="3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1）提供准入安全管理，对连接电子政务外网和互联网的终端进行统一管理。</w:t>
                  </w:r>
                </w:p>
                <w:p>
                  <w:pPr>
                    <w:pStyle w:val="null3"/>
                    <w:jc w:val="both"/>
                  </w:pPr>
                  <w:r>
                    <w:rPr>
                      <w:rFonts w:ascii="仿宋_GB2312" w:hAnsi="仿宋_GB2312" w:cs="仿宋_GB2312" w:eastAsia="仿宋_GB2312"/>
                      <w:sz w:val="24"/>
                    </w:rPr>
                    <w:t>（2）支持最大并发用户数5000人，可按需扩容，支持分布式、集群部署。本次提供并发用户数授权不少于100个。</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终端访问电子政务外网时，采用加密隧道提供业务系统的安全访问，隧道支持国密协议</w:t>
                  </w:r>
                  <w:r>
                    <w:rPr>
                      <w:rFonts w:ascii="仿宋_GB2312" w:hAnsi="仿宋_GB2312" w:cs="仿宋_GB2312" w:eastAsia="仿宋_GB2312"/>
                      <w:sz w:val="24"/>
                    </w:rPr>
                    <w:t>SM1,SM2,SM3,SM4和国际标准协议TLS1.0/TLS1.1/TLS1.2和SSLv3/v2协议。支持每个应用单独建立安全加密隧道，并且在管理后台可对指定应用隧道进行开启/关闭操作，不影响其他应用访问。</w:t>
                  </w:r>
                  <w:r>
                    <w:rPr>
                      <w:rFonts w:ascii="仿宋_GB2312" w:hAnsi="仿宋_GB2312" w:cs="仿宋_GB2312" w:eastAsia="仿宋_GB2312"/>
                      <w:sz w:val="24"/>
                      <w:b/>
                    </w:rPr>
                    <w:t>（提供功能截图</w:t>
                  </w:r>
                  <w:r>
                    <w:rPr>
                      <w:rFonts w:ascii="仿宋_GB2312" w:hAnsi="仿宋_GB2312" w:cs="仿宋_GB2312" w:eastAsia="仿宋_GB2312"/>
                      <w:sz w:val="24"/>
                      <w:b/>
                    </w:rPr>
                    <w:t>，并加盖供应商公章</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终端接入电子政务外网需进行实名制认证，支持账户口令认证、扫码认证、短信认证、</w:t>
                  </w:r>
                  <w:r>
                    <w:rPr>
                      <w:rFonts w:ascii="仿宋_GB2312" w:hAnsi="仿宋_GB2312" w:cs="仿宋_GB2312" w:eastAsia="仿宋_GB2312"/>
                      <w:sz w:val="24"/>
                    </w:rPr>
                    <w:t>MAC认证等身份认证方式，并支持ldap/radius/扫码/本地认证+短信认证的双因素认证方式。</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支持</w:t>
                  </w:r>
                  <w:r>
                    <w:rPr>
                      <w:rFonts w:ascii="仿宋_GB2312" w:hAnsi="仿宋_GB2312" w:cs="仿宋_GB2312" w:eastAsia="仿宋_GB2312"/>
                      <w:sz w:val="24"/>
                    </w:rPr>
                    <w:t>SPA，在客户端与服务器建立连接前进行身份预认证，实现TCP端口隐藏，避免电子政务网业务暴露到公网。支持SPA白名单配置。</w:t>
                  </w:r>
                  <w:r>
                    <w:rPr>
                      <w:rFonts w:ascii="仿宋_GB2312" w:hAnsi="仿宋_GB2312" w:cs="仿宋_GB2312" w:eastAsia="仿宋_GB2312"/>
                      <w:sz w:val="24"/>
                      <w:b/>
                    </w:rPr>
                    <w:t>（提供功能截图，</w:t>
                  </w:r>
                  <w:r>
                    <w:rPr>
                      <w:rFonts w:ascii="仿宋_GB2312" w:hAnsi="仿宋_GB2312" w:cs="仿宋_GB2312" w:eastAsia="仿宋_GB2312"/>
                      <w:sz w:val="24"/>
                      <w:b/>
                    </w:rPr>
                    <w:t>并加盖供应商公章</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支持</w:t>
                  </w:r>
                  <w:r>
                    <w:rPr>
                      <w:rFonts w:ascii="仿宋_GB2312" w:hAnsi="仿宋_GB2312" w:cs="仿宋_GB2312" w:eastAsia="仿宋_GB2312"/>
                      <w:sz w:val="24"/>
                    </w:rPr>
                    <w:t>B/S和C/S架构的电子政务外网业务安全发布。业务系统支持分类展示、并支持列表形式展示，可在门户按照业务名搜索应用，支持管理员对应用图标进行个性化定制</w:t>
                  </w:r>
                  <w:r>
                    <w:rPr>
                      <w:rFonts w:ascii="仿宋_GB2312" w:hAnsi="仿宋_GB2312" w:cs="仿宋_GB2312" w:eastAsia="仿宋_GB2312"/>
                      <w:sz w:val="24"/>
                      <w:b/>
                    </w:rPr>
                    <w:t>。（提供功能截图，</w:t>
                  </w:r>
                  <w:r>
                    <w:rPr>
                      <w:rFonts w:ascii="仿宋_GB2312" w:hAnsi="仿宋_GB2312" w:cs="仿宋_GB2312" w:eastAsia="仿宋_GB2312"/>
                      <w:sz w:val="24"/>
                      <w:b/>
                    </w:rPr>
                    <w:t>并加盖供应商公章</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支持管理员在管理后自定义设置门户会话超时时间，超过设置的超时时间，需要用户重新认证才可以继续访问业务应用。</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支持对接入终端的环境基线进行持续动态评估，并实时得出终端环境安全状态评分。支持根据安全评分、风险等级、信任等级等维度对接入访问行为进行动态控制，包括禁止接入、账号锁定、二次认证、告警提示等。</w:t>
                  </w:r>
                  <w:r>
                    <w:rPr>
                      <w:rFonts w:ascii="仿宋_GB2312" w:hAnsi="仿宋_GB2312" w:cs="仿宋_GB2312" w:eastAsia="仿宋_GB2312"/>
                      <w:sz w:val="24"/>
                      <w:b/>
                    </w:rPr>
                    <w:t>（提供功能截图，</w:t>
                  </w:r>
                  <w:r>
                    <w:rPr>
                      <w:rFonts w:ascii="仿宋_GB2312" w:hAnsi="仿宋_GB2312" w:cs="仿宋_GB2312" w:eastAsia="仿宋_GB2312"/>
                      <w:sz w:val="24"/>
                      <w:b/>
                    </w:rPr>
                    <w:t>并加盖供应商公章</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支持管理员自定义安全基线评估模版，包含评估项及对应的风险分值与风险等级，评估项包含防病毒软件检查、禁用</w:t>
                  </w:r>
                  <w:r>
                    <w:rPr>
                      <w:rFonts w:ascii="仿宋_GB2312" w:hAnsi="仿宋_GB2312" w:cs="仿宋_GB2312" w:eastAsia="仿宋_GB2312"/>
                      <w:sz w:val="24"/>
                    </w:rPr>
                    <w:t>Guest账户检查、屏保检查、密码强度检查、病毒库更新检查、系统服务变更检查、软件配置检查、软件违法行为检查、注册表检查、软件版本变更检查、异地登陆检查、系统时间同步检查。</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提供公安部第三研究所颁发的信息技术产品安全测试证书。</w:t>
                  </w:r>
                  <w:r>
                    <w:rPr>
                      <w:rFonts w:ascii="仿宋_GB2312" w:hAnsi="仿宋_GB2312" w:cs="仿宋_GB2312" w:eastAsia="仿宋_GB2312"/>
                      <w:sz w:val="24"/>
                      <w:b/>
                    </w:rPr>
                    <w:t>（提供证书复印件加盖供应商公章）。</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11）支持单网通功能，终端同时只能访问互联网或者电子政务外网，用户在当前网络下只能访问指定的应用系统和IP地址。</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12）支持用户在多个网络之间互相切换。</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rPr>
                    <w:t>（</w:t>
                  </w:r>
                  <w:r>
                    <w:rPr>
                      <w:rFonts w:ascii="仿宋_GB2312" w:hAnsi="仿宋_GB2312" w:cs="仿宋_GB2312" w:eastAsia="仿宋_GB2312"/>
                      <w:sz w:val="24"/>
                    </w:rPr>
                    <w:t>13）</w:t>
                  </w:r>
                  <w:r>
                    <w:rPr>
                      <w:rFonts w:ascii="仿宋_GB2312" w:hAnsi="仿宋_GB2312" w:cs="仿宋_GB2312" w:eastAsia="仿宋_GB2312"/>
                      <w:sz w:val="24"/>
                    </w:rPr>
                    <w:t>提供与统信、麒麟操作系统互认证证书；</w:t>
                  </w:r>
                  <w:r>
                    <w:rPr>
                      <w:rFonts w:ascii="仿宋_GB2312" w:hAnsi="仿宋_GB2312" w:cs="仿宋_GB2312" w:eastAsia="仿宋_GB2312"/>
                      <w:sz w:val="24"/>
                    </w:rPr>
                    <w:t>提供零信任</w:t>
                  </w:r>
                  <w:r>
                    <w:rPr>
                      <w:rFonts w:ascii="仿宋_GB2312" w:hAnsi="仿宋_GB2312" w:cs="仿宋_GB2312" w:eastAsia="仿宋_GB2312"/>
                      <w:sz w:val="24"/>
                    </w:rPr>
                    <w:t>“SPA一次一码登陆”检测报告</w:t>
                  </w:r>
                  <w:r>
                    <w:rPr>
                      <w:rFonts w:ascii="仿宋_GB2312" w:hAnsi="仿宋_GB2312" w:cs="仿宋_GB2312" w:eastAsia="仿宋_GB2312"/>
                      <w:sz w:val="24"/>
                      <w:b/>
                    </w:rPr>
                    <w:t>。（提供相关资料加盖供应商公章）</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14）多域安全沙箱，同时支持不少于5个安全沙箱，沙箱内禁止访问互联网；</w:t>
                  </w:r>
                  <w:r>
                    <w:rPr>
                      <w:rFonts w:ascii="仿宋_GB2312" w:hAnsi="仿宋_GB2312" w:cs="仿宋_GB2312" w:eastAsia="仿宋_GB2312"/>
                      <w:sz w:val="24"/>
                    </w:rPr>
                    <w:t>（</w:t>
                  </w:r>
                  <w:r>
                    <w:rPr>
                      <w:rFonts w:ascii="仿宋_GB2312" w:hAnsi="仿宋_GB2312" w:cs="仿宋_GB2312" w:eastAsia="仿宋_GB2312"/>
                      <w:sz w:val="24"/>
                    </w:rPr>
                    <w:t>15）支持进程白名单，只有白名单内进程允许在沙箱内运行。</w:t>
                  </w:r>
                </w:p>
              </w:tc>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网络安全及评测服务</w:t>
                  </w:r>
                </w:p>
              </w:tc>
              <w:tc>
                <w:tcPr>
                  <w:tcW w:type="dxa" w:w="3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1）协助采购人办理电子政务外网</w:t>
                  </w:r>
                  <w:r>
                    <w:rPr>
                      <w:rFonts w:ascii="仿宋_GB2312" w:hAnsi="仿宋_GB2312" w:cs="仿宋_GB2312" w:eastAsia="仿宋_GB2312"/>
                      <w:sz w:val="24"/>
                    </w:rPr>
                    <w:t>公安网络备案证书</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2）在合同期内按要求对县级电子政务外网网络开展相关网络安全二级等保测评并出具报告。</w:t>
                  </w:r>
                </w:p>
              </w:tc>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1项</w:t>
                  </w: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网络运维服务</w:t>
                  </w:r>
                </w:p>
              </w:tc>
              <w:tc>
                <w:tcPr>
                  <w:tcW w:type="dxa" w:w="3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1）供应商负责提供本项目所需的汇聚交换机、防火墙、安全审计、上网行为管理、层间交换机、用户侧交换机等备用设备在采购单位指定位置运维工作，对网络进行IPV6改造，并负责维护机房设备与设施。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2）供应商提供 7×24 小时的运维服务及专属运维服务热线（热线号码在合同中明确，确保全年无休接通）。</w:t>
                  </w:r>
                </w:p>
              </w:tc>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1项</w:t>
                  </w:r>
                </w:p>
              </w:tc>
            </w:tr>
          </w:tbl>
          <w:p>
            <w:pPr>
              <w:pStyle w:val="null3"/>
              <w:jc w:val="both"/>
            </w:pPr>
            <w:r>
              <w:rPr>
                <w:rFonts w:ascii="仿宋_GB2312" w:hAnsi="仿宋_GB2312" w:cs="仿宋_GB2312" w:eastAsia="仿宋_GB2312"/>
                <w:sz w:val="28"/>
                <w:b/>
              </w:rPr>
              <w:t>四、服务评价指标</w:t>
            </w:r>
          </w:p>
          <w:tbl>
            <w:tblPr>
              <w:tblBorders>
                <w:top w:val="none" w:color="000000" w:sz="4"/>
                <w:left w:val="none" w:color="000000" w:sz="4"/>
                <w:bottom w:val="none" w:color="000000" w:sz="4"/>
                <w:right w:val="none" w:color="000000" w:sz="4"/>
                <w:insideH w:val="none"/>
                <w:insideV w:val="none"/>
              </w:tblBorders>
            </w:tblPr>
            <w:tblGrid>
              <w:gridCol w:w="803"/>
              <w:gridCol w:w="1179"/>
              <w:gridCol w:w="1983"/>
              <w:gridCol w:w="564"/>
              <w:gridCol w:w="426"/>
              <w:gridCol w:w="602"/>
            </w:tblGrid>
            <w:tr>
              <w:tc>
                <w:tcPr>
                  <w:tcW w:type="dxa" w:w="8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项目名称</w:t>
                  </w:r>
                </w:p>
              </w:tc>
              <w:tc>
                <w:tcPr>
                  <w:tcW w:type="dxa" w:w="11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评价时间</w:t>
                  </w:r>
                </w:p>
              </w:tc>
              <w:tc>
                <w:tcPr>
                  <w:tcW w:type="dxa" w:w="1592"/>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3"/>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考核内容</w:t>
                  </w:r>
                </w:p>
              </w:tc>
              <w:tc>
                <w:tcPr>
                  <w:tcW w:type="dxa" w:w="1179"/>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考核标准</w:t>
                  </w:r>
                </w:p>
              </w:tc>
              <w:tc>
                <w:tcPr>
                  <w:tcW w:type="dxa" w:w="1983"/>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考核积分说明</w:t>
                  </w:r>
                </w:p>
              </w:tc>
              <w:tc>
                <w:tcPr>
                  <w:tcW w:type="dxa" w:w="564"/>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分值</w:t>
                  </w:r>
                </w:p>
              </w:tc>
              <w:tc>
                <w:tcPr>
                  <w:tcW w:type="dxa" w:w="426"/>
                  <w:tcBorders>
                    <w:top w:val="singl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得分</w:t>
                  </w:r>
                </w:p>
              </w:tc>
              <w:tc>
                <w:tcPr>
                  <w:tcW w:type="dxa" w:w="602"/>
                  <w:tcBorders>
                    <w:top w:val="singl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说明（选填项）</w:t>
                  </w:r>
                </w:p>
              </w:tc>
            </w:tr>
            <w:tr>
              <w:tc>
                <w:tcPr>
                  <w:tcW w:type="dxa" w:w="8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基本任务</w:t>
                  </w:r>
                </w:p>
              </w:tc>
              <w:tc>
                <w:tcPr>
                  <w:tcW w:type="dxa" w:w="1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IPv6升级</w:t>
                  </w: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IPv6应用畅通运行，得10分；反之，不得分。</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03"/>
                  <w:vMerge/>
                  <w:tcBorders>
                    <w:top w:val="none" w:color="000000" w:sz="4"/>
                    <w:left w:val="single" w:color="000000" w:sz="4"/>
                    <w:bottom w:val="single" w:color="000000" w:sz="4"/>
                    <w:right w:val="single" w:color="000000" w:sz="4"/>
                  </w:tcBorders>
                </w:tcPr>
                <w:p/>
              </w:tc>
              <w:tc>
                <w:tcPr>
                  <w:tcW w:type="dxa" w:w="1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网络安全运行</w:t>
                  </w: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网络安全符合当前国家政策要求，网络安全事件得到及时处理，未因网络安全事件，受到市级及以上有关单位通报，得</w:t>
                  </w:r>
                  <w:r>
                    <w:rPr>
                      <w:rFonts w:ascii="仿宋_GB2312" w:hAnsi="仿宋_GB2312" w:cs="仿宋_GB2312" w:eastAsia="仿宋_GB2312"/>
                      <w:sz w:val="24"/>
                    </w:rPr>
                    <w:t>10分；反之，不得分。</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03"/>
                  <w:vMerge/>
                  <w:tcBorders>
                    <w:top w:val="none" w:color="000000" w:sz="4"/>
                    <w:left w:val="single" w:color="000000" w:sz="4"/>
                    <w:bottom w:val="single" w:color="000000" w:sz="4"/>
                    <w:right w:val="single" w:color="000000" w:sz="4"/>
                  </w:tcBorders>
                </w:tcPr>
                <w:p/>
              </w:tc>
              <w:tc>
                <w:tcPr>
                  <w:tcW w:type="dxa" w:w="1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用户评价</w:t>
                  </w: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对本项目用户及接入单位进行调研评价（评价内容另行规定），评价分满分得</w:t>
                  </w:r>
                  <w:r>
                    <w:rPr>
                      <w:rFonts w:ascii="仿宋_GB2312" w:hAnsi="仿宋_GB2312" w:cs="仿宋_GB2312" w:eastAsia="仿宋_GB2312"/>
                      <w:sz w:val="24"/>
                    </w:rPr>
                    <w:t>5分；评价分每降低10分，扣1分，扣完为止。</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03"/>
                  <w:vMerge/>
                  <w:tcBorders>
                    <w:top w:val="none" w:color="000000" w:sz="4"/>
                    <w:left w:val="single" w:color="000000" w:sz="4"/>
                    <w:bottom w:val="single" w:color="000000" w:sz="4"/>
                    <w:right w:val="single" w:color="000000" w:sz="4"/>
                  </w:tcBorders>
                </w:tcPr>
                <w:p/>
              </w:tc>
              <w:tc>
                <w:tcPr>
                  <w:tcW w:type="dxa" w:w="1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工作计划</w:t>
                  </w: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建立了运维制度，制定了科学、可行的运维具体方案、年度工作计划、演练方案等，并遵照执行，得</w:t>
                  </w:r>
                  <w:r>
                    <w:rPr>
                      <w:rFonts w:ascii="仿宋_GB2312" w:hAnsi="仿宋_GB2312" w:cs="仿宋_GB2312" w:eastAsia="仿宋_GB2312"/>
                      <w:sz w:val="24"/>
                    </w:rPr>
                    <w:t>5分；每缺一项扣1分，扣完为止。</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03"/>
                  <w:vMerge/>
                  <w:tcBorders>
                    <w:top w:val="none" w:color="000000" w:sz="4"/>
                    <w:left w:val="single" w:color="000000" w:sz="4"/>
                    <w:bottom w:val="single" w:color="000000" w:sz="4"/>
                    <w:right w:val="single" w:color="000000" w:sz="4"/>
                  </w:tcBorders>
                </w:tcPr>
                <w:p/>
              </w:tc>
              <w:tc>
                <w:tcPr>
                  <w:tcW w:type="dxa" w:w="1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是否完成应急演练</w:t>
                  </w: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完成应急演练，并形成相应报告，得</w:t>
                  </w:r>
                  <w:r>
                    <w:rPr>
                      <w:rFonts w:ascii="仿宋_GB2312" w:hAnsi="仿宋_GB2312" w:cs="仿宋_GB2312" w:eastAsia="仿宋_GB2312"/>
                      <w:sz w:val="24"/>
                    </w:rPr>
                    <w:t>5分；反之，不得分。</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03"/>
                  <w:vMerge/>
                  <w:tcBorders>
                    <w:top w:val="none" w:color="000000" w:sz="4"/>
                    <w:left w:val="single" w:color="000000" w:sz="4"/>
                    <w:bottom w:val="single" w:color="000000" w:sz="4"/>
                    <w:right w:val="single" w:color="000000" w:sz="4"/>
                  </w:tcBorders>
                </w:tcPr>
                <w:p/>
              </w:tc>
              <w:tc>
                <w:tcPr>
                  <w:tcW w:type="dxa" w:w="1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是否开展攻防演练</w:t>
                  </w: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开展攻防演练，并出具报告得</w:t>
                  </w:r>
                  <w:r>
                    <w:rPr>
                      <w:rFonts w:ascii="仿宋_GB2312" w:hAnsi="仿宋_GB2312" w:cs="仿宋_GB2312" w:eastAsia="仿宋_GB2312"/>
                      <w:sz w:val="24"/>
                    </w:rPr>
                    <w:t>5分；反之，不得分。</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一机两用</w:t>
                  </w: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一机两用平台顺畅运行，得</w:t>
                  </w:r>
                  <w:r>
                    <w:rPr>
                      <w:rFonts w:ascii="仿宋_GB2312" w:hAnsi="仿宋_GB2312" w:cs="仿宋_GB2312" w:eastAsia="仿宋_GB2312"/>
                      <w:sz w:val="24"/>
                    </w:rPr>
                    <w:t>10分；反之，不得分。</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技术能力</w:t>
                  </w:r>
                </w:p>
              </w:tc>
              <w:tc>
                <w:tcPr>
                  <w:tcW w:type="dxa" w:w="1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完成各项工作任务</w:t>
                  </w: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按时完成合同约定、运维方案要求的各项工作任务，得</w:t>
                  </w:r>
                  <w:r>
                    <w:rPr>
                      <w:rFonts w:ascii="仿宋_GB2312" w:hAnsi="仿宋_GB2312" w:cs="仿宋_GB2312" w:eastAsia="仿宋_GB2312"/>
                      <w:sz w:val="24"/>
                    </w:rPr>
                    <w:t>5分；每缺一项扣1分，扣完为止。</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03"/>
                  <w:vMerge/>
                  <w:tcBorders>
                    <w:top w:val="none" w:color="000000" w:sz="4"/>
                    <w:left w:val="single" w:color="000000" w:sz="4"/>
                    <w:bottom w:val="single" w:color="000000" w:sz="4"/>
                    <w:right w:val="single" w:color="000000" w:sz="4"/>
                  </w:tcBorders>
                </w:tcPr>
                <w:p/>
              </w:tc>
              <w:tc>
                <w:tcPr>
                  <w:tcW w:type="dxa" w:w="1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故障解决率</w:t>
                  </w: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解决率达到</w:t>
                  </w:r>
                  <w:r>
                    <w:rPr>
                      <w:rFonts w:ascii="仿宋_GB2312" w:hAnsi="仿宋_GB2312" w:cs="仿宋_GB2312" w:eastAsia="仿宋_GB2312"/>
                      <w:sz w:val="24"/>
                    </w:rPr>
                    <w:t>100%，得5分；每降低5%，扣1分，扣完为止。故障解决率=解决故障数量/故障总数量*100%</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03"/>
                  <w:vMerge/>
                  <w:tcBorders>
                    <w:top w:val="none" w:color="000000" w:sz="4"/>
                    <w:left w:val="single" w:color="000000" w:sz="4"/>
                    <w:bottom w:val="single" w:color="000000" w:sz="4"/>
                    <w:right w:val="single" w:color="000000" w:sz="4"/>
                  </w:tcBorders>
                </w:tcPr>
                <w:p/>
              </w:tc>
              <w:tc>
                <w:tcPr>
                  <w:tcW w:type="dxa" w:w="1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故障响应（解决）时间</w:t>
                  </w: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每次故障响应（解决）时间达到要求，得</w:t>
                  </w:r>
                  <w:r>
                    <w:rPr>
                      <w:rFonts w:ascii="仿宋_GB2312" w:hAnsi="仿宋_GB2312" w:cs="仿宋_GB2312" w:eastAsia="仿宋_GB2312"/>
                      <w:sz w:val="24"/>
                    </w:rPr>
                    <w:t>5分；每有一次故障响应（解决）超时，扣1分。</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03"/>
                  <w:vMerge/>
                  <w:tcBorders>
                    <w:top w:val="none" w:color="000000" w:sz="4"/>
                    <w:left w:val="single" w:color="000000" w:sz="4"/>
                    <w:bottom w:val="single" w:color="000000" w:sz="4"/>
                    <w:right w:val="single" w:color="000000" w:sz="4"/>
                  </w:tcBorders>
                </w:tcPr>
                <w:p/>
              </w:tc>
              <w:tc>
                <w:tcPr>
                  <w:tcW w:type="dxa" w:w="1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为建设单位运维人员开展</w:t>
                  </w:r>
                  <w:r>
                    <w:rPr>
                      <w:rFonts w:ascii="仿宋_GB2312" w:hAnsi="仿宋_GB2312" w:cs="仿宋_GB2312" w:eastAsia="仿宋_GB2312"/>
                      <w:sz w:val="24"/>
                    </w:rPr>
                    <w:t>2次集中培训</w:t>
                  </w: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每减少一次，扣</w:t>
                  </w:r>
                  <w:r>
                    <w:rPr>
                      <w:rFonts w:ascii="仿宋_GB2312" w:hAnsi="仿宋_GB2312" w:cs="仿宋_GB2312" w:eastAsia="仿宋_GB2312"/>
                      <w:sz w:val="24"/>
                    </w:rPr>
                    <w:t>5分，扣完为止。</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运维团队管理</w:t>
                  </w:r>
                </w:p>
              </w:tc>
              <w:tc>
                <w:tcPr>
                  <w:tcW w:type="dxa" w:w="1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运维团队是否完整</w:t>
                  </w: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为本项目配备项目经理、项目专职工程师、远程技术专家团队、文档管理员等，得</w:t>
                  </w:r>
                  <w:r>
                    <w:rPr>
                      <w:rFonts w:ascii="仿宋_GB2312" w:hAnsi="仿宋_GB2312" w:cs="仿宋_GB2312" w:eastAsia="仿宋_GB2312"/>
                      <w:sz w:val="24"/>
                    </w:rPr>
                    <w:t>5分；仅配备项目经理、项目专职工程师，得3分；无项目专职工程师，扣5分。</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03"/>
                  <w:vMerge/>
                  <w:tcBorders>
                    <w:top w:val="none" w:color="000000" w:sz="4"/>
                    <w:left w:val="single" w:color="000000" w:sz="4"/>
                    <w:bottom w:val="single" w:color="000000" w:sz="4"/>
                    <w:right w:val="single" w:color="000000" w:sz="4"/>
                  </w:tcBorders>
                </w:tcPr>
                <w:p/>
              </w:tc>
              <w:tc>
                <w:tcPr>
                  <w:tcW w:type="dxa" w:w="1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运维团队是否稳定</w:t>
                  </w: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项目经理、项目专职工程师无故变更，扣</w:t>
                  </w:r>
                  <w:r>
                    <w:rPr>
                      <w:rFonts w:ascii="仿宋_GB2312" w:hAnsi="仿宋_GB2312" w:cs="仿宋_GB2312" w:eastAsia="仿宋_GB2312"/>
                      <w:sz w:val="24"/>
                    </w:rPr>
                    <w:t>5分；其他情况变更，扣3分。</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03"/>
                  <w:vMerge/>
                  <w:tcBorders>
                    <w:top w:val="none" w:color="000000" w:sz="4"/>
                    <w:left w:val="single" w:color="000000" w:sz="4"/>
                    <w:bottom w:val="single" w:color="000000" w:sz="4"/>
                    <w:right w:val="single" w:color="000000" w:sz="4"/>
                  </w:tcBorders>
                </w:tcPr>
                <w:p/>
              </w:tc>
              <w:tc>
                <w:tcPr>
                  <w:tcW w:type="dxa" w:w="1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运维团队服务态度是否端正</w:t>
                  </w: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根据实际表现评分</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03"/>
                  <w:vMerge/>
                  <w:tcBorders>
                    <w:top w:val="none" w:color="000000" w:sz="4"/>
                    <w:left w:val="single" w:color="000000" w:sz="4"/>
                    <w:bottom w:val="single" w:color="000000" w:sz="4"/>
                    <w:right w:val="single" w:color="000000" w:sz="4"/>
                  </w:tcBorders>
                </w:tcPr>
                <w:p/>
              </w:tc>
              <w:tc>
                <w:tcPr>
                  <w:tcW w:type="dxa" w:w="1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熟悉系统、了解业务</w:t>
                  </w: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根据实际表现评分</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文档规范性</w:t>
                  </w:r>
                </w:p>
              </w:tc>
              <w:tc>
                <w:tcPr>
                  <w:tcW w:type="dxa" w:w="1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运维事件是否都有记录</w:t>
                  </w: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完整记录运维事件，得</w:t>
                  </w:r>
                  <w:r>
                    <w:rPr>
                      <w:rFonts w:ascii="仿宋_GB2312" w:hAnsi="仿宋_GB2312" w:cs="仿宋_GB2312" w:eastAsia="仿宋_GB2312"/>
                      <w:sz w:val="24"/>
                    </w:rPr>
                    <w:t>5分；每缺失一项扣1分，扣完为止。</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03"/>
                  <w:vMerge/>
                  <w:tcBorders>
                    <w:top w:val="none" w:color="000000" w:sz="4"/>
                    <w:left w:val="single" w:color="000000" w:sz="4"/>
                    <w:bottom w:val="single" w:color="000000" w:sz="4"/>
                    <w:right w:val="single" w:color="000000" w:sz="4"/>
                  </w:tcBorders>
                </w:tcPr>
                <w:p/>
              </w:tc>
              <w:tc>
                <w:tcPr>
                  <w:tcW w:type="dxa" w:w="1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运维文档、巡检记录等资料是否规范</w:t>
                  </w: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没有细微偏差情形的得</w:t>
                  </w:r>
                  <w:r>
                    <w:rPr>
                      <w:rFonts w:ascii="仿宋_GB2312" w:hAnsi="仿宋_GB2312" w:cs="仿宋_GB2312" w:eastAsia="仿宋_GB2312"/>
                      <w:sz w:val="24"/>
                    </w:rPr>
                    <w:t>5分；有一项细微偏差扣0.5分，直至该项分值扣完为止。</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加分项</w:t>
                  </w:r>
                </w:p>
              </w:tc>
              <w:tc>
                <w:tcPr>
                  <w:tcW w:type="dxa" w:w="1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是否能提出建设性的意见建议</w:t>
                  </w: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03"/>
                  <w:vMerge/>
                  <w:tcBorders>
                    <w:top w:val="none" w:color="000000" w:sz="4"/>
                    <w:left w:val="single" w:color="000000" w:sz="4"/>
                    <w:bottom w:val="single" w:color="000000" w:sz="4"/>
                    <w:right w:val="single" w:color="000000" w:sz="4"/>
                  </w:tcBorders>
                </w:tcPr>
                <w:p/>
              </w:tc>
              <w:tc>
                <w:tcPr>
                  <w:tcW w:type="dxa" w:w="1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重大保障活动表现突出</w:t>
                  </w: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扣分项</w:t>
                  </w:r>
                </w:p>
              </w:tc>
              <w:tc>
                <w:tcPr>
                  <w:tcW w:type="dxa" w:w="1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运维中出现重大失误</w:t>
                  </w: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03"/>
                  <w:vMerge/>
                  <w:tcBorders>
                    <w:top w:val="none" w:color="000000" w:sz="4"/>
                    <w:left w:val="single" w:color="000000" w:sz="4"/>
                    <w:bottom w:val="single" w:color="000000" w:sz="4"/>
                    <w:right w:val="single" w:color="000000" w:sz="4"/>
                  </w:tcBorders>
                </w:tcPr>
                <w:p/>
              </w:tc>
              <w:tc>
                <w:tcPr>
                  <w:tcW w:type="dxa" w:w="1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重大保障活动表现逊色</w:t>
                  </w: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03"/>
                  <w:vMerge/>
                  <w:tcBorders>
                    <w:top w:val="none" w:color="000000" w:sz="4"/>
                    <w:left w:val="single" w:color="000000" w:sz="4"/>
                    <w:bottom w:val="single" w:color="000000" w:sz="4"/>
                    <w:right w:val="single" w:color="000000" w:sz="4"/>
                  </w:tcBorders>
                </w:tcPr>
                <w:p/>
              </w:tc>
              <w:tc>
                <w:tcPr>
                  <w:tcW w:type="dxa" w:w="1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发生重大网络安全事件</w:t>
                  </w: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分数总计</w:t>
                  </w:r>
                </w:p>
              </w:tc>
              <w:tc>
                <w:tcPr>
                  <w:tcW w:type="dxa" w:w="372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评价人员签字</w:t>
                  </w:r>
                </w:p>
              </w:tc>
              <w:tc>
                <w:tcPr>
                  <w:tcW w:type="dxa" w:w="475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年</w:t>
                  </w:r>
                  <w:r>
                    <w:rPr>
                      <w:rFonts w:ascii="仿宋_GB2312" w:hAnsi="仿宋_GB2312" w:cs="仿宋_GB2312" w:eastAsia="仿宋_GB2312"/>
                      <w:sz w:val="24"/>
                    </w:rPr>
                    <w:t xml:space="preserve">  </w:t>
                  </w:r>
                  <w:r>
                    <w:rPr>
                      <w:rFonts w:ascii="仿宋_GB2312" w:hAnsi="仿宋_GB2312" w:cs="仿宋_GB2312" w:eastAsia="仿宋_GB2312"/>
                      <w:sz w:val="24"/>
                    </w:rPr>
                    <w:t>月</w:t>
                  </w:r>
                  <w:r>
                    <w:rPr>
                      <w:rFonts w:ascii="仿宋_GB2312" w:hAnsi="仿宋_GB2312" w:cs="仿宋_GB2312" w:eastAsia="仿宋_GB2312"/>
                      <w:sz w:val="24"/>
                    </w:rPr>
                    <w:t xml:space="preserve">  </w:t>
                  </w:r>
                  <w:r>
                    <w:rPr>
                      <w:rFonts w:ascii="仿宋_GB2312" w:hAnsi="仿宋_GB2312" w:cs="仿宋_GB2312" w:eastAsia="仿宋_GB2312"/>
                      <w:sz w:val="24"/>
                    </w:rPr>
                    <w:t>日</w:t>
                  </w:r>
                </w:p>
                <w:p>
                  <w:pPr>
                    <w:pStyle w:val="null3"/>
                    <w:jc w:val="center"/>
                  </w:pPr>
                </w:p>
              </w:tc>
            </w:tr>
            <w:tr>
              <w:tc>
                <w:tcPr>
                  <w:tcW w:type="dxa" w:w="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c>
                <w:tcPr>
                  <w:tcW w:type="dxa" w:w="475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服务评价评分为百分制，以每一年为</w:t>
                  </w:r>
                  <w:r>
                    <w:rPr>
                      <w:rFonts w:ascii="仿宋_GB2312" w:hAnsi="仿宋_GB2312" w:cs="仿宋_GB2312" w:eastAsia="仿宋_GB2312"/>
                      <w:sz w:val="24"/>
                    </w:rPr>
                    <w:t>1个评价周期，评价方式及内容如下：</w:t>
                  </w:r>
                </w:p>
                <w:p>
                  <w:pPr>
                    <w:pStyle w:val="null3"/>
                    <w:jc w:val="left"/>
                  </w:pPr>
                  <w:r>
                    <w:rPr>
                      <w:rFonts w:ascii="仿宋_GB2312" w:hAnsi="仿宋_GB2312" w:cs="仿宋_GB2312" w:eastAsia="仿宋_GB2312"/>
                      <w:sz w:val="24"/>
                    </w:rPr>
                    <w:t>1.评价得分在80分及以上的为合格；</w:t>
                  </w:r>
                </w:p>
                <w:p>
                  <w:pPr>
                    <w:pStyle w:val="null3"/>
                    <w:jc w:val="left"/>
                  </w:pPr>
                  <w:r>
                    <w:rPr>
                      <w:rFonts w:ascii="仿宋_GB2312" w:hAnsi="仿宋_GB2312" w:cs="仿宋_GB2312" w:eastAsia="仿宋_GB2312"/>
                      <w:sz w:val="24"/>
                    </w:rPr>
                    <w:t>2.评价得分在80分（不含）以下的为不合格，采购人有权解除合同，成交</w:t>
                  </w:r>
                  <w:r>
                    <w:rPr>
                      <w:rFonts w:ascii="仿宋_GB2312" w:hAnsi="仿宋_GB2312" w:cs="仿宋_GB2312" w:eastAsia="仿宋_GB2312"/>
                      <w:sz w:val="24"/>
                    </w:rPr>
                    <w:t>供应商</w:t>
                  </w:r>
                  <w:r>
                    <w:rPr>
                      <w:rFonts w:ascii="仿宋_GB2312" w:hAnsi="仿宋_GB2312" w:cs="仿宋_GB2312" w:eastAsia="仿宋_GB2312"/>
                      <w:sz w:val="24"/>
                    </w:rPr>
                    <w:t>应补偿由此为采购人造成的经济损失。</w:t>
                  </w:r>
                </w:p>
                <w:p>
                  <w:pPr>
                    <w:pStyle w:val="null3"/>
                    <w:jc w:val="left"/>
                  </w:pPr>
                  <w:r>
                    <w:rPr>
                      <w:rFonts w:ascii="仿宋_GB2312" w:hAnsi="仿宋_GB2312" w:cs="仿宋_GB2312" w:eastAsia="仿宋_GB2312"/>
                      <w:sz w:val="24"/>
                    </w:rPr>
                    <w:t>★二、保密要求</w:t>
                  </w:r>
                </w:p>
                <w:p>
                  <w:pPr>
                    <w:pStyle w:val="null3"/>
                    <w:jc w:val="left"/>
                  </w:pPr>
                  <w:r>
                    <w:rPr>
                      <w:rFonts w:ascii="仿宋_GB2312" w:hAnsi="仿宋_GB2312" w:cs="仿宋_GB2312" w:eastAsia="仿宋_GB2312"/>
                      <w:sz w:val="24"/>
                    </w:rPr>
                    <w:t>供应商承诺在签订合同时与采购人签订保密协议，并向采购人提交参与本项目的相关人员签订的保密承诺书（提供承诺函）。</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服务期3年,在同时满足项目资金落实、服务实质内容和合同总金额不变、经采购人考核合格的条件下，可续签下年度(365日）合同。合同一年一签，连续签订合同不超过三年。</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剑阁县</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参照《财政部关于进一步加强政府采购需求和履约验收管理的指导意见》（财库〔2016〕205号）要求，结合《服务评价指标》，成立考核评价小组，并遵循采购文件及政府采购相关法律法规、供应商的响应⽂件及承诺、合同中的相关约定进行考核验收。</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1、服务质量评价得分达到80分及以上的，采购人于当年年底一次性全额支付当年服务费用，达到付款条件起10日内，支付合同总金额的100.00%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合同约定</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★1）安全要求：服务过程中涉及的人身和设备相关安全事宜由供应商自行负责，采购人不承担任何责任。（单独提供承诺函，格式自拟）。 2）报价要求：报价应是完成本项目所有服务以及服务所提供的全部软硬件设备、设备安装调试、运输、安全、采购文件规定的其他全部费用、因实施本项目可能产生的漏项等全部费用总计。 3）保密要求：成交供应商须对拟从事本项目工作的人员进行保密培训，确定专人按照有关规定对所有相关信息进行严格保密管理。在项目实施过程中，各类信息资料(含电子文件和纸质文件)不得遗失和外泄。在项目完成后，数据资料成果，全部移交采购人，不得复制或提供给其他任何单位或个人，不得泄密。如有任何违反安全保密要求而导致的法律责任由成交供应商自行负责。 4）技术、质量、成果标准：若有最新相关规范和标准，按照最新现行国家、省、市相关规范和标准执行。 5）供应商提供服务方案，包括但不限于：①针对本项目的现状分析②运维服务组织体系③日常运行维护服务④网站集约化维护服务⑤网络安全保障服务⑥应急响应服务等。 6）供应商提供履约能力相关资料。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第三章“技术、服务及其他要求”中“3.2.技术要求”，“3.3.服务要求”，“3.4.其他要求”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个体工商户：提供“统一社会信用代码营业执照副本”或“营业执照、税务登记证”⑤“银行、保险、石油石化、电力、电信”等有行业特殊情况的，取得营业执照的分支机构可以分支公司名义参与投标，须提供分支机构营业执照副本，文件中涉及的“法定代表人”对应为“分支机构负责人”。(提供相关证明材料并进行电子签章）</w:t>
            </w:r>
          </w:p>
        </w:tc>
        <w:tc>
          <w:tcPr>
            <w:tcW w:type="dxa" w:w="1661"/>
          </w:tcPr>
          <w:p>
            <w:pPr>
              <w:pStyle w:val="null3"/>
              <w:jc w:val="left"/>
            </w:pPr>
            <w:r>
              <w:rPr>
                <w:rFonts w:ascii="仿宋_GB2312" w:hAnsi="仿宋_GB2312" w:cs="仿宋_GB2312" w:eastAsia="仿宋_GB2312"/>
              </w:rPr>
              <w:t>响应文件封面,投标（响应）函,营业执照.docx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符合性审查</w:t>
            </w:r>
          </w:p>
        </w:tc>
        <w:tc>
          <w:tcPr>
            <w:tcW w:type="dxa" w:w="3322"/>
          </w:tcPr>
          <w:p>
            <w:pPr>
              <w:pStyle w:val="null3"/>
              <w:jc w:val="left"/>
            </w:pPr>
            <w:r>
              <w:rPr>
                <w:rFonts w:ascii="仿宋_GB2312" w:hAnsi="仿宋_GB2312" w:cs="仿宋_GB2312" w:eastAsia="仿宋_GB2312"/>
              </w:rPr>
              <w:t>服务应答、商务应答等其他采购文件要求或供应商认为需要提供的材料</w:t>
            </w:r>
          </w:p>
        </w:tc>
        <w:tc>
          <w:tcPr>
            <w:tcW w:type="dxa" w:w="1661"/>
          </w:tcPr>
          <w:p>
            <w:pPr>
              <w:pStyle w:val="null3"/>
              <w:jc w:val="left"/>
            </w:pPr>
            <w:r>
              <w:rPr>
                <w:rFonts w:ascii="仿宋_GB2312" w:hAnsi="仿宋_GB2312" w:cs="仿宋_GB2312" w:eastAsia="仿宋_GB2312"/>
              </w:rPr>
              <w:t>响应文件封面,中小企业声明函,残疾人福利性单位声明函,服务应答表,报价表,投标（响应）函,符合性审查-服务-磋商.docx,监狱企业的证明文件</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无</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服务要求技术指标</w:t>
            </w:r>
          </w:p>
        </w:tc>
        <w:tc>
          <w:tcPr>
            <w:tcW w:type="dxa" w:w="2575"/>
          </w:tcPr>
          <w:p>
            <w:pPr>
              <w:pStyle w:val="null3"/>
              <w:jc w:val="left"/>
            </w:pPr>
            <w:r>
              <w:rPr>
                <w:rFonts w:ascii="仿宋_GB2312" w:hAnsi="仿宋_GB2312" w:cs="仿宋_GB2312" w:eastAsia="仿宋_GB2312"/>
              </w:rPr>
              <w:t>完全满足采购文件中技术参数要求的得29分；带“▲”技术条款满分24分，每有一项带“▲”技术条款负偏离的扣3分；非“▲”技术条款满分5分，每有一项非“▲”技术条款负偏离的扣0.2分；扣完为止。 注：1.带"▲"的参数需求为重要参数共8项，供应商需按要求提供相关证明材料并加盖供应商公章。2.非“▲★”技术条款共25条。3.本项目技术参数的条数以下列编号（1）、（2）的条数为准。</w:t>
            </w:r>
          </w:p>
        </w:tc>
        <w:tc>
          <w:tcPr>
            <w:tcW w:type="dxa" w:w="831"/>
          </w:tcPr>
          <w:p>
            <w:pPr>
              <w:pStyle w:val="null3"/>
              <w:jc w:val="center"/>
            </w:pPr>
            <w:r>
              <w:rPr>
                <w:rFonts w:ascii="仿宋_GB2312" w:hAnsi="仿宋_GB2312" w:cs="仿宋_GB2312" w:eastAsia="仿宋_GB2312"/>
              </w:rPr>
              <w:t>29.0000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根据供应商提供的服务方案进行综合评审，包括但不限于：①针对本项目的现状分析②运维服务组织体系③日常运行维护服务④网站集约化维护服务⑤网络安全保障服务⑥应急响应服务，以上内容齐全且无缺陷的得36分；每缺少一项内容扣6分，每有一处缺陷（缺陷是指：①项目名称及编号错误、实施地点、实施内容等与本项目功能要求不一致②方案内容引用的标准、规范、政策错误或失效③方案内容只有标题或框架，无具体内容④方案内容完全复制其它项目其它地方内容⑤方案内容与本项目要求无关或不能满足本项目功能需求或不利于本项目实施的任一情形）扣3分，扣完为止。</w:t>
            </w:r>
          </w:p>
        </w:tc>
        <w:tc>
          <w:tcPr>
            <w:tcW w:type="dxa" w:w="831"/>
          </w:tcPr>
          <w:p>
            <w:pPr>
              <w:pStyle w:val="null3"/>
              <w:jc w:val="center"/>
            </w:pPr>
            <w:r>
              <w:rPr>
                <w:rFonts w:ascii="仿宋_GB2312" w:hAnsi="仿宋_GB2312" w:cs="仿宋_GB2312" w:eastAsia="仿宋_GB2312"/>
              </w:rPr>
              <w:t>36.0000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供应商提交的其他证明材料.docx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一、业绩 2021年1月1日（含当日）至今，供应商承担过类似项目业绩的，提供1个得2分，最多得4分。 注：提供中标（成交）通知书或合同复印件并加盖供应商公章（时间以中标（成交）通知书发出之日或合同签订之日为准）。 二、人员配置 1.项目负责人（1人）：具有信息安全工程师证书或者CISP注册信息安全专业人员证书得3分；本项最多得3分。 2.专业维护人员（2人）：每具有一个信息与通信专业高级及以上技术职称人员的得3分，本项最多得6分。 注：以上人员不得重复，提供有效的人员证书复印件及在职证明并加盖供应商公章。（在职证明指：人员缴纳社保证明或劳动合同或其它能证明在职的材料等）。 三、企业能力 1.供应商具有抗DDos服务管理信息系统安全等级保护三级等保要求认证得6分；同时具有ITSS信息技术服务运行维护标准符合性证书二级的得6分，本项满分12分。（供应商可提供上级总公司及其所属分支机构相关资质证书复印件并加盖供应商公章，未提供不得分。）</w:t>
            </w:r>
          </w:p>
        </w:tc>
        <w:tc>
          <w:tcPr>
            <w:tcW w:type="dxa" w:w="831"/>
          </w:tcPr>
          <w:p>
            <w:pPr>
              <w:pStyle w:val="null3"/>
              <w:jc w:val="center"/>
            </w:pPr>
            <w:r>
              <w:rPr>
                <w:rFonts w:ascii="仿宋_GB2312" w:hAnsi="仿宋_GB2312" w:cs="仿宋_GB2312" w:eastAsia="仿宋_GB2312"/>
              </w:rPr>
              <w:t>25.0000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供应商提交的其他证明材料.docx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详见附件：符合性审查-服务-磋商.docx</w:t>
      </w:r>
    </w:p>
    <w:p>
      <w:pPr>
        <w:pStyle w:val="null3"/>
        <w:ind w:firstLine="960"/>
        <w:jc w:val="left"/>
      </w:pPr>
      <w:r>
        <w:rPr>
          <w:rFonts w:ascii="仿宋_GB2312" w:hAnsi="仿宋_GB2312" w:cs="仿宋_GB2312" w:eastAsia="仿宋_GB2312"/>
        </w:rPr>
        <w:t>详见附件：供应商提交的其他证明材料.docx</w:t>
      </w:r>
    </w:p>
    <w:p>
      <w:pPr>
        <w:pStyle w:val="null3"/>
        <w:ind w:firstLine="960"/>
        <w:jc w:val="left"/>
      </w:pPr>
      <w:r>
        <w:rPr>
          <w:rFonts w:ascii="仿宋_GB2312" w:hAnsi="仿宋_GB2312" w:cs="仿宋_GB2312" w:eastAsia="仿宋_GB2312"/>
        </w:rPr>
        <w:t>详见附件：营业执照.docx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