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版本号：N510305202600001720260420001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评审服务采购项目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N5103052026000017</w:t>
      </w:r>
    </w:p>
    <w:p>
      <w:pPr>
        <w:pStyle w:val="null3"/>
        <w:jc w:val="left"/>
        <w:outlineLvl w:val="2"/>
      </w:pPr>
      <w:r>
        <w:rPr>
          <w:rFonts w:ascii="仿宋_GB2312" w:hAnsi="仿宋_GB2312" w:cs="仿宋_GB2312" w:eastAsia="仿宋_GB2312"/>
          <w:sz w:val="28"/>
          <w:b/>
        </w:rPr>
        <w:t>发展改革与科学技术局</w:t>
      </w:r>
    </w:p>
    <w:p>
      <w:pPr>
        <w:pStyle w:val="null3"/>
        <w:jc w:val="center"/>
        <w:outlineLvl w:val="2"/>
      </w:pPr>
      <w:r>
        <w:rPr>
          <w:rFonts w:ascii="仿宋_GB2312" w:hAnsi="仿宋_GB2312" w:cs="仿宋_GB2312" w:eastAsia="仿宋_GB2312"/>
          <w:sz w:val="28"/>
          <w:b/>
        </w:rPr>
        <w:t>中锦军贤工程咨询集团有限公司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中锦军贤工程咨询集团有限公司</w:t>
      </w:r>
      <w:r>
        <w:rPr>
          <w:rFonts w:ascii="仿宋_GB2312" w:hAnsi="仿宋_GB2312" w:cs="仿宋_GB2312" w:eastAsia="仿宋_GB2312"/>
        </w:rPr>
        <w:t xml:space="preserve"> （以下简称“代理机构”）受 </w:t>
      </w:r>
      <w:r>
        <w:rPr>
          <w:rFonts w:ascii="仿宋_GB2312" w:hAnsi="仿宋_GB2312" w:cs="仿宋_GB2312" w:eastAsia="仿宋_GB2312"/>
        </w:rPr>
        <w:t>发展改革与科学技术局</w:t>
      </w:r>
      <w:r>
        <w:rPr>
          <w:rFonts w:ascii="仿宋_GB2312" w:hAnsi="仿宋_GB2312" w:cs="仿宋_GB2312" w:eastAsia="仿宋_GB2312"/>
        </w:rPr>
        <w:t xml:space="preserve"> 委托，拟对 </w:t>
      </w:r>
      <w:r>
        <w:rPr>
          <w:rFonts w:ascii="仿宋_GB2312" w:hAnsi="仿宋_GB2312" w:cs="仿宋_GB2312" w:eastAsia="仿宋_GB2312"/>
        </w:rPr>
        <w:t>评审服务采购项目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自贡市高新区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N5103052026000017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评审服务采购项目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高新区发展改革与科学技术局因工作需要，现采购高新区发展改革与科学技术局评审服务采购项目。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1、供应商须在全国投资项目在线审批监管平台备案。（描述：提供供应商在全国投资项目在线审批监管平台备案的证明材料。）</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1、供应商须在全国投资项目在线审批监管平台备案。（描述：提供供应商在全国投资项目在线审批监管平台备案的证明材料。）</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发展改革与科学技术局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自贡市沿滩区板仓孵化大楼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邹老师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0813-8213901</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中锦军贤工程咨询集团有限公司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四川省自贡市自流井区丹阳街2号普润电商博览城一期A8-3-40-43</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0813-5401888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采购包1：900,000.00元</w:t>
            </w:r>
          </w:p>
          <w:p>
            <w:pPr>
              <w:pStyle w:val="null3"/>
              <w:jc w:val="left"/>
            </w:pPr>
            <w:r>
              <w:rPr>
                <w:rFonts w:ascii="仿宋_GB2312" w:hAnsi="仿宋_GB2312" w:cs="仿宋_GB2312" w:eastAsia="仿宋_GB2312"/>
              </w:rPr>
              <w:t>采购包2：900,000.00元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代理服务费收费标准：包1：向成交供应商以现金或转账方式定额收取人民币：5000.00元（大写：伍仟元整） 包2：向成交供应商以现金或转账方式定额收取人民币：5000.00元（大写：伍仟元整）</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发展改革与科学技术局</w:t>
      </w:r>
      <w:r>
        <w:rPr>
          <w:rFonts w:ascii="仿宋_GB2312" w:hAnsi="仿宋_GB2312" w:cs="仿宋_GB2312" w:eastAsia="仿宋_GB2312"/>
        </w:rPr>
        <w:t xml:space="preserve"> 和 </w:t>
      </w:r>
      <w:r>
        <w:rPr>
          <w:rFonts w:ascii="仿宋_GB2312" w:hAnsi="仿宋_GB2312" w:cs="仿宋_GB2312" w:eastAsia="仿宋_GB2312"/>
        </w:rPr>
        <w:t>中锦军贤工程咨询集团有限公司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发展改革与科学技术局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中锦军贤工程咨询集团有限公司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本项目达到采购合同约定的履约验收条件且供应商提出验收申请之日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本项目达到采购合同约定的履约验收条件且供应商提出验收申请之日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按照本项目采购文件中“技术、服务要求”及成交供应商响应文件进行验收。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按照本项目采购文件中“技术、服务要求”及成交供应商响应文件进行验收。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按照本项目采购文件中“商务要求”及成交供应商响应文件进行验收。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按照本项目采购文件中“商务要求”及成交供应商响应文件进行验收。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成交供应商与采购人严格按照国家有关规定、采购文件的要求、供应商的响应文件及承诺、合同约定标准以及《财政部关于进一步加强政府采购需求和履约验收管理的指导意见》（财库〔2016〕205号）、《政府采购需求管理办法》（财库〔2021〕22 号）、《自贡市政府采购履约验收管理办法》自财规[2023]2号文件的规定进行验收。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成交供应商与采购人严格按照国家有关规定、采购文件的要求、供应商的响应文件及承诺、合同约定标准以及《财政部关于进一步加强政府采购需求和履约验收管理的指导意见》（财库〔2016〕205号）、《政府采购需求管理办法》（财库〔2021〕22 号）、《自贡市政府采购履约验收管理办法》自财规[2023]2号文件的规定进行验收。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发展改革与科学技术局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中锦军贤工程咨询集团有限公司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中锦军贤工程咨询集团有限公司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联系人：邹老师</w:t>
      </w:r>
    </w:p>
    <w:p>
      <w:pPr>
        <w:pStyle w:val="null3"/>
        <w:jc w:val="left"/>
      </w:pPr>
      <w:r>
        <w:rPr>
          <w:rFonts w:ascii="仿宋_GB2312" w:hAnsi="仿宋_GB2312" w:cs="仿宋_GB2312" w:eastAsia="仿宋_GB2312"/>
        </w:rPr>
        <w:t>联系电话：0813-8213901</w:t>
      </w:r>
    </w:p>
    <w:p>
      <w:pPr>
        <w:pStyle w:val="null3"/>
        <w:jc w:val="left"/>
      </w:pPr>
      <w:r>
        <w:rPr>
          <w:rFonts w:ascii="仿宋_GB2312" w:hAnsi="仿宋_GB2312" w:cs="仿宋_GB2312" w:eastAsia="仿宋_GB2312"/>
        </w:rPr>
        <w:t>地址：自贡市沿滩区板仓孵化大楼</w:t>
      </w:r>
    </w:p>
    <w:p>
      <w:pPr>
        <w:pStyle w:val="null3"/>
        <w:jc w:val="left"/>
      </w:pPr>
      <w:r>
        <w:rPr>
          <w:rFonts w:ascii="仿宋_GB2312" w:hAnsi="仿宋_GB2312" w:cs="仿宋_GB2312" w:eastAsia="仿宋_GB2312"/>
        </w:rPr>
        <w:t>邮编：643000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联系人：张女士</w:t>
      </w:r>
    </w:p>
    <w:p>
      <w:pPr>
        <w:pStyle w:val="null3"/>
        <w:jc w:val="left"/>
      </w:pPr>
      <w:r>
        <w:rPr>
          <w:rFonts w:ascii="仿宋_GB2312" w:hAnsi="仿宋_GB2312" w:cs="仿宋_GB2312" w:eastAsia="仿宋_GB2312"/>
        </w:rPr>
        <w:t>联系电话：0813-5401888</w:t>
      </w:r>
    </w:p>
    <w:p>
      <w:pPr>
        <w:pStyle w:val="null3"/>
        <w:jc w:val="left"/>
      </w:pPr>
      <w:r>
        <w:rPr>
          <w:rFonts w:ascii="仿宋_GB2312" w:hAnsi="仿宋_GB2312" w:cs="仿宋_GB2312" w:eastAsia="仿宋_GB2312"/>
        </w:rPr>
        <w:t>地址：四川省自贡市自流井区丹阳街2号普润电商博览城一期A8-3-40-43</w:t>
      </w:r>
    </w:p>
    <w:p>
      <w:pPr>
        <w:pStyle w:val="null3"/>
        <w:jc w:val="left"/>
      </w:pPr>
      <w:r>
        <w:rPr>
          <w:rFonts w:ascii="仿宋_GB2312" w:hAnsi="仿宋_GB2312" w:cs="仿宋_GB2312" w:eastAsia="仿宋_GB2312"/>
        </w:rPr>
        <w:t>邮编：643000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900,000.00</w:t>
      </w:r>
    </w:p>
    <w:p>
      <w:pPr>
        <w:pStyle w:val="null3"/>
        <w:jc w:val="left"/>
      </w:pPr>
      <w:r>
        <w:rPr>
          <w:rFonts w:ascii="仿宋_GB2312" w:hAnsi="仿宋_GB2312" w:cs="仿宋_GB2312" w:eastAsia="仿宋_GB2312"/>
        </w:rPr>
        <w:t>采购包最高限价（元）: 900,000.00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可研报告评审和节能报告评审服务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900,000.00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900,000.00</w:t>
      </w:r>
    </w:p>
    <w:p>
      <w:pPr>
        <w:pStyle w:val="null3"/>
        <w:jc w:val="left"/>
      </w:pPr>
      <w:r>
        <w:rPr>
          <w:rFonts w:ascii="仿宋_GB2312" w:hAnsi="仿宋_GB2312" w:cs="仿宋_GB2312" w:eastAsia="仿宋_GB2312"/>
        </w:rPr>
        <w:t>采购包最高限价（元）: 900,000.00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概算报告评审服务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900,000.00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可研报告评审和节能报告评审服务</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概算报告评审服务</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标的名称：可研报告评审和节能报告评审服务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、服务范围：根据法律法规、现行技术标准和国、省、市政策规范要求，对采购人提供的被评估项目的可行性研究报告和节能报告评审提供技术咨询服务。</w:t>
            </w:r>
            <w:r>
              <w:rPr>
                <w:rFonts w:ascii="仿宋_GB2312" w:hAnsi="仿宋_GB2312" w:cs="仿宋_GB2312" w:eastAsia="仿宋_GB2312"/>
                <w:sz w:val="28"/>
              </w:rPr>
              <w:t>至少</w:t>
            </w:r>
            <w:r>
              <w:rPr>
                <w:rFonts w:ascii="仿宋_GB2312" w:hAnsi="仿宋_GB2312" w:cs="仿宋_GB2312" w:eastAsia="仿宋_GB2312"/>
                <w:sz w:val="28"/>
              </w:rPr>
              <w:t>包含</w:t>
            </w:r>
            <w:r>
              <w:rPr>
                <w:rFonts w:ascii="仿宋_GB2312" w:hAnsi="仿宋_GB2312" w:cs="仿宋_GB2312" w:eastAsia="仿宋_GB2312"/>
                <w:sz w:val="28"/>
              </w:rPr>
              <w:t>房屋建筑工程、市政公用工程、工业等工程项目。</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、具体内容：</w:t>
            </w:r>
          </w:p>
          <w:p>
            <w:pPr>
              <w:pStyle w:val="null3"/>
              <w:ind w:firstLine="560"/>
              <w:jc w:val="both"/>
            </w:pPr>
            <w:r>
              <w:rPr>
                <w:rFonts w:ascii="仿宋_GB2312" w:hAnsi="仿宋_GB2312" w:cs="仿宋_GB2312" w:eastAsia="仿宋_GB2312"/>
                <w:sz w:val="28"/>
              </w:rPr>
              <w:t>2.1</w:t>
            </w:r>
            <w:r>
              <w:rPr>
                <w:rFonts w:ascii="仿宋_GB2312" w:hAnsi="仿宋_GB2312" w:cs="仿宋_GB2312" w:eastAsia="仿宋_GB2312"/>
                <w:sz w:val="28"/>
              </w:rPr>
              <w:t>可行性研究报告评审</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1）评估项目是否符合国家相关的法律、法规；</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2）评估项目是否符合产业政策、行业准入标准；</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3）评估项目经济技术指标符合国家有关规范要求；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4）评估项目的建设方案是否科学、合理、可行；</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5）评估项目投资估算是否合理；</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6）评估项目是否符合安全、环保要求；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7）编制被评估项目的可行性研究报告评审意见；</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2</w:t>
            </w:r>
            <w:r>
              <w:rPr>
                <w:rFonts w:ascii="仿宋_GB2312" w:hAnsi="仿宋_GB2312" w:cs="仿宋_GB2312" w:eastAsia="仿宋_GB2312"/>
                <w:sz w:val="28"/>
              </w:rPr>
              <w:t>节能报告评审</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1）评审项目是否符合节能有关法律法规、标准规范、政策；</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2）项目用能分析是否客观准确，方法是否科学，结论是否准确；节能措施是否合理可行；</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3）项目的能源消费量和能效水平是否满足本地区能源消耗总量要求等对项目节能报告进行评审；</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4）是否有环保和节能减排措施，项目的管理方式等是否符合项目的特点。</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、服务质量要求：按照国家相关规定按期完成可研评审，并通过行政部门认可。</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、服务成果要求</w:t>
            </w:r>
            <w:r>
              <w:rPr>
                <w:rFonts w:ascii="仿宋_GB2312" w:hAnsi="仿宋_GB2312" w:cs="仿宋_GB2312" w:eastAsia="仿宋_GB2312"/>
                <w:sz w:val="28"/>
              </w:rPr>
              <w:t>：</w:t>
            </w:r>
            <w:r>
              <w:rPr>
                <w:rFonts w:ascii="仿宋_GB2312" w:hAnsi="仿宋_GB2312" w:cs="仿宋_GB2312" w:eastAsia="仿宋_GB2312"/>
                <w:sz w:val="28"/>
              </w:rPr>
              <w:t>每个项目成果的知识产权归高新区发展改革与科学技术局所有，成果审定合格后，提交文件纸质版</w:t>
            </w:r>
            <w:r>
              <w:rPr>
                <w:rFonts w:ascii="仿宋_GB2312" w:hAnsi="仿宋_GB2312" w:cs="仿宋_GB2312" w:eastAsia="仿宋_GB2312"/>
                <w:sz w:val="28"/>
              </w:rPr>
              <w:t>2套、相应的电子版1套。</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、其他服务要求</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1工程咨询机构对项目材料进行评估，组织专家提出评估意见，编写评估报告，于5个自然日内将评估报告及时递交高新区发科局。</w:t>
            </w:r>
          </w:p>
          <w:p>
            <w:pPr>
              <w:pStyle w:val="null3"/>
              <w:ind w:firstLine="560"/>
              <w:jc w:val="both"/>
            </w:pPr>
            <w:r>
              <w:rPr>
                <w:rFonts w:ascii="仿宋_GB2312" w:hAnsi="仿宋_GB2312" w:cs="仿宋_GB2312" w:eastAsia="仿宋_GB2312"/>
                <w:sz w:val="28"/>
              </w:rPr>
              <w:t>5.2</w:t>
            </w:r>
            <w:r>
              <w:rPr>
                <w:rFonts w:ascii="仿宋_GB2312" w:hAnsi="仿宋_GB2312" w:cs="仿宋_GB2312" w:eastAsia="仿宋_GB2312"/>
                <w:sz w:val="28"/>
              </w:rPr>
              <w:t>工程咨询机构出具的评估意见未达到要求或有重大缺陷的，应当按要求修改完善或重新进行评审。</w:t>
            </w:r>
            <w:r>
              <w:rPr>
                <w:rFonts w:ascii="仿宋_GB2312" w:hAnsi="仿宋_GB2312" w:cs="仿宋_GB2312" w:eastAsia="仿宋_GB2312"/>
                <w:sz w:val="28"/>
              </w:rPr>
              <w:t>拒绝或不予配合的，</w:t>
            </w:r>
            <w:r>
              <w:rPr>
                <w:rFonts w:ascii="仿宋_GB2312" w:hAnsi="仿宋_GB2312" w:cs="仿宋_GB2312" w:eastAsia="仿宋_GB2312"/>
                <w:sz w:val="28"/>
              </w:rPr>
              <w:t>承担违约责任</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5.3</w:t>
            </w:r>
            <w:r>
              <w:rPr>
                <w:rFonts w:ascii="仿宋_GB2312" w:hAnsi="仿宋_GB2312" w:cs="仿宋_GB2312" w:eastAsia="仿宋_GB2312"/>
                <w:sz w:val="28"/>
              </w:rPr>
              <w:t>在接到采购人到达现场通知</w:t>
            </w:r>
            <w:r>
              <w:rPr>
                <w:rFonts w:ascii="仿宋_GB2312" w:hAnsi="仿宋_GB2312" w:cs="仿宋_GB2312" w:eastAsia="仿宋_GB2312"/>
                <w:sz w:val="28"/>
              </w:rPr>
              <w:t>2小时内咨询机构能指派专业技术人员到达采购人办公所在地。</w:t>
            </w:r>
          </w:p>
          <w:p>
            <w:pPr>
              <w:pStyle w:val="null3"/>
              <w:ind w:firstLine="560"/>
              <w:jc w:val="both"/>
            </w:pPr>
            <w:r>
              <w:rPr>
                <w:rFonts w:ascii="仿宋_GB2312" w:hAnsi="仿宋_GB2312" w:cs="仿宋_GB2312" w:eastAsia="仿宋_GB2312"/>
                <w:sz w:val="28"/>
              </w:rPr>
              <w:t>5.4</w:t>
            </w:r>
            <w:r>
              <w:rPr>
                <w:rFonts w:ascii="仿宋_GB2312" w:hAnsi="仿宋_GB2312" w:cs="仿宋_GB2312" w:eastAsia="仿宋_GB2312"/>
                <w:sz w:val="28"/>
              </w:rPr>
              <w:t>从业人员配置及要求</w:t>
            </w:r>
          </w:p>
          <w:p>
            <w:pPr>
              <w:pStyle w:val="null3"/>
              <w:ind w:firstLine="560"/>
              <w:jc w:val="both"/>
            </w:pPr>
            <w:r>
              <w:rPr>
                <w:rFonts w:ascii="仿宋_GB2312" w:hAnsi="仿宋_GB2312" w:cs="仿宋_GB2312" w:eastAsia="仿宋_GB2312"/>
                <w:sz w:val="28"/>
              </w:rPr>
              <w:t>5.4</w:t>
            </w:r>
            <w:r>
              <w:rPr>
                <w:rFonts w:ascii="仿宋_GB2312" w:hAnsi="仿宋_GB2312" w:cs="仿宋_GB2312" w:eastAsia="仿宋_GB2312"/>
                <w:sz w:val="28"/>
              </w:rPr>
              <w:t>.1供应商拟派的所有从业人员的相关执业资格证书注册单位均为供应商单位。从业人员应当符合国家有关部门规定的条件，并取得相应的资格证书。按需提供具备专业技术职称和执业资格的专业技术服务人员，造成重大影响和损失的，除建议有关部门依法处理、处罚外，将依法追究法律责任。</w:t>
            </w:r>
            <w:r>
              <w:rPr>
                <w:rFonts w:ascii="仿宋_GB2312" w:hAnsi="仿宋_GB2312" w:cs="仿宋_GB2312" w:eastAsia="仿宋_GB2312"/>
                <w:sz w:val="28"/>
              </w:rPr>
              <w:t>（提供承诺函，格式自拟）</w:t>
            </w:r>
          </w:p>
          <w:p>
            <w:pPr>
              <w:pStyle w:val="null3"/>
              <w:ind w:firstLine="560"/>
              <w:jc w:val="both"/>
            </w:pPr>
            <w:r>
              <w:rPr>
                <w:rFonts w:ascii="仿宋_GB2312" w:hAnsi="仿宋_GB2312" w:cs="仿宋_GB2312" w:eastAsia="仿宋_GB2312"/>
                <w:sz w:val="28"/>
              </w:rPr>
              <w:t>5.4</w:t>
            </w:r>
            <w:r>
              <w:rPr>
                <w:rFonts w:ascii="仿宋_GB2312" w:hAnsi="仿宋_GB2312" w:cs="仿宋_GB2312" w:eastAsia="仿宋_GB2312"/>
                <w:sz w:val="28"/>
              </w:rPr>
              <w:t>.2供应商须服从采购人管理，对采购人委托的项目进行审核，并出具完整的成果报告，成果报告须在约定的时间内送交采购人，一并交回采购人处接收的全部资料。</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4.3供应商在服务过程中获取的资料和成果负有保密责任。</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4.4供应商在服务过程中的安全责任由供应商全权负责。</w:t>
            </w:r>
          </w:p>
          <w:p>
            <w:pPr>
              <w:pStyle w:val="null3"/>
              <w:ind w:firstLine="560"/>
              <w:jc w:val="both"/>
            </w:pPr>
            <w:r>
              <w:rPr>
                <w:rFonts w:ascii="仿宋_GB2312" w:hAnsi="仿宋_GB2312" w:cs="仿宋_GB2312" w:eastAsia="仿宋_GB2312"/>
                <w:sz w:val="28"/>
              </w:rPr>
              <w:t>5.4.5</w:t>
            </w:r>
            <w:r>
              <w:rPr>
                <w:rFonts w:ascii="仿宋_GB2312" w:hAnsi="仿宋_GB2312" w:cs="仿宋_GB2312" w:eastAsia="仿宋_GB2312"/>
                <w:sz w:val="28"/>
              </w:rPr>
              <w:t>.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ind w:firstLine="560"/>
              <w:jc w:val="both"/>
            </w:pPr>
            <w:r>
              <w:rPr>
                <w:rFonts w:ascii="仿宋_GB2312" w:hAnsi="仿宋_GB2312" w:cs="仿宋_GB2312" w:eastAsia="仿宋_GB2312"/>
                <w:sz w:val="28"/>
              </w:rPr>
              <w:t>1、服务计算：在服务期限内，以单个项目为单位计取服务费，可研评审报告编制、节能评审报告编制项目的单个项目服务费按服务费用支付标准计算后作为当次服务费计费基数。但在服务期限内，服务费的结算总额不超过采购预算，如超过采购预算则当次采购终止。</w:t>
            </w:r>
          </w:p>
          <w:p>
            <w:pPr>
              <w:pStyle w:val="null3"/>
              <w:ind w:firstLine="560"/>
              <w:jc w:val="both"/>
            </w:pPr>
            <w:r>
              <w:rPr>
                <w:rFonts w:ascii="仿宋_GB2312" w:hAnsi="仿宋_GB2312" w:cs="仿宋_GB2312" w:eastAsia="仿宋_GB2312"/>
                <w:sz w:val="28"/>
              </w:rPr>
              <w:t>2、自合同签订之日起365日(①合同期限内，合同总金额支付完毕视为合同结束。②合同期限结束，合同总金额未用完视为合同结束。)。</w:t>
            </w:r>
          </w:p>
          <w:p>
            <w:pPr>
              <w:pStyle w:val="null3"/>
              <w:ind w:firstLine="560"/>
              <w:jc w:val="both"/>
            </w:pPr>
            <w:r>
              <w:rPr>
                <w:rFonts w:ascii="仿宋_GB2312" w:hAnsi="仿宋_GB2312" w:cs="仿宋_GB2312" w:eastAsia="仿宋_GB2312"/>
                <w:sz w:val="28"/>
              </w:rPr>
              <w:t>3、服务费用说明：</w:t>
            </w:r>
            <w:r>
              <w:rPr>
                <w:rFonts w:ascii="仿宋_GB2312" w:hAnsi="仿宋_GB2312" w:cs="仿宋_GB2312" w:eastAsia="仿宋_GB2312"/>
                <w:sz w:val="28"/>
              </w:rPr>
              <w:t>本项目采用百分比报价，实际服务费用按照磋商文件约定的费用支付标准与成交百分比进行计算，（实际服务费</w:t>
            </w:r>
            <w:r>
              <w:rPr>
                <w:rFonts w:ascii="仿宋_GB2312" w:hAnsi="仿宋_GB2312" w:cs="仿宋_GB2312" w:eastAsia="仿宋_GB2312"/>
                <w:sz w:val="28"/>
              </w:rPr>
              <w:t>=费用支付标准*百分比）。</w:t>
            </w:r>
          </w:p>
          <w:p>
            <w:pPr>
              <w:pStyle w:val="null3"/>
              <w:ind w:firstLine="560"/>
              <w:jc w:val="both"/>
            </w:pPr>
            <w:r>
              <w:rPr>
                <w:rFonts w:ascii="仿宋_GB2312" w:hAnsi="仿宋_GB2312" w:cs="仿宋_GB2312" w:eastAsia="仿宋_GB2312"/>
                <w:sz w:val="28"/>
              </w:rPr>
              <w:t>注：</w:t>
            </w:r>
            <w:r>
              <w:rPr>
                <w:rFonts w:ascii="仿宋_GB2312" w:hAnsi="仿宋_GB2312" w:cs="仿宋_GB2312" w:eastAsia="仿宋_GB2312"/>
                <w:sz w:val="28"/>
              </w:rPr>
              <w:t>1)费用支付标准：</w:t>
            </w:r>
            <w:r>
              <w:rPr>
                <w:rFonts w:ascii="仿宋_GB2312" w:hAnsi="仿宋_GB2312" w:cs="仿宋_GB2312" w:eastAsia="仿宋_GB2312"/>
                <w:sz w:val="28"/>
              </w:rPr>
              <w:t>按照其他区县支付标准</w:t>
            </w:r>
            <w:r>
              <w:rPr>
                <w:rFonts w:ascii="仿宋_GB2312" w:hAnsi="仿宋_GB2312" w:cs="仿宋_GB2312" w:eastAsia="仿宋_GB2312"/>
                <w:sz w:val="28"/>
              </w:rPr>
              <w:t>，结合地方市场行情计算咨询费用</w:t>
            </w:r>
            <w:r>
              <w:rPr>
                <w:rFonts w:ascii="仿宋_GB2312" w:hAnsi="仿宋_GB2312" w:cs="仿宋_GB2312" w:eastAsia="仿宋_GB2312"/>
                <w:sz w:val="28"/>
              </w:rPr>
              <w:t>，</w:t>
            </w:r>
            <w:r>
              <w:rPr>
                <w:rFonts w:ascii="仿宋_GB2312" w:hAnsi="仿宋_GB2312" w:cs="仿宋_GB2312" w:eastAsia="仿宋_GB2312"/>
                <w:sz w:val="28"/>
              </w:rPr>
              <w:t>按以下标准计算</w:t>
            </w:r>
            <w:r>
              <w:rPr>
                <w:rFonts w:ascii="仿宋_GB2312" w:hAnsi="仿宋_GB2312" w:cs="仿宋_GB2312" w:eastAsia="仿宋_GB2312"/>
                <w:sz w:val="28"/>
              </w:rPr>
              <w:t>：</w:t>
            </w:r>
          </w:p>
          <w:tbl>
            <w:tblPr>
              <w:tblBorders>
                <w:top w:val="none" w:color="000000" w:sz="4"/>
                <w:left w:val="none" w:color="000000" w:sz="4"/>
                <w:bottom w:val="none" w:color="000000" w:sz="4"/>
                <w:right w:val="none" w:color="000000" w:sz="4"/>
                <w:insideH w:val="none"/>
                <w:insideV w:val="none"/>
              </w:tblBorders>
            </w:tblPr>
            <w:tblGrid>
              <w:gridCol w:w="428"/>
              <w:gridCol w:w="586"/>
              <w:gridCol w:w="679"/>
              <w:gridCol w:w="651"/>
              <w:gridCol w:w="651"/>
              <w:gridCol w:w="651"/>
              <w:gridCol w:w="651"/>
              <w:gridCol w:w="651"/>
              <w:gridCol w:w="651"/>
            </w:tblGrid>
            <w:tr>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投</w:t>
                  </w:r>
                </w:p>
                <w:p>
                  <w:pPr>
                    <w:pStyle w:val="null3"/>
                    <w:jc w:val="center"/>
                  </w:pPr>
                  <w:r>
                    <w:rPr>
                      <w:rFonts w:ascii="仿宋_GB2312" w:hAnsi="仿宋_GB2312" w:cs="仿宋_GB2312" w:eastAsia="仿宋_GB2312"/>
                      <w:sz w:val="21"/>
                    </w:rPr>
                    <w:t>资额</w:t>
                  </w:r>
                </w:p>
                <w:p>
                  <w:pPr>
                    <w:pStyle w:val="null3"/>
                    <w:jc w:val="center"/>
                  </w:pPr>
                  <w:r>
                    <w:rPr>
                      <w:rFonts w:ascii="仿宋_GB2312" w:hAnsi="仿宋_GB2312" w:cs="仿宋_GB2312" w:eastAsia="仿宋_GB2312"/>
                      <w:sz w:val="21"/>
                    </w:rPr>
                    <w:t>分包</w:t>
                  </w:r>
                </w:p>
              </w:tc>
              <w:tc>
                <w:tcPr>
                  <w:tcW w:type="dxa" w:w="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评</w:t>
                  </w:r>
                  <w:r>
                    <w:rPr>
                      <w:rFonts w:ascii="仿宋_GB2312" w:hAnsi="仿宋_GB2312" w:cs="仿宋_GB2312" w:eastAsia="仿宋_GB2312"/>
                      <w:sz w:val="21"/>
                    </w:rPr>
                    <w:t>审</w:t>
                  </w:r>
                </w:p>
                <w:p>
                  <w:pPr>
                    <w:pStyle w:val="null3"/>
                    <w:jc w:val="center"/>
                  </w:pPr>
                  <w:r>
                    <w:rPr>
                      <w:rFonts w:ascii="仿宋_GB2312" w:hAnsi="仿宋_GB2312" w:cs="仿宋_GB2312" w:eastAsia="仿宋_GB2312"/>
                      <w:sz w:val="21"/>
                    </w:rPr>
                    <w:t>内容</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p>
                  <w:pPr>
                    <w:pStyle w:val="null3"/>
                    <w:jc w:val="center"/>
                  </w:pPr>
                  <w:r>
                    <w:rPr>
                      <w:rFonts w:ascii="仿宋_GB2312" w:hAnsi="仿宋_GB2312" w:cs="仿宋_GB2312" w:eastAsia="仿宋_GB2312"/>
                      <w:sz w:val="21"/>
                    </w:rPr>
                    <w:t>（不</w:t>
                  </w:r>
                </w:p>
                <w:p>
                  <w:pPr>
                    <w:pStyle w:val="null3"/>
                    <w:jc w:val="center"/>
                  </w:pPr>
                  <w:r>
                    <w:rPr>
                      <w:rFonts w:ascii="仿宋_GB2312" w:hAnsi="仿宋_GB2312" w:cs="仿宋_GB2312" w:eastAsia="仿宋_GB2312"/>
                      <w:sz w:val="21"/>
                    </w:rPr>
                    <w:t>含）万</w:t>
                  </w:r>
                </w:p>
                <w:p>
                  <w:pPr>
                    <w:pStyle w:val="null3"/>
                    <w:jc w:val="center"/>
                  </w:pPr>
                  <w:r>
                    <w:rPr>
                      <w:rFonts w:ascii="仿宋_GB2312" w:hAnsi="仿宋_GB2312" w:cs="仿宋_GB2312" w:eastAsia="仿宋_GB2312"/>
                      <w:sz w:val="21"/>
                    </w:rPr>
                    <w:t>元以下</w:t>
                  </w:r>
                </w:p>
              </w:tc>
              <w:tc>
                <w:tcPr>
                  <w:tcW w:type="dxa" w:w="6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p>
                  <w:pPr>
                    <w:pStyle w:val="null3"/>
                    <w:jc w:val="center"/>
                  </w:pPr>
                  <w:r>
                    <w:rPr>
                      <w:rFonts w:ascii="仿宋_GB2312" w:hAnsi="仿宋_GB2312" w:cs="仿宋_GB2312" w:eastAsia="仿宋_GB2312"/>
                      <w:sz w:val="21"/>
                    </w:rPr>
                    <w:t>（含）</w:t>
                  </w:r>
                  <w:r>
                    <w:rPr>
                      <w:rFonts w:ascii="仿宋_GB2312" w:hAnsi="仿宋_GB2312" w:cs="仿宋_GB2312" w:eastAsia="仿宋_GB2312"/>
                      <w:sz w:val="21"/>
                    </w:rPr>
                    <w:t>-</w:t>
                  </w:r>
                </w:p>
                <w:p>
                  <w:pPr>
                    <w:pStyle w:val="null3"/>
                    <w:jc w:val="center"/>
                  </w:pPr>
                  <w:r>
                    <w:rPr>
                      <w:rFonts w:ascii="仿宋_GB2312" w:hAnsi="仿宋_GB2312" w:cs="仿宋_GB2312" w:eastAsia="仿宋_GB2312"/>
                      <w:sz w:val="21"/>
                    </w:rPr>
                    <w:t>3000</w:t>
                  </w:r>
                </w:p>
                <w:p>
                  <w:pPr>
                    <w:pStyle w:val="null3"/>
                    <w:jc w:val="center"/>
                  </w:pPr>
                  <w:r>
                    <w:rPr>
                      <w:rFonts w:ascii="仿宋_GB2312" w:hAnsi="仿宋_GB2312" w:cs="仿宋_GB2312" w:eastAsia="仿宋_GB2312"/>
                      <w:sz w:val="21"/>
                    </w:rPr>
                    <w:t>（不</w:t>
                  </w:r>
                </w:p>
                <w:p>
                  <w:pPr>
                    <w:pStyle w:val="null3"/>
                    <w:jc w:val="center"/>
                  </w:pPr>
                  <w:r>
                    <w:rPr>
                      <w:rFonts w:ascii="仿宋_GB2312" w:hAnsi="仿宋_GB2312" w:cs="仿宋_GB2312" w:eastAsia="仿宋_GB2312"/>
                      <w:sz w:val="21"/>
                    </w:rPr>
                    <w:t>含）万</w:t>
                  </w:r>
                </w:p>
                <w:p>
                  <w:pPr>
                    <w:pStyle w:val="null3"/>
                    <w:jc w:val="center"/>
                  </w:pPr>
                  <w:r>
                    <w:rPr>
                      <w:rFonts w:ascii="仿宋_GB2312" w:hAnsi="仿宋_GB2312" w:cs="仿宋_GB2312" w:eastAsia="仿宋_GB2312"/>
                      <w:sz w:val="21"/>
                    </w:rPr>
                    <w:t>元</w:t>
                  </w:r>
                </w:p>
              </w:tc>
              <w:tc>
                <w:tcPr>
                  <w:tcW w:type="dxa" w:w="6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w:t>
                  </w:r>
                </w:p>
                <w:p>
                  <w:pPr>
                    <w:pStyle w:val="null3"/>
                    <w:jc w:val="center"/>
                  </w:pPr>
                  <w:r>
                    <w:rPr>
                      <w:rFonts w:ascii="仿宋_GB2312" w:hAnsi="仿宋_GB2312" w:cs="仿宋_GB2312" w:eastAsia="仿宋_GB2312"/>
                      <w:sz w:val="21"/>
                    </w:rPr>
                    <w:t>（含）</w:t>
                  </w:r>
                </w:p>
                <w:p>
                  <w:pPr>
                    <w:pStyle w:val="null3"/>
                    <w:jc w:val="center"/>
                  </w:pPr>
                  <w:r>
                    <w:rPr>
                      <w:rFonts w:ascii="仿宋_GB2312" w:hAnsi="仿宋_GB2312" w:cs="仿宋_GB2312" w:eastAsia="仿宋_GB2312"/>
                      <w:sz w:val="21"/>
                    </w:rPr>
                    <w:t>万元</w:t>
                  </w:r>
                  <w:r>
                    <w:rPr>
                      <w:rFonts w:ascii="仿宋_GB2312" w:hAnsi="仿宋_GB2312" w:cs="仿宋_GB2312" w:eastAsia="仿宋_GB2312"/>
                      <w:sz w:val="21"/>
                    </w:rPr>
                    <w:t>-1</w:t>
                  </w:r>
                </w:p>
                <w:p>
                  <w:pPr>
                    <w:pStyle w:val="null3"/>
                    <w:jc w:val="center"/>
                  </w:pPr>
                  <w:r>
                    <w:rPr>
                      <w:rFonts w:ascii="仿宋_GB2312" w:hAnsi="仿宋_GB2312" w:cs="仿宋_GB2312" w:eastAsia="仿宋_GB2312"/>
                      <w:sz w:val="21"/>
                    </w:rPr>
                    <w:t>亿元</w:t>
                  </w:r>
                </w:p>
                <w:p>
                  <w:pPr>
                    <w:pStyle w:val="null3"/>
                    <w:jc w:val="center"/>
                  </w:pPr>
                  <w:r>
                    <w:rPr>
                      <w:rFonts w:ascii="仿宋_GB2312" w:hAnsi="仿宋_GB2312" w:cs="仿宋_GB2312" w:eastAsia="仿宋_GB2312"/>
                      <w:sz w:val="21"/>
                    </w:rPr>
                    <w:t>（不</w:t>
                  </w:r>
                </w:p>
                <w:p>
                  <w:pPr>
                    <w:pStyle w:val="null3"/>
                    <w:jc w:val="center"/>
                  </w:pPr>
                  <w:r>
                    <w:rPr>
                      <w:rFonts w:ascii="仿宋_GB2312" w:hAnsi="仿宋_GB2312" w:cs="仿宋_GB2312" w:eastAsia="仿宋_GB2312"/>
                      <w:sz w:val="21"/>
                    </w:rPr>
                    <w:t>含）</w:t>
                  </w:r>
                </w:p>
              </w:tc>
              <w:tc>
                <w:tcPr>
                  <w:tcW w:type="dxa" w:w="6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1亿元</w:t>
                  </w:r>
                </w:p>
                <w:p>
                  <w:pPr>
                    <w:pStyle w:val="null3"/>
                    <w:jc w:val="center"/>
                  </w:pPr>
                  <w:r>
                    <w:rPr>
                      <w:rFonts w:ascii="仿宋_GB2312" w:hAnsi="仿宋_GB2312" w:cs="仿宋_GB2312" w:eastAsia="仿宋_GB2312"/>
                      <w:sz w:val="21"/>
                    </w:rPr>
                    <w:t>（含）</w:t>
                  </w:r>
                  <w:r>
                    <w:rPr>
                      <w:rFonts w:ascii="仿宋_GB2312" w:hAnsi="仿宋_GB2312" w:cs="仿宋_GB2312" w:eastAsia="仿宋_GB2312"/>
                      <w:sz w:val="21"/>
                    </w:rPr>
                    <w:t>-</w:t>
                  </w:r>
                </w:p>
                <w:p>
                  <w:pPr>
                    <w:pStyle w:val="null3"/>
                    <w:jc w:val="center"/>
                  </w:pPr>
                  <w:r>
                    <w:rPr>
                      <w:rFonts w:ascii="仿宋_GB2312" w:hAnsi="仿宋_GB2312" w:cs="仿宋_GB2312" w:eastAsia="仿宋_GB2312"/>
                      <w:sz w:val="21"/>
                    </w:rPr>
                    <w:t>3亿元</w:t>
                  </w:r>
                </w:p>
                <w:p>
                  <w:pPr>
                    <w:pStyle w:val="null3"/>
                    <w:jc w:val="center"/>
                  </w:pPr>
                  <w:r>
                    <w:rPr>
                      <w:rFonts w:ascii="仿宋_GB2312" w:hAnsi="仿宋_GB2312" w:cs="仿宋_GB2312" w:eastAsia="仿宋_GB2312"/>
                      <w:sz w:val="21"/>
                    </w:rPr>
                    <w:t>（不</w:t>
                  </w:r>
                </w:p>
                <w:p>
                  <w:pPr>
                    <w:pStyle w:val="null3"/>
                    <w:jc w:val="center"/>
                  </w:pPr>
                  <w:r>
                    <w:rPr>
                      <w:rFonts w:ascii="仿宋_GB2312" w:hAnsi="仿宋_GB2312" w:cs="仿宋_GB2312" w:eastAsia="仿宋_GB2312"/>
                      <w:sz w:val="21"/>
                    </w:rPr>
                    <w:t>含）</w:t>
                  </w:r>
                </w:p>
              </w:tc>
              <w:tc>
                <w:tcPr>
                  <w:tcW w:type="dxa" w:w="6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3亿元</w:t>
                  </w:r>
                </w:p>
                <w:p>
                  <w:pPr>
                    <w:pStyle w:val="null3"/>
                    <w:jc w:val="center"/>
                  </w:pPr>
                  <w:r>
                    <w:rPr>
                      <w:rFonts w:ascii="仿宋_GB2312" w:hAnsi="仿宋_GB2312" w:cs="仿宋_GB2312" w:eastAsia="仿宋_GB2312"/>
                      <w:sz w:val="21"/>
                    </w:rPr>
                    <w:t>（含）</w:t>
                  </w:r>
                  <w:r>
                    <w:rPr>
                      <w:rFonts w:ascii="仿宋_GB2312" w:hAnsi="仿宋_GB2312" w:cs="仿宋_GB2312" w:eastAsia="仿宋_GB2312"/>
                      <w:sz w:val="21"/>
                    </w:rPr>
                    <w:t>-</w:t>
                  </w:r>
                </w:p>
                <w:p>
                  <w:pPr>
                    <w:pStyle w:val="null3"/>
                    <w:jc w:val="center"/>
                  </w:pPr>
                  <w:r>
                    <w:rPr>
                      <w:rFonts w:ascii="仿宋_GB2312" w:hAnsi="仿宋_GB2312" w:cs="仿宋_GB2312" w:eastAsia="仿宋_GB2312"/>
                      <w:sz w:val="21"/>
                    </w:rPr>
                    <w:t>5亿元</w:t>
                  </w:r>
                </w:p>
                <w:p>
                  <w:pPr>
                    <w:pStyle w:val="null3"/>
                    <w:jc w:val="center"/>
                  </w:pPr>
                  <w:r>
                    <w:rPr>
                      <w:rFonts w:ascii="仿宋_GB2312" w:hAnsi="仿宋_GB2312" w:cs="仿宋_GB2312" w:eastAsia="仿宋_GB2312"/>
                      <w:sz w:val="21"/>
                    </w:rPr>
                    <w:t>（不</w:t>
                  </w:r>
                </w:p>
                <w:p>
                  <w:pPr>
                    <w:pStyle w:val="null3"/>
                    <w:jc w:val="center"/>
                  </w:pPr>
                  <w:r>
                    <w:rPr>
                      <w:rFonts w:ascii="仿宋_GB2312" w:hAnsi="仿宋_GB2312" w:cs="仿宋_GB2312" w:eastAsia="仿宋_GB2312"/>
                      <w:sz w:val="21"/>
                    </w:rPr>
                    <w:t>含）</w:t>
                  </w:r>
                </w:p>
              </w:tc>
              <w:tc>
                <w:tcPr>
                  <w:tcW w:type="dxa" w:w="6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5亿元</w:t>
                  </w:r>
                </w:p>
                <w:p>
                  <w:pPr>
                    <w:pStyle w:val="null3"/>
                    <w:jc w:val="center"/>
                  </w:pPr>
                  <w:r>
                    <w:rPr>
                      <w:rFonts w:ascii="仿宋_GB2312" w:hAnsi="仿宋_GB2312" w:cs="仿宋_GB2312" w:eastAsia="仿宋_GB2312"/>
                      <w:sz w:val="21"/>
                    </w:rPr>
                    <w:t>（含）</w:t>
                  </w:r>
                  <w:r>
                    <w:rPr>
                      <w:rFonts w:ascii="仿宋_GB2312" w:hAnsi="仿宋_GB2312" w:cs="仿宋_GB2312" w:eastAsia="仿宋_GB2312"/>
                      <w:sz w:val="21"/>
                    </w:rPr>
                    <w:t>- 10亿元</w:t>
                  </w:r>
                </w:p>
                <w:p>
                  <w:pPr>
                    <w:pStyle w:val="null3"/>
                    <w:jc w:val="center"/>
                  </w:pPr>
                  <w:r>
                    <w:rPr>
                      <w:rFonts w:ascii="仿宋_GB2312" w:hAnsi="仿宋_GB2312" w:cs="仿宋_GB2312" w:eastAsia="仿宋_GB2312"/>
                      <w:sz w:val="21"/>
                    </w:rPr>
                    <w:t>（不</w:t>
                  </w:r>
                </w:p>
                <w:p>
                  <w:pPr>
                    <w:pStyle w:val="null3"/>
                    <w:jc w:val="center"/>
                  </w:pPr>
                  <w:r>
                    <w:rPr>
                      <w:rFonts w:ascii="仿宋_GB2312" w:hAnsi="仿宋_GB2312" w:cs="仿宋_GB2312" w:eastAsia="仿宋_GB2312"/>
                      <w:sz w:val="21"/>
                    </w:rPr>
                    <w:t>含）</w:t>
                  </w:r>
                </w:p>
              </w:tc>
              <w:tc>
                <w:tcPr>
                  <w:tcW w:type="dxa" w:w="6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10亿元</w:t>
                  </w:r>
                </w:p>
                <w:p>
                  <w:pPr>
                    <w:pStyle w:val="null3"/>
                    <w:jc w:val="center"/>
                  </w:pPr>
                  <w:r>
                    <w:rPr>
                      <w:rFonts w:ascii="仿宋_GB2312" w:hAnsi="仿宋_GB2312" w:cs="仿宋_GB2312" w:eastAsia="仿宋_GB2312"/>
                      <w:sz w:val="21"/>
                    </w:rPr>
                    <w:t>（含）</w:t>
                  </w:r>
                </w:p>
                <w:p>
                  <w:pPr>
                    <w:pStyle w:val="null3"/>
                    <w:jc w:val="center"/>
                  </w:pPr>
                  <w:r>
                    <w:rPr>
                      <w:rFonts w:ascii="仿宋_GB2312" w:hAnsi="仿宋_GB2312" w:cs="仿宋_GB2312" w:eastAsia="仿宋_GB2312"/>
                      <w:sz w:val="21"/>
                    </w:rPr>
                    <w:t>以上</w:t>
                  </w:r>
                </w:p>
              </w:tc>
            </w:tr>
            <w:tr>
              <w:tc>
                <w:tcPr>
                  <w:tcW w:type="dxa" w:w="4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第一包</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可研</w:t>
                  </w:r>
                  <w:r>
                    <w:rPr>
                      <w:rFonts w:ascii="仿宋_GB2312" w:hAnsi="仿宋_GB2312" w:cs="仿宋_GB2312" w:eastAsia="仿宋_GB2312"/>
                      <w:sz w:val="21"/>
                    </w:rPr>
                    <w:t>报告</w:t>
                  </w:r>
                </w:p>
                <w:p>
                  <w:pPr>
                    <w:pStyle w:val="null3"/>
                    <w:jc w:val="center"/>
                  </w:pPr>
                  <w:r>
                    <w:rPr>
                      <w:rFonts w:ascii="仿宋_GB2312" w:hAnsi="仿宋_GB2312" w:cs="仿宋_GB2312" w:eastAsia="仿宋_GB2312"/>
                      <w:sz w:val="21"/>
                    </w:rPr>
                    <w:t>评审</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0.5</w:t>
                  </w:r>
                </w:p>
                <w:p>
                  <w:pPr>
                    <w:pStyle w:val="null3"/>
                    <w:jc w:val="center"/>
                  </w:pPr>
                  <w:r>
                    <w:rPr>
                      <w:rFonts w:ascii="仿宋_GB2312" w:hAnsi="仿宋_GB2312" w:cs="仿宋_GB2312" w:eastAsia="仿宋_GB2312"/>
                      <w:sz w:val="21"/>
                    </w:rPr>
                    <w:t>（含）</w:t>
                  </w:r>
                  <w:r>
                    <w:rPr>
                      <w:rFonts w:ascii="仿宋_GB2312" w:hAnsi="仿宋_GB2312" w:cs="仿宋_GB2312" w:eastAsia="仿宋_GB2312"/>
                      <w:sz w:val="21"/>
                    </w:rPr>
                    <w:t>-</w:t>
                  </w:r>
                </w:p>
                <w:p>
                  <w:pPr>
                    <w:pStyle w:val="null3"/>
                    <w:jc w:val="center"/>
                  </w:pPr>
                  <w:r>
                    <w:rPr>
                      <w:rFonts w:ascii="仿宋_GB2312" w:hAnsi="仿宋_GB2312" w:cs="仿宋_GB2312" w:eastAsia="仿宋_GB2312"/>
                      <w:sz w:val="21"/>
                    </w:rPr>
                    <w:t>1（不</w:t>
                  </w:r>
                </w:p>
                <w:p>
                  <w:pPr>
                    <w:pStyle w:val="null3"/>
                    <w:jc w:val="center"/>
                  </w:pPr>
                  <w:r>
                    <w:rPr>
                      <w:rFonts w:ascii="仿宋_GB2312" w:hAnsi="仿宋_GB2312" w:cs="仿宋_GB2312" w:eastAsia="仿宋_GB2312"/>
                      <w:sz w:val="21"/>
                    </w:rPr>
                    <w:t>含）万</w:t>
                  </w:r>
                </w:p>
                <w:p>
                  <w:pPr>
                    <w:pStyle w:val="null3"/>
                    <w:jc w:val="center"/>
                  </w:pPr>
                  <w:r>
                    <w:rPr>
                      <w:rFonts w:ascii="仿宋_GB2312" w:hAnsi="仿宋_GB2312" w:cs="仿宋_GB2312" w:eastAsia="仿宋_GB2312"/>
                      <w:sz w:val="21"/>
                    </w:rPr>
                    <w:t>元</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1（含） -1.5</w:t>
                  </w:r>
                </w:p>
                <w:p>
                  <w:pPr>
                    <w:pStyle w:val="null3"/>
                    <w:jc w:val="center"/>
                  </w:pPr>
                  <w:r>
                    <w:rPr>
                      <w:rFonts w:ascii="仿宋_GB2312" w:hAnsi="仿宋_GB2312" w:cs="仿宋_GB2312" w:eastAsia="仿宋_GB2312"/>
                      <w:sz w:val="21"/>
                    </w:rPr>
                    <w:t>（不</w:t>
                  </w:r>
                </w:p>
                <w:p>
                  <w:pPr>
                    <w:pStyle w:val="null3"/>
                    <w:jc w:val="center"/>
                  </w:pPr>
                  <w:r>
                    <w:rPr>
                      <w:rFonts w:ascii="仿宋_GB2312" w:hAnsi="仿宋_GB2312" w:cs="仿宋_GB2312" w:eastAsia="仿宋_GB2312"/>
                      <w:sz w:val="21"/>
                    </w:rPr>
                    <w:t>含）万</w:t>
                  </w:r>
                </w:p>
                <w:p>
                  <w:pPr>
                    <w:pStyle w:val="null3"/>
                    <w:jc w:val="center"/>
                  </w:pPr>
                  <w:r>
                    <w:rPr>
                      <w:rFonts w:ascii="仿宋_GB2312" w:hAnsi="仿宋_GB2312" w:cs="仿宋_GB2312" w:eastAsia="仿宋_GB2312"/>
                      <w:sz w:val="21"/>
                    </w:rPr>
                    <w:t>元</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p>
                  <w:pPr>
                    <w:pStyle w:val="null3"/>
                    <w:jc w:val="center"/>
                  </w:pPr>
                  <w:r>
                    <w:rPr>
                      <w:rFonts w:ascii="仿宋_GB2312" w:hAnsi="仿宋_GB2312" w:cs="仿宋_GB2312" w:eastAsia="仿宋_GB2312"/>
                      <w:sz w:val="21"/>
                    </w:rPr>
                    <w:t>（含）</w:t>
                  </w:r>
                  <w:r>
                    <w:rPr>
                      <w:rFonts w:ascii="仿宋_GB2312" w:hAnsi="仿宋_GB2312" w:cs="仿宋_GB2312" w:eastAsia="仿宋_GB2312"/>
                      <w:sz w:val="21"/>
                    </w:rPr>
                    <w:t>-</w:t>
                  </w:r>
                </w:p>
                <w:p>
                  <w:pPr>
                    <w:pStyle w:val="null3"/>
                    <w:jc w:val="center"/>
                  </w:pPr>
                  <w:r>
                    <w:rPr>
                      <w:rFonts w:ascii="仿宋_GB2312" w:hAnsi="仿宋_GB2312" w:cs="仿宋_GB2312" w:eastAsia="仿宋_GB2312"/>
                      <w:sz w:val="21"/>
                    </w:rPr>
                    <w:t>2（不</w:t>
                  </w:r>
                </w:p>
                <w:p>
                  <w:pPr>
                    <w:pStyle w:val="null3"/>
                    <w:jc w:val="center"/>
                  </w:pPr>
                  <w:r>
                    <w:rPr>
                      <w:rFonts w:ascii="仿宋_GB2312" w:hAnsi="仿宋_GB2312" w:cs="仿宋_GB2312" w:eastAsia="仿宋_GB2312"/>
                      <w:sz w:val="21"/>
                    </w:rPr>
                    <w:t>含）万</w:t>
                  </w:r>
                </w:p>
                <w:p>
                  <w:pPr>
                    <w:pStyle w:val="null3"/>
                    <w:jc w:val="center"/>
                  </w:pPr>
                  <w:r>
                    <w:rPr>
                      <w:rFonts w:ascii="仿宋_GB2312" w:hAnsi="仿宋_GB2312" w:cs="仿宋_GB2312" w:eastAsia="仿宋_GB2312"/>
                      <w:sz w:val="21"/>
                    </w:rPr>
                    <w:t>元</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2（含） -2.5</w:t>
                  </w:r>
                </w:p>
                <w:p>
                  <w:pPr>
                    <w:pStyle w:val="null3"/>
                    <w:jc w:val="center"/>
                  </w:pPr>
                  <w:r>
                    <w:rPr>
                      <w:rFonts w:ascii="仿宋_GB2312" w:hAnsi="仿宋_GB2312" w:cs="仿宋_GB2312" w:eastAsia="仿宋_GB2312"/>
                      <w:sz w:val="21"/>
                    </w:rPr>
                    <w:t>（不</w:t>
                  </w:r>
                </w:p>
                <w:p>
                  <w:pPr>
                    <w:pStyle w:val="null3"/>
                    <w:jc w:val="center"/>
                  </w:pPr>
                  <w:r>
                    <w:rPr>
                      <w:rFonts w:ascii="仿宋_GB2312" w:hAnsi="仿宋_GB2312" w:cs="仿宋_GB2312" w:eastAsia="仿宋_GB2312"/>
                      <w:sz w:val="21"/>
                    </w:rPr>
                    <w:t>含）万</w:t>
                  </w:r>
                </w:p>
                <w:p>
                  <w:pPr>
                    <w:pStyle w:val="null3"/>
                    <w:jc w:val="center"/>
                  </w:pPr>
                  <w:r>
                    <w:rPr>
                      <w:rFonts w:ascii="仿宋_GB2312" w:hAnsi="仿宋_GB2312" w:cs="仿宋_GB2312" w:eastAsia="仿宋_GB2312"/>
                      <w:sz w:val="21"/>
                    </w:rPr>
                    <w:t>元</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p>
                  <w:pPr>
                    <w:pStyle w:val="null3"/>
                    <w:jc w:val="center"/>
                  </w:pPr>
                  <w:r>
                    <w:rPr>
                      <w:rFonts w:ascii="仿宋_GB2312" w:hAnsi="仿宋_GB2312" w:cs="仿宋_GB2312" w:eastAsia="仿宋_GB2312"/>
                      <w:sz w:val="21"/>
                    </w:rPr>
                    <w:t>（含）</w:t>
                  </w:r>
                  <w:r>
                    <w:rPr>
                      <w:rFonts w:ascii="仿宋_GB2312" w:hAnsi="仿宋_GB2312" w:cs="仿宋_GB2312" w:eastAsia="仿宋_GB2312"/>
                      <w:sz w:val="21"/>
                    </w:rPr>
                    <w:t>-</w:t>
                  </w:r>
                </w:p>
                <w:p>
                  <w:pPr>
                    <w:pStyle w:val="null3"/>
                    <w:jc w:val="center"/>
                  </w:pPr>
                  <w:r>
                    <w:rPr>
                      <w:rFonts w:ascii="仿宋_GB2312" w:hAnsi="仿宋_GB2312" w:cs="仿宋_GB2312" w:eastAsia="仿宋_GB2312"/>
                      <w:sz w:val="21"/>
                    </w:rPr>
                    <w:t>3（不</w:t>
                  </w:r>
                </w:p>
                <w:p>
                  <w:pPr>
                    <w:pStyle w:val="null3"/>
                    <w:jc w:val="center"/>
                  </w:pPr>
                  <w:r>
                    <w:rPr>
                      <w:rFonts w:ascii="仿宋_GB2312" w:hAnsi="仿宋_GB2312" w:cs="仿宋_GB2312" w:eastAsia="仿宋_GB2312"/>
                      <w:sz w:val="21"/>
                    </w:rPr>
                    <w:t>含）万</w:t>
                  </w:r>
                </w:p>
                <w:p>
                  <w:pPr>
                    <w:pStyle w:val="null3"/>
                    <w:jc w:val="center"/>
                  </w:pPr>
                  <w:r>
                    <w:rPr>
                      <w:rFonts w:ascii="仿宋_GB2312" w:hAnsi="仿宋_GB2312" w:cs="仿宋_GB2312" w:eastAsia="仿宋_GB2312"/>
                      <w:sz w:val="21"/>
                    </w:rPr>
                    <w:t>元</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3（含）-3.5</w:t>
                  </w:r>
                </w:p>
                <w:p>
                  <w:pPr>
                    <w:pStyle w:val="null3"/>
                    <w:jc w:val="center"/>
                  </w:pPr>
                  <w:r>
                    <w:rPr>
                      <w:rFonts w:ascii="仿宋_GB2312" w:hAnsi="仿宋_GB2312" w:cs="仿宋_GB2312" w:eastAsia="仿宋_GB2312"/>
                      <w:sz w:val="21"/>
                    </w:rPr>
                    <w:t>（不</w:t>
                  </w:r>
                </w:p>
                <w:p>
                  <w:pPr>
                    <w:pStyle w:val="null3"/>
                    <w:jc w:val="center"/>
                  </w:pPr>
                  <w:r>
                    <w:rPr>
                      <w:rFonts w:ascii="仿宋_GB2312" w:hAnsi="仿宋_GB2312" w:cs="仿宋_GB2312" w:eastAsia="仿宋_GB2312"/>
                      <w:sz w:val="21"/>
                    </w:rPr>
                    <w:t>含）万</w:t>
                  </w:r>
                </w:p>
                <w:p>
                  <w:pPr>
                    <w:pStyle w:val="null3"/>
                    <w:jc w:val="center"/>
                  </w:pPr>
                  <w:r>
                    <w:rPr>
                      <w:rFonts w:ascii="仿宋_GB2312" w:hAnsi="仿宋_GB2312" w:cs="仿宋_GB2312" w:eastAsia="仿宋_GB2312"/>
                      <w:sz w:val="21"/>
                    </w:rPr>
                    <w:t>元</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p>
                  <w:pPr>
                    <w:pStyle w:val="null3"/>
                    <w:jc w:val="center"/>
                  </w:pPr>
                  <w:r>
                    <w:rPr>
                      <w:rFonts w:ascii="仿宋_GB2312" w:hAnsi="仿宋_GB2312" w:cs="仿宋_GB2312" w:eastAsia="仿宋_GB2312"/>
                      <w:sz w:val="21"/>
                    </w:rPr>
                    <w:t>（含）</w:t>
                  </w:r>
                  <w:r>
                    <w:rPr>
                      <w:rFonts w:ascii="仿宋_GB2312" w:hAnsi="仿宋_GB2312" w:cs="仿宋_GB2312" w:eastAsia="仿宋_GB2312"/>
                      <w:sz w:val="21"/>
                    </w:rPr>
                    <w:t>- 6万（不</w:t>
                  </w:r>
                </w:p>
                <w:p>
                  <w:pPr>
                    <w:pStyle w:val="null3"/>
                    <w:jc w:val="center"/>
                  </w:pPr>
                  <w:r>
                    <w:rPr>
                      <w:rFonts w:ascii="仿宋_GB2312" w:hAnsi="仿宋_GB2312" w:cs="仿宋_GB2312" w:eastAsia="仿宋_GB2312"/>
                      <w:sz w:val="21"/>
                    </w:rPr>
                    <w:t>含）元</w:t>
                  </w:r>
                </w:p>
              </w:tc>
            </w:tr>
            <w:tr>
              <w:tc>
                <w:tcPr>
                  <w:tcW w:type="dxa" w:w="428"/>
                  <w:vMerge/>
                  <w:tcBorders>
                    <w:top w:val="none" w:color="000000" w:sz="4"/>
                    <w:left w:val="single" w:color="000000" w:sz="4"/>
                    <w:bottom w:val="none" w:color="000000" w:sz="4"/>
                    <w:right w:val="single" w:color="000000" w:sz="4"/>
                  </w:tcBorders>
                </w:tcP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节</w:t>
                  </w:r>
                  <w:r>
                    <w:rPr>
                      <w:rFonts w:ascii="仿宋_GB2312" w:hAnsi="仿宋_GB2312" w:cs="仿宋_GB2312" w:eastAsia="仿宋_GB2312"/>
                      <w:sz w:val="21"/>
                    </w:rPr>
                    <w:t>能</w:t>
                  </w:r>
                  <w:r>
                    <w:rPr>
                      <w:rFonts w:ascii="仿宋_GB2312" w:hAnsi="仿宋_GB2312" w:cs="仿宋_GB2312" w:eastAsia="仿宋_GB2312"/>
                      <w:sz w:val="21"/>
                    </w:rPr>
                    <w:t>报告</w:t>
                  </w:r>
                </w:p>
                <w:p>
                  <w:pPr>
                    <w:pStyle w:val="null3"/>
                    <w:jc w:val="center"/>
                  </w:pPr>
                  <w:r>
                    <w:rPr>
                      <w:rFonts w:ascii="仿宋_GB2312" w:hAnsi="仿宋_GB2312" w:cs="仿宋_GB2312" w:eastAsia="仿宋_GB2312"/>
                      <w:sz w:val="21"/>
                    </w:rPr>
                    <w:t>评审</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1万元</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1万元</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1万元</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1.5万元</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2万元</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2.5万元</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3.5万元</w:t>
                  </w:r>
                </w:p>
              </w:tc>
            </w:tr>
          </w:tbl>
          <w:p>
            <w:pPr>
              <w:pStyle w:val="null3"/>
              <w:jc w:val="both"/>
            </w:pPr>
            <w:r>
              <w:rPr>
                <w:rFonts w:ascii="仿宋_GB2312" w:hAnsi="仿宋_GB2312" w:cs="仿宋_GB2312" w:eastAsia="仿宋_GB2312"/>
                <w:sz w:val="28"/>
              </w:rPr>
              <w:t>2）单次评审服务费用最低不低于5000元（含），最高不超过6万元（不含）；</w:t>
            </w:r>
          </w:p>
          <w:p>
            <w:pPr>
              <w:pStyle w:val="null3"/>
              <w:ind w:firstLine="560"/>
              <w:jc w:val="both"/>
            </w:pPr>
            <w:r>
              <w:rPr>
                <w:rFonts w:ascii="仿宋_GB2312" w:hAnsi="仿宋_GB2312" w:cs="仿宋_GB2312" w:eastAsia="仿宋_GB2312"/>
                <w:sz w:val="28"/>
              </w:rPr>
              <w:t>3）单个项目需单独计算费用，单个项目投资额以千万为单位，单个项目咨询费用以万为单位。</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建设项目的具体收费标准，根据估算投资额在相对应的区间内用插入法计算。</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其他技术要求</w:t>
            </w:r>
          </w:p>
        </w:tc>
        <w:tc>
          <w:tcPr>
            <w:tcW w:type="dxa" w:w="5814"/>
          </w:tcPr>
          <w:p>
            <w:pPr>
              <w:pStyle w:val="null3"/>
              <w:ind w:firstLine="560"/>
              <w:jc w:val="both"/>
            </w:pPr>
            <w:r>
              <w:rPr>
                <w:rFonts w:ascii="仿宋_GB2312" w:hAnsi="仿宋_GB2312" w:cs="仿宋_GB2312" w:eastAsia="仿宋_GB2312"/>
                <w:sz w:val="28"/>
              </w:rPr>
              <w:t>1、（1）供应商需根据本项目提供项目质量保证方案包含：①实施阶段重点管理、②内部质量控制制度、③质量控制目标、④质量控制措施(方法)、⑤质量控制责任制。（2）供应商需根据本项目提供项目组织管理方案包含：①管理分工及岗位职责、②廉洁从业制度、③从业人员职业道德规范制度。（3）供应商需根据本项目提供档案资料管理方案包含： ①制度管理、②台账建立、③归档制度、④ 档案保存。（详细的评审规则见第五章中的“评标细则及标准”。）</w:t>
            </w:r>
          </w:p>
          <w:p>
            <w:pPr>
              <w:pStyle w:val="null3"/>
              <w:ind w:firstLine="560"/>
              <w:jc w:val="both"/>
            </w:pPr>
            <w:r>
              <w:rPr>
                <w:rFonts w:ascii="仿宋_GB2312" w:hAnsi="仿宋_GB2312" w:cs="仿宋_GB2312" w:eastAsia="仿宋_GB2312"/>
                <w:sz w:val="28"/>
              </w:rPr>
              <w:t>2、（1）供应商需根据本项目提供项目技术方案包含：①项目背景及现状；②特点及重难点分析；③关键技术问题解决措施。（2）供应商需根据本项目提供后续服务方案包含：①后续服务响应时间、②对于本项目的后续服务人员配置及安排、③后续服务保障措施。（详细的评审规则见第五章中的“评标细则及标准”。）</w:t>
            </w:r>
          </w:p>
          <w:p>
            <w:pPr>
              <w:pStyle w:val="null3"/>
              <w:ind w:firstLine="560"/>
              <w:jc w:val="both"/>
            </w:pPr>
            <w:r>
              <w:rPr>
                <w:rFonts w:ascii="仿宋_GB2312" w:hAnsi="仿宋_GB2312" w:cs="仿宋_GB2312" w:eastAsia="仿宋_GB2312"/>
                <w:sz w:val="28"/>
              </w:rPr>
              <w:t>3、履约能力：本项目供应商需提供类似业绩。（详细的评审规则见第五章中的“评标细则及标准”。）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562"/>
              <w:jc w:val="left"/>
            </w:pPr>
            <w:r>
              <w:rPr>
                <w:rFonts w:ascii="仿宋_GB2312" w:hAnsi="仿宋_GB2312" w:cs="仿宋_GB2312" w:eastAsia="仿宋_GB2312"/>
                <w:sz w:val="28"/>
              </w:rPr>
              <w:t>1、供应商报价应是包含项目全部工作内容的体现</w:t>
            </w:r>
            <w:r>
              <w:rPr>
                <w:rFonts w:ascii="仿宋_GB2312" w:hAnsi="仿宋_GB2312" w:cs="仿宋_GB2312" w:eastAsia="仿宋_GB2312"/>
                <w:sz w:val="28"/>
              </w:rPr>
              <w:t>，</w:t>
            </w:r>
            <w:r>
              <w:rPr>
                <w:rFonts w:ascii="仿宋_GB2312" w:hAnsi="仿宋_GB2312" w:cs="仿宋_GB2312" w:eastAsia="仿宋_GB2312"/>
                <w:sz w:val="28"/>
              </w:rPr>
              <w:t>供应商不得额外收取任何费用</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2、采购文件中引用的政策法规、规范和技术标准等，如有更新或与最新执行有冲突的一律按最新标准执行，采购文件不再另行变更。</w:t>
            </w:r>
          </w:p>
          <w:p>
            <w:pPr>
              <w:pStyle w:val="null3"/>
              <w:ind w:firstLine="560"/>
              <w:jc w:val="both"/>
            </w:pPr>
            <w:r>
              <w:rPr>
                <w:rFonts w:ascii="仿宋_GB2312" w:hAnsi="仿宋_GB2312" w:cs="仿宋_GB2312" w:eastAsia="仿宋_GB2312"/>
                <w:sz w:val="28"/>
              </w:rPr>
              <w:t>3、除采购文件另有规定外，若出现有关法律、法规和规章有强制性规定但采购文件未列明的情形，则评审委员会和成交供应商应按照有关法律、法规和规章强制性规定执行。</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标的名称：概算报告评审服务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、服务范围根据法律法规、现行技术标准和国、省、市政策规范要求，对采购人提供的被评估项目的概算报告评审编制提供技术咨询服务。</w:t>
            </w:r>
            <w:r>
              <w:rPr>
                <w:rFonts w:ascii="仿宋_GB2312" w:hAnsi="仿宋_GB2312" w:cs="仿宋_GB2312" w:eastAsia="仿宋_GB2312"/>
                <w:sz w:val="28"/>
              </w:rPr>
              <w:t>至少</w:t>
            </w:r>
            <w:r>
              <w:rPr>
                <w:rFonts w:ascii="仿宋_GB2312" w:hAnsi="仿宋_GB2312" w:cs="仿宋_GB2312" w:eastAsia="仿宋_GB2312"/>
                <w:sz w:val="28"/>
              </w:rPr>
              <w:t>包含</w:t>
            </w:r>
            <w:r>
              <w:rPr>
                <w:rFonts w:ascii="仿宋_GB2312" w:hAnsi="仿宋_GB2312" w:cs="仿宋_GB2312" w:eastAsia="仿宋_GB2312"/>
                <w:sz w:val="28"/>
              </w:rPr>
              <w:t>房屋建筑工程、市政公用工程等工程项目。</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、具体内容：</w:t>
            </w:r>
          </w:p>
          <w:p>
            <w:pPr>
              <w:pStyle w:val="null3"/>
              <w:ind w:firstLine="560"/>
              <w:jc w:val="both"/>
            </w:pPr>
            <w:r>
              <w:rPr>
                <w:rFonts w:ascii="仿宋_GB2312" w:hAnsi="仿宋_GB2312" w:cs="仿宋_GB2312" w:eastAsia="仿宋_GB2312"/>
                <w:sz w:val="28"/>
              </w:rPr>
              <w:t>2.1</w:t>
            </w:r>
            <w:r>
              <w:rPr>
                <w:rFonts w:ascii="仿宋_GB2312" w:hAnsi="仿宋_GB2312" w:cs="仿宋_GB2312" w:eastAsia="仿宋_GB2312"/>
                <w:sz w:val="28"/>
              </w:rPr>
              <w:t>按照采购人要求，对项目概算报告等进行评审。</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2</w:t>
            </w:r>
            <w:r>
              <w:rPr>
                <w:rFonts w:ascii="仿宋_GB2312" w:hAnsi="仿宋_GB2312" w:cs="仿宋_GB2312" w:eastAsia="仿宋_GB2312"/>
                <w:sz w:val="28"/>
              </w:rPr>
              <w:t>计算工程量、调查材料或设备市场价格。</w:t>
            </w:r>
          </w:p>
          <w:p>
            <w:pPr>
              <w:pStyle w:val="null3"/>
              <w:ind w:firstLine="560"/>
              <w:jc w:val="both"/>
            </w:pPr>
            <w:r>
              <w:rPr>
                <w:rFonts w:ascii="仿宋_GB2312" w:hAnsi="仿宋_GB2312" w:cs="仿宋_GB2312" w:eastAsia="仿宋_GB2312"/>
                <w:sz w:val="28"/>
              </w:rPr>
              <w:t>2.3</w:t>
            </w:r>
            <w:r>
              <w:rPr>
                <w:rFonts w:ascii="仿宋_GB2312" w:hAnsi="仿宋_GB2312" w:cs="仿宋_GB2312" w:eastAsia="仿宋_GB2312"/>
                <w:sz w:val="28"/>
              </w:rPr>
              <w:t>依据设计文件、工程技术文件、类似工程的施工方案、现场踏勘情况、工程造价管理机构发布的工程造价信息、市场价格信息及相关配套文件审查工程概算；</w:t>
            </w:r>
          </w:p>
          <w:p>
            <w:pPr>
              <w:pStyle w:val="null3"/>
              <w:ind w:firstLine="560"/>
              <w:jc w:val="both"/>
            </w:pPr>
            <w:r>
              <w:rPr>
                <w:rFonts w:ascii="仿宋_GB2312" w:hAnsi="仿宋_GB2312" w:cs="仿宋_GB2312" w:eastAsia="仿宋_GB2312"/>
                <w:sz w:val="28"/>
              </w:rPr>
              <w:t>2.4</w:t>
            </w:r>
            <w:r>
              <w:rPr>
                <w:rFonts w:ascii="仿宋_GB2312" w:hAnsi="仿宋_GB2312" w:cs="仿宋_GB2312" w:eastAsia="仿宋_GB2312"/>
                <w:sz w:val="28"/>
              </w:rPr>
              <w:t>编制被评估项目的概算报告评审意见。</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、服务质量要求：按照国家相关规定按期完成概算报告评审编制，并通过行政部门认可。</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、服务成果要求</w:t>
            </w:r>
          </w:p>
          <w:p>
            <w:pPr>
              <w:pStyle w:val="null3"/>
              <w:ind w:firstLine="560"/>
              <w:jc w:val="both"/>
            </w:pPr>
            <w:r>
              <w:rPr>
                <w:rFonts w:ascii="仿宋_GB2312" w:hAnsi="仿宋_GB2312" w:cs="仿宋_GB2312" w:eastAsia="仿宋_GB2312"/>
                <w:sz w:val="28"/>
              </w:rPr>
              <w:t>每个项目成果的知识产权归自贡高新区发展改革与科学技术局所有，成果审定合格后，提交文件纸质版</w:t>
            </w:r>
            <w:r>
              <w:rPr>
                <w:rFonts w:ascii="仿宋_GB2312" w:hAnsi="仿宋_GB2312" w:cs="仿宋_GB2312" w:eastAsia="仿宋_GB2312"/>
                <w:sz w:val="28"/>
              </w:rPr>
              <w:t>2套、相应的电子版1套。</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、其他服务要求</w:t>
            </w:r>
          </w:p>
          <w:p>
            <w:pPr>
              <w:pStyle w:val="null3"/>
              <w:ind w:firstLine="560"/>
              <w:jc w:val="both"/>
            </w:pPr>
            <w:r>
              <w:rPr>
                <w:rFonts w:ascii="仿宋_GB2312" w:hAnsi="仿宋_GB2312" w:cs="仿宋_GB2312" w:eastAsia="仿宋_GB2312"/>
                <w:sz w:val="28"/>
              </w:rPr>
              <w:t>5.1</w:t>
            </w:r>
            <w:r>
              <w:rPr>
                <w:rFonts w:ascii="仿宋_GB2312" w:hAnsi="仿宋_GB2312" w:cs="仿宋_GB2312" w:eastAsia="仿宋_GB2312"/>
                <w:sz w:val="28"/>
              </w:rPr>
              <w:t>工程咨询机构对项目材料进行评估，组织专家提出评估意见，编写评估报告，于</w:t>
            </w:r>
            <w:r>
              <w:rPr>
                <w:rFonts w:ascii="仿宋_GB2312" w:hAnsi="仿宋_GB2312" w:cs="仿宋_GB2312" w:eastAsia="仿宋_GB2312"/>
                <w:sz w:val="28"/>
              </w:rPr>
              <w:t>5个自然日内将评估报告及时递交高新区发科局。</w:t>
            </w:r>
          </w:p>
          <w:p>
            <w:pPr>
              <w:pStyle w:val="null3"/>
              <w:ind w:firstLine="560"/>
              <w:jc w:val="both"/>
            </w:pPr>
            <w:r>
              <w:rPr>
                <w:rFonts w:ascii="仿宋_GB2312" w:hAnsi="仿宋_GB2312" w:cs="仿宋_GB2312" w:eastAsia="仿宋_GB2312"/>
                <w:sz w:val="28"/>
              </w:rPr>
              <w:t>5.2</w:t>
            </w:r>
            <w:r>
              <w:rPr>
                <w:rFonts w:ascii="仿宋_GB2312" w:hAnsi="仿宋_GB2312" w:cs="仿宋_GB2312" w:eastAsia="仿宋_GB2312"/>
                <w:sz w:val="28"/>
              </w:rPr>
              <w:t>工程咨询机构出具的评估意见未达到要求或有重大缺陷的，应当按要求修改完善或重新进行评审。拒绝或不予配合的，取消邀请评估资格。</w:t>
            </w:r>
          </w:p>
          <w:p>
            <w:pPr>
              <w:pStyle w:val="null3"/>
              <w:ind w:firstLine="560"/>
              <w:jc w:val="both"/>
            </w:pPr>
            <w:r>
              <w:rPr>
                <w:rFonts w:ascii="仿宋_GB2312" w:hAnsi="仿宋_GB2312" w:cs="仿宋_GB2312" w:eastAsia="仿宋_GB2312"/>
                <w:sz w:val="28"/>
              </w:rPr>
              <w:t>5.3</w:t>
            </w:r>
            <w:r>
              <w:rPr>
                <w:rFonts w:ascii="仿宋_GB2312" w:hAnsi="仿宋_GB2312" w:cs="仿宋_GB2312" w:eastAsia="仿宋_GB2312"/>
                <w:sz w:val="28"/>
              </w:rPr>
              <w:t>在接到采购人到达现场通知</w:t>
            </w:r>
            <w:r>
              <w:rPr>
                <w:rFonts w:ascii="仿宋_GB2312" w:hAnsi="仿宋_GB2312" w:cs="仿宋_GB2312" w:eastAsia="仿宋_GB2312"/>
                <w:sz w:val="28"/>
              </w:rPr>
              <w:t>2小时内咨询机构能指派专业技术人员到达采购人办公所在地。</w:t>
            </w:r>
          </w:p>
          <w:p>
            <w:pPr>
              <w:pStyle w:val="null3"/>
              <w:ind w:firstLine="560"/>
              <w:jc w:val="both"/>
            </w:pPr>
            <w:r>
              <w:rPr>
                <w:rFonts w:ascii="仿宋_GB2312" w:hAnsi="仿宋_GB2312" w:cs="仿宋_GB2312" w:eastAsia="仿宋_GB2312"/>
                <w:sz w:val="28"/>
              </w:rPr>
              <w:t>5.4</w:t>
            </w:r>
            <w:r>
              <w:rPr>
                <w:rFonts w:ascii="仿宋_GB2312" w:hAnsi="仿宋_GB2312" w:cs="仿宋_GB2312" w:eastAsia="仿宋_GB2312"/>
                <w:sz w:val="28"/>
              </w:rPr>
              <w:t>从业人员配置及要求</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4.1供应商拟派的所有从业人员的相关执业资格证书注册单位均为供应商单位。从业人员应当符合国家有关部门规定的条件，并取得相应的资格证书。按需提供具备专业技术职称和执业资格的专业技术服务人员，造成重大影响和损失的，除建议有关部门依法处理、处罚外，将依法追究法律责任。</w:t>
            </w:r>
            <w:r>
              <w:rPr>
                <w:rFonts w:ascii="仿宋_GB2312" w:hAnsi="仿宋_GB2312" w:cs="仿宋_GB2312" w:eastAsia="仿宋_GB2312"/>
                <w:sz w:val="28"/>
              </w:rPr>
              <w:t>（提供承诺函，格式自拟）</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4.2供应商须服从采购人管理，对采购人委托的项目进行审核，并出具完整的成果报告，成果报告须在约定的时间内送交采购人， 一并交回采购人处接收的全部资料。</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4.3供应商在服务过程中获取的资料和成果负有保密责任。</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4.4供应商在服务过程中的安全责任由供应商全权负责。</w:t>
            </w:r>
          </w:p>
          <w:p>
            <w:pPr>
              <w:pStyle w:val="null3"/>
              <w:ind w:firstLine="560"/>
              <w:jc w:val="both"/>
            </w:pPr>
            <w:r>
              <w:rPr>
                <w:rFonts w:ascii="仿宋_GB2312" w:hAnsi="仿宋_GB2312" w:cs="仿宋_GB2312" w:eastAsia="仿宋_GB2312"/>
                <w:sz w:val="28"/>
              </w:rPr>
              <w:t>5.4.</w:t>
            </w:r>
            <w:r>
              <w:rPr>
                <w:rFonts w:ascii="仿宋_GB2312" w:hAnsi="仿宋_GB2312" w:cs="仿宋_GB2312" w:eastAsia="仿宋_GB2312"/>
                <w:sz w:val="28"/>
              </w:rPr>
              <w:t>5如因供应商工作人员在履行职务过程中的疏忽、失职、过错等故意或者过失原因给采购人造成损失或侵害，包括但不限于采购人本身的财产损失、 由此而导致的采购人对任何第三方的法律责任等，供应商对此均应承担全部的赔偿责任</w:t>
            </w:r>
            <w:r>
              <w:rPr>
                <w:rFonts w:ascii="仿宋_GB2312" w:hAnsi="仿宋_GB2312" w:cs="仿宋_GB2312" w:eastAsia="仿宋_GB2312"/>
                <w:sz w:val="28"/>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服务计算：在服务期限内，以单个项目为单位计取服务费，概算评审编制项目单个项目的服务费按服务费用支付标准计算后作为当次服务费计费基数。但在服务期限内，服务费的结算总额不超过采购预算，如超过采购预算则当次采购终止。</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自合同签订之日起</w:t>
            </w:r>
            <w:r>
              <w:rPr>
                <w:rFonts w:ascii="仿宋_GB2312" w:hAnsi="仿宋_GB2312" w:cs="仿宋_GB2312" w:eastAsia="仿宋_GB2312"/>
                <w:sz w:val="28"/>
              </w:rPr>
              <w:t>365日(①合同期限内，合同总金额支付完毕视为合同结束。②合同期限结束，合同总金额未用完视为合同结束。)。</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服务费用说明：</w:t>
            </w:r>
            <w:r>
              <w:rPr>
                <w:rFonts w:ascii="仿宋_GB2312" w:hAnsi="仿宋_GB2312" w:cs="仿宋_GB2312" w:eastAsia="仿宋_GB2312"/>
                <w:sz w:val="28"/>
              </w:rPr>
              <w:t>本项目采用百分比报价，实际服务费用按照磋商文件约定的费用支付标准与成交百分比进行计算，（实际服务费</w:t>
            </w:r>
            <w:r>
              <w:rPr>
                <w:rFonts w:ascii="仿宋_GB2312" w:hAnsi="仿宋_GB2312" w:cs="仿宋_GB2312" w:eastAsia="仿宋_GB2312"/>
                <w:sz w:val="28"/>
              </w:rPr>
              <w:t>=费用支付标准*百分比）。</w:t>
            </w:r>
          </w:p>
          <w:p>
            <w:pPr>
              <w:pStyle w:val="null3"/>
              <w:ind w:firstLine="560"/>
              <w:jc w:val="both"/>
            </w:pPr>
            <w:r>
              <w:rPr>
                <w:rFonts w:ascii="仿宋_GB2312" w:hAnsi="仿宋_GB2312" w:cs="仿宋_GB2312" w:eastAsia="仿宋_GB2312"/>
                <w:sz w:val="28"/>
              </w:rPr>
              <w:t>注：</w:t>
            </w:r>
            <w:r>
              <w:rPr>
                <w:rFonts w:ascii="仿宋_GB2312" w:hAnsi="仿宋_GB2312" w:cs="仿宋_GB2312" w:eastAsia="仿宋_GB2312"/>
                <w:sz w:val="28"/>
              </w:rPr>
              <w:t>1）费用支付标准：</w:t>
            </w:r>
            <w:r>
              <w:rPr>
                <w:rFonts w:ascii="仿宋_GB2312" w:hAnsi="仿宋_GB2312" w:cs="仿宋_GB2312" w:eastAsia="仿宋_GB2312"/>
                <w:sz w:val="28"/>
              </w:rPr>
              <w:t>按照</w:t>
            </w:r>
            <w:r>
              <w:rPr>
                <w:rFonts w:ascii="仿宋_GB2312" w:hAnsi="仿宋_GB2312" w:cs="仿宋_GB2312" w:eastAsia="仿宋_GB2312"/>
                <w:sz w:val="28"/>
              </w:rPr>
              <w:t>其他区县支付标准</w:t>
            </w:r>
            <w:r>
              <w:rPr>
                <w:rFonts w:ascii="仿宋_GB2312" w:hAnsi="仿宋_GB2312" w:cs="仿宋_GB2312" w:eastAsia="仿宋_GB2312"/>
                <w:sz w:val="28"/>
              </w:rPr>
              <w:t>，结合地方市场行情计算咨询费用</w:t>
            </w:r>
            <w:r>
              <w:rPr>
                <w:rFonts w:ascii="仿宋_GB2312" w:hAnsi="仿宋_GB2312" w:cs="仿宋_GB2312" w:eastAsia="仿宋_GB2312"/>
                <w:sz w:val="28"/>
              </w:rPr>
              <w:t>，</w:t>
            </w:r>
            <w:r>
              <w:rPr>
                <w:rFonts w:ascii="仿宋_GB2312" w:hAnsi="仿宋_GB2312" w:cs="仿宋_GB2312" w:eastAsia="仿宋_GB2312"/>
                <w:sz w:val="28"/>
              </w:rPr>
              <w:t>按以下标准计算</w:t>
            </w:r>
            <w:r>
              <w:rPr>
                <w:rFonts w:ascii="仿宋_GB2312" w:hAnsi="仿宋_GB2312" w:cs="仿宋_GB2312" w:eastAsia="仿宋_GB2312"/>
                <w:sz w:val="28"/>
              </w:rPr>
              <w:t>：</w:t>
            </w:r>
          </w:p>
          <w:tbl>
            <w:tblPr>
              <w:tblBorders>
                <w:top w:val="none" w:color="000000" w:sz="4"/>
                <w:left w:val="none" w:color="000000" w:sz="4"/>
                <w:bottom w:val="none" w:color="000000" w:sz="4"/>
                <w:right w:val="none" w:color="000000" w:sz="4"/>
                <w:insideH w:val="none"/>
                <w:insideV w:val="none"/>
              </w:tblBorders>
            </w:tblPr>
            <w:tblGrid>
              <w:gridCol w:w="395"/>
              <w:gridCol w:w="482"/>
              <w:gridCol w:w="674"/>
              <w:gridCol w:w="674"/>
              <w:gridCol w:w="674"/>
              <w:gridCol w:w="674"/>
              <w:gridCol w:w="674"/>
              <w:gridCol w:w="674"/>
              <w:gridCol w:w="674"/>
            </w:tblGrid>
            <w:tr>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投</w:t>
                  </w:r>
                  <w:r>
                    <w:rPr>
                      <w:rFonts w:ascii="仿宋_GB2312" w:hAnsi="仿宋_GB2312" w:cs="仿宋_GB2312" w:eastAsia="仿宋_GB2312"/>
                      <w:sz w:val="21"/>
                    </w:rPr>
                    <w:t>资</w:t>
                  </w:r>
                </w:p>
                <w:p>
                  <w:pPr>
                    <w:pStyle w:val="null3"/>
                    <w:jc w:val="both"/>
                  </w:pPr>
                  <w:r>
                    <w:rPr>
                      <w:rFonts w:ascii="仿宋_GB2312" w:hAnsi="仿宋_GB2312" w:cs="仿宋_GB2312" w:eastAsia="仿宋_GB2312"/>
                      <w:sz w:val="21"/>
                    </w:rPr>
                    <w:t>额</w:t>
                  </w:r>
                </w:p>
                <w:p>
                  <w:pPr>
                    <w:pStyle w:val="null3"/>
                    <w:jc w:val="both"/>
                  </w:pPr>
                  <w:r>
                    <w:rPr>
                      <w:rFonts w:ascii="仿宋_GB2312" w:hAnsi="仿宋_GB2312" w:cs="仿宋_GB2312" w:eastAsia="仿宋_GB2312"/>
                      <w:sz w:val="21"/>
                    </w:rPr>
                    <w:t>分包</w:t>
                  </w:r>
                </w:p>
              </w:tc>
              <w:tc>
                <w:tcPr>
                  <w:tcW w:type="dxa" w:w="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评</w:t>
                  </w:r>
                  <w:r>
                    <w:rPr>
                      <w:rFonts w:ascii="仿宋_GB2312" w:hAnsi="仿宋_GB2312" w:cs="仿宋_GB2312" w:eastAsia="仿宋_GB2312"/>
                      <w:sz w:val="21"/>
                    </w:rPr>
                    <w:t>审</w:t>
                  </w:r>
                </w:p>
                <w:p>
                  <w:pPr>
                    <w:pStyle w:val="null3"/>
                    <w:jc w:val="both"/>
                  </w:pPr>
                  <w:r>
                    <w:rPr>
                      <w:rFonts w:ascii="仿宋_GB2312" w:hAnsi="仿宋_GB2312" w:cs="仿宋_GB2312" w:eastAsia="仿宋_GB2312"/>
                      <w:sz w:val="21"/>
                    </w:rPr>
                    <w:t>内容</w:t>
                  </w:r>
                </w:p>
              </w:tc>
              <w:tc>
                <w:tcPr>
                  <w:tcW w:type="dxa" w:w="6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1000（不 含）万元</w:t>
                  </w:r>
                </w:p>
                <w:p>
                  <w:pPr>
                    <w:pStyle w:val="null3"/>
                    <w:jc w:val="both"/>
                  </w:pPr>
                  <w:r>
                    <w:rPr>
                      <w:rFonts w:ascii="仿宋_GB2312" w:hAnsi="仿宋_GB2312" w:cs="仿宋_GB2312" w:eastAsia="仿宋_GB2312"/>
                      <w:sz w:val="21"/>
                    </w:rPr>
                    <w:t>以下</w:t>
                  </w:r>
                </w:p>
              </w:tc>
              <w:tc>
                <w:tcPr>
                  <w:tcW w:type="dxa" w:w="6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1000</w:t>
                  </w:r>
                </w:p>
                <w:p>
                  <w:pPr>
                    <w:pStyle w:val="null3"/>
                    <w:jc w:val="both"/>
                  </w:pPr>
                  <w:r>
                    <w:rPr>
                      <w:rFonts w:ascii="仿宋_GB2312" w:hAnsi="仿宋_GB2312" w:cs="仿宋_GB2312" w:eastAsia="仿宋_GB2312"/>
                      <w:sz w:val="21"/>
                    </w:rPr>
                    <w:t>（含）</w:t>
                  </w:r>
                  <w:r>
                    <w:rPr>
                      <w:rFonts w:ascii="仿宋_GB2312" w:hAnsi="仿宋_GB2312" w:cs="仿宋_GB2312" w:eastAsia="仿宋_GB2312"/>
                      <w:sz w:val="21"/>
                    </w:rPr>
                    <w:t xml:space="preserve"> -3 000（不</w:t>
                  </w:r>
                </w:p>
                <w:p>
                  <w:pPr>
                    <w:pStyle w:val="null3"/>
                    <w:jc w:val="both"/>
                  </w:pPr>
                  <w:r>
                    <w:rPr>
                      <w:rFonts w:ascii="仿宋_GB2312" w:hAnsi="仿宋_GB2312" w:cs="仿宋_GB2312" w:eastAsia="仿宋_GB2312"/>
                      <w:sz w:val="21"/>
                    </w:rPr>
                    <w:t>含）万元</w:t>
                  </w:r>
                </w:p>
              </w:tc>
              <w:tc>
                <w:tcPr>
                  <w:tcW w:type="dxa" w:w="6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3000</w:t>
                  </w:r>
                </w:p>
                <w:p>
                  <w:pPr>
                    <w:pStyle w:val="null3"/>
                    <w:jc w:val="both"/>
                  </w:pPr>
                  <w:r>
                    <w:rPr>
                      <w:rFonts w:ascii="仿宋_GB2312" w:hAnsi="仿宋_GB2312" w:cs="仿宋_GB2312" w:eastAsia="仿宋_GB2312"/>
                      <w:sz w:val="21"/>
                    </w:rPr>
                    <w:t>（含）万</w:t>
                  </w:r>
                  <w:r>
                    <w:rPr>
                      <w:rFonts w:ascii="仿宋_GB2312" w:hAnsi="仿宋_GB2312" w:cs="仿宋_GB2312" w:eastAsia="仿宋_GB2312"/>
                      <w:sz w:val="21"/>
                    </w:rPr>
                    <w:t>元</w:t>
                  </w:r>
                  <w:r>
                    <w:rPr>
                      <w:rFonts w:ascii="仿宋_GB2312" w:hAnsi="仿宋_GB2312" w:cs="仿宋_GB2312" w:eastAsia="仿宋_GB2312"/>
                      <w:sz w:val="21"/>
                    </w:rPr>
                    <w:t>-1亿元（不含）</w:t>
                  </w:r>
                </w:p>
              </w:tc>
              <w:tc>
                <w:tcPr>
                  <w:tcW w:type="dxa" w:w="6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1亿元</w:t>
                  </w:r>
                </w:p>
                <w:p>
                  <w:pPr>
                    <w:pStyle w:val="null3"/>
                    <w:jc w:val="both"/>
                  </w:pPr>
                  <w:r>
                    <w:rPr>
                      <w:rFonts w:ascii="仿宋_GB2312" w:hAnsi="仿宋_GB2312" w:cs="仿宋_GB2312" w:eastAsia="仿宋_GB2312"/>
                      <w:sz w:val="21"/>
                    </w:rPr>
                    <w:t>（含）</w:t>
                  </w:r>
                  <w:r>
                    <w:rPr>
                      <w:rFonts w:ascii="仿宋_GB2312" w:hAnsi="仿宋_GB2312" w:cs="仿宋_GB2312" w:eastAsia="仿宋_GB2312"/>
                      <w:sz w:val="21"/>
                    </w:rPr>
                    <w:t xml:space="preserve"> -3 亿元（不</w:t>
                  </w:r>
                </w:p>
                <w:p>
                  <w:pPr>
                    <w:pStyle w:val="null3"/>
                    <w:jc w:val="both"/>
                  </w:pPr>
                  <w:r>
                    <w:rPr>
                      <w:rFonts w:ascii="仿宋_GB2312" w:hAnsi="仿宋_GB2312" w:cs="仿宋_GB2312" w:eastAsia="仿宋_GB2312"/>
                      <w:sz w:val="21"/>
                    </w:rPr>
                    <w:t>含）</w:t>
                  </w:r>
                </w:p>
              </w:tc>
              <w:tc>
                <w:tcPr>
                  <w:tcW w:type="dxa" w:w="6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3亿元</w:t>
                  </w:r>
                </w:p>
                <w:p>
                  <w:pPr>
                    <w:pStyle w:val="null3"/>
                    <w:jc w:val="both"/>
                  </w:pPr>
                  <w:r>
                    <w:rPr>
                      <w:rFonts w:ascii="仿宋_GB2312" w:hAnsi="仿宋_GB2312" w:cs="仿宋_GB2312" w:eastAsia="仿宋_GB2312"/>
                      <w:sz w:val="21"/>
                    </w:rPr>
                    <w:t>（含）</w:t>
                  </w:r>
                  <w:r>
                    <w:rPr>
                      <w:rFonts w:ascii="仿宋_GB2312" w:hAnsi="仿宋_GB2312" w:cs="仿宋_GB2312" w:eastAsia="仿宋_GB2312"/>
                      <w:sz w:val="21"/>
                    </w:rPr>
                    <w:t xml:space="preserve"> -5 亿元（不</w:t>
                  </w:r>
                </w:p>
                <w:p>
                  <w:pPr>
                    <w:pStyle w:val="null3"/>
                    <w:jc w:val="both"/>
                  </w:pPr>
                  <w:r>
                    <w:rPr>
                      <w:rFonts w:ascii="仿宋_GB2312" w:hAnsi="仿宋_GB2312" w:cs="仿宋_GB2312" w:eastAsia="仿宋_GB2312"/>
                      <w:sz w:val="21"/>
                    </w:rPr>
                    <w:t>含）</w:t>
                  </w:r>
                </w:p>
              </w:tc>
              <w:tc>
                <w:tcPr>
                  <w:tcW w:type="dxa" w:w="6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5亿元</w:t>
                  </w:r>
                </w:p>
                <w:p>
                  <w:pPr>
                    <w:pStyle w:val="null3"/>
                    <w:jc w:val="both"/>
                  </w:pPr>
                  <w:r>
                    <w:rPr>
                      <w:rFonts w:ascii="仿宋_GB2312" w:hAnsi="仿宋_GB2312" w:cs="仿宋_GB2312" w:eastAsia="仿宋_GB2312"/>
                      <w:sz w:val="21"/>
                    </w:rPr>
                    <w:t>（含）</w:t>
                  </w:r>
                  <w:r>
                    <w:rPr>
                      <w:rFonts w:ascii="仿宋_GB2312" w:hAnsi="仿宋_GB2312" w:cs="仿宋_GB2312" w:eastAsia="仿宋_GB2312"/>
                      <w:sz w:val="21"/>
                    </w:rPr>
                    <w:t xml:space="preserve"> -1</w:t>
                  </w:r>
                </w:p>
                <w:p>
                  <w:pPr>
                    <w:pStyle w:val="null3"/>
                    <w:jc w:val="both"/>
                  </w:pPr>
                  <w:r>
                    <w:rPr>
                      <w:rFonts w:ascii="仿宋_GB2312" w:hAnsi="仿宋_GB2312" w:cs="仿宋_GB2312" w:eastAsia="仿宋_GB2312"/>
                      <w:sz w:val="21"/>
                    </w:rPr>
                    <w:t>0亿元</w:t>
                  </w:r>
                </w:p>
                <w:p>
                  <w:pPr>
                    <w:pStyle w:val="null3"/>
                    <w:jc w:val="both"/>
                  </w:pPr>
                  <w:r>
                    <w:rPr>
                      <w:rFonts w:ascii="仿宋_GB2312" w:hAnsi="仿宋_GB2312" w:cs="仿宋_GB2312" w:eastAsia="仿宋_GB2312"/>
                      <w:sz w:val="21"/>
                    </w:rPr>
                    <w:t>（不含）</w:t>
                  </w:r>
                </w:p>
              </w:tc>
              <w:tc>
                <w:tcPr>
                  <w:tcW w:type="dxa" w:w="6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10亿元  （含）以</w:t>
                  </w:r>
                </w:p>
                <w:p>
                  <w:pPr>
                    <w:pStyle w:val="null3"/>
                    <w:jc w:val="both"/>
                  </w:pPr>
                  <w:r>
                    <w:rPr>
                      <w:rFonts w:ascii="仿宋_GB2312" w:hAnsi="仿宋_GB2312" w:cs="仿宋_GB2312" w:eastAsia="仿宋_GB2312"/>
                      <w:sz w:val="21"/>
                    </w:rPr>
                    <w:t>上</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第</w:t>
                  </w:r>
                  <w:r>
                    <w:rPr>
                      <w:rFonts w:ascii="仿宋_GB2312" w:hAnsi="仿宋_GB2312" w:cs="仿宋_GB2312" w:eastAsia="仿宋_GB2312"/>
                      <w:sz w:val="21"/>
                    </w:rPr>
                    <w:t>二</w:t>
                  </w:r>
                </w:p>
                <w:p>
                  <w:pPr>
                    <w:pStyle w:val="null3"/>
                    <w:jc w:val="both"/>
                  </w:pPr>
                  <w:r>
                    <w:rPr>
                      <w:rFonts w:ascii="仿宋_GB2312" w:hAnsi="仿宋_GB2312" w:cs="仿宋_GB2312" w:eastAsia="仿宋_GB2312"/>
                      <w:sz w:val="21"/>
                    </w:rPr>
                    <w:t>包</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概</w:t>
                  </w:r>
                  <w:r>
                    <w:rPr>
                      <w:rFonts w:ascii="仿宋_GB2312" w:hAnsi="仿宋_GB2312" w:cs="仿宋_GB2312" w:eastAsia="仿宋_GB2312"/>
                      <w:sz w:val="21"/>
                    </w:rPr>
                    <w:t>算</w:t>
                  </w:r>
                  <w:r>
                    <w:rPr>
                      <w:rFonts w:ascii="仿宋_GB2312" w:hAnsi="仿宋_GB2312" w:cs="仿宋_GB2312" w:eastAsia="仿宋_GB2312"/>
                      <w:sz w:val="21"/>
                    </w:rPr>
                    <w:t>报</w:t>
                  </w:r>
                  <w:r>
                    <w:rPr>
                      <w:rFonts w:ascii="仿宋_GB2312" w:hAnsi="仿宋_GB2312" w:cs="仿宋_GB2312" w:eastAsia="仿宋_GB2312"/>
                      <w:sz w:val="21"/>
                    </w:rPr>
                    <w:t>告</w:t>
                  </w:r>
                </w:p>
                <w:p>
                  <w:pPr>
                    <w:pStyle w:val="null3"/>
                    <w:jc w:val="both"/>
                  </w:pPr>
                  <w:r>
                    <w:rPr>
                      <w:rFonts w:ascii="仿宋_GB2312" w:hAnsi="仿宋_GB2312" w:cs="仿宋_GB2312" w:eastAsia="仿宋_GB2312"/>
                      <w:sz w:val="21"/>
                    </w:rPr>
                    <w:t>评审</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0.5（含） -1（不含）</w:t>
                  </w:r>
                </w:p>
                <w:p>
                  <w:pPr>
                    <w:pStyle w:val="null3"/>
                    <w:jc w:val="both"/>
                  </w:pPr>
                  <w:r>
                    <w:rPr>
                      <w:rFonts w:ascii="仿宋_GB2312" w:hAnsi="仿宋_GB2312" w:cs="仿宋_GB2312" w:eastAsia="仿宋_GB2312"/>
                      <w:sz w:val="21"/>
                    </w:rPr>
                    <w:t>万元</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1（含） - 1.5（不</w:t>
                  </w:r>
                </w:p>
                <w:p>
                  <w:pPr>
                    <w:pStyle w:val="null3"/>
                    <w:jc w:val="both"/>
                  </w:pPr>
                  <w:r>
                    <w:rPr>
                      <w:rFonts w:ascii="仿宋_GB2312" w:hAnsi="仿宋_GB2312" w:cs="仿宋_GB2312" w:eastAsia="仿宋_GB2312"/>
                      <w:sz w:val="21"/>
                    </w:rPr>
                    <w:t>含）万元</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1.5（含） -2（不含）</w:t>
                  </w:r>
                </w:p>
                <w:p>
                  <w:pPr>
                    <w:pStyle w:val="null3"/>
                    <w:jc w:val="both"/>
                  </w:pPr>
                  <w:r>
                    <w:rPr>
                      <w:rFonts w:ascii="仿宋_GB2312" w:hAnsi="仿宋_GB2312" w:cs="仿宋_GB2312" w:eastAsia="仿宋_GB2312"/>
                      <w:sz w:val="21"/>
                    </w:rPr>
                    <w:t>万元</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2（含） - 2.5（不</w:t>
                  </w:r>
                </w:p>
                <w:p>
                  <w:pPr>
                    <w:pStyle w:val="null3"/>
                    <w:jc w:val="both"/>
                  </w:pPr>
                  <w:r>
                    <w:rPr>
                      <w:rFonts w:ascii="仿宋_GB2312" w:hAnsi="仿宋_GB2312" w:cs="仿宋_GB2312" w:eastAsia="仿宋_GB2312"/>
                      <w:sz w:val="21"/>
                    </w:rPr>
                    <w:t>含）万元</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2.5（含） -3（不含）</w:t>
                  </w:r>
                </w:p>
                <w:p>
                  <w:pPr>
                    <w:pStyle w:val="null3"/>
                    <w:jc w:val="both"/>
                  </w:pPr>
                  <w:r>
                    <w:rPr>
                      <w:rFonts w:ascii="仿宋_GB2312" w:hAnsi="仿宋_GB2312" w:cs="仿宋_GB2312" w:eastAsia="仿宋_GB2312"/>
                      <w:sz w:val="21"/>
                    </w:rPr>
                    <w:t>万元</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3（含） -</w:t>
                  </w:r>
                </w:p>
                <w:p>
                  <w:pPr>
                    <w:pStyle w:val="null3"/>
                    <w:jc w:val="both"/>
                  </w:pPr>
                  <w:r>
                    <w:rPr>
                      <w:rFonts w:ascii="仿宋_GB2312" w:hAnsi="仿宋_GB2312" w:cs="仿宋_GB2312" w:eastAsia="仿宋_GB2312"/>
                      <w:sz w:val="21"/>
                    </w:rPr>
                    <w:t>3.5（含）万元</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3.5（含） -6 万（不</w:t>
                  </w:r>
                </w:p>
                <w:p>
                  <w:pPr>
                    <w:pStyle w:val="null3"/>
                    <w:jc w:val="both"/>
                  </w:pPr>
                  <w:r>
                    <w:rPr>
                      <w:rFonts w:ascii="仿宋_GB2312" w:hAnsi="仿宋_GB2312" w:cs="仿宋_GB2312" w:eastAsia="仿宋_GB2312"/>
                      <w:sz w:val="21"/>
                    </w:rPr>
                    <w:t>含）元</w:t>
                  </w:r>
                </w:p>
              </w:tc>
            </w:tr>
          </w:tbl>
          <w:p>
            <w:pPr>
              <w:pStyle w:val="null3"/>
              <w:ind w:firstLine="560"/>
              <w:jc w:val="both"/>
            </w:pPr>
            <w:r>
              <w:rPr>
                <w:rFonts w:ascii="仿宋_GB2312" w:hAnsi="仿宋_GB2312" w:cs="仿宋_GB2312" w:eastAsia="仿宋_GB2312"/>
                <w:sz w:val="28"/>
              </w:rPr>
              <w:t>2）单次评审服务费用最低不低于5000元（含），最高不超过6万元（不含）；</w:t>
            </w:r>
          </w:p>
          <w:p>
            <w:pPr>
              <w:pStyle w:val="null3"/>
              <w:ind w:firstLine="560"/>
              <w:jc w:val="both"/>
            </w:pPr>
            <w:r>
              <w:rPr>
                <w:rFonts w:ascii="仿宋_GB2312" w:hAnsi="仿宋_GB2312" w:cs="仿宋_GB2312" w:eastAsia="仿宋_GB2312"/>
                <w:sz w:val="28"/>
              </w:rPr>
              <w:t>3）单个项目需单独计算费用，单个项目投资额以千万为单位，单个项目咨询费用以万为单位。</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建设项目的具体收费标准，根据估算投资额在相对应的区间内用插入法计算。</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其他技术要求</w:t>
            </w:r>
          </w:p>
        </w:tc>
        <w:tc>
          <w:tcPr>
            <w:tcW w:type="dxa" w:w="5814"/>
          </w:tcPr>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1）供应商需根据本项目提供项目质量保证方案包含：①实施阶段重点管理、②内部质量控制制度、③质量控制目标、④质量控制措施(方法)、⑤质量控制责任制。（2）供应商需根据本项目提供项目组织管理方案包含</w:t>
            </w:r>
            <w:r>
              <w:rPr>
                <w:rFonts w:ascii="仿宋_GB2312" w:hAnsi="仿宋_GB2312" w:cs="仿宋_GB2312" w:eastAsia="仿宋_GB2312"/>
                <w:sz w:val="28"/>
              </w:rPr>
              <w:t>：</w:t>
            </w:r>
            <w:r>
              <w:rPr>
                <w:rFonts w:ascii="仿宋_GB2312" w:hAnsi="仿宋_GB2312" w:cs="仿宋_GB2312" w:eastAsia="仿宋_GB2312"/>
                <w:sz w:val="28"/>
              </w:rPr>
              <w:t>①管理分工及岗位职责、②廉洁从业制度、③从业人员职业道德规范制度。（3）供应商需根据本项目提供档案资料管理方案包含</w:t>
            </w:r>
            <w:r>
              <w:rPr>
                <w:rFonts w:ascii="仿宋_GB2312" w:hAnsi="仿宋_GB2312" w:cs="仿宋_GB2312" w:eastAsia="仿宋_GB2312"/>
                <w:sz w:val="28"/>
              </w:rPr>
              <w:t>：</w:t>
            </w:r>
            <w:r>
              <w:rPr>
                <w:rFonts w:ascii="仿宋_GB2312" w:hAnsi="仿宋_GB2312" w:cs="仿宋_GB2312" w:eastAsia="仿宋_GB2312"/>
                <w:sz w:val="28"/>
              </w:rPr>
              <w:t xml:space="preserve"> </w:t>
            </w:r>
            <w:r>
              <w:rPr>
                <w:rFonts w:ascii="仿宋_GB2312" w:hAnsi="仿宋_GB2312" w:cs="仿宋_GB2312" w:eastAsia="仿宋_GB2312"/>
                <w:sz w:val="28"/>
              </w:rPr>
              <w:t>①制度管理、②台账建立、③归档制度、④ 档案保存。（详细的评审规则见第五章中的“评标细则及标准”。）</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）供应商需根据本项目提供项目技术方案包含：</w:t>
            </w:r>
            <w:r>
              <w:rPr>
                <w:rFonts w:ascii="仿宋_GB2312" w:hAnsi="仿宋_GB2312" w:cs="仿宋_GB2312" w:eastAsia="仿宋_GB2312"/>
                <w:sz w:val="28"/>
              </w:rPr>
              <w:t>①项目背景及现状；②特点及重难点分析；③关键技术问题解决措施。（</w:t>
            </w:r>
            <w:r>
              <w:rPr>
                <w:rFonts w:ascii="仿宋_GB2312" w:hAnsi="仿宋_GB2312" w:cs="仿宋_GB2312" w:eastAsia="仿宋_GB2312"/>
                <w:sz w:val="28"/>
              </w:rPr>
              <w:t>2</w:t>
            </w:r>
            <w:r>
              <w:rPr>
                <w:rFonts w:ascii="仿宋_GB2312" w:hAnsi="仿宋_GB2312" w:cs="仿宋_GB2312" w:eastAsia="仿宋_GB2312"/>
                <w:sz w:val="28"/>
              </w:rPr>
              <w:t>）供应商需根据本项目提供后续服务方案包含</w:t>
            </w:r>
            <w:r>
              <w:rPr>
                <w:rFonts w:ascii="仿宋_GB2312" w:hAnsi="仿宋_GB2312" w:cs="仿宋_GB2312" w:eastAsia="仿宋_GB2312"/>
                <w:sz w:val="28"/>
              </w:rPr>
              <w:t>：</w:t>
            </w:r>
            <w:r>
              <w:rPr>
                <w:rFonts w:ascii="仿宋_GB2312" w:hAnsi="仿宋_GB2312" w:cs="仿宋_GB2312" w:eastAsia="仿宋_GB2312"/>
                <w:sz w:val="28"/>
              </w:rPr>
              <w:t>①后续服务响应时间、②对于本项目的后续服务人员配置及安排、③后续服务保障措施。（详细的评审规则见第五章中的“评标细则及标准”。）</w:t>
            </w:r>
          </w:p>
          <w:p>
            <w:pPr>
              <w:pStyle w:val="null3"/>
              <w:ind w:firstLine="560"/>
              <w:jc w:val="both"/>
            </w:pPr>
            <w:r>
              <w:rPr>
                <w:rFonts w:ascii="仿宋_GB2312" w:hAnsi="仿宋_GB2312" w:cs="仿宋_GB2312" w:eastAsia="仿宋_GB2312"/>
                <w:sz w:val="28"/>
              </w:rPr>
              <w:t>3、履约能力：本项目供应商需提供类似业绩。（详细的评审规则见第五章中的“评标细则及标准”。）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562"/>
              <w:jc w:val="left"/>
            </w:pPr>
            <w:r>
              <w:rPr>
                <w:rFonts w:ascii="仿宋_GB2312" w:hAnsi="仿宋_GB2312" w:cs="仿宋_GB2312" w:eastAsia="仿宋_GB2312"/>
                <w:sz w:val="28"/>
              </w:rPr>
              <w:t>1、供应商报价应是包含项目全部工作内容的体现</w:t>
            </w:r>
            <w:r>
              <w:rPr>
                <w:rFonts w:ascii="仿宋_GB2312" w:hAnsi="仿宋_GB2312" w:cs="仿宋_GB2312" w:eastAsia="仿宋_GB2312"/>
                <w:sz w:val="28"/>
              </w:rPr>
              <w:t>，</w:t>
            </w:r>
            <w:r>
              <w:rPr>
                <w:rFonts w:ascii="仿宋_GB2312" w:hAnsi="仿宋_GB2312" w:cs="仿宋_GB2312" w:eastAsia="仿宋_GB2312"/>
                <w:sz w:val="28"/>
              </w:rPr>
              <w:t>供应商不得额外收取任何费用</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2、采购文件中引用的政策法规、规范和技术标准等，如有更新或与最新执行有冲突的一律按最新标准执行，采购文件不再另行变更。</w:t>
            </w:r>
          </w:p>
          <w:p>
            <w:pPr>
              <w:pStyle w:val="null3"/>
              <w:ind w:firstLine="560"/>
              <w:jc w:val="both"/>
            </w:pPr>
            <w:r>
              <w:rPr>
                <w:rFonts w:ascii="仿宋_GB2312" w:hAnsi="仿宋_GB2312" w:cs="仿宋_GB2312" w:eastAsia="仿宋_GB2312"/>
                <w:sz w:val="28"/>
              </w:rPr>
              <w:t>3、除采购文件另有规定外，若出现有关法律、法规和规章有强制性规定但采购文件未列明的情形，则评审委员会和成交供应商应按照有关法律、法规和规章强制性规定执行。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 365 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自贡市高新区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交供应商与采购人严格按照国家有关规定、采购文件的要求、供应商的响应文件及承诺、合同约定标准以及《财政部关于进一步加强政府采购需求和履约验收管理的指导意见》（财库〔2016〕205号）、《政府采购需求管理办法》（财库〔2021〕22 号）、《自贡市政府采购履约验收管理办法》自财规[2023]2号文件的规定进行验收。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60日内，据实结算说明为合同签订后，每60个日历日成交供应商出具已完成的所有单个项目评审报告，并符合相关政策法规要求，经验收合格后的成果文件，由成交供应商于次月5日前将上月产生费用统一递交采购人确认后，开据正式税票后 ，达到付款条件起14日内，据实情况说明为一次性支付当次全部费用</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违约责任：（1）供应商必须遵守采购文件并执行合同中的各项规定，保证本项目的正常履行。 （2）如因供应商在履行工作过程中的疏忽、失职、过错等故意或者过失原因给采购人造成损失或侵害，包括但不限于采购人本身的财产损失、社会效益、质量指标、时效影响等由此而导致的对采购方和任何第三方的法律责任等，供应商对此均应承担全部的赔偿责任。 （3）具体违约事宜在合同中另行约定，按合同执行。解决争议的方法：1.在执行合同中发生的或与本合同有关的争端，双方应通过友好协商解决，经协商在30天内不能达成协议时，应提交采购人所在地区仲裁委员会仲裁。 2.仲裁裁决应为最终决定，并对双方具有约束力。 3.除另有裁决外，仲裁费应由败诉方负担。 4.在仲裁期间，除正在进行仲裁部分外，合同其他部分继续执行。</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 365 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自贡市高新区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交供应商与采购人严格按照国家有关规定、采购文件的要求、供应商的响应文件及承诺、合同约定标准以及《财政部关于进一步加强政府采购需求和履约验收管理的指导意见》（财库〔2016〕205号）、《政府采购需求管理办法》（财库〔2021〕22 号）、《自贡市政府采购履约验收管理办法》自财规[2023]2号文件的规定进行验收。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60日内，据实结算说明为合同签订后，每60个日历日成交供应商出具已完成的所有单个项目评审报告，并符合相关政策法规要求，经验收合格后的成果文件，由成交供应商于次月5日前将上月产生费用统一递交采购人确认后，开据正式税票后，达到付款条件起14日内，据实情况说明为一次性支付当次全部费用</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违约责任：（1）供应商必须遵守采购文件并执行合同中的各项规定，保证本项目的正常履行。 （2）如因供应商在履行工作过程中的疏忽、失职、过错等故意或者过失原因给采购人造成损失或侵害，包括但不限于采购人本身的财产损失、社会效益、质量指标、时效影响等由此而导致的对采购方和任何第三方的法律责任等，供应商对此均应承担全部的法律责任。 （3）具体违约事宜在合同中另行约定，按合同执行。 解决争议的方法：（1）在执行合同中发生的或与本合同有关的争端，双方应通过友好协商解决，经协商在30天内不能达成协议时，应提交采购人所在地区仲裁委员会仲裁。 （2）仲裁裁决应为最终决定，并对双方具有约束力。 （3）除另有裁决外，仲裁费应由败诉方负担。（4）在仲裁期间，除正在进行仲裁部分外，合同其他部分继续执行。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上传相应证明文件并进行电子签章。（①可提供近三年（任意一年）经审计的财务报告复印件（包含审计报告和审计报告中所涉及的财务报表和报表附注）；②也可提供近三年（任意一年）供应商内部的财务报表复印件（至少包含资产负债表、现金流量表、利润表）；③也可提供距文件递交截止日一年内银行出具的资信证明（复印件）；④供应商注册时间至文件递交截止日不足一年的，也可提供在工商备案的公司章程（复印件）；⑤非营利性单位或者社会团体或者其他机关事业单位以符合财务会计制度为准或者提供承诺函；⑥供应商为自然人的提供承诺函（格式自拟）；⑦供应商也可提供财务会计制度承诺函（格式自拟）。）</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上传相应证明文件并进行电子签章。（①可提供近三年（任意一年）经审计的财务报告复印件（包含审计报告和审计报告中所涉及的财务报表和报表附注）；②也可提供近三年（任意一年）供应商内部的财务报表复印件（至少包含资产负债表、现金流量表、利润表）；③也可提供距文件递交截止日一年内银行出具的资信证明（复印件）；④供应商注册时间至文件递交截止日不足一年的，也可提供在工商备案的公司章程（复印件）；⑤非营利性单位或者社会团体或者其他机关事业单位以符合财务会计制度为准或者提供承诺函；⑥供应商为自然人的提供承诺函（格式自拟）；⑦供应商也可提供财务会计制度承诺函（格式自拟）。）</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供应商须在全国投资项目在线审批监管平台备案。</w:t>
            </w:r>
          </w:p>
        </w:tc>
        <w:tc>
          <w:tcPr>
            <w:tcW w:type="dxa" w:w="3322"/>
          </w:tcPr>
          <w:p>
            <w:pPr>
              <w:pStyle w:val="null3"/>
              <w:jc w:val="left"/>
            </w:pPr>
            <w:r>
              <w:rPr>
                <w:rFonts w:ascii="仿宋_GB2312" w:hAnsi="仿宋_GB2312" w:cs="仿宋_GB2312" w:eastAsia="仿宋_GB2312"/>
              </w:rPr>
              <w:t>提供供应商在全国投资项目在线审批监管平台备案的证明材料。</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供应商须在全国投资项目在线审批监管平台备案。</w:t>
            </w:r>
          </w:p>
        </w:tc>
        <w:tc>
          <w:tcPr>
            <w:tcW w:type="dxa" w:w="3322"/>
          </w:tcPr>
          <w:p>
            <w:pPr>
              <w:pStyle w:val="null3"/>
              <w:jc w:val="left"/>
            </w:pPr>
            <w:r>
              <w:rPr>
                <w:rFonts w:ascii="仿宋_GB2312" w:hAnsi="仿宋_GB2312" w:cs="仿宋_GB2312" w:eastAsia="仿宋_GB2312"/>
              </w:rPr>
              <w:t>提供供应商在全国投资项目在线审批监管平台备案的证明材料。</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磋商文件加★号的技术、服务、商务和其他要求均为实质性要求。</w:t>
            </w:r>
          </w:p>
        </w:tc>
        <w:tc>
          <w:tcPr>
            <w:tcW w:type="dxa" w:w="3322"/>
          </w:tcPr>
          <w:p>
            <w:pPr>
              <w:pStyle w:val="null3"/>
              <w:jc w:val="left"/>
            </w:pPr>
            <w:r>
              <w:rPr>
                <w:rFonts w:ascii="仿宋_GB2312" w:hAnsi="仿宋_GB2312" w:cs="仿宋_GB2312" w:eastAsia="仿宋_GB2312"/>
              </w:rPr>
              <w:t>响应文件均应实质性响应磋商文件中加★号的技术、服务、商务和其他要求。</w:t>
            </w:r>
          </w:p>
        </w:tc>
        <w:tc>
          <w:tcPr>
            <w:tcW w:type="dxa" w:w="1661"/>
          </w:tcPr>
          <w:p>
            <w:pPr>
              <w:pStyle w:val="null3"/>
              <w:jc w:val="left"/>
            </w:pPr>
            <w:r>
              <w:rPr>
                <w:rFonts w:ascii="仿宋_GB2312" w:hAnsi="仿宋_GB2312" w:cs="仿宋_GB2312" w:eastAsia="仿宋_GB2312"/>
              </w:rPr>
              <w:t>供应商认为需要提供的材料,服务应答表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磋商文件加★号的技术、服务、商务和其他要求均为实质性要求。</w:t>
            </w:r>
          </w:p>
        </w:tc>
        <w:tc>
          <w:tcPr>
            <w:tcW w:type="dxa" w:w="3322"/>
          </w:tcPr>
          <w:p>
            <w:pPr>
              <w:pStyle w:val="null3"/>
              <w:jc w:val="left"/>
            </w:pPr>
            <w:r>
              <w:rPr>
                <w:rFonts w:ascii="仿宋_GB2312" w:hAnsi="仿宋_GB2312" w:cs="仿宋_GB2312" w:eastAsia="仿宋_GB2312"/>
              </w:rPr>
              <w:t>响应文件均应实质性响应磋商文件中加★号的技术、服务、商务和其他要求。</w:t>
            </w:r>
          </w:p>
        </w:tc>
        <w:tc>
          <w:tcPr>
            <w:tcW w:type="dxa" w:w="1661"/>
          </w:tcPr>
          <w:p>
            <w:pPr>
              <w:pStyle w:val="null3"/>
              <w:jc w:val="left"/>
            </w:pPr>
            <w:r>
              <w:rPr>
                <w:rFonts w:ascii="仿宋_GB2312" w:hAnsi="仿宋_GB2312" w:cs="仿宋_GB2312" w:eastAsia="仿宋_GB2312"/>
              </w:rPr>
              <w:t>供应商认为需要提供的材料,服务应答表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2：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第五章-5.4.2.评审细则及标准-项目服务方案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项目服务方案</w:t>
            </w:r>
          </w:p>
        </w:tc>
        <w:tc>
          <w:tcPr>
            <w:tcW w:type="dxa" w:w="2575"/>
          </w:tcPr>
          <w:p>
            <w:pPr>
              <w:pStyle w:val="null3"/>
              <w:jc w:val="left"/>
            </w:pPr>
            <w:r>
              <w:rPr>
                <w:rFonts w:ascii="仿宋_GB2312" w:hAnsi="仿宋_GB2312" w:cs="仿宋_GB2312" w:eastAsia="仿宋_GB2312"/>
              </w:rPr>
              <w:t>1、供应商针对本项目提供的质量保证方案应当包含以下内容：①实施阶段重点管理、②内部质量控制制度、③质量控制目标、④质量控制措施(方法)、⑤质量控制责任制；以上内容齐全且符合采购要求的得20分，未提供不得分；前述5项内容：每缺少一项方案内容扣4分，每一项内容中每存在一处缺陷的扣2分，本项分值扣完为止。 2、供应商针对本项目提供的项目组织管理方案应当包含以下内容：①管理分工及岗位职责、②廉洁从业制度、③从业人员职业道德规范制度。以上内容齐全且符合采购要求的得12分，未提供不得分；前述3项内容：每缺少一项方案内容扣4分，每一项内容中每存在一处缺陷的扣2分；本项分值扣完为止。 3、供应商针对本项目提供的档案资料管理方案应当包含以下内容：①制度管理、②台账建立、③归档制度、④档案保存；以上内容齐全且符合采购要求的得16分，未提供不得分；前述4项内容：每缺少一项方案内容扣4分，每一项内容中每存在一处缺陷的扣2分；本项分值扣完为止。 注：“缺陷”是指以下情形中的任意一项：①方案内容仅有评审因素题纲（或题干)的摘引或直接复制采购需求而无相应的实质性明确内容阐述。②方案内容不完全满足技术、服务、商务要求或与技术、服务、商务要求矛盾（技术、服务、商务表应答正确，但在方案中出现矛盾的描述）。③方案字面表达上明显存在与本项目采购需求(或履约质量)无关，或者明显存在套用(或复制)其他项目内容，或明显存在字错误等客观问题。④方案内容出现引用的规定、标准规范错误或该项内容描述不符合国家相关法律法规、规范等要求。⑤方案非专门针对本项目编制。</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供应商认为需要提供的材料</w:t>
            </w:r>
          </w:p>
        </w:tc>
      </w:tr>
      <w:tr>
        <w:tc>
          <w:tcPr>
            <w:tcW w:type="dxa" w:w="831"/>
            <w:vMerge/>
          </w:tcPr>
          <w:p/>
        </w:tc>
        <w:tc>
          <w:tcPr>
            <w:tcW w:type="dxa" w:w="1661"/>
          </w:tcPr>
          <w:p>
            <w:pPr>
              <w:pStyle w:val="null3"/>
              <w:jc w:val="left"/>
            </w:pPr>
            <w:r>
              <w:rPr>
                <w:rFonts w:ascii="仿宋_GB2312" w:hAnsi="仿宋_GB2312" w:cs="仿宋_GB2312" w:eastAsia="仿宋_GB2312"/>
              </w:rPr>
              <w:t>技术方案及后续服务方案</w:t>
            </w:r>
          </w:p>
        </w:tc>
        <w:tc>
          <w:tcPr>
            <w:tcW w:type="dxa" w:w="2575"/>
          </w:tcPr>
          <w:p>
            <w:pPr>
              <w:pStyle w:val="null3"/>
              <w:jc w:val="left"/>
            </w:pPr>
            <w:r>
              <w:rPr>
                <w:rFonts w:ascii="仿宋_GB2312" w:hAnsi="仿宋_GB2312" w:cs="仿宋_GB2312" w:eastAsia="仿宋_GB2312"/>
              </w:rPr>
              <w:t>1、供应商应针对本项目提供项目技术方案，应当包含以下内容：①项目背景及现状；②特点及重难点分析；③关键技术问题解决措施。以上内容齐全且符合采购要求的得12分，未提供不得分；前述3项内容：每缺少一项方案内容扣4分，每一项内容中每存在一处缺陷的扣2分，本项分值扣完为止。 2、供应商针对本项目提供的后续服务方案应当包含以下内容：①后续服务响应时间、②对于本项目的后续服务人员配置及安排、③后续服务保障措施。以上内容齐全且符合采购要求的得12分，未提供不得分；前述3项内容：每缺少一项方案内容扣4分，每一项内容中每存在一处缺陷的扣2分；本项分值扣完为止。 注：“缺陷”是指以下情形中的任意一项：①方案内容仅有评审因素题纲（或题干)的摘引或直接复制采购需求而无相应的实质性明确内容阐述。②方案内容不完全满足技术、服务、商务要求或与技术、服务、商务要求矛盾（技术、服务、商务表应答正确，但在方案中出现矛盾的描述）。③方案字面表达上明显存在与本项目采购需求(或履约质量)无关，或者明显存在套用(或复制)其他项目内容，或明显存在字错误等客观问题。④方案内容出现引用的规定、标准规范错误或该项内容描述不符合国家相关法律法规、规范等要求。⑤方案非专门针对本项目编制。</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2022年1月1日起至今完成过类似项目评审业绩1个得2分，本项最高得8分； 注：1、类似业绩是指：房屋建筑工程或市政公用工程或工业等类似可行性研究报告或节能报告评审业绩。（提供合同影印件加盖供应商公章或电子签章，未提供不得分，业绩时间以合同签订时间为准。）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可研报告评审和节能报告评审服务</w:t>
            </w:r>
          </w:p>
        </w:tc>
        <w:tc>
          <w:tcPr>
            <w:tcW w:type="dxa" w:w="2575"/>
          </w:tcPr>
          <w:p>
            <w:pPr>
              <w:pStyle w:val="null3"/>
              <w:jc w:val="left"/>
            </w:pPr>
            <w:r>
              <w:rPr>
                <w:rFonts w:ascii="仿宋_GB2312" w:hAnsi="仿宋_GB2312" w:cs="仿宋_GB2312" w:eastAsia="仿宋_GB2312"/>
              </w:rPr>
              <w:t>1. 经磋商小组评审，通过资格和符合性审查，且经价格调整后的最低评审价格作为评审基准价。2.报价得分=(基准价／最后报价)×分值。 注：①经价格调整后的评审价格=最后报价×（1-价格调整比例）；②基准价=经价格调整后评审价格的最低值。③评审价格=最后报价。</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项目服务方案</w:t>
            </w:r>
          </w:p>
        </w:tc>
        <w:tc>
          <w:tcPr>
            <w:tcW w:type="dxa" w:w="2575"/>
          </w:tcPr>
          <w:p>
            <w:pPr>
              <w:pStyle w:val="null3"/>
              <w:jc w:val="left"/>
            </w:pPr>
            <w:r>
              <w:rPr>
                <w:rFonts w:ascii="仿宋_GB2312" w:hAnsi="仿宋_GB2312" w:cs="仿宋_GB2312" w:eastAsia="仿宋_GB2312"/>
              </w:rPr>
              <w:t>1、供应商针对本项目提供的质量保证方案，应当包含以下内容：①实施阶段重点管理、②内部质量控制制度、③质量控制目标、④质量控制措施(方法)、⑤质量控制责任制；以上内容齐全且符合采购要求的得20分，未提供或不满足不得分；前述5项内容：每缺少一项方案内容扣4分，每一项内容中每存在一处缺陷的扣2分，本项分值扣完为止。 2、供应商针对本项目提供的项目组织管理方案应当包含以下内容：①管理分工及岗位职责、②廉洁从业制度、③从业人员职业道德规范制度：以上内容齐全且符合采购要求的得12分，未提供或不满足不得分；前述3项内容：每缺少一项方案内容扣4分，每一项内容中每存在一处缺陷的扣2分，本项分值扣完为止。 3、供应商针对本项目提供的档案资料管理方案应当包含以下内容：①制度管理、②台账建立、③归档制度、④档案保存；以上内容齐全且符合采购要求的得16分，未提供或不满足不得分；前述4项内容：每缺少一项方案内容扣4分，每一项内容中每存在一处缺陷的扣2分；本项分值扣完为止。 注：“缺陷”是指以下情形中的任意一项：①方案内容仅有评审因素题纲（或题干)的摘引或直接复制采购需求而无相应的实质性明确内容阐述。②方案内容不完全满足技术、服务、商务要求或与技术、服务、商务要求矛盾（技术、服务、商务表应答正确，但在方案中出现矛盾的描述）。③方案字面表达上明显存在与本项目采购需求(或履约质量)无关，或者明显存在套用(或复制)其他项目内容，或明显存在字错误等客观问题。④方案内容出现引用的规定、标准规范错误或该项内容描述不符合国家相关法律法规、规范等要求。⑤方案非专门针对本项目编制。</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供应商认为需要提供的材料</w:t>
            </w:r>
          </w:p>
        </w:tc>
      </w:tr>
      <w:tr>
        <w:tc>
          <w:tcPr>
            <w:tcW w:type="dxa" w:w="831"/>
            <w:vMerge/>
          </w:tcPr>
          <w:p/>
        </w:tc>
        <w:tc>
          <w:tcPr>
            <w:tcW w:type="dxa" w:w="1661"/>
          </w:tcPr>
          <w:p>
            <w:pPr>
              <w:pStyle w:val="null3"/>
              <w:jc w:val="left"/>
            </w:pPr>
            <w:r>
              <w:rPr>
                <w:rFonts w:ascii="仿宋_GB2312" w:hAnsi="仿宋_GB2312" w:cs="仿宋_GB2312" w:eastAsia="仿宋_GB2312"/>
              </w:rPr>
              <w:t>技术方案及后续服务方案</w:t>
            </w:r>
          </w:p>
        </w:tc>
        <w:tc>
          <w:tcPr>
            <w:tcW w:type="dxa" w:w="2575"/>
          </w:tcPr>
          <w:p>
            <w:pPr>
              <w:pStyle w:val="null3"/>
              <w:jc w:val="left"/>
            </w:pPr>
            <w:r>
              <w:rPr>
                <w:rFonts w:ascii="仿宋_GB2312" w:hAnsi="仿宋_GB2312" w:cs="仿宋_GB2312" w:eastAsia="仿宋_GB2312"/>
              </w:rPr>
              <w:t>1、供应商针对本项目提供项目技术方案，应当包括以下内容：①项目背景及现状；②特点及重难点分析；③关键技术问题解决措施。以上内容齐全且符合采购要求的得12分，未提供或不满足不得分；前述3项内容：每缺少一项方案内容扣4分，每一项内容中每存在一处缺陷的扣2分，本项分值扣完为止。 2、供应商针对本项目提供的后续服务方案应当包含以下内容：①后续服务响应时间、②对于本项目的后续服务人员配置及安排、③后续服务保障措施等。以上内容齐全且符合采购要求的得12分，未提供或不满足不得分；前述3项内容：每缺少一项方案内容扣4分，每一项内容中每存在一处缺陷的扣2分；本项分值扣完为止。 注：“缺陷”是指以下情形中的任意一项：①方案内容仅有评审因素题纲（或题干)的摘引或直接复制采购需求而无相应的实质性明确内容阐述。②方案内容不完全满足技术、服务、商务要求或与技术、服务、商务要求矛盾（技术、服务、商务表应答正确，但在方案中出现矛盾的描述）。③方案字面表达上明显存在与本项目采购需求(或履约质量)无关，或者明显存在套用(或复制)其他项目内容，或明显存在字错误等客观问题。④方案内容出现引用的规定、标准规范错误或该项内容描述不符合国家相关法律法规、规范等要求。⑤方案非专门针对本项目编制。</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2022年1月1日起至今完成过类似项目评审业绩1个得2分，本项最高得8分。 注：1、类似业绩是指：房屋建筑工程或市政等类似概算报告评审业绩。（提供合同影印件加盖供应商公章或电子签章，未提供不得分，业绩时间以合同签订时间为准。）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概算报告评审服务</w:t>
            </w:r>
          </w:p>
        </w:tc>
        <w:tc>
          <w:tcPr>
            <w:tcW w:type="dxa" w:w="2575"/>
          </w:tcPr>
          <w:p>
            <w:pPr>
              <w:pStyle w:val="null3"/>
              <w:jc w:val="left"/>
            </w:pPr>
            <w:r>
              <w:rPr>
                <w:rFonts w:ascii="仿宋_GB2312" w:hAnsi="仿宋_GB2312" w:cs="仿宋_GB2312" w:eastAsia="仿宋_GB2312"/>
              </w:rPr>
              <w:t>1. 经磋商小组评审，通过资格和符合性审查，且经价格调整后的最低评审价格作为评审基准价。2.报价得分=(基准价／最后报价)×分值。 注：①经价格调整后的评审价格=最后报价×（1-价格调整比例）；②基准价=经价格调整后评审价格的最低值。③评审价格=最后报价。</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详见附件：供应商认为需要提供的材料</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详见附件：供应商认为需要提供的材料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