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版本号：N511101202600009020260428002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乐山市群众运动空间扩容建设项目代建管理服务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N5111012026000090</w:t>
      </w:r>
    </w:p>
    <w:p>
      <w:pPr>
        <w:pStyle w:val="null3"/>
        <w:jc w:val="center"/>
        <w:outlineLvl w:val="2"/>
      </w:pPr>
      <w:r>
        <w:rPr>
          <w:rFonts w:ascii="仿宋_GB2312" w:hAnsi="仿宋_GB2312" w:cs="仿宋_GB2312" w:eastAsia="仿宋_GB2312"/>
          <w:sz w:val="28"/>
          <w:b/>
        </w:rPr>
        <w:t>乐山市体育局</w:t>
      </w:r>
    </w:p>
    <w:p>
      <w:pPr>
        <w:pStyle w:val="null3"/>
        <w:jc w:val="center"/>
        <w:outlineLvl w:val="2"/>
      </w:pPr>
      <w:r>
        <w:rPr>
          <w:rFonts w:ascii="仿宋_GB2312" w:hAnsi="仿宋_GB2312" w:cs="仿宋_GB2312" w:eastAsia="仿宋_GB2312"/>
          <w:sz w:val="28"/>
          <w:b/>
        </w:rPr>
        <w:t>乐山城市建设工程技术服务有限公司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乐山城市建设工程技术服务有限公司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乐山市体育局</w:t>
      </w:r>
      <w:r>
        <w:rPr>
          <w:rFonts w:ascii="仿宋_GB2312" w:hAnsi="仿宋_GB2312" w:cs="仿宋_GB2312" w:eastAsia="仿宋_GB2312"/>
        </w:rPr>
        <w:t xml:space="preserve"> 委托，拟对 </w:t>
      </w:r>
      <w:r>
        <w:rPr>
          <w:rFonts w:ascii="仿宋_GB2312" w:hAnsi="仿宋_GB2312" w:cs="仿宋_GB2312" w:eastAsia="仿宋_GB2312"/>
        </w:rPr>
        <w:t>乐山市群众运动空间扩容建设项目代建管理服务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N5111012026000090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乐山市群众运动空间扩容建设项目代建管理服务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项目建设规模及内容：项目共5个子项地块，规划总用地面积48359.55平方米，其中室内规划建筑面积9294.24平方米，室外规划建筑面积36193.47平方米，涉及的建设内容主要包括室内运动场地（篮球场、羽毛球场、网球场、乒乓球场、室内配置用房）和室外运动设施（足球场、篮球场、羽毛球场、网球场、乒乓球场、健身场地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四川省乐山市市中区柏杨东路449号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17775509499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乐山城市建设工程技术服务有限公司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乐山市市中区杨河街132号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童老师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19181315810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采购包1：782,000.00元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代理服务费收费标准：以中标价为计算基数，参照《招标代理服务收费管理暂行办法》（计价格【2002】1980号）文件下浮20%计取。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乐山市体育局</w:t>
      </w:r>
      <w:r>
        <w:rPr>
          <w:rFonts w:ascii="仿宋_GB2312" w:hAnsi="仿宋_GB2312" w:cs="仿宋_GB2312" w:eastAsia="仿宋_GB2312"/>
        </w:rPr>
        <w:t xml:space="preserve"> 和 </w:t>
      </w:r>
      <w:r>
        <w:rPr>
          <w:rFonts w:ascii="仿宋_GB2312" w:hAnsi="仿宋_GB2312" w:cs="仿宋_GB2312" w:eastAsia="仿宋_GB2312"/>
        </w:rPr>
        <w:t>乐山城市建设工程技术服务有限公司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乐山城市建设工程技术服务有限公司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项目完结</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乐山市体育局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乐山城市建设工程技术服务有限公司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乐山城市建设工程技术服务有限公司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联系人：童老师</w:t>
      </w:r>
    </w:p>
    <w:p>
      <w:pPr>
        <w:pStyle w:val="null3"/>
        <w:jc w:val="left"/>
      </w:pPr>
      <w:r>
        <w:rPr>
          <w:rFonts w:ascii="仿宋_GB2312" w:hAnsi="仿宋_GB2312" w:cs="仿宋_GB2312" w:eastAsia="仿宋_GB2312"/>
        </w:rPr>
        <w:t>联系电话：19181315810</w:t>
      </w:r>
    </w:p>
    <w:p>
      <w:pPr>
        <w:pStyle w:val="null3"/>
        <w:jc w:val="left"/>
      </w:pPr>
      <w:r>
        <w:rPr>
          <w:rFonts w:ascii="仿宋_GB2312" w:hAnsi="仿宋_GB2312" w:cs="仿宋_GB2312" w:eastAsia="仿宋_GB2312"/>
        </w:rPr>
        <w:t>地址：乐山市市中区杨河街132号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782,000.00</w:t>
      </w:r>
    </w:p>
    <w:p>
      <w:pPr>
        <w:pStyle w:val="null3"/>
        <w:jc w:val="left"/>
      </w:pPr>
      <w:r>
        <w:rPr>
          <w:rFonts w:ascii="仿宋_GB2312" w:hAnsi="仿宋_GB2312" w:cs="仿宋_GB2312" w:eastAsia="仿宋_GB2312"/>
        </w:rPr>
        <w:t>采购包最高限价（元）: 782,000.00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C11040000 工程项目管理服务</w:t>
            </w:r>
          </w:p>
        </w:tc>
        <w:tc>
          <w:tcPr>
            <w:tcW w:type="dxa" w:w="821"/>
          </w:tcPr>
          <w:p>
            <w:pPr>
              <w:pStyle w:val="null3"/>
              <w:jc w:val="left"/>
            </w:pPr>
            <w:r>
              <w:rPr>
                <w:rFonts w:ascii="仿宋_GB2312" w:hAnsi="仿宋_GB2312" w:cs="仿宋_GB2312" w:eastAsia="仿宋_GB2312"/>
              </w:rPr>
              <w:t>乐山市群众运动空间扩容建设项目代建管理服务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782,000.00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乐山市群众运动空间扩容建设项目代建管理服务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782,000.00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包括人员工资、临时工费用、管理费、材料费保险、利润、税金等所有完成本项目其他有关各项的含税费用。本项目在执行期间总价不变，采购人无须另向成交供应商支付本项目规定之外的其他任何费用（除因实际情况进行服务内容调整造成的增减费用外）。如出现在报价估算错误等引起的损失由供应商自行承担。</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标的名称：乐山市群众运动空间扩容建设项目代建管理服务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rPr>
              <w:t>1、本代建管理范围：负责本项目全过程代建。</w:t>
            </w:r>
          </w:p>
          <w:p>
            <w:pPr>
              <w:pStyle w:val="null3"/>
              <w:jc w:val="left"/>
            </w:pPr>
            <w:r>
              <w:rPr>
                <w:rFonts w:ascii="仿宋_GB2312" w:hAnsi="仿宋_GB2312" w:cs="仿宋_GB2312" w:eastAsia="仿宋_GB2312"/>
              </w:rPr>
              <w:t>2、代建工作内容：供应商为本项目提供项目的前期工作、工程报建、初步设计报审、工程监理、招标及设备采购管理、施工图预算、工程造价及进度管理、质量安全管理、合同管理、施工管理、信息管理直到验收手续办理，工程结算审核完成的所有管理服务工作，包括但不限于以下内容：</w:t>
            </w:r>
          </w:p>
          <w:p>
            <w:pPr>
              <w:pStyle w:val="null3"/>
              <w:jc w:val="left"/>
            </w:pPr>
            <w:r>
              <w:rPr>
                <w:rFonts w:ascii="仿宋_GB2312" w:hAnsi="仿宋_GB2312" w:cs="仿宋_GB2312" w:eastAsia="仿宋_GB2312"/>
              </w:rPr>
              <w:t>2.1 决策阶段</w:t>
            </w:r>
          </w:p>
          <w:p>
            <w:pPr>
              <w:pStyle w:val="null3"/>
              <w:jc w:val="left"/>
            </w:pPr>
            <w:r>
              <w:rPr>
                <w:rFonts w:ascii="仿宋_GB2312" w:hAnsi="仿宋_GB2312" w:cs="仿宋_GB2312" w:eastAsia="仿宋_GB2312"/>
              </w:rPr>
              <w:t>(1)组织开展项目环评、水保等项目建设的一切前期工作，编制设计任务书。</w:t>
            </w:r>
          </w:p>
          <w:p>
            <w:pPr>
              <w:pStyle w:val="null3"/>
              <w:jc w:val="left"/>
            </w:pPr>
            <w:r>
              <w:rPr>
                <w:rFonts w:ascii="仿宋_GB2312" w:hAnsi="仿宋_GB2312" w:cs="仿宋_GB2312" w:eastAsia="仿宋_GB2312"/>
              </w:rPr>
              <w:t>(2)组织开展管线迁改和保护工作的编制、审查和报批。</w:t>
            </w:r>
          </w:p>
          <w:p>
            <w:pPr>
              <w:pStyle w:val="null3"/>
              <w:jc w:val="left"/>
            </w:pPr>
            <w:r>
              <w:rPr>
                <w:rFonts w:ascii="仿宋_GB2312" w:hAnsi="仿宋_GB2312" w:cs="仿宋_GB2312" w:eastAsia="仿宋_GB2312"/>
              </w:rPr>
              <w:t>(3)配合采购人做好后续项目设计、监理、施工、主要材料设备供应商等招标、合同签订等工作。</w:t>
            </w:r>
          </w:p>
          <w:p>
            <w:pPr>
              <w:pStyle w:val="null3"/>
              <w:jc w:val="left"/>
            </w:pPr>
            <w:r>
              <w:rPr>
                <w:rFonts w:ascii="仿宋_GB2312" w:hAnsi="仿宋_GB2312" w:cs="仿宋_GB2312" w:eastAsia="仿宋_GB2312"/>
              </w:rPr>
              <w:t>(4)其它有关工作。</w:t>
            </w:r>
          </w:p>
          <w:p>
            <w:pPr>
              <w:pStyle w:val="null3"/>
              <w:jc w:val="left"/>
            </w:pPr>
            <w:r>
              <w:rPr>
                <w:rFonts w:ascii="仿宋_GB2312" w:hAnsi="仿宋_GB2312" w:cs="仿宋_GB2312" w:eastAsia="仿宋_GB2312"/>
              </w:rPr>
              <w:t>2.2 勘察设计阶段</w:t>
            </w:r>
          </w:p>
          <w:p>
            <w:pPr>
              <w:pStyle w:val="null3"/>
              <w:jc w:val="left"/>
            </w:pPr>
            <w:r>
              <w:rPr>
                <w:rFonts w:ascii="仿宋_GB2312" w:hAnsi="仿宋_GB2312" w:cs="仿宋_GB2312" w:eastAsia="仿宋_GB2312"/>
              </w:rPr>
              <w:t>(1)根据批准的项目方案设计，按规定程序组织做好工程勘察、工程测绘、工程环境考察、工程风险评估等工作，做好积极的防范措施以确保工程顺利进行。</w:t>
            </w:r>
          </w:p>
          <w:p>
            <w:pPr>
              <w:pStyle w:val="null3"/>
              <w:jc w:val="left"/>
            </w:pPr>
            <w:r>
              <w:rPr>
                <w:rFonts w:ascii="仿宋_GB2312" w:hAnsi="仿宋_GB2312" w:cs="仿宋_GB2312" w:eastAsia="仿宋_GB2312"/>
              </w:rPr>
              <w:t>(2)组织做好设计优化、施工图设计、施工图预算等工作，负责服务单位与采购人的联络和协调，处理设计过程出现的设计配合问题，确保项目建设规模、功能、标准和工期符合需求，确保各项技术指标服务国家有关标准和行业使用要求。</w:t>
            </w:r>
          </w:p>
          <w:p>
            <w:pPr>
              <w:pStyle w:val="null3"/>
              <w:jc w:val="left"/>
            </w:pPr>
            <w:r>
              <w:rPr>
                <w:rFonts w:ascii="仿宋_GB2312" w:hAnsi="仿宋_GB2312" w:cs="仿宋_GB2312" w:eastAsia="仿宋_GB2312"/>
              </w:rPr>
              <w:t>(3)组织做好用地规划、工程规划阶段报建手续办理及其它设计管理有关工作。</w:t>
            </w:r>
          </w:p>
          <w:p>
            <w:pPr>
              <w:pStyle w:val="null3"/>
              <w:jc w:val="left"/>
            </w:pPr>
            <w:r>
              <w:rPr>
                <w:rFonts w:ascii="仿宋_GB2312" w:hAnsi="仿宋_GB2312" w:cs="仿宋_GB2312" w:eastAsia="仿宋_GB2312"/>
              </w:rPr>
              <w:t>2.3 施工阶段</w:t>
            </w:r>
          </w:p>
          <w:p>
            <w:pPr>
              <w:pStyle w:val="null3"/>
              <w:jc w:val="left"/>
            </w:pPr>
            <w:r>
              <w:rPr>
                <w:rFonts w:ascii="仿宋_GB2312" w:hAnsi="仿宋_GB2312" w:cs="仿宋_GB2312" w:eastAsia="仿宋_GB2312"/>
              </w:rPr>
              <w:t>(1)按照招标、采购等法律法规规定的招标方式，协助采购人组织完成监理、施工、主要材料和设备采购等招标活动，完成相关合同的洽谈、签订与备案。组织做好施工许可阶段报建手续办理。</w:t>
            </w:r>
          </w:p>
          <w:p>
            <w:pPr>
              <w:pStyle w:val="null3"/>
              <w:jc w:val="left"/>
            </w:pPr>
            <w:r>
              <w:rPr>
                <w:rFonts w:ascii="仿宋_GB2312" w:hAnsi="仿宋_GB2312" w:cs="仿宋_GB2312" w:eastAsia="仿宋_GB2312"/>
              </w:rPr>
              <w:t>(2)按照合同、投标文件的工期约定，做好工程进度管理、工程质量管理、工程投资管理、工程安全文明施工管理、工程合同信息管理等工作，按月编制项目投资完成、资金支付、工程质量、工程进度及现场重大情况报告。包括但不限于以下内容：编制和审定工程进度总体计划及主要节点计划，分项分部计划和年度月度计划，报委托人审定、备案;定期召开工程协调会，及时分析、协调、平衡、调整、上报工程进度；负责组织建设过程中的设计施工交底和技术协调；审查监理大纲，负责督促监理单位建立完善的监理工作机构，确保有效进行设计、施工各阶段监理工作；审批施工组织方案，重大项目施工组织方案报委托人确认；做好工程检查检测，设备和材料进场验收和记录，组织工程质量验收；根据工程节点要求，编制工程总用款计划和实施过程中的用款计划，办理资金申请等有关手续；严格控制施工过程中的工程造价（包括但不限于工程签证和设计变更）；负责工程实施期间的安全管理，明确施工单位安全职责，督促并检查施工单位安全措施的制定和落实，做好安全培训教育，增强施工人员安全保护意识；负责督促施工单位确保施工场地内设施、卫生清洁和内业资料完备，检查文明施工落实情况；负责组织、监督和审查勘察、设计、施工、监理等单位的工程文件的收集和立卷归档工作，组织工程项目竣工验收，并将验收结果报告相关部门、单位备案。</w:t>
            </w:r>
          </w:p>
          <w:p>
            <w:pPr>
              <w:pStyle w:val="null3"/>
              <w:jc w:val="left"/>
            </w:pPr>
            <w:r>
              <w:rPr>
                <w:rFonts w:ascii="仿宋_GB2312" w:hAnsi="仿宋_GB2312" w:cs="仿宋_GB2312" w:eastAsia="仿宋_GB2312"/>
              </w:rPr>
              <w:t>(3)负责协调施工期间施工现场、有关部门、有关单位关系，组织工程影响范围内恢复工作及其它有关施工管理工作。</w:t>
            </w:r>
          </w:p>
          <w:p>
            <w:pPr>
              <w:pStyle w:val="null3"/>
              <w:jc w:val="left"/>
            </w:pPr>
            <w:r>
              <w:rPr>
                <w:rFonts w:ascii="仿宋_GB2312" w:hAnsi="仿宋_GB2312" w:cs="仿宋_GB2312" w:eastAsia="仿宋_GB2312"/>
              </w:rPr>
              <w:t>2.4 保修阶段</w:t>
            </w:r>
          </w:p>
          <w:p>
            <w:pPr>
              <w:pStyle w:val="null3"/>
              <w:jc w:val="left"/>
            </w:pPr>
            <w:r>
              <w:rPr>
                <w:rFonts w:ascii="仿宋_GB2312" w:hAnsi="仿宋_GB2312" w:cs="仿宋_GB2312" w:eastAsia="仿宋_GB2312"/>
              </w:rPr>
              <w:t>(1)督促施工单位编制工程竣工结算，并报财政、审计部门审批；</w:t>
            </w:r>
          </w:p>
          <w:p>
            <w:pPr>
              <w:pStyle w:val="null3"/>
              <w:jc w:val="left"/>
            </w:pPr>
            <w:r>
              <w:rPr>
                <w:rFonts w:ascii="仿宋_GB2312" w:hAnsi="仿宋_GB2312" w:cs="仿宋_GB2312" w:eastAsia="仿宋_GB2312"/>
              </w:rPr>
              <w:t>(2)负责将项目竣工资料及有关资料整理汇编后向采购人或其指定人移交。</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合同签约之日起至工程缺陷责任期届满结束。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乐山市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国家现行有关行业规定的标准、方法和内容、《财政部关于进一步加强政府采购需求和履约验收管理的指导意见》（财库〔2016〕205号）、《乐山市政府采购项目需求论证和履约验收管理实施细则》（乐市财政采（2018）16号文件）和关于沿用《乐山市政府采购项目需求论证和履约验收管理实施细则》的通知（乐市财政采〔2021〕8号文件）、磋商文件的技术服务要求、成交供应商的响应文件及承诺与政府采购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1、采购人在项目开工后支付（付款前供应商按程序需提供合法、有效、完整的发票和支付凭证）采购人在财政拨款后，达到付款条件起30日内，支付合同总金额的40.00%</w:t>
            </w:r>
          </w:p>
          <w:p>
            <w:pPr>
              <w:pStyle w:val="null3"/>
              <w:jc w:val="left"/>
            </w:pPr>
            <w:r>
              <w:rPr>
                <w:rFonts w:ascii="仿宋_GB2312" w:hAnsi="仿宋_GB2312" w:cs="仿宋_GB2312" w:eastAsia="仿宋_GB2312"/>
              </w:rPr>
              <w:t>2、采购人在工程量进度达到一半时（付款前供应商按程序需提供合法、有效、完整的发票和支付凭证），采购人在财政拨款后，达到付款条件起30日内，支付合同总金额的40.00%</w:t>
            </w:r>
          </w:p>
          <w:p>
            <w:pPr>
              <w:pStyle w:val="null3"/>
              <w:jc w:val="left"/>
            </w:pPr>
            <w:r>
              <w:rPr>
                <w:rFonts w:ascii="仿宋_GB2312" w:hAnsi="仿宋_GB2312" w:cs="仿宋_GB2312" w:eastAsia="仿宋_GB2312"/>
              </w:rPr>
              <w:t>3、采购人在项目竣（交）工验收合格并移交使用单位后（付款前供应商按程序需提供合法、有效、完整的发票和支付凭证）采购人在财政拨款后，达到付款条件起30日内，支付合同总金额的20.00%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（1）采购人与成交供应商双方必须遵守磋商文件和合同约定，并执行合同中的各项规定，保证本项目的正常履行。 （2）因不可抗力导致协议不能全面或部分履行，采购人、供应商同其他各方及时协商解决，尽量将损失减小到最低程度。 （3）供应商应全面实际地履行本合同约定的各项合同义务，因供应商管理失职，履职不到位，造成安全事故、质量事故、工期拖延等，供应商应承担损害赔偿责任和相应法律责任。同时，采购人按以下约定扣减供应商代建管理费，如违约金不足以弥补采购人损失的，供应商应予以补足。 ①发生了一般事故，其违约金按代建管理费的2%计扣。 ②发生了较大事故，其违约金按代建管理费的4%计扣。 ③发生了重大事故，其违约金按代建管理费的6%计扣。 ④发生了特别重大事故，其违约金按代建管理费的10%计扣。 ⑤发生了严重质量问题，其违约金按代建管理费的4%计扣。 ⑥拖延工期三个月以上，其违约金按代建管理费的5%计扣；拖延工期六个月以上，其违约金按代建管理费的10%计扣。 2. 解决争议的方法： 在协议执行过程中发生争议，采购人与成交供应商应当协商解决，协商不能达成一致时，双方均可向采购人所在地人民法院起诉。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★（1）审定进度款：承包单位向供应商提出申请，供应商报监理单位提出意见并审核后，按财政有关程序送采购人、市财政投资评审中心（按照财政局项目评审有关规定执行）审定。 ★（2）用款申请及拨付：采购人按照审定金额办理用款申请，待市财政局下达资金后向承包单位拨付工程款。 ★（3）代建项目实施过程中禁止随意变更建设规模、建设标准、建设内容和总投资，因国家重大政策调整以及地质自然条件等不可抗拒因素导致设计和投资有重大调整的，应由代建人提出，经委托人、设计、监理、项目使用单位及行业专家等形成统一意见后，根据《乐山市市级重大经济事项决策实施细则（试行）》《乐山市政府投资管理办法》《乐山市市级财政资金分配审批管理办法》《乐山市财政局关于加强市级政府投资项目投资控制的通知》相关规定按程序报相关部门或政府同意后实施。项目使用单位在代建项目实施过程中，提出功能性、特殊要求的设计变更，应根据政府投资项目管理相关规定按程序报审同意后，书面通知代建单位实施。 ★（4）供应商应建立变更台账，严格控制设计变更、工程签证，完善有关程序。实施过程中所涉及的设计变更或增加、减少工程，需由提出方书面通知供应商或采购人，由供应商负责组织采购人、设计、施工、监理等共同研究变更内容，对该变更产生的增、减工程量进行审核。达成一致意见并报委托人审定后，供应商才能组织施工单位实施。若增减工程量较大的变更，按规定上报审批。 ★（5）供应商同时满足如期完成项目代建任务、工程质量合格、项目总投资控制在调整后的预算控制价内的，应予以嘉奖，奖励金额按本协议执行。 ★（6）供应商在项目建设期间对本工程负代建管理责任，工程建设过程中涉及的安全、质量、民事经济等方面的问题和诉讼事项供应商需配合采购人处置。 （7）因不可抗力或非代建人责任造成代建合同无法继续履行的，采购人根据代建合同支付给供应商的代建费供应商不予退还。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技术要求和服务要求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合同主要条款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响应文件封面,供应商应提交的相关证明材料,报价表,投标（响应）函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服务内容要求应答</w:t>
            </w:r>
          </w:p>
        </w:tc>
        <w:tc>
          <w:tcPr>
            <w:tcW w:type="dxa" w:w="3322"/>
          </w:tcPr>
          <w:p>
            <w:pPr>
              <w:pStyle w:val="null3"/>
              <w:jc w:val="left"/>
            </w:pPr>
            <w:r>
              <w:rPr>
                <w:rFonts w:ascii="仿宋_GB2312" w:hAnsi="仿宋_GB2312" w:cs="仿宋_GB2312" w:eastAsia="仿宋_GB2312"/>
              </w:rPr>
              <w:t>1.供应商根据磋商文件第三章“3.3.1 服务内容要求”的所有条款列入此表逐条应答，文件要求提供证明材料或者其他材料的（如：承诺函），证明材料或者其他材料作为本表的附件附后。2.标注有“★”的条款，属于磋商不可变条款，磋商前必须满足，否则作无效处理。 3.供应商需进行电子签章。</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1.供应商根据磋商文件第三章“3.3.2 商务要求”和“3.4其他要求”的所有条款列入此表逐条应答，文件要求提供证明材料或者其他材料的，证明材料或者其他材料作为本表的附件附后。2.标注有“★”的条款，属于磋商不可变条款，磋商前必须满足，否则作无效处理。 3.供应商需进行电子签章。</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磋商小组基于专业判断，认为供应商报价过低，有可能影响产品质量或者不能诚信履约的其他情形。</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编制的项目实施方案包括：1.项目需求的理解和分析；2.本项目的重点、难点分析及解决措施;3.工作进度安排及进度保障措施；4.质量管理方案；5.工作质量保证措施；6.代建服务管理制度及管理机构架构；7.组织竣工验收的程序和流程等进行综合评分，每提供一项方案的得4分，最高得分28分。其中每项方案有重大缺陷[重大缺陷指方案缺项、方案有违反现行法律法规的情形或仅有标题无具体内容]的1项扣4分，扣完为止。其中每项存在一般缺陷（一般缺陷指方案表述中存在与本项目无关的其他行业、其他区域地点、其他项目、前后内容相互矛盾或与采购需求不一致或不符合本项目实际情况）的每有一点扣2分，扣完为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管理方案</w:t>
            </w:r>
          </w:p>
        </w:tc>
        <w:tc>
          <w:tcPr>
            <w:tcW w:type="dxa" w:w="2575"/>
          </w:tcPr>
          <w:p>
            <w:pPr>
              <w:pStyle w:val="null3"/>
              <w:jc w:val="left"/>
            </w:pPr>
            <w:r>
              <w:rPr>
                <w:rFonts w:ascii="仿宋_GB2312" w:hAnsi="仿宋_GB2312" w:cs="仿宋_GB2312" w:eastAsia="仿宋_GB2312"/>
              </w:rPr>
              <w:t>根据供应商编制的管理方案包括：1.风险查勘方案；2.风险防控措施;3.应急响应措施;4.紧急突发事件的应急预案与措施;5.安全管理目标;6.安全保障措施;7.档案管理制度；8.档案管理保障措施等进行综合评分，每提供一项方案的得3分，最高得24分。其中每项方案有重大缺陷[重大缺陷指方案缺项、方案有违反现行法律法规的情形或仅有标题无具体内容]的1项扣3分，扣完为止。其中每项存在一般缺陷（一般缺陷指方案表述中存在与本项目无关的其他行业、其他区域地点、其他项目、前后内容相互矛盾或与采购需求不一致或不符合本项目实际情况）的每有一点扣1.5分，扣完为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1.项目负责人（1人）：具有建筑工程二级及以上建造师资格证书的得7分，具有建筑类中级及以上技术职称的加3分，本项最高得10分。 2.项目团队人员（4人）：为本项目每配备1名工作人员的得2分；本项最高得8分。 注：（1）同一人员不得同时兼任项目负责人、项目团队人员，若出现有同时兼任的情况按职务中得分高的一项计取。 （2）提供相关人员有效的身份证正反面、相应证书和在职证明（在职证明指劳动合同或劳务协议或聘书或其他有效的证明材料），证明材料应真实有效，扫描件或复印件加盖电子签章，不提供或未按要求提供或提供的证明材料不满足要求的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供应商2023年1月1日以来（以合同签订时间为准）每承接过一个类似项目业绩的得10分，在此基础上，每增加一个类似项目业绩的加5分，本项最高得20分。 注：类似项目业绩是指代建服务类业绩，提供合同或协议书，证明材料应真实有效，扫描件或复印件加盖电子签章，不提供或未按要求提供或提供的证明材料不满足要求的不得分。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详见附件：代建合同4.17+.docx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