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6B0B8">
      <w:pPr>
        <w:spacing w:line="360" w:lineRule="auto"/>
        <w:ind w:firstLine="720"/>
        <w:jc w:val="center"/>
        <w:rPr>
          <w:rFonts w:ascii="仿宋" w:hAnsi="仿宋" w:eastAsia="仿宋" w:cs="仿宋"/>
          <w:bCs/>
          <w:color w:val="auto"/>
          <w:sz w:val="36"/>
          <w:szCs w:val="36"/>
        </w:rPr>
      </w:pPr>
      <w:r>
        <w:rPr>
          <w:rFonts w:hint="eastAsia" w:ascii="仿宋" w:hAnsi="仿宋" w:eastAsia="仿宋" w:cs="仿宋"/>
          <w:bCs/>
          <w:color w:val="auto"/>
          <w:sz w:val="36"/>
          <w:szCs w:val="36"/>
        </w:rPr>
        <w:t>西昌市林业和草原局2025年防火能力提升项目</w:t>
      </w:r>
    </w:p>
    <w:p w14:paraId="3D9D9248">
      <w:pPr>
        <w:spacing w:line="360" w:lineRule="auto"/>
        <w:ind w:firstLine="720"/>
        <w:jc w:val="center"/>
        <w:rPr>
          <w:rFonts w:ascii="仿宋" w:hAnsi="仿宋" w:eastAsia="仿宋" w:cs="仿宋"/>
          <w:bCs/>
          <w:color w:val="auto"/>
          <w:sz w:val="36"/>
          <w:szCs w:val="36"/>
        </w:rPr>
      </w:pPr>
      <w:r>
        <w:rPr>
          <w:rFonts w:hint="eastAsia" w:ascii="仿宋" w:hAnsi="仿宋" w:eastAsia="仿宋" w:cs="仿宋"/>
          <w:bCs/>
          <w:color w:val="auto"/>
          <w:sz w:val="36"/>
          <w:szCs w:val="36"/>
        </w:rPr>
        <w:t>政府采购合同</w:t>
      </w:r>
    </w:p>
    <w:p w14:paraId="6C6E0CE3">
      <w:pPr>
        <w:spacing w:line="360" w:lineRule="auto"/>
        <w:ind w:firstLine="480"/>
        <w:rPr>
          <w:rFonts w:ascii="仿宋" w:hAnsi="仿宋" w:eastAsia="仿宋" w:cs="仿宋"/>
          <w:color w:val="auto"/>
          <w:sz w:val="24"/>
        </w:rPr>
      </w:pPr>
    </w:p>
    <w:p w14:paraId="058E5E3A">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合同编号：</w:t>
      </w:r>
    </w:p>
    <w:p w14:paraId="2AA46AF3">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采购人（甲方）：</w:t>
      </w:r>
    </w:p>
    <w:p w14:paraId="2D28D1E6">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供应商（乙方）：</w:t>
      </w:r>
    </w:p>
    <w:p w14:paraId="29E64F73">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根据《中华人民共和国政府采购法》《中华人民共和国民法典》及（项目编号：XXXX   ）（采购包号：XX）的《采购文件》、乙方的《响应文件》及《成交通知书》，甲、乙双方同意签订本合同。详细技术说明及其他有关合同项目的特定信息由合同附件予以说明，合同附件及本项目的采购文件、响应文件、《成交通知书》等均为本合同不可分割的部分。双方同意共同遵守如下条款：</w:t>
      </w:r>
    </w:p>
    <w:p w14:paraId="4E4FD232">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一、供货一览表 （仅供参考，根据实际情况调整）</w:t>
      </w:r>
    </w:p>
    <w:tbl>
      <w:tblPr>
        <w:tblStyle w:val="12"/>
        <w:tblW w:w="917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1220"/>
        <w:gridCol w:w="1347"/>
        <w:gridCol w:w="963"/>
        <w:gridCol w:w="1014"/>
        <w:gridCol w:w="1299"/>
        <w:gridCol w:w="1299"/>
      </w:tblGrid>
      <w:tr w14:paraId="0C24D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5"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8AEAAFB">
            <w:pPr>
              <w:jc w:val="center"/>
              <w:rPr>
                <w:rFonts w:ascii="仿宋" w:hAnsi="仿宋" w:eastAsia="仿宋" w:cs="仿宋"/>
                <w:color w:val="auto"/>
                <w:sz w:val="28"/>
                <w:szCs w:val="28"/>
              </w:rPr>
            </w:pPr>
            <w:r>
              <w:rPr>
                <w:rFonts w:hint="eastAsia" w:ascii="仿宋" w:hAnsi="仿宋" w:eastAsia="仿宋" w:cs="仿宋"/>
                <w:color w:val="auto"/>
                <w:sz w:val="28"/>
                <w:szCs w:val="28"/>
              </w:rPr>
              <w:t>货物品名</w:t>
            </w:r>
          </w:p>
        </w:tc>
        <w:tc>
          <w:tcPr>
            <w:tcW w:w="1220" w:type="dxa"/>
            <w:tcBorders>
              <w:top w:val="single" w:color="auto" w:sz="4" w:space="0"/>
              <w:left w:val="single" w:color="auto" w:sz="4" w:space="0"/>
              <w:bottom w:val="single" w:color="auto" w:sz="4" w:space="0"/>
              <w:right w:val="single" w:color="auto" w:sz="4" w:space="0"/>
            </w:tcBorders>
            <w:vAlign w:val="center"/>
          </w:tcPr>
          <w:p w14:paraId="640A0F95">
            <w:pPr>
              <w:ind w:firstLine="263" w:firstLineChars="95"/>
              <w:jc w:val="center"/>
              <w:rPr>
                <w:rFonts w:ascii="仿宋" w:hAnsi="仿宋" w:eastAsia="仿宋" w:cs="仿宋"/>
                <w:color w:val="auto"/>
                <w:sz w:val="28"/>
                <w:szCs w:val="28"/>
              </w:rPr>
            </w:pPr>
            <w:r>
              <w:rPr>
                <w:rFonts w:hint="eastAsia" w:ascii="仿宋" w:hAnsi="仿宋" w:eastAsia="仿宋" w:cs="仿宋"/>
                <w:color w:val="auto"/>
                <w:sz w:val="28"/>
                <w:szCs w:val="28"/>
              </w:rPr>
              <w:t>规格</w:t>
            </w:r>
          </w:p>
          <w:p w14:paraId="0F441DDA">
            <w:pPr>
              <w:ind w:firstLine="263" w:firstLineChars="95"/>
              <w:jc w:val="center"/>
              <w:rPr>
                <w:rFonts w:ascii="仿宋" w:hAnsi="仿宋" w:eastAsia="仿宋" w:cs="仿宋"/>
                <w:color w:val="auto"/>
                <w:sz w:val="28"/>
                <w:szCs w:val="28"/>
              </w:rPr>
            </w:pPr>
            <w:r>
              <w:rPr>
                <w:rFonts w:hint="eastAsia" w:ascii="仿宋" w:hAnsi="仿宋" w:eastAsia="仿宋" w:cs="仿宋"/>
                <w:color w:val="auto"/>
                <w:sz w:val="28"/>
                <w:szCs w:val="28"/>
              </w:rPr>
              <w:t>型号</w:t>
            </w:r>
          </w:p>
        </w:tc>
        <w:tc>
          <w:tcPr>
            <w:tcW w:w="1347" w:type="dxa"/>
            <w:tcBorders>
              <w:top w:val="single" w:color="auto" w:sz="4" w:space="0"/>
              <w:left w:val="single" w:color="auto" w:sz="4" w:space="0"/>
              <w:bottom w:val="single" w:color="auto" w:sz="4" w:space="0"/>
              <w:right w:val="single" w:color="auto" w:sz="4" w:space="0"/>
            </w:tcBorders>
            <w:vAlign w:val="center"/>
          </w:tcPr>
          <w:p w14:paraId="6C064705">
            <w:pPr>
              <w:jc w:val="center"/>
              <w:rPr>
                <w:rFonts w:ascii="仿宋" w:hAnsi="仿宋" w:eastAsia="仿宋" w:cs="仿宋"/>
                <w:color w:val="auto"/>
                <w:sz w:val="28"/>
                <w:szCs w:val="28"/>
              </w:rPr>
            </w:pPr>
            <w:r>
              <w:rPr>
                <w:rFonts w:hint="eastAsia" w:ascii="仿宋" w:hAnsi="仿宋" w:eastAsia="仿宋" w:cs="仿宋"/>
                <w:color w:val="auto"/>
                <w:sz w:val="28"/>
                <w:szCs w:val="28"/>
              </w:rPr>
              <w:t>详细参数</w:t>
            </w:r>
          </w:p>
        </w:tc>
        <w:tc>
          <w:tcPr>
            <w:tcW w:w="963" w:type="dxa"/>
            <w:tcBorders>
              <w:top w:val="single" w:color="auto" w:sz="4" w:space="0"/>
              <w:left w:val="single" w:color="auto" w:sz="4" w:space="0"/>
              <w:bottom w:val="single" w:color="auto" w:sz="4" w:space="0"/>
              <w:right w:val="single" w:color="auto" w:sz="4" w:space="0"/>
            </w:tcBorders>
            <w:vAlign w:val="center"/>
          </w:tcPr>
          <w:p w14:paraId="41E94BE4">
            <w:pPr>
              <w:ind w:firstLine="138" w:firstLineChars="50"/>
              <w:jc w:val="center"/>
              <w:rPr>
                <w:rFonts w:ascii="仿宋" w:hAnsi="仿宋" w:eastAsia="仿宋" w:cs="仿宋"/>
                <w:color w:val="auto"/>
                <w:sz w:val="28"/>
                <w:szCs w:val="28"/>
              </w:rPr>
            </w:pPr>
            <w:r>
              <w:rPr>
                <w:rFonts w:hint="eastAsia" w:ascii="仿宋" w:hAnsi="仿宋" w:eastAsia="仿宋" w:cs="仿宋"/>
                <w:color w:val="auto"/>
                <w:sz w:val="28"/>
                <w:szCs w:val="28"/>
              </w:rPr>
              <w:t>数量</w:t>
            </w:r>
          </w:p>
        </w:tc>
        <w:tc>
          <w:tcPr>
            <w:tcW w:w="1014" w:type="dxa"/>
            <w:tcBorders>
              <w:top w:val="single" w:color="auto" w:sz="4" w:space="0"/>
              <w:left w:val="single" w:color="auto" w:sz="4" w:space="0"/>
              <w:bottom w:val="single" w:color="auto" w:sz="4" w:space="0"/>
              <w:right w:val="single" w:color="auto" w:sz="4" w:space="0"/>
            </w:tcBorders>
            <w:vAlign w:val="center"/>
          </w:tcPr>
          <w:p w14:paraId="6A8677C7">
            <w:pPr>
              <w:ind w:firstLine="138" w:firstLineChars="50"/>
              <w:jc w:val="center"/>
              <w:rPr>
                <w:rFonts w:ascii="仿宋" w:hAnsi="仿宋" w:eastAsia="仿宋" w:cs="仿宋"/>
                <w:color w:val="auto"/>
                <w:sz w:val="28"/>
                <w:szCs w:val="28"/>
              </w:rPr>
            </w:pPr>
            <w:r>
              <w:rPr>
                <w:rFonts w:hint="eastAsia" w:ascii="仿宋" w:hAnsi="仿宋" w:eastAsia="仿宋" w:cs="仿宋"/>
                <w:color w:val="auto"/>
                <w:sz w:val="28"/>
                <w:szCs w:val="28"/>
              </w:rPr>
              <w:t>单价</w:t>
            </w:r>
          </w:p>
          <w:p w14:paraId="37CC28B7">
            <w:pPr>
              <w:jc w:val="center"/>
              <w:rPr>
                <w:rFonts w:ascii="仿宋" w:hAnsi="仿宋" w:eastAsia="仿宋" w:cs="仿宋"/>
                <w:color w:val="auto"/>
                <w:sz w:val="28"/>
                <w:szCs w:val="28"/>
              </w:rPr>
            </w:pPr>
            <w:r>
              <w:rPr>
                <w:rFonts w:hint="eastAsia" w:ascii="仿宋" w:hAnsi="仿宋" w:eastAsia="仿宋" w:cs="仿宋"/>
                <w:color w:val="auto"/>
                <w:sz w:val="28"/>
                <w:szCs w:val="28"/>
              </w:rPr>
              <w:t>（元）</w:t>
            </w:r>
          </w:p>
        </w:tc>
        <w:tc>
          <w:tcPr>
            <w:tcW w:w="1299" w:type="dxa"/>
            <w:tcBorders>
              <w:top w:val="single" w:color="auto" w:sz="4" w:space="0"/>
              <w:left w:val="single" w:color="auto" w:sz="4" w:space="0"/>
              <w:right w:val="single" w:color="auto" w:sz="4" w:space="0"/>
            </w:tcBorders>
            <w:vAlign w:val="center"/>
          </w:tcPr>
          <w:p w14:paraId="48F21717">
            <w:pPr>
              <w:ind w:left="-1" w:leftChars="-1" w:right="-132" w:rightChars="-42" w:hanging="2" w:hangingChars="1"/>
              <w:jc w:val="center"/>
              <w:rPr>
                <w:rFonts w:ascii="仿宋" w:hAnsi="仿宋" w:eastAsia="仿宋" w:cs="仿宋"/>
                <w:color w:val="auto"/>
                <w:sz w:val="28"/>
                <w:szCs w:val="28"/>
              </w:rPr>
            </w:pPr>
            <w:r>
              <w:rPr>
                <w:rFonts w:hint="eastAsia" w:ascii="仿宋" w:hAnsi="仿宋" w:eastAsia="仿宋" w:cs="仿宋"/>
                <w:color w:val="auto"/>
                <w:sz w:val="28"/>
                <w:szCs w:val="28"/>
              </w:rPr>
              <w:t>总价</w:t>
            </w:r>
          </w:p>
          <w:p w14:paraId="70015B98">
            <w:pPr>
              <w:jc w:val="center"/>
              <w:rPr>
                <w:rFonts w:ascii="仿宋" w:hAnsi="仿宋" w:eastAsia="仿宋" w:cs="仿宋"/>
                <w:color w:val="auto"/>
                <w:sz w:val="28"/>
                <w:szCs w:val="28"/>
              </w:rPr>
            </w:pPr>
            <w:r>
              <w:rPr>
                <w:rFonts w:hint="eastAsia" w:ascii="仿宋" w:hAnsi="仿宋" w:eastAsia="仿宋" w:cs="仿宋"/>
                <w:color w:val="auto"/>
                <w:sz w:val="28"/>
                <w:szCs w:val="28"/>
              </w:rPr>
              <w:t>（元）</w:t>
            </w:r>
          </w:p>
        </w:tc>
        <w:tc>
          <w:tcPr>
            <w:tcW w:w="1299" w:type="dxa"/>
            <w:tcBorders>
              <w:top w:val="single" w:color="auto" w:sz="4" w:space="0"/>
              <w:left w:val="single" w:color="auto" w:sz="4" w:space="0"/>
              <w:right w:val="single" w:color="auto" w:sz="4" w:space="0"/>
            </w:tcBorders>
            <w:vAlign w:val="center"/>
          </w:tcPr>
          <w:p w14:paraId="677207E7">
            <w:pPr>
              <w:ind w:left="-1" w:leftChars="-1" w:right="-132" w:rightChars="-42" w:hanging="2" w:hangingChars="1"/>
              <w:jc w:val="center"/>
              <w:rPr>
                <w:rFonts w:ascii="仿宋" w:hAnsi="仿宋" w:eastAsia="仿宋" w:cs="仿宋"/>
                <w:color w:val="auto"/>
                <w:sz w:val="28"/>
                <w:szCs w:val="28"/>
              </w:rPr>
            </w:pPr>
            <w:r>
              <w:rPr>
                <w:rFonts w:hint="eastAsia" w:ascii="仿宋" w:hAnsi="仿宋" w:eastAsia="仿宋" w:cs="仿宋"/>
                <w:color w:val="auto"/>
                <w:sz w:val="28"/>
                <w:szCs w:val="28"/>
              </w:rPr>
              <w:t>随机配件</w:t>
            </w:r>
          </w:p>
        </w:tc>
      </w:tr>
      <w:tr w14:paraId="43E18B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F9A29D7">
            <w:pPr>
              <w:widowControl/>
              <w:spacing w:line="300" w:lineRule="exact"/>
              <w:textAlignment w:val="center"/>
              <w:rPr>
                <w:rFonts w:ascii="仿宋" w:hAnsi="仿宋" w:eastAsia="仿宋" w:cs="仿宋"/>
                <w:color w:val="auto"/>
                <w:sz w:val="28"/>
                <w:szCs w:val="28"/>
              </w:rPr>
            </w:pPr>
          </w:p>
        </w:tc>
        <w:tc>
          <w:tcPr>
            <w:tcW w:w="1220" w:type="dxa"/>
            <w:tcBorders>
              <w:top w:val="single" w:color="auto" w:sz="4" w:space="0"/>
              <w:left w:val="single" w:color="auto" w:sz="4" w:space="0"/>
              <w:bottom w:val="single" w:color="auto" w:sz="4" w:space="0"/>
              <w:right w:val="single" w:color="auto" w:sz="4" w:space="0"/>
            </w:tcBorders>
            <w:vAlign w:val="center"/>
          </w:tcPr>
          <w:p w14:paraId="287CE14D">
            <w:pPr>
              <w:widowControl/>
              <w:spacing w:line="300" w:lineRule="exact"/>
              <w:textAlignment w:val="center"/>
              <w:rPr>
                <w:rFonts w:ascii="仿宋" w:hAnsi="仿宋" w:eastAsia="仿宋" w:cs="仿宋"/>
                <w:color w:val="auto"/>
                <w:sz w:val="28"/>
                <w:szCs w:val="28"/>
              </w:rPr>
            </w:pPr>
          </w:p>
        </w:tc>
        <w:tc>
          <w:tcPr>
            <w:tcW w:w="1347" w:type="dxa"/>
            <w:tcBorders>
              <w:top w:val="single" w:color="auto" w:sz="4" w:space="0"/>
              <w:left w:val="single" w:color="auto" w:sz="4" w:space="0"/>
              <w:bottom w:val="single" w:color="auto" w:sz="4" w:space="0"/>
              <w:right w:val="single" w:color="auto" w:sz="4" w:space="0"/>
            </w:tcBorders>
            <w:vAlign w:val="center"/>
          </w:tcPr>
          <w:p w14:paraId="7ECA13CC">
            <w:pPr>
              <w:widowControl/>
              <w:spacing w:line="300" w:lineRule="exact"/>
              <w:textAlignment w:val="center"/>
              <w:rPr>
                <w:rFonts w:ascii="仿宋" w:hAnsi="仿宋" w:eastAsia="仿宋" w:cs="仿宋"/>
                <w:color w:val="auto"/>
                <w:sz w:val="28"/>
                <w:szCs w:val="28"/>
              </w:rPr>
            </w:pPr>
          </w:p>
        </w:tc>
        <w:tc>
          <w:tcPr>
            <w:tcW w:w="963" w:type="dxa"/>
            <w:tcBorders>
              <w:top w:val="single" w:color="auto" w:sz="4" w:space="0"/>
              <w:left w:val="single" w:color="auto" w:sz="4" w:space="0"/>
              <w:bottom w:val="single" w:color="auto" w:sz="4" w:space="0"/>
              <w:right w:val="single" w:color="auto" w:sz="4" w:space="0"/>
            </w:tcBorders>
            <w:vAlign w:val="center"/>
          </w:tcPr>
          <w:p w14:paraId="580A9770">
            <w:pPr>
              <w:widowControl/>
              <w:spacing w:line="300" w:lineRule="exact"/>
              <w:textAlignment w:val="center"/>
              <w:rPr>
                <w:rFonts w:ascii="仿宋" w:hAnsi="仿宋" w:eastAsia="仿宋" w:cs="仿宋"/>
                <w:color w:val="auto"/>
                <w:sz w:val="28"/>
                <w:szCs w:val="28"/>
              </w:rPr>
            </w:pPr>
          </w:p>
        </w:tc>
        <w:tc>
          <w:tcPr>
            <w:tcW w:w="1014" w:type="dxa"/>
            <w:tcBorders>
              <w:top w:val="single" w:color="auto" w:sz="4" w:space="0"/>
              <w:left w:val="single" w:color="auto" w:sz="4" w:space="0"/>
              <w:bottom w:val="single" w:color="auto" w:sz="4" w:space="0"/>
              <w:right w:val="single" w:color="auto" w:sz="4" w:space="0"/>
            </w:tcBorders>
            <w:vAlign w:val="center"/>
          </w:tcPr>
          <w:p w14:paraId="71F5D9B8">
            <w:pPr>
              <w:widowControl/>
              <w:spacing w:line="300" w:lineRule="exact"/>
              <w:ind w:firstLine="560"/>
              <w:jc w:val="center"/>
              <w:textAlignment w:val="center"/>
              <w:rPr>
                <w:rFonts w:ascii="仿宋" w:hAnsi="仿宋" w:eastAsia="仿宋" w:cs="仿宋"/>
                <w:color w:val="auto"/>
                <w:sz w:val="28"/>
                <w:szCs w:val="28"/>
              </w:rPr>
            </w:pPr>
          </w:p>
        </w:tc>
        <w:tc>
          <w:tcPr>
            <w:tcW w:w="1299" w:type="dxa"/>
            <w:tcBorders>
              <w:top w:val="single" w:color="auto" w:sz="4" w:space="0"/>
              <w:left w:val="single" w:color="auto" w:sz="4" w:space="0"/>
              <w:bottom w:val="single" w:color="auto" w:sz="4" w:space="0"/>
              <w:right w:val="single" w:color="auto" w:sz="4" w:space="0"/>
            </w:tcBorders>
            <w:vAlign w:val="center"/>
          </w:tcPr>
          <w:p w14:paraId="142A9C07">
            <w:pPr>
              <w:widowControl/>
              <w:spacing w:line="300" w:lineRule="exact"/>
              <w:textAlignment w:val="center"/>
              <w:rPr>
                <w:rFonts w:ascii="仿宋" w:hAnsi="仿宋" w:eastAsia="仿宋" w:cs="仿宋"/>
                <w:color w:val="auto"/>
                <w:sz w:val="28"/>
                <w:szCs w:val="28"/>
              </w:rPr>
            </w:pPr>
          </w:p>
        </w:tc>
        <w:tc>
          <w:tcPr>
            <w:tcW w:w="1299" w:type="dxa"/>
            <w:tcBorders>
              <w:top w:val="single" w:color="auto" w:sz="4" w:space="0"/>
              <w:left w:val="single" w:color="auto" w:sz="4" w:space="0"/>
              <w:bottom w:val="single" w:color="auto" w:sz="4" w:space="0"/>
              <w:right w:val="single" w:color="auto" w:sz="4" w:space="0"/>
            </w:tcBorders>
          </w:tcPr>
          <w:p w14:paraId="3DB4917A">
            <w:pPr>
              <w:widowControl/>
              <w:spacing w:line="300" w:lineRule="exact"/>
              <w:textAlignment w:val="center"/>
              <w:rPr>
                <w:rFonts w:ascii="仿宋" w:hAnsi="仿宋" w:eastAsia="仿宋" w:cs="仿宋"/>
                <w:color w:val="auto"/>
                <w:sz w:val="28"/>
                <w:szCs w:val="28"/>
              </w:rPr>
            </w:pPr>
          </w:p>
        </w:tc>
      </w:tr>
      <w:tr w14:paraId="7943C0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1D3BD354">
            <w:pPr>
              <w:widowControl/>
              <w:spacing w:line="300" w:lineRule="exact"/>
              <w:textAlignment w:val="center"/>
              <w:rPr>
                <w:rFonts w:ascii="仿宋" w:hAnsi="仿宋" w:eastAsia="仿宋" w:cs="仿宋"/>
                <w:color w:val="auto"/>
                <w:sz w:val="28"/>
                <w:szCs w:val="28"/>
              </w:rPr>
            </w:pPr>
          </w:p>
        </w:tc>
        <w:tc>
          <w:tcPr>
            <w:tcW w:w="1220" w:type="dxa"/>
            <w:tcBorders>
              <w:top w:val="single" w:color="auto" w:sz="4" w:space="0"/>
              <w:left w:val="single" w:color="auto" w:sz="4" w:space="0"/>
              <w:bottom w:val="single" w:color="auto" w:sz="4" w:space="0"/>
              <w:right w:val="single" w:color="auto" w:sz="4" w:space="0"/>
            </w:tcBorders>
            <w:vAlign w:val="center"/>
          </w:tcPr>
          <w:p w14:paraId="0706EFF0">
            <w:pPr>
              <w:widowControl/>
              <w:spacing w:line="300" w:lineRule="exact"/>
              <w:textAlignment w:val="center"/>
              <w:rPr>
                <w:rFonts w:ascii="仿宋" w:hAnsi="仿宋" w:eastAsia="仿宋" w:cs="仿宋"/>
                <w:color w:val="auto"/>
                <w:sz w:val="28"/>
                <w:szCs w:val="28"/>
              </w:rPr>
            </w:pPr>
          </w:p>
        </w:tc>
        <w:tc>
          <w:tcPr>
            <w:tcW w:w="1347" w:type="dxa"/>
            <w:tcBorders>
              <w:top w:val="single" w:color="auto" w:sz="4" w:space="0"/>
              <w:left w:val="single" w:color="auto" w:sz="4" w:space="0"/>
              <w:bottom w:val="single" w:color="auto" w:sz="4" w:space="0"/>
              <w:right w:val="single" w:color="auto" w:sz="4" w:space="0"/>
            </w:tcBorders>
            <w:vAlign w:val="center"/>
          </w:tcPr>
          <w:p w14:paraId="4884B3B2">
            <w:pPr>
              <w:widowControl/>
              <w:spacing w:line="300" w:lineRule="exact"/>
              <w:textAlignment w:val="center"/>
              <w:rPr>
                <w:rFonts w:ascii="仿宋" w:hAnsi="仿宋" w:eastAsia="仿宋" w:cs="仿宋"/>
                <w:color w:val="auto"/>
                <w:sz w:val="28"/>
                <w:szCs w:val="28"/>
              </w:rPr>
            </w:pPr>
          </w:p>
        </w:tc>
        <w:tc>
          <w:tcPr>
            <w:tcW w:w="963" w:type="dxa"/>
            <w:tcBorders>
              <w:top w:val="single" w:color="auto" w:sz="4" w:space="0"/>
              <w:left w:val="single" w:color="auto" w:sz="4" w:space="0"/>
              <w:bottom w:val="single" w:color="auto" w:sz="4" w:space="0"/>
              <w:right w:val="single" w:color="auto" w:sz="4" w:space="0"/>
            </w:tcBorders>
            <w:vAlign w:val="center"/>
          </w:tcPr>
          <w:p w14:paraId="2551AA5A">
            <w:pPr>
              <w:widowControl/>
              <w:spacing w:line="300" w:lineRule="exact"/>
              <w:textAlignment w:val="center"/>
              <w:rPr>
                <w:rFonts w:ascii="仿宋" w:hAnsi="仿宋" w:eastAsia="仿宋" w:cs="仿宋"/>
                <w:color w:val="auto"/>
                <w:sz w:val="28"/>
                <w:szCs w:val="28"/>
              </w:rPr>
            </w:pPr>
          </w:p>
        </w:tc>
        <w:tc>
          <w:tcPr>
            <w:tcW w:w="1014" w:type="dxa"/>
            <w:tcBorders>
              <w:top w:val="single" w:color="auto" w:sz="4" w:space="0"/>
              <w:left w:val="single" w:color="auto" w:sz="4" w:space="0"/>
              <w:bottom w:val="single" w:color="auto" w:sz="4" w:space="0"/>
              <w:right w:val="single" w:color="auto" w:sz="4" w:space="0"/>
            </w:tcBorders>
            <w:vAlign w:val="center"/>
          </w:tcPr>
          <w:p w14:paraId="038A151D">
            <w:pPr>
              <w:widowControl/>
              <w:spacing w:line="300" w:lineRule="exact"/>
              <w:textAlignment w:val="center"/>
              <w:rPr>
                <w:rFonts w:ascii="仿宋" w:hAnsi="仿宋" w:eastAsia="仿宋" w:cs="仿宋"/>
                <w:color w:val="auto"/>
                <w:sz w:val="28"/>
                <w:szCs w:val="28"/>
              </w:rPr>
            </w:pPr>
          </w:p>
        </w:tc>
        <w:tc>
          <w:tcPr>
            <w:tcW w:w="1299" w:type="dxa"/>
            <w:tcBorders>
              <w:top w:val="single" w:color="auto" w:sz="4" w:space="0"/>
              <w:left w:val="single" w:color="auto" w:sz="4" w:space="0"/>
              <w:bottom w:val="single" w:color="auto" w:sz="4" w:space="0"/>
              <w:right w:val="single" w:color="auto" w:sz="4" w:space="0"/>
            </w:tcBorders>
            <w:vAlign w:val="center"/>
          </w:tcPr>
          <w:p w14:paraId="4790379D">
            <w:pPr>
              <w:widowControl/>
              <w:spacing w:line="300" w:lineRule="exact"/>
              <w:textAlignment w:val="center"/>
              <w:rPr>
                <w:rFonts w:ascii="仿宋" w:hAnsi="仿宋" w:eastAsia="仿宋" w:cs="仿宋"/>
                <w:color w:val="auto"/>
                <w:sz w:val="28"/>
                <w:szCs w:val="28"/>
              </w:rPr>
            </w:pPr>
          </w:p>
        </w:tc>
        <w:tc>
          <w:tcPr>
            <w:tcW w:w="1299" w:type="dxa"/>
            <w:tcBorders>
              <w:top w:val="single" w:color="auto" w:sz="4" w:space="0"/>
              <w:left w:val="single" w:color="auto" w:sz="4" w:space="0"/>
              <w:bottom w:val="single" w:color="auto" w:sz="4" w:space="0"/>
              <w:right w:val="single" w:color="auto" w:sz="4" w:space="0"/>
            </w:tcBorders>
          </w:tcPr>
          <w:p w14:paraId="2A2436B1">
            <w:pPr>
              <w:widowControl/>
              <w:spacing w:line="300" w:lineRule="exact"/>
              <w:textAlignment w:val="center"/>
              <w:rPr>
                <w:rFonts w:ascii="仿宋" w:hAnsi="仿宋" w:eastAsia="仿宋" w:cs="仿宋"/>
                <w:color w:val="auto"/>
                <w:sz w:val="28"/>
                <w:szCs w:val="28"/>
              </w:rPr>
            </w:pPr>
          </w:p>
        </w:tc>
      </w:tr>
      <w:tr w14:paraId="088563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26126F3">
            <w:pPr>
              <w:widowControl/>
              <w:ind w:firstLine="276" w:firstLineChars="100"/>
              <w:rPr>
                <w:rFonts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rPr>
              <w:t>合计</w:t>
            </w:r>
          </w:p>
        </w:tc>
        <w:tc>
          <w:tcPr>
            <w:tcW w:w="7142" w:type="dxa"/>
            <w:gridSpan w:val="6"/>
            <w:tcBorders>
              <w:top w:val="single" w:color="auto" w:sz="4" w:space="0"/>
              <w:left w:val="single" w:color="auto" w:sz="4" w:space="0"/>
              <w:bottom w:val="single" w:color="auto" w:sz="4" w:space="0"/>
              <w:right w:val="single" w:color="auto" w:sz="4" w:space="0"/>
            </w:tcBorders>
            <w:vAlign w:val="center"/>
          </w:tcPr>
          <w:p w14:paraId="0F3651DF">
            <w:pPr>
              <w:spacing w:line="400" w:lineRule="exact"/>
              <w:rPr>
                <w:rFonts w:ascii="仿宋" w:hAnsi="仿宋" w:eastAsia="仿宋" w:cs="仿宋"/>
                <w:color w:val="auto"/>
                <w:sz w:val="28"/>
                <w:szCs w:val="28"/>
              </w:rPr>
            </w:pPr>
          </w:p>
        </w:tc>
      </w:tr>
      <w:tr w14:paraId="12D668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4"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487D73E7">
            <w:pPr>
              <w:widowControl/>
              <w:ind w:firstLine="276" w:firstLineChars="100"/>
              <w:rPr>
                <w:rFonts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rPr>
              <w:t>备注</w:t>
            </w:r>
          </w:p>
        </w:tc>
        <w:tc>
          <w:tcPr>
            <w:tcW w:w="7142" w:type="dxa"/>
            <w:gridSpan w:val="6"/>
            <w:tcBorders>
              <w:top w:val="single" w:color="auto" w:sz="4" w:space="0"/>
              <w:left w:val="single" w:color="auto" w:sz="4" w:space="0"/>
              <w:bottom w:val="single" w:color="auto" w:sz="4" w:space="0"/>
              <w:right w:val="single" w:color="auto" w:sz="4" w:space="0"/>
            </w:tcBorders>
            <w:vAlign w:val="center"/>
          </w:tcPr>
          <w:p w14:paraId="599E0AF9">
            <w:pPr>
              <w:spacing w:line="400" w:lineRule="exact"/>
              <w:rPr>
                <w:rFonts w:ascii="仿宋" w:hAnsi="仿宋" w:eastAsia="仿宋" w:cs="仿宋"/>
                <w:color w:val="auto"/>
                <w:sz w:val="28"/>
                <w:szCs w:val="28"/>
              </w:rPr>
            </w:pPr>
          </w:p>
        </w:tc>
      </w:tr>
    </w:tbl>
    <w:p w14:paraId="56FD7141">
      <w:pPr>
        <w:spacing w:line="600" w:lineRule="exact"/>
        <w:rPr>
          <w:rFonts w:ascii="仿宋" w:hAnsi="仿宋" w:eastAsia="仿宋" w:cs="仿宋"/>
          <w:color w:val="auto"/>
          <w:sz w:val="28"/>
          <w:szCs w:val="28"/>
        </w:rPr>
      </w:pPr>
    </w:p>
    <w:p w14:paraId="0EA2FF93">
      <w:pPr>
        <w:spacing w:line="6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rPr>
        <w:t>二、合同总金额及履约期限</w:t>
      </w:r>
    </w:p>
    <w:p w14:paraId="00CCF61D">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1.本合同项下货物（含税）总金额：￥XX元，大写人民币：XX。分项价款在《供货一览表》中明确规定。 </w:t>
      </w:r>
    </w:p>
    <w:p w14:paraId="4BEE614C">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2.本合同总价款包括但不限于货物、软件、标准附件、备品备件、专用工具、图纸资料、技术服务，包装、运输、装卸、保险、税金，货到就位以及安装、调试、培训、保修等验收合格之前和质保期内的售后服务的一切税金和费用。 </w:t>
      </w:r>
    </w:p>
    <w:p w14:paraId="452C00D3">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3.本合同执行期间合同总价款不变，甲方无须另向乙方支付本合同规定之外的其他任何费用。如甲方增加购买数量，乙方应承诺单价不高于《供货一览表》中的价格，在最大程度上给予甲方价格优惠。</w:t>
      </w:r>
    </w:p>
    <w:p w14:paraId="7022AAD6">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4.履约时间：合同签订生效之日起60日内完成交货、安装调试。</w:t>
      </w:r>
    </w:p>
    <w:p w14:paraId="7BE29A70">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 xml:space="preserve">三、权利和质量保证 </w:t>
      </w:r>
    </w:p>
    <w:p w14:paraId="1DEFA5E7">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1.乙方应保证甲方在使用该货物或其任何一部分时不存在侵犯第三人知识产权的情况且权属清楚、不存在任何权利瑕疵。</w:t>
      </w:r>
    </w:p>
    <w:p w14:paraId="14D26CCE">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 乙方保证货物（含零部件、配件等）是全新的、未使用过的，完全符合国家规范及甲乙双方确认的投标文件、本合同关于货物数量、质量的要求。货物符合实行国家“三包”（包修、包换、包退）规定的，应执行“三包”规定，相关费用由乙方承担，甲方有权到乙方生产场地检查货物质量和生产进度。</w:t>
      </w:r>
    </w:p>
    <w:p w14:paraId="677CF95B">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乙方应保证其提供的货物在正确安装、正常使用和保养条件下，在其使用寿命内具有良好的性能。货物验收后，在质量保证期内，乙方应对由于设计、工艺或材料的缺陷等所发生的任何不足或故障负责，所需费用由乙方承担。</w:t>
      </w:r>
    </w:p>
    <w:p w14:paraId="66502A0C">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本项目货物的质保期为一年，自本合同货物通过履约验收之日起计算。</w:t>
      </w:r>
    </w:p>
    <w:p w14:paraId="26EAE4B2">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3. 乙方提交的货物应符合投标文件中所记载的详细配置、技术参数及性能，并应附有此类货物完整、详细的技术资料和说明等相应文件。</w:t>
      </w:r>
    </w:p>
    <w:p w14:paraId="260EB155">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4. 乙方提交的货物必须按照采购文件的要求和投标文件的承诺，以约定标准进行制造、安装。</w:t>
      </w:r>
    </w:p>
    <w:p w14:paraId="75DE63E3">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5. 乙方应保证将货物按照国家或专业标准（两标准不一致时，按照较高标准进行包装）包装、确保货物安全无损运抵合同规定的交货地点，并进行安装。每一包装单元内应附详细的装箱单和质量合格凭证。该包装应适应于远距离运输、防潮、防震、防锈和防野蛮装卸，以确保货物安全无损运抵指定地点。由于包装不善所引起的货物损失均由乙方承担。</w:t>
      </w:r>
    </w:p>
    <w:p w14:paraId="1BB274C7">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6.乙方应保证货物不存在危及人身及财产安全的产品缺陷，否则承担全部法律责任。 </w:t>
      </w:r>
    </w:p>
    <w:p w14:paraId="7A156B7D">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四、付款方式</w:t>
      </w:r>
    </w:p>
    <w:p w14:paraId="070D6B55">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 付款条件：乙方向甲方提交下列文件材料，经甲方审核无误后支付采购资金：</w:t>
      </w:r>
    </w:p>
    <w:p w14:paraId="15779C54">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（1）合法有效等额并经甲方确认的发票；</w:t>
      </w:r>
    </w:p>
    <w:p w14:paraId="0EA853C0">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（2）《验收报告》；</w:t>
      </w:r>
    </w:p>
    <w:p w14:paraId="4CE7394E">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（3）其他付款所需的凭证材料。</w:t>
      </w:r>
    </w:p>
    <w:p w14:paraId="749D7900">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 付款方式：</w:t>
      </w:r>
    </w:p>
    <w:p w14:paraId="772E1735">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2.1合同签订生效后10日内，甲方向乙方预付合同金额的40%。</w:t>
      </w:r>
    </w:p>
    <w:p w14:paraId="1B5CA2B5">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2.2乙方完成交货、安装调试并经甲方验收合格后10日内，甲方向乙方合同金额的60%。</w:t>
      </w:r>
    </w:p>
    <w:p w14:paraId="73103513">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2.3乙方应当按照应收款项金额提交等额有效发票，若乙方未按甲方要求提供或迟延提供发票及相关支付凭证材料，则甲方有权延迟或拒绝支付合同相应款项且不承担任何违约责任。</w:t>
      </w:r>
    </w:p>
    <w:p w14:paraId="64E77D74">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 xml:space="preserve">五、交货和验收 </w:t>
      </w:r>
    </w:p>
    <w:p w14:paraId="6B1EF156">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1.乙方应在合同签订生效后XXX日之内完成到货、安装调试并交付使用。若甲方要求乙方交货验收时提供产品检测报告（若涉及），乙方必须无条件配合。</w:t>
      </w:r>
    </w:p>
    <w:p w14:paraId="1BDC12DF">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2.乙方应对提供的货物作全面自查和整理，并列出清单，作为甲方验收和使用的技术条件依据，清单应随提供的验收资料交给甲方。</w:t>
      </w:r>
    </w:p>
    <w:p w14:paraId="6CA988CD">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3.乙方提供的货物应包括本合同规定的全部货物及其附（辅）件、资料。</w:t>
      </w:r>
    </w:p>
    <w:p w14:paraId="6902736D">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4.验收合格的，由双方共同签署《验收报告》。 </w:t>
      </w:r>
    </w:p>
    <w:p w14:paraId="338160A8">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5.甲方可以视项目规模或复杂情况聘请专业人员参与验收，大型或复杂项目，以及特种货物应当邀请国家认可的第三方质量检测机构参与验收。</w:t>
      </w:r>
    </w:p>
    <w:p w14:paraId="553FFE78">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6.货物验收包括：货物包装是否完好，产地生产厂家名称、品牌、型号、规格、数量、外观质量、配置、内在质量，以及调试是否达到本合同规定的效果。乙方应将所提供货物的装箱清单、产品合格证、用户使用手册、原厂保修卡、随机资料及备品备件、易损件、专用工具等交付给甲方；乙方不能完整交付货物、附（辅）件和资料的，视为未按合同约定交货，乙方负责补齐，因此导致逾期交付的，由乙方承担相关的违约责任。 </w:t>
      </w:r>
    </w:p>
    <w:p w14:paraId="2C88829B">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7.履约验收应严格按照《财政部关于进一步加强政府采购需求和履约验收管理的指导意见》（财库〔2016〕205号）等相关规定的要求进行验收，各项技术、服务、商务指标以采购文件要求、乙方响应情况及双方签订的合同条款约定为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1705"/>
        <w:gridCol w:w="6679"/>
      </w:tblGrid>
      <w:tr w14:paraId="2AD4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restart"/>
            <w:noWrap/>
            <w:vAlign w:val="center"/>
          </w:tcPr>
          <w:p w14:paraId="27E55351">
            <w:pPr>
              <w:ind w:firstLine="480"/>
              <w:jc w:val="center"/>
              <w:rPr>
                <w:rFonts w:ascii="仿宋" w:hAnsi="仿宋" w:eastAsia="仿宋" w:cs="仿宋"/>
                <w:color w:val="auto"/>
                <w:sz w:val="24"/>
              </w:rPr>
            </w:pPr>
            <w:r>
              <w:rPr>
                <w:rFonts w:hint="eastAsia" w:ascii="仿宋" w:hAnsi="仿宋" w:eastAsia="仿宋" w:cs="仿宋"/>
                <w:color w:val="auto"/>
                <w:sz w:val="24"/>
              </w:rPr>
              <w:t>履约验收方案</w:t>
            </w:r>
          </w:p>
        </w:tc>
        <w:tc>
          <w:tcPr>
            <w:tcW w:w="1705" w:type="dxa"/>
            <w:noWrap/>
            <w:vAlign w:val="center"/>
          </w:tcPr>
          <w:p w14:paraId="578C1B5F">
            <w:pPr>
              <w:ind w:firstLine="480"/>
              <w:jc w:val="center"/>
              <w:rPr>
                <w:rFonts w:ascii="仿宋" w:hAnsi="仿宋" w:eastAsia="仿宋" w:cs="仿宋"/>
                <w:color w:val="auto"/>
                <w:sz w:val="24"/>
              </w:rPr>
            </w:pPr>
            <w:r>
              <w:rPr>
                <w:rFonts w:hint="eastAsia" w:ascii="仿宋" w:hAnsi="仿宋" w:eastAsia="仿宋" w:cs="仿宋"/>
                <w:color w:val="auto"/>
                <w:sz w:val="24"/>
              </w:rPr>
              <w:t>履约验收</w:t>
            </w:r>
          </w:p>
          <w:p w14:paraId="1D4DE31A">
            <w:pPr>
              <w:ind w:firstLine="480"/>
              <w:jc w:val="center"/>
              <w:rPr>
                <w:rFonts w:ascii="仿宋" w:hAnsi="仿宋" w:eastAsia="仿宋" w:cs="仿宋"/>
                <w:i/>
                <w:iCs/>
                <w:color w:val="auto"/>
                <w:sz w:val="24"/>
              </w:rPr>
            </w:pPr>
            <w:r>
              <w:rPr>
                <w:rFonts w:hint="eastAsia" w:ascii="仿宋" w:hAnsi="仿宋" w:eastAsia="仿宋" w:cs="仿宋"/>
                <w:color w:val="auto"/>
                <w:sz w:val="24"/>
              </w:rPr>
              <w:t>的主体</w:t>
            </w:r>
          </w:p>
        </w:tc>
        <w:tc>
          <w:tcPr>
            <w:tcW w:w="6679" w:type="dxa"/>
            <w:noWrap/>
            <w:vAlign w:val="center"/>
          </w:tcPr>
          <w:p w14:paraId="6BA1AE8E">
            <w:pPr>
              <w:ind w:firstLine="480"/>
              <w:jc w:val="center"/>
              <w:rPr>
                <w:rFonts w:ascii="仿宋" w:hAnsi="仿宋" w:eastAsia="仿宋" w:cs="仿宋"/>
                <w:i/>
                <w:iCs/>
                <w:color w:val="auto"/>
                <w:sz w:val="24"/>
              </w:rPr>
            </w:pPr>
            <w:r>
              <w:rPr>
                <w:rFonts w:hint="eastAsia" w:ascii="仿宋" w:hAnsi="仿宋" w:eastAsia="仿宋" w:cs="仿宋"/>
                <w:i/>
                <w:iCs/>
                <w:color w:val="auto"/>
                <w:sz w:val="24"/>
              </w:rPr>
              <w:t>西昌市林业和草原局</w:t>
            </w:r>
          </w:p>
        </w:tc>
      </w:tr>
      <w:tr w14:paraId="0D55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continue"/>
            <w:noWrap/>
            <w:vAlign w:val="center"/>
          </w:tcPr>
          <w:p w14:paraId="2BF7CBC2">
            <w:pPr>
              <w:ind w:firstLine="480"/>
              <w:jc w:val="center"/>
              <w:rPr>
                <w:rFonts w:ascii="仿宋" w:hAnsi="仿宋" w:eastAsia="仿宋" w:cs="仿宋"/>
                <w:color w:val="auto"/>
                <w:sz w:val="24"/>
              </w:rPr>
            </w:pPr>
          </w:p>
        </w:tc>
        <w:tc>
          <w:tcPr>
            <w:tcW w:w="1705" w:type="dxa"/>
            <w:noWrap/>
            <w:vAlign w:val="center"/>
          </w:tcPr>
          <w:p w14:paraId="4EA33986">
            <w:pPr>
              <w:ind w:firstLine="480"/>
              <w:jc w:val="center"/>
              <w:rPr>
                <w:rFonts w:ascii="仿宋" w:hAnsi="仿宋" w:eastAsia="仿宋" w:cs="仿宋"/>
                <w:color w:val="auto"/>
                <w:sz w:val="24"/>
              </w:rPr>
            </w:pPr>
            <w:r>
              <w:rPr>
                <w:rFonts w:hint="eastAsia" w:ascii="仿宋" w:hAnsi="仿宋" w:eastAsia="仿宋" w:cs="仿宋"/>
                <w:color w:val="auto"/>
                <w:sz w:val="24"/>
              </w:rPr>
              <w:t>邀请验收</w:t>
            </w:r>
          </w:p>
          <w:p w14:paraId="478C8370">
            <w:pPr>
              <w:ind w:firstLine="480"/>
              <w:jc w:val="center"/>
              <w:rPr>
                <w:rFonts w:ascii="仿宋" w:hAnsi="仿宋" w:eastAsia="仿宋" w:cs="仿宋"/>
                <w:color w:val="auto"/>
                <w:sz w:val="24"/>
              </w:rPr>
            </w:pPr>
            <w:r>
              <w:rPr>
                <w:rFonts w:hint="eastAsia" w:ascii="仿宋" w:hAnsi="仿宋" w:eastAsia="仿宋" w:cs="仿宋"/>
                <w:color w:val="auto"/>
                <w:sz w:val="24"/>
              </w:rPr>
              <w:t>对象</w:t>
            </w:r>
          </w:p>
        </w:tc>
        <w:tc>
          <w:tcPr>
            <w:tcW w:w="6679" w:type="dxa"/>
            <w:noWrap/>
            <w:vAlign w:val="center"/>
          </w:tcPr>
          <w:p w14:paraId="568E6D9A">
            <w:pPr>
              <w:ind w:firstLine="480"/>
              <w:rPr>
                <w:rFonts w:ascii="仿宋" w:hAnsi="仿宋" w:eastAsia="仿宋" w:cs="仿宋"/>
                <w:color w:val="auto"/>
                <w:sz w:val="24"/>
              </w:rPr>
            </w:pPr>
            <w:r>
              <w:rPr>
                <w:rFonts w:hint="eastAsia" w:ascii="仿宋" w:hAnsi="仿宋" w:eastAsia="仿宋" w:cs="仿宋"/>
                <w:color w:val="auto"/>
                <w:sz w:val="24"/>
              </w:rPr>
              <w:sym w:font="Wingdings" w:char="F0A8"/>
            </w:r>
            <w:r>
              <w:rPr>
                <w:rFonts w:hint="eastAsia" w:ascii="仿宋" w:hAnsi="仿宋" w:eastAsia="仿宋" w:cs="仿宋"/>
                <w:color w:val="auto"/>
                <w:sz w:val="24"/>
              </w:rPr>
              <w:t xml:space="preserve">采购代理机构           </w:t>
            </w:r>
            <w:r>
              <w:rPr>
                <w:rFonts w:hint="eastAsia" w:ascii="仿宋" w:hAnsi="仿宋" w:eastAsia="仿宋" w:cs="仿宋"/>
                <w:color w:val="auto"/>
                <w:sz w:val="24"/>
              </w:rPr>
              <w:sym w:font="Wingdings" w:char="F0A8"/>
            </w:r>
            <w:r>
              <w:rPr>
                <w:rFonts w:hint="eastAsia" w:ascii="仿宋" w:hAnsi="仿宋" w:eastAsia="仿宋" w:cs="仿宋"/>
                <w:color w:val="auto"/>
                <w:sz w:val="24"/>
              </w:rPr>
              <w:t>服务对象</w:t>
            </w:r>
          </w:p>
          <w:p w14:paraId="31298846">
            <w:pPr>
              <w:ind w:firstLine="480"/>
              <w:rPr>
                <w:rFonts w:ascii="仿宋" w:hAnsi="仿宋" w:eastAsia="仿宋" w:cs="仿宋"/>
                <w:color w:val="auto"/>
                <w:sz w:val="24"/>
              </w:rPr>
            </w:pPr>
            <w:r>
              <w:rPr>
                <w:rFonts w:hint="eastAsia" w:ascii="仿宋" w:hAnsi="仿宋" w:eastAsia="仿宋" w:cs="仿宋"/>
                <w:color w:val="auto"/>
                <w:sz w:val="24"/>
              </w:rPr>
              <w:sym w:font="Wingdings" w:char="F0A8"/>
            </w:r>
            <w:r>
              <w:rPr>
                <w:rFonts w:hint="eastAsia" w:ascii="仿宋" w:hAnsi="仿宋" w:eastAsia="仿宋" w:cs="仿宋"/>
                <w:color w:val="auto"/>
                <w:sz w:val="24"/>
              </w:rPr>
              <w:t xml:space="preserve">参加本项目的其他供应商 </w:t>
            </w:r>
            <w:r>
              <w:rPr>
                <w:rFonts w:hint="eastAsia" w:ascii="仿宋" w:hAnsi="仿宋" w:eastAsia="仿宋" w:cs="仿宋"/>
                <w:color w:val="auto"/>
                <w:sz w:val="24"/>
              </w:rPr>
              <w:sym w:font="Wingdings" w:char="00A8"/>
            </w:r>
            <w:r>
              <w:rPr>
                <w:rFonts w:hint="eastAsia" w:ascii="仿宋" w:hAnsi="仿宋" w:eastAsia="仿宋" w:cs="仿宋"/>
                <w:color w:val="auto"/>
                <w:sz w:val="24"/>
              </w:rPr>
              <w:t xml:space="preserve">专家  </w:t>
            </w:r>
          </w:p>
          <w:p w14:paraId="6A7438D7">
            <w:pPr>
              <w:ind w:firstLine="480"/>
              <w:rPr>
                <w:rFonts w:ascii="仿宋" w:hAnsi="仿宋" w:eastAsia="仿宋" w:cs="仿宋"/>
                <w:i/>
                <w:iCs/>
                <w:color w:val="auto"/>
                <w:sz w:val="24"/>
                <w:u w:val="single"/>
              </w:rPr>
            </w:pPr>
            <w:r>
              <w:rPr>
                <w:rFonts w:hint="eastAsia" w:ascii="仿宋" w:hAnsi="仿宋" w:eastAsia="仿宋" w:cs="仿宋"/>
                <w:color w:val="auto"/>
                <w:sz w:val="24"/>
              </w:rPr>
              <w:sym w:font="Wingdings" w:char="F0A8"/>
            </w:r>
            <w:r>
              <w:rPr>
                <w:rFonts w:hint="eastAsia" w:ascii="仿宋" w:hAnsi="仿宋" w:eastAsia="仿宋" w:cs="仿宋"/>
                <w:color w:val="auto"/>
                <w:sz w:val="24"/>
              </w:rPr>
              <w:t xml:space="preserve">第三方专业机构    </w:t>
            </w:r>
            <w:r>
              <w:rPr>
                <w:rFonts w:hint="eastAsia" w:ascii="仿宋" w:hAnsi="仿宋" w:eastAsia="仿宋" w:cs="仿宋"/>
                <w:color w:val="auto"/>
                <w:sz w:val="24"/>
              </w:rPr>
              <w:sym w:font="Wingdings" w:char="00FE"/>
            </w:r>
            <w:r>
              <w:rPr>
                <w:rFonts w:hint="eastAsia" w:ascii="仿宋" w:hAnsi="仿宋" w:eastAsia="仿宋" w:cs="仿宋"/>
                <w:color w:val="auto"/>
                <w:sz w:val="24"/>
              </w:rPr>
              <w:t>其他</w:t>
            </w:r>
            <w:r>
              <w:rPr>
                <w:rFonts w:hint="eastAsia" w:ascii="仿宋" w:hAnsi="仿宋" w:eastAsia="仿宋" w:cs="仿宋"/>
                <w:color w:val="auto"/>
                <w:sz w:val="24"/>
                <w:u w:val="single"/>
              </w:rPr>
              <w:t xml:space="preserve">  不邀请；</w:t>
            </w:r>
          </w:p>
        </w:tc>
      </w:tr>
      <w:tr w14:paraId="2F25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continue"/>
            <w:noWrap/>
            <w:vAlign w:val="center"/>
          </w:tcPr>
          <w:p w14:paraId="6B6D5CDE">
            <w:pPr>
              <w:ind w:firstLine="480"/>
              <w:jc w:val="center"/>
              <w:rPr>
                <w:rFonts w:ascii="仿宋" w:hAnsi="仿宋" w:eastAsia="仿宋" w:cs="仿宋"/>
                <w:color w:val="auto"/>
                <w:sz w:val="24"/>
              </w:rPr>
            </w:pPr>
          </w:p>
        </w:tc>
        <w:tc>
          <w:tcPr>
            <w:tcW w:w="1705" w:type="dxa"/>
            <w:noWrap/>
            <w:vAlign w:val="center"/>
          </w:tcPr>
          <w:p w14:paraId="0A5CDA8B">
            <w:pPr>
              <w:ind w:firstLine="480"/>
              <w:jc w:val="center"/>
              <w:rPr>
                <w:rFonts w:ascii="仿宋" w:hAnsi="仿宋" w:eastAsia="仿宋" w:cs="仿宋"/>
                <w:color w:val="auto"/>
                <w:sz w:val="24"/>
              </w:rPr>
            </w:pPr>
            <w:r>
              <w:rPr>
                <w:rFonts w:hint="eastAsia" w:ascii="仿宋" w:hAnsi="仿宋" w:eastAsia="仿宋" w:cs="仿宋"/>
                <w:color w:val="auto"/>
                <w:sz w:val="24"/>
              </w:rPr>
              <w:t>时间</w:t>
            </w:r>
          </w:p>
        </w:tc>
        <w:tc>
          <w:tcPr>
            <w:tcW w:w="6679" w:type="dxa"/>
            <w:noWrap/>
            <w:vAlign w:val="center"/>
          </w:tcPr>
          <w:p w14:paraId="11F8E420">
            <w:pPr>
              <w:ind w:firstLine="480"/>
              <w:rPr>
                <w:rFonts w:ascii="仿宋" w:hAnsi="仿宋" w:eastAsia="仿宋" w:cs="仿宋"/>
                <w:color w:val="auto"/>
                <w:sz w:val="24"/>
              </w:rPr>
            </w:pPr>
            <w:r>
              <w:rPr>
                <w:rFonts w:hint="eastAsia" w:ascii="仿宋" w:hAnsi="仿宋" w:eastAsia="仿宋" w:cs="仿宋"/>
                <w:bCs/>
                <w:color w:val="auto"/>
                <w:sz w:val="24"/>
              </w:rPr>
              <w:t>乙方在完成交货、安装调试并交付后提出履约验收申请</w:t>
            </w:r>
            <w:r>
              <w:rPr>
                <w:rFonts w:hint="eastAsia" w:ascii="仿宋" w:hAnsi="仿宋" w:eastAsia="仿宋" w:cs="仿宋"/>
                <w:color w:val="auto"/>
                <w:sz w:val="24"/>
              </w:rPr>
              <w:t>后15日内组织验收</w:t>
            </w:r>
            <w:r>
              <w:rPr>
                <w:rFonts w:hint="eastAsia" w:ascii="仿宋" w:hAnsi="仿宋" w:eastAsia="仿宋" w:cs="仿宋"/>
                <w:bCs/>
                <w:color w:val="auto"/>
                <w:sz w:val="24"/>
              </w:rPr>
              <w:t>。</w:t>
            </w:r>
          </w:p>
        </w:tc>
      </w:tr>
      <w:tr w14:paraId="3819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continue"/>
            <w:noWrap/>
            <w:vAlign w:val="center"/>
          </w:tcPr>
          <w:p w14:paraId="5CF5A69F">
            <w:pPr>
              <w:ind w:firstLine="480"/>
              <w:jc w:val="center"/>
              <w:rPr>
                <w:rFonts w:ascii="仿宋" w:hAnsi="仿宋" w:eastAsia="仿宋" w:cs="仿宋"/>
                <w:i/>
                <w:iCs/>
                <w:color w:val="auto"/>
                <w:sz w:val="24"/>
              </w:rPr>
            </w:pPr>
          </w:p>
        </w:tc>
        <w:tc>
          <w:tcPr>
            <w:tcW w:w="1705" w:type="dxa"/>
            <w:noWrap/>
            <w:vAlign w:val="center"/>
          </w:tcPr>
          <w:p w14:paraId="738330CD">
            <w:pPr>
              <w:ind w:firstLine="480"/>
              <w:jc w:val="center"/>
              <w:rPr>
                <w:rFonts w:ascii="仿宋" w:hAnsi="仿宋" w:eastAsia="仿宋" w:cs="仿宋"/>
                <w:i/>
                <w:iCs/>
                <w:color w:val="auto"/>
                <w:sz w:val="24"/>
              </w:rPr>
            </w:pPr>
            <w:r>
              <w:rPr>
                <w:rFonts w:hint="eastAsia" w:ascii="仿宋" w:hAnsi="仿宋" w:eastAsia="仿宋" w:cs="仿宋"/>
                <w:color w:val="auto"/>
                <w:sz w:val="24"/>
              </w:rPr>
              <w:t>方式</w:t>
            </w:r>
          </w:p>
        </w:tc>
        <w:tc>
          <w:tcPr>
            <w:tcW w:w="6679" w:type="dxa"/>
            <w:noWrap/>
            <w:vAlign w:val="center"/>
          </w:tcPr>
          <w:p w14:paraId="6512F18A">
            <w:pPr>
              <w:ind w:firstLine="480"/>
              <w:rPr>
                <w:rFonts w:ascii="仿宋" w:hAnsi="仿宋" w:eastAsia="仿宋" w:cs="仿宋"/>
                <w:color w:val="auto"/>
                <w:sz w:val="24"/>
              </w:rPr>
            </w:pPr>
            <w:r>
              <w:rPr>
                <w:rFonts w:hint="eastAsia" w:ascii="仿宋" w:hAnsi="仿宋" w:eastAsia="仿宋" w:cs="仿宋"/>
                <w:color w:val="auto"/>
                <w:sz w:val="24"/>
              </w:rPr>
              <w:sym w:font="Wingdings" w:char="00FE"/>
            </w:r>
            <w:r>
              <w:rPr>
                <w:rFonts w:hint="eastAsia" w:ascii="仿宋" w:hAnsi="仿宋" w:eastAsia="仿宋" w:cs="仿宋"/>
                <w:color w:val="auto"/>
                <w:sz w:val="24"/>
              </w:rPr>
              <w:t xml:space="preserve">单位内部验收  </w:t>
            </w:r>
            <w:r>
              <w:rPr>
                <w:rFonts w:hint="eastAsia" w:ascii="仿宋" w:hAnsi="仿宋" w:eastAsia="仿宋" w:cs="仿宋"/>
                <w:color w:val="auto"/>
                <w:sz w:val="24"/>
              </w:rPr>
              <w:sym w:font="Wingdings" w:char="00A8"/>
            </w:r>
            <w:r>
              <w:rPr>
                <w:rFonts w:hint="eastAsia" w:ascii="仿宋" w:hAnsi="仿宋" w:eastAsia="仿宋" w:cs="仿宋"/>
                <w:color w:val="auto"/>
                <w:sz w:val="24"/>
              </w:rPr>
              <w:t>专家评审会</w:t>
            </w:r>
          </w:p>
          <w:p w14:paraId="21CD919A">
            <w:pPr>
              <w:ind w:firstLine="480"/>
              <w:rPr>
                <w:rFonts w:ascii="仿宋" w:hAnsi="仿宋" w:eastAsia="仿宋" w:cs="仿宋"/>
                <w:i/>
                <w:iCs/>
                <w:color w:val="auto"/>
                <w:sz w:val="24"/>
              </w:rPr>
            </w:pPr>
            <w:r>
              <w:rPr>
                <w:rFonts w:hint="eastAsia" w:ascii="仿宋" w:hAnsi="仿宋" w:eastAsia="仿宋" w:cs="仿宋"/>
                <w:color w:val="auto"/>
                <w:sz w:val="24"/>
              </w:rPr>
              <w:sym w:font="Wingdings" w:char="F0A8"/>
            </w:r>
            <w:r>
              <w:rPr>
                <w:rFonts w:hint="eastAsia" w:ascii="仿宋" w:hAnsi="仿宋" w:eastAsia="仿宋" w:cs="仿宋"/>
                <w:color w:val="auto"/>
                <w:sz w:val="24"/>
              </w:rPr>
              <w:t>其他</w:t>
            </w:r>
          </w:p>
        </w:tc>
      </w:tr>
      <w:tr w14:paraId="3DEA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continue"/>
            <w:noWrap/>
            <w:vAlign w:val="center"/>
          </w:tcPr>
          <w:p w14:paraId="46B7542A">
            <w:pPr>
              <w:ind w:firstLine="480"/>
              <w:jc w:val="center"/>
              <w:rPr>
                <w:rFonts w:ascii="仿宋" w:hAnsi="仿宋" w:eastAsia="仿宋" w:cs="仿宋"/>
                <w:i/>
                <w:iCs/>
                <w:color w:val="auto"/>
                <w:sz w:val="24"/>
              </w:rPr>
            </w:pPr>
          </w:p>
        </w:tc>
        <w:tc>
          <w:tcPr>
            <w:tcW w:w="1705" w:type="dxa"/>
            <w:noWrap/>
            <w:vAlign w:val="center"/>
          </w:tcPr>
          <w:p w14:paraId="29571A08">
            <w:pPr>
              <w:ind w:firstLine="480"/>
              <w:jc w:val="center"/>
              <w:rPr>
                <w:rFonts w:ascii="仿宋" w:hAnsi="仿宋" w:eastAsia="仿宋" w:cs="仿宋"/>
                <w:i/>
                <w:iCs/>
                <w:color w:val="auto"/>
                <w:sz w:val="24"/>
              </w:rPr>
            </w:pPr>
            <w:r>
              <w:rPr>
                <w:rFonts w:hint="eastAsia" w:ascii="仿宋" w:hAnsi="仿宋" w:eastAsia="仿宋" w:cs="仿宋"/>
                <w:color w:val="auto"/>
                <w:sz w:val="24"/>
              </w:rPr>
              <w:t>程序</w:t>
            </w:r>
          </w:p>
        </w:tc>
        <w:tc>
          <w:tcPr>
            <w:tcW w:w="6679" w:type="dxa"/>
            <w:noWrap/>
            <w:vAlign w:val="center"/>
          </w:tcPr>
          <w:p w14:paraId="04285CD8">
            <w:pPr>
              <w:ind w:firstLine="480"/>
              <w:rPr>
                <w:rFonts w:ascii="仿宋" w:hAnsi="仿宋" w:eastAsia="仿宋" w:cs="仿宋"/>
                <w:color w:val="auto"/>
                <w:sz w:val="24"/>
              </w:rPr>
            </w:pPr>
            <w:r>
              <w:rPr>
                <w:rFonts w:hint="eastAsia" w:ascii="仿宋" w:hAnsi="仿宋" w:eastAsia="仿宋" w:cs="仿宋"/>
                <w:color w:val="auto"/>
                <w:sz w:val="24"/>
              </w:rPr>
              <w:sym w:font="Wingdings" w:char="00FE"/>
            </w:r>
            <w:r>
              <w:rPr>
                <w:rFonts w:hint="eastAsia" w:ascii="仿宋" w:hAnsi="仿宋" w:eastAsia="仿宋" w:cs="仿宋"/>
                <w:color w:val="auto"/>
                <w:sz w:val="24"/>
              </w:rPr>
              <w:t xml:space="preserve">一次性验收   </w:t>
            </w:r>
            <w:r>
              <w:rPr>
                <w:rFonts w:hint="eastAsia" w:ascii="仿宋" w:hAnsi="仿宋" w:eastAsia="仿宋" w:cs="仿宋"/>
                <w:color w:val="auto"/>
                <w:sz w:val="24"/>
              </w:rPr>
              <w:sym w:font="Wingdings" w:char="F0A8"/>
            </w:r>
            <w:r>
              <w:rPr>
                <w:rFonts w:hint="eastAsia" w:ascii="仿宋" w:hAnsi="仿宋" w:eastAsia="仿宋" w:cs="仿宋"/>
                <w:color w:val="auto"/>
                <w:sz w:val="24"/>
              </w:rPr>
              <w:t xml:space="preserve">分段验收   </w:t>
            </w:r>
            <w:r>
              <w:rPr>
                <w:rFonts w:hint="eastAsia" w:ascii="仿宋" w:hAnsi="仿宋" w:eastAsia="仿宋" w:cs="仿宋"/>
                <w:color w:val="auto"/>
                <w:sz w:val="24"/>
              </w:rPr>
              <w:sym w:font="Wingdings" w:char="F0A8"/>
            </w:r>
            <w:r>
              <w:rPr>
                <w:rFonts w:hint="eastAsia" w:ascii="仿宋" w:hAnsi="仿宋" w:eastAsia="仿宋" w:cs="仿宋"/>
                <w:color w:val="auto"/>
                <w:sz w:val="24"/>
              </w:rPr>
              <w:t>分期验收</w:t>
            </w:r>
          </w:p>
          <w:p w14:paraId="19E3B504">
            <w:pPr>
              <w:ind w:firstLine="480"/>
              <w:rPr>
                <w:rFonts w:ascii="仿宋" w:hAnsi="仿宋" w:eastAsia="仿宋" w:cs="仿宋"/>
                <w:i/>
                <w:iCs/>
                <w:color w:val="auto"/>
                <w:sz w:val="24"/>
              </w:rPr>
            </w:pPr>
            <w:r>
              <w:rPr>
                <w:rFonts w:hint="eastAsia" w:ascii="仿宋" w:hAnsi="仿宋" w:eastAsia="仿宋" w:cs="仿宋"/>
                <w:color w:val="auto"/>
                <w:sz w:val="24"/>
              </w:rPr>
              <w:sym w:font="Wingdings" w:char="F0A8"/>
            </w:r>
            <w:r>
              <w:rPr>
                <w:rFonts w:hint="eastAsia" w:ascii="仿宋" w:hAnsi="仿宋" w:eastAsia="仿宋" w:cs="仿宋"/>
                <w:color w:val="auto"/>
                <w:sz w:val="24"/>
              </w:rPr>
              <w:t>其他</w:t>
            </w:r>
          </w:p>
        </w:tc>
      </w:tr>
      <w:tr w14:paraId="2443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continue"/>
            <w:noWrap/>
            <w:vAlign w:val="center"/>
          </w:tcPr>
          <w:p w14:paraId="5A47257C">
            <w:pPr>
              <w:ind w:firstLine="480"/>
              <w:jc w:val="center"/>
              <w:rPr>
                <w:rFonts w:ascii="仿宋" w:hAnsi="仿宋" w:eastAsia="仿宋" w:cs="仿宋"/>
                <w:i/>
                <w:iCs/>
                <w:color w:val="auto"/>
                <w:sz w:val="24"/>
              </w:rPr>
            </w:pPr>
          </w:p>
        </w:tc>
        <w:tc>
          <w:tcPr>
            <w:tcW w:w="1705" w:type="dxa"/>
            <w:noWrap/>
            <w:vAlign w:val="center"/>
          </w:tcPr>
          <w:p w14:paraId="30A25517">
            <w:pPr>
              <w:ind w:firstLine="480"/>
              <w:jc w:val="center"/>
              <w:rPr>
                <w:rFonts w:ascii="仿宋" w:hAnsi="仿宋" w:eastAsia="仿宋" w:cs="仿宋"/>
                <w:i/>
                <w:iCs/>
                <w:color w:val="auto"/>
                <w:sz w:val="24"/>
              </w:rPr>
            </w:pPr>
            <w:r>
              <w:rPr>
                <w:rFonts w:hint="eastAsia" w:ascii="仿宋" w:hAnsi="仿宋" w:eastAsia="仿宋" w:cs="仿宋"/>
                <w:color w:val="auto"/>
                <w:sz w:val="24"/>
              </w:rPr>
              <w:t>验收内容及标准</w:t>
            </w:r>
          </w:p>
        </w:tc>
        <w:tc>
          <w:tcPr>
            <w:tcW w:w="6679" w:type="dxa"/>
            <w:noWrap/>
            <w:vAlign w:val="center"/>
          </w:tcPr>
          <w:p w14:paraId="0C41410C">
            <w:pPr>
              <w:ind w:firstLine="480"/>
              <w:rPr>
                <w:rFonts w:ascii="仿宋" w:hAnsi="仿宋" w:eastAsia="仿宋" w:cs="仿宋"/>
                <w:i/>
                <w:iCs/>
                <w:color w:val="auto"/>
                <w:sz w:val="24"/>
              </w:rPr>
            </w:pPr>
            <w:r>
              <w:rPr>
                <w:rFonts w:hint="eastAsia" w:ascii="仿宋" w:hAnsi="仿宋" w:eastAsia="仿宋" w:cs="仿宋"/>
                <w:color w:val="auto"/>
                <w:sz w:val="24"/>
              </w:rPr>
              <w:t>以采购文件要求、乙方响应文件应答及合同约定内容为准。</w:t>
            </w:r>
          </w:p>
        </w:tc>
      </w:tr>
      <w:tr w14:paraId="7B57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22" w:type="dxa"/>
            <w:vMerge w:val="continue"/>
            <w:noWrap/>
            <w:vAlign w:val="center"/>
          </w:tcPr>
          <w:p w14:paraId="359C2FB1">
            <w:pPr>
              <w:ind w:firstLine="480"/>
              <w:rPr>
                <w:rFonts w:ascii="仿宋" w:hAnsi="仿宋" w:eastAsia="仿宋" w:cs="仿宋"/>
                <w:i/>
                <w:iCs/>
                <w:color w:val="auto"/>
                <w:sz w:val="24"/>
              </w:rPr>
            </w:pPr>
          </w:p>
        </w:tc>
        <w:tc>
          <w:tcPr>
            <w:tcW w:w="1705" w:type="dxa"/>
            <w:noWrap/>
            <w:vAlign w:val="center"/>
          </w:tcPr>
          <w:p w14:paraId="4B67FF67">
            <w:pPr>
              <w:wordWrap w:val="0"/>
              <w:topLinePunct/>
              <w:ind w:firstLine="480"/>
              <w:jc w:val="center"/>
              <w:rPr>
                <w:rFonts w:ascii="仿宋" w:hAnsi="仿宋" w:eastAsia="仿宋" w:cs="仿宋"/>
                <w:color w:val="auto"/>
                <w:sz w:val="24"/>
              </w:rPr>
            </w:pPr>
            <w:r>
              <w:rPr>
                <w:rFonts w:hint="eastAsia" w:ascii="仿宋" w:hAnsi="仿宋" w:eastAsia="仿宋" w:cs="仿宋"/>
                <w:color w:val="auto"/>
                <w:sz w:val="24"/>
              </w:rPr>
              <w:t>其他事项</w:t>
            </w:r>
          </w:p>
        </w:tc>
        <w:tc>
          <w:tcPr>
            <w:tcW w:w="6679" w:type="dxa"/>
            <w:noWrap/>
            <w:vAlign w:val="center"/>
          </w:tcPr>
          <w:p w14:paraId="00F4FD96">
            <w:pPr>
              <w:ind w:firstLine="480"/>
              <w:rPr>
                <w:rFonts w:ascii="仿宋" w:hAnsi="仿宋" w:eastAsia="仿宋" w:cs="仿宋"/>
                <w:color w:val="auto"/>
                <w:sz w:val="24"/>
              </w:rPr>
            </w:pPr>
            <w:r>
              <w:rPr>
                <w:rFonts w:hint="eastAsia" w:ascii="仿宋" w:hAnsi="仿宋" w:eastAsia="仿宋" w:cs="仿宋"/>
                <w:color w:val="auto"/>
                <w:sz w:val="24"/>
              </w:rPr>
              <w:t>1、履约验收应严格按照《财政部关于进一步加强政府采购需求和履约验收管理的指导意见》（财库〔2016〕205号）等相关规定的要求进行验收，各项技术、服务、商务指标以采购文件要求、乙方响应情况及双方签订的采购合同条款约定为准；甲方与乙方双方如对质量要求和技术指标的约定标准有相互抵触或异议的事项，由甲方在采购文件及响应文件中按质量要求和技术指标比较优胜的原则确定该项的约定标准进行验收。</w:t>
            </w:r>
          </w:p>
          <w:p w14:paraId="1B886C97">
            <w:pPr>
              <w:ind w:firstLine="480"/>
              <w:rPr>
                <w:rFonts w:ascii="仿宋" w:hAnsi="仿宋" w:eastAsia="仿宋" w:cs="仿宋"/>
                <w:color w:val="auto"/>
                <w:sz w:val="24"/>
                <w:u w:val="single"/>
              </w:rPr>
            </w:pPr>
            <w:r>
              <w:rPr>
                <w:rFonts w:hint="eastAsia" w:ascii="仿宋" w:hAnsi="仿宋" w:eastAsia="仿宋" w:cs="仿宋"/>
                <w:color w:val="auto"/>
                <w:sz w:val="24"/>
              </w:rPr>
              <w:t>2、甲方无正当理由不进行验收工作并已使用项目履约成果的，视同验收合格。</w:t>
            </w:r>
          </w:p>
        </w:tc>
      </w:tr>
    </w:tbl>
    <w:p w14:paraId="0D1E99ED">
      <w:pPr>
        <w:spacing w:line="600" w:lineRule="exact"/>
        <w:ind w:firstLine="552" w:firstLineChars="200"/>
        <w:rPr>
          <w:rFonts w:ascii="仿宋" w:hAnsi="仿宋" w:eastAsia="仿宋" w:cs="仿宋"/>
          <w:color w:val="auto"/>
          <w:sz w:val="28"/>
          <w:szCs w:val="28"/>
        </w:rPr>
      </w:pPr>
    </w:p>
    <w:p w14:paraId="702B0EE6">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 xml:space="preserve">六、项目管理服务 </w:t>
      </w:r>
    </w:p>
    <w:p w14:paraId="6EC3C1AB">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乙方应指定不少于一人全权全程负责本项目的商务服务，以及货物安装、调试、咨询、培训和售后等技术服务工作。 </w:t>
      </w:r>
    </w:p>
    <w:p w14:paraId="734640C3">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项目负责人姓名：XX  ； 联系电话：XX  ；身份证号码：XX；</w:t>
      </w:r>
    </w:p>
    <w:p w14:paraId="13EDDFA8">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乙方变更负责人信息的，应当提前     日书面通知甲方，若因乙方未及时通知所产生的一切责任和损失由乙方承担。</w:t>
      </w:r>
    </w:p>
    <w:p w14:paraId="0B8DAB5B">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 xml:space="preserve">七、售后服务 </w:t>
      </w:r>
    </w:p>
    <w:p w14:paraId="6F0E6450">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7.1货物验收合格及质保期结束后，乙方应继续向甲方提供良好的技术支持，负责货物及主要部件、配件维修更换，并提供7×24小时电话技术援助服务，应当对甲方所反映的任何问题在24小时之内做出及时响应。质保期满后，如需维修的乙方只收取维修备件成本费用。</w:t>
      </w:r>
    </w:p>
    <w:p w14:paraId="0B6D5999">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八、分包</w:t>
      </w:r>
    </w:p>
    <w:p w14:paraId="5BD1C07B">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除响应文件事先说明、且经甲方事先书面同意外，乙方不得分包其应履行的合同义务。</w:t>
      </w:r>
    </w:p>
    <w:p w14:paraId="2B0E124A">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九、违约责任</w:t>
      </w:r>
    </w:p>
    <w:p w14:paraId="1CA3E47E">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9.1甲方违约责任</w:t>
      </w:r>
    </w:p>
    <w:p w14:paraId="15C4430E">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（1）甲方无正当理由拒收货物、拒付货款的，甲方应向乙方偿付拒付货款1％的违约金。</w:t>
      </w:r>
    </w:p>
    <w:p w14:paraId="06675CB9">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2）甲方无正当理由未按合同规定的期限向乙方支付货款的，除应及时付足合同款外，应向乙方偿付每日逾期付款利息，具体利息计算规则为：应付而未付款总额×合同订立时1年期贷款市场报价利率/365*具体逾期支付天数。</w:t>
      </w:r>
    </w:p>
    <w:p w14:paraId="78817CA6">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（3）若因财政年终决算关账或财政资金未下达等客观原因导致甲方未按合同约定支付相应款项的，不视为甲方违约，甲方不承担任何违约责任。</w:t>
      </w:r>
    </w:p>
    <w:p w14:paraId="4A708A81">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9.2乙方违约责任</w:t>
      </w:r>
    </w:p>
    <w:p w14:paraId="714863A5">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（1）乙方所交付的货物或安装调试不符合本合同约定的，甲方有权拒收并按对应货物金额的10%向乙方收取违约金，同时有权按照以下任一方式继续处理：</w:t>
      </w:r>
    </w:p>
    <w:p w14:paraId="1EFAC171">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① 要求乙方在收到甲方通知之日起7个工作日内采取补救措施（如要求乙方限期重新完成货物交付或安装调试至符合合同约定）；若未在前述整改期限内完成交付或完成安装调试，则甲方有权向乙方另行收取对应货物金额10%的违约金并解除合同，同时要求乙方退还已收取的费用及利息。</w:t>
      </w:r>
    </w:p>
    <w:p w14:paraId="4C56058E">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② 直接解除合同并要求乙方退还已收取的费用及利息。</w:t>
      </w:r>
    </w:p>
    <w:p w14:paraId="70539DE9">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2）乙方无正当理由逾期交付货物或完成安装调试的，每逾期1日，乙方向甲方偿付相应货物金额1%的违约金。如乙方逾期达15天，甲方有权解除合同，甲方解除合同的通知自到达乙方时生效，同时乙方应向甲方另行支付相应货物金额10%的违约金，并退还甲方已支付的相应货款及其利息。</w:t>
      </w:r>
    </w:p>
    <w:p w14:paraId="47313880">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3）乙方保证本合同货物的权利无瑕疵，包括货物所有权及知识产权等权利无瑕疵。如任何第三方经法院（或仲裁机构）裁决有权对上述产品主张权利，由乙方承担经济责任的，甲方有权无条件解除合同，乙方除应向甲方返还已收款项及其利息外，还应另按相应货物金额的10%向甲方支付违约金。</w:t>
      </w:r>
    </w:p>
    <w:p w14:paraId="49A26FE5">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4）乙方未按照投标文件承诺和本合同约定提供服务的，每出现一次违约，乙方应按合同总金额的5%向甲方支付违约金，并按照甲方要求限期整改。出现三次及以上违约或未按甲方要求整改的，甲方有权直接解除合同，自解除通知到达乙方时即生效，乙方除应向甲方返还已收款项及其利息外，还应另按合同总金额的5%向甲方支付违约金。</w:t>
      </w:r>
    </w:p>
    <w:p w14:paraId="167D9575">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（5）乙方违反保密义务的，甲方有权解除本合同并要求乙方赔偿合同总金额10%的违约金，且有权要求乙方退还甲方已支付的相应款项及利息，乙方及涉事人员还需承担相关的法律责任。</w:t>
      </w:r>
    </w:p>
    <w:p w14:paraId="58480A7A">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（6）乙方违反本合同约定的，除应当按照本合同约定支付违约金外，还应一并赔偿由此给甲方造成的全部损失，包括甲方因诉讼产生的律师费、诉讼费用、保全保险费、差旅费等费用。</w:t>
      </w:r>
    </w:p>
    <w:p w14:paraId="1168C2A0">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（7）未经双方协商一致，合同任何一方不得单方面变更、中止、解除或终止本合同，否则违约方应承担合同总金额10%的违约金。</w:t>
      </w:r>
    </w:p>
    <w:p w14:paraId="4B80F593">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（8）乙方未经甲方书面同意，不得擅自分包、转包，否则甲方有权立即终止合同，并要求乙方停止分包、转包行为，同时有权要求乙方承担合同总金额10%的违约金。</w:t>
      </w:r>
    </w:p>
    <w:p w14:paraId="197145E6">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（9）合同签订后，若乙方在本项目中存在以虚假材料谋取中标或成交等违反政府采购法律法规的行为，甲方有权无条件解除本合同并要求乙方退还相应费用及利息。</w:t>
      </w:r>
    </w:p>
    <w:p w14:paraId="3F84B3A2">
      <w:pPr>
        <w:spacing w:line="560" w:lineRule="exact"/>
        <w:ind w:firstLine="552" w:firstLineChars="200"/>
        <w:jc w:val="left"/>
        <w:rPr>
          <w:rFonts w:ascii="仿宋" w:hAnsi="仿宋" w:eastAsia="仿宋" w:cs="仿宋"/>
          <w:color w:val="auto"/>
          <w:sz w:val="28"/>
          <w:szCs w:val="28"/>
        </w:rPr>
      </w:pPr>
      <w:r>
        <w:rPr>
          <w:rFonts w:hint="eastAsia" w:ascii="仿宋" w:hAnsi="仿宋" w:eastAsia="仿宋" w:cs="仿宋"/>
          <w:color w:val="auto"/>
          <w:sz w:val="28"/>
          <w:szCs w:val="28"/>
        </w:rPr>
        <w:t>9.3合同履行过程中，如遇采购法律法规变化、采购监督管理部门或上级部门发布新的规范性文件或履行合同的客观条件变化（包括但不限于甲方年度整体预算或项目预算被调整、采购需求必须调整等情况），导致本项目甲方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6581CE9C">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十、其他约定</w:t>
      </w:r>
    </w:p>
    <w:p w14:paraId="727B37E2">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10.1知识产权：乙方所提供的服务或其任何一部分均不会侵犯任何第三方的专利权、商标权、著作权或其他合法权益，否则视为乙方违约，按合同约定承担相应违约责任；甲方享有本项目实施过程中产生的知识成果及知识产权，未经甲方书面允许乙方不得另做他用。</w:t>
      </w:r>
    </w:p>
    <w:p w14:paraId="3221E9D7">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10.2保密要求：乙方应对项目实施过程及实施过程中获取的所有相关数据、信息等材料保密，未经甲方书面允许，不得以任意形式传播或泄露相关信息。保密期限不受合同有效期的限制，在合同有效期结束后，乙方仍应承担保密义务，直至该等信息非因接收方原因失去其保密性质且为公众所知悉时止。</w:t>
      </w:r>
    </w:p>
    <w:p w14:paraId="3B6CECBA">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10.3质量保修范围和保修期：</w:t>
      </w:r>
    </w:p>
    <w:p w14:paraId="5B5274B9">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（1）质量保修期：本项目质量保修期为履约验收合格之日起1年，如遇调试、维修设备无法正常使用，时间顺延。（产品制造厂家原厂质保期大于1年的，以厂家质保期为准。）</w:t>
      </w:r>
    </w:p>
    <w:p w14:paraId="0A7B7401">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（2）保修范围：本项目所有的设备功能及相关软件系统升级均在保修范围内；其他相关要求按照国家或行业三包要求执行。</w:t>
      </w:r>
    </w:p>
    <w:p w14:paraId="3991C3D6">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10.4保险：乙方应按照相关规定为所有工作人员购买工伤保险或意外伤害保险等，履约期间乙方工作人员发生意外伤害的，均由供应商负责。</w:t>
      </w:r>
    </w:p>
    <w:p w14:paraId="64323474">
      <w:pPr>
        <w:spacing w:line="600" w:lineRule="exact"/>
        <w:ind w:firstLine="552" w:firstLineChars="200"/>
        <w:rPr>
          <w:rFonts w:ascii="仿宋" w:hAnsi="仿宋" w:eastAsia="仿宋" w:cs="仿宋"/>
          <w:color w:val="auto"/>
          <w:sz w:val="28"/>
          <w:szCs w:val="28"/>
        </w:rPr>
      </w:pPr>
    </w:p>
    <w:p w14:paraId="272A9305">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十一、不可抗力</w:t>
      </w:r>
    </w:p>
    <w:p w14:paraId="3979CEF7">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甲、乙方中任何一方，因不可抗力不能按时或完全履行合同的，应于___7__个工作日内通知对方，并在  7  个工作日内提供有权机关出具的相应证明。确定由不可抗力造成的损失，免于承担赔偿责任。</w:t>
      </w:r>
    </w:p>
    <w:p w14:paraId="31CFD0BB">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在取得有关机构的不可抗力证明或双方谅解确认后，双方可就合同是否延期履行、如何履行等问题进行协商，并向主管部门和政府采购管理部门报告。经协商___3_日后不能达成一致的，双方均有权解除合同。</w:t>
      </w:r>
    </w:p>
    <w:p w14:paraId="4BDB4502">
      <w:pPr>
        <w:spacing w:line="600" w:lineRule="exact"/>
        <w:ind w:firstLine="552" w:firstLineChars="200"/>
        <w:rPr>
          <w:rFonts w:ascii="仿宋" w:hAnsi="仿宋" w:eastAsia="仿宋" w:cs="仿宋"/>
          <w:color w:val="auto"/>
          <w:sz w:val="28"/>
          <w:szCs w:val="28"/>
        </w:rPr>
      </w:pPr>
      <w:bookmarkStart w:id="0" w:name="_GoBack"/>
      <w:bookmarkEnd w:id="0"/>
      <w:r>
        <w:rPr>
          <w:rFonts w:hint="eastAsia" w:ascii="仿宋" w:hAnsi="仿宋" w:eastAsia="仿宋" w:cs="仿宋"/>
          <w:color w:val="auto"/>
          <w:sz w:val="28"/>
          <w:szCs w:val="28"/>
        </w:rPr>
        <w:t>甲、乙方中任何一方违约后发生的不可抗力情形，并不能免除违约方应当承担的违约责任。</w:t>
      </w:r>
    </w:p>
    <w:p w14:paraId="2C7360C9">
      <w:pPr>
        <w:spacing w:line="600" w:lineRule="exact"/>
        <w:ind w:firstLine="562"/>
        <w:rPr>
          <w:rFonts w:ascii="仿宋" w:hAnsi="仿宋" w:eastAsia="仿宋" w:cs="仿宋"/>
          <w:b/>
          <w:bCs/>
          <w:color w:val="auto"/>
          <w:sz w:val="28"/>
          <w:szCs w:val="28"/>
        </w:rPr>
      </w:pPr>
      <w:r>
        <w:rPr>
          <w:rFonts w:hint="eastAsia" w:ascii="仿宋" w:hAnsi="仿宋" w:eastAsia="仿宋" w:cs="仿宋"/>
          <w:b/>
          <w:bCs/>
          <w:color w:val="auto"/>
          <w:sz w:val="28"/>
          <w:szCs w:val="28"/>
        </w:rPr>
        <w:t>十二、争议的解决方式</w:t>
      </w:r>
    </w:p>
    <w:p w14:paraId="229E9686">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1.在解释或者执行本合同的过程中发生争议时，双方应通过协商方式解决。 </w:t>
      </w:r>
    </w:p>
    <w:p w14:paraId="089CFD9D">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2.经协商不能解决的争议，双方可选择以下第1 种方式解决：</w:t>
      </w:r>
    </w:p>
    <w:p w14:paraId="408F8BF5">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2.1向甲方所在地有管辖权的法院提起诉讼，诉讼产生的相应费用应由败诉方承担。</w:t>
      </w:r>
    </w:p>
    <w:p w14:paraId="1C5736D4">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2.2提交甲方当地仲裁委员会依照其现行有效的仲裁规则进行仲裁。</w:t>
      </w:r>
    </w:p>
    <w:p w14:paraId="2E94728C">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3.在法院审理和仲裁期间，除有争议部分外，本合同其他部分可以履行的仍应按合同条款继续履行。</w:t>
      </w:r>
    </w:p>
    <w:p w14:paraId="1523D31A">
      <w:pPr>
        <w:spacing w:line="600" w:lineRule="exact"/>
        <w:ind w:firstLine="55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十三、其他</w:t>
      </w:r>
    </w:p>
    <w:p w14:paraId="5072EA60">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1.本合同所有附件、采购文件、投标/响应文件、中标/成交通知书均为本合同的有效组成部分，与本合同具有同等法律效力。</w:t>
      </w:r>
    </w:p>
    <w:p w14:paraId="0CCEFF54">
      <w:pPr>
        <w:spacing w:line="600" w:lineRule="exact"/>
        <w:ind w:firstLine="552" w:firstLineChars="200"/>
        <w:rPr>
          <w:rFonts w:ascii="仿宋" w:hAnsi="仿宋" w:eastAsia="仿宋" w:cs="仿宋"/>
          <w:color w:val="auto"/>
          <w:sz w:val="28"/>
          <w:szCs w:val="28"/>
        </w:rPr>
      </w:pPr>
      <w:r>
        <w:rPr>
          <w:rFonts w:hint="eastAsia" w:ascii="仿宋" w:hAnsi="仿宋" w:eastAsia="仿宋" w:cs="仿宋"/>
          <w:color w:val="auto"/>
          <w:sz w:val="28"/>
          <w:szCs w:val="28"/>
        </w:rPr>
        <w:t>2.本合同一式   份，自双方法定代表人或授权代表签字并盖章之日起生效。甲方       份，乙方       份，政府采购代理机构       份，同级政府采购监督管理部门壹份，具有同等法律效力。</w:t>
      </w:r>
    </w:p>
    <w:p w14:paraId="5B90A562">
      <w:pPr>
        <w:spacing w:line="600" w:lineRule="exact"/>
        <w:rPr>
          <w:rFonts w:ascii="仿宋" w:hAnsi="仿宋" w:eastAsia="仿宋" w:cs="仿宋"/>
          <w:color w:val="auto"/>
          <w:sz w:val="28"/>
          <w:szCs w:val="28"/>
        </w:rPr>
      </w:pPr>
    </w:p>
    <w:p w14:paraId="6AC8CE3B">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甲  方：                                 乙  方：</w:t>
      </w:r>
    </w:p>
    <w:p w14:paraId="28AEDC2A">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法定代表人（授权代表）：                  法定代表人（授权代表）：</w:t>
      </w:r>
    </w:p>
    <w:p w14:paraId="26B6D9A9">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地    址：                               地    址：</w:t>
      </w:r>
    </w:p>
    <w:p w14:paraId="07A5AA9E">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开户银行：                               开户银行：</w:t>
      </w:r>
    </w:p>
    <w:p w14:paraId="30872DE0">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账    号：                               账    号：</w:t>
      </w:r>
    </w:p>
    <w:p w14:paraId="40264D3D">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电    话：                               电    话：</w:t>
      </w:r>
    </w:p>
    <w:p w14:paraId="2597E177">
      <w:pPr>
        <w:spacing w:line="600" w:lineRule="exact"/>
        <w:rPr>
          <w:rFonts w:ascii="仿宋" w:hAnsi="仿宋" w:eastAsia="仿宋" w:cs="仿宋"/>
          <w:color w:val="auto"/>
          <w:sz w:val="28"/>
          <w:szCs w:val="28"/>
        </w:rPr>
      </w:pPr>
      <w:r>
        <w:rPr>
          <w:rFonts w:hint="eastAsia" w:ascii="仿宋" w:hAnsi="仿宋" w:eastAsia="仿宋" w:cs="仿宋"/>
          <w:color w:val="auto"/>
          <w:sz w:val="28"/>
          <w:szCs w:val="28"/>
        </w:rPr>
        <w:t>签约日期：     年  月   日               签约日期：    年  月   日</w:t>
      </w:r>
    </w:p>
    <w:p w14:paraId="05F2EEB2">
      <w:pPr>
        <w:spacing w:line="480" w:lineRule="exact"/>
        <w:jc w:val="both"/>
        <w:rPr>
          <w:rFonts w:hint="eastAsia" w:ascii="仿宋" w:hAnsi="仿宋" w:eastAsia="仿宋" w:cs="仿宋"/>
          <w:lang w:val="en-US" w:eastAsia="zh-CN"/>
        </w:rPr>
      </w:pPr>
    </w:p>
    <w:sectPr>
      <w:pgSz w:w="11906" w:h="16838"/>
      <w:pgMar w:top="1440" w:right="1080" w:bottom="1440" w:left="1080" w:header="709" w:footer="1417"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508DE"/>
    <w:rsid w:val="28512252"/>
    <w:rsid w:val="3F863D66"/>
    <w:rsid w:val="4980289B"/>
    <w:rsid w:val="672A1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paragraph" w:styleId="2">
    <w:name w:val="heading 2"/>
    <w:basedOn w:val="1"/>
    <w:next w:val="1"/>
    <w:qFormat/>
    <w:uiPriority w:val="9"/>
    <w:pPr>
      <w:keepNext/>
      <w:keepLines/>
      <w:spacing w:before="20" w:after="20"/>
      <w:ind w:firstLine="200" w:firstLineChars="200"/>
      <w:outlineLvl w:val="1"/>
    </w:pPr>
    <w:rPr>
      <w:rFonts w:ascii="Arial" w:hAnsi="Arial" w:eastAsia="黑体"/>
      <w:b/>
      <w:szCs w:val="22"/>
    </w:rPr>
  </w:style>
  <w:style w:type="character" w:default="1" w:styleId="13">
    <w:name w:val="Default Paragraph Font"/>
    <w:semiHidden/>
    <w:unhideWhenUsed/>
    <w:qFormat/>
    <w:uiPriority w:val="1"/>
  </w:style>
  <w:style w:type="table" w:default="1" w:styleId="12">
    <w:name w:val="Normal Table"/>
    <w:semiHidden/>
    <w:uiPriority w:val="0"/>
    <w:tblPr>
      <w:tblCellMar>
        <w:top w:w="0" w:type="dxa"/>
        <w:left w:w="108" w:type="dxa"/>
        <w:bottom w:w="0" w:type="dxa"/>
        <w:right w:w="108" w:type="dxa"/>
      </w:tblCellMar>
    </w:tblPr>
  </w:style>
  <w:style w:type="paragraph" w:styleId="3">
    <w:name w:val="annotation text"/>
    <w:basedOn w:val="1"/>
    <w:next w:val="1"/>
    <w:link w:val="14"/>
    <w:qFormat/>
    <w:uiPriority w:val="0"/>
    <w:pPr>
      <w:jc w:val="left"/>
    </w:pPr>
    <w:rPr>
      <w:rFonts w:ascii="Calibri" w:hAnsi="Calibri" w:eastAsia="宋体" w:cs="黑体"/>
      <w:color w:val="000000" w:themeColor="text1"/>
      <w:sz w:val="32"/>
      <w:szCs w:val="22"/>
      <w14:textFill>
        <w14:solidFill>
          <w14:schemeClr w14:val="tx1"/>
        </w14:solidFill>
      </w14:textFill>
    </w:rPr>
  </w:style>
  <w:style w:type="paragraph" w:styleId="4">
    <w:name w:val="Body Text"/>
    <w:basedOn w:val="1"/>
    <w:next w:val="5"/>
    <w:qFormat/>
    <w:uiPriority w:val="0"/>
    <w:rPr>
      <w:rFonts w:eastAsia="宋体"/>
      <w:sz w:val="18"/>
    </w:rPr>
  </w:style>
  <w:style w:type="paragraph" w:styleId="5">
    <w:name w:val="Body Text First Indent 2"/>
    <w:basedOn w:val="6"/>
    <w:semiHidden/>
    <w:unhideWhenUsed/>
    <w:qFormat/>
    <w:uiPriority w:val="99"/>
    <w:pPr>
      <w:ind w:firstLine="420"/>
    </w:pPr>
  </w:style>
  <w:style w:type="paragraph" w:styleId="6">
    <w:name w:val="Body Text Indent"/>
    <w:basedOn w:val="1"/>
    <w:next w:val="7"/>
    <w:qFormat/>
    <w:uiPriority w:val="0"/>
    <w:pPr>
      <w:ind w:firstLine="538" w:firstLineChars="168"/>
      <w:jc w:val="left"/>
    </w:pPr>
    <w:rPr>
      <w:rFonts w:ascii="仿宋_GB2312" w:eastAsia="仿宋_GB2312"/>
    </w:rPr>
  </w:style>
  <w:style w:type="paragraph" w:styleId="7">
    <w:name w:val="envelope return"/>
    <w:basedOn w:val="1"/>
    <w:unhideWhenUsed/>
    <w:qFormat/>
    <w:uiPriority w:val="99"/>
    <w:pPr>
      <w:snapToGrid w:val="0"/>
    </w:pPr>
    <w:rPr>
      <w:rFonts w:ascii="Arial" w:hAnsi="Arial"/>
    </w:rPr>
  </w:style>
  <w:style w:type="paragraph" w:styleId="8">
    <w:name w:val="Plain Text"/>
    <w:basedOn w:val="1"/>
    <w:next w:val="1"/>
    <w:qFormat/>
    <w:uiPriority w:val="0"/>
    <w:rPr>
      <w:rFonts w:ascii="宋体" w:hAnsi="Courier New" w:eastAsia="宋体"/>
      <w:sz w:val="21"/>
      <w:szCs w:val="20"/>
    </w:rPr>
  </w:style>
  <w:style w:type="paragraph" w:styleId="9">
    <w:name w:val="Balloon Text"/>
    <w:basedOn w:val="1"/>
    <w:qFormat/>
    <w:uiPriority w:val="0"/>
    <w:rPr>
      <w:sz w:val="18"/>
      <w:szCs w:val="18"/>
    </w:rPr>
  </w:style>
  <w:style w:type="paragraph" w:styleId="10">
    <w:name w:val="Normal (Web)"/>
    <w:basedOn w:val="1"/>
    <w:next w:val="11"/>
    <w:qFormat/>
    <w:uiPriority w:val="0"/>
    <w:pPr>
      <w:widowControl/>
      <w:spacing w:before="100" w:beforeAutospacing="1" w:after="100" w:afterAutospacing="1"/>
      <w:jc w:val="left"/>
    </w:pPr>
    <w:rPr>
      <w:rFonts w:ascii="宋体" w:hAnsi="宋体" w:eastAsia="宋体" w:cs="宋体"/>
      <w:color w:val="0D0D0D"/>
      <w:kern w:val="0"/>
      <w:sz w:val="24"/>
    </w:rPr>
  </w:style>
  <w:style w:type="paragraph" w:customStyle="1" w:styleId="11">
    <w:name w:val="7表格(治)"/>
    <w:next w:val="9"/>
    <w:qFormat/>
    <w:uiPriority w:val="0"/>
    <w:pPr>
      <w:spacing w:after="160" w:line="278" w:lineRule="auto"/>
      <w:ind w:firstLine="200"/>
      <w:jc w:val="both"/>
    </w:pPr>
    <w:rPr>
      <w:rFonts w:ascii="Times New Roman" w:hAnsi="Times New Roman" w:eastAsia="仿宋" w:cs="Times New Roman"/>
      <w:bCs/>
      <w:sz w:val="24"/>
      <w:szCs w:val="24"/>
      <w:lang w:val="en-US" w:eastAsia="zh-CN" w:bidi="ar-SA"/>
    </w:rPr>
  </w:style>
  <w:style w:type="character" w:customStyle="1" w:styleId="14">
    <w:name w:val="批注文字 Char"/>
    <w:basedOn w:val="13"/>
    <w:link w:val="3"/>
    <w:qFormat/>
    <w:uiPriority w:val="0"/>
    <w:rPr>
      <w:rFonts w:ascii="Calibri" w:hAnsi="Calibri" w:eastAsia="宋体" w:cs="黑体"/>
      <w:color w:val="000000" w:themeColor="text1"/>
      <w:kern w:val="2"/>
      <w:sz w:val="32"/>
      <w:szCs w:val="22"/>
      <w14:textFill>
        <w14:solidFill>
          <w14:schemeClr w14:val="tx1"/>
        </w14:solidFill>
      </w14:textFill>
    </w:rPr>
  </w:style>
  <w:style w:type="paragraph" w:customStyle="1" w:styleId="15">
    <w:name w:val="样式 首行缩进:  2 字符"/>
    <w:basedOn w:val="1"/>
    <w:autoRedefine/>
    <w:qFormat/>
    <w:uiPriority w:val="0"/>
    <w:pPr>
      <w:spacing w:line="400" w:lineRule="exact"/>
      <w:ind w:firstLine="200" w:firstLineChars="200"/>
    </w:pPr>
    <w:rPr>
      <w:rFonts w:cs="宋体"/>
      <w:sz w:val="24"/>
    </w:rPr>
  </w:style>
  <w:style w:type="paragraph" w:styleId="16">
    <w:name w:val="List Paragraph"/>
    <w:basedOn w:val="1"/>
    <w:autoRedefine/>
    <w:qFormat/>
    <w:uiPriority w:val="34"/>
    <w:pPr>
      <w:ind w:firstLine="420" w:firstLineChars="200"/>
    </w:pPr>
  </w:style>
  <w:style w:type="paragraph" w:customStyle="1" w:styleId="17">
    <w:name w:val="msolistparagraph"/>
    <w:qFormat/>
    <w:uiPriority w:val="0"/>
    <w:pPr>
      <w:widowControl w:val="0"/>
      <w:ind w:firstLine="420" w:firstLineChars="200"/>
      <w:jc w:val="both"/>
    </w:pPr>
    <w:rPr>
      <w:rFonts w:ascii="Calibri" w:hAnsi="Calibri" w:eastAsia="宋体" w:cs="Calibr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2325</Words>
  <Characters>2417</Characters>
  <Lines>0</Lines>
  <Paragraphs>0</Paragraphs>
  <TotalTime>0</TotalTime>
  <ScaleCrop>false</ScaleCrop>
  <LinksUpToDate>false</LinksUpToDate>
  <CharactersWithSpaces>2771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2023-03-24T02:29:00Z</dcterms:created>
  <dc:creator>政采人</dc:creator>
  <cp:lastModifiedBy>水木年华</cp:lastModifiedBy>
  <dcterms:modified xsi:type="dcterms:W3CDTF">2026-02-05T07:09:22Z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F519C2F0315649A2BDBC9D9768ED987B</vt:lpwstr>
  </property>
  <property fmtid="{D5CDD505-2E9C-101B-9397-08002B2CF9AE}" pid="4" name="KSOTemplateDocerSaveRecord">
    <vt:lpwstr>eyJoZGlkIjoiMjJhYTllODQzNjcyMGUxNTJjZjIyYTQyOTUwNTA3ZTciLCJ1c2VySWQiOiIzMjA0NTExNjAifQ==</vt:lpwstr>
  </property>
</Properties>
</file>