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版本号：N513232202600002120260420001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若尔盖公安局维稳力量警务综合保障基地及合成作战升级建设项目监理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N5132322026000021</w:t>
      </w:r>
    </w:p>
    <w:p>
      <w:pPr>
        <w:pStyle w:val="null3"/>
        <w:jc w:val="center"/>
        <w:outlineLvl w:val="2"/>
      </w:pPr>
      <w:r>
        <w:rPr>
          <w:rFonts w:ascii="仿宋_GB2312" w:hAnsi="仿宋_GB2312" w:cs="仿宋_GB2312" w:eastAsia="仿宋_GB2312"/>
          <w:sz w:val="28"/>
          <w:b/>
        </w:rPr>
        <w:t>若尔盖县公安局</w:t>
      </w:r>
    </w:p>
    <w:p>
      <w:pPr>
        <w:pStyle w:val="null3"/>
        <w:jc w:val="center"/>
        <w:outlineLvl w:val="2"/>
      </w:pPr>
      <w:r>
        <w:rPr>
          <w:rFonts w:ascii="仿宋_GB2312" w:hAnsi="仿宋_GB2312" w:cs="仿宋_GB2312" w:eastAsia="仿宋_GB2312"/>
          <w:sz w:val="28"/>
          <w:b/>
        </w:rPr>
        <w:t>四川方裕工程项目管理有限公司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四川方裕工程项目管理有限公司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若尔盖县公安局</w:t>
      </w:r>
      <w:r>
        <w:rPr>
          <w:rFonts w:ascii="仿宋_GB2312" w:hAnsi="仿宋_GB2312" w:cs="仿宋_GB2312" w:eastAsia="仿宋_GB2312"/>
        </w:rPr>
        <w:t xml:space="preserve"> 委托，拟对 </w:t>
      </w:r>
      <w:r>
        <w:rPr>
          <w:rFonts w:ascii="仿宋_GB2312" w:hAnsi="仿宋_GB2312" w:cs="仿宋_GB2312" w:eastAsia="仿宋_GB2312"/>
        </w:rPr>
        <w:t>若尔盖公安局维稳力量警务综合保障基地及合成作战升级建设项目监理</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N5132322026000021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若尔盖公安局维稳力量警务综合保障基地及合成作战升级建设项目监理</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本项目为若尔盖县公安局维稳力量警务综合保障基地及合成作战升级建设项目监理，规模：新建若尔盖县公安局维稳力量警务综合保障基地及合成作战综合用房5500平方米及围墙、地坪、大门等配套附属工程。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1、供应商具有建设行政主管部门颁发的房屋建筑工程监理乙级或以上资质（描述：供应商提供建设行政主管部门颁发的房屋建筑工程监理乙级或以上资质证书复印件并进行电子签章。）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若尔盖县公安局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四川省阿坝州若尔盖县达扎寺镇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18227128020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四川方裕工程项目管理有限公司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四川省成都市郫都区粮河路519号锦巷兰台11栋2106号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028-63947572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1、成交供应商应在合同签订之前交纳采购标文件规定数额的履约保证金。</w:t>
              <w:br/>
              <w:t>2、如果成交供应商在规定的合同签订时间内，没有按照采购文件的规定交纳履约保证金，且又无正当理由的，将视为放弃成交。</w:t>
              <w:br/>
              <w:t>3、履约保证金退还方式及时间：在服务期内成交供应商如无违约情形的，服务期满10日内无息返还履约保证金。成交供应商如出现违约情形的，履约保证金作为违约金的一部分及用于补偿采购人因成交供应商不能履行合同义务而蒙受的损失。</w:t>
              <w:br/>
              <w:t>4、履约保证金不予退还情形：</w:t>
              <w:br/>
              <w:t>（1）成交供应商不履行与采购人订立的合同的，给采购人造成的损失超过履约保证金数额的，还应当对超过部分予以赔偿；</w:t>
              <w:br/>
              <w:t>（2）项目验收结果不合格的；</w:t>
              <w:br/>
              <w:t>（3）其他违反国家相关法律法规的情形；</w:t>
              <w:br/>
              <w:t>（4）采购文件中规定不予退还的情形。</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代理服务费收费标准：代理服务按国家计委印发的《招标代理服务收费管理暂行办法》（计价格[2002]1980号）及“合理利润原则”，由成交供应商在领取成交通知书前一次性向代理机构支付。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若尔盖县公安局</w:t>
      </w:r>
      <w:r>
        <w:rPr>
          <w:rFonts w:ascii="仿宋_GB2312" w:hAnsi="仿宋_GB2312" w:cs="仿宋_GB2312" w:eastAsia="仿宋_GB2312"/>
        </w:rPr>
        <w:t xml:space="preserve"> 和 </w:t>
      </w:r>
      <w:r>
        <w:rPr>
          <w:rFonts w:ascii="仿宋_GB2312" w:hAnsi="仿宋_GB2312" w:cs="仿宋_GB2312" w:eastAsia="仿宋_GB2312"/>
        </w:rPr>
        <w:t>四川方裕工程项目管理有限公司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若尔盖县公安局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四川方裕工程项目管理有限公司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采购人在接到验收通知</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按照本项目采购文件中技术参数与性能指标、服务要求及成交供应商响应文件响应内容进行验收。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政府采购需求管理办法》（财库〔2021〕22号）的要求组织验收，验收应以采购合同、采购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四川方裕工程项目管理有限公司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四川方裕工程项目管理有限公司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四川方裕工程项目管理有限公司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联系人：邢老师</w:t>
      </w:r>
    </w:p>
    <w:p>
      <w:pPr>
        <w:pStyle w:val="null3"/>
        <w:jc w:val="left"/>
      </w:pPr>
      <w:r>
        <w:rPr>
          <w:rFonts w:ascii="仿宋_GB2312" w:hAnsi="仿宋_GB2312" w:cs="仿宋_GB2312" w:eastAsia="仿宋_GB2312"/>
        </w:rPr>
        <w:t>联系电话：028-63947572</w:t>
      </w:r>
    </w:p>
    <w:p>
      <w:pPr>
        <w:pStyle w:val="null3"/>
        <w:jc w:val="left"/>
      </w:pPr>
      <w:r>
        <w:rPr>
          <w:rFonts w:ascii="仿宋_GB2312" w:hAnsi="仿宋_GB2312" w:cs="仿宋_GB2312" w:eastAsia="仿宋_GB2312"/>
        </w:rPr>
        <w:t>地址：成都市郫都区粮河路锦巷兰台11栋2106号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若尔盖县公安局维稳力量警务综合保障基地及合成作战升级建设项目监理</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若尔盖县公安局维稳力量警务综合保障基地及合成作战升级建设项目监理</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标的名称：若尔盖县公安局维稳力量警务综合保障基地及合成作战升级建设项目监理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服务质量要求</w:t>
            </w:r>
          </w:p>
        </w:tc>
        <w:tc>
          <w:tcPr>
            <w:tcW w:type="dxa" w:w="5814"/>
          </w:tcPr>
          <w:p>
            <w:pPr>
              <w:pStyle w:val="null3"/>
              <w:ind w:firstLine="480"/>
              <w:jc w:val="left"/>
            </w:pPr>
            <w:r>
              <w:rPr>
                <w:rFonts w:ascii="仿宋_GB2312" w:hAnsi="仿宋_GB2312" w:cs="仿宋_GB2312" w:eastAsia="仿宋_GB2312"/>
                <w:sz w:val="28"/>
              </w:rPr>
              <w:t>监理机构应按照《建设工程监理规范》、《建筑与市政工程施工质量控制通用规范》等国家、行业相关法律法规、标准规范和规定的要求，对工程的施工准备期、施工期、工程质保期阶段进行质量控制、进度控制、投资控制、合同管理、信息管理、安全管理、项目协调等，确保项目按期、高质、高效地完成，并顺利通过验收。</w:t>
            </w:r>
          </w:p>
          <w:p>
            <w:pPr>
              <w:pStyle w:val="null3"/>
              <w:ind w:firstLine="480"/>
              <w:jc w:val="left"/>
            </w:pPr>
            <w:r>
              <w:rPr>
                <w:rFonts w:ascii="仿宋_GB2312" w:hAnsi="仿宋_GB2312" w:cs="仿宋_GB2312" w:eastAsia="仿宋_GB2312"/>
                <w:sz w:val="28"/>
              </w:rPr>
              <w:t>1、质量控制</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1）符合相关设计、施工、检验、监理等规范标准，以及满足设计文件相关质量要求</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项目开工前，制定项目监理规划、实施细则、工作方案等，明确监理人员和职责分工。参与项目图纸会审、技术交底、施工方案审查等重大技术难题和重要事项，重点审查其中的质量安全技术措施与工程建设强制性标准的符合性，进行监理监督和提供科学合理的意见。督促承建单位制定具体的施工方案，签发开工审批表，并报采购人备案。</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在项目实施阶段，以现场驻点方式进行施工现场监理，做好现场施工质量的监督检查工作；对材料、构配件及设备的出厂合格证和检测报告进行检查，参加材料的现场取样；验收隐蔽工程、分部分项工程；审查承建单位提交的工程变更申请；经采购人同意，签发工程暂停令和复工令；审查承建单位提交的竣工验收申请，编写工程质量评估报告，并交与采购人；参加项目竣工验收，签署竣工验收意见；审查承建单位提交的竣工结算申请并报采购人审核；采购人以专题形式提出咨询服务需求时，供应商须予以协助。</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质量事故发生工程质量事故，供应商应采取必要的措施，防止事故扩大并保护好现场，并及时上报采购人；对事故技术处理方案进行审查，对处理过程进行跟踪检查，对处理结果进行验收，必要时组织对处理结果进行鉴定；及时向采购人或相关行政主管部门提交质量事故书面报告，并应将完整的质量事故处理记录整理归档。</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工程质保期阶段根据工程实际的情况，保留必要的监理人员；与采购人保持联系，了解工程质保期内质量信息；协助采购人签订保修合同，定期组织承建单位对工程使用情况进行质量回访，做好回访记录；对采购人反映的项目缺陷原因及责任进行调查和确认，协助采购人组织有关单位或部门鉴定质量问题的责任归属，催促责任单位制定维修方案，监督承建单位按维修方案实施整改并验证处理的结果直至满足要求。</w:t>
            </w:r>
          </w:p>
          <w:p>
            <w:pPr>
              <w:pStyle w:val="null3"/>
              <w:ind w:firstLine="480"/>
              <w:jc w:val="left"/>
            </w:pPr>
            <w:r>
              <w:rPr>
                <w:rFonts w:ascii="仿宋_GB2312" w:hAnsi="仿宋_GB2312" w:cs="仿宋_GB2312" w:eastAsia="仿宋_GB2312"/>
                <w:sz w:val="28"/>
              </w:rPr>
              <w:t>2、进度控制供应商应审核承建单位提交的项目实施计划的合理性及实施计划报审表，签署审核意见，跟进施工进度计划的调整；供应商应审核承建单位提交的开工申请，并检查项目准备情况，审查开工条件，召开项目启动会，签发开工令报釆购人签认，通知承建单位开始实施项目；供应商应审核承建单位提交的阶段性进度计划报审表；供应商应定期检查项目的实施进度情况，确保实际进度与计划的一致性，并及时处理项目进度变更申请；供应商应定期组织召开监理例会，协调施工组织，解决施工问题；供应商应审查进度纠偏措施的合理性、可行性，按需签发监理意见或监理通知单，报釆购人，并要求承建单位按计划进行修改。</w:t>
            </w:r>
          </w:p>
          <w:p>
            <w:pPr>
              <w:pStyle w:val="null3"/>
              <w:ind w:firstLine="480"/>
              <w:jc w:val="left"/>
            </w:pPr>
            <w:r>
              <w:rPr>
                <w:rFonts w:ascii="仿宋_GB2312" w:hAnsi="仿宋_GB2312" w:cs="仿宋_GB2312" w:eastAsia="仿宋_GB2312"/>
                <w:sz w:val="28"/>
              </w:rPr>
              <w:t>3、造价控制对项目建设合同费用、项目造价进行有效的控制，参与项目工程造价的研究分析。供应商应协助采购人控制工程进度款的支付，审核承建单位提交的付款申请；供应商应审查项目的质量、进度和造价等方面的变更，并做备忘录；供应商应做好现场计量、动态造价控制、审核签认计量、计价等相关资料；供应商应及时处理各种索赔申请，协助釆购人进行工程结算。</w:t>
            </w:r>
          </w:p>
          <w:p>
            <w:pPr>
              <w:pStyle w:val="null3"/>
              <w:ind w:firstLine="480"/>
              <w:jc w:val="left"/>
            </w:pPr>
            <w:r>
              <w:rPr>
                <w:rFonts w:ascii="仿宋_GB2312" w:hAnsi="仿宋_GB2312" w:cs="仿宋_GB2312" w:eastAsia="仿宋_GB2312"/>
                <w:sz w:val="28"/>
              </w:rPr>
              <w:t>4、安全控制供应商应审查承建单位安全生产措施、应急预案是否合法合规、目标明确、可行；是否周密、合理、有针对性，并检查实施情况；供应商应对安全文明施工落实情况进行检查，对存在问题督促整改；供应商应检查承建单位专（兼）职安全生产管理人员配备情况；供应商发现项目质量、施工安全存在事故隐患，应要求承建单位整改并报采购人；供应商应参与安全事故调查；供应商应督促指导维护企业针对维护整治项目实际，建立安全风险辨识和分级管控清单，督促开展隐患排查整治、应急演练等安全管控工作；做好安全文明环保管控工作。</w:t>
            </w:r>
          </w:p>
          <w:p>
            <w:pPr>
              <w:pStyle w:val="null3"/>
              <w:ind w:firstLine="480"/>
              <w:jc w:val="left"/>
            </w:pPr>
            <w:r>
              <w:rPr>
                <w:rFonts w:ascii="仿宋_GB2312" w:hAnsi="仿宋_GB2312" w:cs="仿宋_GB2312" w:eastAsia="仿宋_GB2312"/>
                <w:sz w:val="28"/>
              </w:rPr>
              <w:t>5、合同管理供应商应监督合同执行情况；应根据实际情况，参考变更文件及其他有关资料，按照承建合同的有关条款，对项目变更范围、内容、实施难度以及变更的投资和工期做出评估，处理项目实施中的各种变更并报釆购人批准；供应商应及时协调合同纠纷，公正地调查分析，提出监理意见。</w:t>
            </w:r>
          </w:p>
          <w:p>
            <w:pPr>
              <w:pStyle w:val="null3"/>
              <w:ind w:firstLine="480"/>
              <w:jc w:val="left"/>
            </w:pPr>
            <w:r>
              <w:rPr>
                <w:rFonts w:ascii="仿宋_GB2312" w:hAnsi="仿宋_GB2312" w:cs="仿宋_GB2312" w:eastAsia="仿宋_GB2312"/>
                <w:sz w:val="28"/>
              </w:rPr>
              <w:t>6、项目协调供应商应与釆购人和承建单位共同建立实施阶段协调的机制，如监理例会、工地会议等，做出会议纪要，并提交釆购人和承建单位；供应商应协调釆购人和承建单位对项目变更的范围和内容等达成一致性；供应商应协调解决釆购人和承建单位在项目建设过程中的各类纠纷。</w:t>
            </w:r>
          </w:p>
          <w:p>
            <w:pPr>
              <w:pStyle w:val="null3"/>
              <w:ind w:firstLine="480"/>
              <w:jc w:val="left"/>
            </w:pPr>
            <w:r>
              <w:rPr>
                <w:rFonts w:ascii="仿宋_GB2312" w:hAnsi="仿宋_GB2312" w:cs="仿宋_GB2312" w:eastAsia="仿宋_GB2312"/>
                <w:sz w:val="28"/>
              </w:rPr>
              <w:t>7、信息管理供应商应妥善管理实施阶段中所产生的各类文档（包括但不限于：开工令、复工令、停工令、监理日志、安全监理日志、各类会议纪要、监理周、月、年报、实施文档类监理审核意见、监理工作联系函、监理通知单、项目备忘录、监理记录、阶段性项目工作总结、项目监理工作总结报告等）；供应商应做好实施现场的监理记录与信息反馈；供应商应监督承建单位按照既定的要求编制和管理项目文档；供应商应管理好实施期间的各类技术文档，以及各类往来文档的存档，合同期限届满时按照档案管理要求整理、归档并移交釆购人。</w:t>
            </w:r>
          </w:p>
          <w:p>
            <w:pPr>
              <w:pStyle w:val="null3"/>
              <w:ind w:firstLine="480"/>
              <w:jc w:val="left"/>
            </w:pPr>
            <w:r>
              <w:rPr>
                <w:rFonts w:ascii="仿宋_GB2312" w:hAnsi="仿宋_GB2312" w:cs="仿宋_GB2312" w:eastAsia="仿宋_GB2312"/>
                <w:sz w:val="28"/>
              </w:rPr>
              <w:t>8、专项监管服务安排专职人员，成立项目专项监管服务专班，对项目实施全过程进行监督管理，重点对施工质量、安全文明、施工进度、过程验收和造价管理等，开展全过程专项监管，施行常态动态检查，对施工、设计等相关单位存在的问题进行派发整改，督促整改落实和处罚处理，组织、协调各参建单位按合同约定履行各自职责，合力推进项目实施。职责包括但不限于负责项目全面监督和管理，每日检查施工现场和相关资料，及时动态掌握施工情况，对专项监管服务形成周报、月报、和项目工作总结；落实各项质量管理和监督整改工作，落实质量计划与各项质量管理制度；对现场安全文明施工全面监管，建立安全文明施工检查监管评价机制等；组织安全生产例会，组织安全生产风险辩识和分级管控，以及隐患排查整治工作，组织开展有针对性的应急演练和安全学习培训，建立清单台账并动态清零工作机制。</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8"/>
                <w:b/>
              </w:rPr>
              <w:t>★</w:t>
            </w:r>
            <w:r>
              <w:rPr>
                <w:rFonts w:ascii="仿宋_GB2312" w:hAnsi="仿宋_GB2312" w:cs="仿宋_GB2312" w:eastAsia="仿宋_GB2312"/>
                <w:sz w:val="28"/>
              </w:rPr>
              <w:t>1、其他要求：（1）成交供应商在项目执行过程中定期及时向采购人通告本项目的重大事项及其进度。</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2）接受项目行业管理部门及政府有关部门的指导，接受采购人的监督。</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3）成交供应商应确保服务过程中无安全事故发生，若因成交供应商的责任出现安全事故其责任和损失由成交供应商自行承担，采购人不承担任何责任（</w:t>
            </w:r>
            <w:r>
              <w:rPr>
                <w:rFonts w:ascii="仿宋_GB2312" w:hAnsi="仿宋_GB2312" w:cs="仿宋_GB2312" w:eastAsia="仿宋_GB2312"/>
                <w:sz w:val="28"/>
              </w:rPr>
              <w:t>供应商</w:t>
            </w:r>
            <w:r>
              <w:rPr>
                <w:rFonts w:ascii="仿宋_GB2312" w:hAnsi="仿宋_GB2312" w:cs="仿宋_GB2312" w:eastAsia="仿宋_GB2312"/>
                <w:sz w:val="28"/>
              </w:rPr>
              <w:t>针对本项内容提供承诺函</w:t>
            </w:r>
            <w:r>
              <w:rPr>
                <w:rFonts w:ascii="仿宋_GB2312" w:hAnsi="仿宋_GB2312" w:cs="仿宋_GB2312" w:eastAsia="仿宋_GB2312"/>
                <w:sz w:val="28"/>
              </w:rPr>
              <w:t>并进行电子签章</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4）其他未尽事宜由供需双方在采购合同中详细约定。</w:t>
            </w:r>
          </w:p>
          <w:p>
            <w:pPr>
              <w:pStyle w:val="null3"/>
              <w:ind w:firstLine="272"/>
              <w:jc w:val="left"/>
            </w:pPr>
            <w:r>
              <w:rPr>
                <w:rFonts w:ascii="仿宋_GB2312" w:hAnsi="仿宋_GB2312" w:cs="仿宋_GB2312" w:eastAsia="仿宋_GB2312"/>
                <w:sz w:val="28"/>
              </w:rPr>
              <w:t>2、项目实施方案编制：（1）质量控制措施：供应商按照磋商文件要求提供质量控制措施，包括：①审查施工承包单位的质量管理体系方案；②检查确认运到现场的工程材料的方案；③施工承包单位的关键节点的质量控制措施；④实施巡视方案；⑤平行检查方案；⑥旁站监理方案。</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安全管理措施：供应商按照磋商文件要求提供安全管理措施，包括：①安全生产管理目标与安全保证体系的内容；②安全人员岗位职责；③安全管理制度；④安全管理工作；⑤施工临时用电安全监理控制措施；⑥安全应急救援预案。</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3）进度控制方案：供应商按照磋商文件要求提供进度控制方案，包括：①审批施工承包单位报送的施工进度计划方案；②检查、分析施工进度计划；③提出纠偏的方案。</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4）造价控制措施：供应商按照磋商文件要求提供造价控制措施，包括：①工程计量及工程款支付申请的审核批准方案；②工程变更评估、审核、批准工作的方案；③工程费用索赔事</w:t>
            </w:r>
            <w:r>
              <w:rPr>
                <w:rFonts w:ascii="仿宋_GB2312" w:hAnsi="仿宋_GB2312" w:cs="仿宋_GB2312" w:eastAsia="仿宋_GB2312"/>
                <w:sz w:val="28"/>
              </w:rPr>
              <w:t>件的处理方案。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施工工期（365日历天）+缺陷责任期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及《政府采购需求管理办法》（财库〔2021〕22号）的要求组织验收，验收应以采购合同、采购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2、工程竣工验收合格后，达到付款条件起10日内，支付合同总金额的50.00%</w:t>
            </w:r>
          </w:p>
          <w:p>
            <w:pPr>
              <w:pStyle w:val="null3"/>
              <w:jc w:val="left"/>
            </w:pPr>
            <w:r>
              <w:rPr>
                <w:rFonts w:ascii="仿宋_GB2312" w:hAnsi="仿宋_GB2312" w:cs="仿宋_GB2312" w:eastAsia="仿宋_GB2312"/>
              </w:rPr>
              <w:t>3、所有资料移交后，达到付款条件起10日内，支付合同总金额的10.00%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采购人与成交单位双方必须遵守并执行本项目中约定的各项规定，保证本项目的正常实施。1.2如因成交单位工作人员在履行职务过程中的疏忽、失职、过错等故意或过失给采购人造成损失或侵害，包括但不限于采购人本 身财产损失、由此而导致的采购人对任何第三方的法律责任等，成交单位对此均应承担全 部的赔偿责任。1.3如未经采购人同意，成交单位不得将本项目成果移作他用，不得向第三方泄露本项目成果，违反本条规定，给采购人造成损失的，成交单位应承担相关的法律责任。1.4成交单位未在合同规定日期内提交全部符合项目合同要求的项目成果，每延迟一天，则采购人有权要求成交单位支付合同总金额1‰的违约金，延迟累计超过15个日历日，采购人有权解除本合同并不向成交单位支付任何费用，并要求成交单位承担因合同解 除而造成的相关损失。若因采购人或者客观因素造成无法在规定工期内完成任务的，双方应协商解决。2争议解决：当出现争议时，采购人、成交单位双方应进行友好协商解决，协商不成的应将矛盾提交项目所在地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供应商具有建设行政主管部门颁发的房屋建筑工程监理乙级或以上资质</w:t>
            </w:r>
          </w:p>
        </w:tc>
        <w:tc>
          <w:tcPr>
            <w:tcW w:type="dxa" w:w="3322"/>
          </w:tcPr>
          <w:p>
            <w:pPr>
              <w:pStyle w:val="null3"/>
              <w:jc w:val="left"/>
            </w:pPr>
            <w:r>
              <w:rPr>
                <w:rFonts w:ascii="仿宋_GB2312" w:hAnsi="仿宋_GB2312" w:cs="仿宋_GB2312" w:eastAsia="仿宋_GB2312"/>
              </w:rPr>
              <w:t>供应商提供建设行政主管部门颁发的房屋建筑工程监理乙级或以上资质证书复印件并进行电子签章。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按采购文件第三章 技术、服务及其他要求响应</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质量控制措施、安全管理措施、进度控制方案、造价控制措施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质量控制措施</w:t>
            </w:r>
          </w:p>
        </w:tc>
        <w:tc>
          <w:tcPr>
            <w:tcW w:type="dxa" w:w="2575"/>
          </w:tcPr>
          <w:p>
            <w:pPr>
              <w:pStyle w:val="null3"/>
              <w:jc w:val="left"/>
            </w:pPr>
            <w:r>
              <w:rPr>
                <w:rFonts w:ascii="仿宋_GB2312" w:hAnsi="仿宋_GB2312" w:cs="仿宋_GB2312" w:eastAsia="仿宋_GB2312"/>
              </w:rPr>
              <w:t>根据供应商按照磋商文件要求提供的质量控制措施，包括：①审查施工承包单位的质量管理体系方案；②检查确认运到现场的工程材料的方案；③施工承包单位的关键节点的质量控制措施；④实施巡视方案；⑤平行检查方案；⑥旁站监理方案。以上方案内容完整、满足本项目实际需求且无缺陷得24分，每缺少一项内容扣分4分，每项中每有一处缺陷扣2分。（“缺陷”是指：项目名称、编号、采购人、实施地点、采购相关内容等基本信息错误；实施的技术规范标准或法律法规与国家或行业或采购要求不一致或失效；存在影响项目履约质量的情形；存在不适用项目实际情况、与本项目需求无关的内容、不满足本项目采购需求的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安全管理措施</w:t>
            </w:r>
          </w:p>
        </w:tc>
        <w:tc>
          <w:tcPr>
            <w:tcW w:type="dxa" w:w="2575"/>
          </w:tcPr>
          <w:p>
            <w:pPr>
              <w:pStyle w:val="null3"/>
              <w:jc w:val="left"/>
            </w:pPr>
            <w:r>
              <w:rPr>
                <w:rFonts w:ascii="仿宋_GB2312" w:hAnsi="仿宋_GB2312" w:cs="仿宋_GB2312" w:eastAsia="仿宋_GB2312"/>
              </w:rPr>
              <w:t>根据供应商按照磋商文件要求提供的安全管理措施，包括：①安全生产管理目标与安全保证体系的内容；②安全人员岗位职责；③安全管理制度；④安全管理工作；⑤施工临时用电安全监理控制措施；⑥安全应急救援预案。以上方案内容完整、满足本项目实际需求且无缺陷得24分，每缺少一项内容扣分4分，每项中每有一处缺陷扣2分。（“缺陷”是指：项目名称、编号、采购人、实施地点、采购相关内容等基本信息错误；实施的技术规范标准或法律法规与国家或行业或采购要求不一致或失效；存在影响项目履约质量的情形；存在不适用项目实际情况、与本项目需求无关的内容、不满足本项目采购需求的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进度控制方案</w:t>
            </w:r>
          </w:p>
        </w:tc>
        <w:tc>
          <w:tcPr>
            <w:tcW w:type="dxa" w:w="2575"/>
          </w:tcPr>
          <w:p>
            <w:pPr>
              <w:pStyle w:val="null3"/>
              <w:jc w:val="left"/>
            </w:pPr>
            <w:r>
              <w:rPr>
                <w:rFonts w:ascii="仿宋_GB2312" w:hAnsi="仿宋_GB2312" w:cs="仿宋_GB2312" w:eastAsia="仿宋_GB2312"/>
              </w:rPr>
              <w:t>根据供应商按照磋商文件要求提供的进度控制方案，包括：①审批施工承包单位报送的施工进度计划方案；②检查、分析施工进度计划；③提出纠偏的方案。以上方案内容完整、满足本项目实际需求且无缺陷得18分，每缺少一项内容扣分6分，每项中每有一处缺陷扣3分。（“缺陷”是指：项目名称、编号、采购人、实施地点、采购相关内容等基本信息错误；实施的技术规范标准或法律法规与国家或行业或采购要求不一致或失效；存在影响项目履约质量的情形；存在不适用项目实际情况、与本项目需求无关的内容、不满足本项目采购需求的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造价控制措施</w:t>
            </w:r>
          </w:p>
        </w:tc>
        <w:tc>
          <w:tcPr>
            <w:tcW w:type="dxa" w:w="2575"/>
          </w:tcPr>
          <w:p>
            <w:pPr>
              <w:pStyle w:val="null3"/>
              <w:jc w:val="left"/>
            </w:pPr>
            <w:r>
              <w:rPr>
                <w:rFonts w:ascii="仿宋_GB2312" w:hAnsi="仿宋_GB2312" w:cs="仿宋_GB2312" w:eastAsia="仿宋_GB2312"/>
              </w:rPr>
              <w:t>根据供应商按照磋商文件要求提供的造价控制措施，包括：①工程计量及工程款支付申请的审核批准方案；②工程变更评估、审核、批准工作的方案；③工程费用索赔事件的处理方案。以上方案内容完整、满足本项目实际需求且无缺陷得9分，每缺少一项内容扣分3分，每项中每有一处缺陷扣1.5分。（“缺陷”是指：项目名称、编号、采购人、实施地点、采购相关内容等基本信息错误；实施的技术规范标准或法律法规与国家或行业或采购要求不一致或失效；存在影响项目履约质量的情形；存在不适用项目实际情况、与本项目需求无关的内容、不满足本项目采购需求的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供应商2023年1月1日（含）至响应文件递交截至时间每具有一个类似项目业绩（房屋建筑工程类监理）得1.5分，本项最高得3分。 注：提供合同复印件并进行电子签章。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人员要求</w:t>
            </w:r>
          </w:p>
        </w:tc>
        <w:tc>
          <w:tcPr>
            <w:tcW w:type="dxa" w:w="2575"/>
          </w:tcPr>
          <w:p>
            <w:pPr>
              <w:pStyle w:val="null3"/>
              <w:jc w:val="left"/>
            </w:pPr>
            <w:r>
              <w:rPr>
                <w:rFonts w:ascii="仿宋_GB2312" w:hAnsi="仿宋_GB2312" w:cs="仿宋_GB2312" w:eastAsia="仿宋_GB2312"/>
              </w:rPr>
              <w:t>1、拟派总监理工程师：具有全国注册监理工程师（注册专业：房屋建筑工程）的得2分，同时具有工程类中级或以上职称加2分，本项最多得4分。 2、拟派专业监理工程师：具有全国注册监理工程师（注册专业：房屋建筑工程）的得2分，同时具有工程类中级或以上职称加2分，本项最多得4分； 3、拟派监理员：每有一名具有监理行业从业人员监理业务培训证的得1分，本项最多得2分。 4、拟派造价人员：具有一级注册造价工程师的得2分；具有二级注册造价工程师的得1分，本项最多得2分。 注：所有人员不重复计算，拟投入所有人员均须提供相关证书复印件、在本单位的工作证明材料并进行电子签章。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