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版本号：N511602202600004520260410003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窗帘采购项目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N5116022026000045</w:t>
      </w:r>
    </w:p>
    <w:p>
      <w:pPr>
        <w:pStyle w:val="null3"/>
        <w:jc w:val="left"/>
        <w:outlineLvl w:val="2"/>
      </w:pPr>
      <w:r>
        <w:rPr>
          <w:rFonts w:ascii="仿宋_GB2312" w:hAnsi="仿宋_GB2312" w:cs="仿宋_GB2312" w:eastAsia="仿宋_GB2312"/>
          <w:sz w:val="28"/>
          <w:b/>
        </w:rPr>
        <w:t>广安市广安区人民医院</w:t>
      </w:r>
    </w:p>
    <w:p>
      <w:pPr>
        <w:pStyle w:val="null3"/>
        <w:jc w:val="center"/>
        <w:outlineLvl w:val="2"/>
      </w:pPr>
      <w:r>
        <w:rPr>
          <w:rFonts w:ascii="仿宋_GB2312" w:hAnsi="仿宋_GB2312" w:cs="仿宋_GB2312" w:eastAsia="仿宋_GB2312"/>
          <w:sz w:val="28"/>
          <w:b/>
        </w:rPr>
        <w:t>四川稳通项目管理有限公司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四川稳通项目管理有限公司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广安市广安区人民医院</w:t>
      </w:r>
      <w:r>
        <w:rPr>
          <w:rFonts w:ascii="仿宋_GB2312" w:hAnsi="仿宋_GB2312" w:cs="仿宋_GB2312" w:eastAsia="仿宋_GB2312"/>
        </w:rPr>
        <w:t xml:space="preserve"> 委托，拟对 </w:t>
      </w:r>
      <w:r>
        <w:rPr>
          <w:rFonts w:ascii="仿宋_GB2312" w:hAnsi="仿宋_GB2312" w:cs="仿宋_GB2312" w:eastAsia="仿宋_GB2312"/>
        </w:rPr>
        <w:t>窗帘采购项目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广安市广安区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N5116022026000045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窗帘采购项目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广安区人民医院三期新院区即将投入使用，为保障三期综合楼、科研楼等能够及时投入使用，本次采购内容为窗帘采购及安装。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广安市广安区人民医院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四川省广安市广安区民康街1号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13982658616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四川稳通项目管理有限公司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四川省广安市广安区大寨路15号201、大寨路25号201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0826-2665851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采购包1：854,400.00元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原国家计委《关于印发招标代理服务收费管理暂行办法的通知》（计价格[2002]1980号）和国家发展改革委办公厅《关于招标代理服务收费有关问题的通知》（发改办价格［2003］857号）文件规定的收费费率和方式，下浮20%执行。</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广安市广安区人民医院</w:t>
      </w:r>
      <w:r>
        <w:rPr>
          <w:rFonts w:ascii="仿宋_GB2312" w:hAnsi="仿宋_GB2312" w:cs="仿宋_GB2312" w:eastAsia="仿宋_GB2312"/>
        </w:rPr>
        <w:t xml:space="preserve"> 和 </w:t>
      </w:r>
      <w:r>
        <w:rPr>
          <w:rFonts w:ascii="仿宋_GB2312" w:hAnsi="仿宋_GB2312" w:cs="仿宋_GB2312" w:eastAsia="仿宋_GB2312"/>
        </w:rPr>
        <w:t>四川稳通项目管理有限公司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广安市广安区人民医院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四川稳通项目管理有限公司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在窗帘安装完成后乙方提出验收申请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按照采购文件的质量要求和技术指标、中标人的响应文件及承诺与合同约定标准进行验收。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按照采购文件的商务要求、中标人的响应文件及承诺与合同约定标准进行验收。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标准:按按国家有关规定以及采购文件的质量要求和技术指标、供应商的投标文件及承诺与采购合同约定标准进行验收；采购人与供应商双方如对质量要求和技术指标的约定标准有相互抵触或异议的事项，由采购人在采购文件及投标文件中按质量要求和技术指标比较优胜的原则确定该项的约定标准进行验收。 2.验收时如发现所交付的货物有短装、次品、损坏或其它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但最长不得超过7个日历天，不得影响采购人正常工作的开展； 3.如质量终验合格，双方签署质量验收报告； 4.供应商应将所提供货物的装箱清单、配件、随机工具、用户使用手册、原厂保修卡等资料交付给采购人；供应商不能完整交付货物及本款规定的单证和工具的，必须负责补齐，否则视为未按合同约定交货； 5.如货物经供应商3次维修仍不能达到合同约定的质量标准，采购人有权退货，并视作供应商不能交付货物而须支付违约赔偿金给采购人，采购人还可依法追究供应商的违约责任； 6.项目验收结果合格的，供应商凭验收合格证明书按照进度申请拨付项目款，否则采购方将不予支付采购项目款，还可能上报本项目同级财政部门按照政府采购法律法规等有关规定给予行政处罚或者以失信行为记入诚信档案； 7.其他未尽事宜应严格按《财政部关于进一步加强政府采购需求和履约验收管理的指导意见》（财库〔2016〕205号）文件以及《广安市政府采购项目履约验收工作规程》广市财采[2021]275号文件规定执行。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广安市广安区人民医院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四川稳通项目管理有限公司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四川稳通项目管理有限公司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联系电话：13982658616</w:t>
      </w:r>
    </w:p>
    <w:p>
      <w:pPr>
        <w:pStyle w:val="null3"/>
        <w:jc w:val="left"/>
      </w:pPr>
      <w:r>
        <w:rPr>
          <w:rFonts w:ascii="仿宋_GB2312" w:hAnsi="仿宋_GB2312" w:cs="仿宋_GB2312" w:eastAsia="仿宋_GB2312"/>
        </w:rPr>
        <w:t>地址：四川省广安市广安区民康街1号</w:t>
      </w:r>
    </w:p>
    <w:p>
      <w:pPr>
        <w:pStyle w:val="null3"/>
        <w:jc w:val="left"/>
      </w:pPr>
      <w:r>
        <w:rPr>
          <w:rFonts w:ascii="仿宋_GB2312" w:hAnsi="仿宋_GB2312" w:cs="仿宋_GB2312" w:eastAsia="仿宋_GB2312"/>
        </w:rPr>
        <w:t>邮编：638550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联系电话：0826-2665851</w:t>
      </w:r>
    </w:p>
    <w:p>
      <w:pPr>
        <w:pStyle w:val="null3"/>
        <w:jc w:val="left"/>
      </w:pPr>
      <w:r>
        <w:rPr>
          <w:rFonts w:ascii="仿宋_GB2312" w:hAnsi="仿宋_GB2312" w:cs="仿宋_GB2312" w:eastAsia="仿宋_GB2312"/>
        </w:rPr>
        <w:t>地址：四川省广安市广安区大寨路15号201、大寨路25号201</w:t>
      </w:r>
    </w:p>
    <w:p>
      <w:pPr>
        <w:pStyle w:val="null3"/>
        <w:jc w:val="left"/>
      </w:pPr>
      <w:r>
        <w:rPr>
          <w:rFonts w:ascii="仿宋_GB2312" w:hAnsi="仿宋_GB2312" w:cs="仿宋_GB2312" w:eastAsia="仿宋_GB2312"/>
        </w:rPr>
        <w:t>邮编：638550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样品提交地点：四川省广安市广安区大寨路15号201、大寨路25号201（四川稳通项目管理有限公司）</w:t>
      </w:r>
    </w:p>
    <w:p>
      <w:pPr>
        <w:pStyle w:val="null3"/>
        <w:jc w:val="left"/>
      </w:pPr>
      <w:r>
        <w:rPr>
          <w:rFonts w:ascii="仿宋_GB2312" w:hAnsi="仿宋_GB2312" w:cs="仿宋_GB2312" w:eastAsia="仿宋_GB2312"/>
        </w:rPr>
        <w:t>样品提交数量：2</w:t>
      </w:r>
    </w:p>
    <w:p>
      <w:pPr>
        <w:pStyle w:val="null3"/>
        <w:jc w:val="left"/>
      </w:pPr>
      <w:r>
        <w:rPr>
          <w:rFonts w:ascii="仿宋_GB2312" w:hAnsi="仿宋_GB2312" w:cs="仿宋_GB2312" w:eastAsia="仿宋_GB2312"/>
        </w:rPr>
        <w:t>样品提交要求：一、医用帘 ：样品规格≥100cm*160cm，数量：1块；窗帘：样品规格≥100cm*160cm，数量：1块。 二、样品评审环节采取线下方式进行。 三、若样品出现少送、未送、错送或不符合样品制作要求，对应的样品得0分，（注：隔帘、窗帘样品制作要求按照3.2.技术要求及“制作要求”提供）。 四、样品上不能有投标人或制造商的任何标记。 五、中标人确定后，对于中标人提供的样品，由采购人进行保管、封存，并作为履约验收的参考（中标人只能按样品供货或经采购人同意提供更优的产品履约）；对于未中标人提供的样品，在中标公告发布之日起五个工作日内退还或者经未中标人同意后处理。</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854,400.00</w:t>
      </w:r>
    </w:p>
    <w:p>
      <w:pPr>
        <w:pStyle w:val="null3"/>
        <w:jc w:val="left"/>
      </w:pPr>
      <w:r>
        <w:rPr>
          <w:rFonts w:ascii="仿宋_GB2312" w:hAnsi="仿宋_GB2312" w:cs="仿宋_GB2312" w:eastAsia="仿宋_GB2312"/>
        </w:rPr>
        <w:t>采购包最高限价（元）: 811,680.00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A05030505 窗帘及类似品</w:t>
            </w:r>
          </w:p>
        </w:tc>
        <w:tc>
          <w:tcPr>
            <w:tcW w:type="dxa" w:w="821"/>
          </w:tcPr>
          <w:p>
            <w:pPr>
              <w:pStyle w:val="null3"/>
              <w:jc w:val="left"/>
            </w:pPr>
            <w:r>
              <w:rPr>
                <w:rFonts w:ascii="仿宋_GB2312" w:hAnsi="仿宋_GB2312" w:cs="仿宋_GB2312" w:eastAsia="仿宋_GB2312"/>
              </w:rPr>
              <w:t>医用帘</w:t>
            </w:r>
          </w:p>
        </w:tc>
        <w:tc>
          <w:tcPr>
            <w:tcW w:type="dxa" w:w="821"/>
          </w:tcPr>
          <w:p>
            <w:pPr>
              <w:pStyle w:val="null3"/>
              <w:jc w:val="right"/>
            </w:pPr>
            <w:r>
              <w:rPr>
                <w:rFonts w:ascii="仿宋_GB2312" w:hAnsi="仿宋_GB2312" w:cs="仿宋_GB2312" w:eastAsia="仿宋_GB2312"/>
              </w:rPr>
              <w:t>5,230.00（米）</w:t>
            </w:r>
          </w:p>
        </w:tc>
        <w:tc>
          <w:tcPr>
            <w:tcW w:type="dxa" w:w="821"/>
          </w:tcPr>
          <w:p>
            <w:pPr>
              <w:pStyle w:val="null3"/>
              <w:jc w:val="right"/>
            </w:pPr>
            <w:r>
              <w:rPr>
                <w:rFonts w:ascii="仿宋_GB2312" w:hAnsi="仿宋_GB2312" w:cs="仿宋_GB2312" w:eastAsia="仿宋_GB2312"/>
              </w:rPr>
              <w:t>397,480.00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A05030505 窗帘及类似品</w:t>
            </w:r>
          </w:p>
        </w:tc>
        <w:tc>
          <w:tcPr>
            <w:tcW w:type="dxa" w:w="821"/>
          </w:tcPr>
          <w:p>
            <w:pPr>
              <w:pStyle w:val="null3"/>
              <w:jc w:val="left"/>
            </w:pPr>
            <w:r>
              <w:rPr>
                <w:rFonts w:ascii="仿宋_GB2312" w:hAnsi="仿宋_GB2312" w:cs="仿宋_GB2312" w:eastAsia="仿宋_GB2312"/>
              </w:rPr>
              <w:t>窗帘</w:t>
            </w:r>
          </w:p>
        </w:tc>
        <w:tc>
          <w:tcPr>
            <w:tcW w:type="dxa" w:w="821"/>
          </w:tcPr>
          <w:p>
            <w:pPr>
              <w:pStyle w:val="null3"/>
              <w:jc w:val="right"/>
            </w:pPr>
            <w:r>
              <w:rPr>
                <w:rFonts w:ascii="仿宋_GB2312" w:hAnsi="仿宋_GB2312" w:cs="仿宋_GB2312" w:eastAsia="仿宋_GB2312"/>
              </w:rPr>
              <w:t>4,360.00（米）</w:t>
            </w:r>
          </w:p>
        </w:tc>
        <w:tc>
          <w:tcPr>
            <w:tcW w:type="dxa" w:w="821"/>
          </w:tcPr>
          <w:p>
            <w:pPr>
              <w:pStyle w:val="null3"/>
              <w:jc w:val="right"/>
            </w:pPr>
            <w:r>
              <w:rPr>
                <w:rFonts w:ascii="仿宋_GB2312" w:hAnsi="仿宋_GB2312" w:cs="仿宋_GB2312" w:eastAsia="仿宋_GB2312"/>
              </w:rPr>
              <w:t>414,200.00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医用帘</w:t>
            </w:r>
          </w:p>
        </w:tc>
        <w:tc>
          <w:tcPr>
            <w:tcW w:type="dxa" w:w="1138"/>
          </w:tcPr>
          <w:p>
            <w:pPr>
              <w:pStyle w:val="null3"/>
              <w:jc w:val="center"/>
            </w:pPr>
            <w:r>
              <w:rPr>
                <w:rFonts w:ascii="仿宋_GB2312" w:hAnsi="仿宋_GB2312" w:cs="仿宋_GB2312" w:eastAsia="仿宋_GB2312"/>
              </w:rPr>
              <w:t>5,230.00（米）</w:t>
            </w:r>
          </w:p>
        </w:tc>
        <w:tc>
          <w:tcPr>
            <w:tcW w:type="dxa" w:w="1365"/>
          </w:tcPr>
          <w:p>
            <w:pPr>
              <w:pStyle w:val="null3"/>
              <w:jc w:val="center"/>
            </w:pPr>
            <w:r>
              <w:rPr>
                <w:rFonts w:ascii="仿宋_GB2312" w:hAnsi="仿宋_GB2312" w:cs="仿宋_GB2312" w:eastAsia="仿宋_GB2312"/>
              </w:rPr>
              <w:t>397,480.00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包含：隔帘轨道的滑轮及配套部件和安装。</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窗帘</w:t>
            </w:r>
          </w:p>
        </w:tc>
        <w:tc>
          <w:tcPr>
            <w:tcW w:type="dxa" w:w="1138"/>
          </w:tcPr>
          <w:p>
            <w:pPr>
              <w:pStyle w:val="null3"/>
              <w:jc w:val="center"/>
            </w:pPr>
            <w:r>
              <w:rPr>
                <w:rFonts w:ascii="仿宋_GB2312" w:hAnsi="仿宋_GB2312" w:cs="仿宋_GB2312" w:eastAsia="仿宋_GB2312"/>
              </w:rPr>
              <w:t>4,360.00（米）</w:t>
            </w:r>
          </w:p>
        </w:tc>
        <w:tc>
          <w:tcPr>
            <w:tcW w:type="dxa" w:w="1365"/>
          </w:tcPr>
          <w:p>
            <w:pPr>
              <w:pStyle w:val="null3"/>
              <w:jc w:val="center"/>
            </w:pPr>
            <w:r>
              <w:rPr>
                <w:rFonts w:ascii="仿宋_GB2312" w:hAnsi="仿宋_GB2312" w:cs="仿宋_GB2312" w:eastAsia="仿宋_GB2312"/>
              </w:rPr>
              <w:t>414,200.00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包含：窗帘轨道2180.00米及其配套部件和安装。</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A05030505 窗帘及类似品</w:t>
            </w:r>
          </w:p>
        </w:tc>
        <w:tc>
          <w:tcPr>
            <w:tcW w:type="dxa" w:w="2492"/>
          </w:tcPr>
          <w:p>
            <w:pPr>
              <w:pStyle w:val="null3"/>
              <w:jc w:val="left"/>
            </w:pPr>
            <w:r>
              <w:rPr>
                <w:rFonts w:ascii="仿宋_GB2312" w:hAnsi="仿宋_GB2312" w:cs="仿宋_GB2312" w:eastAsia="仿宋_GB2312"/>
              </w:rPr>
              <w:t>医用帘</w:t>
            </w:r>
          </w:p>
        </w:tc>
        <w:tc>
          <w:tcPr>
            <w:tcW w:type="dxa" w:w="2492"/>
          </w:tcPr>
          <w:p>
            <w:pPr>
              <w:pStyle w:val="null3"/>
              <w:jc w:val="left"/>
            </w:pPr>
            <w:r>
              <w:rPr>
                <w:rFonts w:ascii="仿宋_GB2312" w:hAnsi="仿宋_GB2312" w:cs="仿宋_GB2312" w:eastAsia="仿宋_GB2312"/>
              </w:rPr>
              <w:t>医用帘</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A05030505 窗帘及类似品</w:t>
            </w:r>
          </w:p>
        </w:tc>
        <w:tc>
          <w:tcPr>
            <w:tcW w:type="dxa" w:w="2492"/>
          </w:tcPr>
          <w:p>
            <w:pPr>
              <w:pStyle w:val="null3"/>
              <w:jc w:val="left"/>
            </w:pPr>
            <w:r>
              <w:rPr>
                <w:rFonts w:ascii="仿宋_GB2312" w:hAnsi="仿宋_GB2312" w:cs="仿宋_GB2312" w:eastAsia="仿宋_GB2312"/>
              </w:rPr>
              <w:t>窗帘</w:t>
            </w:r>
          </w:p>
        </w:tc>
        <w:tc>
          <w:tcPr>
            <w:tcW w:type="dxa" w:w="2492"/>
          </w:tcPr>
          <w:p>
            <w:pPr>
              <w:pStyle w:val="null3"/>
              <w:jc w:val="left"/>
            </w:pPr>
            <w:r>
              <w:rPr>
                <w:rFonts w:ascii="仿宋_GB2312" w:hAnsi="仿宋_GB2312" w:cs="仿宋_GB2312" w:eastAsia="仿宋_GB2312"/>
              </w:rPr>
              <w:t>窗帘</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A05030505 窗帘及类似品</w:t>
            </w:r>
          </w:p>
        </w:tc>
        <w:tc>
          <w:tcPr>
            <w:tcW w:type="dxa" w:w="2492"/>
          </w:tcPr>
          <w:p>
            <w:pPr>
              <w:pStyle w:val="null3"/>
              <w:jc w:val="left"/>
            </w:pPr>
            <w:r>
              <w:rPr>
                <w:rFonts w:ascii="仿宋_GB2312" w:hAnsi="仿宋_GB2312" w:cs="仿宋_GB2312" w:eastAsia="仿宋_GB2312"/>
              </w:rPr>
              <w:t>医用帘</w:t>
            </w:r>
          </w:p>
        </w:tc>
        <w:tc>
          <w:tcPr>
            <w:tcW w:type="dxa" w:w="2492"/>
          </w:tcPr>
          <w:p>
            <w:pPr>
              <w:pStyle w:val="null3"/>
              <w:jc w:val="left"/>
            </w:pPr>
            <w:r>
              <w:rPr>
                <w:rFonts w:ascii="仿宋_GB2312" w:hAnsi="仿宋_GB2312" w:cs="仿宋_GB2312" w:eastAsia="仿宋_GB2312"/>
              </w:rPr>
              <w:t>医用帘</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A05030505 窗帘及类似品</w:t>
            </w:r>
          </w:p>
        </w:tc>
        <w:tc>
          <w:tcPr>
            <w:tcW w:type="dxa" w:w="2492"/>
          </w:tcPr>
          <w:p>
            <w:pPr>
              <w:pStyle w:val="null3"/>
              <w:jc w:val="left"/>
            </w:pPr>
            <w:r>
              <w:rPr>
                <w:rFonts w:ascii="仿宋_GB2312" w:hAnsi="仿宋_GB2312" w:cs="仿宋_GB2312" w:eastAsia="仿宋_GB2312"/>
              </w:rPr>
              <w:t>窗帘</w:t>
            </w:r>
          </w:p>
        </w:tc>
        <w:tc>
          <w:tcPr>
            <w:tcW w:type="dxa" w:w="2492"/>
          </w:tcPr>
          <w:p>
            <w:pPr>
              <w:pStyle w:val="null3"/>
              <w:jc w:val="left"/>
            </w:pPr>
            <w:r>
              <w:rPr>
                <w:rFonts w:ascii="仿宋_GB2312" w:hAnsi="仿宋_GB2312" w:cs="仿宋_GB2312" w:eastAsia="仿宋_GB2312"/>
              </w:rPr>
              <w:t>窗帘</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标的名称：医用帘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医用帘</w:t>
            </w:r>
          </w:p>
        </w:tc>
        <w:tc>
          <w:tcPr>
            <w:tcW w:type="dxa" w:w="5814"/>
          </w:tcPr>
          <w:p>
            <w:pPr>
              <w:pStyle w:val="null3"/>
              <w:jc w:val="left"/>
            </w:pPr>
            <w:r>
              <w:rPr>
                <w:rFonts w:ascii="仿宋_GB2312" w:hAnsi="仿宋_GB2312" w:cs="仿宋_GB2312" w:eastAsia="仿宋_GB2312"/>
                <w:sz w:val="24"/>
              </w:rPr>
              <w:t>★1.布料采用专用医用帘面料，采用8cm宽有纺衬布带加工，</w:t>
            </w:r>
            <w:r>
              <w:rPr>
                <w:rFonts w:ascii="仿宋_GB2312" w:hAnsi="仿宋_GB2312" w:cs="仿宋_GB2312" w:eastAsia="仿宋_GB2312"/>
                <w:sz w:val="24"/>
              </w:rPr>
              <w:t>隔帘面料须具有</w:t>
            </w:r>
            <w:r>
              <w:rPr>
                <w:rFonts w:ascii="仿宋_GB2312" w:hAnsi="仿宋_GB2312" w:cs="仿宋_GB2312" w:eastAsia="仿宋_GB2312"/>
                <w:sz w:val="24"/>
              </w:rPr>
              <w:t>B1级或1级阻燃性能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2.纤维含量：100%聚酯纤维。</w:t>
            </w:r>
          </w:p>
          <w:p>
            <w:pPr>
              <w:pStyle w:val="null3"/>
              <w:jc w:val="left"/>
            </w:pPr>
            <w:r>
              <w:rPr>
                <w:rFonts w:ascii="仿宋_GB2312" w:hAnsi="仿宋_GB2312" w:cs="仿宋_GB2312" w:eastAsia="仿宋_GB2312"/>
                <w:sz w:val="24"/>
              </w:rPr>
              <w:t>3.甲醛含量：≤20mg/kg；符合GB/T2912.1-2009（水萃取法：检出限：20mg/kg）。</w:t>
            </w:r>
          </w:p>
          <w:p>
            <w:pPr>
              <w:pStyle w:val="null3"/>
              <w:jc w:val="left"/>
            </w:pPr>
            <w:r>
              <w:rPr>
                <w:rFonts w:ascii="仿宋_GB2312" w:hAnsi="仿宋_GB2312" w:cs="仿宋_GB2312" w:eastAsia="仿宋_GB2312"/>
                <w:sz w:val="24"/>
              </w:rPr>
              <w:t>4.pH值：4.0~7.5；符合GB/T7573-2009（萃取介质：氯化钾溶液）。</w:t>
            </w:r>
          </w:p>
          <w:p>
            <w:pPr>
              <w:pStyle w:val="null3"/>
              <w:jc w:val="left"/>
            </w:pPr>
            <w:r>
              <w:rPr>
                <w:rFonts w:ascii="仿宋_GB2312" w:hAnsi="仿宋_GB2312" w:cs="仿宋_GB2312" w:eastAsia="仿宋_GB2312"/>
                <w:sz w:val="24"/>
              </w:rPr>
              <w:t>5.可分解致癌芳香胺染料：禁用≤20mg/kg。</w:t>
            </w:r>
          </w:p>
          <w:p>
            <w:pPr>
              <w:pStyle w:val="null3"/>
              <w:jc w:val="left"/>
            </w:pPr>
            <w:r>
              <w:rPr>
                <w:rFonts w:ascii="仿宋_GB2312" w:hAnsi="仿宋_GB2312" w:cs="仿宋_GB2312" w:eastAsia="仿宋_GB2312"/>
                <w:sz w:val="24"/>
              </w:rPr>
              <w:t>★6.异味：无异味；符合GB18401-2010 （第6.7条款）。</w:t>
            </w:r>
          </w:p>
          <w:p>
            <w:pPr>
              <w:pStyle w:val="null3"/>
              <w:jc w:val="left"/>
            </w:pPr>
            <w:r>
              <w:rPr>
                <w:rFonts w:ascii="仿宋_GB2312" w:hAnsi="仿宋_GB2312" w:cs="仿宋_GB2312" w:eastAsia="仿宋_GB2312"/>
                <w:sz w:val="24"/>
              </w:rPr>
              <w:t>7.耐摩擦色牢度：干摩：≥4级；符合GB/T3920-2008。</w:t>
            </w:r>
          </w:p>
          <w:p>
            <w:pPr>
              <w:pStyle w:val="null3"/>
              <w:jc w:val="left"/>
            </w:pPr>
            <w:r>
              <w:rPr>
                <w:rFonts w:ascii="仿宋_GB2312" w:hAnsi="仿宋_GB2312" w:cs="仿宋_GB2312" w:eastAsia="仿宋_GB2312"/>
                <w:sz w:val="24"/>
              </w:rPr>
              <w:t>8.耐唾液色牢度：变色：≥4级；沾色：≥4级；符合GB/T18886-2019。</w:t>
            </w:r>
          </w:p>
          <w:p>
            <w:pPr>
              <w:pStyle w:val="null3"/>
              <w:jc w:val="left"/>
            </w:pPr>
            <w:r>
              <w:rPr>
                <w:rFonts w:ascii="仿宋_GB2312" w:hAnsi="仿宋_GB2312" w:cs="仿宋_GB2312" w:eastAsia="仿宋_GB2312"/>
                <w:sz w:val="24"/>
              </w:rPr>
              <w:t>9.耐水色牢度：变色：≥3-4级；沾色：≥3-4级；符合GB/T5713-2013。</w:t>
            </w:r>
          </w:p>
          <w:p>
            <w:pPr>
              <w:pStyle w:val="null3"/>
              <w:jc w:val="left"/>
            </w:pPr>
            <w:r>
              <w:rPr>
                <w:rFonts w:ascii="仿宋_GB2312" w:hAnsi="仿宋_GB2312" w:cs="仿宋_GB2312" w:eastAsia="仿宋_GB2312"/>
                <w:sz w:val="24"/>
              </w:rPr>
              <w:t>10.耐汗渍色牢度：变色：≥3-4级；沾色：≥3-4级；符合GB/T3922-2013。</w:t>
            </w:r>
          </w:p>
          <w:p>
            <w:pPr>
              <w:pStyle w:val="null3"/>
              <w:jc w:val="left"/>
            </w:pPr>
            <w:r>
              <w:rPr>
                <w:rFonts w:ascii="仿宋_GB2312" w:hAnsi="仿宋_GB2312" w:cs="仿宋_GB2312" w:eastAsia="仿宋_GB2312"/>
                <w:sz w:val="24"/>
              </w:rPr>
              <w:t>★11.克重：≥600克/米，遮光率≥80%。</w:t>
            </w:r>
          </w:p>
        </w:tc>
      </w:tr>
    </w:tbl>
    <w:p>
      <w:pPr>
        <w:pStyle w:val="null3"/>
        <w:jc w:val="left"/>
      </w:pPr>
      <w:r>
        <w:rPr>
          <w:rFonts w:ascii="仿宋_GB2312" w:hAnsi="仿宋_GB2312" w:cs="仿宋_GB2312" w:eastAsia="仿宋_GB2312"/>
        </w:rPr>
        <w:t>标的名称：窗帘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窗帘</w:t>
            </w:r>
          </w:p>
        </w:tc>
        <w:tc>
          <w:tcPr>
            <w:tcW w:type="dxa" w:w="5814"/>
          </w:tcPr>
          <w:p>
            <w:pPr>
              <w:pStyle w:val="null3"/>
              <w:spacing w:before="90" w:after="90"/>
              <w:jc w:val="left"/>
            </w:pPr>
            <w:r>
              <w:rPr>
                <w:rFonts w:ascii="仿宋_GB2312" w:hAnsi="仿宋_GB2312" w:cs="仿宋_GB2312" w:eastAsia="仿宋_GB2312"/>
                <w:sz w:val="24"/>
              </w:rPr>
              <w:t>★1.布料：纯色高密度混纺面料；幅宽3.2米，绿色环保易清洗，遮光度90%；多种颜色可选；加工：8cm宽有纺衬布带，不易损坏，耐老化；安装：加厚铝合金轨道安装。</w:t>
            </w:r>
            <w:r>
              <w:rPr>
                <w:rFonts w:ascii="仿宋_GB2312" w:hAnsi="仿宋_GB2312" w:cs="仿宋_GB2312" w:eastAsia="仿宋_GB2312"/>
                <w:sz w:val="24"/>
              </w:rPr>
              <w:t>窗帘面料须具有</w:t>
            </w:r>
            <w:r>
              <w:rPr>
                <w:rFonts w:ascii="仿宋_GB2312" w:hAnsi="仿宋_GB2312" w:cs="仿宋_GB2312" w:eastAsia="仿宋_GB2312"/>
                <w:sz w:val="24"/>
              </w:rPr>
              <w:t>B1级或1级阻燃性能</w:t>
            </w:r>
            <w:r>
              <w:rPr>
                <w:rFonts w:ascii="仿宋_GB2312" w:hAnsi="仿宋_GB2312" w:cs="仿宋_GB2312" w:eastAsia="仿宋_GB2312"/>
                <w:sz w:val="24"/>
              </w:rPr>
              <w:t>。</w:t>
            </w:r>
          </w:p>
          <w:p>
            <w:pPr>
              <w:pStyle w:val="null3"/>
              <w:spacing w:before="90" w:after="90"/>
              <w:jc w:val="left"/>
            </w:pPr>
            <w:r>
              <w:rPr>
                <w:rFonts w:ascii="仿宋_GB2312" w:hAnsi="仿宋_GB2312" w:cs="仿宋_GB2312" w:eastAsia="仿宋_GB2312"/>
                <w:sz w:val="24"/>
              </w:rPr>
              <w:t>★2.纤维含量：≥80%聚酯纤维；≥14%沾纤；≥3%其他纤维；符合FZ/T01057.2-2007,FZ/T01057.3-2007,FZ/T01057.4-2007,GB/T2910.2-2009等标准。</w:t>
            </w:r>
          </w:p>
          <w:p>
            <w:pPr>
              <w:pStyle w:val="null3"/>
              <w:spacing w:before="90" w:after="90"/>
              <w:jc w:val="left"/>
            </w:pPr>
            <w:r>
              <w:rPr>
                <w:rFonts w:ascii="仿宋_GB2312" w:hAnsi="仿宋_GB2312" w:cs="仿宋_GB2312" w:eastAsia="仿宋_GB2312"/>
                <w:sz w:val="24"/>
              </w:rPr>
              <w:t>3.甲醛含量：≤20mg/kg。</w:t>
            </w:r>
          </w:p>
          <w:p>
            <w:pPr>
              <w:pStyle w:val="null3"/>
              <w:spacing w:before="90" w:after="90"/>
              <w:jc w:val="left"/>
            </w:pPr>
            <w:r>
              <w:rPr>
                <w:rFonts w:ascii="仿宋_GB2312" w:hAnsi="仿宋_GB2312" w:cs="仿宋_GB2312" w:eastAsia="仿宋_GB2312"/>
                <w:sz w:val="24"/>
              </w:rPr>
              <w:t>4.pH值：4.0~8.0；符合GB/T7573-2009。</w:t>
            </w:r>
          </w:p>
          <w:p>
            <w:pPr>
              <w:pStyle w:val="null3"/>
              <w:spacing w:before="90" w:after="90"/>
              <w:jc w:val="left"/>
            </w:pPr>
            <w:r>
              <w:rPr>
                <w:rFonts w:ascii="仿宋_GB2312" w:hAnsi="仿宋_GB2312" w:cs="仿宋_GB2312" w:eastAsia="仿宋_GB2312"/>
                <w:sz w:val="24"/>
              </w:rPr>
              <w:t>★5.异味：无异味；符合GB18401-2010 6.7。</w:t>
            </w:r>
          </w:p>
          <w:p>
            <w:pPr>
              <w:pStyle w:val="null3"/>
              <w:spacing w:before="90" w:after="90"/>
              <w:jc w:val="left"/>
            </w:pPr>
            <w:r>
              <w:rPr>
                <w:rFonts w:ascii="仿宋_GB2312" w:hAnsi="仿宋_GB2312" w:cs="仿宋_GB2312" w:eastAsia="仿宋_GB2312"/>
                <w:sz w:val="24"/>
              </w:rPr>
              <w:t>6.可分解致癌芳香胺：≤20mg/kg。</w:t>
            </w:r>
          </w:p>
          <w:p>
            <w:pPr>
              <w:pStyle w:val="null3"/>
              <w:spacing w:before="90" w:after="90"/>
              <w:jc w:val="left"/>
            </w:pPr>
            <w:r>
              <w:rPr>
                <w:rFonts w:ascii="仿宋_GB2312" w:hAnsi="仿宋_GB2312" w:cs="仿宋_GB2312" w:eastAsia="仿宋_GB2312"/>
                <w:sz w:val="24"/>
              </w:rPr>
              <w:t>★7.耐水色牢度：变色：≥4级；沾色：≥3级；符合GB/T5713-2013。</w:t>
            </w:r>
          </w:p>
          <w:p>
            <w:pPr>
              <w:pStyle w:val="null3"/>
              <w:spacing w:before="90" w:after="90"/>
              <w:jc w:val="left"/>
            </w:pPr>
            <w:r>
              <w:rPr>
                <w:rFonts w:ascii="仿宋_GB2312" w:hAnsi="仿宋_GB2312" w:cs="仿宋_GB2312" w:eastAsia="仿宋_GB2312"/>
                <w:sz w:val="24"/>
              </w:rPr>
              <w:t>8.耐汗渍色牢度：酸性：变色：≥3级；沾色：≥3级； 碱性：变色：≥3级；沾色：≥3级；符合GB/T3922-2013。</w:t>
            </w:r>
          </w:p>
          <w:p>
            <w:pPr>
              <w:pStyle w:val="null3"/>
              <w:spacing w:before="90" w:after="90"/>
              <w:jc w:val="left"/>
            </w:pPr>
            <w:r>
              <w:rPr>
                <w:rFonts w:ascii="仿宋_GB2312" w:hAnsi="仿宋_GB2312" w:cs="仿宋_GB2312" w:eastAsia="仿宋_GB2312"/>
                <w:sz w:val="24"/>
              </w:rPr>
              <w:t>9.耐摩擦色牢度：干摩擦：≥3级；湿摩擦：≥3级。</w:t>
            </w:r>
          </w:p>
          <w:p>
            <w:pPr>
              <w:pStyle w:val="null3"/>
              <w:spacing w:before="90" w:after="90"/>
              <w:jc w:val="left"/>
            </w:pPr>
            <w:r>
              <w:rPr>
                <w:rFonts w:ascii="仿宋_GB2312" w:hAnsi="仿宋_GB2312" w:cs="仿宋_GB2312" w:eastAsia="仿宋_GB2312"/>
                <w:sz w:val="24"/>
              </w:rPr>
              <w:t>10.耐光色牢度：≥3级。</w:t>
            </w:r>
          </w:p>
          <w:p>
            <w:pPr>
              <w:pStyle w:val="null3"/>
              <w:spacing w:before="90" w:after="90"/>
              <w:jc w:val="left"/>
            </w:pPr>
            <w:r>
              <w:rPr>
                <w:rFonts w:ascii="仿宋_GB2312" w:hAnsi="仿宋_GB2312" w:cs="仿宋_GB2312" w:eastAsia="仿宋_GB2312"/>
                <w:sz w:val="24"/>
              </w:rPr>
              <w:t>11.撕破强力：经向：≥300N；纬向：≥300N。</w:t>
            </w:r>
          </w:p>
          <w:p>
            <w:pPr>
              <w:pStyle w:val="null3"/>
              <w:spacing w:before="90" w:after="90"/>
              <w:jc w:val="left"/>
            </w:pPr>
            <w:r>
              <w:rPr>
                <w:rFonts w:ascii="仿宋_GB2312" w:hAnsi="仿宋_GB2312" w:cs="仿宋_GB2312" w:eastAsia="仿宋_GB2312"/>
                <w:sz w:val="24"/>
              </w:rPr>
              <w:t>12.幅度：≥2.7m；符合GB/T4666-2009。</w:t>
            </w:r>
          </w:p>
          <w:p>
            <w:pPr>
              <w:pStyle w:val="null3"/>
              <w:spacing w:before="90" w:after="90"/>
              <w:jc w:val="left"/>
            </w:pPr>
            <w:r>
              <w:rPr>
                <w:rFonts w:ascii="仿宋_GB2312" w:hAnsi="仿宋_GB2312" w:cs="仿宋_GB2312" w:eastAsia="仿宋_GB2312"/>
                <w:sz w:val="24"/>
              </w:rPr>
              <w:t>★13.密度（根/10cm）：经向：≥130根；纬向：≥65根；符合GB/T4668-1995方法A，织物分解法。</w:t>
            </w:r>
          </w:p>
          <w:p>
            <w:pPr>
              <w:pStyle w:val="null3"/>
              <w:spacing w:before="90" w:after="90"/>
              <w:jc w:val="left"/>
            </w:pPr>
            <w:r>
              <w:rPr>
                <w:rFonts w:ascii="仿宋_GB2312" w:hAnsi="仿宋_GB2312" w:cs="仿宋_GB2312" w:eastAsia="仿宋_GB2312"/>
                <w:sz w:val="24"/>
              </w:rPr>
              <w:t>14.线密度：经向：≥1200D；符合GB/T14343-2008方法A。</w:t>
            </w:r>
          </w:p>
          <w:p>
            <w:pPr>
              <w:pStyle w:val="null3"/>
              <w:spacing w:before="90" w:after="90"/>
              <w:jc w:val="left"/>
            </w:pPr>
            <w:r>
              <w:rPr>
                <w:rFonts w:ascii="仿宋_GB2312" w:hAnsi="仿宋_GB2312" w:cs="仿宋_GB2312" w:eastAsia="仿宋_GB2312"/>
                <w:sz w:val="24"/>
              </w:rPr>
              <w:t>15.织物质量：≥380g/㎡。</w:t>
            </w:r>
          </w:p>
          <w:p>
            <w:pPr>
              <w:pStyle w:val="null3"/>
              <w:spacing w:before="90" w:after="90"/>
              <w:jc w:val="left"/>
            </w:pPr>
            <w:r>
              <w:rPr>
                <w:rFonts w:ascii="仿宋_GB2312" w:hAnsi="仿宋_GB2312" w:cs="仿宋_GB2312" w:eastAsia="仿宋_GB2312"/>
                <w:sz w:val="24"/>
              </w:rPr>
              <w:t>★16.燃烧性能：损毁长度：经向≤150mm；纬向≤150mm；续燃时间：经向≤5s；纬向≤5s；阴燃时间：经向≤5s；纬向≤5s；符合GB/T5455-2014条件A。</w:t>
            </w:r>
          </w:p>
          <w:p>
            <w:pPr>
              <w:pStyle w:val="null3"/>
              <w:spacing w:before="90" w:after="90"/>
              <w:jc w:val="left"/>
            </w:pPr>
            <w:r>
              <w:rPr>
                <w:rFonts w:ascii="仿宋_GB2312" w:hAnsi="仿宋_GB2312" w:cs="仿宋_GB2312" w:eastAsia="仿宋_GB2312"/>
                <w:sz w:val="24"/>
              </w:rPr>
              <w:t>17.防紫外线性能：透射比T(UVA)＜5； UPF值&gt;40；符合GB/T18830-2009。</w:t>
            </w:r>
          </w:p>
          <w:p>
            <w:pPr>
              <w:pStyle w:val="null3"/>
              <w:jc w:val="left"/>
            </w:pPr>
            <w:r>
              <w:rPr>
                <w:rFonts w:ascii="仿宋_GB2312" w:hAnsi="仿宋_GB2312" w:cs="仿宋_GB2312" w:eastAsia="仿宋_GB2312"/>
                <w:sz w:val="24"/>
              </w:rPr>
              <w:t>★18.遮光率：≥95%；符合FZ/T62025-2015附录A。</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19.轨道：轨道具有静音性能，壁厚</w:t>
            </w:r>
            <w:r>
              <w:rPr>
                <w:rFonts w:ascii="仿宋_GB2312" w:hAnsi="仿宋_GB2312" w:cs="仿宋_GB2312" w:eastAsia="仿宋_GB2312"/>
                <w:sz w:val="24"/>
              </w:rPr>
              <w:t>≥</w:t>
            </w:r>
            <w:r>
              <w:rPr>
                <w:rFonts w:ascii="仿宋_GB2312" w:hAnsi="仿宋_GB2312" w:cs="仿宋_GB2312" w:eastAsia="仿宋_GB2312"/>
                <w:sz w:val="24"/>
              </w:rPr>
              <w:t>1.0mm,宽</w:t>
            </w:r>
            <w:r>
              <w:rPr>
                <w:rFonts w:ascii="仿宋_GB2312" w:hAnsi="仿宋_GB2312" w:cs="仿宋_GB2312" w:eastAsia="仿宋_GB2312"/>
                <w:sz w:val="24"/>
              </w:rPr>
              <w:t>≥</w:t>
            </w:r>
            <w:r>
              <w:rPr>
                <w:rFonts w:ascii="仿宋_GB2312" w:hAnsi="仿宋_GB2312" w:cs="仿宋_GB2312" w:eastAsia="仿宋_GB2312"/>
                <w:sz w:val="24"/>
              </w:rPr>
              <w:t>2.0cm,高</w:t>
            </w:r>
            <w:r>
              <w:rPr>
                <w:rFonts w:ascii="仿宋_GB2312" w:hAnsi="仿宋_GB2312" w:cs="仿宋_GB2312" w:eastAsia="仿宋_GB2312"/>
                <w:sz w:val="24"/>
              </w:rPr>
              <w:t>≥</w:t>
            </w:r>
            <w:r>
              <w:rPr>
                <w:rFonts w:ascii="仿宋_GB2312" w:hAnsi="仿宋_GB2312" w:cs="仿宋_GB2312" w:eastAsia="仿宋_GB2312"/>
                <w:sz w:val="24"/>
              </w:rPr>
              <w:t>2.0cm。</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制作要求</w:t>
            </w:r>
          </w:p>
        </w:tc>
        <w:tc>
          <w:tcPr>
            <w:tcW w:type="dxa" w:w="5814"/>
          </w:tcPr>
          <w:p>
            <w:pPr>
              <w:pStyle w:val="null3"/>
              <w:jc w:val="left"/>
            </w:pPr>
            <w:r>
              <w:rPr>
                <w:rFonts w:ascii="仿宋_GB2312" w:hAnsi="仿宋_GB2312" w:cs="仿宋_GB2312" w:eastAsia="仿宋_GB2312"/>
                <w:sz w:val="21"/>
              </w:rPr>
              <w:t>1、布艺窗帘制作样式为:布帘侧包边宽度30mm，底边包边宽度120mm。成品高度误差不超过10mm，宽度不得小于要求尺寸，且不得超过要求宽度150mm以上。成品无线头、无污迹(具体尺寸签订合同后由中标供应商到现场实际测量，最终结算时以实际测量米数乘以中标(成交)单价结算)。</w:t>
            </w:r>
          </w:p>
          <w:p>
            <w:pPr>
              <w:pStyle w:val="null3"/>
              <w:jc w:val="left"/>
            </w:pPr>
            <w:r>
              <w:rPr>
                <w:rFonts w:ascii="仿宋_GB2312" w:hAnsi="仿宋_GB2312" w:cs="仿宋_GB2312" w:eastAsia="仿宋_GB2312"/>
                <w:sz w:val="21"/>
              </w:rPr>
              <w:t>2、每米成品布艺窗帘制作8个标准褶皱(褶皱比例为1:2.0，即每米布料制作8个褶皱，用料倍数为2.0倍)。</w:t>
            </w:r>
          </w:p>
          <w:p>
            <w:pPr>
              <w:pStyle w:val="null3"/>
              <w:jc w:val="left"/>
            </w:pPr>
            <w:r>
              <w:rPr>
                <w:rFonts w:ascii="仿宋_GB2312" w:hAnsi="仿宋_GB2312" w:cs="仿宋_GB2312" w:eastAsia="仿宋_GB2312"/>
                <w:sz w:val="21"/>
              </w:rPr>
              <w:t>3、缝制针距均匀，表面平整，每100mm长度内不少于35针。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1"/>
              </w:rPr>
              <w:t>1.供应商须提供全新的货物(含零部件、配件、使用说明书等)，表面无划伤、无碰撞痕迹，且权属清楚，不得侵害他人的知识产权。</w:t>
            </w:r>
          </w:p>
          <w:p>
            <w:pPr>
              <w:pStyle w:val="null3"/>
              <w:jc w:val="both"/>
            </w:pPr>
            <w:r>
              <w:rPr>
                <w:rFonts w:ascii="仿宋_GB2312" w:hAnsi="仿宋_GB2312" w:cs="仿宋_GB2312" w:eastAsia="仿宋_GB2312"/>
                <w:sz w:val="21"/>
              </w:rPr>
              <w:t>2.货物制造质量出现问题，供应商应负责三包(包修、包换、包退)，费用由供应商负担。</w:t>
            </w:r>
          </w:p>
          <w:p>
            <w:pPr>
              <w:pStyle w:val="null3"/>
              <w:jc w:val="left"/>
            </w:pPr>
            <w:r>
              <w:rPr>
                <w:rFonts w:ascii="仿宋_GB2312" w:hAnsi="仿宋_GB2312" w:cs="仿宋_GB2312" w:eastAsia="仿宋_GB2312"/>
                <w:sz w:val="21"/>
              </w:rPr>
              <w:t>3.货到现场后由成交供应商自行保管，发生损坏与采购人无关。</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履约能力要求</w:t>
            </w:r>
          </w:p>
        </w:tc>
        <w:tc>
          <w:tcPr>
            <w:tcW w:type="dxa" w:w="5814"/>
          </w:tcPr>
          <w:p>
            <w:pPr>
              <w:pStyle w:val="null3"/>
              <w:jc w:val="left"/>
            </w:pPr>
            <w:r>
              <w:rPr>
                <w:rFonts w:ascii="仿宋_GB2312" w:hAnsi="仿宋_GB2312" w:cs="仿宋_GB2312" w:eastAsia="仿宋_GB2312"/>
                <w:sz w:val="21"/>
              </w:rPr>
              <w:t>供应商具有人员配置及分工、货源组织、包装运输、安装调试、培训验收、时间进度安排、关键点把握控制、质量保障、后期运行维护等实施能力。</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合同价款要求</w:t>
            </w:r>
          </w:p>
        </w:tc>
        <w:tc>
          <w:tcPr>
            <w:tcW w:type="dxa" w:w="5814"/>
          </w:tcPr>
          <w:p>
            <w:pPr>
              <w:pStyle w:val="null3"/>
              <w:jc w:val="left"/>
            </w:pPr>
            <w:r>
              <w:rPr>
                <w:rFonts w:ascii="仿宋_GB2312" w:hAnsi="仿宋_GB2312" w:cs="仿宋_GB2312" w:eastAsia="仿宋_GB2312"/>
                <w:sz w:val="24"/>
              </w:rPr>
              <w:t>合同价款要求：包括货物设计、材料、生产制造、包装、运输、安装、安装所需配件材料（包含窗帘安装所需材料配件和医用帘轨道及滑轮等材料配件）</w:t>
            </w:r>
            <w:r>
              <w:rPr>
                <w:rFonts w:ascii="仿宋_GB2312" w:hAnsi="仿宋_GB2312" w:cs="仿宋_GB2312" w:eastAsia="仿宋_GB2312"/>
                <w:sz w:val="24"/>
              </w:rPr>
              <w:t>、调试、检测、保险、培训、风险、利润、招标代理服务费、验收合格交付使用之前及保修期内保修服务与备用物件等等所有其他有关各项的含税费用。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供应商在项目执行过程中定期及时向采购人通告本项目供货的重大事项及其进度。</w:t>
            </w:r>
          </w:p>
          <w:p>
            <w:pPr>
              <w:pStyle w:val="null3"/>
              <w:jc w:val="both"/>
            </w:pPr>
            <w:r>
              <w:rPr>
                <w:rFonts w:ascii="仿宋_GB2312" w:hAnsi="仿宋_GB2312" w:cs="仿宋_GB2312" w:eastAsia="仿宋_GB2312"/>
                <w:sz w:val="21"/>
              </w:rPr>
              <w:t>2.供应商须</w:t>
            </w:r>
            <w:r>
              <w:rPr>
                <w:rFonts w:ascii="仿宋_GB2312" w:hAnsi="仿宋_GB2312" w:cs="仿宋_GB2312" w:eastAsia="仿宋_GB2312"/>
                <w:sz w:val="21"/>
              </w:rPr>
              <w:t>接受项目行业管理部门及政府有关部门的指导，接受采购人的监督。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供应商所提供的</w:t>
            </w:r>
            <w:r>
              <w:rPr>
                <w:rFonts w:ascii="仿宋_GB2312" w:hAnsi="仿宋_GB2312" w:cs="仿宋_GB2312" w:eastAsia="仿宋_GB2312"/>
                <w:sz w:val="21"/>
              </w:rPr>
              <w:t>产品</w:t>
            </w:r>
            <w:r>
              <w:rPr>
                <w:rFonts w:ascii="仿宋_GB2312" w:hAnsi="仿宋_GB2312" w:cs="仿宋_GB2312" w:eastAsia="仿宋_GB2312"/>
                <w:sz w:val="21"/>
              </w:rPr>
              <w:t>是经检验合格的全新正品。</w:t>
            </w:r>
            <w:r>
              <w:rPr>
                <w:rFonts w:ascii="仿宋_GB2312" w:hAnsi="仿宋_GB2312" w:cs="仿宋_GB2312" w:eastAsia="仿宋_GB2312"/>
                <w:sz w:val="21"/>
              </w:rPr>
              <w:t>供应商</w:t>
            </w:r>
            <w:r>
              <w:rPr>
                <w:rFonts w:ascii="仿宋_GB2312" w:hAnsi="仿宋_GB2312" w:cs="仿宋_GB2312" w:eastAsia="仿宋_GB2312"/>
                <w:sz w:val="21"/>
              </w:rPr>
              <w:t>不得以次充好，产品来源渠道必须合法，同时应根据国家有关规定、厂家服务承诺及采购单位的要求做好售后服务工作。供应商所提供的</w:t>
            </w:r>
            <w:r>
              <w:rPr>
                <w:rFonts w:ascii="仿宋_GB2312" w:hAnsi="仿宋_GB2312" w:cs="仿宋_GB2312" w:eastAsia="仿宋_GB2312"/>
                <w:sz w:val="21"/>
              </w:rPr>
              <w:t>产品</w:t>
            </w:r>
            <w:r>
              <w:rPr>
                <w:rFonts w:ascii="仿宋_GB2312" w:hAnsi="仿宋_GB2312" w:cs="仿宋_GB2312" w:eastAsia="仿宋_GB2312"/>
                <w:sz w:val="21"/>
              </w:rPr>
              <w:t>若发现有诸如数量、型号和外观尺寸与合同不符，或产生更换或补货等情形并导致工期延误，采购人有权根据合同有关条款的规定对因此造成的直接损失向供应商索赔。</w:t>
            </w:r>
          </w:p>
          <w:p>
            <w:pPr>
              <w:pStyle w:val="null3"/>
              <w:jc w:val="both"/>
            </w:pPr>
            <w:r>
              <w:rPr>
                <w:rFonts w:ascii="仿宋_GB2312" w:hAnsi="仿宋_GB2312" w:cs="仿宋_GB2312" w:eastAsia="仿宋_GB2312"/>
                <w:sz w:val="21"/>
              </w:rPr>
              <w:t>4.成交供应商在签订合同前提供满足采购文件中要求的检测报告原件查验。</w:t>
            </w:r>
          </w:p>
          <w:p>
            <w:pPr>
              <w:pStyle w:val="null3"/>
              <w:jc w:val="both"/>
            </w:pPr>
            <w:r>
              <w:rPr>
                <w:rFonts w:ascii="仿宋_GB2312" w:hAnsi="仿宋_GB2312" w:cs="仿宋_GB2312" w:eastAsia="仿宋_GB2312"/>
                <w:sz w:val="21"/>
              </w:rPr>
              <w:t>5.成交供应商在签订合同时与采购人沟通产品生产图及样式，并交相关色板及部分产品样品给甲方确认，确认后对色板及样品进行封存后方能生产。</w:t>
            </w:r>
          </w:p>
          <w:p>
            <w:pPr>
              <w:pStyle w:val="null3"/>
              <w:jc w:val="both"/>
            </w:pPr>
            <w:r>
              <w:rPr>
                <w:rFonts w:ascii="仿宋_GB2312" w:hAnsi="仿宋_GB2312" w:cs="仿宋_GB2312" w:eastAsia="仿宋_GB2312"/>
                <w:sz w:val="21"/>
              </w:rPr>
              <w:t>6.采购文件内货物的数量为预计数量，具体数量签订合同后由中标供应商到现场实际测量，最终结算时以实际测量米数乘以中标(成交)单价结算。</w:t>
            </w:r>
          </w:p>
          <w:p>
            <w:pPr>
              <w:pStyle w:val="null3"/>
              <w:jc w:val="left"/>
            </w:pPr>
            <w:r>
              <w:rPr>
                <w:rFonts w:ascii="仿宋_GB2312" w:hAnsi="仿宋_GB2312" w:cs="仿宋_GB2312" w:eastAsia="仿宋_GB2312"/>
                <w:sz w:val="21"/>
              </w:rPr>
              <w:t>7.具体颜色、花型中标后由采购方确定。</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政府采购合同签订生效后30日内完成交货及安装调试，并投入正常使用。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广安市广安区人民医院三期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1、成交供应商完成所有窗帘（按实际安装数量）的安装并验收合格后，达到付款条件起10日内，支付合同总金额的50.00%</w:t>
            </w:r>
          </w:p>
          <w:p>
            <w:pPr>
              <w:pStyle w:val="null3"/>
              <w:jc w:val="left"/>
            </w:pPr>
            <w:r>
              <w:rPr>
                <w:rFonts w:ascii="仿宋_GB2312" w:hAnsi="仿宋_GB2312" w:cs="仿宋_GB2312" w:eastAsia="仿宋_GB2312"/>
              </w:rPr>
              <w:t>2、在使用一个月后无质量问题，达到付款条件起7日内，支付合同总金额的40.00%</w:t>
            </w:r>
          </w:p>
          <w:p>
            <w:pPr>
              <w:pStyle w:val="null3"/>
              <w:jc w:val="left"/>
            </w:pPr>
            <w:r>
              <w:rPr>
                <w:rFonts w:ascii="仿宋_GB2312" w:hAnsi="仿宋_GB2312" w:cs="仿宋_GB2312" w:eastAsia="仿宋_GB2312"/>
              </w:rPr>
              <w:t>3、满一年后无息支付剩余的款项，达到付款条件起7日内，支付合同总金额的10.00%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采购文件的质量要求和技术指标、供应商的投标文件及承诺与采购合同约定标准进行验收；采购人与供应商双方如对质量要求和技术指标的约定标准有相互抵触或异议的事项，由采购人在采购文件及投标文件中按质量要求和技术指标比较优胜的原则确定该项的约定标准进行验收。 2.验收时如发现所交付的货物有短装、次品、损坏或其它不符合标准及本合同规定之情形者，采购人应做出详尽的现场记录，或由采购人与供应商双方签署备忘录，此现场记录或备忘录可用作补充、缺失和更换损坏部件的有效证据，由此产生的时间延误与有关费用由供应商承担，验收期限相应顺延，但最长不得超过7个日历天，不得影响采购人正常工作的开展； 3.如质量终验合格，双方签署质量验收报告； 4.供应商应将所提供货物的装箱清单、配件、随机工具、用户使用手册、原厂保修卡等资料交付给采购人；供应商不能完整交付货物及本款规定的单证和工具的，必须负责补齐，否则视为未按合同约定交货； 5.如货物经供应商3次维修仍不能达到合同约定的质量标准，采购人有权退货，并视作供应商不能交付货物而须支付违约赔偿金给采购人，采购人还可依法追究供应商的违约责任； 6.项目验收结果合格的，供应商凭验收合格证明书按照进度申请拨付项目款，否则采购方将不予支付采购项目款，还可能上报本项目同级财政部门按照政府采购法律法规等有关规定给予行政处罚或者以失信行为记入诚信档案； 7.其他未尽事宜应严格按《财政部关于进一步加强政府采购需求和履约验收管理的指导意见》（财库〔2016〕205号）文件以及《广安市政府采购项目履约验收工作规程》广市财采[2021]275号文件规定执行。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1.质保期：1年(质保期从验收合格之日起开始计算)。 2.供应商应有完善的技术支持与服务体系，专人负责与采购人联系售后服务事宜，必要的售后机具配置、具有专门的服务电话，并能提供本地化服务。 3.供应商负责对采购人技术人员(1～2人次)进行免费现场培训，培训内容包括货物性能、原理、操作、保养和维护等。 4.安装调试达到采购人可独立使用，并在培训后免费提供使用咨询，每年不得少于2次巡检，定期维护终身维修等。 5.质保期内供应商负责所有因货物质量问题而产生的费用，承担所有服务费用。保修期满前一个月，供应商免费负责一次全面的检查、维护，并出具正式报告，如发现潜在问题，应负责排除不收取任何费用。若采购人遇故障后求援，需要保证1～2小时内有专人回复。若维修工程电话不能解决故障，即使有特殊情况，需要保证在2～3个工作日内到现场处理。供应商按市场平均价打折提供各相应零配件季消耗性材料，并进行安装或补充。 6.质保期内出现质量问题，如货物经供应商3次维修仍不能达到采购合同约定的质量标准，视作供应商未能按时交货，采购人有权退货并追究供应商的违约责任。质保期外的质量问题，列明维修费用清单并载明费用。 7.供应商承诺项目全部货物的各种部件均保证齐备、充足供应，在交货时需向采购人提供货物常规备品备件。 8.供应商针对本项目提供的其他有利于项目售后保障措施。</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3.供应商必须遵守采购合同按时完成合同相关工作，若由于供应商原因导致合同迟延履行，供应商应承担每延迟一天扣除采购中标金额的3‰)。 4.供应商应当遵守采购人的相关项目需求及相关技术要求及实质性条款，实施完成采购合同应当完全满足相关项目需求及相关技术要求及实质性条款，若供应商瑕疵履行采购合同，采购人有权向供应商要求赔偿合同总价款20%的违约金，若造成相关损失的，采购人有权要求供应商承担所有赔偿责任。 5.采购人在项目执行过程中定期核对供应商提供完成项目所配备的人员数量及相关信息，对于未按照采购文件及投标响应要求执行或存在不合理的部分有权下达整改通知书，并要求供应商限期整改，并根据违约情况扣除采购中标金额的5‰至10‰。 6.有下列情形之一的，当事人可以解除合同： 6.1因不可抗力致使不能实现合同目的(由于非供应商或采购人原因，致使合同实质性条款无法实现的)； 6.2当事人一方迟延履行主要债务，经催告后在合理期限内仍未履行； 6.3当事人一方迟延履行债务或者有其他违约行为致使不能实现合同目的； 6.4法律规定的其他情形。 （二）解决争议的方法 1.因货物的质量问题发生争议，由采购人或其指定的第三方机构进行质量鉴定。货物符合标准的，鉴定费由采购人承担；货物不符合质量标准的，鉴定费由中标人承担。 2.合同履行期间，若双方发生争议，可协商或由有关部门调解解决，协商或调解不成的，向项目所在地仲裁委员会申请仲裁。 3.仲裁裁决应为最终决定，并对双方具有约束力。 4.除另有裁决外，仲裁费应由败诉方负担。 5.在仲裁期间，除正在进行仲裁部分外，合同其他部分继续执行。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1、投标人提供项目实施方案，包括：①供货方案；②安装方案；③产品质量保障方案；④进度保障方案；⑤人员配置方案；⑥安全文明施工方案；⑦应急管理措施。 2、投标人提供售后服务方案，包括：①质保期内和质保期外售后服务支持、维修服务及退换货流程；②售后响应保障方案。 3、投标人提供业绩证明材料。4、招标文件其他未尽事宜，由采购人与中标人按有关规定另行协商合同约定，但不得违背招标文件以及相关法律规定。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招标文件实质性要求</w:t>
            </w:r>
          </w:p>
        </w:tc>
        <w:tc>
          <w:tcPr>
            <w:tcW w:type="dxa" w:w="3322"/>
          </w:tcPr>
          <w:p>
            <w:pPr>
              <w:pStyle w:val="null3"/>
              <w:jc w:val="left"/>
            </w:pPr>
            <w:r>
              <w:rPr>
                <w:rFonts w:ascii="仿宋_GB2312" w:hAnsi="仿宋_GB2312" w:cs="仿宋_GB2312" w:eastAsia="仿宋_GB2312"/>
              </w:rPr>
              <w:t>招标文件有明确要求为实质性要求的，但投标（响应）文件未载明或者载明的与招标文件要求不一致的，作无效投标（响应）处理。</w:t>
            </w:r>
          </w:p>
        </w:tc>
        <w:tc>
          <w:tcPr>
            <w:tcW w:type="dxa" w:w="1661"/>
          </w:tcPr>
          <w:p>
            <w:pPr>
              <w:pStyle w:val="null3"/>
              <w:jc w:val="left"/>
            </w:pPr>
            <w:r>
              <w:rPr>
                <w:rFonts w:ascii="仿宋_GB2312" w:hAnsi="仿宋_GB2312" w:cs="仿宋_GB2312" w:eastAsia="仿宋_GB2312"/>
              </w:rPr>
              <w:t>报价产品技术参数表.docx,服务要求、商务要求及其他要求应答表.docx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根据采购文件“技术参数与性能指标”要求对投标人所提供的产品技术指标进行评分，标注“★”的技术参数为实质性要求，投标人必须满足，不纳入评分项。 投标人所投产品完全满足招标文件“技术参数与性能指标”的得27分，其余情况根据投标人的响应情况按以下公式计算得分：技术参数得分=投标产品满足非标注“★”的参数条数/非标注“★”参数总条数×27。 注：1.涉及到各项执行标准的需提供经国家认可的第三方检验机构出具的检验检测报告复印件并进行电子签章，否则视为不满足采购文件要求，对应评分项一律不得分。2.参数条数按技术要求表中“技术参数与性能指标”栏中1.2.3.....计算。3.得分四舍五入保留2位小数。</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报价产品技术参数表.docx</w:t>
            </w:r>
          </w:p>
          <w:p>
            <w:pPr>
              <w:pStyle w:val="null3"/>
              <w:jc w:val="left"/>
            </w:pPr>
            <w:r>
              <w:rPr>
                <w:rFonts w:ascii="仿宋_GB2312" w:hAnsi="仿宋_GB2312" w:cs="仿宋_GB2312" w:eastAsia="仿宋_GB2312"/>
              </w:rPr>
              <w:t>投标人认为需要提供的其它资料.docx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针对本项目提供的项目实施方案包含：①供货方案；②安装方案；③产品质量保障方案；④进度保障方案；⑤人员配置方案；⑥安全文明施工方案；⑦应急管理措施，七个方面的内容。以上内容完整且完全满足项目需求的得28分，每有一项内容缺失扣4分，每项内容中每有一处内容存在缺陷或不合理的扣2分，直到本项扣完为止。未提供或仅有标题没有内容的不得分。 注：内容存在缺陷或不合理是指：项目名称、实施地点区域错误，内容与本项目无关，内容前后不一致，内容前后矛盾，内容脱离项目实际情况，出现错别字导致内容表达的意思不符合项目需求，违背了涉及的技术标准、行业规范、法律规定任意一种情况。</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投标人认为需要提供的其它资料.docx</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1、根据供应商所提供的样品“医用帘样品一块,尺寸100cm*160cm”进行评审（共3分）：①医用帘样品的面料手感质地粗糙；②样品不平整、有卷边翘边现象；③有疵点、线头、飞线、跳针、浮线、缝纫不均匀；④色泽不均匀、有污渍或暗斑；⑤垂坠不自然、不服贴情况打分。每出现以上任意一种情形扣0.6分，扣完为止。 2、根据供应商所提供的样品“窗帘布样品一块,尺寸100cm*160cm”进行评审（共3分）：①窗帘布样品的面料手感质地粗糙；②样品不平整、有卷边翘边现象；③有疵点、线头、飞线、跳针、浮线、缝纫不均匀；④色泽不均匀、有污渍或暗斑；⑤垂坠不自然、不服贴情况打分。每出现以上任意一种情形扣0.6分。 注：若样品出现少送、未送、错送或不符合样品制作要求，对应的样品得0分。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投标人认为需要提供的其它资料.docx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投标人提供2023年1月1日至今类似本项目业绩的，每提供一个得1.5分，本项最多得3分，不提供不得分。（注：提供业绩合同复印件或中标（成交）通知书或供货签收单，加盖供应商单位公章）。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针对本项目提供的项目售后方案包含：①质保期内和质保期外售后服务支持、维修服务及退换货流程；②售后响应保障方案，两个方面的内容。以上内容完整且完全满足项目需求的得6分，每有一项内容缺失扣3分，每项内容中每有一处存在缺陷或不合理的扣1.5分，直到本项扣完为止。未提供或仅有标题没有内容的不得分。 注：内容存在缺陷或不合理是指：项目名称、实施地点区域错误，内容与本项目无关，内容前后不一致，内容前后矛盾，内容脱离项目实际情况，出现错别字导致内容表达的意思不符合项目需求，违背了涉及的技术标准、行业规范、法律规定任意一种情况。</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投标人认为需要提供的其它资料.docx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投标人认为需要提供的其它资料.docx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详见附件：报价产品技术参数表.docx</w:t>
      </w:r>
    </w:p>
    <w:p>
      <w:pPr>
        <w:pStyle w:val="null3"/>
        <w:ind w:firstLine="960"/>
        <w:jc w:val="left"/>
      </w:pPr>
      <w:r>
        <w:rPr>
          <w:rFonts w:ascii="仿宋_GB2312" w:hAnsi="仿宋_GB2312" w:cs="仿宋_GB2312" w:eastAsia="仿宋_GB2312"/>
        </w:rPr>
        <w:t>详见附件：服务要求、商务要求及其他要求应答表.docx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详见附件：投标人认为需要提供的其它资料.docx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