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版本号：N513201202600001320260412001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马尔康市市属国有企业改革重组服务项目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N5132012026000013</w:t>
      </w:r>
    </w:p>
    <w:p>
      <w:pPr>
        <w:pStyle w:val="null3"/>
        <w:jc w:val="center"/>
        <w:outlineLvl w:val="2"/>
      </w:pPr>
      <w:r>
        <w:rPr>
          <w:rFonts w:ascii="仿宋_GB2312" w:hAnsi="仿宋_GB2312" w:cs="仿宋_GB2312" w:eastAsia="仿宋_GB2312"/>
          <w:sz w:val="28"/>
          <w:b/>
        </w:rPr>
        <w:t>马尔康市国有资产管理服务中心</w:t>
      </w:r>
    </w:p>
    <w:p>
      <w:pPr>
        <w:pStyle w:val="null3"/>
        <w:jc w:val="center"/>
        <w:outlineLvl w:val="2"/>
      </w:pPr>
      <w:r>
        <w:rPr>
          <w:rFonts w:ascii="仿宋_GB2312" w:hAnsi="仿宋_GB2312" w:cs="仿宋_GB2312" w:eastAsia="仿宋_GB2312"/>
          <w:sz w:val="28"/>
          <w:b/>
        </w:rPr>
        <w:t>四川创致瑞兴工程项目管理有限公司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四川创致瑞兴工程项目管理有限公司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马尔康市国有资产管理服务中心</w:t>
      </w:r>
      <w:r>
        <w:rPr>
          <w:rFonts w:ascii="仿宋_GB2312" w:hAnsi="仿宋_GB2312" w:cs="仿宋_GB2312" w:eastAsia="仿宋_GB2312"/>
        </w:rPr>
        <w:t xml:space="preserve"> 委托，拟对 </w:t>
      </w:r>
      <w:r>
        <w:rPr>
          <w:rFonts w:ascii="仿宋_GB2312" w:hAnsi="仿宋_GB2312" w:cs="仿宋_GB2312" w:eastAsia="仿宋_GB2312"/>
        </w:rPr>
        <w:t>马尔康市市属国有企业改革重组服务项目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阿坝藏族羌族自治州马尔康市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N5132012026000013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马尔康市市属国有企业改革重组服务项目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为深入贯彻落实中央、省、州、市关于国有企业改革决策部署，扎实推进马尔康市市属国有企业（以下简称“企业”）改革重组工作，确保重组过程依法合规、资产底数清晰、风险可控，马尔康市国有资产管理服务中心拟通过政府采购选取第三方机构为本次改革重组提供全过程咨询服务，本项目1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1、无（描述：无）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马尔康市国有资产管理服务中心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马尔康市马尔康镇达萨街415号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0837-2829742</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四川创致瑞兴工程项目管理有限公司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成都市武侯区人民南路四段27号商鼎国际1栋1单元505室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028-85005230、13709006778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采购包1：2,900,000.00元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代理服务费收费标准：根据《四川省政府采购营商环境指标提升专项行动工作方案》（川财采〔2020〕74号）相关规定，本项目代理服务费将按照成本支出加合理利润的原则定额收取12080元。</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马尔康市国有资产管理服务中心</w:t>
      </w:r>
      <w:r>
        <w:rPr>
          <w:rFonts w:ascii="仿宋_GB2312" w:hAnsi="仿宋_GB2312" w:cs="仿宋_GB2312" w:eastAsia="仿宋_GB2312"/>
        </w:rPr>
        <w:t xml:space="preserve"> 和 </w:t>
      </w:r>
      <w:r>
        <w:rPr>
          <w:rFonts w:ascii="仿宋_GB2312" w:hAnsi="仿宋_GB2312" w:cs="仿宋_GB2312" w:eastAsia="仿宋_GB2312"/>
        </w:rPr>
        <w:t>四川创致瑞兴工程项目管理有限公司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马尔康市国有资产管理服务中心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四川创致瑞兴工程项目管理有限公司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本项目以下采购包允许合同分包。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采购包号</w:t>
            </w:r>
          </w:p>
        </w:tc>
        <w:tc>
          <w:tcPr>
            <w:tcW w:type="dxa" w:w="2076"/>
          </w:tcPr>
          <w:p>
            <w:pPr>
              <w:pStyle w:val="null3"/>
              <w:jc w:val="left"/>
            </w:pPr>
            <w:r>
              <w:rPr>
                <w:rFonts w:ascii="仿宋_GB2312" w:hAnsi="仿宋_GB2312" w:cs="仿宋_GB2312" w:eastAsia="仿宋_GB2312"/>
              </w:rPr>
              <w:t>分包方式</w:t>
            </w:r>
          </w:p>
        </w:tc>
        <w:tc>
          <w:tcPr>
            <w:tcW w:type="dxa" w:w="2076"/>
          </w:tcPr>
          <w:p>
            <w:pPr>
              <w:pStyle w:val="null3"/>
              <w:jc w:val="left"/>
            </w:pPr>
            <w:r>
              <w:rPr>
                <w:rFonts w:ascii="仿宋_GB2312" w:hAnsi="仿宋_GB2312" w:cs="仿宋_GB2312" w:eastAsia="仿宋_GB2312"/>
              </w:rPr>
              <w:t>分包说明</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采购包1</w:t>
            </w:r>
          </w:p>
        </w:tc>
        <w:tc>
          <w:tcPr>
            <w:tcW w:type="dxa" w:w="2076"/>
          </w:tcPr>
          <w:p>
            <w:pPr>
              <w:pStyle w:val="null3"/>
              <w:jc w:val="left"/>
            </w:pPr>
            <w:r>
              <w:rPr>
                <w:rFonts w:ascii="仿宋_GB2312" w:hAnsi="仿宋_GB2312" w:cs="仿宋_GB2312" w:eastAsia="仿宋_GB2312"/>
              </w:rPr>
              <w:t>内容</w:t>
            </w:r>
          </w:p>
        </w:tc>
        <w:tc>
          <w:tcPr>
            <w:tcW w:type="dxa" w:w="2076"/>
          </w:tcPr>
          <w:p>
            <w:pPr>
              <w:pStyle w:val="null3"/>
              <w:jc w:val="left"/>
            </w:pPr>
            <w:r>
              <w:rPr>
                <w:rFonts w:ascii="仿宋_GB2312" w:hAnsi="仿宋_GB2312" w:cs="仿宋_GB2312" w:eastAsia="仿宋_GB2312"/>
              </w:rPr>
              <w:t>本项目允许将财务尽职调查、清产核资、资产评估、法律服务工作以合同分包方式履行。如供应商将采购合同实行分包履行的：负责财务尽职调查、清产核资工作的分包供应商须具有有效的《会计师事务所执业证书》，负责资产评估工作的分包供应商须具有有效的省（或直辖市）级及以上财政主管部门出具的资产评估机构备案证明，负责法律服务工作的分包供应商须具有有效的《律师事务所执业许可证》；未分包履行的，供应商自身应具有以上服务工作对应的执业证书或备案证明。供应商须提供《分包意向协议》扫描件以及以上执业证书或备案证明扫描件。 注：①《分包意向协议》须明确分包合同具体内容，合同占比比例和对应的合同金额；②分包供应商不得再次分包；③分包供应商履行的分包项目的技术、规格及服务标准应当与成交的一致。</w:t>
            </w:r>
          </w:p>
        </w:tc>
      </w:tr>
    </w:tbl>
    <w:p>
      <w:pPr>
        <w:pStyle w:val="null3"/>
        <w:jc w:val="left"/>
      </w:pPr>
      <w:r>
        <w:rPr>
          <w:rFonts w:ascii="仿宋_GB2312" w:hAnsi="仿宋_GB2312" w:cs="仿宋_GB2312" w:eastAsia="仿宋_GB2312"/>
        </w:rPr>
        <w:t>注：</w:t>
      </w:r>
    </w:p>
    <w:p>
      <w:pPr>
        <w:pStyle w:val="null3"/>
        <w:jc w:val="left"/>
      </w:pPr>
      <w:r>
        <w:rPr>
          <w:rFonts w:ascii="仿宋_GB2312" w:hAnsi="仿宋_GB2312" w:cs="仿宋_GB2312" w:eastAsia="仿宋_GB2312"/>
        </w:rPr>
        <w:t xml:space="preserve"> 1.供应商根据磋商文件的规定和采购项目的实际情况，拟在成交后将成交项目的非主体、非关键性工作分包的，应当在响应文件中载明分包承担主体，分包承担主体应当具备相应资质条件且不得再次分包。</w:t>
      </w:r>
    </w:p>
    <w:p>
      <w:pPr>
        <w:pStyle w:val="null3"/>
        <w:jc w:val="left"/>
      </w:pPr>
      <w:r>
        <w:rPr>
          <w:rFonts w:ascii="仿宋_GB2312" w:hAnsi="仿宋_GB2312" w:cs="仿宋_GB2312" w:eastAsia="仿宋_GB2312"/>
        </w:rPr>
        <w:t xml:space="preserve"> 2.采购合同实行分包履行的，成交供应商就采购项目和分包项目向采购人负责，分包供应商就分包项目承担责任。</w:t>
      </w:r>
    </w:p>
    <w:p>
      <w:pPr>
        <w:pStyle w:val="null3"/>
        <w:jc w:val="left"/>
      </w:pPr>
      <w:r>
        <w:rPr>
          <w:rFonts w:ascii="仿宋_GB2312" w:hAnsi="仿宋_GB2312" w:cs="仿宋_GB2312" w:eastAsia="仿宋_GB2312"/>
        </w:rPr>
        <w:t xml:space="preserve"> 3.中小企业依据《政府采购促进中小企业发展管理办法》（财库〔2020〕46号）规定的政策获取政府采购合同后，小型、微型企业不得将合同分包给大型、中型企业，中型企业不得将合同分包给大型企业。</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全部服务内容完成后供应商提出验收申请之日起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按照本项目采购文件、成交供应商的响应文件及承诺、采购合同约定中的技术要求相关内容进行验收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按照本项目采购文件、成交供应商的响应文件及承诺、采购合同约定中的商务要求相关内容进行验收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按照《政府采购需求管理办法》（财库〔2021〕22号）、《财政部关于进一步加强政府采购需求和履约验收管理的指导意见》（财库〔2016〕205号）的规定组织验收。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四川创致瑞兴工程项目管理有限公司</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四川创致瑞兴工程项目管理有限公司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四川创致瑞兴工程项目管理有限公司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联系人：王女士</w:t>
      </w:r>
    </w:p>
    <w:p>
      <w:pPr>
        <w:pStyle w:val="null3"/>
        <w:jc w:val="left"/>
      </w:pPr>
      <w:r>
        <w:rPr>
          <w:rFonts w:ascii="仿宋_GB2312" w:hAnsi="仿宋_GB2312" w:cs="仿宋_GB2312" w:eastAsia="仿宋_GB2312"/>
        </w:rPr>
        <w:t>联系电话：13709006778</w:t>
      </w:r>
    </w:p>
    <w:p>
      <w:pPr>
        <w:pStyle w:val="null3"/>
        <w:jc w:val="left"/>
      </w:pPr>
      <w:r>
        <w:rPr>
          <w:rFonts w:ascii="仿宋_GB2312" w:hAnsi="仿宋_GB2312" w:cs="仿宋_GB2312" w:eastAsia="仿宋_GB2312"/>
        </w:rPr>
        <w:t>地址：成都市武侯区人民南路四段27号商鼎国际1栋1单元505室</w:t>
      </w:r>
    </w:p>
    <w:p>
      <w:pPr>
        <w:pStyle w:val="null3"/>
        <w:jc w:val="left"/>
      </w:pPr>
      <w:r>
        <w:rPr>
          <w:rFonts w:ascii="仿宋_GB2312" w:hAnsi="仿宋_GB2312" w:cs="仿宋_GB2312" w:eastAsia="仿宋_GB2312"/>
        </w:rPr>
        <w:t>邮编：610041</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2,900,000.00</w:t>
      </w:r>
    </w:p>
    <w:p>
      <w:pPr>
        <w:pStyle w:val="null3"/>
        <w:jc w:val="left"/>
      </w:pPr>
      <w:r>
        <w:rPr>
          <w:rFonts w:ascii="仿宋_GB2312" w:hAnsi="仿宋_GB2312" w:cs="仿宋_GB2312" w:eastAsia="仿宋_GB2312"/>
        </w:rPr>
        <w:t>采购包最高限价（元）: 2,900,000.00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C20039900 其他咨询服务</w:t>
            </w:r>
          </w:p>
        </w:tc>
        <w:tc>
          <w:tcPr>
            <w:tcW w:type="dxa" w:w="821"/>
          </w:tcPr>
          <w:p>
            <w:pPr>
              <w:pStyle w:val="null3"/>
              <w:jc w:val="left"/>
            </w:pPr>
            <w:r>
              <w:rPr>
                <w:rFonts w:ascii="仿宋_GB2312" w:hAnsi="仿宋_GB2312" w:cs="仿宋_GB2312" w:eastAsia="仿宋_GB2312"/>
              </w:rPr>
              <w:t>马尔康市市属国有企业改革重组服务项目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2,900,000.00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马尔康市市属国有企业改革重组服务项目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2,900,000.00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标的名称：马尔康市市属国有企业改革重组服务项目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服务内容及技术要求</w:t>
            </w:r>
          </w:p>
        </w:tc>
        <w:tc>
          <w:tcPr>
            <w:tcW w:type="dxa" w:w="5814"/>
          </w:tcPr>
          <w:p>
            <w:pPr>
              <w:pStyle w:val="null3"/>
              <w:ind w:firstLine="480"/>
              <w:jc w:val="both"/>
            </w:pPr>
            <w:r>
              <w:rPr>
                <w:rFonts w:ascii="仿宋_GB2312" w:hAnsi="仿宋_GB2312" w:cs="仿宋_GB2312" w:eastAsia="仿宋_GB2312"/>
                <w:sz w:val="24"/>
              </w:rPr>
              <w:t>对马尔康市市属国有企业（集团及下属子公司，共计</w:t>
            </w:r>
            <w:r>
              <w:rPr>
                <w:rFonts w:ascii="仿宋_GB2312" w:hAnsi="仿宋_GB2312" w:cs="仿宋_GB2312" w:eastAsia="仿宋_GB2312"/>
                <w:sz w:val="24"/>
              </w:rPr>
              <w:t>16家公司）制定国企组织架构重组实施方案、财务尽职调查、清产核资、资产评估、完善内控制度、重组合规法律咨询、档案整理</w:t>
            </w:r>
            <w:r>
              <w:rPr>
                <w:rFonts w:ascii="仿宋_GB2312" w:hAnsi="仿宋_GB2312" w:cs="仿宋_GB2312" w:eastAsia="仿宋_GB2312"/>
                <w:sz w:val="24"/>
              </w:rPr>
              <w:t>、社会稳定性风险评估等</w:t>
            </w:r>
            <w:r>
              <w:rPr>
                <w:rFonts w:ascii="仿宋_GB2312" w:hAnsi="仿宋_GB2312" w:cs="仿宋_GB2312" w:eastAsia="仿宋_GB2312"/>
                <w:sz w:val="24"/>
              </w:rPr>
              <w:t>一站式全流程的专业服务。</w:t>
            </w:r>
          </w:p>
          <w:p>
            <w:pPr>
              <w:pStyle w:val="null3"/>
              <w:ind w:firstLine="480"/>
              <w:jc w:val="both"/>
            </w:pPr>
            <w:r>
              <w:rPr>
                <w:rFonts w:ascii="仿宋_GB2312" w:hAnsi="仿宋_GB2312" w:cs="仿宋_GB2312" w:eastAsia="仿宋_GB2312"/>
                <w:sz w:val="24"/>
              </w:rPr>
              <w:t>（一）国企组织架构重组实施方案咨询</w:t>
            </w:r>
          </w:p>
          <w:p>
            <w:pPr>
              <w:pStyle w:val="null3"/>
              <w:ind w:firstLine="480"/>
              <w:jc w:val="both"/>
            </w:pPr>
            <w:r>
              <w:rPr>
                <w:rFonts w:ascii="仿宋_GB2312" w:hAnsi="仿宋_GB2312" w:cs="仿宋_GB2312" w:eastAsia="仿宋_GB2312"/>
                <w:sz w:val="24"/>
              </w:rPr>
              <w:t>编制国企改革实施方案，包括组织架构调整、各公司的战略定位等。</w:t>
            </w:r>
          </w:p>
          <w:p>
            <w:pPr>
              <w:pStyle w:val="null3"/>
              <w:ind w:firstLine="480"/>
              <w:jc w:val="both"/>
            </w:pPr>
            <w:r>
              <w:rPr>
                <w:rFonts w:ascii="仿宋_GB2312" w:hAnsi="仿宋_GB2312" w:cs="仿宋_GB2312" w:eastAsia="仿宋_GB2312"/>
                <w:sz w:val="24"/>
              </w:rPr>
              <w:t>1.前期诊断调研：梳理现有架构、职责、管控模式及业务流程，排查冗余、权责交叉等问题，结合国资政策明确优化方向。</w:t>
            </w:r>
          </w:p>
          <w:p>
            <w:pPr>
              <w:pStyle w:val="null3"/>
              <w:ind w:firstLine="480"/>
              <w:jc w:val="both"/>
            </w:pPr>
            <w:r>
              <w:rPr>
                <w:rFonts w:ascii="仿宋_GB2312" w:hAnsi="仿宋_GB2312" w:cs="仿宋_GB2312" w:eastAsia="仿宋_GB2312"/>
                <w:sz w:val="24"/>
              </w:rPr>
              <w:t>2.战略对齐定位：衔接发展战略、业务布局、地区优势与国资要求，明确各公司定位及层级管控模式。</w:t>
            </w:r>
          </w:p>
          <w:p>
            <w:pPr>
              <w:pStyle w:val="null3"/>
              <w:ind w:firstLine="480"/>
              <w:jc w:val="both"/>
            </w:pPr>
            <w:r>
              <w:rPr>
                <w:rFonts w:ascii="仿宋_GB2312" w:hAnsi="仿宋_GB2312" w:cs="仿宋_GB2312" w:eastAsia="仿宋_GB2312"/>
                <w:sz w:val="24"/>
              </w:rPr>
              <w:t>3.架构设计：搭建总部、职能部门、子公司层级架构，</w:t>
            </w:r>
            <w:r>
              <w:rPr>
                <w:rFonts w:ascii="仿宋_GB2312" w:hAnsi="仿宋_GB2312" w:cs="仿宋_GB2312" w:eastAsia="仿宋_GB2312"/>
                <w:sz w:val="24"/>
              </w:rPr>
              <w:t>明确各公司的</w:t>
            </w:r>
            <w:r>
              <w:rPr>
                <w:rFonts w:ascii="仿宋_GB2312" w:hAnsi="仿宋_GB2312" w:cs="仿宋_GB2312" w:eastAsia="仿宋_GB2312"/>
                <w:sz w:val="24"/>
              </w:rPr>
              <w:t>战略定位、主责主业、重点发展方向等。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）完成社会稳定性风险评估报告</w:t>
            </w:r>
          </w:p>
          <w:p>
            <w:pPr>
              <w:pStyle w:val="null3"/>
              <w:ind w:firstLine="480"/>
              <w:jc w:val="both"/>
            </w:pPr>
            <w:r>
              <w:rPr>
                <w:rFonts w:ascii="仿宋_GB2312" w:hAnsi="仿宋_GB2312" w:cs="仿宋_GB2312" w:eastAsia="仿宋_GB2312"/>
                <w:sz w:val="24"/>
              </w:rPr>
              <w:t>进驻后首先进行社会稳定性风险评估，完成社会稳定性风险评估报告（需</w:t>
            </w:r>
            <w:r>
              <w:rPr>
                <w:rFonts w:ascii="仿宋_GB2312" w:hAnsi="仿宋_GB2312" w:cs="仿宋_GB2312" w:eastAsia="仿宋_GB2312"/>
                <w:sz w:val="24"/>
              </w:rPr>
              <w:t>经过</w:t>
            </w:r>
            <w:r>
              <w:rPr>
                <w:rFonts w:ascii="仿宋_GB2312" w:hAnsi="仿宋_GB2312" w:cs="仿宋_GB2312" w:eastAsia="仿宋_GB2312"/>
                <w:sz w:val="24"/>
              </w:rPr>
              <w:t>专家论证，</w:t>
            </w:r>
            <w:r>
              <w:rPr>
                <w:rFonts w:ascii="仿宋_GB2312" w:hAnsi="仿宋_GB2312" w:cs="仿宋_GB2312" w:eastAsia="仿宋_GB2312"/>
                <w:sz w:val="24"/>
              </w:rPr>
              <w:t>专家论证费包含在本次报价中</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）财务尽职调查</w:t>
            </w:r>
          </w:p>
          <w:p>
            <w:pPr>
              <w:pStyle w:val="null3"/>
              <w:ind w:firstLine="480"/>
              <w:jc w:val="both"/>
            </w:pPr>
            <w:r>
              <w:rPr>
                <w:rFonts w:ascii="仿宋_GB2312" w:hAnsi="仿宋_GB2312" w:cs="仿宋_GB2312" w:eastAsia="仿宋_GB2312"/>
                <w:sz w:val="24"/>
              </w:rPr>
              <w:t>1.财务信息核查：核查目标企业2021年集团及下属子公司组建以来（共16家公司）的经营情况</w:t>
            </w:r>
            <w:r>
              <w:rPr>
                <w:rFonts w:ascii="仿宋_GB2312" w:hAnsi="仿宋_GB2312" w:cs="仿宋_GB2312" w:eastAsia="仿宋_GB2312"/>
                <w:sz w:val="24"/>
              </w:rPr>
              <w:t>及</w:t>
            </w:r>
            <w:r>
              <w:rPr>
                <w:rFonts w:ascii="仿宋_GB2312" w:hAnsi="仿宋_GB2312" w:cs="仿宋_GB2312" w:eastAsia="仿宋_GB2312"/>
                <w:sz w:val="24"/>
              </w:rPr>
              <w:t>财务报表、会计账簿、会计凭证等资料，核实资产、负债、收入、成本、利润的真实性、准确性与完整性。</w:t>
            </w:r>
          </w:p>
          <w:p>
            <w:pPr>
              <w:pStyle w:val="null3"/>
              <w:ind w:firstLine="480"/>
              <w:jc w:val="both"/>
            </w:pPr>
            <w:r>
              <w:rPr>
                <w:rFonts w:ascii="仿宋_GB2312" w:hAnsi="仿宋_GB2312" w:cs="仿宋_GB2312" w:eastAsia="仿宋_GB2312"/>
                <w:sz w:val="24"/>
              </w:rPr>
              <w:t>2.资产负债核实：对货币资金、应收款项、存货、固定资产、在建工程、无形资产等进行核实，确认权属、状态、减值及或有事项；全面排查显性负债、隐性负债、担保、诉讼等或有负债。</w:t>
            </w:r>
          </w:p>
          <w:p>
            <w:pPr>
              <w:pStyle w:val="null3"/>
              <w:ind w:firstLine="480"/>
              <w:jc w:val="both"/>
            </w:pPr>
            <w:r>
              <w:rPr>
                <w:rFonts w:ascii="仿宋_GB2312" w:hAnsi="仿宋_GB2312" w:cs="仿宋_GB2312" w:eastAsia="仿宋_GB2312"/>
                <w:sz w:val="24"/>
              </w:rPr>
              <w:t>3.税务合规尽调：核查税务申报、缴纳、优惠政策适用情况，识别税务风险、欠缴税费及潜在税务责任。</w:t>
            </w:r>
          </w:p>
          <w:p>
            <w:pPr>
              <w:pStyle w:val="null3"/>
              <w:ind w:firstLine="480"/>
              <w:jc w:val="both"/>
            </w:pPr>
            <w:r>
              <w:rPr>
                <w:rFonts w:ascii="仿宋_GB2312" w:hAnsi="仿宋_GB2312" w:cs="仿宋_GB2312" w:eastAsia="仿宋_GB2312"/>
                <w:sz w:val="24"/>
              </w:rPr>
              <w:t>4.资金与内控核查：审查资金管理、审批流程、财务内控执行情况，评估资金安全、内控有效性及舞弊风险。</w:t>
            </w:r>
          </w:p>
          <w:p>
            <w:pPr>
              <w:pStyle w:val="null3"/>
              <w:ind w:firstLine="480"/>
              <w:jc w:val="both"/>
            </w:pPr>
            <w:r>
              <w:rPr>
                <w:rFonts w:ascii="仿宋_GB2312" w:hAnsi="仿宋_GB2312" w:cs="仿宋_GB2312" w:eastAsia="仿宋_GB2312"/>
                <w:sz w:val="24"/>
              </w:rPr>
              <w:t>5.经营与盈利分析：分析盈利模式、成本构成、毛利率、现金流状况，判断经营稳定性与可持续性。</w:t>
            </w:r>
          </w:p>
          <w:p>
            <w:pPr>
              <w:pStyle w:val="null3"/>
              <w:ind w:firstLine="480"/>
              <w:jc w:val="both"/>
            </w:pPr>
            <w:r>
              <w:rPr>
                <w:rFonts w:ascii="仿宋_GB2312" w:hAnsi="仿宋_GB2312" w:cs="仿宋_GB2312" w:eastAsia="仿宋_GB2312"/>
                <w:sz w:val="24"/>
              </w:rPr>
              <w:t>6.重大事项核查：对重大合同、关联交易、投融资、诉讼仲裁、行政处罚等事项进行专项核查。</w:t>
            </w:r>
          </w:p>
          <w:p>
            <w:pPr>
              <w:pStyle w:val="null3"/>
              <w:ind w:firstLine="480"/>
              <w:jc w:val="both"/>
            </w:pPr>
            <w:r>
              <w:rPr>
                <w:rFonts w:ascii="仿宋_GB2312" w:hAnsi="仿宋_GB2312" w:cs="仿宋_GB2312" w:eastAsia="仿宋_GB2312"/>
                <w:sz w:val="24"/>
              </w:rPr>
              <w:t>7.风险揭示与建议：识别财务、税务、法律、经营等潜在风险，出具财务尽调报告，为企业重组决策提供专业依据。</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四</w:t>
            </w:r>
            <w:r>
              <w:rPr>
                <w:rFonts w:ascii="仿宋_GB2312" w:hAnsi="仿宋_GB2312" w:cs="仿宋_GB2312" w:eastAsia="仿宋_GB2312"/>
                <w:sz w:val="24"/>
              </w:rPr>
              <w:t>）清产核资</w:t>
            </w:r>
          </w:p>
          <w:p>
            <w:pPr>
              <w:pStyle w:val="null3"/>
              <w:ind w:firstLine="480"/>
              <w:jc w:val="both"/>
            </w:pPr>
            <w:r>
              <w:rPr>
                <w:rFonts w:ascii="仿宋_GB2312" w:hAnsi="仿宋_GB2312" w:cs="仿宋_GB2312" w:eastAsia="仿宋_GB2312"/>
                <w:sz w:val="24"/>
              </w:rPr>
              <w:t>1. 资产全面核查与盘点：对货币资金、应收账款、存货、固定资产、在建工程、无形资产、长期投资等资产进行全面实地盘点，核实数量、状态及权属。</w:t>
            </w:r>
          </w:p>
          <w:p>
            <w:pPr>
              <w:pStyle w:val="null3"/>
              <w:ind w:firstLine="480"/>
              <w:jc w:val="both"/>
            </w:pPr>
            <w:r>
              <w:rPr>
                <w:rFonts w:ascii="仿宋_GB2312" w:hAnsi="仿宋_GB2312" w:cs="仿宋_GB2312" w:eastAsia="仿宋_GB2312"/>
                <w:sz w:val="24"/>
              </w:rPr>
              <w:t>2.债权债务核实：对债权债务进行实质性核查，评估可回收性及偿付可能性。</w:t>
            </w:r>
          </w:p>
          <w:p>
            <w:pPr>
              <w:pStyle w:val="null3"/>
              <w:ind w:firstLine="480"/>
              <w:jc w:val="both"/>
            </w:pPr>
            <w:r>
              <w:rPr>
                <w:rFonts w:ascii="仿宋_GB2312" w:hAnsi="仿宋_GB2312" w:cs="仿宋_GB2312" w:eastAsia="仿宋_GB2312"/>
                <w:sz w:val="24"/>
              </w:rPr>
              <w:t>3. 账务清理与合规核查：清理各类账务、往来款项，核查财务核算流程、会计凭证、账簿、报表的合规性。</w:t>
            </w:r>
          </w:p>
          <w:p>
            <w:pPr>
              <w:pStyle w:val="null3"/>
              <w:ind w:firstLine="480"/>
              <w:jc w:val="both"/>
            </w:pPr>
            <w:r>
              <w:rPr>
                <w:rFonts w:ascii="仿宋_GB2312" w:hAnsi="仿宋_GB2312" w:cs="仿宋_GB2312" w:eastAsia="仿宋_GB2312"/>
                <w:sz w:val="24"/>
              </w:rPr>
              <w:t>4. 负债清查：全面核查包括应付账款、借款、应付职工薪酬、应交税费、担保、诉讼赔偿等在内的各项负债。</w:t>
            </w:r>
          </w:p>
          <w:p>
            <w:pPr>
              <w:pStyle w:val="null3"/>
              <w:ind w:firstLine="480"/>
              <w:jc w:val="both"/>
            </w:pPr>
            <w:r>
              <w:rPr>
                <w:rFonts w:ascii="仿宋_GB2312" w:hAnsi="仿宋_GB2312" w:cs="仿宋_GB2312" w:eastAsia="仿宋_GB2312"/>
                <w:sz w:val="24"/>
              </w:rPr>
              <w:t>5.所有者权益审核：核查各公司实收资本、资本公积、盈余公积、未分配利润等所有者权益项目的真实性、合规性。</w:t>
            </w:r>
          </w:p>
          <w:p>
            <w:pPr>
              <w:pStyle w:val="null3"/>
              <w:ind w:firstLine="480"/>
              <w:jc w:val="both"/>
            </w:pPr>
            <w:r>
              <w:rPr>
                <w:rFonts w:ascii="仿宋_GB2312" w:hAnsi="仿宋_GB2312" w:cs="仿宋_GB2312" w:eastAsia="仿宋_GB2312"/>
                <w:sz w:val="24"/>
              </w:rPr>
              <w:t>6.资产划转建议：根据清产核资结果，梳理无效资产清单，提出资产处置建议；结合资产的经营属性与重组后各公司的整体定位，提出资产划转建议。</w:t>
            </w:r>
          </w:p>
          <w:p>
            <w:pPr>
              <w:pStyle w:val="null3"/>
              <w:ind w:firstLine="480"/>
              <w:jc w:val="both"/>
            </w:pPr>
            <w:r>
              <w:rPr>
                <w:rFonts w:ascii="仿宋_GB2312" w:hAnsi="仿宋_GB2312" w:cs="仿宋_GB2312" w:eastAsia="仿宋_GB2312"/>
                <w:sz w:val="24"/>
              </w:rPr>
              <w:t>7. 出具报告：完成《清产核资报告》，全面反映企业资产负债状况，提出资产损失认定及产权界定意见。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五</w:t>
            </w:r>
            <w:r>
              <w:rPr>
                <w:rFonts w:ascii="仿宋_GB2312" w:hAnsi="仿宋_GB2312" w:cs="仿宋_GB2312" w:eastAsia="仿宋_GB2312"/>
                <w:sz w:val="24"/>
              </w:rPr>
              <w:t>）资产评估</w:t>
            </w:r>
          </w:p>
          <w:p>
            <w:pPr>
              <w:pStyle w:val="null3"/>
              <w:ind w:firstLine="480"/>
              <w:jc w:val="both"/>
            </w:pPr>
            <w:r>
              <w:rPr>
                <w:rFonts w:ascii="仿宋_GB2312" w:hAnsi="仿宋_GB2312" w:cs="仿宋_GB2312" w:eastAsia="仿宋_GB2312"/>
                <w:sz w:val="24"/>
              </w:rPr>
              <w:t>1. 评估对象确定：对需划转的资产进行评估。</w:t>
            </w:r>
          </w:p>
          <w:p>
            <w:pPr>
              <w:pStyle w:val="null3"/>
              <w:ind w:firstLine="480"/>
              <w:jc w:val="both"/>
            </w:pPr>
            <w:r>
              <w:rPr>
                <w:rFonts w:ascii="仿宋_GB2312" w:hAnsi="仿宋_GB2312" w:cs="仿宋_GB2312" w:eastAsia="仿宋_GB2312"/>
                <w:sz w:val="24"/>
              </w:rPr>
              <w:t>2. 评估方法适用：根据资产类型，合理选择成本法、收益法或市场法等评估方法。</w:t>
            </w:r>
          </w:p>
          <w:p>
            <w:pPr>
              <w:pStyle w:val="null3"/>
              <w:ind w:firstLine="480"/>
              <w:jc w:val="both"/>
            </w:pPr>
            <w:r>
              <w:rPr>
                <w:rFonts w:ascii="仿宋_GB2312" w:hAnsi="仿宋_GB2312" w:cs="仿宋_GB2312" w:eastAsia="仿宋_GB2312"/>
                <w:sz w:val="24"/>
              </w:rPr>
              <w:t>3. 现场勘查：进行实地勘查，收集权属证明、技术资料及市场价格信息。</w:t>
            </w:r>
          </w:p>
          <w:p>
            <w:pPr>
              <w:pStyle w:val="null3"/>
              <w:ind w:firstLine="480"/>
              <w:jc w:val="both"/>
            </w:pPr>
            <w:r>
              <w:rPr>
                <w:rFonts w:ascii="仿宋_GB2312" w:hAnsi="仿宋_GB2312" w:cs="仿宋_GB2312" w:eastAsia="仿宋_GB2312"/>
                <w:sz w:val="24"/>
              </w:rPr>
              <w:t>4. 价值评定：在清产核资基础上，评估各类资产的价值。</w:t>
            </w:r>
          </w:p>
          <w:p>
            <w:pPr>
              <w:pStyle w:val="null3"/>
              <w:ind w:firstLine="480"/>
              <w:jc w:val="both"/>
            </w:pPr>
            <w:r>
              <w:rPr>
                <w:rFonts w:ascii="仿宋_GB2312" w:hAnsi="仿宋_GB2312" w:cs="仿宋_GB2312" w:eastAsia="仿宋_GB2312"/>
                <w:sz w:val="24"/>
              </w:rPr>
              <w:t>5. 出具报告：完成符合《资产评估执业准则》的《资产评估报告》，明确评估结论、假设及特别事项。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六</w:t>
            </w:r>
            <w:r>
              <w:rPr>
                <w:rFonts w:ascii="仿宋_GB2312" w:hAnsi="仿宋_GB2312" w:cs="仿宋_GB2312" w:eastAsia="仿宋_GB2312"/>
                <w:sz w:val="24"/>
              </w:rPr>
              <w:t>）完善内控制度</w:t>
            </w:r>
          </w:p>
          <w:p>
            <w:pPr>
              <w:pStyle w:val="null3"/>
              <w:ind w:firstLine="480"/>
              <w:jc w:val="both"/>
            </w:pPr>
            <w:r>
              <w:rPr>
                <w:rFonts w:ascii="仿宋_GB2312" w:hAnsi="仿宋_GB2312" w:cs="仿宋_GB2312" w:eastAsia="仿宋_GB2312"/>
                <w:sz w:val="24"/>
              </w:rPr>
              <w:t>1.现有制度风险诊断</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1）现状梳理：梳理“三重一大”、资金支付、采购招标等关键流程，识别决策、资金、合规、子公司管控等各类风险。</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2）诊断输出：明确内控制度设计的核心重点。</w:t>
            </w:r>
          </w:p>
          <w:p>
            <w:pPr>
              <w:pStyle w:val="null3"/>
              <w:ind w:firstLine="480"/>
              <w:jc w:val="both"/>
            </w:pPr>
            <w:r>
              <w:rPr>
                <w:rFonts w:ascii="仿宋_GB2312" w:hAnsi="仿宋_GB2312" w:cs="仿宋_GB2312" w:eastAsia="仿宋_GB2312"/>
                <w:sz w:val="24"/>
              </w:rPr>
              <w:t>2.集团内控制度体系设计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1）制度框架：搭建四大类 16 项核心制度体系（治理结构类、风险合规类、核心业务管控类、监督考核类）。</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）制度起草：</w:t>
            </w:r>
          </w:p>
          <w:p>
            <w:pPr>
              <w:pStyle w:val="null3"/>
              <w:ind w:firstLine="480"/>
              <w:jc w:val="both"/>
            </w:pPr>
            <w:r>
              <w:rPr>
                <w:rFonts w:ascii="仿宋_GB2312" w:hAnsi="仿宋_GB2312" w:cs="仿宋_GB2312" w:eastAsia="仿宋_GB2312"/>
                <w:sz w:val="24"/>
              </w:rPr>
              <w:t>治理结构类：</w:t>
            </w:r>
            <w:r>
              <w:rPr>
                <w:rFonts w:ascii="仿宋_GB2312" w:hAnsi="仿宋_GB2312" w:cs="仿宋_GB2312" w:eastAsia="仿宋_GB2312"/>
                <w:sz w:val="24"/>
              </w:rPr>
              <w:t>“三重一大” 决策细则、权责划分与授权管理办法、子公司监督管理办法。</w:t>
            </w:r>
          </w:p>
          <w:p>
            <w:pPr>
              <w:pStyle w:val="null3"/>
              <w:ind w:firstLine="480"/>
              <w:jc w:val="both"/>
            </w:pPr>
            <w:r>
              <w:rPr>
                <w:rFonts w:ascii="仿宋_GB2312" w:hAnsi="仿宋_GB2312" w:cs="仿宋_GB2312" w:eastAsia="仿宋_GB2312"/>
                <w:sz w:val="24"/>
              </w:rPr>
              <w:t>风险合规类：内控基本规范、风险评估与防控办法、合规管理办法。</w:t>
            </w:r>
          </w:p>
          <w:p>
            <w:pPr>
              <w:pStyle w:val="null3"/>
              <w:ind w:firstLine="480"/>
              <w:jc w:val="both"/>
            </w:pPr>
            <w:r>
              <w:rPr>
                <w:rFonts w:ascii="仿宋_GB2312" w:hAnsi="仿宋_GB2312" w:cs="仿宋_GB2312" w:eastAsia="仿宋_GB2312"/>
                <w:sz w:val="24"/>
              </w:rPr>
              <w:t>业务管控类：投融资与担保、资金管理、采购招标、工程项目、固定资产与国资管理、合同管理、</w:t>
            </w:r>
            <w:r>
              <w:rPr>
                <w:rFonts w:ascii="仿宋_GB2312" w:hAnsi="仿宋_GB2312" w:cs="仿宋_GB2312" w:eastAsia="仿宋_GB2312"/>
                <w:sz w:val="24"/>
              </w:rPr>
              <w:t>人事及薪酬、</w:t>
            </w:r>
            <w:r>
              <w:rPr>
                <w:rFonts w:ascii="仿宋_GB2312" w:hAnsi="仿宋_GB2312" w:cs="仿宋_GB2312" w:eastAsia="仿宋_GB2312"/>
                <w:sz w:val="24"/>
              </w:rPr>
              <w:t>安全生产与环保合规管理办法。</w:t>
            </w:r>
          </w:p>
          <w:p>
            <w:pPr>
              <w:pStyle w:val="null3"/>
              <w:ind w:firstLine="480"/>
              <w:jc w:val="both"/>
            </w:pPr>
            <w:r>
              <w:rPr>
                <w:rFonts w:ascii="仿宋_GB2312" w:hAnsi="仿宋_GB2312" w:cs="仿宋_GB2312" w:eastAsia="仿宋_GB2312"/>
                <w:sz w:val="24"/>
              </w:rPr>
              <w:t>监督考核类：国资监管考核制度、内部审计、内控监督检查、责任追究与考核评价办法。</w:t>
            </w:r>
          </w:p>
          <w:p>
            <w:pPr>
              <w:pStyle w:val="null3"/>
              <w:ind w:firstLine="480"/>
              <w:jc w:val="both"/>
            </w:pPr>
            <w:r>
              <w:rPr>
                <w:rFonts w:ascii="仿宋_GB2312" w:hAnsi="仿宋_GB2312" w:cs="仿宋_GB2312" w:eastAsia="仿宋_GB2312"/>
                <w:sz w:val="24"/>
              </w:rPr>
              <w:t>3.制度评审与发布</w:t>
            </w:r>
          </w:p>
          <w:p>
            <w:pPr>
              <w:pStyle w:val="null3"/>
              <w:ind w:firstLine="480"/>
              <w:jc w:val="both"/>
            </w:pPr>
            <w:r>
              <w:rPr>
                <w:rFonts w:ascii="仿宋_GB2312" w:hAnsi="仿宋_GB2312" w:cs="仿宋_GB2312" w:eastAsia="仿宋_GB2312"/>
                <w:sz w:val="24"/>
              </w:rPr>
              <w:t>组织制度评审会，形成最终版《内控制度汇编（试行）》；按程序提交集团董事会审定后正式印发。</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七</w:t>
            </w:r>
            <w:r>
              <w:rPr>
                <w:rFonts w:ascii="仿宋_GB2312" w:hAnsi="仿宋_GB2312" w:cs="仿宋_GB2312" w:eastAsia="仿宋_GB2312"/>
                <w:sz w:val="24"/>
              </w:rPr>
              <w:t>）法律服务</w:t>
            </w:r>
          </w:p>
          <w:p>
            <w:pPr>
              <w:pStyle w:val="null3"/>
              <w:ind w:firstLine="480"/>
              <w:jc w:val="both"/>
            </w:pPr>
            <w:r>
              <w:rPr>
                <w:rFonts w:ascii="仿宋_GB2312" w:hAnsi="仿宋_GB2312" w:cs="仿宋_GB2312" w:eastAsia="仿宋_GB2312"/>
                <w:sz w:val="24"/>
              </w:rPr>
              <w:t>1. 法律尽职调查</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1）现场核查：股权、资产、合同、用工、债权债务、合规经营、历史沿革、诉讼、或有负债、产权争议等。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2）风险梳理：分类整理问题并标注风险，形成单主体尽调报告。</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3）成果输出：汇总形成《法律尽职调查报告》，附风险应对初步建议。</w:t>
            </w:r>
          </w:p>
          <w:p>
            <w:pPr>
              <w:pStyle w:val="null3"/>
              <w:ind w:firstLine="480"/>
              <w:jc w:val="both"/>
            </w:pPr>
            <w:r>
              <w:rPr>
                <w:rFonts w:ascii="仿宋_GB2312" w:hAnsi="仿宋_GB2312" w:cs="仿宋_GB2312" w:eastAsia="仿宋_GB2312"/>
                <w:sz w:val="24"/>
              </w:rPr>
              <w:t>2. 重组实施法律支持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1）产权与资产整合：权属核查、制定划转细则、跟进划转过程、完成划转确认。</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2）交易文件服务：制定文件清单、起草协议与章程、参与谈判修改、协助定稿签章。</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3）职工安置：统计用工信息、起草安置方案、组织意见征集、落实职代会民主审议、指导公示落地。</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4）审批备案指引：梳理审批事项与权限、协助准备报批材料、跟进审批进度并沟通协调。</w:t>
            </w:r>
          </w:p>
          <w:p>
            <w:pPr>
              <w:pStyle w:val="null3"/>
              <w:ind w:firstLine="480"/>
              <w:jc w:val="both"/>
            </w:pPr>
            <w:r>
              <w:rPr>
                <w:rFonts w:ascii="仿宋_GB2312" w:hAnsi="仿宋_GB2312" w:cs="仿宋_GB2312" w:eastAsia="仿宋_GB2312"/>
                <w:sz w:val="24"/>
              </w:rPr>
              <w:t>3. 重组后治理与整合</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1）治理结构设计：审核 “三会一层” 及党组织权责与议事规则合规性。</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2）制度整合重建：梳理修订原有制度，起草章程、议事规则及内控核心制度。</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3）权属变更指导：梳理变更清单、协助准备材料，处理后续法律纠纷。</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八</w:t>
            </w:r>
            <w:r>
              <w:rPr>
                <w:rFonts w:ascii="仿宋_GB2312" w:hAnsi="仿宋_GB2312" w:cs="仿宋_GB2312" w:eastAsia="仿宋_GB2312"/>
                <w:sz w:val="24"/>
              </w:rPr>
              <w:t>）档案整理</w:t>
            </w:r>
          </w:p>
          <w:p>
            <w:pPr>
              <w:pStyle w:val="null3"/>
              <w:ind w:firstLine="480"/>
              <w:jc w:val="both"/>
            </w:pPr>
            <w:r>
              <w:rPr>
                <w:rFonts w:ascii="仿宋_GB2312" w:hAnsi="仿宋_GB2312" w:cs="仿宋_GB2312" w:eastAsia="仿宋_GB2312"/>
                <w:sz w:val="24"/>
              </w:rPr>
              <w:t>1.档案梳理：清查存量、门类、存储，建立清查台账，明确归属流向。</w:t>
            </w:r>
          </w:p>
          <w:p>
            <w:pPr>
              <w:pStyle w:val="null3"/>
              <w:ind w:firstLine="480"/>
              <w:jc w:val="both"/>
            </w:pPr>
            <w:r>
              <w:rPr>
                <w:rFonts w:ascii="仿宋_GB2312" w:hAnsi="仿宋_GB2312" w:cs="仿宋_GB2312" w:eastAsia="仿宋_GB2312"/>
                <w:sz w:val="24"/>
              </w:rPr>
              <w:t>2.规范整理：分类、组卷、编号、装订、编目，统一标准流程</w:t>
            </w:r>
            <w:r>
              <w:rPr>
                <w:rFonts w:ascii="仿宋_GB2312" w:hAnsi="仿宋_GB2312" w:cs="仿宋_GB2312" w:eastAsia="仿宋_GB2312"/>
                <w:sz w:val="24"/>
              </w:rPr>
              <w:t>（含国资监管单位的档案）</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3.核查整改：核查真实完整规范，排查问题并整改，出具整改报告。</w:t>
            </w:r>
          </w:p>
          <w:p>
            <w:pPr>
              <w:pStyle w:val="null3"/>
              <w:ind w:firstLine="480"/>
              <w:jc w:val="both"/>
            </w:pPr>
            <w:r>
              <w:rPr>
                <w:rFonts w:ascii="仿宋_GB2312" w:hAnsi="仿宋_GB2312" w:cs="仿宋_GB2312" w:eastAsia="仿宋_GB2312"/>
                <w:sz w:val="24"/>
              </w:rPr>
              <w:t>4.移交保管：协助档案移交与保管，落实 “六防” 要求。</w:t>
            </w:r>
          </w:p>
          <w:p>
            <w:pPr>
              <w:pStyle w:val="null3"/>
              <w:ind w:firstLine="480"/>
              <w:jc w:val="both"/>
            </w:pPr>
            <w:r>
              <w:rPr>
                <w:rFonts w:ascii="仿宋_GB2312" w:hAnsi="仿宋_GB2312" w:cs="仿宋_GB2312" w:eastAsia="仿宋_GB2312"/>
                <w:sz w:val="24"/>
              </w:rPr>
              <w:t>5.制度建设：完善档案管理、归档、查阅、保密、安全等制度，建立长效机制。</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其它服务要求</w:t>
            </w:r>
          </w:p>
        </w:tc>
        <w:tc>
          <w:tcPr>
            <w:tcW w:type="dxa" w:w="5814"/>
          </w:tcPr>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供应商</w:t>
            </w:r>
            <w:r>
              <w:rPr>
                <w:rFonts w:ascii="仿宋_GB2312" w:hAnsi="仿宋_GB2312" w:cs="仿宋_GB2312" w:eastAsia="仿宋_GB2312"/>
                <w:sz w:val="24"/>
              </w:rPr>
              <w:t>须</w:t>
            </w:r>
            <w:r>
              <w:rPr>
                <w:rFonts w:ascii="仿宋_GB2312" w:hAnsi="仿宋_GB2312" w:cs="仿宋_GB2312" w:eastAsia="仿宋_GB2312"/>
                <w:sz w:val="24"/>
              </w:rPr>
              <w:t>根据法律、法规、行业规范执业。</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供应商在提供服务的过程中应按照国家安全、保密的有关规定和标准履行保密义务以及保护采购人的相关秘密。供应商对提供服务的过程中涉及的有关信息保密，未经采购人书面许可，不得将相关信息泄露、透露、告知给第三方或者与本项目无关的本公司雇员或职员等，否则，采购人保留追究成交供应商经济和法律责任的权利。</w:t>
            </w:r>
          </w:p>
          <w:p>
            <w:pPr>
              <w:pStyle w:val="null3"/>
              <w:ind w:firstLine="480"/>
              <w:jc w:val="left"/>
            </w:pPr>
            <w:r>
              <w:rPr>
                <w:rFonts w:ascii="仿宋_GB2312" w:hAnsi="仿宋_GB2312" w:cs="仿宋_GB2312" w:eastAsia="仿宋_GB2312"/>
                <w:sz w:val="24"/>
              </w:rPr>
              <w:t>3.若因政策调整、计划变更等非采购人原因导致服务无法实施的，本合同自动解除，不视作违约。</w:t>
            </w:r>
          </w:p>
          <w:p>
            <w:pPr>
              <w:pStyle w:val="null3"/>
              <w:ind w:firstLine="480"/>
              <w:jc w:val="left"/>
            </w:pPr>
            <w:r>
              <w:rPr>
                <w:rFonts w:ascii="仿宋_GB2312" w:hAnsi="仿宋_GB2312" w:cs="仿宋_GB2312" w:eastAsia="仿宋_GB2312"/>
                <w:sz w:val="24"/>
              </w:rPr>
              <w:t>4.项目服务人员不少于30人，其中，项目负责人须在马尔康驻场到项目全部成果交付为止，其他项目人员在马尔康驻场时间不少于60天（每天驻场人数不限，供应商根据项目进度安排相应的人员驻场即可）。(提供承诺函并加盖电子签章，格式自拟)</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安全要求</w:t>
            </w:r>
          </w:p>
        </w:tc>
        <w:tc>
          <w:tcPr>
            <w:tcW w:type="dxa" w:w="5814"/>
          </w:tcPr>
          <w:p>
            <w:pPr>
              <w:pStyle w:val="null3"/>
              <w:jc w:val="left"/>
            </w:pPr>
            <w:r>
              <w:rPr>
                <w:rFonts w:ascii="仿宋_GB2312" w:hAnsi="仿宋_GB2312" w:cs="仿宋_GB2312" w:eastAsia="仿宋_GB2312"/>
                <w:sz w:val="24"/>
              </w:rPr>
              <w:t>本项目实施过程中，</w:t>
            </w:r>
            <w:r>
              <w:rPr>
                <w:rFonts w:ascii="仿宋_GB2312" w:hAnsi="仿宋_GB2312" w:cs="仿宋_GB2312" w:eastAsia="仿宋_GB2312"/>
                <w:sz w:val="24"/>
              </w:rPr>
              <w:t>由</w:t>
            </w:r>
            <w:r>
              <w:rPr>
                <w:rFonts w:ascii="仿宋_GB2312" w:hAnsi="仿宋_GB2312" w:cs="仿宋_GB2312" w:eastAsia="仿宋_GB2312"/>
                <w:sz w:val="24"/>
              </w:rPr>
              <w:t>成交供应商</w:t>
            </w:r>
            <w:r>
              <w:rPr>
                <w:rFonts w:ascii="仿宋_GB2312" w:hAnsi="仿宋_GB2312" w:cs="仿宋_GB2312" w:eastAsia="仿宋_GB2312"/>
                <w:sz w:val="24"/>
              </w:rPr>
              <w:t>引起</w:t>
            </w:r>
            <w:r>
              <w:rPr>
                <w:rFonts w:ascii="仿宋_GB2312" w:hAnsi="仿宋_GB2312" w:cs="仿宋_GB2312" w:eastAsia="仿宋_GB2312"/>
                <w:sz w:val="24"/>
              </w:rPr>
              <w:t>的人身安全、财产安全等一切安全责任</w:t>
            </w:r>
            <w:r>
              <w:rPr>
                <w:rFonts w:ascii="仿宋_GB2312" w:hAnsi="仿宋_GB2312" w:cs="仿宋_GB2312" w:eastAsia="仿宋_GB2312"/>
                <w:sz w:val="24"/>
              </w:rPr>
              <w:t>均由</w:t>
            </w:r>
            <w:r>
              <w:rPr>
                <w:rFonts w:ascii="仿宋_GB2312" w:hAnsi="仿宋_GB2312" w:cs="仿宋_GB2312" w:eastAsia="仿宋_GB2312"/>
                <w:sz w:val="24"/>
              </w:rPr>
              <w:t>成交供应商</w:t>
            </w:r>
            <w:r>
              <w:rPr>
                <w:rFonts w:ascii="仿宋_GB2312" w:hAnsi="仿宋_GB2312" w:cs="仿宋_GB2312" w:eastAsia="仿宋_GB2312"/>
                <w:sz w:val="24"/>
              </w:rPr>
              <w:t>自行承担</w:t>
            </w:r>
            <w:r>
              <w:rPr>
                <w:rFonts w:ascii="仿宋_GB2312" w:hAnsi="仿宋_GB2312" w:cs="仿宋_GB2312" w:eastAsia="仿宋_GB2312"/>
                <w:sz w:val="24"/>
              </w:rPr>
              <w:t>；在项目实施过程中</w:t>
            </w:r>
            <w:r>
              <w:rPr>
                <w:rFonts w:ascii="仿宋_GB2312" w:hAnsi="仿宋_GB2312" w:cs="仿宋_GB2312" w:eastAsia="仿宋_GB2312"/>
                <w:sz w:val="24"/>
              </w:rPr>
              <w:t>由</w:t>
            </w:r>
            <w:r>
              <w:rPr>
                <w:rFonts w:ascii="仿宋_GB2312" w:hAnsi="仿宋_GB2312" w:cs="仿宋_GB2312" w:eastAsia="仿宋_GB2312"/>
                <w:sz w:val="24"/>
              </w:rPr>
              <w:t>成交供应商造成的直接或间接损失，均由成交供应商自行承担。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jc w:val="left"/>
            </w:pPr>
            <w:r>
              <w:rPr>
                <w:rFonts w:ascii="仿宋_GB2312" w:hAnsi="仿宋_GB2312" w:cs="仿宋_GB2312" w:eastAsia="仿宋_GB2312"/>
                <w:sz w:val="24"/>
              </w:rPr>
              <w:t>供应商的报价是供应商响应采购项目要求的全部工作内容的价格体现，应是最终采购人验收合格后的总价，包括实施和完成本项目所需的设备、劳务、管理、材料、差旅、保险、税金、利润等一切费用，采购人不再支付其他任何费用。</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自合同签订之日起180日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马尔康市，采购人指定地点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按照《政府采购需求管理办法》（财库〔2021〕22号）、《财政部关于进一步加强政府采购需求和履约验收管理的指导意见》（财库〔2016〕205号）等政府采购相关法律法规执行，验收内容包含采购文件中的所有技术和商务要求的履约情况，由采购人组织，供应商配合进行，如质量验收合格，双方签署验收报告；验收结果不合格的，采购人不予支付采购资金，还可能会报告本项目同级财政部门按照政府采购法律法规等有关规定给予行政处罚或者以失信行为记入诚信档案。 （2）验收标准：按国家有关规定以及采购文件的质量要求和技术指标、供应商的响应文件及承诺与本合同约定标准进行验收；双方如对质量要求和技术指标的约定标准有相互抵触或异议的事项，由采购人在采购文件和响应文件中按质量要求和技术指标比较优胜的原则确定该项的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采购人在马尔康市人民政府办公室印发《马尔康市国企改革组建方案》终稿并完成新公司挂牌。供应商提交清产核资报告、资产评估报告、财务尽职调查报告、法律尽职调查报告及《内控制度汇编（试行）》正式成果文件，且收到供应商提供的增值税普通发票后，达到付款条件起10日内，支付合同总金额的50.00%</w:t>
            </w:r>
          </w:p>
          <w:p>
            <w:pPr>
              <w:pStyle w:val="null3"/>
              <w:jc w:val="left"/>
            </w:pPr>
            <w:r>
              <w:rPr>
                <w:rFonts w:ascii="仿宋_GB2312" w:hAnsi="仿宋_GB2312" w:cs="仿宋_GB2312" w:eastAsia="仿宋_GB2312"/>
              </w:rPr>
              <w:t>2、供应商完善所有服务内容，采购人收到所有相关的正式备案报告并验收合格（完成验收报告）且收到供应商提供的增值税普通发票后，达到付款条件起10日内，支付合同总金额的50.00%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（1）采购人及供应商必须遵守采购合同并执行合同中的各项规定，保证采购合同的正常履行。任何一方违约给对方造成的直接损失均负有赔偿责任，对方均有权视情况要求对方继续履行合同或提出解除合同。 （2）采购人及供应商就采购合同所产生的任何争议都应该进行友好协商，协商解决不成的，任何一方均可向项目所在地人民法院提起诉讼。诉讼费应由败诉方承担。在诉讼期间，除正在进行诉讼的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需提供针对本项目的服务方案，内容包含：①项目背景与服务内容阐述；②项目重难点分析；③改革重组方向建议；④服务优势；⑤实施步骤与时间计划；⑥项目进度保障；⑦后续服务措施。（2）供应商需提供针对本项目的质量保障方案，内容包含：①服务质量保障措施；②项目风险及应急管理措施；③保密及成果文件档案管理措施；④廉洁措施。（3）供应商需提供项目人员的专业证书证明材料，具体详见“5.4.2.评审细则及标准”。（4）供应商需提供自2023年1月1日（含）以来具有类似业绩的证明材料，具体详见“5.4.2.评审细则及标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所有内容</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所有内容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（1）若供应商为企业法人的，提供具有统一社会信用代码的“营业执照”，未换证的提供“营业执照、税务登记证、组织机构代码证”； （2）若供应商为事业法人的，提供具有统一社会信用代码的“法人登记证书”；未换证的提交“事业法人登记证书、组织机构代码证”； （3）若供应商为其他组织的，提供对应主管部门颁发的准许执业的证明文件或营业执照； （4）若供应商为自然人的，提供相关“身份证明材料”； （5）供应商若为不具备独立法人资格的分公司或分支机构的，应提供总公司的授权书、总公司和分公司（分支机构）的营业执照。 供应商需在使用投标(响应)客户端编制响应文件时，按要求上传相应证明材料，并按要求填写《投标（响应）函》完成承诺并进行电子签章。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1）供应商提供2024年度或2025年度的财务报告（包含审计报告和审计报告中所涉及的财务报表和报表附注）或者截至响应文件提交截止之日前一年内银行出具的资信证明。未经审计的提供2024年度或2025年度内部财务报表（包括资产负债表、利润表、现金流量表）。 （2）供应商注册时间截至响应文件提交截止之日前不足一年的，也可提供在相关主管部门备案的公司章程证明材料。 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无</w:t>
            </w:r>
          </w:p>
        </w:tc>
        <w:tc>
          <w:tcPr>
            <w:tcW w:type="dxa" w:w="3322"/>
          </w:tcPr>
          <w:p>
            <w:pPr>
              <w:pStyle w:val="null3"/>
              <w:jc w:val="left"/>
            </w:pPr>
            <w:r>
              <w:rPr>
                <w:rFonts w:ascii="仿宋_GB2312" w:hAnsi="仿宋_GB2312" w:cs="仿宋_GB2312" w:eastAsia="仿宋_GB2312"/>
              </w:rPr>
              <w:t>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3.2.技术要求、3.3.服务要求的响应情况。</w:t>
            </w:r>
          </w:p>
        </w:tc>
        <w:tc>
          <w:tcPr>
            <w:tcW w:type="dxa" w:w="3322"/>
          </w:tcPr>
          <w:p>
            <w:pPr>
              <w:pStyle w:val="null3"/>
              <w:jc w:val="left"/>
            </w:pPr>
            <w:r>
              <w:rPr>
                <w:rFonts w:ascii="仿宋_GB2312" w:hAnsi="仿宋_GB2312" w:cs="仿宋_GB2312" w:eastAsia="仿宋_GB2312"/>
              </w:rPr>
              <w:t>供应商须对磋商文件中3.2.技术要求、3.3.服务要求中实质性内容进行逐条响应，未如实响应或响应内容不符合磋商文件对应项要求或不填写响应情况的，其响应文件作无效处理。磋商文件中明确要求单独提供承诺函或相关证明材料的，供应商须按照磋商文件要求如实提供。</w:t>
            </w:r>
          </w:p>
        </w:tc>
        <w:tc>
          <w:tcPr>
            <w:tcW w:type="dxa" w:w="1661"/>
          </w:tcPr>
          <w:p>
            <w:pPr>
              <w:pStyle w:val="null3"/>
              <w:jc w:val="left"/>
            </w:pPr>
            <w:r>
              <w:rPr>
                <w:rFonts w:ascii="仿宋_GB2312" w:hAnsi="仿宋_GB2312" w:cs="仿宋_GB2312" w:eastAsia="仿宋_GB2312"/>
              </w:rPr>
              <w:t>服务要求应答表.docx,技术要求应答表.docx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其它符合性审查。</w:t>
            </w:r>
          </w:p>
        </w:tc>
        <w:tc>
          <w:tcPr>
            <w:tcW w:type="dxa" w:w="3322"/>
          </w:tcPr>
          <w:p>
            <w:pPr>
              <w:pStyle w:val="null3"/>
              <w:jc w:val="left"/>
            </w:pPr>
            <w:r>
              <w:rPr>
                <w:rFonts w:ascii="仿宋_GB2312" w:hAnsi="仿宋_GB2312" w:cs="仿宋_GB2312" w:eastAsia="仿宋_GB2312"/>
              </w:rPr>
              <w:t>未载明或者载明的标的名称、数量、计量单位及其他政府采购合同实质性内容与磋商文件要求不一致，且采购单位无法接受的，属于无效响应。</w:t>
            </w:r>
          </w:p>
        </w:tc>
        <w:tc>
          <w:tcPr>
            <w:tcW w:type="dxa" w:w="1661"/>
          </w:tcPr>
          <w:p>
            <w:pPr>
              <w:pStyle w:val="null3"/>
              <w:jc w:val="left"/>
            </w:pPr>
            <w:r>
              <w:rPr>
                <w:rFonts w:ascii="仿宋_GB2312" w:hAnsi="仿宋_GB2312" w:cs="仿宋_GB2312" w:eastAsia="仿宋_GB2312"/>
              </w:rPr>
              <w:t>服务要求应答表.docx,供应商应提交的相关证明材料,报价表,技术要求应答表.docx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根据供应商提供的针对本项目的服务方案进行评审，内容包含：①项目背景与服务内容阐述；②项目重难点分析；③改革重组方向建议；④服务优势；⑤实施步骤与时间计划；⑥项目进度保障；⑦后续服务措施。 上述内容完整且无缺陷的得35分。方案缺少一项内容扣5分，每有一项内容有以下任一缺陷的扣2.5分，单项扣完为止。 缺陷是指：①方案内容与本项目无关；②方案内容缺少关键节点，或仅有框架、标题；③方案内容交叉混乱；④项目名称错误或实施地点错误；⑤引用的法律法规、规范标准与本项目不相关或失效或错误。</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项目相关服务方案.docx</w:t>
            </w:r>
          </w:p>
        </w:tc>
      </w:tr>
      <w:tr>
        <w:tc>
          <w:tcPr>
            <w:tcW w:type="dxa" w:w="831"/>
            <w:vMerge/>
          </w:tcPr>
          <w:p/>
        </w:tc>
        <w:tc>
          <w:tcPr>
            <w:tcW w:type="dxa" w:w="1661"/>
          </w:tcPr>
          <w:p>
            <w:pPr>
              <w:pStyle w:val="null3"/>
              <w:jc w:val="left"/>
            </w:pPr>
            <w:r>
              <w:rPr>
                <w:rFonts w:ascii="仿宋_GB2312" w:hAnsi="仿宋_GB2312" w:cs="仿宋_GB2312" w:eastAsia="仿宋_GB2312"/>
              </w:rPr>
              <w:t>质量保障方案</w:t>
            </w:r>
          </w:p>
        </w:tc>
        <w:tc>
          <w:tcPr>
            <w:tcW w:type="dxa" w:w="2575"/>
          </w:tcPr>
          <w:p>
            <w:pPr>
              <w:pStyle w:val="null3"/>
              <w:jc w:val="left"/>
            </w:pPr>
            <w:r>
              <w:rPr>
                <w:rFonts w:ascii="仿宋_GB2312" w:hAnsi="仿宋_GB2312" w:cs="仿宋_GB2312" w:eastAsia="仿宋_GB2312"/>
              </w:rPr>
              <w:t>根据供应商提供的针对本项目的质量保障方案进行评审，内容包含：①服务质量保障措施；②项目风险及应急管理措施；③保密及成果文件档案管理措施；④廉洁措施。 上述内容完整且无缺陷的得20分。方案缺少一项内容扣5分，每有一项内容有以下任一缺陷的扣2.5分，单项扣完为止。 缺陷是指：①方案内容与本项目无关；②方案内容缺少关键节点，或仅有框架、标题；③方案内容交叉混乱；④项目名称错误或实施地点错误；⑤引用的法律法规、规范标准与本项目不相关或失效或错误。</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项目相关服务方案.docx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1.拟派的项目负责人：具有咨询工程师（投资）登记证书得3分；在此基础上：执业10年(含)以上的加3分，7年(含)以上10年以下的加2分，7年以下的加1分。本项最多得6分。 2.拟派的团队人员中（除项目负责人以外）： （1）每有1人具有咨询工程师（投资）登记证书的得1分，本小项最多得9分； （2）每有1人具有注册会计师证书的得0.5分，本小项最多得4分； （3）每有1人具有税务师证书的得0.5分，本小项最多得1分； （4）每有1人具有资产评估师证书的得0.5分，本小项最多得2分； （5）每有1人具有房产评估师证书的得0.5分，本小项最多得1分； （6）每有1人具有律师执业证书的得0.5分，本小项最多得2分。 注：以上人员不重复计分，需提供人员证书扫描件并加盖供应商电子签章，其中项目负责人执业年限需提供历史执业登记记录截图。</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项目人员情况表.docx</w:t>
            </w:r>
          </w:p>
        </w:tc>
      </w:tr>
      <w:tr>
        <w:tc>
          <w:tcPr>
            <w:tcW w:type="dxa" w:w="831"/>
            <w:vMerge/>
          </w:tcPr>
          <w:p/>
        </w:tc>
        <w:tc>
          <w:tcPr>
            <w:tcW w:type="dxa" w:w="1661"/>
          </w:tcPr>
          <w:p>
            <w:pPr>
              <w:pStyle w:val="null3"/>
              <w:jc w:val="left"/>
            </w:pPr>
            <w:r>
              <w:rPr>
                <w:rFonts w:ascii="仿宋_GB2312" w:hAnsi="仿宋_GB2312" w:cs="仿宋_GB2312" w:eastAsia="仿宋_GB2312"/>
              </w:rPr>
              <w:t>类似履约经验</w:t>
            </w:r>
          </w:p>
        </w:tc>
        <w:tc>
          <w:tcPr>
            <w:tcW w:type="dxa" w:w="2575"/>
          </w:tcPr>
          <w:p>
            <w:pPr>
              <w:pStyle w:val="null3"/>
              <w:jc w:val="left"/>
            </w:pPr>
            <w:r>
              <w:rPr>
                <w:rFonts w:ascii="仿宋_GB2312" w:hAnsi="仿宋_GB2312" w:cs="仿宋_GB2312" w:eastAsia="仿宋_GB2312"/>
              </w:rPr>
              <w:t>供应商自2023年1月1日（含）以来具有类似业绩的，每提供1个得2.5分，本项最多得10分。 类似业绩是指同一项目至少包含国有企业或事业单位资源资产整合咨询、财务报表审计、资产评估、法律服务中的任一三项服务内容的业绩。提供合同（协议）扫描件，时间以合同（协议）签订日期为准。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相关业绩一览表.docx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审委员会评审，通过资格和符合性审查，且最后响应报价最低的供应商的最后响应报价作为评审基准价。2.响应报价得分=(评审基准价／最后响应报价)×分值。评审价格=最后响应报价。经价格调整后的评审价格=最后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详见附件：项目相关服务方案.docx</w:t>
      </w:r>
    </w:p>
    <w:p>
      <w:pPr>
        <w:pStyle w:val="null3"/>
        <w:ind w:firstLine="960"/>
        <w:jc w:val="left"/>
      </w:pPr>
      <w:r>
        <w:rPr>
          <w:rFonts w:ascii="仿宋_GB2312" w:hAnsi="仿宋_GB2312" w:cs="仿宋_GB2312" w:eastAsia="仿宋_GB2312"/>
        </w:rPr>
        <w:t>详见附件：项目人员情况表.docx</w:t>
      </w:r>
    </w:p>
    <w:p>
      <w:pPr>
        <w:pStyle w:val="null3"/>
        <w:ind w:firstLine="960"/>
        <w:jc w:val="left"/>
      </w:pPr>
      <w:r>
        <w:rPr>
          <w:rFonts w:ascii="仿宋_GB2312" w:hAnsi="仿宋_GB2312" w:cs="仿宋_GB2312" w:eastAsia="仿宋_GB2312"/>
        </w:rPr>
        <w:t>详见附件：相关业绩一览表.docx</w:t>
      </w:r>
    </w:p>
    <w:p>
      <w:pPr>
        <w:pStyle w:val="null3"/>
        <w:ind w:firstLine="960"/>
        <w:jc w:val="left"/>
      </w:pPr>
      <w:r>
        <w:rPr>
          <w:rFonts w:ascii="仿宋_GB2312" w:hAnsi="仿宋_GB2312" w:cs="仿宋_GB2312" w:eastAsia="仿宋_GB2312"/>
        </w:rPr>
        <w:t>详见附件：服务要求应答表.docx</w:t>
      </w:r>
    </w:p>
    <w:p>
      <w:pPr>
        <w:pStyle w:val="null3"/>
        <w:ind w:firstLine="960"/>
        <w:jc w:val="left"/>
      </w:pPr>
      <w:r>
        <w:rPr>
          <w:rFonts w:ascii="仿宋_GB2312" w:hAnsi="仿宋_GB2312" w:cs="仿宋_GB2312" w:eastAsia="仿宋_GB2312"/>
        </w:rPr>
        <w:t>详见附件：技术要求应答表.docx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