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版本号：N510601202600005620260409002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N5106012026000056</w:t>
      </w:r>
    </w:p>
    <w:p>
      <w:pPr>
        <w:pStyle w:val="null3"/>
        <w:jc w:val="left"/>
        <w:outlineLvl w:val="2"/>
      </w:pPr>
      <w:r>
        <w:rPr>
          <w:rFonts w:ascii="仿宋_GB2312" w:hAnsi="仿宋_GB2312" w:cs="仿宋_GB2312" w:eastAsia="仿宋_GB2312"/>
          <w:sz w:val="28"/>
          <w:b/>
        </w:rPr>
        <w:t>德阳市第二人民医院</w:t>
      </w:r>
    </w:p>
    <w:p>
      <w:pPr>
        <w:pStyle w:val="null3"/>
        <w:jc w:val="center"/>
        <w:outlineLvl w:val="2"/>
      </w:pPr>
      <w:r>
        <w:rPr>
          <w:rFonts w:ascii="仿宋_GB2312" w:hAnsi="仿宋_GB2312" w:cs="仿宋_GB2312" w:eastAsia="仿宋_GB2312"/>
          <w:sz w:val="28"/>
          <w:b/>
        </w:rPr>
        <w:t>德阳旌汇项目管理有限公司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德阳旌汇项目管理有限公司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德阳市第二人民医院</w:t>
      </w:r>
      <w:r>
        <w:rPr>
          <w:rFonts w:ascii="仿宋_GB2312" w:hAnsi="仿宋_GB2312" w:cs="仿宋_GB2312" w:eastAsia="仿宋_GB2312"/>
        </w:rPr>
        <w:t xml:space="preserve"> 委托，拟对 </w:t>
      </w:r>
      <w:r>
        <w:rPr>
          <w:rFonts w:ascii="仿宋_GB2312" w:hAnsi="仿宋_GB2312" w:cs="仿宋_GB2312" w:eastAsia="仿宋_GB2312"/>
        </w:rPr>
        <w:t>麻醉机</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德阳市市本级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N5106012026000056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麻醉机</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采购一批麻醉机，共1个包。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及配置产品为医疗器械的，须符合《医疗器械注册管理办法》要求并提供中华人民共和国医疗器械注册证或备案凭证。（描述：投标产品及配置产品为医疗器械的，须提供符合《医疗器械注册管理办法》要求并提供中华人民共和国医疗器械注册证或备案凭证的扫描件并加盖投标人公章。）</w:t>
      </w:r>
    </w:p>
    <w:p>
      <w:pPr>
        <w:pStyle w:val="null3"/>
        <w:jc w:val="left"/>
      </w:pPr>
      <w:r>
        <w:rPr>
          <w:rFonts w:ascii="仿宋_GB2312" w:hAnsi="仿宋_GB2312" w:cs="仿宋_GB2312" w:eastAsia="仿宋_GB2312"/>
        </w:rPr>
        <w:t>2、投标人须符合《医疗器械监督管理条例》要求并提供医疗器械生产或经营企业许可证或医疗器械经营备案凭证。（描述：投标人须提供符合《医疗器械监督管理条例》要求并提供医疗器械生产或经营企业许可证或医疗器械经营备案凭证的扫描件并加盖投标人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德阳市第二人民医院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四川省德阳市旌阳区岷江西路一段340号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0838-2236017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德阳旌汇项目管理有限公司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四川省德阳市旌阳区泰山南路一段147号蓝天广场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0838-2312233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2002年10月15日《国家计委关于印发&lt;招标代理服务费收费管理暂行办法&gt;》（计价格〔2002〕1980号）和国家发展和改革委员会办公厅《关于招标代理服务收费有关问题的通知》（发改办价格〔2003〕857号）规定的《招标代理服务收费标准》下浮25%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德阳市第二人民医院</w:t>
      </w:r>
      <w:r>
        <w:rPr>
          <w:rFonts w:ascii="仿宋_GB2312" w:hAnsi="仿宋_GB2312" w:cs="仿宋_GB2312" w:eastAsia="仿宋_GB2312"/>
        </w:rPr>
        <w:t xml:space="preserve"> 和 </w:t>
      </w:r>
      <w:r>
        <w:rPr>
          <w:rFonts w:ascii="仿宋_GB2312" w:hAnsi="仿宋_GB2312" w:cs="仿宋_GB2312" w:eastAsia="仿宋_GB2312"/>
        </w:rPr>
        <w:t>德阳旌汇项目管理有限公司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德阳市第二人民医院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德阳旌汇项目管理有限公司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合同履约完成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按招标文件的规定和中标人投标文件的承诺及现行法律法规相关规定。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按招标文件的规定和中标人投标文件的承诺及现行法律法规相关规定。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按照《财政部关于进一步加强政府采购需求和履约验收管理的指导意见》的通知（财库〔2016〕205号）规定及国家和地方相关的法律、规范及行业标准执行。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德阳市第二人民医院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德阳旌汇项目管理有限公司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德阳旌汇项目管理有限公司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联系人：马老师</w:t>
      </w:r>
    </w:p>
    <w:p>
      <w:pPr>
        <w:pStyle w:val="null3"/>
        <w:jc w:val="left"/>
      </w:pPr>
      <w:r>
        <w:rPr>
          <w:rFonts w:ascii="仿宋_GB2312" w:hAnsi="仿宋_GB2312" w:cs="仿宋_GB2312" w:eastAsia="仿宋_GB2312"/>
        </w:rPr>
        <w:t>联系电话：0838-2236017</w:t>
      </w:r>
    </w:p>
    <w:p>
      <w:pPr>
        <w:pStyle w:val="null3"/>
        <w:jc w:val="left"/>
      </w:pPr>
      <w:r>
        <w:rPr>
          <w:rFonts w:ascii="仿宋_GB2312" w:hAnsi="仿宋_GB2312" w:cs="仿宋_GB2312" w:eastAsia="仿宋_GB2312"/>
        </w:rPr>
        <w:t>地址：四川省德阳市旌阳区岷江西路一段340号</w:t>
      </w:r>
    </w:p>
    <w:p>
      <w:pPr>
        <w:pStyle w:val="null3"/>
        <w:jc w:val="left"/>
      </w:pPr>
      <w:r>
        <w:rPr>
          <w:rFonts w:ascii="仿宋_GB2312" w:hAnsi="仿宋_GB2312" w:cs="仿宋_GB2312" w:eastAsia="仿宋_GB2312"/>
        </w:rPr>
        <w:t>邮编：618000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 杨先生</w:t>
      </w:r>
    </w:p>
    <w:p>
      <w:pPr>
        <w:pStyle w:val="null3"/>
        <w:jc w:val="left"/>
      </w:pPr>
      <w:r>
        <w:rPr>
          <w:rFonts w:ascii="仿宋_GB2312" w:hAnsi="仿宋_GB2312" w:cs="仿宋_GB2312" w:eastAsia="仿宋_GB2312"/>
        </w:rPr>
        <w:t>联系电话：0838-2312233</w:t>
      </w:r>
    </w:p>
    <w:p>
      <w:pPr>
        <w:pStyle w:val="null3"/>
        <w:jc w:val="left"/>
      </w:pPr>
      <w:r>
        <w:rPr>
          <w:rFonts w:ascii="仿宋_GB2312" w:hAnsi="仿宋_GB2312" w:cs="仿宋_GB2312" w:eastAsia="仿宋_GB2312"/>
        </w:rPr>
        <w:t>地址：四川省德阳市旌阳区泰山南路一段147号蓝天广场</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2,100,000.00</w:t>
      </w:r>
    </w:p>
    <w:p>
      <w:pPr>
        <w:pStyle w:val="null3"/>
        <w:jc w:val="left"/>
      </w:pPr>
      <w:r>
        <w:rPr>
          <w:rFonts w:ascii="仿宋_GB2312" w:hAnsi="仿宋_GB2312" w:cs="仿宋_GB2312" w:eastAsia="仿宋_GB2312"/>
        </w:rPr>
        <w:t>采购包最高限价（元）: 2,100,000.00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麻醉机</w:t>
            </w:r>
          </w:p>
        </w:tc>
        <w:tc>
          <w:tcPr>
            <w:tcW w:type="dxa" w:w="821"/>
          </w:tcPr>
          <w:p>
            <w:pPr>
              <w:pStyle w:val="null3"/>
              <w:jc w:val="right"/>
            </w:pPr>
            <w:r>
              <w:rPr>
                <w:rFonts w:ascii="仿宋_GB2312" w:hAnsi="仿宋_GB2312" w:cs="仿宋_GB2312" w:eastAsia="仿宋_GB2312"/>
              </w:rPr>
              <w:t>7.00（套）</w:t>
            </w:r>
          </w:p>
        </w:tc>
        <w:tc>
          <w:tcPr>
            <w:tcW w:type="dxa" w:w="821"/>
          </w:tcPr>
          <w:p>
            <w:pPr>
              <w:pStyle w:val="null3"/>
              <w:jc w:val="right"/>
            </w:pPr>
            <w:r>
              <w:rPr>
                <w:rFonts w:ascii="仿宋_GB2312" w:hAnsi="仿宋_GB2312" w:cs="仿宋_GB2312" w:eastAsia="仿宋_GB2312"/>
              </w:rPr>
              <w:t>2,100,000.00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麻醉机</w:t>
            </w:r>
          </w:p>
        </w:tc>
        <w:tc>
          <w:tcPr>
            <w:tcW w:type="dxa" w:w="1138"/>
          </w:tcPr>
          <w:p>
            <w:pPr>
              <w:pStyle w:val="null3"/>
              <w:jc w:val="center"/>
            </w:pPr>
            <w:r>
              <w:rPr>
                <w:rFonts w:ascii="仿宋_GB2312" w:hAnsi="仿宋_GB2312" w:cs="仿宋_GB2312" w:eastAsia="仿宋_GB2312"/>
              </w:rPr>
              <w:t>7.00（套）</w:t>
            </w:r>
          </w:p>
        </w:tc>
        <w:tc>
          <w:tcPr>
            <w:tcW w:type="dxa" w:w="1365"/>
          </w:tcPr>
          <w:p>
            <w:pPr>
              <w:pStyle w:val="null3"/>
              <w:jc w:val="center"/>
            </w:pPr>
            <w:r>
              <w:rPr>
                <w:rFonts w:ascii="仿宋_GB2312" w:hAnsi="仿宋_GB2312" w:cs="仿宋_GB2312" w:eastAsia="仿宋_GB2312"/>
              </w:rPr>
              <w:t>2,100,000.00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麻醉机</w:t>
            </w:r>
          </w:p>
        </w:tc>
        <w:tc>
          <w:tcPr>
            <w:tcW w:type="dxa" w:w="2492"/>
          </w:tcPr>
          <w:p>
            <w:pPr>
              <w:pStyle w:val="null3"/>
              <w:jc w:val="left"/>
            </w:pPr>
            <w:r>
              <w:rPr>
                <w:rFonts w:ascii="仿宋_GB2312" w:hAnsi="仿宋_GB2312" w:cs="仿宋_GB2312" w:eastAsia="仿宋_GB2312"/>
              </w:rPr>
              <w:t>麻醉机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标的名称：麻醉机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ind w:firstLine="240"/>
              <w:jc w:val="left"/>
            </w:pPr>
            <w:r>
              <w:rPr>
                <w:rFonts w:ascii="仿宋_GB2312" w:hAnsi="仿宋_GB2312" w:cs="仿宋_GB2312" w:eastAsia="仿宋_GB2312"/>
                <w:sz w:val="24"/>
                <w:color w:val="000000"/>
              </w:rPr>
              <w:t>▲1.麻醉机至少满足成人、儿童和新生儿三种模式的吸入麻醉及呼吸管理。</w:t>
            </w:r>
          </w:p>
          <w:p>
            <w:pPr>
              <w:pStyle w:val="null3"/>
              <w:ind w:firstLine="240"/>
              <w:jc w:val="left"/>
            </w:pPr>
            <w:r>
              <w:rPr>
                <w:rFonts w:ascii="仿宋_GB2312" w:hAnsi="仿宋_GB2312" w:cs="仿宋_GB2312" w:eastAsia="仿宋_GB2312"/>
                <w:sz w:val="24"/>
                <w:color w:val="000000"/>
              </w:rPr>
              <w:t>▲2.麻醉机配备彩色触摸屏，具备同屏显示波形和呼吸环图功能，支持手势操作，具备第二状态显示屏，屏幕上可实时显示当前气道压力。</w:t>
            </w:r>
          </w:p>
          <w:p>
            <w:pPr>
              <w:pStyle w:val="null3"/>
              <w:ind w:firstLine="240"/>
              <w:jc w:val="left"/>
            </w:pPr>
            <w:r>
              <w:rPr>
                <w:rFonts w:ascii="仿宋_GB2312" w:hAnsi="仿宋_GB2312" w:cs="仿宋_GB2312" w:eastAsia="仿宋_GB2312"/>
                <w:sz w:val="24"/>
                <w:color w:val="000000"/>
              </w:rPr>
              <w:t>3.麻醉机配备蓄电池，设备断电情况下蓄电池使用时间≥90分钟。</w:t>
            </w:r>
          </w:p>
          <w:p>
            <w:pPr>
              <w:pStyle w:val="null3"/>
              <w:ind w:firstLine="240"/>
              <w:jc w:val="left"/>
            </w:pPr>
            <w:r>
              <w:rPr>
                <w:rFonts w:ascii="仿宋_GB2312" w:hAnsi="仿宋_GB2312" w:cs="仿宋_GB2312" w:eastAsia="仿宋_GB2312"/>
                <w:sz w:val="24"/>
                <w:color w:val="000000"/>
              </w:rPr>
              <w:t>4.麻醉机配有工作台照明光源，可实现亮度调节。</w:t>
            </w:r>
          </w:p>
          <w:p>
            <w:pPr>
              <w:pStyle w:val="null3"/>
              <w:ind w:firstLine="240"/>
              <w:jc w:val="left"/>
            </w:pPr>
            <w:r>
              <w:rPr>
                <w:rFonts w:ascii="仿宋_GB2312" w:hAnsi="仿宋_GB2312" w:cs="仿宋_GB2312" w:eastAsia="仿宋_GB2312"/>
                <w:sz w:val="24"/>
                <w:color w:val="000000"/>
              </w:rPr>
              <w:t>▲5.麻醉机接入气源标配氧气、空气气源，快速充氧调节范围至少满足25 L/min～75 L/min。</w:t>
            </w:r>
          </w:p>
          <w:p>
            <w:pPr>
              <w:pStyle w:val="null3"/>
              <w:ind w:firstLine="420"/>
              <w:jc w:val="left"/>
            </w:pPr>
            <w:r>
              <w:rPr>
                <w:rFonts w:ascii="仿宋_GB2312" w:hAnsi="仿宋_GB2312" w:cs="仿宋_GB2312" w:eastAsia="仿宋_GB2312"/>
                <w:sz w:val="24"/>
                <w:color w:val="000000"/>
              </w:rPr>
              <w:t>6.具备电子显示流量计，具备辅助吸氧流量计，空气流量显示范围至少满足0L/min～15L/min，氧气流量显示范围至少满足0L/min～15L/min。</w:t>
            </w:r>
          </w:p>
          <w:p>
            <w:pPr>
              <w:pStyle w:val="null3"/>
              <w:ind w:firstLine="240"/>
              <w:jc w:val="left"/>
            </w:pPr>
            <w:r>
              <w:rPr>
                <w:rFonts w:ascii="仿宋_GB2312" w:hAnsi="仿宋_GB2312" w:cs="仿宋_GB2312" w:eastAsia="仿宋_GB2312"/>
                <w:sz w:val="24"/>
                <w:color w:val="000000"/>
              </w:rPr>
              <w:t>▲7.具备双挥发罐罐位，可匹配同品牌七氟醚、地氟醚挥发罐使用，容量≥300ml，具备温度、压力、流量补偿功能。</w:t>
            </w:r>
          </w:p>
          <w:p>
            <w:pPr>
              <w:pStyle w:val="null3"/>
              <w:ind w:firstLine="240"/>
              <w:jc w:val="left"/>
            </w:pPr>
            <w:r>
              <w:rPr>
                <w:rFonts w:ascii="仿宋_GB2312" w:hAnsi="仿宋_GB2312" w:cs="仿宋_GB2312" w:eastAsia="仿宋_GB2312"/>
                <w:sz w:val="24"/>
                <w:color w:val="000000"/>
              </w:rPr>
              <w:t>8.麻醉机具备一体化集成回路，具备可观测的吸气呼气的单向阀，具备机械气道压力表以及手动/机控切换开关，回路部件支持高温高压消毒，具有回路整体加温功能。</w:t>
            </w:r>
          </w:p>
          <w:p>
            <w:pPr>
              <w:pStyle w:val="null3"/>
              <w:ind w:firstLine="240"/>
              <w:jc w:val="left"/>
            </w:pPr>
            <w:r>
              <w:rPr>
                <w:rFonts w:ascii="仿宋_GB2312" w:hAnsi="仿宋_GB2312" w:cs="仿宋_GB2312" w:eastAsia="仿宋_GB2312"/>
                <w:sz w:val="24"/>
                <w:color w:val="000000"/>
              </w:rPr>
              <w:t>▲9.具备中文操作和显示，具备的通气模式至少包含VCV、PCV、SIMV（SIMV-VC、SIMV-PC）。</w:t>
            </w:r>
          </w:p>
          <w:p>
            <w:pPr>
              <w:pStyle w:val="null3"/>
              <w:ind w:firstLine="240"/>
              <w:jc w:val="left"/>
            </w:pPr>
            <w:r>
              <w:rPr>
                <w:rFonts w:ascii="仿宋_GB2312" w:hAnsi="仿宋_GB2312" w:cs="仿宋_GB2312" w:eastAsia="仿宋_GB2312"/>
                <w:sz w:val="24"/>
                <w:color w:val="000000"/>
              </w:rPr>
              <w:t>10.麻醉机VCV容控模式下潮气量设置范围≥10ml～1500ml。</w:t>
            </w:r>
          </w:p>
          <w:p>
            <w:pPr>
              <w:pStyle w:val="null3"/>
              <w:ind w:firstLine="240"/>
              <w:jc w:val="left"/>
            </w:pPr>
            <w:r>
              <w:rPr>
                <w:rFonts w:ascii="仿宋_GB2312" w:hAnsi="仿宋_GB2312" w:cs="仿宋_GB2312" w:eastAsia="仿宋_GB2312"/>
                <w:sz w:val="24"/>
                <w:color w:val="000000"/>
              </w:rPr>
              <w:t>11.麻醉机PCV压控模式下最小潮气量≤5ml。</w:t>
            </w:r>
          </w:p>
          <w:p>
            <w:pPr>
              <w:pStyle w:val="null3"/>
              <w:ind w:firstLine="240"/>
              <w:jc w:val="left"/>
            </w:pPr>
            <w:r>
              <w:rPr>
                <w:rFonts w:ascii="仿宋_GB2312" w:hAnsi="仿宋_GB2312" w:cs="仿宋_GB2312" w:eastAsia="仿宋_GB2312"/>
                <w:sz w:val="24"/>
                <w:color w:val="000000"/>
              </w:rPr>
              <w:t>12.麻醉机吸气压力设置范围至少满足5cmH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O～80cmH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O，支持压力范围至少满足1cmH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O～60cmH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p>
          <w:p>
            <w:pPr>
              <w:pStyle w:val="null3"/>
              <w:ind w:firstLine="240"/>
              <w:jc w:val="left"/>
            </w:pPr>
            <w:r>
              <w:rPr>
                <w:rFonts w:ascii="仿宋_GB2312" w:hAnsi="仿宋_GB2312" w:cs="仿宋_GB2312" w:eastAsia="仿宋_GB2312"/>
                <w:sz w:val="24"/>
                <w:color w:val="000000"/>
              </w:rPr>
              <w:t>13.麻醉机呼吸频率范围至少满足5次/分钟～100次/分钟，吸呼比范围至少满足4:1～1:10，压力限制范围至少满足10～100cmH₂O，吸气设置范围至少满足暂停或5%～60%，吸气阀峰值流速≥180L/min。</w:t>
            </w:r>
          </w:p>
          <w:p>
            <w:pPr>
              <w:pStyle w:val="null3"/>
              <w:ind w:firstLine="240"/>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高频通气模块或高频通气装置具备支持高频喷射通气功能</w:t>
            </w:r>
            <w:r>
              <w:rPr>
                <w:rFonts w:ascii="仿宋_GB2312" w:hAnsi="仿宋_GB2312" w:cs="仿宋_GB2312" w:eastAsia="仿宋_GB2312"/>
                <w:sz w:val="24"/>
                <w:color w:val="000000"/>
              </w:rPr>
              <w:t>。</w:t>
            </w:r>
          </w:p>
          <w:p>
            <w:pPr>
              <w:pStyle w:val="null3"/>
              <w:ind w:firstLine="240"/>
              <w:jc w:val="left"/>
            </w:pPr>
            <w:r>
              <w:rPr>
                <w:rFonts w:ascii="仿宋_GB2312" w:hAnsi="仿宋_GB2312" w:cs="仿宋_GB2312" w:eastAsia="仿宋_GB2312"/>
                <w:sz w:val="24"/>
                <w:color w:val="000000"/>
              </w:rPr>
              <w:t>15.麻醉机主机具有≥3个内置扩展插件槽，支持直接热插拔插件，插件可在监护仪和麻醉机之间通用。</w:t>
            </w:r>
          </w:p>
          <w:p>
            <w:pPr>
              <w:pStyle w:val="null3"/>
              <w:ind w:firstLine="240"/>
              <w:jc w:val="left"/>
            </w:pPr>
            <w:r>
              <w:rPr>
                <w:rFonts w:ascii="仿宋_GB2312" w:hAnsi="仿宋_GB2312" w:cs="仿宋_GB2312" w:eastAsia="仿宋_GB2312"/>
                <w:sz w:val="24"/>
                <w:color w:val="000000"/>
              </w:rPr>
              <w:t>16.数据接口至少包含1个LAN接口（支持网络和软件升级），1个RS-232接口，1个视频信号接口，2个USB接口。</w:t>
            </w:r>
          </w:p>
          <w:p>
            <w:pPr>
              <w:pStyle w:val="null3"/>
              <w:ind w:firstLine="240"/>
              <w:jc w:val="left"/>
            </w:pPr>
            <w:r>
              <w:rPr>
                <w:rFonts w:ascii="仿宋_GB2312" w:hAnsi="仿宋_GB2312" w:cs="仿宋_GB2312" w:eastAsia="仿宋_GB2312"/>
                <w:sz w:val="24"/>
                <w:color w:val="000000"/>
              </w:rPr>
              <w:t>17.配备低压安全保护装置，具备在供氧压低于200kPa时报警的功能。</w:t>
            </w:r>
          </w:p>
          <w:p>
            <w:pPr>
              <w:pStyle w:val="null3"/>
              <w:ind w:firstLine="240"/>
              <w:jc w:val="left"/>
            </w:pPr>
            <w:r>
              <w:rPr>
                <w:rFonts w:ascii="仿宋_GB2312" w:hAnsi="仿宋_GB2312" w:cs="仿宋_GB2312" w:eastAsia="仿宋_GB2312"/>
                <w:sz w:val="24"/>
                <w:color w:val="000000"/>
              </w:rPr>
              <w:t>18.气源安全要求，当O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与N</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O混合供气时，保证最低氧浓度不低于23%；当氧气供应切断时或氧气流量低于200ml/min时，笑气自动切断，以保证患者安全。</w:t>
            </w:r>
          </w:p>
          <w:p>
            <w:pPr>
              <w:pStyle w:val="null3"/>
              <w:ind w:firstLine="240"/>
              <w:jc w:val="left"/>
            </w:pPr>
            <w:r>
              <w:rPr>
                <w:rFonts w:ascii="仿宋_GB2312" w:hAnsi="仿宋_GB2312" w:cs="仿宋_GB2312" w:eastAsia="仿宋_GB2312"/>
                <w:sz w:val="24"/>
                <w:color w:val="000000"/>
              </w:rPr>
              <w:t>19.气体回路泄漏量＜50ml/min。</w:t>
            </w:r>
          </w:p>
          <w:p>
            <w:pPr>
              <w:pStyle w:val="null3"/>
              <w:ind w:firstLine="240"/>
              <w:jc w:val="left"/>
            </w:pPr>
            <w:r>
              <w:rPr>
                <w:rFonts w:ascii="仿宋_GB2312" w:hAnsi="仿宋_GB2312" w:cs="仿宋_GB2312" w:eastAsia="仿宋_GB2312"/>
                <w:sz w:val="24"/>
                <w:color w:val="000000"/>
              </w:rPr>
              <w:t>▲20.设备法定使用年限≥10年。（提供产品说明书或铭牌图片）</w:t>
            </w:r>
          </w:p>
          <w:p>
            <w:pPr>
              <w:pStyle w:val="null3"/>
              <w:ind w:firstLine="240"/>
              <w:jc w:val="left"/>
            </w:pPr>
            <w:r>
              <w:rPr>
                <w:rFonts w:ascii="仿宋_GB2312" w:hAnsi="仿宋_GB2312" w:cs="仿宋_GB2312" w:eastAsia="仿宋_GB2312"/>
                <w:sz w:val="24"/>
                <w:color w:val="000000"/>
              </w:rPr>
              <w:t>21.具备上升式风箱或者采用电动电控原理具备涡轮呼吸机</w:t>
            </w:r>
            <w:r>
              <w:rPr>
                <w:rFonts w:ascii="仿宋_GB2312" w:hAnsi="仿宋_GB2312" w:cs="仿宋_GB2312" w:eastAsia="仿宋_GB2312"/>
                <w:sz w:val="24"/>
                <w:color w:val="000000"/>
              </w:rPr>
              <w:t>。</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22.</w:t>
            </w:r>
            <w:r>
              <w:rPr>
                <w:rFonts w:ascii="仿宋_GB2312" w:hAnsi="仿宋_GB2312" w:cs="仿宋_GB2312" w:eastAsia="仿宋_GB2312"/>
                <w:sz w:val="24"/>
                <w:color w:val="000000"/>
              </w:rPr>
              <w:t>配备麻醉药品监测模块</w:t>
            </w:r>
            <w:r>
              <w:rPr>
                <w:rFonts w:ascii="仿宋_GB2312" w:hAnsi="仿宋_GB2312" w:cs="仿宋_GB2312" w:eastAsia="仿宋_GB2312"/>
                <w:sz w:val="24"/>
                <w:color w:val="000000"/>
              </w:rPr>
              <w:t>。</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23.配置清单（7台）</w:t>
            </w:r>
          </w:p>
          <w:tbl>
            <w:tblPr>
              <w:tblBorders>
                <w:top w:val="none" w:color="000000" w:sz="4"/>
                <w:left w:val="none" w:color="000000" w:sz="4"/>
                <w:bottom w:val="none" w:color="000000" w:sz="4"/>
                <w:right w:val="none" w:color="000000" w:sz="4"/>
                <w:insideH w:val="none"/>
                <w:insideV w:val="none"/>
              </w:tblBorders>
            </w:tblPr>
            <w:tblGrid>
              <w:gridCol w:w="2381"/>
              <w:gridCol w:w="557"/>
              <w:gridCol w:w="2660"/>
            </w:tblGrid>
            <w:tr>
              <w:tc>
                <w:tcPr>
                  <w:tcW w:type="dxa" w:w="2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麻醉机主机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7套</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屏幕尺寸≥15英寸</w:t>
                  </w:r>
                  <w:r>
                    <w:rPr>
                      <w:rFonts w:ascii="仿宋_GB2312" w:hAnsi="仿宋_GB2312" w:cs="仿宋_GB2312" w:eastAsia="仿宋_GB2312"/>
                      <w:sz w:val="24"/>
                      <w:color w:val="000000"/>
                    </w:rPr>
                    <w:t>，具备风箱式或活塞式呼吸系统</w:t>
                  </w:r>
                </w:p>
              </w:tc>
            </w:tr>
            <w:tr>
              <w:tc>
                <w:tcPr>
                  <w:tcW w:type="dxa" w:w="2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监护仪</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7台</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屏幕尺寸≥12英寸，</w:t>
                  </w:r>
                  <w:r>
                    <w:rPr>
                      <w:rFonts w:ascii="仿宋_GB2312" w:hAnsi="仿宋_GB2312" w:cs="仿宋_GB2312" w:eastAsia="仿宋_GB2312"/>
                      <w:sz w:val="24"/>
                      <w:color w:val="000000"/>
                    </w:rPr>
                    <w:t>具备：血压、体温、心电、血氧、有创血压监测</w:t>
                  </w:r>
                  <w:r>
                    <w:rPr>
                      <w:rFonts w:ascii="仿宋_GB2312" w:hAnsi="仿宋_GB2312" w:cs="仿宋_GB2312" w:eastAsia="仿宋_GB2312"/>
                      <w:sz w:val="24"/>
                      <w:color w:val="000000"/>
                    </w:rPr>
                    <w:t>、中心静脉压监测和</w:t>
                  </w:r>
                  <w:r>
                    <w:rPr>
                      <w:rFonts w:ascii="仿宋_GB2312" w:hAnsi="仿宋_GB2312" w:cs="仿宋_GB2312" w:eastAsia="仿宋_GB2312"/>
                      <w:sz w:val="24"/>
                      <w:color w:val="000000"/>
                    </w:rPr>
                    <w:t>双</w:t>
                  </w:r>
                  <w:r>
                    <w:rPr>
                      <w:rFonts w:ascii="仿宋_GB2312" w:hAnsi="仿宋_GB2312" w:cs="仿宋_GB2312" w:eastAsia="仿宋_GB2312"/>
                      <w:sz w:val="24"/>
                      <w:color w:val="000000"/>
                    </w:rPr>
                    <w:t>体温监测</w:t>
                  </w:r>
                  <w:r>
                    <w:rPr>
                      <w:rFonts w:ascii="仿宋_GB2312" w:hAnsi="仿宋_GB2312" w:cs="仿宋_GB2312" w:eastAsia="仿宋_GB2312"/>
                      <w:sz w:val="24"/>
                      <w:color w:val="000000"/>
                    </w:rPr>
                    <w:t>功能</w:t>
                  </w:r>
                </w:p>
              </w:tc>
            </w:tr>
            <w:tr>
              <w:tc>
                <w:tcPr>
                  <w:tcW w:type="dxa" w:w="2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7套</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双通道</w:t>
                  </w:r>
                </w:p>
              </w:tc>
            </w:tr>
            <w:tr>
              <w:tc>
                <w:tcPr>
                  <w:tcW w:type="dxa" w:w="2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高频通气模块或高频通气装置</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高频通气装置可以是独立的高频通气呼吸机、或者是高频喷射呼吸机等</w:t>
                  </w:r>
                </w:p>
              </w:tc>
            </w:tr>
            <w:tr>
              <w:tc>
                <w:tcPr>
                  <w:tcW w:type="dxa" w:w="2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麻醉气体监测模块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7套</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七氟醚挥发罐</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7套</w:t>
                  </w:r>
                </w:p>
              </w:tc>
              <w:tc>
                <w:tcPr>
                  <w:tcW w:type="dxa" w:w="2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sz w:val="24"/>
              </w:rPr>
              <w:t xml:space="preserve">  上述配置清单内所有仪器、配件须与麻醉机主机兼容，确保设备正常运行。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投标人投入本项目的工作人员在履约期间发生伤亡事故，或在配送过程中造成第三人伤亡的，责任由投标人承担，采购人不承担任何责任。（提供承诺函，格式自拟）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根据医院需求，签订合同后，30天内到货并完成安装验收。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德阳市第二人民医院。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1、验收合格后，开具全额发票，医院收到发票后，达到付款条件起30日内，支付合同总金额的70.00%</w:t>
            </w:r>
          </w:p>
          <w:p>
            <w:pPr>
              <w:pStyle w:val="null3"/>
              <w:jc w:val="left"/>
            </w:pPr>
            <w:r>
              <w:rPr>
                <w:rFonts w:ascii="仿宋_GB2312" w:hAnsi="仿宋_GB2312" w:cs="仿宋_GB2312" w:eastAsia="仿宋_GB2312"/>
              </w:rPr>
              <w:t>2、验收期满一年后，达到付款条件起30日内，支付合同总金额的30.00%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商务验收：根据签订合同内容验收货物，品牌型号及配套设施齐全，同意商务验收合格。技术验收：安装调试完成后，使用正常，达到预期使用要求，同意技术验收合格。签订医疗设备安装验收表。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质保5年，质保期内，24小时内上门维修，72小时未完成维修，医院有权要求提供备用机，所有相关配套设施维修、更换费用均由中标人承担。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（一）采购人违约责任： （1）采购人无正当理由拒收货物的，采购人应偿付应付金额百分之五的违约金； （2）采购人无正当理由逾期支付货款的，除应及时付足货款外，应向供应商偿付欠款总额万分之一/天的违约金；逾期付款超过三十天的，供应商有权解除合同，若供应商已发生违约行为的，采购人有权拒绝付款，并且不因此承担任何违约责任。 （二）供应商违约责任： （1）供应商不能按照约定的日期交付货物的，应当按照货物总价的千分之五/天支付违约金；如果逾期达到十天及以上的，供应商应从逾期之日起按照货物总价的百分之一/天向采购人支付违约金，同时不免除供应商交付货物的义务；如果逾期时间达到三十天，采购人有权解除合同，并有权要求供应商按照货物总价的百分之三十支付违约金。 （2）如果供应商交付的货物质量不合格或其他任何原因无法通过采购人验收的，由此导致供应商无法在约定时间完成供货义务的，按照第（1）条约定的内容承担违约责任。 （3）如双方对货物质量的认定存在分歧无法统一的，应由双方送交具有法定资格条件的质量技术监督机构检测后，如检测结果认定货物质量不符合本合同规定标准的，则视为供应商没有按时交货而违约，供应商须立即无条件更换合格的货物，交货期限不顺延，由此发生的交货延迟，按照本条（1）、（2）款之约定承担违约责任。 （4）供应商保证本合同货物的权利无瑕疵，包括货物所有权及知识产权等权利无瑕疵。如任何第三方经法院（或仲裁机构）裁决有权对上述货物主张权利或国家机关依法对货物进行没收查处等行政处罚的，供应商除应向采购人返还已收款项外，还应另按合同总价的百分之五向采购人支付违约金并赔偿因此给采购人造成的一切损失（包括采购人向供应商追偿损失的律师费、鉴定费、评估费、保全费、保全保险费等）。 （5）供应商应保证其对该货物拥有完全的所有权，并确保向采购人提供的所有资质文件真实有效。否则，由此导致采购人无法正常使用货物的，供应商应向采购人退还全部款项，并按照货物价款的百分之三十支付违约金，如违约金不能弥补采购人损失的，还应该足额赔偿采购人损失。 （6）供应商由于未能按约定维护而违约的，采购人有权要求供应商每次按照合同总金额的百分之五支付违约金，同时采购人有权退货，供应商应全额退还全部已经支付金额的货款。 （7）供应商应保证所提供的货物完全符合采购文件及响应文件要求。否则，采购人有权解除合同，供应商应当退还采购人支付的所有款项，并承担采购人因此遭受的损失（包括行政处罚等）。 （8）供应商偿付的违约金不足以弥补采购人损失的，还应按采购人损失尚未弥补的部分，支付赔偿金给采购人。 争议解决办法： 合同履行期间，若双方发生争议，可协商或由有关部门调解解决，协商或调解不成的，向采购人所在地人民法院提起诉讼。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1、投标人在投标文件中提供针对本项目的实施方案，内容包含：①项目进度安排；②产品运输、安装、调试方案；③安装、售后人员配置计划；④培训方案；⑤售后服务方案。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2024年度或2025年度经审计的财务报告（包含审计报告和审计报告中所涉及的财务报表和报表附注）或者截至投标文件提交截止之日前一年内银行出具的资信证明。未经审计的提供2024年度或2025年度财务报告（包括资产负债表、利润表、现金流量表、所有者权益变动表及其附注）。投标人注册时间截至投标文件提交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投标产品及配置产品为医疗器械的，须符合《医疗器械注册管理办法》要求并提供中华人民共和国医疗器械注册证或备案凭证。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投标产品及配置产品为医疗器械的，须提供符合《医疗器械注册管理办法》要求并提供中华人民共和国医疗器械注册证或备案凭证的扫描件并加盖投标人公章。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投标人须符合《医疗器械监督管理条例》要求并提供医疗器械生产或经营企业许可证或医疗器械经营备案凭证。</w:t>
            </w:r>
          </w:p>
        </w:tc>
        <w:tc>
          <w:tcPr>
            <w:tcW w:type="dxa" w:w="3322"/>
          </w:tcPr>
          <w:p>
            <w:pPr>
              <w:pStyle w:val="null3"/>
              <w:jc w:val="left"/>
            </w:pPr>
            <w:r>
              <w:rPr>
                <w:rFonts w:ascii="仿宋_GB2312" w:hAnsi="仿宋_GB2312" w:cs="仿宋_GB2312" w:eastAsia="仿宋_GB2312"/>
              </w:rPr>
              <w:t>投标人须提供符合《医疗器械监督管理条例》要求并提供医疗器械生产或经营企业许可证或医疗器械经营备案凭证的扫描件并加盖投标人公章。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符合招标文件的实质性要求</w:t>
            </w:r>
          </w:p>
        </w:tc>
        <w:tc>
          <w:tcPr>
            <w:tcW w:type="dxa" w:w="3322"/>
          </w:tcPr>
          <w:p>
            <w:pPr>
              <w:pStyle w:val="null3"/>
              <w:jc w:val="left"/>
            </w:pPr>
            <w:r>
              <w:rPr>
                <w:rFonts w:ascii="仿宋_GB2312" w:hAnsi="仿宋_GB2312" w:cs="仿宋_GB2312" w:eastAsia="仿宋_GB2312"/>
              </w:rPr>
              <w:t>投标人按照招标文件要求上传相应证明材料，符合招标文件的实质性要求。</w:t>
            </w:r>
          </w:p>
        </w:tc>
        <w:tc>
          <w:tcPr>
            <w:tcW w:type="dxa" w:w="1661"/>
          </w:tcPr>
          <w:p>
            <w:pPr>
              <w:pStyle w:val="null3"/>
              <w:jc w:val="left"/>
            </w:pPr>
            <w:r>
              <w:rPr>
                <w:rFonts w:ascii="仿宋_GB2312" w:hAnsi="仿宋_GB2312" w:cs="仿宋_GB2312" w:eastAsia="仿宋_GB2312"/>
              </w:rPr>
              <w:t>投标人应提交的相关证明材料,产品技术参数响应表,报价表,商务要求应答表,服务要求应答表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完全符合招标文件技术参数与性能指标要求，没有负偏离的得46分；带“▲”符号（共8项）的技术参数有负偏离的，一项扣4分，最多扣32分；无标记的技术参数（14项）每有一项负偏离的扣1分，最多扣14分。 注：“▲”项技术参数后有明确要求提供证明材料的以要求的证明材料为准，未要求的投标人可提供产品说明书或公开发表的宣传彩页或第三方检测机构出具的有效检测报告。上述的“一项”是指技术参数与性能指标中最低级别的项。</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投标人提供针对本项目的实施方案，内容包含：①项目进度安排；②产品运输、安装、调试方案；③安装、售后人员配置计划；④培训方案；⑤售后服务方案。 以上5项内容完整、无缺陷的得24分；每缺少一项内容的扣4.8分，每有一处内容存在缺陷的扣2.4分，扣完为止。 注：内容存在缺陷是指下列任意一种情形：①内容与本项目无关；②内容前后表述矛盾或不一致；③适用的标准（方法）错误；项目名称、实施地点、涉及的规范、标准与本项目要求不一致；⑤明显复制其他项目内容；⑥仅有标题无说明阐述。</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