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7070A">
      <w:pPr>
        <w:jc w:val="center"/>
        <w:rPr>
          <w:rFonts w:hint="eastAsia" w:eastAsia="方正仿宋"/>
          <w:lang w:eastAsia="zh-CN"/>
        </w:rPr>
      </w:pPr>
      <w:r>
        <w:rPr>
          <w:rFonts w:hint="eastAsia"/>
        </w:rPr>
        <w:t>委托社会审计机构项目考评表</w:t>
      </w:r>
    </w:p>
    <w:p w14:paraId="50984198">
      <w:pPr>
        <w:pStyle w:val="5"/>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楷体_GB2312" w:hAnsi="楷体_GB2312" w:eastAsia="楷体_GB2312" w:cs="楷体_GB2312"/>
          <w:color w:val="auto"/>
          <w:sz w:val="24"/>
          <w:szCs w:val="24"/>
          <w:lang w:val="en-US" w:eastAsia="zh-CN"/>
        </w:rPr>
      </w:pPr>
      <w:r>
        <w:rPr>
          <w:rFonts w:hint="eastAsia" w:ascii="楷体_GB2312" w:hAnsi="楷体_GB2312" w:eastAsia="楷体_GB2312" w:cs="楷体_GB2312"/>
          <w:color w:val="auto"/>
          <w:sz w:val="24"/>
          <w:szCs w:val="24"/>
          <w:lang w:val="en-US" w:eastAsia="zh-CN"/>
        </w:rPr>
        <w:t>审计项目：              社会审计机构名称：              填报时间：</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10"/>
        <w:gridCol w:w="3120"/>
        <w:gridCol w:w="719"/>
        <w:gridCol w:w="2970"/>
        <w:gridCol w:w="542"/>
      </w:tblGrid>
      <w:tr w14:paraId="3F5E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7" w:type="pct"/>
            <w:vAlign w:val="center"/>
          </w:tcPr>
          <w:p w14:paraId="42926994">
            <w:pPr>
              <w:pStyle w:val="5"/>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421" w:type="pct"/>
            <w:vAlign w:val="center"/>
          </w:tcPr>
          <w:p w14:paraId="30F3C79C">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评价</w:t>
            </w:r>
          </w:p>
          <w:p w14:paraId="6CF631B2">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指标</w:t>
            </w:r>
          </w:p>
        </w:tc>
        <w:tc>
          <w:tcPr>
            <w:tcW w:w="1835" w:type="pct"/>
            <w:vAlign w:val="center"/>
          </w:tcPr>
          <w:p w14:paraId="2DC90493">
            <w:pPr>
              <w:pStyle w:val="5"/>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评分内容</w:t>
            </w:r>
          </w:p>
        </w:tc>
        <w:tc>
          <w:tcPr>
            <w:tcW w:w="426" w:type="pct"/>
            <w:vAlign w:val="center"/>
          </w:tcPr>
          <w:p w14:paraId="66CC5642">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分值</w:t>
            </w:r>
          </w:p>
          <w:p w14:paraId="29B76E66">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上限</w:t>
            </w:r>
          </w:p>
        </w:tc>
        <w:tc>
          <w:tcPr>
            <w:tcW w:w="1747" w:type="pct"/>
            <w:vAlign w:val="center"/>
          </w:tcPr>
          <w:p w14:paraId="5C3B0434">
            <w:pPr>
              <w:pStyle w:val="5"/>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评分细则</w:t>
            </w:r>
          </w:p>
        </w:tc>
        <w:tc>
          <w:tcPr>
            <w:tcW w:w="322" w:type="pct"/>
            <w:vAlign w:val="center"/>
          </w:tcPr>
          <w:p w14:paraId="5D92CA8A">
            <w:pPr>
              <w:pStyle w:val="5"/>
              <w:jc w:val="center"/>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得分</w:t>
            </w:r>
          </w:p>
        </w:tc>
      </w:tr>
      <w:tr w14:paraId="3164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47" w:type="pct"/>
            <w:vMerge w:val="restart"/>
            <w:vAlign w:val="center"/>
          </w:tcPr>
          <w:p w14:paraId="64369D3D">
            <w:pPr>
              <w:pStyle w:val="5"/>
              <w:jc w:val="center"/>
              <w:rPr>
                <w:rFonts w:hint="eastAsia" w:ascii="CESI仿宋-GB2312" w:hAnsi="CESI仿宋-GB2312" w:eastAsia="CESI仿宋-GB2312" w:cs="CESI仿宋-GB2312"/>
                <w:color w:val="auto"/>
                <w:sz w:val="21"/>
                <w:szCs w:val="21"/>
                <w:vertAlign w:val="baseline"/>
                <w:lang w:val="en-US" w:eastAsia="zh-CN"/>
              </w:rPr>
            </w:pPr>
            <w:r>
              <w:rPr>
                <w:rFonts w:hint="eastAsia" w:ascii="CESI黑体-GB2312" w:hAnsi="CESI黑体-GB2312" w:eastAsia="CESI黑体-GB2312" w:cs="CESI黑体-GB2312"/>
                <w:b w:val="0"/>
                <w:bCs w:val="0"/>
                <w:color w:val="auto"/>
                <w:sz w:val="24"/>
                <w:szCs w:val="24"/>
                <w:vertAlign w:val="baseline"/>
                <w:lang w:val="en-US" w:eastAsia="zh-CN"/>
              </w:rPr>
              <w:t>1</w:t>
            </w:r>
          </w:p>
        </w:tc>
        <w:tc>
          <w:tcPr>
            <w:tcW w:w="421" w:type="pct"/>
            <w:vMerge w:val="restart"/>
            <w:vAlign w:val="center"/>
          </w:tcPr>
          <w:p w14:paraId="564AB21B">
            <w:pPr>
              <w:pStyle w:val="5"/>
              <w:jc w:val="center"/>
              <w:rPr>
                <w:rFonts w:hint="eastAsia" w:ascii="CESI仿宋-GB2312" w:hAnsi="CESI仿宋-GB2312" w:eastAsia="CESI仿宋-GB2312" w:cs="CESI仿宋-GB2312"/>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现场管理（34分）</w:t>
            </w:r>
          </w:p>
        </w:tc>
        <w:tc>
          <w:tcPr>
            <w:tcW w:w="1835" w:type="pct"/>
            <w:vAlign w:val="center"/>
          </w:tcPr>
          <w:p w14:paraId="41DC4C43">
            <w:pPr>
              <w:pStyle w:val="5"/>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项目负责人及项目组成员具备与审计项目相匹配的专业知识，有较强的工作胜任能力，对被审计单位发现的问题情况具有相应的职业判断。</w:t>
            </w:r>
          </w:p>
        </w:tc>
        <w:tc>
          <w:tcPr>
            <w:tcW w:w="426" w:type="pct"/>
            <w:vAlign w:val="center"/>
          </w:tcPr>
          <w:p w14:paraId="1D655D0D">
            <w:pPr>
              <w:pStyle w:val="5"/>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10</w:t>
            </w:r>
          </w:p>
        </w:tc>
        <w:tc>
          <w:tcPr>
            <w:tcW w:w="1747" w:type="pct"/>
            <w:vAlign w:val="center"/>
          </w:tcPr>
          <w:p w14:paraId="7B77C191">
            <w:pPr>
              <w:pStyle w:val="5"/>
              <w:keepNext w:val="0"/>
              <w:keepLines w:val="0"/>
              <w:pageBreakBefore w:val="0"/>
              <w:widowControl w:val="0"/>
              <w:kinsoku/>
              <w:wordWrap/>
              <w:overflowPunct/>
              <w:topLinePunct w:val="0"/>
              <w:autoSpaceDE/>
              <w:autoSpaceDN/>
              <w:bidi w:val="0"/>
              <w:adjustRightInd/>
              <w:snapToGrid/>
              <w:spacing w:after="0" w:line="260" w:lineRule="exact"/>
              <w:jc w:val="both"/>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每组审计组项目负责人均为注册会计师、审计组两名成员均为中级及以上专业技术职称的得满分，不满足项目负责人为注册会计师的每组扣</w:t>
            </w:r>
            <w:r>
              <w:rPr>
                <w:rFonts w:hint="eastAsia" w:asciiTheme="minorEastAsia" w:hAnsiTheme="minorEastAsia" w:eastAsiaTheme="minorEastAsia" w:cstheme="minorEastAsia"/>
                <w:color w:val="auto"/>
                <w:sz w:val="21"/>
                <w:szCs w:val="21"/>
                <w:vertAlign w:val="baseline"/>
                <w:lang w:val="en-US" w:eastAsia="zh-CN"/>
              </w:rPr>
              <w:t>6</w:t>
            </w:r>
            <w:r>
              <w:rPr>
                <w:rFonts w:hint="eastAsia" w:ascii="仿宋_GB2312" w:hAnsi="仿宋_GB2312" w:eastAsia="仿宋_GB2312" w:cs="仿宋_GB2312"/>
                <w:color w:val="auto"/>
                <w:sz w:val="21"/>
                <w:szCs w:val="21"/>
                <w:vertAlign w:val="baseline"/>
                <w:lang w:val="en-US" w:eastAsia="zh-CN"/>
              </w:rPr>
              <w:t>分，不满足其他条件的每组扣</w:t>
            </w:r>
            <w:r>
              <w:rPr>
                <w:rFonts w:hint="eastAsia" w:asciiTheme="minorEastAsia" w:hAnsiTheme="minorEastAsia" w:eastAsiaTheme="minorEastAsia" w:cstheme="minorEastAsia"/>
                <w:color w:val="auto"/>
                <w:sz w:val="21"/>
                <w:szCs w:val="21"/>
                <w:vertAlign w:val="baseline"/>
                <w:lang w:val="en-US" w:eastAsia="zh-CN"/>
              </w:rPr>
              <w:t>4</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10</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2484D123">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071A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47" w:type="pct"/>
            <w:vMerge w:val="continue"/>
            <w:vAlign w:val="bottom"/>
          </w:tcPr>
          <w:p w14:paraId="603A674D">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vAlign w:val="bottom"/>
          </w:tcPr>
          <w:p w14:paraId="70A4684E">
            <w:pPr>
              <w:pStyle w:val="5"/>
              <w:jc w:val="center"/>
              <w:rPr>
                <w:rFonts w:hint="eastAsia" w:ascii="CESI仿宋-GB2312" w:hAnsi="CESI仿宋-GB2312" w:eastAsia="CESI仿宋-GB2312" w:cs="CESI仿宋-GB2312"/>
                <w:color w:val="auto"/>
                <w:sz w:val="24"/>
                <w:szCs w:val="24"/>
                <w:vertAlign w:val="baseline"/>
                <w:lang w:val="en-US" w:eastAsia="zh-CN"/>
              </w:rPr>
            </w:pPr>
          </w:p>
        </w:tc>
        <w:tc>
          <w:tcPr>
            <w:tcW w:w="1835" w:type="pct"/>
            <w:vAlign w:val="bottom"/>
          </w:tcPr>
          <w:p w14:paraId="40B2815E">
            <w:pPr>
              <w:pStyle w:val="5"/>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采取现场审计的工作模式，审计组充分调阅了单位提供的审计资料（会计凭证、报表、内控制度、采购资料及其他），且审计组态度积极，及时督促被审计单位提供需要的审计资料。</w:t>
            </w:r>
          </w:p>
        </w:tc>
        <w:tc>
          <w:tcPr>
            <w:tcW w:w="426" w:type="pct"/>
            <w:vAlign w:val="center"/>
          </w:tcPr>
          <w:p w14:paraId="7D1C259E">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8</w:t>
            </w:r>
          </w:p>
        </w:tc>
        <w:tc>
          <w:tcPr>
            <w:tcW w:w="1747" w:type="pct"/>
            <w:vAlign w:val="center"/>
          </w:tcPr>
          <w:p w14:paraId="3F65DFEB">
            <w:pPr>
              <w:pStyle w:val="5"/>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对审计组现场资料调阅情况、工作态度方面等进行综合评价打分，总计情况好得</w:t>
            </w:r>
            <w:r>
              <w:rPr>
                <w:rFonts w:hint="eastAsia" w:asciiTheme="minorEastAsia" w:hAnsiTheme="minorEastAsia" w:eastAsiaTheme="minorEastAsia" w:cstheme="minorEastAsia"/>
                <w:color w:val="auto"/>
                <w:sz w:val="21"/>
                <w:szCs w:val="21"/>
                <w:vertAlign w:val="baseline"/>
                <w:lang w:val="en-US" w:eastAsia="zh-CN"/>
              </w:rPr>
              <w:t>7</w:t>
            </w:r>
            <w:r>
              <w:rPr>
                <w:rFonts w:hint="eastAsia" w:ascii="仿宋_GB2312" w:hAnsi="仿宋_GB2312" w:eastAsia="仿宋_GB2312" w:cs="仿宋_GB2312"/>
                <w:color w:val="auto"/>
                <w:sz w:val="21"/>
                <w:szCs w:val="21"/>
                <w:vertAlign w:val="baseline"/>
                <w:lang w:val="en-US" w:eastAsia="zh-CN"/>
              </w:rPr>
              <w:t>-</w:t>
            </w:r>
            <w:r>
              <w:rPr>
                <w:rFonts w:hint="eastAsia" w:asciiTheme="minorEastAsia" w:hAnsiTheme="minorEastAsia" w:eastAsiaTheme="minorEastAsia" w:cstheme="minorEastAsia"/>
                <w:color w:val="auto"/>
                <w:sz w:val="21"/>
                <w:szCs w:val="21"/>
                <w:vertAlign w:val="baseline"/>
                <w:lang w:val="en-US" w:eastAsia="zh-CN"/>
              </w:rPr>
              <w:t>8</w:t>
            </w:r>
            <w:r>
              <w:rPr>
                <w:rFonts w:hint="eastAsia" w:ascii="仿宋_GB2312" w:hAnsi="仿宋_GB2312" w:eastAsia="仿宋_GB2312" w:cs="仿宋_GB2312"/>
                <w:color w:val="auto"/>
                <w:sz w:val="21"/>
                <w:szCs w:val="21"/>
                <w:vertAlign w:val="baseline"/>
                <w:lang w:val="en-US" w:eastAsia="zh-CN"/>
              </w:rPr>
              <w:t>分，较好得</w:t>
            </w:r>
            <w:r>
              <w:rPr>
                <w:rFonts w:hint="eastAsia" w:asciiTheme="minorEastAsia" w:hAnsiTheme="minorEastAsia" w:eastAsiaTheme="minorEastAsia" w:cstheme="minorEastAsia"/>
                <w:color w:val="auto"/>
                <w:sz w:val="21"/>
                <w:szCs w:val="21"/>
                <w:vertAlign w:val="baseline"/>
                <w:lang w:val="en-US" w:eastAsia="zh-CN"/>
              </w:rPr>
              <w:t>5-6</w:t>
            </w:r>
            <w:r>
              <w:rPr>
                <w:rFonts w:hint="eastAsia" w:ascii="仿宋_GB2312" w:hAnsi="仿宋_GB2312" w:eastAsia="仿宋_GB2312" w:cs="仿宋_GB2312"/>
                <w:color w:val="auto"/>
                <w:sz w:val="21"/>
                <w:szCs w:val="21"/>
                <w:vertAlign w:val="baseline"/>
                <w:lang w:val="en-US" w:eastAsia="zh-CN"/>
              </w:rPr>
              <w:t>分，一般得</w:t>
            </w:r>
            <w:r>
              <w:rPr>
                <w:rFonts w:hint="eastAsia" w:asciiTheme="minorEastAsia" w:hAnsiTheme="minorEastAsia" w:eastAsiaTheme="minorEastAsia" w:cstheme="minorEastAsia"/>
                <w:color w:val="auto"/>
                <w:sz w:val="21"/>
                <w:szCs w:val="21"/>
                <w:vertAlign w:val="baseline"/>
                <w:lang w:val="en-US" w:eastAsia="zh-CN"/>
              </w:rPr>
              <w:t>3-4</w:t>
            </w:r>
            <w:r>
              <w:rPr>
                <w:rFonts w:hint="eastAsia" w:ascii="仿宋_GB2312" w:hAnsi="仿宋_GB2312" w:eastAsia="仿宋_GB2312" w:cs="仿宋_GB2312"/>
                <w:color w:val="auto"/>
                <w:sz w:val="21"/>
                <w:szCs w:val="21"/>
                <w:vertAlign w:val="baseline"/>
                <w:lang w:val="en-US" w:eastAsia="zh-CN"/>
              </w:rPr>
              <w:t>分，较差得</w:t>
            </w:r>
            <w:r>
              <w:rPr>
                <w:rFonts w:hint="eastAsia" w:asciiTheme="minorEastAsia" w:hAnsiTheme="minorEastAsia" w:eastAsiaTheme="minorEastAsia" w:cstheme="minorEastAsia"/>
                <w:color w:val="auto"/>
                <w:sz w:val="21"/>
                <w:szCs w:val="21"/>
                <w:vertAlign w:val="baseline"/>
                <w:lang w:val="en-US" w:eastAsia="zh-CN"/>
              </w:rPr>
              <w:t>1-2</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0EA9AB26">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4FDA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47" w:type="pct"/>
            <w:vMerge w:val="continue"/>
            <w:vAlign w:val="bottom"/>
          </w:tcPr>
          <w:p w14:paraId="651360AA">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vAlign w:val="bottom"/>
          </w:tcPr>
          <w:p w14:paraId="39F0FA9E">
            <w:pPr>
              <w:pStyle w:val="5"/>
              <w:jc w:val="center"/>
              <w:rPr>
                <w:rFonts w:hint="eastAsia" w:ascii="CESI仿宋-GB2312" w:hAnsi="CESI仿宋-GB2312" w:eastAsia="CESI仿宋-GB2312" w:cs="CESI仿宋-GB2312"/>
                <w:color w:val="auto"/>
                <w:sz w:val="24"/>
                <w:szCs w:val="24"/>
                <w:vertAlign w:val="baseline"/>
                <w:lang w:val="en-US" w:eastAsia="zh-CN"/>
              </w:rPr>
            </w:pPr>
          </w:p>
        </w:tc>
        <w:tc>
          <w:tcPr>
            <w:tcW w:w="1835" w:type="pct"/>
            <w:vAlign w:val="center"/>
          </w:tcPr>
          <w:p w14:paraId="62CA8885">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严格按照审计方案中的审计内容及重点开展审计工作。</w:t>
            </w:r>
          </w:p>
        </w:tc>
        <w:tc>
          <w:tcPr>
            <w:tcW w:w="426" w:type="pct"/>
            <w:vAlign w:val="center"/>
          </w:tcPr>
          <w:p w14:paraId="4235EA4A">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8</w:t>
            </w:r>
          </w:p>
        </w:tc>
        <w:tc>
          <w:tcPr>
            <w:tcW w:w="1747" w:type="pct"/>
            <w:vAlign w:val="center"/>
          </w:tcPr>
          <w:p w14:paraId="19BA10AA">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每组审计组缺少一项审计内容或重点的扣</w:t>
            </w:r>
            <w:r>
              <w:rPr>
                <w:rFonts w:hint="eastAsia" w:asciiTheme="minorEastAsia" w:hAnsiTheme="minorEastAsia" w:eastAsiaTheme="minorEastAsia" w:cstheme="minorEastAsia"/>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8</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2394BBD7">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p>
        </w:tc>
      </w:tr>
      <w:tr w14:paraId="2E05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47" w:type="pct"/>
            <w:vMerge w:val="continue"/>
            <w:vAlign w:val="bottom"/>
          </w:tcPr>
          <w:p w14:paraId="0292779F">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vAlign w:val="bottom"/>
          </w:tcPr>
          <w:p w14:paraId="7A037C4F">
            <w:pPr>
              <w:pStyle w:val="5"/>
              <w:jc w:val="center"/>
              <w:rPr>
                <w:rFonts w:hint="eastAsia" w:ascii="CESI仿宋-GB2312" w:hAnsi="CESI仿宋-GB2312" w:eastAsia="CESI仿宋-GB2312" w:cs="CESI仿宋-GB2312"/>
                <w:color w:val="auto"/>
                <w:sz w:val="24"/>
                <w:szCs w:val="24"/>
                <w:vertAlign w:val="baseline"/>
                <w:lang w:val="en-US" w:eastAsia="zh-CN"/>
              </w:rPr>
            </w:pPr>
          </w:p>
        </w:tc>
        <w:tc>
          <w:tcPr>
            <w:tcW w:w="1835" w:type="pct"/>
            <w:vAlign w:val="center"/>
          </w:tcPr>
          <w:p w14:paraId="66035F86">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现场审计时间是否达到审计方案及合同要求。</w:t>
            </w:r>
          </w:p>
        </w:tc>
        <w:tc>
          <w:tcPr>
            <w:tcW w:w="426" w:type="pct"/>
            <w:vAlign w:val="center"/>
          </w:tcPr>
          <w:p w14:paraId="7A924552">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cstheme="minorEastAsia"/>
                <w:color w:val="auto"/>
                <w:sz w:val="24"/>
                <w:szCs w:val="24"/>
                <w:vertAlign w:val="baseline"/>
                <w:lang w:val="en-US" w:eastAsia="zh-CN"/>
              </w:rPr>
              <w:t>8</w:t>
            </w:r>
          </w:p>
        </w:tc>
        <w:tc>
          <w:tcPr>
            <w:tcW w:w="1747" w:type="pct"/>
            <w:vAlign w:val="center"/>
          </w:tcPr>
          <w:p w14:paraId="5BC332CF">
            <w:pPr>
              <w:pStyle w:val="5"/>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达到审计方案要求的审计时间为满分，每少一天扣</w:t>
            </w:r>
            <w:r>
              <w:rPr>
                <w:rFonts w:hint="eastAsia" w:asciiTheme="minorEastAsia" w:hAnsiTheme="minorEastAsia" w:eastAsiaTheme="minorEastAsia" w:cstheme="minorEastAsia"/>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8</w:t>
            </w:r>
            <w:r>
              <w:rPr>
                <w:rFonts w:hint="eastAsia" w:ascii="仿宋_GB2312" w:hAnsi="仿宋_GB2312" w:eastAsia="仿宋_GB2312" w:cs="仿宋_GB2312"/>
                <w:color w:val="auto"/>
                <w:sz w:val="21"/>
                <w:szCs w:val="21"/>
                <w:vertAlign w:val="baseline"/>
                <w:lang w:val="en-US" w:eastAsia="zh-CN"/>
              </w:rPr>
              <w:t xml:space="preserve">分。 </w:t>
            </w:r>
          </w:p>
        </w:tc>
        <w:tc>
          <w:tcPr>
            <w:tcW w:w="322" w:type="pct"/>
            <w:vAlign w:val="center"/>
          </w:tcPr>
          <w:p w14:paraId="5D9DD05E">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285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47" w:type="pct"/>
            <w:vMerge w:val="restart"/>
            <w:vAlign w:val="center"/>
          </w:tcPr>
          <w:p w14:paraId="62BA0E25">
            <w:pPr>
              <w:pStyle w:val="5"/>
              <w:jc w:val="center"/>
              <w:rPr>
                <w:rFonts w:hint="default" w:ascii="CESI仿宋-GB2312" w:hAnsi="CESI仿宋-GB2312" w:eastAsia="CESI仿宋-GB2312" w:cs="CESI仿宋-GB2312"/>
                <w:color w:val="auto"/>
                <w:sz w:val="21"/>
                <w:szCs w:val="21"/>
                <w:vertAlign w:val="baseline"/>
                <w:lang w:val="en-US" w:eastAsia="zh-CN"/>
              </w:rPr>
            </w:pPr>
            <w:r>
              <w:rPr>
                <w:rFonts w:hint="eastAsia" w:ascii="黑体" w:hAnsi="黑体" w:eastAsia="黑体" w:cs="黑体"/>
                <w:color w:val="auto"/>
                <w:sz w:val="24"/>
                <w:szCs w:val="24"/>
                <w:vertAlign w:val="baseline"/>
                <w:lang w:val="en-US" w:eastAsia="zh-CN"/>
              </w:rPr>
              <w:t>2</w:t>
            </w:r>
          </w:p>
        </w:tc>
        <w:tc>
          <w:tcPr>
            <w:tcW w:w="421" w:type="pct"/>
            <w:vMerge w:val="restart"/>
            <w:vAlign w:val="center"/>
          </w:tcPr>
          <w:p w14:paraId="5898EBE7">
            <w:pPr>
              <w:pStyle w:val="5"/>
              <w:jc w:val="center"/>
              <w:rPr>
                <w:rFonts w:hint="eastAsia" w:ascii="CESI仿宋-GB2312" w:hAnsi="CESI仿宋-GB2312" w:eastAsia="CESI仿宋-GB2312" w:cs="CESI仿宋-GB2312"/>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工作质量（33分）</w:t>
            </w:r>
          </w:p>
        </w:tc>
        <w:tc>
          <w:tcPr>
            <w:tcW w:w="1835" w:type="pct"/>
            <w:vAlign w:val="center"/>
          </w:tcPr>
          <w:p w14:paraId="178688D3">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审计人员对事项的描述、问题的定性和数据的确定客观、真实、准确,审计报告内容符合规范要求。</w:t>
            </w:r>
          </w:p>
        </w:tc>
        <w:tc>
          <w:tcPr>
            <w:tcW w:w="426" w:type="pct"/>
            <w:vAlign w:val="center"/>
          </w:tcPr>
          <w:p w14:paraId="3A5412FF">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kern w:val="2"/>
                <w:sz w:val="24"/>
                <w:szCs w:val="24"/>
                <w:vertAlign w:val="baseline"/>
                <w:lang w:val="en-US" w:eastAsia="zh-CN" w:bidi="ar-SA"/>
              </w:rPr>
              <w:t>15</w:t>
            </w:r>
          </w:p>
        </w:tc>
        <w:tc>
          <w:tcPr>
            <w:tcW w:w="1747" w:type="pct"/>
            <w:vAlign w:val="center"/>
          </w:tcPr>
          <w:p w14:paraId="2D5DD18B">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对审计报告中反映的基本情况、问题描述的真实性、客观性及准确性进行综合评价，此项满分为</w:t>
            </w:r>
            <w:r>
              <w:rPr>
                <w:rFonts w:hint="eastAsia" w:asciiTheme="minorEastAsia" w:hAnsiTheme="minorEastAsia" w:eastAsiaTheme="minorEastAsia" w:cstheme="minorEastAsia"/>
                <w:color w:val="auto"/>
                <w:sz w:val="21"/>
                <w:szCs w:val="21"/>
                <w:vertAlign w:val="baseline"/>
                <w:lang w:val="en-US" w:eastAsia="zh-CN"/>
              </w:rPr>
              <w:t>15</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15</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35F98F01">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08E1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47" w:type="pct"/>
            <w:vMerge w:val="continue"/>
            <w:vAlign w:val="bottom"/>
          </w:tcPr>
          <w:p w14:paraId="779CDBB2">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vAlign w:val="bottom"/>
          </w:tcPr>
          <w:p w14:paraId="2F987A98">
            <w:pPr>
              <w:pStyle w:val="5"/>
              <w:jc w:val="center"/>
              <w:rPr>
                <w:rFonts w:hint="eastAsia" w:ascii="CESI仿宋-GB2312" w:hAnsi="CESI仿宋-GB2312" w:eastAsia="CESI仿宋-GB2312" w:cs="CESI仿宋-GB2312"/>
                <w:color w:val="auto"/>
                <w:sz w:val="24"/>
                <w:szCs w:val="24"/>
                <w:vertAlign w:val="baseline"/>
                <w:lang w:val="en-US" w:eastAsia="zh-CN"/>
              </w:rPr>
            </w:pPr>
          </w:p>
        </w:tc>
        <w:tc>
          <w:tcPr>
            <w:tcW w:w="1835" w:type="pct"/>
            <w:vAlign w:val="center"/>
          </w:tcPr>
          <w:p w14:paraId="272CDF06">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审计报告反映及揭示的问题,针对问题能结合监狱自身实际提出具有操作性、指导性强的整改措施。</w:t>
            </w:r>
          </w:p>
        </w:tc>
        <w:tc>
          <w:tcPr>
            <w:tcW w:w="426" w:type="pct"/>
            <w:vAlign w:val="center"/>
          </w:tcPr>
          <w:p w14:paraId="6A6F144D">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kern w:val="2"/>
                <w:sz w:val="24"/>
                <w:szCs w:val="24"/>
                <w:vertAlign w:val="baseline"/>
                <w:lang w:val="en-US" w:eastAsia="zh-CN" w:bidi="ar-SA"/>
              </w:rPr>
              <w:t>10</w:t>
            </w:r>
          </w:p>
        </w:tc>
        <w:tc>
          <w:tcPr>
            <w:tcW w:w="1747" w:type="pct"/>
            <w:vAlign w:val="center"/>
          </w:tcPr>
          <w:p w14:paraId="35CE49DD">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整改措施未针对审计发现的具体问题提出，且不具有操作性、指导性，无法确保问题有效整改，每发现一处此类情况扣</w:t>
            </w:r>
            <w:r>
              <w:rPr>
                <w:rFonts w:hint="eastAsia" w:asciiTheme="minorEastAsia" w:hAnsiTheme="minorEastAsia" w:eastAsiaTheme="minorEastAsia" w:cstheme="minorEastAsia"/>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10</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6F0C8187">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257A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47" w:type="pct"/>
            <w:vMerge w:val="continue"/>
            <w:vAlign w:val="bottom"/>
          </w:tcPr>
          <w:p w14:paraId="0F12C8EE">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vAlign w:val="bottom"/>
          </w:tcPr>
          <w:p w14:paraId="0A3DADA0">
            <w:pPr>
              <w:pStyle w:val="5"/>
              <w:jc w:val="center"/>
              <w:rPr>
                <w:rFonts w:hint="eastAsia" w:ascii="CESI仿宋-GB2312" w:hAnsi="CESI仿宋-GB2312" w:eastAsia="CESI仿宋-GB2312" w:cs="CESI仿宋-GB2312"/>
                <w:color w:val="auto"/>
                <w:sz w:val="24"/>
                <w:szCs w:val="24"/>
                <w:vertAlign w:val="baseline"/>
                <w:lang w:val="en-US" w:eastAsia="zh-CN"/>
              </w:rPr>
            </w:pPr>
          </w:p>
        </w:tc>
        <w:tc>
          <w:tcPr>
            <w:tcW w:w="1835" w:type="pct"/>
            <w:vAlign w:val="center"/>
          </w:tcPr>
          <w:p w14:paraId="25458F23">
            <w:pPr>
              <w:pStyle w:val="5"/>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报告基础内容、文本格式、报告字体是否符合相关要求。</w:t>
            </w:r>
          </w:p>
        </w:tc>
        <w:tc>
          <w:tcPr>
            <w:tcW w:w="426" w:type="pct"/>
            <w:vAlign w:val="center"/>
          </w:tcPr>
          <w:p w14:paraId="4A383EE3">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sz w:val="24"/>
                <w:szCs w:val="24"/>
                <w:vertAlign w:val="baseline"/>
                <w:lang w:val="en-US" w:eastAsia="zh-CN"/>
              </w:rPr>
              <w:t>8</w:t>
            </w:r>
          </w:p>
        </w:tc>
        <w:tc>
          <w:tcPr>
            <w:tcW w:w="1747" w:type="pct"/>
            <w:vAlign w:val="center"/>
          </w:tcPr>
          <w:p w14:paraId="03B0DA51">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审计机构提交报告内容无漏项，格式、字体符合模版要求的得</w:t>
            </w:r>
            <w:r>
              <w:rPr>
                <w:rFonts w:hint="eastAsia" w:asciiTheme="minorEastAsia" w:hAnsiTheme="minorEastAsia" w:eastAsiaTheme="minorEastAsia" w:cstheme="minorEastAsia"/>
                <w:color w:val="auto"/>
                <w:sz w:val="21"/>
                <w:szCs w:val="21"/>
                <w:vertAlign w:val="baseline"/>
                <w:lang w:val="en-US" w:eastAsia="zh-CN"/>
              </w:rPr>
              <w:t>8</w:t>
            </w:r>
            <w:r>
              <w:rPr>
                <w:rFonts w:hint="eastAsia" w:ascii="仿宋_GB2312" w:hAnsi="仿宋_GB2312" w:eastAsia="仿宋_GB2312" w:cs="仿宋_GB2312"/>
                <w:color w:val="auto"/>
                <w:sz w:val="21"/>
                <w:szCs w:val="21"/>
                <w:vertAlign w:val="baseline"/>
                <w:lang w:val="en-US" w:eastAsia="zh-CN"/>
              </w:rPr>
              <w:t>分，若报告基础内容漏项一处扣</w:t>
            </w:r>
            <w:r>
              <w:rPr>
                <w:rFonts w:hint="eastAsia" w:asciiTheme="minorEastAsia" w:hAnsiTheme="minorEastAsia" w:eastAsiaTheme="minorEastAsia" w:cstheme="minorEastAsia"/>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分，格式不符合要求扣</w:t>
            </w:r>
            <w:r>
              <w:rPr>
                <w:rFonts w:hint="eastAsia" w:asciiTheme="minorEastAsia" w:hAnsiTheme="minorEastAsia" w:eastAsiaTheme="minorEastAsia" w:cstheme="minorEastAsia"/>
                <w:color w:val="auto"/>
                <w:sz w:val="21"/>
                <w:szCs w:val="21"/>
                <w:vertAlign w:val="baseline"/>
                <w:lang w:val="en-US" w:eastAsia="zh-CN"/>
              </w:rPr>
              <w:t>2</w:t>
            </w:r>
            <w:r>
              <w:rPr>
                <w:rFonts w:hint="eastAsia" w:ascii="仿宋_GB2312" w:hAnsi="仿宋_GB2312" w:eastAsia="仿宋_GB2312" w:cs="仿宋_GB2312"/>
                <w:color w:val="auto"/>
                <w:sz w:val="21"/>
                <w:szCs w:val="21"/>
                <w:vertAlign w:val="baseline"/>
                <w:lang w:val="en-US" w:eastAsia="zh-CN"/>
              </w:rPr>
              <w:t>分，字体不符合要求扣</w:t>
            </w:r>
            <w:r>
              <w:rPr>
                <w:rFonts w:hint="eastAsia" w:asciiTheme="minorEastAsia" w:hAnsiTheme="minorEastAsia" w:eastAsiaTheme="minorEastAsia" w:cstheme="minorEastAsia"/>
                <w:color w:val="auto"/>
                <w:sz w:val="21"/>
                <w:szCs w:val="21"/>
                <w:vertAlign w:val="baseline"/>
                <w:lang w:val="en-US" w:eastAsia="zh-CN"/>
              </w:rPr>
              <w:t>2</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8</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0A1D98AE">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6712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47" w:type="pct"/>
            <w:vMerge w:val="restart"/>
            <w:vAlign w:val="center"/>
          </w:tcPr>
          <w:p w14:paraId="44BA6C76">
            <w:pPr>
              <w:pStyle w:val="5"/>
              <w:jc w:val="center"/>
              <w:rPr>
                <w:rFonts w:hint="default" w:ascii="CESI仿宋-GB2312" w:hAnsi="CESI仿宋-GB2312" w:eastAsia="CESI仿宋-GB2312" w:cs="CESI仿宋-GB2312"/>
                <w:color w:val="auto"/>
                <w:sz w:val="21"/>
                <w:szCs w:val="21"/>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3</w:t>
            </w:r>
          </w:p>
        </w:tc>
        <w:tc>
          <w:tcPr>
            <w:tcW w:w="421" w:type="pct"/>
            <w:vMerge w:val="restart"/>
            <w:vAlign w:val="center"/>
          </w:tcPr>
          <w:p w14:paraId="180DC836">
            <w:pPr>
              <w:pStyle w:val="5"/>
              <w:jc w:val="center"/>
              <w:rPr>
                <w:rFonts w:hint="eastAsia" w:ascii="CESI仿宋-GB2312" w:hAnsi="CESI仿宋-GB2312" w:eastAsia="CESI仿宋-GB2312" w:cs="CESI仿宋-GB2312"/>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工作效率（20分）</w:t>
            </w:r>
          </w:p>
        </w:tc>
        <w:tc>
          <w:tcPr>
            <w:tcW w:w="1835" w:type="pct"/>
            <w:vAlign w:val="center"/>
          </w:tcPr>
          <w:p w14:paraId="5F475C5D">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社会审计机构按时提交报告初稿、征求意见稿及正式报告。</w:t>
            </w:r>
          </w:p>
        </w:tc>
        <w:tc>
          <w:tcPr>
            <w:tcW w:w="426" w:type="pct"/>
            <w:vAlign w:val="center"/>
          </w:tcPr>
          <w:p w14:paraId="2E85E6B0">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eastAsiaTheme="minorEastAsia" w:cstheme="minorEastAsia"/>
                <w:color w:val="auto"/>
                <w:kern w:val="2"/>
                <w:sz w:val="24"/>
                <w:szCs w:val="24"/>
                <w:vertAlign w:val="baseline"/>
                <w:lang w:val="en-US" w:eastAsia="zh-CN" w:bidi="ar-SA"/>
              </w:rPr>
              <w:t>10</w:t>
            </w:r>
          </w:p>
        </w:tc>
        <w:tc>
          <w:tcPr>
            <w:tcW w:w="1747" w:type="pct"/>
            <w:vAlign w:val="center"/>
          </w:tcPr>
          <w:p w14:paraId="3A94A8A6">
            <w:pPr>
              <w:pStyle w:val="5"/>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社会审计机构未按照相关要求，存在晚提交审计报告初稿、征求意见稿或正式报告情况，晚提交相关报告一天扣</w:t>
            </w:r>
            <w:r>
              <w:rPr>
                <w:rFonts w:hint="eastAsia" w:asciiTheme="minorEastAsia" w:hAnsiTheme="minorEastAsia" w:eastAsiaTheme="minorEastAsia" w:cstheme="minorEastAsia"/>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分，累计扣分不超过</w:t>
            </w:r>
            <w:r>
              <w:rPr>
                <w:rFonts w:hint="eastAsia" w:asciiTheme="minorEastAsia" w:hAnsiTheme="minorEastAsia" w:eastAsiaTheme="minorEastAsia" w:cstheme="minorEastAsia"/>
                <w:color w:val="auto"/>
                <w:sz w:val="21"/>
                <w:szCs w:val="21"/>
                <w:vertAlign w:val="baseline"/>
                <w:lang w:val="en-US" w:eastAsia="zh-CN"/>
              </w:rPr>
              <w:t>10</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691D9D3F">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13BE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247" w:type="pct"/>
            <w:vMerge w:val="continue"/>
            <w:vAlign w:val="center"/>
          </w:tcPr>
          <w:p w14:paraId="17CB5BA8">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tcPr>
          <w:p w14:paraId="68BAE6B8">
            <w:pPr>
              <w:pStyle w:val="5"/>
              <w:jc w:val="center"/>
              <w:rPr>
                <w:rFonts w:hint="eastAsia" w:ascii="CESI仿宋-GB2312" w:hAnsi="CESI仿宋-GB2312" w:eastAsia="CESI仿宋-GB2312" w:cs="CESI仿宋-GB2312"/>
                <w:color w:val="auto"/>
                <w:sz w:val="24"/>
                <w:szCs w:val="24"/>
                <w:vertAlign w:val="baseline"/>
                <w:lang w:val="en-US" w:eastAsia="zh-CN"/>
              </w:rPr>
            </w:pPr>
          </w:p>
        </w:tc>
        <w:tc>
          <w:tcPr>
            <w:tcW w:w="1835" w:type="pct"/>
            <w:vAlign w:val="center"/>
          </w:tcPr>
          <w:p w14:paraId="3F712D31">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项目负责人落实项目负责制，未经委托方许可，不得在项目实施后擅自变更项目负责人。项目负责人要对本项目现场工作管理及后期报告修改负责，积极与委托方做好沟通衔接。</w:t>
            </w:r>
          </w:p>
        </w:tc>
        <w:tc>
          <w:tcPr>
            <w:tcW w:w="426" w:type="pct"/>
            <w:vAlign w:val="center"/>
          </w:tcPr>
          <w:p w14:paraId="6C2AE7AE">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kern w:val="2"/>
                <w:sz w:val="24"/>
                <w:szCs w:val="24"/>
                <w:vertAlign w:val="baseline"/>
                <w:lang w:val="en-US" w:eastAsia="zh-CN" w:bidi="ar-SA"/>
              </w:rPr>
              <w:t>10</w:t>
            </w:r>
          </w:p>
        </w:tc>
        <w:tc>
          <w:tcPr>
            <w:tcW w:w="1747" w:type="pct"/>
            <w:vAlign w:val="center"/>
          </w:tcPr>
          <w:p w14:paraId="498DF95C">
            <w:pPr>
              <w:pStyle w:val="5"/>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满足项目负责人责任制，项目中未擅自更换项目负责人的得</w:t>
            </w:r>
            <w:r>
              <w:rPr>
                <w:rFonts w:hint="eastAsia" w:asciiTheme="minorEastAsia" w:hAnsiTheme="minorEastAsia" w:eastAsiaTheme="minorEastAsia" w:cstheme="minorEastAsia"/>
                <w:color w:val="auto"/>
                <w:sz w:val="21"/>
                <w:szCs w:val="21"/>
                <w:vertAlign w:val="baseline"/>
                <w:lang w:val="en-US" w:eastAsia="zh-CN"/>
              </w:rPr>
              <w:t>6</w:t>
            </w:r>
            <w:r>
              <w:rPr>
                <w:rFonts w:hint="eastAsia" w:ascii="仿宋_GB2312" w:hAnsi="仿宋_GB2312" w:eastAsia="仿宋_GB2312" w:cs="仿宋_GB2312"/>
                <w:color w:val="auto"/>
                <w:kern w:val="2"/>
                <w:sz w:val="21"/>
                <w:szCs w:val="21"/>
                <w:vertAlign w:val="baseline"/>
                <w:lang w:val="en-US" w:eastAsia="zh-CN" w:bidi="ar-SA"/>
              </w:rPr>
              <w:t>分。项目负责人未履行责任，未做好与委托方沟通责任，由委托方针对履约情况进行扣分，累计扣分不超过</w:t>
            </w:r>
            <w:r>
              <w:rPr>
                <w:rFonts w:hint="eastAsia" w:asciiTheme="minorEastAsia" w:hAnsiTheme="minorEastAsia" w:eastAsiaTheme="minorEastAsia" w:cstheme="minorEastAsia"/>
                <w:color w:val="auto"/>
                <w:sz w:val="21"/>
                <w:szCs w:val="21"/>
                <w:vertAlign w:val="baseline"/>
                <w:lang w:val="en-US" w:eastAsia="zh-CN"/>
              </w:rPr>
              <w:t>4</w:t>
            </w:r>
            <w:r>
              <w:rPr>
                <w:rFonts w:hint="eastAsia" w:ascii="仿宋_GB2312" w:hAnsi="仿宋_GB2312" w:eastAsia="仿宋_GB2312" w:cs="仿宋_GB2312"/>
                <w:color w:val="auto"/>
                <w:kern w:val="2"/>
                <w:sz w:val="21"/>
                <w:szCs w:val="21"/>
                <w:vertAlign w:val="baseline"/>
                <w:lang w:val="en-US" w:eastAsia="zh-CN" w:bidi="ar-SA"/>
              </w:rPr>
              <w:t>分。</w:t>
            </w:r>
          </w:p>
        </w:tc>
        <w:tc>
          <w:tcPr>
            <w:tcW w:w="322" w:type="pct"/>
            <w:vAlign w:val="center"/>
          </w:tcPr>
          <w:p w14:paraId="678B75A5">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5EED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247" w:type="pct"/>
            <w:vMerge w:val="restart"/>
            <w:vAlign w:val="center"/>
          </w:tcPr>
          <w:p w14:paraId="37D7C24E">
            <w:pPr>
              <w:pStyle w:val="5"/>
              <w:jc w:val="center"/>
              <w:rPr>
                <w:rFonts w:hint="default" w:ascii="CESI仿宋-GB2312" w:hAnsi="CESI仿宋-GB2312" w:eastAsia="CESI仿宋-GB2312" w:cs="CESI仿宋-GB2312"/>
                <w:color w:val="auto"/>
                <w:sz w:val="21"/>
                <w:szCs w:val="21"/>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4</w:t>
            </w:r>
          </w:p>
        </w:tc>
        <w:tc>
          <w:tcPr>
            <w:tcW w:w="421" w:type="pct"/>
            <w:vMerge w:val="restart"/>
            <w:vAlign w:val="center"/>
          </w:tcPr>
          <w:p w14:paraId="162D24C3">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CESI黑体-GB2312" w:hAnsi="CESI黑体-GB2312" w:eastAsia="CESI黑体-GB2312" w:cs="CESI黑体-GB2312"/>
                <w:color w:val="auto"/>
                <w:sz w:val="24"/>
                <w:szCs w:val="24"/>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职业道德和服务态度</w:t>
            </w:r>
          </w:p>
          <w:p w14:paraId="0F9D3472">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CESI仿宋-GB2312" w:hAnsi="CESI仿宋-GB2312" w:eastAsia="CESI仿宋-GB2312" w:cs="CESI仿宋-GB2312"/>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（9分）</w:t>
            </w:r>
          </w:p>
        </w:tc>
        <w:tc>
          <w:tcPr>
            <w:tcW w:w="1835" w:type="pct"/>
            <w:vAlign w:val="center"/>
          </w:tcPr>
          <w:p w14:paraId="6E77D211">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审计人员能对执业过程中知悉的单位信息和国家机密严格保密。坚持客观、公正的立场以及独立性原则，不隐瞒审计发现的问题，与被审计单位或审计事项不存在应回避未回避的情况，无徇私舞弊行为。</w:t>
            </w:r>
          </w:p>
        </w:tc>
        <w:tc>
          <w:tcPr>
            <w:tcW w:w="426" w:type="pct"/>
            <w:vAlign w:val="center"/>
          </w:tcPr>
          <w:p w14:paraId="13480D4B">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kern w:val="2"/>
                <w:sz w:val="24"/>
                <w:szCs w:val="24"/>
                <w:vertAlign w:val="baseline"/>
                <w:lang w:val="en-US" w:eastAsia="zh-CN" w:bidi="ar-SA"/>
              </w:rPr>
              <w:t>5</w:t>
            </w:r>
          </w:p>
        </w:tc>
        <w:tc>
          <w:tcPr>
            <w:tcW w:w="1747" w:type="pct"/>
            <w:vAlign w:val="center"/>
          </w:tcPr>
          <w:p w14:paraId="3ED895C9">
            <w:pPr>
              <w:keepNext w:val="0"/>
              <w:keepLines w:val="0"/>
              <w:pageBreakBefore w:val="0"/>
              <w:widowControl w:val="0"/>
              <w:tabs>
                <w:tab w:val="left" w:pos="608"/>
              </w:tabs>
              <w:kinsoku/>
              <w:wordWrap/>
              <w:overflowPunct/>
              <w:topLinePunct w:val="0"/>
              <w:autoSpaceDE/>
              <w:autoSpaceDN/>
              <w:bidi w:val="0"/>
              <w:adjustRightInd/>
              <w:snapToGrid/>
              <w:spacing w:line="2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对审计组的</w:t>
            </w:r>
            <w:r>
              <w:rPr>
                <w:rFonts w:hint="eastAsia" w:ascii="仿宋_GB2312" w:hAnsi="仿宋_GB2312" w:eastAsia="仿宋_GB2312" w:cs="仿宋_GB2312"/>
                <w:color w:val="auto"/>
                <w:sz w:val="21"/>
                <w:szCs w:val="21"/>
                <w:vertAlign w:val="baseline"/>
                <w:lang w:val="en-US" w:eastAsia="zh-CN"/>
              </w:rPr>
              <w:t>保密情况、</w:t>
            </w:r>
            <w:r>
              <w:rPr>
                <w:rFonts w:hint="eastAsia" w:ascii="仿宋_GB2312" w:hAnsi="仿宋_GB2312" w:eastAsia="仿宋_GB2312" w:cs="仿宋_GB2312"/>
                <w:color w:val="auto"/>
                <w:kern w:val="2"/>
                <w:sz w:val="21"/>
                <w:szCs w:val="21"/>
                <w:vertAlign w:val="baseline"/>
                <w:lang w:val="en-US" w:eastAsia="zh-CN" w:bidi="ar-SA"/>
              </w:rPr>
              <w:t>审计过程中的客观、公正、坚持独立性原则情况进行打分，一旦发现有失密、泄密情形、隐瞒审计问题情形或存在应回避未回避情况的，此项均不得分。</w:t>
            </w:r>
          </w:p>
        </w:tc>
        <w:tc>
          <w:tcPr>
            <w:tcW w:w="322" w:type="pct"/>
            <w:vAlign w:val="center"/>
          </w:tcPr>
          <w:p w14:paraId="382E2E36">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4524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47" w:type="pct"/>
            <w:vMerge w:val="continue"/>
          </w:tcPr>
          <w:p w14:paraId="0AED999C">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421" w:type="pct"/>
            <w:vMerge w:val="continue"/>
          </w:tcPr>
          <w:p w14:paraId="7E91FAAD">
            <w:pPr>
              <w:pStyle w:val="5"/>
              <w:jc w:val="center"/>
              <w:rPr>
                <w:rFonts w:hint="eastAsia" w:ascii="CESI仿宋-GB2312" w:hAnsi="CESI仿宋-GB2312" w:eastAsia="CESI仿宋-GB2312" w:cs="CESI仿宋-GB2312"/>
                <w:color w:val="auto"/>
                <w:sz w:val="21"/>
                <w:szCs w:val="21"/>
                <w:vertAlign w:val="baseline"/>
                <w:lang w:val="en-US" w:eastAsia="zh-CN"/>
              </w:rPr>
            </w:pPr>
          </w:p>
        </w:tc>
        <w:tc>
          <w:tcPr>
            <w:tcW w:w="1835" w:type="pct"/>
            <w:vAlign w:val="center"/>
          </w:tcPr>
          <w:p w14:paraId="25D51634">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社会审计机构针对委托方对审计报告中的疑点及相关需要核实的问题能第一时间进行响应，服务态度积极。</w:t>
            </w:r>
          </w:p>
        </w:tc>
        <w:tc>
          <w:tcPr>
            <w:tcW w:w="426" w:type="pct"/>
            <w:vAlign w:val="center"/>
          </w:tcPr>
          <w:p w14:paraId="5BA6AA07">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kern w:val="2"/>
                <w:sz w:val="24"/>
                <w:szCs w:val="24"/>
                <w:vertAlign w:val="baseline"/>
                <w:lang w:val="en-US" w:eastAsia="zh-CN" w:bidi="ar-SA"/>
              </w:rPr>
              <w:t>4</w:t>
            </w:r>
          </w:p>
        </w:tc>
        <w:tc>
          <w:tcPr>
            <w:tcW w:w="1747" w:type="pct"/>
            <w:vAlign w:val="center"/>
          </w:tcPr>
          <w:p w14:paraId="17A13AE0">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针对委托方的疑点积极有效回应，服务态度好得</w:t>
            </w:r>
            <w:r>
              <w:rPr>
                <w:rFonts w:hint="eastAsia" w:asciiTheme="minorEastAsia" w:hAnsiTheme="minorEastAsia" w:eastAsiaTheme="minorEastAsia" w:cstheme="minorEastAsia"/>
                <w:color w:val="auto"/>
                <w:sz w:val="21"/>
                <w:szCs w:val="21"/>
                <w:vertAlign w:val="baseline"/>
                <w:lang w:val="en-US" w:eastAsia="zh-CN"/>
              </w:rPr>
              <w:t>4</w:t>
            </w:r>
            <w:r>
              <w:rPr>
                <w:rFonts w:hint="eastAsia" w:ascii="仿宋_GB2312" w:hAnsi="仿宋_GB2312" w:eastAsia="仿宋_GB2312" w:cs="仿宋_GB2312"/>
                <w:color w:val="auto"/>
                <w:sz w:val="21"/>
                <w:szCs w:val="21"/>
                <w:vertAlign w:val="baseline"/>
                <w:lang w:val="en-US" w:eastAsia="zh-CN"/>
              </w:rPr>
              <w:t>分，一般得</w:t>
            </w:r>
            <w:r>
              <w:rPr>
                <w:rFonts w:hint="eastAsia" w:asciiTheme="minorEastAsia" w:hAnsiTheme="minorEastAsia" w:eastAsiaTheme="minorEastAsia" w:cstheme="minorEastAsia"/>
                <w:color w:val="auto"/>
                <w:sz w:val="21"/>
                <w:szCs w:val="21"/>
                <w:vertAlign w:val="baseline"/>
                <w:lang w:val="en-US" w:eastAsia="zh-CN"/>
              </w:rPr>
              <w:t>2-3</w:t>
            </w:r>
            <w:r>
              <w:rPr>
                <w:rFonts w:hint="eastAsia" w:ascii="仿宋_GB2312" w:hAnsi="仿宋_GB2312" w:eastAsia="仿宋_GB2312" w:cs="仿宋_GB2312"/>
                <w:color w:val="auto"/>
                <w:sz w:val="21"/>
                <w:szCs w:val="21"/>
                <w:vertAlign w:val="baseline"/>
                <w:lang w:val="en-US" w:eastAsia="zh-CN"/>
              </w:rPr>
              <w:t>分，差得</w:t>
            </w:r>
            <w:r>
              <w:rPr>
                <w:rFonts w:hint="eastAsia" w:asciiTheme="minorEastAsia" w:hAnsiTheme="minorEastAsia" w:eastAsiaTheme="minorEastAsia" w:cstheme="minorEastAsia"/>
                <w:color w:val="auto"/>
                <w:sz w:val="21"/>
                <w:szCs w:val="21"/>
                <w:vertAlign w:val="baseline"/>
                <w:lang w:val="en-US" w:eastAsia="zh-CN"/>
              </w:rPr>
              <w:t>1</w:t>
            </w:r>
            <w:r>
              <w:rPr>
                <w:rFonts w:hint="eastAsia" w:ascii="仿宋_GB2312" w:hAnsi="仿宋_GB2312" w:eastAsia="仿宋_GB2312" w:cs="仿宋_GB2312"/>
                <w:color w:val="auto"/>
                <w:sz w:val="21"/>
                <w:szCs w:val="21"/>
                <w:vertAlign w:val="baseline"/>
                <w:lang w:val="en-US" w:eastAsia="zh-CN"/>
              </w:rPr>
              <w:t>分。</w:t>
            </w:r>
          </w:p>
        </w:tc>
        <w:tc>
          <w:tcPr>
            <w:tcW w:w="322" w:type="pct"/>
            <w:vAlign w:val="center"/>
          </w:tcPr>
          <w:p w14:paraId="54871CD0">
            <w:pPr>
              <w:pStyle w:val="5"/>
              <w:jc w:val="center"/>
              <w:rPr>
                <w:rFonts w:hint="eastAsia" w:asciiTheme="minorEastAsia" w:hAnsiTheme="minorEastAsia" w:eastAsiaTheme="minorEastAsia" w:cstheme="minorEastAsia"/>
                <w:color w:val="auto"/>
                <w:sz w:val="24"/>
                <w:szCs w:val="24"/>
                <w:vertAlign w:val="baseline"/>
                <w:lang w:val="en-US" w:eastAsia="zh-CN"/>
              </w:rPr>
            </w:pPr>
          </w:p>
        </w:tc>
      </w:tr>
      <w:tr w14:paraId="4EB4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47" w:type="pct"/>
            <w:vAlign w:val="center"/>
          </w:tcPr>
          <w:p w14:paraId="7AF56D02">
            <w:pPr>
              <w:pStyle w:val="5"/>
              <w:jc w:val="center"/>
              <w:rPr>
                <w:rFonts w:hint="default" w:ascii="CESI仿宋-GB2312" w:hAnsi="CESI仿宋-GB2312" w:eastAsia="CESI仿宋-GB2312" w:cs="CESI仿宋-GB2312"/>
                <w:color w:val="auto"/>
                <w:sz w:val="21"/>
                <w:szCs w:val="21"/>
                <w:vertAlign w:val="baseline"/>
                <w:lang w:val="en-US" w:eastAsia="zh-CN"/>
              </w:rPr>
            </w:pPr>
            <w:r>
              <w:rPr>
                <w:rFonts w:hint="eastAsia" w:ascii="CESI黑体-GB2312" w:hAnsi="CESI黑体-GB2312" w:eastAsia="CESI黑体-GB2312" w:cs="CESI黑体-GB2312"/>
                <w:color w:val="auto"/>
                <w:sz w:val="24"/>
                <w:szCs w:val="24"/>
                <w:vertAlign w:val="baseline"/>
                <w:lang w:val="en-US" w:eastAsia="zh-CN"/>
              </w:rPr>
              <w:t>5</w:t>
            </w:r>
          </w:p>
        </w:tc>
        <w:tc>
          <w:tcPr>
            <w:tcW w:w="421" w:type="pct"/>
            <w:vAlign w:val="center"/>
          </w:tcPr>
          <w:p w14:paraId="72E1175D">
            <w:pPr>
              <w:pStyle w:val="5"/>
              <w:jc w:val="center"/>
              <w:rPr>
                <w:rFonts w:hint="default" w:ascii="CESI仿宋-GB2312" w:hAnsi="CESI仿宋-GB2312" w:eastAsia="CESI仿宋-GB2312" w:cs="CESI仿宋-GB2312"/>
                <w:color w:val="auto"/>
                <w:sz w:val="21"/>
                <w:szCs w:val="21"/>
                <w:vertAlign w:val="baseline"/>
                <w:lang w:val="en-US" w:eastAsia="zh-CN"/>
              </w:rPr>
            </w:pPr>
            <w:r>
              <w:rPr>
                <w:rFonts w:hint="eastAsia" w:ascii="黑体" w:hAnsi="黑体" w:eastAsia="黑体" w:cs="黑体"/>
                <w:color w:val="auto"/>
                <w:sz w:val="24"/>
                <w:szCs w:val="24"/>
                <w:vertAlign w:val="baseline"/>
                <w:lang w:val="en-US" w:eastAsia="zh-CN"/>
              </w:rPr>
              <w:t>风险防控结果运用（4分）</w:t>
            </w:r>
          </w:p>
        </w:tc>
        <w:tc>
          <w:tcPr>
            <w:tcW w:w="1835" w:type="pct"/>
            <w:vAlign w:val="center"/>
          </w:tcPr>
          <w:p w14:paraId="134A26E3">
            <w:pPr>
              <w:pStyle w:val="5"/>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审计组针对被审计单位内部控制及风险防控情况进行评价，对风险管理及内控薄弱方面提出改进措施和建议意见，促进被审计单位强化风险防控措施，建立风险防控体系，确保问题有效整改。</w:t>
            </w:r>
          </w:p>
        </w:tc>
        <w:tc>
          <w:tcPr>
            <w:tcW w:w="426" w:type="pct"/>
            <w:vAlign w:val="center"/>
          </w:tcPr>
          <w:p w14:paraId="3A3071EF">
            <w:pPr>
              <w:pStyle w:val="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heme="minorEastAsia" w:hAnsiTheme="minorEastAsia" w:eastAsiaTheme="minorEastAsia" w:cstheme="minorEastAsia"/>
                <w:color w:val="auto"/>
                <w:kern w:val="2"/>
                <w:sz w:val="24"/>
                <w:szCs w:val="24"/>
                <w:vertAlign w:val="baseline"/>
                <w:lang w:val="en-US" w:eastAsia="zh-CN" w:bidi="ar-SA"/>
              </w:rPr>
            </w:pPr>
            <w:r>
              <w:rPr>
                <w:rFonts w:hint="eastAsia" w:asciiTheme="minorEastAsia" w:hAnsiTheme="minorEastAsia" w:cstheme="minorEastAsia"/>
                <w:color w:val="auto"/>
                <w:kern w:val="2"/>
                <w:sz w:val="24"/>
                <w:szCs w:val="24"/>
                <w:vertAlign w:val="baseline"/>
                <w:lang w:val="en-US" w:eastAsia="zh-CN" w:bidi="ar-SA"/>
              </w:rPr>
              <w:t>4</w:t>
            </w:r>
          </w:p>
        </w:tc>
        <w:tc>
          <w:tcPr>
            <w:tcW w:w="1747" w:type="pct"/>
            <w:vAlign w:val="center"/>
          </w:tcPr>
          <w:p w14:paraId="6E18E353">
            <w:pPr>
              <w:pStyle w:val="5"/>
              <w:keepNext w:val="0"/>
              <w:keepLines w:val="0"/>
              <w:pageBreakBefore w:val="0"/>
              <w:widowControl w:val="0"/>
              <w:tabs>
                <w:tab w:val="left" w:pos="750"/>
              </w:tabs>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此项可结合被审计单位内部控制及风险管理情况的评价及建议报告进行打分，针对报告中反映的问题、风险点及建议进行综合评价，好得</w:t>
            </w:r>
            <w:r>
              <w:rPr>
                <w:rFonts w:hint="eastAsia" w:asciiTheme="minorEastAsia" w:hAnsiTheme="minorEastAsia" w:eastAsiaTheme="minorEastAsia" w:cstheme="minorEastAsia"/>
                <w:color w:val="auto"/>
                <w:sz w:val="21"/>
                <w:szCs w:val="21"/>
                <w:vertAlign w:val="baseline"/>
                <w:lang w:val="en-US" w:eastAsia="zh-CN"/>
              </w:rPr>
              <w:t>4</w:t>
            </w:r>
            <w:r>
              <w:rPr>
                <w:rFonts w:hint="eastAsia" w:ascii="仿宋_GB2312" w:hAnsi="仿宋_GB2312" w:eastAsia="仿宋_GB2312" w:cs="仿宋_GB2312"/>
                <w:color w:val="auto"/>
                <w:kern w:val="2"/>
                <w:sz w:val="21"/>
                <w:szCs w:val="21"/>
                <w:vertAlign w:val="baseline"/>
                <w:lang w:val="en-US" w:eastAsia="zh-CN" w:bidi="ar-SA"/>
              </w:rPr>
              <w:t>分，一般得</w:t>
            </w:r>
            <w:r>
              <w:rPr>
                <w:rFonts w:hint="eastAsia" w:asciiTheme="minorEastAsia" w:hAnsiTheme="minorEastAsia" w:eastAsiaTheme="minorEastAsia" w:cstheme="minorEastAsia"/>
                <w:color w:val="auto"/>
                <w:sz w:val="21"/>
                <w:szCs w:val="21"/>
                <w:vertAlign w:val="baseline"/>
                <w:lang w:val="en-US" w:eastAsia="zh-CN"/>
              </w:rPr>
              <w:t>2-3</w:t>
            </w:r>
            <w:r>
              <w:rPr>
                <w:rFonts w:hint="eastAsia" w:ascii="仿宋_GB2312" w:hAnsi="仿宋_GB2312" w:eastAsia="仿宋_GB2312" w:cs="仿宋_GB2312"/>
                <w:color w:val="auto"/>
                <w:kern w:val="2"/>
                <w:sz w:val="21"/>
                <w:szCs w:val="21"/>
                <w:vertAlign w:val="baseline"/>
                <w:lang w:val="en-US" w:eastAsia="zh-CN" w:bidi="ar-SA"/>
              </w:rPr>
              <w:t>分，差得</w:t>
            </w:r>
            <w:r>
              <w:rPr>
                <w:rFonts w:hint="eastAsia" w:asciiTheme="minorEastAsia" w:hAnsiTheme="minorEastAsia" w:eastAsiaTheme="minorEastAsia" w:cstheme="minorEastAsia"/>
                <w:color w:val="auto"/>
                <w:sz w:val="21"/>
                <w:szCs w:val="21"/>
                <w:vertAlign w:val="baseline"/>
                <w:lang w:val="en-US" w:eastAsia="zh-CN"/>
              </w:rPr>
              <w:t>0-1</w:t>
            </w:r>
            <w:r>
              <w:rPr>
                <w:rFonts w:hint="eastAsia" w:ascii="仿宋_GB2312" w:hAnsi="仿宋_GB2312" w:eastAsia="仿宋_GB2312" w:cs="仿宋_GB2312"/>
                <w:color w:val="auto"/>
                <w:kern w:val="2"/>
                <w:sz w:val="21"/>
                <w:szCs w:val="21"/>
                <w:vertAlign w:val="baseline"/>
                <w:lang w:val="en-US" w:eastAsia="zh-CN" w:bidi="ar-SA"/>
              </w:rPr>
              <w:t>分。</w:t>
            </w:r>
          </w:p>
        </w:tc>
        <w:tc>
          <w:tcPr>
            <w:tcW w:w="322" w:type="pct"/>
            <w:vAlign w:val="center"/>
          </w:tcPr>
          <w:p w14:paraId="7041FE2B">
            <w:pPr>
              <w:pStyle w:val="5"/>
              <w:jc w:val="center"/>
              <w:rPr>
                <w:rFonts w:hint="eastAsia" w:asciiTheme="minorEastAsia" w:hAnsiTheme="minorEastAsia" w:eastAsiaTheme="minorEastAsia" w:cstheme="minorEastAsia"/>
                <w:color w:val="auto"/>
                <w:kern w:val="2"/>
                <w:sz w:val="24"/>
                <w:szCs w:val="24"/>
                <w:vertAlign w:val="baseline"/>
                <w:lang w:val="en-US" w:eastAsia="zh-CN" w:bidi="ar-SA"/>
              </w:rPr>
            </w:pPr>
          </w:p>
        </w:tc>
      </w:tr>
    </w:tbl>
    <w:p w14:paraId="2D2B4934">
      <w:pPr>
        <w:rPr>
          <w:rFonts w:hint="eastAsia"/>
          <w:lang w:val="en-US" w:eastAsia="zh-CN"/>
        </w:rPr>
      </w:pPr>
    </w:p>
    <w:p w14:paraId="47F93F26">
      <w:pPr>
        <w:rPr>
          <w:rFonts w:hint="eastAsia" w:eastAsia="方正仿宋"/>
          <w:lang w:val="en-US" w:eastAsia="zh-CN"/>
        </w:rPr>
      </w:pPr>
      <w:r>
        <w:rPr>
          <w:rFonts w:hint="eastAsia"/>
          <w:lang w:val="en-US" w:eastAsia="zh-CN"/>
        </w:rPr>
        <w:t>注：本考评表仅需供应商知晓，无需供应商在响应文件中响应。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仿宋"/>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KSOFBDAA233C">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8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Body Text"/>
    <w:basedOn w:val="1"/>
    <w:qFormat/>
    <w:uiPriority w:val="0"/>
    <w:rPr>
      <w:rFonts w:eastAsia="宋体"/>
      <w:sz w:val="18"/>
    </w:rPr>
  </w:style>
  <w:style w:type="table" w:styleId="7">
    <w:name w:val="Table Grid"/>
    <w:basedOn w:val="6"/>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2026-04-21T07:40:41Z</dcterms:created>
  <dc:creator>LQQ15</dc:creator>
  <cp:lastModifiedBy>HHHK</cp:lastModifiedBy>
  <dcterms:modified xsi:type="dcterms:W3CDTF">2026-04-21T07:41:23Z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eyJoZGlkIjoiOGMzMjEwMmU5ZTAyNWY4MDAyMTFiYWUyYWEwMzljNjMiLCJ1c2VySWQiOiIyNTg2MTUwNzgifQ==</vt:lpwstr>
  </property>
  <property fmtid="{D5CDD505-2E9C-101B-9397-08002B2CF9AE}" pid="4" name="ICV">
    <vt:lpwstr>24B8598AD02B4804BDDB0E4419AE0D31_12</vt:lpwstr>
  </property>
</Properties>
</file>