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103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ascii="微软雅黑" w:hAnsi="微软雅黑" w:eastAsia="微软雅黑" w:cs="微软雅黑"/>
          <w:b/>
          <w:bCs/>
          <w:i w:val="0"/>
          <w:iCs w:val="0"/>
          <w:caps w:val="0"/>
          <w:color w:val="333333"/>
          <w:spacing w:val="0"/>
          <w:sz w:val="39"/>
          <w:szCs w:val="39"/>
        </w:rPr>
      </w:pPr>
      <w:r>
        <w:rPr>
          <w:rFonts w:hint="eastAsia" w:ascii="微软雅黑" w:hAnsi="微软雅黑" w:eastAsia="微软雅黑" w:cs="微软雅黑"/>
          <w:b/>
          <w:bCs/>
          <w:i w:val="0"/>
          <w:iCs w:val="0"/>
          <w:caps w:val="0"/>
          <w:color w:val="333333"/>
          <w:spacing w:val="0"/>
          <w:sz w:val="39"/>
          <w:szCs w:val="39"/>
          <w:bdr w:val="none" w:color="auto" w:sz="0" w:space="0"/>
          <w:shd w:val="clear" w:fill="FFFFFF"/>
          <w:lang w:val="en-US" w:eastAsia="zh-CN"/>
        </w:rPr>
        <w:t>采购需</w:t>
      </w:r>
      <w:bookmarkStart w:id="0" w:name="_GoBack"/>
      <w:bookmarkEnd w:id="0"/>
      <w:r>
        <w:rPr>
          <w:rFonts w:hint="eastAsia" w:ascii="微软雅黑" w:hAnsi="微软雅黑" w:eastAsia="微软雅黑" w:cs="微软雅黑"/>
          <w:b/>
          <w:bCs/>
          <w:i w:val="0"/>
          <w:iCs w:val="0"/>
          <w:caps w:val="0"/>
          <w:color w:val="333333"/>
          <w:spacing w:val="0"/>
          <w:sz w:val="39"/>
          <w:szCs w:val="39"/>
          <w:bdr w:val="none" w:color="auto" w:sz="0" w:space="0"/>
          <w:shd w:val="clear" w:fill="FFFFFF"/>
        </w:rPr>
        <w:t>求</w:t>
      </w:r>
    </w:p>
    <w:p w14:paraId="2513AF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（注：本章的技术、服务及其他要求中，带“★”的要求为实质性要求。采购人、代理机构应当根据项目实际要求合理设定，并在第五章符合性审查中明确响应要求。）</w:t>
      </w:r>
    </w:p>
    <w:p w14:paraId="504C8D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3.1.采购内容</w:t>
      </w:r>
    </w:p>
    <w:p w14:paraId="602FBE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3A7DD35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采购包预算金额（元）: 579,794.32</w:t>
      </w:r>
    </w:p>
    <w:p w14:paraId="4EC3FE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采购包最高限价（元）: 571,604.00</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5"/>
        <w:gridCol w:w="939"/>
        <w:gridCol w:w="1122"/>
        <w:gridCol w:w="1111"/>
        <w:gridCol w:w="1113"/>
        <w:gridCol w:w="756"/>
        <w:gridCol w:w="723"/>
        <w:gridCol w:w="723"/>
        <w:gridCol w:w="723"/>
        <w:gridCol w:w="650"/>
        <w:gridCol w:w="650"/>
      </w:tblGrid>
      <w:tr w14:paraId="7F1CF1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97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8735C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00AEE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923C7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D6607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w:t>
            </w:r>
            <w:r>
              <w:rPr>
                <w:rFonts w:ascii="宋体" w:hAnsi="宋体" w:eastAsia="宋体" w:cs="宋体"/>
                <w:b/>
                <w:bCs/>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(计量单位)</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92D94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标的金额 （元）</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F62C8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所属行业</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67C3E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是否涉及核心产品</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578577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是否涉及采购进口产品</w:t>
            </w:r>
          </w:p>
        </w:tc>
        <w:tc>
          <w:tcPr>
            <w:tcW w:w="175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A7F64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是否涉及强制采购节能产品</w:t>
            </w:r>
          </w:p>
        </w:tc>
        <w:tc>
          <w:tcPr>
            <w:tcW w:w="136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351E4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是否涉及优先采购节能产品</w:t>
            </w:r>
          </w:p>
        </w:tc>
        <w:tc>
          <w:tcPr>
            <w:tcW w:w="136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76349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是否涉及优先采购环境标志产品</w:t>
            </w:r>
          </w:p>
        </w:tc>
      </w:tr>
      <w:tr w14:paraId="391351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F1442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F23D2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C21040000 物业管理服务</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7B8A0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资阳市新监管中心场所物业和搬迁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34E4665">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81CA7C">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571,604.00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210F2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615EE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4883E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4DFF6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34C6E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9B68E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bl>
    <w:p w14:paraId="477B8A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是否适用本国产品标准：</w:t>
      </w:r>
    </w:p>
    <w:p w14:paraId="67CCB5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采购包1：否</w:t>
      </w:r>
    </w:p>
    <w:p w14:paraId="325EC5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报价要求</w:t>
      </w:r>
    </w:p>
    <w:p w14:paraId="67D790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50"/>
        <w:gridCol w:w="1802"/>
        <w:gridCol w:w="1536"/>
        <w:gridCol w:w="1436"/>
        <w:gridCol w:w="1246"/>
        <w:gridCol w:w="1915"/>
      </w:tblGrid>
      <w:tr w14:paraId="23730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218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EE8F1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363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FA1FD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报价内容</w:t>
            </w:r>
          </w:p>
        </w:tc>
        <w:tc>
          <w:tcPr>
            <w:tcW w:w="242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3E078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数量（计量单位）</w:t>
            </w:r>
          </w:p>
        </w:tc>
        <w:tc>
          <w:tcPr>
            <w:tcW w:w="291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7BAAD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最高限价</w:t>
            </w:r>
          </w:p>
        </w:tc>
        <w:tc>
          <w:tcPr>
            <w:tcW w:w="242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76955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价款形式</w:t>
            </w:r>
          </w:p>
        </w:tc>
        <w:tc>
          <w:tcPr>
            <w:tcW w:w="412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D3FE9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报价说明</w:t>
            </w:r>
          </w:p>
        </w:tc>
      </w:tr>
      <w:tr w14:paraId="427474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A1E52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9F463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资阳市新监管中心场所物业和搬迁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27B05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3C9474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571,604.00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AA226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F2776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bl>
    <w:p w14:paraId="140DE32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★注：本采购包涉及采购货物的，供应商响应产品应当明确品牌和规格型号并指向唯一产品，不能指向唯一产品的，应通过报价表唯一产品说明栏补充说明。</w:t>
      </w:r>
    </w:p>
    <w:p w14:paraId="125830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本项目涉及核心产品：</w:t>
      </w:r>
    </w:p>
    <w:p w14:paraId="722FFA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66"/>
        <w:gridCol w:w="2673"/>
        <w:gridCol w:w="2673"/>
        <w:gridCol w:w="2673"/>
      </w:tblGrid>
      <w:tr w14:paraId="3836EA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85B803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CC585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DD0C6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D8492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69577E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A85C2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5A4E42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注：涉及核心产品的，具体评审规定见第五章。</w:t>
      </w:r>
    </w:p>
    <w:p w14:paraId="7EE6B0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本项目涉及采购进口产品：</w:t>
      </w:r>
    </w:p>
    <w:p w14:paraId="7145DD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66"/>
        <w:gridCol w:w="2673"/>
        <w:gridCol w:w="2673"/>
        <w:gridCol w:w="2673"/>
      </w:tblGrid>
      <w:tr w14:paraId="272ABC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3CA0F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29712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86C37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D131F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00FEA0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AC950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2BDB05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★注：不涉及采购进口产品时，供应商不得提供进口产品进行响应；涉及采购进口产品时，如国产产品满足采购需求，也可提供国产产品进行响应。</w:t>
      </w:r>
    </w:p>
    <w:p w14:paraId="1CFD3A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本项目涉及强制采购节能产品：</w:t>
      </w:r>
    </w:p>
    <w:p w14:paraId="12423B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66"/>
        <w:gridCol w:w="2673"/>
        <w:gridCol w:w="2673"/>
        <w:gridCol w:w="2673"/>
      </w:tblGrid>
      <w:tr w14:paraId="7AE692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F7281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EBC9F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5F06B1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48E25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618389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C97A6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4CBD63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702D7C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本项目涉及优先采购节能产品：</w:t>
      </w:r>
    </w:p>
    <w:p w14:paraId="16AEC0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66"/>
        <w:gridCol w:w="2673"/>
        <w:gridCol w:w="2673"/>
        <w:gridCol w:w="2673"/>
      </w:tblGrid>
      <w:tr w14:paraId="0A4664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374B0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BE814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892D1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6A4AB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77B82D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A074B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692060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501736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本项目涉及优先采购环境标志产品：</w:t>
      </w:r>
    </w:p>
    <w:p w14:paraId="72A7AB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66"/>
        <w:gridCol w:w="2673"/>
        <w:gridCol w:w="2673"/>
        <w:gridCol w:w="2673"/>
      </w:tblGrid>
      <w:tr w14:paraId="261814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77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5A327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24873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B4A02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31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3465B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52B5E3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CD25E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485956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9CDCD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3.2.技术要求</w:t>
      </w:r>
    </w:p>
    <w:p w14:paraId="50F610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3FEEE3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标的名称：资阳市新监管中心场所物业和搬迁</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92"/>
        <w:gridCol w:w="392"/>
        <w:gridCol w:w="392"/>
        <w:gridCol w:w="7909"/>
      </w:tblGrid>
      <w:tr w14:paraId="0A6AB9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8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95626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23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A0C9F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18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BD3B6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23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92FFA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3F11BB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F5EF23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D55CC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FBDFF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采购清单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tbl>
            <w:tblPr>
              <w:tblW w:w="12132"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45"/>
              <w:gridCol w:w="2981"/>
              <w:gridCol w:w="1065"/>
              <w:gridCol w:w="1155"/>
              <w:gridCol w:w="1968"/>
              <w:gridCol w:w="1794"/>
              <w:gridCol w:w="2424"/>
            </w:tblGrid>
            <w:tr w14:paraId="5999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4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5EC575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序号</w:t>
                  </w:r>
                </w:p>
              </w:tc>
              <w:tc>
                <w:tcPr>
                  <w:tcW w:w="297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6CAF0D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名称</w:t>
                  </w:r>
                </w:p>
              </w:tc>
              <w:tc>
                <w:tcPr>
                  <w:tcW w:w="106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5D5F75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单位</w:t>
                  </w:r>
                </w:p>
              </w:tc>
              <w:tc>
                <w:tcPr>
                  <w:tcW w:w="115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6E2761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数量</w:t>
                  </w:r>
                </w:p>
              </w:tc>
              <w:tc>
                <w:tcPr>
                  <w:tcW w:w="196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33F53D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单价（元）</w:t>
                  </w:r>
                </w:p>
              </w:tc>
              <w:tc>
                <w:tcPr>
                  <w:tcW w:w="179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29F8B5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合计（元）</w:t>
                  </w:r>
                </w:p>
              </w:tc>
              <w:tc>
                <w:tcPr>
                  <w:tcW w:w="24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5D8EEA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备注</w:t>
                  </w:r>
                </w:p>
              </w:tc>
            </w:tr>
            <w:tr w14:paraId="43D3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4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22C335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1</w:t>
                  </w:r>
                </w:p>
              </w:tc>
              <w:tc>
                <w:tcPr>
                  <w:tcW w:w="2977"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E0AB6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监管支队、看守所、拘戒所原有设施设备及相关物品搬迁</w:t>
                  </w:r>
                </w:p>
              </w:tc>
              <w:tc>
                <w:tcPr>
                  <w:tcW w:w="106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F7B5D1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项</w:t>
                  </w:r>
                </w:p>
              </w:tc>
              <w:tc>
                <w:tcPr>
                  <w:tcW w:w="115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81A96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1</w:t>
                  </w:r>
                </w:p>
              </w:tc>
              <w:tc>
                <w:tcPr>
                  <w:tcW w:w="1966"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ADF29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55000</w:t>
                  </w:r>
                </w:p>
              </w:tc>
              <w:tc>
                <w:tcPr>
                  <w:tcW w:w="1792"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7F9D6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55000</w:t>
                  </w:r>
                </w:p>
              </w:tc>
              <w:tc>
                <w:tcPr>
                  <w:tcW w:w="24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A9267F7">
                  <w:pPr>
                    <w:jc w:val="both"/>
                    <w:rPr>
                      <w:rFonts w:hint="default" w:ascii="Times New Roman" w:hAnsi="Times New Roman" w:cs="Times New Roman"/>
                      <w:sz w:val="24"/>
                      <w:szCs w:val="24"/>
                    </w:rPr>
                  </w:pPr>
                </w:p>
              </w:tc>
            </w:tr>
            <w:tr w14:paraId="75B8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4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A295C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2</w:t>
                  </w:r>
                </w:p>
              </w:tc>
              <w:tc>
                <w:tcPr>
                  <w:tcW w:w="2977"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D132A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租用大巴车</w:t>
                  </w:r>
                </w:p>
              </w:tc>
              <w:tc>
                <w:tcPr>
                  <w:tcW w:w="106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45074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辆</w:t>
                  </w:r>
                </w:p>
              </w:tc>
              <w:tc>
                <w:tcPr>
                  <w:tcW w:w="115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2DD2E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23</w:t>
                  </w:r>
                </w:p>
              </w:tc>
              <w:tc>
                <w:tcPr>
                  <w:tcW w:w="1966"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63196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1700</w:t>
                  </w:r>
                </w:p>
              </w:tc>
              <w:tc>
                <w:tcPr>
                  <w:tcW w:w="1792"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FDA96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39100</w:t>
                  </w:r>
                </w:p>
              </w:tc>
              <w:tc>
                <w:tcPr>
                  <w:tcW w:w="24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AC9FE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依据搬迁实际租用车辆情况进行结算</w:t>
                  </w:r>
                </w:p>
              </w:tc>
            </w:tr>
            <w:tr w14:paraId="3B58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4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A3501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3</w:t>
                  </w:r>
                </w:p>
              </w:tc>
              <w:tc>
                <w:tcPr>
                  <w:tcW w:w="2977"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9ADCC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物业服务</w:t>
                  </w:r>
                </w:p>
              </w:tc>
              <w:tc>
                <w:tcPr>
                  <w:tcW w:w="106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A0E877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项</w:t>
                  </w:r>
                </w:p>
              </w:tc>
              <w:tc>
                <w:tcPr>
                  <w:tcW w:w="115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2D239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1</w:t>
                  </w:r>
                </w:p>
              </w:tc>
              <w:tc>
                <w:tcPr>
                  <w:tcW w:w="1966"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2C235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477504</w:t>
                  </w:r>
                </w:p>
              </w:tc>
              <w:tc>
                <w:tcPr>
                  <w:tcW w:w="1792"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22EDA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477504</w:t>
                  </w:r>
                </w:p>
              </w:tc>
              <w:tc>
                <w:tcPr>
                  <w:tcW w:w="24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273E347">
                  <w:pPr>
                    <w:jc w:val="both"/>
                    <w:rPr>
                      <w:rFonts w:hint="default" w:ascii="Times New Roman" w:hAnsi="Times New Roman" w:cs="Times New Roman"/>
                      <w:sz w:val="24"/>
                      <w:szCs w:val="24"/>
                    </w:rPr>
                  </w:pPr>
                </w:p>
              </w:tc>
            </w:tr>
            <w:tr w14:paraId="5E64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4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7A325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4</w:t>
                  </w:r>
                </w:p>
              </w:tc>
              <w:tc>
                <w:tcPr>
                  <w:tcW w:w="7161" w:type="dxa"/>
                  <w:gridSpan w:val="4"/>
                  <w:tcBorders>
                    <w:top w:val="nil"/>
                    <w:left w:val="single" w:color="000000" w:sz="6" w:space="0"/>
                    <w:bottom w:val="single" w:color="000000" w:sz="6" w:space="0"/>
                    <w:right w:val="single" w:color="000000" w:sz="6" w:space="0"/>
                  </w:tcBorders>
                  <w:shd w:val="clear"/>
                  <w:tcMar>
                    <w:left w:w="105" w:type="dxa"/>
                    <w:right w:w="105" w:type="dxa"/>
                  </w:tcMar>
                  <w:vAlign w:val="center"/>
                </w:tcPr>
                <w:p w14:paraId="078A24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合计</w:t>
                  </w:r>
                </w:p>
              </w:tc>
              <w:tc>
                <w:tcPr>
                  <w:tcW w:w="1792"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B04DF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571604</w:t>
                  </w:r>
                </w:p>
              </w:tc>
              <w:tc>
                <w:tcPr>
                  <w:tcW w:w="24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2C6B402">
                  <w:pPr>
                    <w:jc w:val="both"/>
                    <w:rPr>
                      <w:rFonts w:hint="default" w:ascii="Times New Roman" w:hAnsi="Times New Roman" w:cs="Times New Roman"/>
                      <w:sz w:val="24"/>
                      <w:szCs w:val="24"/>
                    </w:rPr>
                  </w:pPr>
                </w:p>
              </w:tc>
            </w:tr>
          </w:tbl>
          <w:p w14:paraId="3D8219ED">
            <w:pPr>
              <w:wordWrap w:val="0"/>
              <w:spacing w:before="0" w:beforeAutospacing="0" w:after="0" w:afterAutospacing="0" w:line="480" w:lineRule="atLeast"/>
              <w:ind w:left="0" w:right="0" w:firstLine="0"/>
              <w:jc w:val="both"/>
              <w:rPr>
                <w:sz w:val="24"/>
                <w:szCs w:val="24"/>
              </w:rPr>
            </w:pPr>
          </w:p>
        </w:tc>
      </w:tr>
      <w:tr w14:paraId="3F8054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CB5E0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3529A9">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C7AE9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服务要求</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FEF6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1、搬迁地址及具体清单</w:t>
            </w:r>
          </w:p>
          <w:p w14:paraId="3571D2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1.1.搬迁地址：老看守所到迎接镇新监管中心（全程约17公里）。</w:t>
            </w:r>
          </w:p>
          <w:p w14:paraId="1E1135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1.2.详细搬迁清单：清单物品以实际搬迁数量为准。</w:t>
            </w:r>
          </w:p>
          <w:tbl>
            <w:tblPr>
              <w:tblW w:w="12135"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03"/>
              <w:gridCol w:w="6619"/>
              <w:gridCol w:w="1670"/>
              <w:gridCol w:w="2443"/>
            </w:tblGrid>
            <w:tr w14:paraId="7EEE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0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6A0EAC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序号</w:t>
                  </w:r>
                </w:p>
              </w:tc>
              <w:tc>
                <w:tcPr>
                  <w:tcW w:w="661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22C665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名称</w:t>
                  </w:r>
                </w:p>
              </w:tc>
              <w:tc>
                <w:tcPr>
                  <w:tcW w:w="166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4F24BC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单位</w:t>
                  </w:r>
                </w:p>
              </w:tc>
              <w:tc>
                <w:tcPr>
                  <w:tcW w:w="244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292851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数量</w:t>
                  </w:r>
                </w:p>
              </w:tc>
            </w:tr>
            <w:tr w14:paraId="1BE2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E7AB9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16849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双开门文件柜</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7DC44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个</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9C3B97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w:t>
                  </w:r>
                </w:p>
              </w:tc>
            </w:tr>
            <w:tr w14:paraId="3D7E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A351A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74B36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铁皮档案柜</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5410C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个</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AF969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17</w:t>
                  </w:r>
                </w:p>
              </w:tc>
            </w:tr>
            <w:tr w14:paraId="6D10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8B7FE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3</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5592B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电视（有线、网络电视）+固定（四周金属+正面透明亚克力）以及保护框</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A1E53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台</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E6560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60</w:t>
                  </w:r>
                </w:p>
              </w:tc>
            </w:tr>
            <w:tr w14:paraId="1BB8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ADEEF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4</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20FF5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1.5P挂机/3P柜机</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238F9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个</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2E820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36</w:t>
                  </w:r>
                </w:p>
              </w:tc>
            </w:tr>
            <w:tr w14:paraId="576C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845E5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5</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28784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电热水器</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5C14C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台</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2D936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5</w:t>
                  </w:r>
                </w:p>
              </w:tc>
            </w:tr>
            <w:tr w14:paraId="05D2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03CAF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6</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37084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单人床</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687EF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套</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6EEBF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4</w:t>
                  </w:r>
                </w:p>
              </w:tc>
            </w:tr>
            <w:tr w14:paraId="5046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3ACB5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7</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24125E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备勤柜</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BF7A1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个</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8ED51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3</w:t>
                  </w:r>
                </w:p>
              </w:tc>
            </w:tr>
            <w:tr w14:paraId="648E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6560F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8</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F42AC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电脑桌和办公坐椅（双人）</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4BEC0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套</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9D090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13</w:t>
                  </w:r>
                </w:p>
              </w:tc>
            </w:tr>
            <w:tr w14:paraId="3ABF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A5118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9</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9D0B08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电脑和显示器及键鼠等配套</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1D84F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套</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5200B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40</w:t>
                  </w:r>
                </w:p>
              </w:tc>
            </w:tr>
            <w:tr w14:paraId="2783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243C8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10</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C9E2C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铁皮档案柜</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E9A7F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套</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5D643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20</w:t>
                  </w:r>
                </w:p>
              </w:tc>
            </w:tr>
            <w:tr w14:paraId="0DAB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37BFF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11</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AD8B27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科干办公桌椅</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82CBC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套</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A38BA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6</w:t>
                  </w:r>
                </w:p>
              </w:tc>
            </w:tr>
            <w:tr w14:paraId="4BD8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6DD6D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12</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E068F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衣帽柜</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1BA47C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个</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79497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4</w:t>
                  </w:r>
                </w:p>
              </w:tc>
            </w:tr>
            <w:tr w14:paraId="3E32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F6E9A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13</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A09F5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书柜</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288F3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个</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CDDED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4</w:t>
                  </w:r>
                </w:p>
              </w:tc>
            </w:tr>
            <w:tr w14:paraId="6143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97BDB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14</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F961A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工程款双门蒸饭柜</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577B4B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个</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3A52CE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w:t>
                  </w:r>
                </w:p>
              </w:tc>
            </w:tr>
            <w:tr w14:paraId="2C79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BFEE0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15</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AE055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移旧绿植移栽（2棵大黄角树，8棵桂花树，6棵铁树，1棵紫薇树）</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4F21E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棵</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AC1A9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17</w:t>
                  </w:r>
                </w:p>
              </w:tc>
            </w:tr>
            <w:tr w14:paraId="3370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F2458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16</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7EC9AE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书柜</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4CB88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套</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3AC79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4</w:t>
                  </w:r>
                </w:p>
              </w:tc>
            </w:tr>
            <w:tr w14:paraId="52C6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B7259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17</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CF660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消毒柜</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26EFC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台</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DED15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2</w:t>
                  </w:r>
                </w:p>
              </w:tc>
            </w:tr>
            <w:tr w14:paraId="3E0C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01"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B356D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18</w:t>
                  </w:r>
                </w:p>
              </w:tc>
              <w:tc>
                <w:tcPr>
                  <w:tcW w:w="661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81719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卧式冰箱</w:t>
                  </w:r>
                </w:p>
              </w:tc>
              <w:tc>
                <w:tcPr>
                  <w:tcW w:w="166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662EF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台</w:t>
                  </w:r>
                </w:p>
              </w:tc>
              <w:tc>
                <w:tcPr>
                  <w:tcW w:w="244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716BF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3</w:t>
                  </w:r>
                </w:p>
              </w:tc>
            </w:tr>
          </w:tbl>
          <w:p w14:paraId="12320F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★2、搬迁服务要求：</w:t>
            </w:r>
          </w:p>
          <w:p w14:paraId="36D066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2.1.整个搬迁项目必须遵守安全第一的原则，严格按安全操作规程进行搬迁，并随时接受行业安全检查人员依法实施的监督检查，采取必要的安全防护措施，消除事故隐患。</w:t>
            </w:r>
          </w:p>
          <w:p w14:paraId="6242A5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2.2.整个搬迁项目必须保证所有设备物资不得遗失、损毁等。</w:t>
            </w:r>
          </w:p>
          <w:p w14:paraId="2A77FE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2.3.确保所有搬迁设备的性能状态前后一致。</w:t>
            </w:r>
          </w:p>
          <w:p w14:paraId="4D6232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2.4.设备拆卸及包装：对有特殊装箱需求的物品按要求单独装箱打包并附物品清单和特殊标识贴于包装外醒目位置。使用的包装材料应符合环保要求；按采购人要求做好防水、防火等工作，保证作业现场的整洁。</w:t>
            </w:r>
          </w:p>
          <w:p w14:paraId="3F9C21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2.5.设备运输：供应商必须配备搬运工人与搬运推车或其他可能使用到的如叉车、吊车等车辆。在运输过程中，应配备好防水、固定等必须的器材，按计划运输。供应商应协助采购人做好搬运物品数量的估算、搬运计划的制订和现场管理。有异常信息第一时间向采购人搬迁现场管理负责人报告，不得隐瞒、虚报，不得向采购人提供虚假信息。物品交接后,物品搬运单必须请接收人员签字。</w:t>
            </w:r>
          </w:p>
          <w:p w14:paraId="73C019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2.6.设备安装及调试：在搬迁项目时间段内，由搬迁供应商负责设备的安装。</w:t>
            </w:r>
          </w:p>
          <w:p w14:paraId="713A50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2.7.安全要求：供应商应当有科学、健全的搬迁安全制度和措施，制定安全、有序和保证人身和财物安全的搬迁方案。做好搬运物品的保护，轻拿、轻放、轻装、轻摆；摆放合理，做好物品固定和隔离，平稳行车，避免搬运物品损坏和丢失。做好防雨、防水、防火、 防压、防碰等保护工作。供应商人员安全问题由供应商负责。</w:t>
            </w:r>
          </w:p>
          <w:p w14:paraId="2C588B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2.8.车辆要求：大巴车作为在押人员转移车辆，车辆为全封闭式车窗，每个车窗有完好无损的窗帘，最终结算以实际用量为准。</w:t>
            </w:r>
          </w:p>
          <w:p w14:paraId="2DA2C6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2.9.其他要求：供应商应当负责设备搬迁过程中阻碍通行的障碍物（如：墙体等）的拆除和复原。</w:t>
            </w:r>
          </w:p>
          <w:p w14:paraId="7185A4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2.10.搬迁相关人员要求：①搬迁项目操作人员须保证身体健康。 ②搬迁项目过程中所用到的特种机械及工具的操作人员应具备特种作业操作证（叉车、吊车、电工、 高空作业等操作证），严格按操作规程操作，严格按照调度实施搬运。【</w:t>
            </w:r>
            <w:r>
              <w:rPr>
                <w:rStyle w:val="8"/>
                <w:rFonts w:hint="eastAsia" w:ascii="宋体" w:hAnsi="宋体" w:eastAsia="宋体" w:cs="宋体"/>
                <w:sz w:val="24"/>
                <w:szCs w:val="24"/>
                <w:bdr w:val="none" w:color="auto" w:sz="0" w:space="0"/>
              </w:rPr>
              <w:t>提供承诺函，承诺函格式自拟，成交后如涉及相关服务内容，提供相应特种作业操作证资质证书</w:t>
            </w:r>
            <w:r>
              <w:rPr>
                <w:rFonts w:hint="eastAsia" w:ascii="宋体" w:hAnsi="宋体" w:eastAsia="宋体" w:cs="宋体"/>
                <w:sz w:val="24"/>
                <w:szCs w:val="24"/>
                <w:bdr w:val="none" w:color="auto" w:sz="0" w:space="0"/>
              </w:rPr>
              <w:t>】</w:t>
            </w:r>
            <w:r>
              <w:rPr>
                <w:rFonts w:ascii="Calibri" w:hAnsi="Calibri" w:cs="Calibri"/>
                <w:sz w:val="24"/>
                <w:szCs w:val="24"/>
                <w:bdr w:val="none" w:color="auto" w:sz="0" w:space="0"/>
              </w:rPr>
              <w:t> </w:t>
            </w:r>
            <w:r>
              <w:rPr>
                <w:rFonts w:hint="eastAsia" w:ascii="宋体" w:hAnsi="宋体" w:eastAsia="宋体" w:cs="宋体"/>
                <w:sz w:val="24"/>
                <w:szCs w:val="24"/>
                <w:bdr w:val="none" w:color="auto" w:sz="0" w:space="0"/>
              </w:rPr>
              <w:t>③搬迁项目过程中的器械及工具要求。④所有用于搬迁项目工作的运输设施、机械设备和工具须干净、整洁具备统一的明确标识。</w:t>
            </w:r>
          </w:p>
          <w:p w14:paraId="525EA6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2.11.在搬迁过程中，供应商需承诺为本项目购买（货物运输险+装卸搬运责任险）【</w:t>
            </w:r>
            <w:r>
              <w:rPr>
                <w:rStyle w:val="8"/>
                <w:rFonts w:hint="eastAsia" w:ascii="宋体" w:hAnsi="宋体" w:eastAsia="宋体" w:cs="宋体"/>
                <w:sz w:val="24"/>
                <w:szCs w:val="24"/>
                <w:bdr w:val="none" w:color="auto" w:sz="0" w:space="0"/>
              </w:rPr>
              <w:t>响应文件中提供承诺函，承诺函格式自拟</w:t>
            </w:r>
            <w:r>
              <w:rPr>
                <w:rFonts w:hint="eastAsia" w:ascii="宋体" w:hAnsi="宋体" w:eastAsia="宋体" w:cs="宋体"/>
                <w:sz w:val="24"/>
                <w:szCs w:val="24"/>
                <w:bdr w:val="none" w:color="auto" w:sz="0" w:space="0"/>
              </w:rPr>
              <w:t>】。</w:t>
            </w:r>
          </w:p>
          <w:p w14:paraId="45E93D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sz w:val="24"/>
                <w:szCs w:val="24"/>
                <w:bdr w:val="none" w:color="auto" w:sz="0" w:space="0"/>
              </w:rPr>
              <w:t>2.12搬迁时间要求：合同签订后，接采购人通知，15个工作日内完成。</w:t>
            </w:r>
          </w:p>
          <w:p w14:paraId="78189D9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★3、物业服务要求</w:t>
            </w:r>
          </w:p>
          <w:p w14:paraId="5DE31E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3.1.供应商为本项目配置项目经理1名（可兼职），服务人员9名。供应商必须按照《中华人民共和国劳动合同法》的相关规定，与上述人员签订《劳动合同》。如因违反《中华人民共和国劳动合同法》及相关法律法规的规定而引起的纠纷，由供应商依法自行处理，采购人不承担任何责任。</w:t>
            </w:r>
          </w:p>
          <w:p w14:paraId="01DC3A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3.2.供应商为本项目配置的物业服务工作人员应符合入职审核的相关规定。合同签订前，供应商需向采购人提交入驻本项目所有人员的详细信息【包括《居民身份证》复印件、资格/技能证书（采购文件有要求的人员）、与供应商签订的《劳动合同》复印件、经验证明材料（采购文件有要求的人员）】提交采购人审核备案，提交的相关证书人员信息需与响应文件中拟派人员一致。如确有人员变更，需在签订合同前与采购人说明情况，经采购人同意后方可变更。在服务期开始履行起不得随意更换，确需调换的，应提前10个工作日前报经采购人同意，更换人员必须满足本项目服务要求并保证工作顺利交接。</w:t>
            </w:r>
          </w:p>
          <w:p w14:paraId="627554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3.3.如供应商无法达到文件要求的服务质量，应立即增配人员并提供不间断的物业管理服务，否则按违约处置，解除合同。</w:t>
            </w:r>
          </w:p>
          <w:p w14:paraId="545AB2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3.4.采购人提供员工休息室和办公室，员工餐由投标人自行解决。所有人员统一着装，佩戴标志，规范服务，语言文明，仪容仪表整洁，服务主动热情。</w:t>
            </w:r>
          </w:p>
          <w:p w14:paraId="1648A4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3.5.应具备相应的物业管理服务知识，进行岗前培训，接受保密教育，合格后上岗，熟悉机关办公区的基本情况，能正确使用相关专用设备。</w:t>
            </w:r>
          </w:p>
          <w:p w14:paraId="395C4B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3.6.人员素质具体要求：</w:t>
            </w:r>
          </w:p>
          <w:p w14:paraId="329DF1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①保洁人员：性别不限，身体健康，无违法犯罪记录，男年龄 55 岁以下，女年龄 50 岁以下。</w:t>
            </w:r>
          </w:p>
          <w:p w14:paraId="0557DE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②保安人员：男性，仪表端正、责任心强、身体健康，无违法犯罪记录、年龄55岁以下；</w:t>
            </w:r>
          </w:p>
          <w:p w14:paraId="6E973C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③水电工：男性，年龄55岁以下，责任心强、身体强壮，无违法犯罪记录，电工人员需持有《中华人民共和国特种作业操作证》（低压电工作业）。</w:t>
            </w:r>
          </w:p>
          <w:p w14:paraId="641D25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④绿化养护员：男女不限，责任心强，身体健康，无违法犯罪记录，男性年龄55岁以下，女性50岁以下。</w:t>
            </w:r>
          </w:p>
          <w:p w14:paraId="66AF8C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3.7.服务区域、服务内容</w:t>
            </w:r>
          </w:p>
          <w:tbl>
            <w:tblPr>
              <w:tblW w:w="12137"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930"/>
              <w:gridCol w:w="2857"/>
              <w:gridCol w:w="3678"/>
              <w:gridCol w:w="3672"/>
            </w:tblGrid>
            <w:tr w14:paraId="53E8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92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4A9B04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服务类型</w:t>
                  </w:r>
                </w:p>
              </w:tc>
              <w:tc>
                <w:tcPr>
                  <w:tcW w:w="2854"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6F596F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服务区域</w:t>
                  </w:r>
                </w:p>
              </w:tc>
              <w:tc>
                <w:tcPr>
                  <w:tcW w:w="3674"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114537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时间</w:t>
                  </w:r>
                </w:p>
              </w:tc>
              <w:tc>
                <w:tcPr>
                  <w:tcW w:w="3667"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26F502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服务内容</w:t>
                  </w:r>
                </w:p>
              </w:tc>
            </w:tr>
            <w:tr w14:paraId="79F6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92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65BAE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保洁人员（4人）</w:t>
                  </w:r>
                </w:p>
              </w:tc>
              <w:tc>
                <w:tcPr>
                  <w:tcW w:w="2854" w:type="dxa"/>
                  <w:tcBorders>
                    <w:top w:val="nil"/>
                    <w:left w:val="nil"/>
                    <w:bottom w:val="single" w:color="000000" w:sz="6" w:space="0"/>
                    <w:right w:val="single" w:color="000000" w:sz="6" w:space="0"/>
                  </w:tcBorders>
                  <w:shd w:val="clear"/>
                  <w:tcMar>
                    <w:left w:w="105" w:type="dxa"/>
                    <w:right w:w="105" w:type="dxa"/>
                  </w:tcMar>
                  <w:vAlign w:val="center"/>
                </w:tcPr>
                <w:p w14:paraId="7055E1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监管中心办公楼和其他公共区域</w:t>
                  </w:r>
                </w:p>
              </w:tc>
              <w:tc>
                <w:tcPr>
                  <w:tcW w:w="3674" w:type="dxa"/>
                  <w:tcBorders>
                    <w:top w:val="nil"/>
                    <w:left w:val="nil"/>
                    <w:bottom w:val="single" w:color="000000" w:sz="6" w:space="0"/>
                    <w:right w:val="single" w:color="000000" w:sz="6" w:space="0"/>
                  </w:tcBorders>
                  <w:shd w:val="clear"/>
                  <w:tcMar>
                    <w:left w:w="105" w:type="dxa"/>
                    <w:right w:w="105" w:type="dxa"/>
                  </w:tcMar>
                  <w:vAlign w:val="center"/>
                </w:tcPr>
                <w:p w14:paraId="0DC264A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工作时间（每周1至5工作日；每日8:30至18:00时）</w:t>
                  </w:r>
                </w:p>
              </w:tc>
              <w:tc>
                <w:tcPr>
                  <w:tcW w:w="3667" w:type="dxa"/>
                  <w:tcBorders>
                    <w:top w:val="nil"/>
                    <w:left w:val="nil"/>
                    <w:bottom w:val="single" w:color="000000" w:sz="6" w:space="0"/>
                    <w:right w:val="single" w:color="000000" w:sz="6" w:space="0"/>
                  </w:tcBorders>
                  <w:shd w:val="clear"/>
                  <w:tcMar>
                    <w:left w:w="105" w:type="dxa"/>
                    <w:right w:w="105" w:type="dxa"/>
                  </w:tcMar>
                  <w:vAlign w:val="center"/>
                </w:tcPr>
                <w:p w14:paraId="4C26AE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打扫办公楼和其他公共区域</w:t>
                  </w:r>
                </w:p>
              </w:tc>
            </w:tr>
            <w:tr w14:paraId="3AA1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92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160875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保安人员（3人）</w:t>
                  </w:r>
                </w:p>
              </w:tc>
              <w:tc>
                <w:tcPr>
                  <w:tcW w:w="2854" w:type="dxa"/>
                  <w:tcBorders>
                    <w:top w:val="nil"/>
                    <w:left w:val="nil"/>
                    <w:bottom w:val="single" w:color="000000" w:sz="6" w:space="0"/>
                    <w:right w:val="single" w:color="000000" w:sz="6" w:space="0"/>
                  </w:tcBorders>
                  <w:shd w:val="clear"/>
                  <w:tcMar>
                    <w:left w:w="105" w:type="dxa"/>
                    <w:right w:w="105" w:type="dxa"/>
                  </w:tcMar>
                  <w:vAlign w:val="center"/>
                </w:tcPr>
                <w:p w14:paraId="4F0F46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监管中心大门</w:t>
                  </w:r>
                </w:p>
              </w:tc>
              <w:tc>
                <w:tcPr>
                  <w:tcW w:w="3674" w:type="dxa"/>
                  <w:tcBorders>
                    <w:top w:val="nil"/>
                    <w:left w:val="nil"/>
                    <w:bottom w:val="single" w:color="000000" w:sz="6" w:space="0"/>
                    <w:right w:val="single" w:color="000000" w:sz="6" w:space="0"/>
                  </w:tcBorders>
                  <w:shd w:val="clear"/>
                  <w:tcMar>
                    <w:left w:w="105" w:type="dxa"/>
                    <w:right w:w="105" w:type="dxa"/>
                  </w:tcMar>
                  <w:vAlign w:val="center"/>
                </w:tcPr>
                <w:p w14:paraId="7334F2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工作时间7*24小时（轮岗制）</w:t>
                  </w:r>
                </w:p>
              </w:tc>
              <w:tc>
                <w:tcPr>
                  <w:tcW w:w="3667" w:type="dxa"/>
                  <w:tcBorders>
                    <w:top w:val="nil"/>
                    <w:left w:val="nil"/>
                    <w:bottom w:val="single" w:color="000000" w:sz="6" w:space="0"/>
                    <w:right w:val="single" w:color="000000" w:sz="6" w:space="0"/>
                  </w:tcBorders>
                  <w:shd w:val="clear"/>
                  <w:tcMar>
                    <w:left w:w="105" w:type="dxa"/>
                    <w:right w:w="105" w:type="dxa"/>
                  </w:tcMar>
                  <w:vAlign w:val="center"/>
                </w:tcPr>
                <w:p w14:paraId="1FD9EE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驻守门卫室，做好出入人员、车辆等登记工作</w:t>
                  </w:r>
                </w:p>
              </w:tc>
            </w:tr>
            <w:tr w14:paraId="2635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92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A146FD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水电工（1人）</w:t>
                  </w:r>
                </w:p>
              </w:tc>
              <w:tc>
                <w:tcPr>
                  <w:tcW w:w="2854" w:type="dxa"/>
                  <w:tcBorders>
                    <w:top w:val="nil"/>
                    <w:left w:val="nil"/>
                    <w:bottom w:val="single" w:color="000000" w:sz="6" w:space="0"/>
                    <w:right w:val="single" w:color="000000" w:sz="6" w:space="0"/>
                  </w:tcBorders>
                  <w:shd w:val="clear"/>
                  <w:tcMar>
                    <w:left w:w="105" w:type="dxa"/>
                    <w:right w:w="105" w:type="dxa"/>
                  </w:tcMar>
                  <w:vAlign w:val="center"/>
                </w:tcPr>
                <w:p w14:paraId="3FC3E8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监管中心</w:t>
                  </w:r>
                </w:p>
              </w:tc>
              <w:tc>
                <w:tcPr>
                  <w:tcW w:w="3674" w:type="dxa"/>
                  <w:tcBorders>
                    <w:top w:val="nil"/>
                    <w:left w:val="nil"/>
                    <w:bottom w:val="single" w:color="000000" w:sz="6" w:space="0"/>
                    <w:right w:val="single" w:color="000000" w:sz="6" w:space="0"/>
                  </w:tcBorders>
                  <w:shd w:val="clear"/>
                  <w:tcMar>
                    <w:left w:w="105" w:type="dxa"/>
                    <w:right w:w="105" w:type="dxa"/>
                  </w:tcMar>
                  <w:vAlign w:val="center"/>
                </w:tcPr>
                <w:p w14:paraId="60E68D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保证半小时内到达</w:t>
                  </w:r>
                </w:p>
              </w:tc>
              <w:tc>
                <w:tcPr>
                  <w:tcW w:w="3667" w:type="dxa"/>
                  <w:tcBorders>
                    <w:top w:val="nil"/>
                    <w:left w:val="nil"/>
                    <w:bottom w:val="single" w:color="000000" w:sz="6" w:space="0"/>
                    <w:right w:val="single" w:color="000000" w:sz="6" w:space="0"/>
                  </w:tcBorders>
                  <w:shd w:val="clear"/>
                  <w:tcMar>
                    <w:left w:w="105" w:type="dxa"/>
                    <w:right w:w="105" w:type="dxa"/>
                  </w:tcMar>
                  <w:vAlign w:val="center"/>
                </w:tcPr>
                <w:p w14:paraId="4E2BD55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保障监管中心电力正常工作</w:t>
                  </w:r>
                </w:p>
              </w:tc>
            </w:tr>
            <w:tr w14:paraId="78DA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92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F6A507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绿化养护员（1人）</w:t>
                  </w:r>
                </w:p>
              </w:tc>
              <w:tc>
                <w:tcPr>
                  <w:tcW w:w="2854" w:type="dxa"/>
                  <w:tcBorders>
                    <w:top w:val="nil"/>
                    <w:left w:val="nil"/>
                    <w:bottom w:val="single" w:color="000000" w:sz="6" w:space="0"/>
                    <w:right w:val="single" w:color="000000" w:sz="6" w:space="0"/>
                  </w:tcBorders>
                  <w:shd w:val="clear"/>
                  <w:tcMar>
                    <w:left w:w="105" w:type="dxa"/>
                    <w:right w:w="105" w:type="dxa"/>
                  </w:tcMar>
                  <w:vAlign w:val="center"/>
                </w:tcPr>
                <w:p w14:paraId="338833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监管中心公共绿化区域</w:t>
                  </w:r>
                </w:p>
              </w:tc>
              <w:tc>
                <w:tcPr>
                  <w:tcW w:w="3674" w:type="dxa"/>
                  <w:tcBorders>
                    <w:top w:val="nil"/>
                    <w:left w:val="nil"/>
                    <w:bottom w:val="single" w:color="000000" w:sz="6" w:space="0"/>
                    <w:right w:val="single" w:color="000000" w:sz="6" w:space="0"/>
                  </w:tcBorders>
                  <w:shd w:val="clear"/>
                  <w:tcMar>
                    <w:left w:w="105" w:type="dxa"/>
                    <w:right w:w="105" w:type="dxa"/>
                  </w:tcMar>
                  <w:vAlign w:val="center"/>
                </w:tcPr>
                <w:p w14:paraId="0CEE3C6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保证每月4次</w:t>
                  </w:r>
                </w:p>
              </w:tc>
              <w:tc>
                <w:tcPr>
                  <w:tcW w:w="3667" w:type="dxa"/>
                  <w:tcBorders>
                    <w:top w:val="nil"/>
                    <w:left w:val="nil"/>
                    <w:bottom w:val="single" w:color="000000" w:sz="6" w:space="0"/>
                    <w:right w:val="single" w:color="000000" w:sz="6" w:space="0"/>
                  </w:tcBorders>
                  <w:shd w:val="clear"/>
                  <w:tcMar>
                    <w:left w:w="105" w:type="dxa"/>
                    <w:right w:w="105" w:type="dxa"/>
                  </w:tcMar>
                  <w:vAlign w:val="center"/>
                </w:tcPr>
                <w:p w14:paraId="11F28D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维护监管中心公共绿化区域植被</w:t>
                  </w:r>
                </w:p>
              </w:tc>
            </w:tr>
            <w:tr w14:paraId="3FF7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928"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26876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垃圾清理</w:t>
                  </w:r>
                </w:p>
              </w:tc>
              <w:tc>
                <w:tcPr>
                  <w:tcW w:w="2854" w:type="dxa"/>
                  <w:tcBorders>
                    <w:top w:val="nil"/>
                    <w:left w:val="nil"/>
                    <w:bottom w:val="single" w:color="000000" w:sz="6" w:space="0"/>
                    <w:right w:val="single" w:color="000000" w:sz="6" w:space="0"/>
                  </w:tcBorders>
                  <w:shd w:val="clear"/>
                  <w:tcMar>
                    <w:left w:w="105" w:type="dxa"/>
                    <w:right w:w="105" w:type="dxa"/>
                  </w:tcMar>
                  <w:vAlign w:val="center"/>
                </w:tcPr>
                <w:p w14:paraId="21E42F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监管中心垃圾清运</w:t>
                  </w:r>
                </w:p>
              </w:tc>
              <w:tc>
                <w:tcPr>
                  <w:tcW w:w="3674" w:type="dxa"/>
                  <w:tcBorders>
                    <w:top w:val="nil"/>
                    <w:left w:val="nil"/>
                    <w:bottom w:val="single" w:color="000000" w:sz="6" w:space="0"/>
                    <w:right w:val="single" w:color="000000" w:sz="6" w:space="0"/>
                  </w:tcBorders>
                  <w:shd w:val="clear"/>
                  <w:tcMar>
                    <w:left w:w="105" w:type="dxa"/>
                    <w:right w:w="105" w:type="dxa"/>
                  </w:tcMar>
                  <w:vAlign w:val="center"/>
                </w:tcPr>
                <w:p w14:paraId="432E97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保证每日不少于1次</w:t>
                  </w:r>
                </w:p>
              </w:tc>
              <w:tc>
                <w:tcPr>
                  <w:tcW w:w="3667" w:type="dxa"/>
                  <w:tcBorders>
                    <w:top w:val="nil"/>
                    <w:left w:val="nil"/>
                    <w:bottom w:val="single" w:color="000000" w:sz="6" w:space="0"/>
                    <w:right w:val="single" w:color="000000" w:sz="6" w:space="0"/>
                  </w:tcBorders>
                  <w:shd w:val="clear"/>
                  <w:tcMar>
                    <w:left w:w="105" w:type="dxa"/>
                    <w:right w:w="105" w:type="dxa"/>
                  </w:tcMar>
                  <w:vAlign w:val="center"/>
                </w:tcPr>
                <w:p w14:paraId="1D0C61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清运监管中心垃圾（产生的费用由供应商承担）</w:t>
                  </w:r>
                </w:p>
              </w:tc>
            </w:tr>
          </w:tbl>
          <w:p w14:paraId="732D6D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sz w:val="24"/>
                <w:szCs w:val="24"/>
                <w:bdr w:val="none" w:color="auto" w:sz="0" w:space="0"/>
              </w:rPr>
              <w:t>注：1.以上相关人员要求提供人员名单并提供《居民身份证》复印件；2.水电工提供《中华人民共和国特种作业操作证》（低压电工作业）证书扫描件加盖公章。</w:t>
            </w:r>
          </w:p>
          <w:p w14:paraId="655BA5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3.8.技术服务要求执行《机关办公区物业管理服务规范》（DB51/T 2534-2018)。须专业机构实施的项目，成交供应商为协助。</w:t>
            </w:r>
          </w:p>
          <w:p w14:paraId="3FFA2E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3.9.服务范围：新监管中心整个区域内秩序维护、公共区域（含重要区域办公室）清洁卫生、设施设备运行管理及设备维护保养服务及绿化养护服务等。</w:t>
            </w:r>
          </w:p>
          <w:p w14:paraId="2BF631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3.10.卫生保洁</w:t>
            </w:r>
          </w:p>
          <w:p w14:paraId="718E34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（1）新监管中心办公楼过道、会议室、物料室等非工作人员办公室区域的卫生保洁；</w:t>
            </w:r>
          </w:p>
          <w:p w14:paraId="133D0E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（2）新监管中心内公共区域保洁；</w:t>
            </w:r>
          </w:p>
          <w:p w14:paraId="124B72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（3）公共道路和车棚清扫；</w:t>
            </w:r>
          </w:p>
          <w:p w14:paraId="241946A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（4）灭四害；</w:t>
            </w:r>
          </w:p>
          <w:p w14:paraId="5C84E0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（5）业主要求的其他服务。</w:t>
            </w:r>
          </w:p>
          <w:p w14:paraId="242D9A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（6）负责监管中心所有垃圾清运，每天不少于一次。</w:t>
            </w:r>
          </w:p>
          <w:p w14:paraId="7CEF98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3.11.服务标准</w:t>
            </w:r>
          </w:p>
          <w:p w14:paraId="06249E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（1）办公楼公共区域清洁标准</w:t>
            </w:r>
          </w:p>
          <w:p w14:paraId="571951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①道路的清洁标准</w:t>
            </w:r>
          </w:p>
          <w:p w14:paraId="1B07C9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地面无杂物、无积水、无明显污渍、无泥沙浮尘；路面垃圾滞留时间不得超过1小时。</w:t>
            </w:r>
          </w:p>
          <w:p w14:paraId="19F378D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②绿化带的清洁标准</w:t>
            </w:r>
          </w:p>
          <w:p w14:paraId="33F606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绿化带无明显垃圾，花坛外表洁净、无污渍。</w:t>
            </w:r>
          </w:p>
          <w:p w14:paraId="72A90E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③路灯清洁标准</w:t>
            </w:r>
          </w:p>
          <w:p w14:paraId="3CF766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路灯柱体表面清洁。</w:t>
            </w:r>
          </w:p>
          <w:p w14:paraId="475BC3B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④天台和雨篷清洁标准</w:t>
            </w:r>
          </w:p>
          <w:p w14:paraId="222F9A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天台、雨篷无垃圾、杂物，无积水、无青苔。</w:t>
            </w:r>
          </w:p>
          <w:p w14:paraId="7986CE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⑤垃圾桶（箱）清洁标准</w:t>
            </w:r>
          </w:p>
          <w:p w14:paraId="3AE2CA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垃圾桶（箱）表面无污渍，无油渍，垃圾桶（箱）周围无积水。</w:t>
            </w:r>
          </w:p>
          <w:p w14:paraId="70BEE7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⑥排水沟清洁标准</w:t>
            </w:r>
          </w:p>
          <w:p w14:paraId="4EF208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无污渍、青苔、杂物，无堵塞、积水、臭味。</w:t>
            </w:r>
          </w:p>
          <w:p w14:paraId="77DE33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⑦报箱清洁标准</w:t>
            </w:r>
          </w:p>
          <w:p w14:paraId="30C265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无积尘、无污迹。</w:t>
            </w:r>
          </w:p>
          <w:p w14:paraId="3E0F12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（2）楼内公共区域清洁标准</w:t>
            </w:r>
          </w:p>
          <w:p w14:paraId="2D761C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①大厅清洁标准</w:t>
            </w:r>
          </w:p>
          <w:p w14:paraId="5837ED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大理石地板无污迹、无垃圾；玻璃大门无手印和积尘。</w:t>
            </w:r>
          </w:p>
          <w:p w14:paraId="1BA209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②梯间通道清洁标准</w:t>
            </w:r>
          </w:p>
          <w:p w14:paraId="5989BC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地面、楼梯洁净，无污渍、积水、积尘；扶手干净，无明显的脏污；梯间顶面无蛛网、积尘。</w:t>
            </w:r>
          </w:p>
          <w:p w14:paraId="42A124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③公共卫生间清洁标准</w:t>
            </w:r>
          </w:p>
          <w:p w14:paraId="517649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天花板、墙角、灯具无积尘、无蛛网；墙壁干净，便器洁净；无异味、无臭味；地面无烟头、无纸屑、无污渍、无积水；厕所小广告及时清除（每半个月清除至少1次）。</w:t>
            </w:r>
          </w:p>
          <w:p w14:paraId="15EFCDB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④备勤室清洁标准门窗无污迹、无手印；地面干净、无污渍、无垃圾；天花板、灯具、出风口等无蛛网、无积尘、无污迹；室内空气清新无异味。</w:t>
            </w:r>
          </w:p>
          <w:p w14:paraId="593F0D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⑤车棚清洁标准</w:t>
            </w:r>
          </w:p>
          <w:p w14:paraId="71C884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地面无垃圾、无果皮、无纸屑、无积水、无污迹和杂物；管道标识清楚、油漆鲜亮，无脱落、无锈迹；标识指示牌等公共设施无明显灰尘；墙面、管线无污迹、无积尘。</w:t>
            </w:r>
          </w:p>
          <w:p w14:paraId="0B498E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⑥会议室清洁标准</w:t>
            </w:r>
          </w:p>
          <w:p w14:paraId="313EE6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天花板、灯具、出风口等无蜘蛛网、无积尘；玻璃、镜面光亮无水冲痕迹；地面洁净；会议室内设施完好。</w:t>
            </w:r>
          </w:p>
          <w:p w14:paraId="1EF729C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⑦灭四害</w:t>
            </w:r>
          </w:p>
          <w:p w14:paraId="7E12AF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定期对服务区域进行灭四害消杀工作。</w:t>
            </w:r>
          </w:p>
          <w:p w14:paraId="38A85B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3.12.公共设施设备服务</w:t>
            </w:r>
          </w:p>
          <w:p w14:paraId="52C3445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1.设施、设备维修保养服务</w:t>
            </w:r>
          </w:p>
          <w:p w14:paraId="04A06F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主要负责对供配电系统、照明系统、给排水系统、消防系统、备用发电机系统、避雷装置、房屋维护等日常运行管理，零修、小修，维护保养。</w:t>
            </w:r>
          </w:p>
          <w:p w14:paraId="4B6F2F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（1）设施设备维护</w:t>
            </w:r>
          </w:p>
          <w:p w14:paraId="7C6462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①维护供水、供电、供气设施设备正常运行，确保水、电、气表计量准确；</w:t>
            </w:r>
          </w:p>
          <w:p w14:paraId="5F8E96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②确保电力、消防、给排水等系统的运行不中断（外界原因除外）；</w:t>
            </w:r>
          </w:p>
          <w:p w14:paraId="488C06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③设施设备标志齐全、规范，责任人明确；操作维护人员严格执行设施设备操作规程及保养规范；保证设施设备运行正常；根据设备维护保养手册及设施设备现状制订维护保养计划，严格执行节能减排，每月对能源（水、电、气）消耗进行计划、统计、分析和改进。</w:t>
            </w:r>
          </w:p>
          <w:p w14:paraId="762E2C2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④消防设施设备完好，可随时启用，消防通道畅通。每半月对消防设施设备进行检查，如发现异常，须及时向业主报告。</w:t>
            </w:r>
          </w:p>
          <w:p w14:paraId="694C83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⑤设备房保持整洁、通风，无滴、漏和鼠害现象。</w:t>
            </w:r>
          </w:p>
          <w:p w14:paraId="3F47E4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⑥容易危及人身安全的设施设备有明显警示标志和防范措施，对可能发生的各种突发设备故障有应急方案。</w:t>
            </w:r>
          </w:p>
          <w:p w14:paraId="27A7EB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⑦负责配电房正常运行值守工作。</w:t>
            </w:r>
          </w:p>
          <w:p w14:paraId="463AEF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⑧负责对供水、供电、供气等设施的日常运行管理，以及对专业设备维护单位的监督管理，当专业维护单位在物业管理区域内对相关管线、设施进行维修、养护时，应给予必要的协调和配合。</w:t>
            </w:r>
          </w:p>
          <w:p w14:paraId="7F44EDE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⑨负责备用发电机系统的年检和维保，负责消防系统、道闸系统、监控系统、避雷系统等日常运行管理并协助专业公司进行年检和维保，负责仪表仪器绝缘用具检测、高压耐压测试工作。</w:t>
            </w:r>
          </w:p>
          <w:p w14:paraId="62F6FB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⑩协助做好节能相关工作。</w:t>
            </w:r>
          </w:p>
          <w:p w14:paraId="0139033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⑪专业设备、设施技术操作人员应持有相应的专业技术证书或职业技能资格证书或技能等级证书，电工人员需持有《中华人民共和国特种作业操作证》（低压电工作业）。</w:t>
            </w:r>
          </w:p>
          <w:p w14:paraId="16B1BD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（2）房屋维护</w:t>
            </w:r>
          </w:p>
          <w:p w14:paraId="5A6C86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①对房屋及附属设施进行日常管理和维修养护，保证使用功能正常，检修和保养记录齐全。</w:t>
            </w:r>
          </w:p>
          <w:p w14:paraId="1DC2B5F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②每年定期对房屋进行一次全面的安全状况检查，并做好日常的巡检工作，建立健全检查记录。发现问题应及时报告，并受委托安排专项修理。遇紧急情况时，应及时采取必要的应急措施。</w:t>
            </w:r>
          </w:p>
          <w:p w14:paraId="1DAA63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（3）设备设施定时进行巡查管理。对巡查中发现的问题必须及时进行处理，并做好相关的工作记录。</w:t>
            </w:r>
          </w:p>
          <w:p w14:paraId="64ADF9D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1）楼梯间巡查</w:t>
            </w:r>
          </w:p>
          <w:p w14:paraId="772A4D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①检查走廊灯、楼梯灯是否正常，门、窗是否处于完好状态；</w:t>
            </w:r>
          </w:p>
          <w:p w14:paraId="150BE7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②检查楼梯间墙身、天花是否出现剥落、脱漆，墙、地面瓷片是否完整无损；</w:t>
            </w:r>
          </w:p>
          <w:p w14:paraId="7FDF7E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③检查消防栓是否标识完好、配件齐全；灭火器是否有漏气或过期失效现象；防火门是否关闭；消防安全疏散指示灯是否完好，消防通道是否通畅，防盗、消防报警设施是否完好；</w:t>
            </w:r>
          </w:p>
          <w:p w14:paraId="09CE58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2）逃生天台巡查</w:t>
            </w:r>
          </w:p>
          <w:p w14:paraId="4CE45FB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①检查逃生天台是否能够随时打开（严禁上锁）；</w:t>
            </w:r>
          </w:p>
          <w:p w14:paraId="0461C5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②检查天台护栏是否完好，避雷针是否完好；</w:t>
            </w:r>
          </w:p>
          <w:p w14:paraId="1E5DE0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③检查雨管是否畅通；</w:t>
            </w:r>
          </w:p>
          <w:p w14:paraId="24233F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3）大堂、门厅、走廊巡查</w:t>
            </w:r>
          </w:p>
          <w:p w14:paraId="3904FD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①检查各类安全标识是否完好；</w:t>
            </w:r>
          </w:p>
          <w:p w14:paraId="46FEDE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②检查公共设施、照明设施、垃圾箱是否完好；</w:t>
            </w:r>
          </w:p>
          <w:p w14:paraId="03B3BE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4）水、电、气巡查</w:t>
            </w:r>
          </w:p>
          <w:p w14:paraId="1313E8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①检查室外设施有无破损现象，各种管道有无渗、漏、滴、冒现象；</w:t>
            </w:r>
          </w:p>
          <w:p w14:paraId="1D9AB3A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②检查室外设施有无生锈、脱漆现象，标识是否完好；</w:t>
            </w:r>
          </w:p>
          <w:p w14:paraId="1644BA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③检查室外消防设施是否配件齐全、标识完好。</w:t>
            </w:r>
          </w:p>
          <w:p w14:paraId="5CD78A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5）道路巡查</w:t>
            </w:r>
          </w:p>
          <w:p w14:paraId="3F2DA2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①检查设施、设备是否完好；</w:t>
            </w:r>
          </w:p>
          <w:p w14:paraId="2CF984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②检查标识、路牌、警示牌是否完好；</w:t>
            </w:r>
          </w:p>
          <w:p w14:paraId="24E235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③检查各类井盖是否完好，照明灯是否齐全；</w:t>
            </w:r>
          </w:p>
          <w:p w14:paraId="19F853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3.13.秩序维护</w:t>
            </w:r>
          </w:p>
          <w:p w14:paraId="034451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主要负责监管中心的治安保卫、秩序维护及车辆停放管理工作，在业务上接受业主指导、检查、监督。</w:t>
            </w:r>
          </w:p>
          <w:p w14:paraId="596E29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（1）门卫管理。</w:t>
            </w:r>
          </w:p>
          <w:p w14:paraId="62A70E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维护管理区域内的公共秩序和日常安全巡查。监管中心门卫设24小时固定岗哨对公务往来人员，有礼貌地询问，执行验证、随身物品安全检查等工作，与被访问人及时联系确认并办理有关手续后方可入内；对不熟悉的办事人员要及时引导。严格控制无证闲杂人员、上访人员或其他身份不明人员及各种无证车辆进入院内。严格值班制度，对重点区域、重点部位每小时至少巡查一次，其余区域每2小时巡查一次，确保巡查路线能全部覆盖楼层，每月向采购人提交巡查记录情况；配有安全监控设施的，实施24小时监控，监控资料按要求保存完好，未经许可不得外泄；发现管理区域内有异常情况必须及时处置并报告采购人及相关机构。</w:t>
            </w:r>
          </w:p>
          <w:p w14:paraId="0AB481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（2）交通秩序的管理。</w:t>
            </w:r>
          </w:p>
          <w:p w14:paraId="086D52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维持监管中心办公区内交通秩序，严格执行相关管理规定，对进出管理区域的机动车和非机动车辆实施登记制度，引导车辆有序地通行和按规定停放。</w:t>
            </w:r>
          </w:p>
          <w:p w14:paraId="4633F7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（3）安全管理。</w:t>
            </w:r>
          </w:p>
          <w:p w14:paraId="5F760A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①确保安保责任区域内不发生刑事案件、火灾事故、交通事故。</w:t>
            </w:r>
          </w:p>
          <w:p w14:paraId="0AA21D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②日常办公秩序井然有序；有效维护安保责任区域内正常的工作秩序。</w:t>
            </w:r>
          </w:p>
          <w:p w14:paraId="6147153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③保证管理区域内的各项安全管理制度得到有效落实。</w:t>
            </w:r>
          </w:p>
          <w:p w14:paraId="3BFB60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④安保责任区域内治安秩序良好，治安防范措施严密有效，治安隐患发现、处置及时，违反治安管理规定的行为得到有效制止和处理，杜绝偷盗案件的发生。管理区域内消防安全管理的规定得到有效落实，安保责任区域内消防管理严格规范，各种消防隐患发现、处置及时，发生火警，处置果断、规范、及时。</w:t>
            </w:r>
          </w:p>
          <w:p w14:paraId="4421D0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⑤管理区域内各消防通道畅通无阻，交通事故的现场处置及时、规范、有效。</w:t>
            </w:r>
          </w:p>
          <w:p w14:paraId="09F801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⑥制定完善各类（火灾、治安、公共卫生等）突发事件及应急救援预案，发生紧急突发事件（非正常上访等）时，应及时报告业主和有关部门，安防处置措施及时有效、科学规范，突发事件得到迅速控制、处置。配合、协助业主单位对有关事件的调查处理，服从业主单位和相关部门的统一指挥和调度，迅速、有效解决突发事件，并确保完成各项任务。在物业范围内因外部原因（不可抗力除外）发生车辆损伤、遗失，中标供应商对此存在失职行为或有过失的，应承担相应赔偿责任。</w:t>
            </w:r>
          </w:p>
          <w:p w14:paraId="0EBA3B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⑦杜绝在办公区内和四周围墙上，乱写、乱张贴广告、标语等影响外观的行为出现，院内禁止燃放烟花、鞭炮。</w:t>
            </w:r>
          </w:p>
          <w:p w14:paraId="2007B7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⑧有重大活动时有专人负责执勤及疏散流动人员，协助配合业主单位及相关部门做好安全防范、车辆停放疏导和外围秩序维持等工作；协助做好办公区内上访维稳工作。</w:t>
            </w:r>
          </w:p>
          <w:p w14:paraId="03180C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⑨保障管理区域内工作人员的人身安全不受侵犯，财产不受损失，保密措施到位。</w:t>
            </w:r>
          </w:p>
          <w:p w14:paraId="513E5A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⑩对存在危及人身安全的点位处，应设置明显标志和采取有效防范安全事故发生的措施</w:t>
            </w:r>
          </w:p>
          <w:p w14:paraId="740508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3.14.绿化服务</w:t>
            </w:r>
          </w:p>
          <w:p w14:paraId="351387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1）服务内容</w:t>
            </w:r>
          </w:p>
          <w:p w14:paraId="1F32D8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①对服务区域内公共绿地、花草、树木进行养护。</w:t>
            </w:r>
          </w:p>
          <w:p w14:paraId="437B99C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②在办公楼内摆放盆花及养护服务。</w:t>
            </w:r>
          </w:p>
          <w:p w14:paraId="1177DB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2）养护标准</w:t>
            </w:r>
          </w:p>
          <w:p w14:paraId="77D09B1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①对花草树木要定期清除杂草、防治病虫害，浇水、松土、施肥、修理枯病枝和伤害枝等，确保植物鲜活、造型美观。</w:t>
            </w:r>
          </w:p>
          <w:p w14:paraId="06EAF3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②花木每季度除草松土一次，并进行施肥，每季度施肥一次。</w:t>
            </w:r>
          </w:p>
          <w:p w14:paraId="4ABA6B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③绿篱及时修剪。绿化带、花木，每季度要修枝整形不少于一次。</w:t>
            </w:r>
          </w:p>
          <w:p w14:paraId="59FED3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④摆放的绿植有枯萎的现象时，要立即更换。保持花卉正常生长与叶面整洁，每星期揩拭叶面灰尘和淋水一次。</w:t>
            </w:r>
          </w:p>
          <w:p w14:paraId="0C8DED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注：供应商须投入满足绿化养护工作必要的工具、器具，包含但不限于：剪草剪、油锯、枯叶吹风机、自动绿篱剪、园林喷药器等设备用于减轻劳动强度，提高绿化劳动功效和养护质量。费用由供应商承担，计入投标报价）</w:t>
            </w:r>
          </w:p>
          <w:p w14:paraId="1F72E00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3.15.安全责任</w:t>
            </w:r>
          </w:p>
          <w:p w14:paraId="378213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供应商所有派驻人员安全责任均由供应商自行负责。</w:t>
            </w:r>
          </w:p>
          <w:p w14:paraId="302AC12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4、其他要求</w:t>
            </w:r>
          </w:p>
          <w:p w14:paraId="432E52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4.1.本项目的实施方案要求</w:t>
            </w:r>
          </w:p>
          <w:p w14:paraId="4A0ACA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4.1.1.针对本项目管理服务整体设想、策划及服务措施要求</w:t>
            </w:r>
          </w:p>
          <w:p w14:paraId="6A0457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对项目概况及理解，供应商对物业管理的定位，公司的管理服务理念，管理服务目标，实现目标对应的服务措施。</w:t>
            </w:r>
          </w:p>
          <w:p w14:paraId="2FEAC0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4.1.2.设备物资搬迁方案要求</w:t>
            </w:r>
          </w:p>
          <w:p w14:paraId="1F0F55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搬迁设备的总体实施计划方案，供应商配置搬迁人员数量及明确的分工。</w:t>
            </w:r>
          </w:p>
          <w:p w14:paraId="3F71443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4.1.3.保洁服务方案要求</w:t>
            </w:r>
          </w:p>
          <w:p w14:paraId="1A8BA9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保洁具体标准，保洁服务培训相关方案，每天保洁时间，作业流程安排，消毒和灭“四害”具体方案，公共卫生间清洗维护具体方案。</w:t>
            </w:r>
          </w:p>
          <w:p w14:paraId="299A5D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4.1.4.设施设备维护方案</w:t>
            </w:r>
          </w:p>
          <w:p w14:paraId="44B347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相关岗位的设置，工作人员的工作职责，对本项目服务标准和服务规程，房屋和公用设施管理服务方案及供电、给排水、消防、空调、电梯等设备运行维护服务方案，安全操作规范。</w:t>
            </w:r>
          </w:p>
          <w:p w14:paraId="76EE78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4.2.应急处理方案要求</w:t>
            </w:r>
          </w:p>
          <w:p w14:paraId="12D076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应急处置总说明，应急处置指挥体系及职责，应急处置预警预防机制，应急实施方案：①突发自然灾害（火灾、水浸、风暴等）应急措施；②环境卫生服务应急措施；③消防应急处置措施；④设施设备维护应急措施；⑤其他（停水、停电、停气，会议、活动）应急措施等。应急响应及联动。</w:t>
            </w:r>
          </w:p>
          <w:p w14:paraId="75F55C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4.3.本项目管理制度</w:t>
            </w:r>
          </w:p>
          <w:p w14:paraId="575B14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供应商内部人力资源管理制度，绩效管理制度，保密制度，服务质量管控制度，安全管控制度。</w:t>
            </w:r>
          </w:p>
          <w:p w14:paraId="49C7B0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4"/>
                <w:szCs w:val="24"/>
              </w:rPr>
            </w:pPr>
            <w:r>
              <w:rPr>
                <w:rFonts w:hint="eastAsia" w:ascii="宋体" w:hAnsi="宋体" w:eastAsia="宋体" w:cs="宋体"/>
                <w:sz w:val="24"/>
                <w:szCs w:val="24"/>
                <w:bdr w:val="none" w:color="auto" w:sz="0" w:space="0"/>
              </w:rPr>
              <w:t>4.4.本项目培训方案</w:t>
            </w:r>
          </w:p>
          <w:p w14:paraId="022080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培训的主题、内容、培训计划安排，培训的对象，培训的目标。</w:t>
            </w:r>
          </w:p>
        </w:tc>
      </w:tr>
    </w:tbl>
    <w:p w14:paraId="50FE9D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3.3.服务要求</w:t>
      </w:r>
    </w:p>
    <w:p w14:paraId="33718A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3.3.1服务内容要求</w:t>
      </w:r>
    </w:p>
    <w:p w14:paraId="0EED61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4"/>
        <w:gridCol w:w="825"/>
        <w:gridCol w:w="1709"/>
        <w:gridCol w:w="5887"/>
      </w:tblGrid>
      <w:tr w14:paraId="747879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8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9A158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23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F2AD3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18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35872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服务要求名称</w:t>
            </w:r>
          </w:p>
        </w:tc>
        <w:tc>
          <w:tcPr>
            <w:tcW w:w="123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60D3E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服务要求内容</w:t>
            </w:r>
          </w:p>
        </w:tc>
      </w:tr>
      <w:tr w14:paraId="122B06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A0BE2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无</w:t>
            </w:r>
          </w:p>
        </w:tc>
      </w:tr>
    </w:tbl>
    <w:p w14:paraId="1718BC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3.3.2.商务要求</w:t>
      </w:r>
    </w:p>
    <w:p w14:paraId="0BC52D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7"/>
        <w:gridCol w:w="623"/>
        <w:gridCol w:w="1183"/>
        <w:gridCol w:w="6722"/>
      </w:tblGrid>
      <w:tr w14:paraId="70D9A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8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AF0209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23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7DB54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18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B6CD96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商务要求名称</w:t>
            </w:r>
          </w:p>
        </w:tc>
        <w:tc>
          <w:tcPr>
            <w:tcW w:w="123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DDE1E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商务要求内容</w:t>
            </w:r>
          </w:p>
        </w:tc>
      </w:tr>
      <w:tr w14:paraId="19BAC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91A0D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80C81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4A2E1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服务期限</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0F0FD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⾃合同签订之⽇起365⽇</w:t>
            </w:r>
          </w:p>
        </w:tc>
      </w:tr>
      <w:tr w14:paraId="62E8DD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3A3C88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7C190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E4E63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服务地点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EF93DB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采购人指定地点</w:t>
            </w:r>
          </w:p>
        </w:tc>
      </w:tr>
      <w:tr w14:paraId="0BB411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F1D5B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09CB4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D3F9B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验收、交付标准和方法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FB9D2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本项⽬采购⼈按照《财政部关于进⼀步加强政府采购需求和履约验收管理的指导意⻅》（财库〔2016〕205号）⽂件以及采购⽂件要求、投标⼈的投标⽂件及有关承诺以及合同约定标准进⾏验收。</w:t>
            </w:r>
          </w:p>
        </w:tc>
      </w:tr>
      <w:tr w14:paraId="644FC9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4CE8F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ECEFF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D7BE6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支付方式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4D5AC7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分期付款</w:t>
            </w:r>
          </w:p>
        </w:tc>
      </w:tr>
      <w:tr w14:paraId="6D497A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9AF22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47466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875C2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付款进度安排</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9452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1、服务质量达到磋商文件和合同约定的相关条款，以服务期开始时间起1个月后，，达到付款条件起15日内，支付合同总金额的23.00%</w:t>
            </w:r>
          </w:p>
          <w:p w14:paraId="7A9701E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2、服务质量达到磋商文件和合同约定的相关条款，以服务期开始时间起2个月后，，达到付款条件起15日内，支付合同总金额的7.00%</w:t>
            </w:r>
          </w:p>
          <w:p w14:paraId="38FC3E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3、服务质量达到磋商文件和合同约定的相关条款，以服务期开始时间起3个月后，，达到付款条件起15日内，支付合同总金额的7.00%</w:t>
            </w:r>
          </w:p>
          <w:p w14:paraId="0190D61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4、服务质量达到磋商文件和合同约定的相关条款，以服务期开始时间起4个月后，，达到付款条件起15日内，支付合同总金额的7.00%</w:t>
            </w:r>
          </w:p>
          <w:p w14:paraId="357A91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5、服务质量达到磋商文件和合同约定的相关条款，以服务期开始时间起5个月后，，达到付款条件起15日内，支付合同总金额的7.00%</w:t>
            </w:r>
          </w:p>
          <w:p w14:paraId="412FED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6、服务质量达到磋商文件和合同约定的相关条款，以服务期开始时间起6个月后，，达到付款条件起15日内，支付合同总金额的7.00%</w:t>
            </w:r>
          </w:p>
          <w:p w14:paraId="70085A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7、服务质量达到磋商文件和合同约定的相关条款，以服务期开始时间起7个月后，，达到付款条件起15日内，支付合同总金额的7.00%</w:t>
            </w:r>
          </w:p>
          <w:p w14:paraId="1BEE70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8、服务质量达到磋商文件和合同约定的相关条款，以服务期开始时间起8个月后，，达到付款条件起15日内，支付合同总金额的7.00%</w:t>
            </w:r>
          </w:p>
          <w:p w14:paraId="6DF97D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9、服务质量达到磋商文件和合同约定的相关条款，以服务期开始时间起9个月后，，达到付款条件起15日内，支付合同总金额的7.00%</w:t>
            </w:r>
          </w:p>
          <w:p w14:paraId="17D80D7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10、服务质量达到磋商文件和合同约定的相关条款，以服务期开始时间起10个月后，，达到付款条件起15日内，支付合同总金额的7.00%</w:t>
            </w:r>
          </w:p>
          <w:p w14:paraId="0EFAEC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11、服务质量达到磋商文件和合同约定的相关条款，以服务期开始时间起11个月后，，达到付款条件起15日内，支付合同总金额的7.00%</w:t>
            </w:r>
          </w:p>
          <w:p w14:paraId="2BAD9A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12、服务质量达到磋商文件和合同约定的相关条款，以服务期开始时间起12个月后，，达到付款条件起15日内，支付合同总金额的7.00%</w:t>
            </w:r>
          </w:p>
        </w:tc>
      </w:tr>
      <w:tr w14:paraId="600F68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BA91DD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00ED8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8ACC3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违约责任与解决争议的方法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B3EA6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成交供应商和采购人双方必须遵守本项目采购需求中的各项规定，保证本项目的正常履行。2.如因成交供应商工作人员在履行职务过程中的疏忽、失职、过错等故意或者过失原因给采购人造成损失或侵害，包括但不限于采购人本身的财产损失、由此而导致的采购人对任何第三方的法律责任，成交供应商对此均应承担全部的赔偿责任。</w:t>
            </w:r>
          </w:p>
        </w:tc>
      </w:tr>
    </w:tbl>
    <w:p w14:paraId="475159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3.4.其他要求</w:t>
      </w:r>
    </w:p>
    <w:p w14:paraId="291003E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0C3BC8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无</w:t>
      </w:r>
    </w:p>
    <w:p w14:paraId="22669E93"/>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C61D6"/>
    <w:rsid w:val="5C7A4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2025-01-20T01:49:00Z</dcterms:created>
  <dc:creator>Administrator</dc:creator>
  <cp:lastModifiedBy>WPS_1671603187</cp:lastModifiedBy>
  <dcterms:modified xsi:type="dcterms:W3CDTF">2026-04-30T01:35:27Z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F40EECFD1A6246C8A14DA94DD9B602CE_12</vt:lpwstr>
  </property>
  <property fmtid="{D5CDD505-2E9C-101B-9397-08002B2CF9AE}" pid="4" name="KSOTemplateDocerSaveRecord">
    <vt:lpwstr>eyJoZGlkIjoiNGExODMxY2RiMWI4MWQ2ZDI4NzlmZjA3NzhlNjFiYjgiLCJ1c2VySWQiOiIxNDUxNjI0NDI3In0=</vt:lpwstr>
  </property>
</Properties>
</file>