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4DB84">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08E2D6A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4738ED44">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55B98A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387C77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9,950,000.00</w:t>
      </w:r>
    </w:p>
    <w:p w14:paraId="02601A1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9,950,000.00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7486C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7D6E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5E0BD2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3B53B7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6333128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034FFA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503C02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4401522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36FBE3A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0FA9EE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5135BFC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69B4721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23444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C2F97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062B4DF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A02322700 病房护理及医院设备</w:t>
            </w:r>
          </w:p>
        </w:tc>
        <w:tc>
          <w:tcPr>
            <w:tcW w:w="821" w:type="dxa"/>
          </w:tcPr>
          <w:p w14:paraId="0F36B7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消毒供应中心基础装备及配套设备</w:t>
            </w:r>
          </w:p>
        </w:tc>
        <w:tc>
          <w:tcPr>
            <w:tcW w:w="821" w:type="dxa"/>
          </w:tcPr>
          <w:p w14:paraId="3994B42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1.00（批）</w:t>
            </w:r>
          </w:p>
        </w:tc>
        <w:tc>
          <w:tcPr>
            <w:tcW w:w="821" w:type="dxa"/>
          </w:tcPr>
          <w:p w14:paraId="46F5FDB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9,950,000.00</w:t>
            </w:r>
          </w:p>
        </w:tc>
        <w:tc>
          <w:tcPr>
            <w:tcW w:w="821" w:type="dxa"/>
          </w:tcPr>
          <w:p w14:paraId="501D314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FA6E9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741C71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386DD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639" w:type="dxa"/>
          </w:tcPr>
          <w:p w14:paraId="54F1CB5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8FA21B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r>
    </w:tbl>
    <w:p w14:paraId="296203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43023A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采购包1：是</w:t>
      </w:r>
    </w:p>
    <w:p w14:paraId="2801CCB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1B54261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4C473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0430F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0890B80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1AD21CA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2070B3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4B6D13A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110D89E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5209A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E35DA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7661A2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消毒供应中心基础装备及配套设备</w:t>
            </w:r>
          </w:p>
        </w:tc>
        <w:tc>
          <w:tcPr>
            <w:tcW w:w="1138" w:type="dxa"/>
          </w:tcPr>
          <w:p w14:paraId="08161E5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1.00（批）</w:t>
            </w:r>
          </w:p>
        </w:tc>
        <w:tc>
          <w:tcPr>
            <w:tcW w:w="1365" w:type="dxa"/>
          </w:tcPr>
          <w:p w14:paraId="5345BC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9,950,000.00</w:t>
            </w:r>
          </w:p>
        </w:tc>
        <w:tc>
          <w:tcPr>
            <w:tcW w:w="1138" w:type="dxa"/>
          </w:tcPr>
          <w:p w14:paraId="37B2B65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615591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1A8EAB24">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08717D1A">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476C2DE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20A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0C8A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E4B7C8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85C600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686B0E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8D4B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262F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5C5E9A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A02322700 病房护理及医院设备</w:t>
            </w:r>
          </w:p>
        </w:tc>
        <w:tc>
          <w:tcPr>
            <w:tcW w:w="2492" w:type="dxa"/>
          </w:tcPr>
          <w:p w14:paraId="2A3110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消毒供应中心基础装备及配套设备</w:t>
            </w:r>
          </w:p>
        </w:tc>
        <w:tc>
          <w:tcPr>
            <w:tcW w:w="2492" w:type="dxa"/>
          </w:tcPr>
          <w:p w14:paraId="0F8BCE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详见“采购清单”</w:t>
            </w:r>
          </w:p>
        </w:tc>
      </w:tr>
    </w:tbl>
    <w:p w14:paraId="3436998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27F22D76">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2568392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9BE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BE294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0E73DA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CF53A5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C0F60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3B71F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9D07F7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5A31288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5EF82CF8">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547D02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7B8A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45E1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D09F79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FB98FB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53D796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C0F3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B0980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6E1000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A02322700 病房护理及医院设备</w:t>
            </w:r>
          </w:p>
        </w:tc>
        <w:tc>
          <w:tcPr>
            <w:tcW w:w="2492" w:type="dxa"/>
          </w:tcPr>
          <w:p w14:paraId="1CE2DA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消毒供应中心基础装备及配套设备</w:t>
            </w:r>
          </w:p>
        </w:tc>
        <w:tc>
          <w:tcPr>
            <w:tcW w:w="2492" w:type="dxa"/>
          </w:tcPr>
          <w:p w14:paraId="1FDC57F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详见“采购清单”</w:t>
            </w:r>
          </w:p>
        </w:tc>
      </w:tr>
    </w:tbl>
    <w:p w14:paraId="05B2C96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F54AD4E">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3B839C0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5000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22B25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C3FAA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E4DDC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134DD4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9784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65C6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773902C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628996CB">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4973E2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EF0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32D23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5EF26E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71115B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28E503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0B84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B42E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457CE6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A02322700 病房护理及医院设备</w:t>
            </w:r>
          </w:p>
        </w:tc>
        <w:tc>
          <w:tcPr>
            <w:tcW w:w="2492" w:type="dxa"/>
          </w:tcPr>
          <w:p w14:paraId="2FAA05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消毒供应中心基础装备及配套设备</w:t>
            </w:r>
          </w:p>
        </w:tc>
        <w:tc>
          <w:tcPr>
            <w:tcW w:w="2492" w:type="dxa"/>
          </w:tcPr>
          <w:p w14:paraId="32D07D4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详见“采购清单”</w:t>
            </w:r>
          </w:p>
        </w:tc>
      </w:tr>
    </w:tbl>
    <w:p w14:paraId="162CB91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5CED260">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75FECD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39CEA6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标的名称：消毒供应中心基础装备及配套设备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ACA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6E98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03BDA8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E4F6A9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ECF53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642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17D36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30BBFB2">
            <w:pPr>
              <w:rPr>
                <w:rFonts w:ascii="Calibri" w:hAnsi="Calibri" w:eastAsia="宋体" w:cs="Times New Roman"/>
              </w:rPr>
            </w:pPr>
          </w:p>
        </w:tc>
        <w:tc>
          <w:tcPr>
            <w:tcW w:w="1495" w:type="dxa"/>
          </w:tcPr>
          <w:p w14:paraId="3A2D38D2">
            <w:pPr>
              <w:rPr>
                <w:rFonts w:ascii="Calibri" w:hAnsi="Calibri" w:eastAsia="宋体" w:cs="Times New Roman"/>
              </w:rPr>
            </w:pPr>
          </w:p>
        </w:tc>
        <w:tc>
          <w:tcPr>
            <w:tcW w:w="5814" w:type="dxa"/>
          </w:tcPr>
          <w:p w14:paraId="09E1EF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详见附件-技术参数与性能指标。</w:t>
            </w:r>
          </w:p>
        </w:tc>
      </w:tr>
    </w:tbl>
    <w:p w14:paraId="7FFDC122">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5830E64C">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745E372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E1F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A218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1AB3DC6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282258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225201A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33FE0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E3E22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B2BBF5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9E3A2E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设备配套安装</w:t>
            </w:r>
          </w:p>
        </w:tc>
        <w:tc>
          <w:tcPr>
            <w:tcW w:w="5814" w:type="dxa"/>
          </w:tcPr>
          <w:p w14:paraId="0AC10582">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（一）降温池设施</w:t>
            </w:r>
          </w:p>
          <w:p w14:paraId="3570EF7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1.整体外观：池体表面应平整光滑，色泽均匀，无明显的裂纹、气泡、分层、缺损、变形等缺陷。内衬层应完整，无针孔、裂纹、纤维裸露等，确保其防渗漏和耐腐蚀性。外部防护层应均匀，无脱落、龟裂。</w:t>
            </w:r>
          </w:p>
          <w:p w14:paraId="33A569F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2.结构部件：进水管、出水管、溢流管、排污管等接口位置牢固，法兰连接面平整，螺栓孔对齐。</w:t>
            </w:r>
          </w:p>
          <w:p w14:paraId="41D283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3.树脂耐温、耐腐蚀。检查玻璃纤维铺层均匀，无干斑、皱褶、树脂积聚等工艺缺陷。</w:t>
            </w:r>
          </w:p>
          <w:p w14:paraId="019504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4.水平安装，底部支撑是均匀、稳固，无悬空或局部应力集中。</w:t>
            </w:r>
          </w:p>
          <w:p w14:paraId="1B2252E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5.管道连接严密，阀门、仪表安装位置便于操作。与外部系统的接口已连接并具备联动条件。</w:t>
            </w:r>
          </w:p>
          <w:p w14:paraId="04173B7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密闭性试验：向池内缓慢注满清水，静置不少于24小时。检查池体及所有接口有无渗漏、变形。液位下降率应符合设计或合同规定。满负荷运行试验：在满水状态下，启动全部配套设备连续运行24-48小时，再次检查密封性和结构稳定性。</w:t>
            </w:r>
          </w:p>
          <w:p w14:paraId="49DD78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7.降温效能测试：在设计工况下，运行降温系统。测量进水口和出水口温度，计算温差。实际降温效果应达到设计指标。</w:t>
            </w:r>
          </w:p>
          <w:p w14:paraId="3E6FF2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8.材质耐腐蚀性验证。</w:t>
            </w:r>
          </w:p>
          <w:p w14:paraId="0F84338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9.附属设备运行测试：检查水泵、风机、控制系统等运行是否平稳，无异常振动和噪音。测试自动补水、水位报警、温度监测等自动化功能是否灵敏、准确。电气系统应符合防爆、防水等安全规范。</w:t>
            </w:r>
          </w:p>
          <w:p w14:paraId="606D53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（二）通风系统</w:t>
            </w:r>
          </w:p>
          <w:p w14:paraId="68DEA9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1.通风防护设备</w:t>
            </w:r>
          </w:p>
          <w:p w14:paraId="157A99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1.1机组具有便利维护的检修门，内部过滤装置便于快速取出更换、清理；</w:t>
            </w:r>
          </w:p>
          <w:p w14:paraId="3CA5052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1.2通风管道安装静音静压箱，降低气流噪音；机组需配备无极变量静音马达风机及静音降噪装置，确保系统运行嘈音控制在规范标准之内。</w:t>
            </w:r>
          </w:p>
          <w:p w14:paraId="045758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2.新风补充设备</w:t>
            </w:r>
          </w:p>
          <w:p w14:paraId="3FD551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2.1配备的新风过滤装置便于快速取出更换、清理；</w:t>
            </w:r>
          </w:p>
          <w:p w14:paraId="3C902B9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2.2机组箱体保证机械性能、机械安全和电气安全。</w:t>
            </w:r>
          </w:p>
          <w:p w14:paraId="43F91CE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2.3机组的箱体应有足够的强度，必须具有完整可靠的框架结构, 在运输和启动、运行、停机时都不得出现凹凸变形现象。</w:t>
            </w:r>
          </w:p>
          <w:p w14:paraId="0D4444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2.4箱体为双层壁板结构，厚度最少为50mm，面板具有隔热和隔音效果，所有的面板使用岩棉或聚氨酯保温材料</w:t>
            </w:r>
          </w:p>
          <w:p w14:paraId="2A737C7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（三）电气系统</w:t>
            </w:r>
          </w:p>
          <w:p w14:paraId="41FFA7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1.电缆电线应具有阻燃性能。</w:t>
            </w:r>
          </w:p>
          <w:p w14:paraId="494C88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2.配电柜内元件应排列整齐、固定可靠、各电气元件应可单独拆装。</w:t>
            </w:r>
          </w:p>
          <w:p w14:paraId="706A45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电缆桥架采用槽式或梯式电缆桥架。配套提供桥架的支架、盖板、弯头、三通按照要求：分支电缆桥架采用大于1.5mm冷轧钢板制作，而主电缆桥架采用不少于2.0mm冷轧钢板制作。桥架表面磷化处理再静电喷塑保护。电缆桥架过防火墙处应按要求作相应处理.技术夹层布线应满足电气规范要求，布线合理；清洁区用电线路与非清洁区线路应分开敷设；主要工作区与辅助工作区线路应分开敷设；不同工艺要求的线路应分开敷设。</w:t>
            </w:r>
          </w:p>
          <w:p w14:paraId="77476D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4.照明、插座支路所采用的电线管，导线穿线管或（槽）要求管径、厚度均匀，表面无锈蚀，镀锌层覆盖完整，管（槽）无压扁、内壁光滑。内外表面应光滑，不应有折叠、裂缝、搭焊、缺焊、毛刺的现象。</w:t>
            </w:r>
          </w:p>
          <w:p w14:paraId="7E9B070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5.导线在管内不得有接头和扭结，接头在接线盒内。洁净区线路与非洁净区线路尽量分开敷设；不同工艺要求的线路尽量分开敷设；彩钢板上的接线盒固定牢固，线管进盒内不超 2mm 并且管盒之间用密封胶 进行密封处理。接线盒与彩钢板的接合处不允许有外露夹芯材料的缝隙，缝隙处做密封处理。</w:t>
            </w:r>
          </w:p>
          <w:p w14:paraId="1B5AC4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6.开关及插座塑料绝缘材料阻燃性能至少需达到 V0 级别，所有开关、插座壳体采用阻燃塑料，开关面板采用大翘板型。洁净区选用洁净开关插座，表面易于清洁、与壁板平齐，连接处良好密封。</w:t>
            </w:r>
          </w:p>
          <w:p w14:paraId="2B159D4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（四）装饰系统</w:t>
            </w:r>
          </w:p>
          <w:p w14:paraId="3BACD07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1.所有室内装饰：</w:t>
            </w:r>
          </w:p>
          <w:p w14:paraId="614C1A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包含设备配套天、地、墙面及门窗装饰系统；标识标牌系统；土建隔断、地面回填找平系统。</w:t>
            </w:r>
          </w:p>
          <w:p w14:paraId="233CC6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包含大楼土建相关内容（装饰及建筑的拆除、外围结构、所有电梯、电梯厅、楼梯间、前室、各种管井、外窗、空调孔洞预留、医气管道孔洞预留、所有设备基础）；外墙与幕墙间墙体的装饰；外墙窗户的制作安装及收边；区域内混凝土墙体、结构加固等。</w:t>
            </w:r>
          </w:p>
          <w:p w14:paraId="224423D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2.墙体材料：</w:t>
            </w:r>
          </w:p>
          <w:p w14:paraId="1454686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湿区、去污区、洗消区墙面采用300*600mm瓷砖（美缝剂美缝）；无菌物品存放区及辅房、打包区及辅房、干燥区墙体采用50mm厚金属面双玻镁岩棉夹芯板，钢板厚≥0.476mm。设备装载墙体采用1.2mm厚医用不锈钢板。湿区、蒸汽发生间及水处理间墙面采用300*600mm瓷砖（美缝剂美缝）；医疗业务用房、办公区墙面采用乳胶漆。医疗业务用房走廊区域墙面面贴冰火板。空压机房、空调机房墙面采用硅酸钙复合吸音板。</w:t>
            </w:r>
          </w:p>
          <w:p w14:paraId="638D8F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3.楼地面：</w:t>
            </w:r>
          </w:p>
          <w:p w14:paraId="67EB313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菌物品存放区及辅房、打包区及辅房、干燥区采用医用同质透心PVC卷材。洗消区、去污区及设备夹层采用600*600mm防滑地砖（美缝剂美缝）。湿区、空压机房、蒸汽发生间及水处理间、空调机房采用600*600mm防滑地砖（美缝剂美缝）；医疗业务用房、办公区采用医用同质透心PVC卷材。</w:t>
            </w:r>
          </w:p>
          <w:p w14:paraId="5A56FE0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4.天花：</w:t>
            </w:r>
          </w:p>
          <w:p w14:paraId="524056A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去污区吊顶采用50型金属面双玻镁岩棉夹芯板；湿区、辅房、医疗业务用房采用600x600mm铝扣板吊顶；无菌物品存放区及辅房、打包区及辅房等吊顶采用50型金属面双玻镁岩棉夹芯板。湿区、蒸汽发生间、水处理间及办公区吊顶采用600x600mm铝扣板吊顶。医疗业务用房走廊区域顶面采用50*80*0.8mm铝格栅。空压机房、空调机房采用原顶涂刷无机涂料。</w:t>
            </w:r>
          </w:p>
          <w:p w14:paraId="73E70B4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5.节点：</w:t>
            </w:r>
          </w:p>
          <w:p w14:paraId="2B96D4E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金属面双玻镁岩棉夹芯板顶面与墙面连接处采用R=50mm铝合金圆弧角（阴角和阳角）过渡连接，任何拐角和连接处都不得出现死角（直角）。</w:t>
            </w:r>
          </w:p>
          <w:p w14:paraId="7CF86F9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（五）给排水系统</w:t>
            </w:r>
          </w:p>
          <w:p w14:paraId="630537C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1.给排水管道均应根据规范要求做保温及防腐。</w:t>
            </w:r>
          </w:p>
          <w:p w14:paraId="723160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2.实验区内的排水设备，须在排水口下部设置高水封装置。</w:t>
            </w:r>
          </w:p>
          <w:p w14:paraId="426712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3.实验区内的地漏应采用直通式地漏下方加设存水弯，水封高度不得小于50mm。设备机房等不经常排水的房间的地漏应采用密闭型地漏。</w:t>
            </w:r>
          </w:p>
          <w:p w14:paraId="086C1F0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4.实验区的排水横管直径≥50mm。</w:t>
            </w:r>
          </w:p>
          <w:p w14:paraId="4D977EE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5.给水管道（冷、热水）均采用304薄壁不锈钢管，双卡压连接。管道相应管配件均应为管道专属配件，包括管道在墙体内暗装采用表面覆塑不锈钢管材。排水管道采用UPVC排水管,粘接。</w:t>
            </w:r>
          </w:p>
          <w:p w14:paraId="4E757C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纯水、软化水管道采用均采用304薄壁不锈钢管，双卡压连接。</w:t>
            </w:r>
          </w:p>
          <w:p w14:paraId="54088F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酸化水管道采用UPVC给水管，承插粘接。</w:t>
            </w:r>
          </w:p>
          <w:p w14:paraId="4613E2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（六）气体设施</w:t>
            </w:r>
          </w:p>
          <w:p w14:paraId="479FE6E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1.供应室压缩空气管道采用医用脱脂无缝不锈钢管，氩弧焊连接。</w:t>
            </w:r>
          </w:p>
          <w:p w14:paraId="6C92FEA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2.科室内的医气管道必须接地，按现行行业标准《医用气体工程技术规范》GB50751-2012的进行接地，接地电阻≤10Ω。</w:t>
            </w:r>
          </w:p>
          <w:p w14:paraId="106CC4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3.医用气体末端支管上的管道阀门均采用医气维修阀；医用气体水平干管上的管道阀门均采用球阀；医用脱脂无缝不锈钢管配套使用不锈钢材质阀门（维修阀除外）。</w:t>
            </w:r>
          </w:p>
          <w:p w14:paraId="3F004B6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（七）消防系统</w:t>
            </w:r>
          </w:p>
          <w:p w14:paraId="53573A1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1.本项目疏散照明系统供电采用市电加蓄电池装置系统，所有疏散照明灯具自带蓄电池装置，连续供电时间不小于 90min，疏散照明回路接至楼层疏散照明配电箱；</w:t>
            </w:r>
          </w:p>
          <w:p w14:paraId="445853C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各房间内设置感烟火灾探测器,疏散出口附近及其他适当位置设置手动火灾报警按钮，消火栓箱内开门侧，设置消火栓按钮。报警区域内均匀设置火灾警报器，声压级不小于60dB；环境噪声大于60dB的场所，声压级高于背景噪声15dB。公共区域设置应急广播扬声器。火灾自动报警系统的供电线路、消防联动控制线路应采用耐火铜芯电线电缆，报警总线、消防应急广播和消防专用电话等传输线路应采用阻燃或阻燃耐火电线电缆。</w:t>
            </w:r>
          </w:p>
          <w:p w14:paraId="65D7A7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3.防排烟风管采用镀锌钢板制作。风管的钢板厚度均应符合规范高压系统风管的规定，法兰方式螺栓连接。钢制排烟风管需按规范采取隔热保温措施达到最低耐火极限。</w:t>
            </w:r>
          </w:p>
          <w:p w14:paraId="6BD01FD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室内消火栓：各层按规定设置室内消火栓箱，以保证室内任何部位都有两股水柱同时到达。地上建筑和地下室医疗用房消火栓箱采用带自救式消防卷盘的组合式消防柜（内设灭火器）。消火栓栓口距地均为1.10m。消火栓箱安装应保证墙体防火要求，暗装在防火墙上的消火栓，箱体后部砖墙、混凝土墙厚不应小于120mm。室内消火栓箱设置位置应设置固定标识。</w:t>
            </w:r>
          </w:p>
          <w:p w14:paraId="27714DD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自动喷淋：未吊顶的房间和走道等部位采用DN15,68℃（K=80）级直立型闭式喷头，设有吊顶的房间和走道等部位采用DN15,68℃（K=80）吊顶型闭式喷头；网格、栅板类通透性吊顶部分，采用DN15,68℃（K=80）型闭式喷头；</w:t>
            </w:r>
          </w:p>
          <w:p w14:paraId="26FC5BC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（八）其他要求</w:t>
            </w:r>
          </w:p>
          <w:p w14:paraId="7ED717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按照《成都市限额以下小型工程施工安全管理办法（试行）》要求，中标人应配合采购人办理安全生产信息登记（备案）手续，在采购人发出书面进场通知后7日内，完成全部报备流程并签署《施工安全告知承诺书》，确保安全。</w:t>
            </w:r>
          </w:p>
          <w:p w14:paraId="3385AF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2.安装全部完成后、正式验收前，中标人须负责对全部区域进行全面、彻底的精细保洁及室内空气治理，确保现场环境达到以下交付标准：</w:t>
            </w:r>
          </w:p>
          <w:p w14:paraId="3B7678F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（1）环境清洁标准：所有区域应做到清洁、无尘、无污渍、无异物，满足后续验收与使用的基本环境要求。精保洁范围须涵盖项目所有涉及区域，包括但不限于地面、墙面、天花、门窗、固定设施及设备表面。</w:t>
            </w:r>
          </w:p>
          <w:p w14:paraId="3717FC2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2）空气质量要求：中标人须对所有区域进行专业的除甲醛处理，并委托具备相应资质的第三方检测机构进行室内空气质量检测。检测结果应符合GB50325-2020《民用建筑工程室内环境污染控制标准》，并提供正式空气检测报告。   </w:t>
            </w:r>
          </w:p>
          <w:p w14:paraId="5E439B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上述保洁与空气检测工作均为中标人合同义务的必要组成部分，相关费用应包含在本次投标报价中。</w:t>
            </w:r>
          </w:p>
        </w:tc>
      </w:tr>
      <w:tr w14:paraId="71B03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88CAA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5ABEEB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143F6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安装调试及培训</w:t>
            </w:r>
          </w:p>
        </w:tc>
        <w:tc>
          <w:tcPr>
            <w:tcW w:w="5814" w:type="dxa"/>
          </w:tcPr>
          <w:p w14:paraId="665CB3D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1.货物到达安装现场后，中标人接到采购人通知后30日内到达现场组织安装、调试，达到正常运行要求，保证采购人正常使用。所需的费用包括在投标总价格中。</w:t>
            </w:r>
          </w:p>
          <w:p w14:paraId="0771150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培训：设备安装试运行后无问题，投标人需派专业技术人员到采购人指定的地点对采购人的技术人员进行系统运行、配置、维护培训，对采购人的使用人员进行操作培训，培训应持续至采购人受训人员能够独立、熟练地操作和管理相关设备及系统为止。</w:t>
            </w:r>
          </w:p>
        </w:tc>
      </w:tr>
      <w:tr w14:paraId="77A7A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0BBDB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77D6C41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39F4EF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售后服务</w:t>
            </w:r>
          </w:p>
        </w:tc>
        <w:tc>
          <w:tcPr>
            <w:tcW w:w="5814" w:type="dxa"/>
          </w:tcPr>
          <w:p w14:paraId="2EDAB21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1.维修响应要求</w:t>
            </w:r>
          </w:p>
          <w:p w14:paraId="596A28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（1）维修响应时间要求：应在接到采购人维修通知的前提下1个小时内作出维修响应。</w:t>
            </w:r>
          </w:p>
          <w:p w14:paraId="14DE105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（2）维修时间要求：作出维修响应后，应在1小时内电话解决问题，如电话不能解决问题，则维修人员应在48小时之内到达现场（含节假日）进行维修。</w:t>
            </w:r>
          </w:p>
          <w:p w14:paraId="670ECB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（3）确定故障后，备件到达现场时间:72小时内备件到达现场(不可抗力因素除外)。特殊备件或国内备件库无货时，168小时内备件到达现场。</w:t>
            </w:r>
          </w:p>
          <w:p w14:paraId="7D55DB1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（4）如设备需返厂维修，维修期间须提供备用样机。</w:t>
            </w:r>
          </w:p>
          <w:p w14:paraId="4093880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中标人须对项目范围内约1900㎡的区域进行图纸深化（需提供有相关资质的设计单位签章的全套图纸（电子版加纸质版），深化成果须经采购人确认，深化设计所涉及的全部费用均包含在合同总价中，不再产生合同价格以外的任何额外费用。中标人交货时应提供所投产品全套书面和电子版的设备原理、操作及维护培训资料。</w:t>
            </w:r>
          </w:p>
          <w:p w14:paraId="5E1755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3.中标人应定期进行回访，解决设备运行当中可能出现的疑问，排除潜在的故障，使机组保持正常的工作状态。</w:t>
            </w:r>
          </w:p>
          <w:p w14:paraId="0D5D80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4.中标人应保证十年内能采购到所供货物的相关配件，并保证以不高于市场的价格提供的零配件。</w:t>
            </w:r>
          </w:p>
        </w:tc>
      </w:tr>
      <w:tr w14:paraId="43ECD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2867D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61A69C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B2EBD4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人员要求</w:t>
            </w:r>
          </w:p>
        </w:tc>
        <w:tc>
          <w:tcPr>
            <w:tcW w:w="5814" w:type="dxa"/>
          </w:tcPr>
          <w:p w14:paraId="1BCFA3B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拟投入本项目相关技术人员（5人及以上），为本项目拟派的固定实施人员，如在项目实施过程中改换的需向采购人提出书面申请，采购人准许后方可更换；未征得采购人同意之前，不能随意更换）。【提供相关人员在职证明材料（在职证明材料：劳动关系证明或工资发放证明或社会保险缴纳证明等）】。</w:t>
            </w:r>
          </w:p>
          <w:p w14:paraId="2819E1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2.签订合同后至少安排2人驻场进行方案深化至最终深化方案完成。</w:t>
            </w:r>
          </w:p>
        </w:tc>
      </w:tr>
      <w:tr w14:paraId="54A87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6E56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07BF17C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51DFF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其他要求</w:t>
            </w:r>
          </w:p>
        </w:tc>
        <w:tc>
          <w:tcPr>
            <w:tcW w:w="5814" w:type="dxa"/>
          </w:tcPr>
          <w:p w14:paraId="3ADED1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所投产品属于3C产品的，交货时提供《中国国家强制性产品认证证书》供采购人查验。（提供承诺函）</w:t>
            </w:r>
          </w:p>
        </w:tc>
      </w:tr>
    </w:tbl>
    <w:p w14:paraId="68334177">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37264D5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84B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9216A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31B46B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5FAF78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0E22F9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5A57F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3583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1F7E3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942E2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68DFB2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合同签订后，在接到采购人正式通知之日起的100日内完成全部工作内容，并通过项目最终验收。货物交付采购人并完成最终验收合格前，货物的所有权属于中标人，其毁损、灭失等一切风险由中标人承担。</w:t>
            </w:r>
          </w:p>
        </w:tc>
      </w:tr>
      <w:tr w14:paraId="703B8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3C88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6BB156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F96EB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393CCB2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成都市中西医结合医院院内</w:t>
            </w:r>
          </w:p>
        </w:tc>
      </w:tr>
      <w:tr w14:paraId="5B151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D7B1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78EC9D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39904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64A129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268A8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3838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1773DF5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532AFD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058A563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1、合同签订生效且收到中标人提供有效完整的票据，达到付款条件起10日内，支付合同总金额的40.00%</w:t>
            </w:r>
          </w:p>
          <w:p w14:paraId="7BE838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2、货物全部安装调试验收合格且收到中标人提供有效完整的票据，达到付款条件起10日内，支付合同总金额的60.00%</w:t>
            </w:r>
          </w:p>
        </w:tc>
      </w:tr>
      <w:tr w14:paraId="06139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B5FA2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28DD76B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CFCB7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1F3D275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详见第二章2.6.6.履约验收方案（以供应商提供的《投标（响应）函》中“我单位完全接受和理解本项目采购文件规定的实质性要求”即视为响应。）</w:t>
            </w:r>
          </w:p>
        </w:tc>
      </w:tr>
      <w:tr w14:paraId="664CE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3B7D8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7B18D79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35EDBC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64F691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以验收合格之日起算，贰年。质保期后，供应商终生提供及时的维修、维护，维修只收取材料成本费；每台设备全包年保费用不超过设备中标价的5%。项目中软件部分（如涉及）自合同签订之日起采购人具有终身使用的权利，所涉及的费用包含在投标总价中。 （2）质保期内供应商应负责设备的维修及抢修以及及时提供所更换的零部件，维修更换的材料和配件以及供应商技术服务人员的一切费用由供应商承担。</w:t>
            </w:r>
          </w:p>
        </w:tc>
      </w:tr>
      <w:tr w14:paraId="76F72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FB50B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7012CBE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10155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64A37F1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违约责任：（1）中标人交付的货物质量不合格的，中标人应向采购人支付涉及标的中标价百分之五的违约赔偿金，并须在采购人发出整改通知的15日内更换合格的货物给采购人。如未在整改期限内更换合格货物，视作中标人不能交付货物而违约，采购人有权终止合同，并另行采购，并要求中标人承担涉及中标价百分之三十的违约赔偿金。 （2）中标人不能交付货物或逾期交付货物而违约的，除应及时交足货物外，应向采购人支付逾期交货部分货款总额的万分之五/天的违约金；逾期交货超过30天，采购人有权终止合同，中标人则应按本项目所投包件中标总价的百分之三十的款额向采购人支付赔偿金，并须全额退还采购人已经付给中标人的货款及其利息，如有已交付的设备，中标人自行取回其设备，所涉费用由中标人自行承担且不得对采购人原有的设施设备造成损害，否则照价赔偿。 （3）中标人保证货物的权利无瑕疵，包括货物所有权及知识产权等权利均无瑕疵。如任何第三方经法院（或仲裁机构）裁决有权对上述货物主张权利或国家机关依法对货物进行没收查处的，中标人除应向采购人返还已收款项外，还应另按本项目所投包件中标总价的百分之三十向采购人支付违约金并赔偿因此给采购人造成的一切损失。如有已交付的设备，中标人自行取回其设备，所涉费用由中标人自行承担且不得对采购人原有的设施设备造成损害，否则照价赔偿。 （4）如因设备质量瑕疵或质量缺陷导致采购人无法正常使用或影响使用效果，由此与患者发生纠纷而导致采购人赔偿，中标人对此承担全部责任。 （5）中标人应保证所提供的设备完全符合招采文件要求。否则，采购人有权退货并解除合同，同时按照下述第（6）条款执行。 （6）中标人偿付的违约金不足以弥补采购人损失的，还应按采购人损失尚未弥补的部分，支付赔偿金给采购人。采购人有权向中标人主张全部损失，包含但不限于：鉴定费、公证费、律师费、诉讼费、保全费、保全担保费等实现债权的全部费用。 （7）中标人应根据采购人实际需求进行履约，若因采购政策调整、财政资金拨付或其他影响本项目实施的因素导致项目合同终止的情形，双方均不承担任何责任，具体实施情况以采购人通知为准。 2、解决争议的方法： （1）因货物的质量问题发生争议，由质量技术监督部门或其指定的质量鉴定机构进行质量鉴定。货物符合标准的，鉴定费由采购人承担；货物不符合质量标准的，鉴定费由中标人承担。 （2）合同履行期间,若双方发生争议，可协商或由有关部门调解解决，协商或调解不成的，由当事人依法向采购人所在地人民法院诉讼解决，维护其合法权益。</w:t>
            </w:r>
          </w:p>
        </w:tc>
      </w:tr>
      <w:tr w14:paraId="419CD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14F7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01CAC2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980AA9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09F2CD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5333E5E">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0135DC5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1、标的说明（因系统固化原因，本条仅做告知说明，供应商无需单独应答，按要求制作投标文件内容即可）： ①招标文件第三章-3.1.采购内容中第一个表格的内容不适用于本项目，具体的标的信息以招标文件附件《采购清单》中的内容为准。 ②供应商在填报《中小企业声明函》时，需按附件《采购清单》中的标的名称进行逐项填报。 2、未载明或者载明的标的名称、数量、计量单位及其他政府采购合同实质性内容与采购文件要求不一致，且采购单位无法接受的，属于无效响应。</w:t>
      </w:r>
    </w:p>
    <w:p w14:paraId="71F9DC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B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2026-04-30T08:01:51Z</dcterms:created>
  <dc:creator>Administrator</dc:creator>
  <cp:lastModifiedBy>李秋湘</cp:lastModifiedBy>
  <dcterms:modified xsi:type="dcterms:W3CDTF">2026-04-30T08:02:52Z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eyJoZGlkIjoiNGEwMGZlMTgyNzYxYmM5YzFhMmQ5ZGNmZTlkYWFlMDUiLCJ1c2VySWQiOiIzOTYyMzc0MDcifQ==</vt:lpwstr>
  </property>
  <property fmtid="{D5CDD505-2E9C-101B-9397-08002B2CF9AE}" pid="4" name="ICV">
    <vt:lpwstr>6894646C28E54C358E6958E4766283DB_12</vt:lpwstr>
  </property>
</Properties>
</file>