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26AE9">
      <w:pPr>
        <w:snapToGrid w:val="0"/>
        <w:spacing w:after="120" w:line="540" w:lineRule="exact"/>
        <w:jc w:val="left"/>
        <w:rPr>
          <w:rFonts w:ascii="宋体" w:hAnsi="宋体"/>
          <w:color w:val="auto"/>
          <w:sz w:val="44"/>
          <w:highlight w:val="none"/>
        </w:rPr>
      </w:pPr>
    </w:p>
    <w:p w14:paraId="36DED96A">
      <w:pPr>
        <w:snapToGrid w:val="0"/>
        <w:spacing w:line="360" w:lineRule="auto"/>
        <w:jc w:val="center"/>
        <w:rPr>
          <w:rStyle w:val="44"/>
          <w:color w:val="auto"/>
          <w:sz w:val="36"/>
          <w:szCs w:val="36"/>
          <w:highlight w:val="none"/>
        </w:rPr>
      </w:pPr>
      <w:r>
        <w:rPr>
          <w:rFonts w:hint="eastAsia" w:ascii="宋体" w:hAnsi="宋体"/>
          <w:b/>
          <w:color w:val="auto"/>
          <w:sz w:val="52"/>
          <w:szCs w:val="52"/>
          <w:highlight w:val="none"/>
        </w:rPr>
        <w:t xml:space="preserve">招 标 </w:t>
      </w:r>
      <w:r>
        <w:rPr>
          <w:rFonts w:ascii="宋体" w:hAnsi="宋体"/>
          <w:b/>
          <w:color w:val="auto"/>
          <w:sz w:val="52"/>
          <w:szCs w:val="52"/>
          <w:highlight w:val="none"/>
        </w:rPr>
        <w:t>文</w:t>
      </w:r>
      <w:r>
        <w:rPr>
          <w:rFonts w:hint="eastAsia" w:ascii="宋体" w:hAnsi="宋体"/>
          <w:b/>
          <w:color w:val="auto"/>
          <w:sz w:val="52"/>
          <w:szCs w:val="52"/>
          <w:highlight w:val="none"/>
        </w:rPr>
        <w:t xml:space="preserve"> </w:t>
      </w:r>
      <w:r>
        <w:rPr>
          <w:rFonts w:ascii="宋体" w:hAnsi="宋体"/>
          <w:b/>
          <w:color w:val="auto"/>
          <w:sz w:val="52"/>
          <w:szCs w:val="52"/>
          <w:highlight w:val="none"/>
        </w:rPr>
        <w:t>件</w:t>
      </w:r>
    </w:p>
    <w:p w14:paraId="422DC177">
      <w:pPr>
        <w:snapToGrid w:val="0"/>
        <w:jc w:val="center"/>
        <w:rPr>
          <w:rStyle w:val="44"/>
          <w:rFonts w:cs="仿宋"/>
          <w:b w:val="0"/>
          <w:bCs/>
          <w:color w:val="auto"/>
          <w:highlight w:val="none"/>
        </w:rPr>
      </w:pPr>
    </w:p>
    <w:p w14:paraId="5B86F737">
      <w:pPr>
        <w:snapToGrid w:val="0"/>
        <w:jc w:val="center"/>
        <w:rPr>
          <w:rStyle w:val="44"/>
          <w:rFonts w:cs="仿宋"/>
          <w:b w:val="0"/>
          <w:bCs/>
          <w:color w:val="auto"/>
          <w:highlight w:val="none"/>
        </w:rPr>
      </w:pPr>
    </w:p>
    <w:p w14:paraId="40DA786D">
      <w:pPr>
        <w:snapToGrid w:val="0"/>
        <w:spacing w:line="480" w:lineRule="auto"/>
        <w:ind w:firstLine="357"/>
        <w:rPr>
          <w:rStyle w:val="42"/>
          <w:rFonts w:hint="eastAsia" w:ascii="宋体" w:hAnsi="宋体" w:eastAsia="宋体"/>
          <w:bCs/>
          <w:color w:val="auto"/>
          <w:sz w:val="24"/>
          <w:highlight w:val="none"/>
          <w:lang w:eastAsia="zh-CN"/>
        </w:rPr>
      </w:pPr>
      <w:r>
        <w:rPr>
          <w:rStyle w:val="42"/>
          <w:rFonts w:hint="eastAsia" w:ascii="宋体" w:hAnsi="宋体"/>
          <w:bCs/>
          <w:color w:val="auto"/>
          <w:sz w:val="24"/>
          <w:highlight w:val="none"/>
        </w:rPr>
        <w:t>项目名称：</w:t>
      </w:r>
      <w:r>
        <w:rPr>
          <w:rStyle w:val="42"/>
          <w:rFonts w:hint="eastAsia" w:ascii="宋体" w:hAnsi="宋体"/>
          <w:bCs/>
          <w:color w:val="auto"/>
          <w:sz w:val="24"/>
          <w:highlight w:val="none"/>
          <w:lang w:eastAsia="zh-CN"/>
        </w:rPr>
        <w:t>乌鲁木齐甘泉堡经济技术开发区（工业区）重大安全风险防控项目-智能化管控升级运营项目</w:t>
      </w:r>
    </w:p>
    <w:p w14:paraId="0BA96EDB">
      <w:pPr>
        <w:snapToGrid w:val="0"/>
        <w:spacing w:line="480" w:lineRule="auto"/>
        <w:ind w:firstLine="357"/>
        <w:rPr>
          <w:rStyle w:val="42"/>
          <w:rFonts w:hint="default" w:ascii="宋体" w:hAnsi="宋体" w:eastAsia="宋体"/>
          <w:bCs/>
          <w:color w:val="auto"/>
          <w:sz w:val="24"/>
          <w:highlight w:val="none"/>
          <w:lang w:val="en-US" w:eastAsia="zh-CN"/>
        </w:rPr>
      </w:pPr>
      <w:r>
        <w:rPr>
          <w:rStyle w:val="42"/>
          <w:rFonts w:hint="eastAsia" w:ascii="宋体" w:hAnsi="宋体"/>
          <w:bCs/>
          <w:color w:val="auto"/>
          <w:sz w:val="24"/>
          <w:highlight w:val="none"/>
        </w:rPr>
        <w:t>项目编号：</w:t>
      </w:r>
      <w:r>
        <w:rPr>
          <w:rStyle w:val="42"/>
          <w:rFonts w:hint="eastAsia" w:ascii="宋体" w:hAnsi="宋体"/>
          <w:bCs/>
          <w:color w:val="auto"/>
          <w:sz w:val="24"/>
          <w:highlight w:val="none"/>
          <w:lang w:val="en-US" w:eastAsia="zh-CN"/>
        </w:rPr>
        <w:t>TYFWZB2026-088</w:t>
      </w:r>
    </w:p>
    <w:p w14:paraId="47389036">
      <w:pPr>
        <w:snapToGrid w:val="0"/>
        <w:spacing w:line="480" w:lineRule="auto"/>
        <w:ind w:firstLine="357"/>
        <w:rPr>
          <w:rStyle w:val="42"/>
          <w:rFonts w:hint="eastAsia" w:ascii="宋体" w:hAnsi="宋体" w:eastAsia="宋体"/>
          <w:bCs/>
          <w:color w:val="auto"/>
          <w:sz w:val="24"/>
          <w:highlight w:val="none"/>
          <w:lang w:eastAsia="zh-CN"/>
        </w:rPr>
      </w:pPr>
      <w:r>
        <w:rPr>
          <w:rStyle w:val="42"/>
          <w:rFonts w:hint="eastAsia" w:ascii="宋体" w:hAnsi="宋体"/>
          <w:bCs/>
          <w:color w:val="auto"/>
          <w:sz w:val="24"/>
          <w:highlight w:val="none"/>
        </w:rPr>
        <w:t>采购人（盖章）:</w:t>
      </w:r>
      <w:r>
        <w:rPr>
          <w:rStyle w:val="42"/>
          <w:rFonts w:hint="eastAsia" w:ascii="宋体" w:hAnsi="宋体"/>
          <w:bCs/>
          <w:color w:val="auto"/>
          <w:sz w:val="24"/>
          <w:highlight w:val="none"/>
          <w:lang w:eastAsia="zh-CN"/>
        </w:rPr>
        <w:t>乌鲁木齐甘泉堡经济技术开发区（工业区）应急管理局</w:t>
      </w:r>
    </w:p>
    <w:p w14:paraId="456FB38C">
      <w:pPr>
        <w:snapToGrid w:val="0"/>
        <w:spacing w:line="480" w:lineRule="auto"/>
        <w:ind w:firstLine="357"/>
        <w:rPr>
          <w:rStyle w:val="42"/>
          <w:rFonts w:ascii="宋体" w:hAnsi="宋体"/>
          <w:bCs/>
          <w:color w:val="auto"/>
          <w:sz w:val="24"/>
          <w:highlight w:val="none"/>
        </w:rPr>
      </w:pPr>
      <w:r>
        <w:rPr>
          <w:rStyle w:val="42"/>
          <w:rFonts w:hint="eastAsia" w:ascii="宋体" w:hAnsi="宋体"/>
          <w:bCs/>
          <w:color w:val="auto"/>
          <w:sz w:val="24"/>
          <w:highlight w:val="none"/>
        </w:rPr>
        <w:t>法定代表人（签章）:/</w:t>
      </w:r>
    </w:p>
    <w:p w14:paraId="775B9DEB">
      <w:pPr>
        <w:snapToGrid w:val="0"/>
        <w:spacing w:line="480" w:lineRule="auto"/>
        <w:ind w:firstLine="357"/>
        <w:rPr>
          <w:rStyle w:val="42"/>
          <w:rFonts w:hint="eastAsia" w:ascii="宋体" w:hAnsi="宋体" w:eastAsia="宋体"/>
          <w:bCs/>
          <w:color w:val="auto"/>
          <w:sz w:val="24"/>
          <w:highlight w:val="none"/>
          <w:lang w:eastAsia="zh-CN"/>
        </w:rPr>
      </w:pPr>
      <w:r>
        <w:rPr>
          <w:rStyle w:val="42"/>
          <w:rFonts w:hint="eastAsia" w:ascii="宋体" w:hAnsi="宋体"/>
          <w:bCs/>
          <w:color w:val="auto"/>
          <w:sz w:val="24"/>
          <w:highlight w:val="none"/>
        </w:rPr>
        <w:t>联系人：</w:t>
      </w:r>
      <w:r>
        <w:rPr>
          <w:rStyle w:val="42"/>
          <w:rFonts w:hint="eastAsia" w:ascii="宋体" w:hAnsi="宋体"/>
          <w:bCs/>
          <w:color w:val="auto"/>
          <w:sz w:val="24"/>
          <w:highlight w:val="none"/>
          <w:lang w:val="en-US" w:eastAsia="zh-CN"/>
        </w:rPr>
        <w:t xml:space="preserve"> 何少华</w:t>
      </w:r>
    </w:p>
    <w:p w14:paraId="5637B27C">
      <w:pPr>
        <w:snapToGrid w:val="0"/>
        <w:spacing w:line="480" w:lineRule="auto"/>
        <w:ind w:firstLine="357"/>
        <w:rPr>
          <w:rStyle w:val="42"/>
          <w:rFonts w:hint="eastAsia" w:ascii="宋体" w:hAnsi="宋体" w:eastAsia="宋体"/>
          <w:bCs/>
          <w:color w:val="auto"/>
          <w:sz w:val="24"/>
          <w:highlight w:val="none"/>
          <w:lang w:eastAsia="zh-CN"/>
        </w:rPr>
      </w:pPr>
      <w:r>
        <w:rPr>
          <w:rStyle w:val="42"/>
          <w:rFonts w:hint="eastAsia" w:ascii="宋体" w:hAnsi="宋体"/>
          <w:bCs/>
          <w:color w:val="auto"/>
          <w:sz w:val="24"/>
          <w:highlight w:val="none"/>
        </w:rPr>
        <w:t>电话：</w:t>
      </w:r>
      <w:r>
        <w:rPr>
          <w:rStyle w:val="42"/>
          <w:rFonts w:hint="eastAsia" w:ascii="宋体" w:hAnsi="宋体"/>
          <w:bCs/>
          <w:color w:val="auto"/>
          <w:sz w:val="24"/>
          <w:highlight w:val="none"/>
          <w:lang w:val="en-US" w:eastAsia="zh-CN"/>
        </w:rPr>
        <w:t xml:space="preserve"> 18294073125 </w:t>
      </w:r>
    </w:p>
    <w:p w14:paraId="05531D12">
      <w:pPr>
        <w:snapToGrid w:val="0"/>
        <w:spacing w:line="480" w:lineRule="auto"/>
        <w:ind w:firstLine="357"/>
        <w:rPr>
          <w:rStyle w:val="42"/>
          <w:rFonts w:hint="eastAsia" w:ascii="宋体" w:hAnsi="宋体" w:eastAsia="宋体"/>
          <w:bCs/>
          <w:color w:val="auto"/>
          <w:sz w:val="24"/>
          <w:highlight w:val="none"/>
          <w:lang w:eastAsia="zh-CN"/>
        </w:rPr>
      </w:pPr>
      <w:r>
        <w:rPr>
          <w:rStyle w:val="42"/>
          <w:rFonts w:hint="eastAsia" w:ascii="宋体" w:hAnsi="宋体"/>
          <w:bCs/>
          <w:color w:val="auto"/>
          <w:sz w:val="24"/>
          <w:highlight w:val="none"/>
        </w:rPr>
        <w:t>详细地址：</w:t>
      </w:r>
      <w:r>
        <w:rPr>
          <w:rStyle w:val="42"/>
          <w:rFonts w:hint="eastAsia" w:ascii="宋体" w:hAnsi="宋体"/>
          <w:bCs/>
          <w:color w:val="auto"/>
          <w:sz w:val="24"/>
          <w:highlight w:val="none"/>
          <w:lang w:eastAsia="zh-CN"/>
        </w:rPr>
        <w:t>乌鲁木齐甘泉堡经济技术开发区(工业区)瀚海东街2345号</w:t>
      </w:r>
    </w:p>
    <w:p w14:paraId="4C005BEA">
      <w:pPr>
        <w:snapToGrid w:val="0"/>
        <w:spacing w:line="480" w:lineRule="auto"/>
        <w:ind w:firstLine="357"/>
        <w:rPr>
          <w:rStyle w:val="42"/>
          <w:rFonts w:ascii="宋体" w:hAnsi="宋体"/>
          <w:bCs/>
          <w:color w:val="auto"/>
          <w:sz w:val="24"/>
          <w:highlight w:val="none"/>
        </w:rPr>
      </w:pPr>
    </w:p>
    <w:p w14:paraId="212AC551">
      <w:pPr>
        <w:snapToGrid w:val="0"/>
        <w:spacing w:line="480" w:lineRule="auto"/>
        <w:ind w:firstLine="357"/>
        <w:rPr>
          <w:rStyle w:val="42"/>
          <w:rFonts w:ascii="宋体" w:hAnsi="宋体"/>
          <w:bCs/>
          <w:color w:val="auto"/>
          <w:sz w:val="24"/>
          <w:highlight w:val="none"/>
        </w:rPr>
      </w:pPr>
    </w:p>
    <w:p w14:paraId="1F5CA7D8">
      <w:pPr>
        <w:snapToGrid w:val="0"/>
        <w:spacing w:line="480" w:lineRule="auto"/>
        <w:ind w:firstLine="357"/>
        <w:rPr>
          <w:rStyle w:val="42"/>
          <w:rFonts w:ascii="宋体" w:hAnsi="宋体"/>
          <w:bCs/>
          <w:color w:val="auto"/>
          <w:sz w:val="24"/>
          <w:highlight w:val="none"/>
        </w:rPr>
      </w:pPr>
      <w:r>
        <w:rPr>
          <w:rStyle w:val="42"/>
          <w:rFonts w:hint="eastAsia" w:ascii="宋体" w:hAnsi="宋体"/>
          <w:bCs/>
          <w:color w:val="auto"/>
          <w:sz w:val="24"/>
          <w:highlight w:val="none"/>
        </w:rPr>
        <w:t>采购代理机构</w:t>
      </w:r>
      <w:r>
        <w:rPr>
          <w:rStyle w:val="42"/>
          <w:rFonts w:ascii="宋体" w:hAnsi="宋体"/>
          <w:bCs/>
          <w:color w:val="auto"/>
          <w:sz w:val="24"/>
          <w:highlight w:val="none"/>
        </w:rPr>
        <w:t>（盖章）:新疆拓源工程管理咨询有限公司</w:t>
      </w:r>
    </w:p>
    <w:p w14:paraId="4B076ED4">
      <w:pPr>
        <w:snapToGrid w:val="0"/>
        <w:spacing w:line="480" w:lineRule="auto"/>
        <w:ind w:firstLine="357"/>
        <w:rPr>
          <w:rStyle w:val="42"/>
          <w:rFonts w:hint="eastAsia" w:ascii="宋体" w:hAnsi="宋体"/>
          <w:bCs/>
          <w:color w:val="auto"/>
          <w:sz w:val="24"/>
          <w:highlight w:val="none"/>
          <w:lang w:val="en-US" w:eastAsia="zh-CN"/>
        </w:rPr>
      </w:pPr>
      <w:r>
        <w:rPr>
          <w:rStyle w:val="42"/>
          <w:rFonts w:ascii="宋体" w:hAnsi="宋体"/>
          <w:bCs/>
          <w:color w:val="auto"/>
          <w:spacing w:val="35"/>
          <w:kern w:val="0"/>
          <w:sz w:val="24"/>
          <w:highlight w:val="none"/>
        </w:rPr>
        <w:t>法定代表</w:t>
      </w:r>
      <w:r>
        <w:rPr>
          <w:rStyle w:val="42"/>
          <w:rFonts w:ascii="宋体" w:hAnsi="宋体"/>
          <w:bCs/>
          <w:color w:val="auto"/>
          <w:spacing w:val="3"/>
          <w:kern w:val="0"/>
          <w:sz w:val="24"/>
          <w:highlight w:val="none"/>
        </w:rPr>
        <w:t>人</w:t>
      </w:r>
      <w:r>
        <w:rPr>
          <w:rStyle w:val="42"/>
          <w:rFonts w:ascii="宋体" w:hAnsi="宋体"/>
          <w:bCs/>
          <w:color w:val="auto"/>
          <w:sz w:val="24"/>
          <w:highlight w:val="none"/>
        </w:rPr>
        <w:t>（盖章）:</w:t>
      </w:r>
      <w:r>
        <w:rPr>
          <w:rStyle w:val="42"/>
          <w:rFonts w:hint="eastAsia" w:ascii="宋体" w:hAnsi="宋体"/>
          <w:bCs/>
          <w:color w:val="auto"/>
          <w:sz w:val="24"/>
          <w:highlight w:val="none"/>
          <w:lang w:val="en-US" w:eastAsia="zh-CN"/>
        </w:rPr>
        <w:t>石崇华</w:t>
      </w:r>
    </w:p>
    <w:p w14:paraId="085B097E">
      <w:pPr>
        <w:pStyle w:val="36"/>
        <w:ind w:firstLine="0" w:firstLineChars="0"/>
        <w:rPr>
          <w:rFonts w:hint="eastAsia"/>
          <w:highlight w:val="none"/>
          <w:lang w:eastAsia="zh-CN"/>
        </w:rPr>
      </w:pPr>
    </w:p>
    <w:p w14:paraId="5FADAAD3">
      <w:pPr>
        <w:snapToGrid w:val="0"/>
        <w:spacing w:line="480" w:lineRule="auto"/>
        <w:ind w:firstLine="357"/>
        <w:rPr>
          <w:rStyle w:val="42"/>
          <w:rFonts w:ascii="宋体" w:hAnsi="宋体"/>
          <w:bCs/>
          <w:color w:val="auto"/>
          <w:sz w:val="24"/>
          <w:highlight w:val="none"/>
        </w:rPr>
      </w:pPr>
      <w:r>
        <w:rPr>
          <w:rStyle w:val="42"/>
          <w:rFonts w:ascii="宋体" w:hAnsi="宋体"/>
          <w:bCs/>
          <w:color w:val="auto"/>
          <w:spacing w:val="35"/>
          <w:kern w:val="0"/>
          <w:sz w:val="24"/>
          <w:highlight w:val="none"/>
        </w:rPr>
        <w:t>项</w:t>
      </w:r>
      <w:r>
        <w:rPr>
          <w:rStyle w:val="42"/>
          <w:rFonts w:hint="eastAsia" w:ascii="宋体" w:hAnsi="宋体"/>
          <w:bCs/>
          <w:color w:val="auto"/>
          <w:spacing w:val="35"/>
          <w:kern w:val="0"/>
          <w:sz w:val="24"/>
          <w:highlight w:val="none"/>
        </w:rPr>
        <w:t xml:space="preserve"> </w:t>
      </w:r>
      <w:r>
        <w:rPr>
          <w:rStyle w:val="42"/>
          <w:rFonts w:ascii="宋体" w:hAnsi="宋体"/>
          <w:bCs/>
          <w:color w:val="auto"/>
          <w:spacing w:val="35"/>
          <w:kern w:val="0"/>
          <w:sz w:val="24"/>
          <w:highlight w:val="none"/>
        </w:rPr>
        <w:t>目</w:t>
      </w:r>
      <w:r>
        <w:rPr>
          <w:rStyle w:val="42"/>
          <w:rFonts w:hint="eastAsia" w:ascii="宋体" w:hAnsi="宋体"/>
          <w:bCs/>
          <w:color w:val="auto"/>
          <w:spacing w:val="35"/>
          <w:kern w:val="0"/>
          <w:sz w:val="24"/>
          <w:highlight w:val="none"/>
        </w:rPr>
        <w:t xml:space="preserve"> 联系人</w:t>
      </w:r>
      <w:r>
        <w:rPr>
          <w:rStyle w:val="42"/>
          <w:rFonts w:ascii="宋体" w:hAnsi="宋体"/>
          <w:bCs/>
          <w:color w:val="auto"/>
          <w:sz w:val="24"/>
          <w:highlight w:val="none"/>
        </w:rPr>
        <w:t>：</w:t>
      </w:r>
      <w:r>
        <w:rPr>
          <w:rStyle w:val="42"/>
          <w:rFonts w:hint="eastAsia" w:ascii="宋体" w:hAnsi="宋体"/>
          <w:bCs/>
          <w:color w:val="auto"/>
          <w:sz w:val="24"/>
          <w:highlight w:val="none"/>
          <w:lang w:val="en-US" w:eastAsia="zh-CN"/>
        </w:rPr>
        <w:t>刘恒运、张曼、余宗键、田释月</w:t>
      </w:r>
    </w:p>
    <w:p w14:paraId="043E6B99">
      <w:pPr>
        <w:snapToGrid w:val="0"/>
        <w:spacing w:line="480" w:lineRule="auto"/>
        <w:ind w:firstLine="357"/>
        <w:rPr>
          <w:rStyle w:val="42"/>
          <w:rFonts w:ascii="宋体" w:hAnsi="宋体"/>
          <w:bCs/>
          <w:color w:val="auto"/>
          <w:sz w:val="24"/>
          <w:highlight w:val="none"/>
        </w:rPr>
      </w:pPr>
      <w:r>
        <w:rPr>
          <w:rStyle w:val="42"/>
          <w:rFonts w:ascii="宋体" w:hAnsi="宋体"/>
          <w:bCs/>
          <w:color w:val="auto"/>
          <w:spacing w:val="560"/>
          <w:kern w:val="0"/>
          <w:sz w:val="24"/>
          <w:highlight w:val="none"/>
        </w:rPr>
        <w:t>电</w:t>
      </w:r>
      <w:r>
        <w:rPr>
          <w:rStyle w:val="42"/>
          <w:rFonts w:ascii="宋体" w:hAnsi="宋体"/>
          <w:bCs/>
          <w:color w:val="auto"/>
          <w:kern w:val="0"/>
          <w:sz w:val="24"/>
          <w:highlight w:val="none"/>
        </w:rPr>
        <w:t>话</w:t>
      </w:r>
      <w:r>
        <w:rPr>
          <w:rStyle w:val="42"/>
          <w:rFonts w:ascii="宋体" w:hAnsi="宋体"/>
          <w:bCs/>
          <w:color w:val="auto"/>
          <w:sz w:val="24"/>
          <w:highlight w:val="none"/>
        </w:rPr>
        <w:t>：</w:t>
      </w:r>
      <w:r>
        <w:rPr>
          <w:rStyle w:val="42"/>
          <w:rFonts w:hint="eastAsia" w:ascii="宋体" w:hAnsi="宋体"/>
          <w:bCs/>
          <w:color w:val="auto"/>
          <w:sz w:val="24"/>
          <w:highlight w:val="none"/>
          <w:lang w:val="en-US" w:eastAsia="zh-CN"/>
        </w:rPr>
        <w:t>19909911103</w:t>
      </w:r>
    </w:p>
    <w:p w14:paraId="250BF606">
      <w:pPr>
        <w:snapToGrid w:val="0"/>
        <w:spacing w:line="480" w:lineRule="auto"/>
        <w:ind w:firstLine="357"/>
        <w:rPr>
          <w:rStyle w:val="42"/>
          <w:rFonts w:ascii="宋体" w:hAnsi="宋体"/>
          <w:bCs/>
          <w:color w:val="auto"/>
          <w:sz w:val="24"/>
          <w:highlight w:val="none"/>
        </w:rPr>
      </w:pPr>
      <w:r>
        <w:rPr>
          <w:rStyle w:val="42"/>
          <w:rFonts w:ascii="宋体" w:hAnsi="宋体"/>
          <w:bCs/>
          <w:color w:val="auto"/>
          <w:spacing w:val="93"/>
          <w:kern w:val="0"/>
          <w:sz w:val="24"/>
          <w:highlight w:val="none"/>
        </w:rPr>
        <w:t>详细地</w:t>
      </w:r>
      <w:r>
        <w:rPr>
          <w:rStyle w:val="42"/>
          <w:rFonts w:ascii="宋体" w:hAnsi="宋体"/>
          <w:bCs/>
          <w:color w:val="auto"/>
          <w:spacing w:val="1"/>
          <w:kern w:val="0"/>
          <w:sz w:val="24"/>
          <w:highlight w:val="none"/>
        </w:rPr>
        <w:t>址</w:t>
      </w:r>
      <w:r>
        <w:rPr>
          <w:rStyle w:val="42"/>
          <w:rFonts w:hint="eastAsia" w:ascii="宋体" w:hAnsi="宋体"/>
          <w:bCs/>
          <w:color w:val="auto"/>
          <w:spacing w:val="1"/>
          <w:kern w:val="0"/>
          <w:sz w:val="24"/>
          <w:highlight w:val="none"/>
        </w:rPr>
        <w:t>：</w:t>
      </w:r>
      <w:r>
        <w:rPr>
          <w:rStyle w:val="42"/>
          <w:rFonts w:hint="eastAsia" w:ascii="宋体" w:hAnsi="宋体"/>
          <w:bCs/>
          <w:color w:val="auto"/>
          <w:sz w:val="24"/>
          <w:highlight w:val="none"/>
        </w:rPr>
        <w:t>乌鲁木齐市水磨沟区龙盛街898号万科中央公园S6栋5层</w:t>
      </w:r>
    </w:p>
    <w:p w14:paraId="7B40E9EC">
      <w:pPr>
        <w:pStyle w:val="12"/>
        <w:rPr>
          <w:rStyle w:val="42"/>
          <w:rFonts w:ascii="宋体" w:hAnsi="宋体"/>
          <w:bCs/>
          <w:color w:val="auto"/>
          <w:sz w:val="24"/>
          <w:highlight w:val="none"/>
        </w:rPr>
      </w:pPr>
    </w:p>
    <w:p w14:paraId="15EC4A8A">
      <w:pPr>
        <w:snapToGrid w:val="0"/>
        <w:spacing w:after="120" w:line="540" w:lineRule="exact"/>
        <w:ind w:firstLine="437"/>
        <w:jc w:val="center"/>
        <w:rPr>
          <w:rFonts w:ascii="宋体" w:hAnsi="宋体"/>
          <w:color w:val="auto"/>
          <w:sz w:val="44"/>
          <w:highlight w:val="none"/>
        </w:rPr>
      </w:pPr>
    </w:p>
    <w:p w14:paraId="1FC57221">
      <w:pPr>
        <w:snapToGrid w:val="0"/>
        <w:spacing w:after="120" w:line="540" w:lineRule="exact"/>
        <w:ind w:firstLine="437"/>
        <w:jc w:val="center"/>
        <w:rPr>
          <w:rFonts w:ascii="宋体" w:hAnsi="宋体"/>
          <w:color w:val="auto"/>
          <w:sz w:val="44"/>
          <w:highlight w:val="none"/>
        </w:rPr>
      </w:pPr>
    </w:p>
    <w:p w14:paraId="5CD8B8DB">
      <w:pPr>
        <w:snapToGrid w:val="0"/>
        <w:spacing w:after="120" w:line="540" w:lineRule="exact"/>
        <w:rPr>
          <w:rFonts w:ascii="宋体" w:hAnsi="宋体"/>
          <w:color w:val="auto"/>
          <w:sz w:val="44"/>
          <w:highlight w:val="none"/>
        </w:rPr>
      </w:pPr>
    </w:p>
    <w:p w14:paraId="0C4BC28F">
      <w:pPr>
        <w:snapToGrid w:val="0"/>
        <w:spacing w:after="120" w:line="540" w:lineRule="exact"/>
        <w:ind w:firstLine="437"/>
        <w:jc w:val="center"/>
        <w:rPr>
          <w:rFonts w:ascii="宋体" w:hAnsi="宋体"/>
          <w:color w:val="auto"/>
          <w:sz w:val="44"/>
          <w:highlight w:val="none"/>
        </w:rPr>
      </w:pPr>
    </w:p>
    <w:p w14:paraId="1B5F7A72">
      <w:pPr>
        <w:pStyle w:val="12"/>
        <w:rPr>
          <w:color w:val="auto"/>
          <w:highlight w:val="none"/>
        </w:rPr>
      </w:pPr>
    </w:p>
    <w:p w14:paraId="7165ADC8">
      <w:pPr>
        <w:pStyle w:val="28"/>
        <w:rPr>
          <w:color w:val="auto"/>
          <w:highlight w:val="none"/>
        </w:rPr>
      </w:pPr>
    </w:p>
    <w:p w14:paraId="7C36009D">
      <w:pPr>
        <w:rPr>
          <w:color w:val="auto"/>
          <w:highlight w:val="none"/>
        </w:rPr>
      </w:pPr>
    </w:p>
    <w:p w14:paraId="7941C52A">
      <w:pPr>
        <w:pStyle w:val="7"/>
        <w:rPr>
          <w:color w:val="auto"/>
          <w:highlight w:val="none"/>
        </w:rPr>
      </w:pPr>
    </w:p>
    <w:p w14:paraId="62B90568">
      <w:pPr>
        <w:rPr>
          <w:color w:val="auto"/>
          <w:highlight w:val="none"/>
        </w:rPr>
      </w:pPr>
    </w:p>
    <w:p w14:paraId="3F56C3DF">
      <w:pPr>
        <w:pStyle w:val="7"/>
        <w:rPr>
          <w:color w:val="auto"/>
          <w:highlight w:val="none"/>
        </w:rPr>
      </w:pPr>
    </w:p>
    <w:p w14:paraId="35FDD4FC">
      <w:pPr>
        <w:snapToGrid w:val="0"/>
        <w:spacing w:after="120" w:line="480" w:lineRule="auto"/>
        <w:jc w:val="left"/>
        <w:rPr>
          <w:rFonts w:hint="eastAsia" w:eastAsia="宋体"/>
          <w:color w:val="auto"/>
          <w:highlight w:val="none"/>
          <w:lang w:eastAsia="zh-CN"/>
        </w:rPr>
      </w:pPr>
      <w:r>
        <w:rPr>
          <w:rFonts w:ascii="宋体" w:hAnsi="宋体"/>
          <w:color w:val="auto"/>
          <w:sz w:val="28"/>
          <w:highlight w:val="none"/>
        </w:rPr>
        <w:t xml:space="preserve">                文件编制:</w:t>
      </w:r>
      <w:r>
        <w:rPr>
          <w:rFonts w:hint="eastAsia" w:ascii="宋体" w:hAnsi="宋体"/>
          <w:color w:val="auto"/>
          <w:sz w:val="28"/>
          <w:highlight w:val="none"/>
          <w:lang w:val="en-US" w:eastAsia="zh-CN"/>
        </w:rPr>
        <w:t>刘恒运</w:t>
      </w:r>
    </w:p>
    <w:p w14:paraId="07F88D07">
      <w:pPr>
        <w:snapToGrid w:val="0"/>
        <w:spacing w:after="120" w:line="480" w:lineRule="auto"/>
        <w:jc w:val="left"/>
        <w:rPr>
          <w:color w:val="auto"/>
          <w:highlight w:val="none"/>
        </w:rPr>
      </w:pPr>
      <w:r>
        <w:rPr>
          <w:rFonts w:ascii="宋体" w:hAnsi="宋体"/>
          <w:color w:val="auto"/>
          <w:sz w:val="28"/>
          <w:highlight w:val="none"/>
        </w:rPr>
        <w:t xml:space="preserve">                文件复核:</w:t>
      </w:r>
      <w:r>
        <w:rPr>
          <w:rFonts w:hint="eastAsia" w:ascii="宋体" w:hAnsi="宋体"/>
          <w:color w:val="auto"/>
          <w:sz w:val="28"/>
          <w:highlight w:val="none"/>
          <w:lang w:val="en-US" w:eastAsia="zh-CN"/>
        </w:rPr>
        <w:t>张曼</w:t>
      </w:r>
      <w:r>
        <w:rPr>
          <w:rFonts w:hint="eastAsia" w:ascii="宋体" w:hAnsi="宋体"/>
          <w:color w:val="auto"/>
          <w:sz w:val="28"/>
          <w:highlight w:val="none"/>
        </w:rPr>
        <w:t xml:space="preserve"> </w:t>
      </w:r>
    </w:p>
    <w:p w14:paraId="6DCD0945">
      <w:pPr>
        <w:snapToGrid w:val="0"/>
        <w:spacing w:after="120" w:line="480" w:lineRule="auto"/>
        <w:jc w:val="left"/>
        <w:rPr>
          <w:rFonts w:ascii="宋体" w:hAnsi="宋体"/>
          <w:color w:val="auto"/>
          <w:sz w:val="44"/>
          <w:highlight w:val="none"/>
        </w:rPr>
      </w:pPr>
      <w:r>
        <w:rPr>
          <w:rFonts w:ascii="宋体" w:hAnsi="宋体"/>
          <w:color w:val="auto"/>
          <w:sz w:val="28"/>
          <w:highlight w:val="none"/>
        </w:rPr>
        <w:t xml:space="preserve">                文件终审:</w:t>
      </w:r>
      <w:r>
        <w:rPr>
          <w:rFonts w:hint="eastAsia" w:ascii="宋体" w:hAnsi="宋体"/>
          <w:color w:val="auto"/>
          <w:sz w:val="28"/>
          <w:highlight w:val="none"/>
          <w:lang w:val="en-US" w:eastAsia="zh-CN"/>
        </w:rPr>
        <w:t>田释月</w:t>
      </w:r>
      <w:r>
        <w:rPr>
          <w:rFonts w:ascii="宋体" w:hAnsi="宋体"/>
          <w:color w:val="auto"/>
          <w:sz w:val="28"/>
          <w:highlight w:val="none"/>
        </w:rPr>
        <w:t xml:space="preserve">   </w:t>
      </w:r>
    </w:p>
    <w:p w14:paraId="675D2D24">
      <w:pPr>
        <w:snapToGrid w:val="0"/>
        <w:spacing w:after="120" w:line="480" w:lineRule="auto"/>
        <w:jc w:val="left"/>
        <w:rPr>
          <w:rFonts w:ascii="宋体" w:hAnsi="宋体"/>
          <w:color w:val="auto"/>
          <w:sz w:val="44"/>
          <w:highlight w:val="none"/>
        </w:rPr>
      </w:pPr>
      <w:r>
        <w:rPr>
          <w:rFonts w:ascii="宋体" w:hAnsi="宋体"/>
          <w:color w:val="auto"/>
          <w:sz w:val="28"/>
          <w:highlight w:val="none"/>
        </w:rPr>
        <w:t xml:space="preserve">                法律顾问:杜红</w:t>
      </w:r>
    </w:p>
    <w:p w14:paraId="25C0A187">
      <w:pPr>
        <w:snapToGrid w:val="0"/>
        <w:spacing w:after="120" w:line="540" w:lineRule="exact"/>
        <w:jc w:val="left"/>
        <w:rPr>
          <w:rFonts w:ascii="宋体" w:hAnsi="宋体"/>
          <w:color w:val="auto"/>
          <w:sz w:val="44"/>
          <w:highlight w:val="none"/>
        </w:rPr>
      </w:pPr>
    </w:p>
    <w:p w14:paraId="2A3ACE6B">
      <w:pPr>
        <w:snapToGrid w:val="0"/>
        <w:spacing w:after="120" w:line="540" w:lineRule="exact"/>
        <w:jc w:val="left"/>
        <w:rPr>
          <w:rFonts w:ascii="宋体" w:hAnsi="宋体"/>
          <w:color w:val="auto"/>
          <w:sz w:val="44"/>
          <w:highlight w:val="none"/>
        </w:rPr>
      </w:pPr>
    </w:p>
    <w:p w14:paraId="6CC42FE5">
      <w:pPr>
        <w:snapToGrid w:val="0"/>
        <w:spacing w:after="120" w:line="540" w:lineRule="exact"/>
        <w:jc w:val="left"/>
        <w:rPr>
          <w:rFonts w:ascii="宋体" w:hAnsi="宋体"/>
          <w:color w:val="auto"/>
          <w:sz w:val="44"/>
          <w:highlight w:val="none"/>
        </w:rPr>
      </w:pPr>
    </w:p>
    <w:p w14:paraId="2C8FA66A">
      <w:pPr>
        <w:snapToGrid w:val="0"/>
        <w:spacing w:after="120" w:line="540" w:lineRule="exact"/>
        <w:jc w:val="left"/>
        <w:rPr>
          <w:rFonts w:ascii="宋体" w:hAnsi="宋体"/>
          <w:color w:val="auto"/>
          <w:sz w:val="44"/>
          <w:highlight w:val="none"/>
        </w:rPr>
      </w:pPr>
    </w:p>
    <w:p w14:paraId="43F3949D">
      <w:pPr>
        <w:snapToGrid w:val="0"/>
        <w:spacing w:after="120" w:line="540" w:lineRule="exact"/>
        <w:jc w:val="left"/>
        <w:rPr>
          <w:rFonts w:ascii="宋体" w:hAnsi="宋体"/>
          <w:color w:val="auto"/>
          <w:sz w:val="44"/>
          <w:highlight w:val="none"/>
        </w:rPr>
      </w:pPr>
    </w:p>
    <w:p w14:paraId="011B2D6E">
      <w:pPr>
        <w:snapToGrid w:val="0"/>
        <w:spacing w:after="120" w:line="540" w:lineRule="exact"/>
        <w:jc w:val="left"/>
        <w:rPr>
          <w:rFonts w:ascii="宋体" w:hAnsi="宋体"/>
          <w:color w:val="auto"/>
          <w:sz w:val="44"/>
          <w:highlight w:val="none"/>
        </w:rPr>
      </w:pPr>
    </w:p>
    <w:p w14:paraId="42EC0E81">
      <w:pPr>
        <w:rPr>
          <w:color w:val="auto"/>
          <w:highlight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62C861FF">
      <w:pPr>
        <w:spacing w:line="500" w:lineRule="exact"/>
        <w:jc w:val="center"/>
        <w:rPr>
          <w:rFonts w:hint="eastAsia" w:ascii="宋体" w:hAnsi="宋体" w:eastAsia="宋体" w:cs="宋体"/>
          <w:b/>
          <w:color w:val="auto"/>
          <w:sz w:val="24"/>
          <w:szCs w:val="24"/>
          <w:highlight w:val="none"/>
        </w:rPr>
      </w:pPr>
      <w:bookmarkStart w:id="0" w:name="_Toc31371"/>
      <w:r>
        <w:rPr>
          <w:rFonts w:hint="eastAsia" w:ascii="宋体" w:hAnsi="宋体" w:eastAsia="宋体" w:cs="宋体"/>
          <w:b/>
          <w:color w:val="auto"/>
          <w:sz w:val="24"/>
          <w:szCs w:val="24"/>
          <w:highlight w:val="none"/>
        </w:rPr>
        <w:t>目    录</w:t>
      </w:r>
      <w:bookmarkEnd w:id="0"/>
    </w:p>
    <w:p w14:paraId="31735C6D">
      <w:pPr>
        <w:pStyle w:val="21"/>
        <w:tabs>
          <w:tab w:val="right" w:leader="dot" w:pos="8959"/>
        </w:tabs>
        <w:rPr>
          <w:rFonts w:hint="eastAsia" w:ascii="宋体" w:hAnsi="宋体" w:eastAsia="宋体" w:cs="宋体"/>
          <w:color w:val="auto"/>
          <w:sz w:val="24"/>
          <w:szCs w:val="24"/>
          <w:highlight w:val="none"/>
        </w:rPr>
      </w:pPr>
    </w:p>
    <w:p w14:paraId="78C0B44C">
      <w:pPr>
        <w:pStyle w:val="21"/>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"_Toc3427"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1DE4B9">
      <w:pPr>
        <w:pStyle w:val="21"/>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"_Toc28983"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_Toc28983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372F79">
      <w:pPr>
        <w:pStyle w:val="21"/>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2FB36">
      <w:pPr>
        <w:pStyle w:val="21"/>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"_Toc20068"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第四章  </w:t>
      </w:r>
      <w:r>
        <w:rPr>
          <w:rFonts w:hint="eastAsia" w:ascii="宋体" w:hAnsi="宋体" w:cs="宋体"/>
          <w:bCs/>
          <w:color w:val="auto"/>
          <w:sz w:val="24"/>
          <w:szCs w:val="24"/>
          <w:highlight w:val="none"/>
          <w:lang w:eastAsia="zh-CN"/>
        </w:rPr>
        <w:t>项目服务需求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DAEEB2">
      <w:pPr>
        <w:pStyle w:val="21"/>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第五章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95A9FD">
      <w:pPr>
        <w:pStyle w:val="21"/>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96760D">
      <w:pPr>
        <w:pStyle w:val="12"/>
        <w:spacing w:after="0" w:line="500" w:lineRule="exact"/>
        <w:rPr>
          <w:rFonts w:ascii="宋体" w:hAnsi="宋体" w:cs="宋体"/>
          <w:color w:val="auto"/>
          <w:sz w:val="24"/>
          <w:highlight w:val="none"/>
        </w:rPr>
      </w:pPr>
      <w:r>
        <w:rPr>
          <w:rFonts w:hint="eastAsia" w:ascii="宋体" w:hAnsi="宋体" w:eastAsia="宋体" w:cs="宋体"/>
          <w:color w:val="auto"/>
          <w:sz w:val="24"/>
          <w:szCs w:val="24"/>
          <w:highlight w:val="none"/>
        </w:rPr>
        <w:fldChar w:fldCharType="end"/>
      </w:r>
    </w:p>
    <w:p w14:paraId="472D4289">
      <w:pPr>
        <w:ind w:firstLine="480" w:firstLineChars="200"/>
        <w:rPr>
          <w:rFonts w:ascii="宋体" w:hAnsi="宋体" w:cs="宋体"/>
          <w:bCs/>
          <w:color w:val="auto"/>
          <w:sz w:val="24"/>
          <w:highlight w:val="none"/>
        </w:rPr>
      </w:pPr>
    </w:p>
    <w:p w14:paraId="1F2088D2">
      <w:pPr>
        <w:pStyle w:val="2"/>
        <w:spacing w:line="360" w:lineRule="exact"/>
        <w:rPr>
          <w:rFonts w:ascii="宋体" w:hAnsi="宋体" w:cs="宋体"/>
          <w:bCs w:val="0"/>
          <w:color w:val="auto"/>
          <w:sz w:val="24"/>
          <w:szCs w:val="24"/>
          <w:highlight w:val="none"/>
        </w:rPr>
        <w:sectPr>
          <w:headerReference r:id="rId5" w:type="default"/>
          <w:footerReference r:id="rId6" w:type="default"/>
          <w:pgSz w:w="11907" w:h="16840"/>
          <w:pgMar w:top="1440" w:right="1080" w:bottom="1440" w:left="1080" w:header="851" w:footer="992" w:gutter="0"/>
          <w:pgNumType w:start="1"/>
          <w:cols w:space="720" w:num="1"/>
          <w:docGrid w:linePitch="312" w:charSpace="0"/>
        </w:sectPr>
      </w:pPr>
    </w:p>
    <w:p w14:paraId="70A9FC28">
      <w:pPr>
        <w:pStyle w:val="2"/>
        <w:pageBreakBefore w:val="0"/>
        <w:widowControl w:val="0"/>
        <w:kinsoku/>
        <w:wordWrap/>
        <w:overflowPunct/>
        <w:topLinePunct w:val="0"/>
        <w:autoSpaceDE/>
        <w:autoSpaceDN/>
        <w:bidi w:val="0"/>
        <w:adjustRightInd/>
        <w:snapToGrid/>
        <w:spacing w:before="312" w:beforeLines="100" w:after="312" w:afterLines="100" w:line="400" w:lineRule="exact"/>
        <w:jc w:val="center"/>
        <w:textAlignment w:val="auto"/>
        <w:rPr>
          <w:rFonts w:hint="eastAsia" w:ascii="宋体" w:hAnsi="宋体" w:eastAsia="宋体" w:cs="宋体"/>
          <w:bCs w:val="0"/>
          <w:color w:val="auto"/>
          <w:sz w:val="24"/>
          <w:szCs w:val="24"/>
          <w:highlight w:val="none"/>
        </w:rPr>
      </w:pPr>
      <w:bookmarkStart w:id="1" w:name="_Toc647_WPSOffice_Level1"/>
      <w:bookmarkStart w:id="2" w:name="_Toc3427"/>
      <w:r>
        <w:rPr>
          <w:rFonts w:hint="eastAsia" w:ascii="宋体" w:hAnsi="宋体" w:eastAsia="宋体" w:cs="宋体"/>
          <w:bCs w:val="0"/>
          <w:color w:val="auto"/>
          <w:sz w:val="24"/>
          <w:szCs w:val="24"/>
          <w:highlight w:val="none"/>
        </w:rPr>
        <w:t xml:space="preserve">第一章  </w:t>
      </w:r>
      <w:bookmarkEnd w:id="1"/>
      <w:r>
        <w:rPr>
          <w:rFonts w:hint="eastAsia" w:ascii="宋体" w:hAnsi="宋体" w:eastAsia="宋体" w:cs="宋体"/>
          <w:bCs w:val="0"/>
          <w:color w:val="auto"/>
          <w:sz w:val="24"/>
          <w:szCs w:val="24"/>
          <w:highlight w:val="none"/>
        </w:rPr>
        <w:t>招标公告</w:t>
      </w:r>
      <w:bookmarkEnd w:id="2"/>
    </w:p>
    <w:p w14:paraId="46AAC877">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bookmarkStart w:id="3" w:name="_Toc213496267"/>
      <w:bookmarkStart w:id="4" w:name="_Toc217446031"/>
      <w:bookmarkStart w:id="5" w:name="_Toc856_WPSOffice_Level1"/>
      <w:bookmarkStart w:id="6" w:name="_Toc213396759"/>
      <w:bookmarkStart w:id="7" w:name="_Toc213397009"/>
      <w:bookmarkStart w:id="8" w:name="_Toc213396945"/>
      <w:r>
        <w:rPr>
          <w:rFonts w:hint="eastAsia" w:ascii="宋体" w:hAnsi="宋体" w:eastAsia="宋体" w:cs="宋体"/>
          <w:color w:val="auto"/>
          <w:sz w:val="24"/>
          <w:szCs w:val="24"/>
          <w:highlight w:val="none"/>
        </w:rPr>
        <w:t>项目概况</w:t>
      </w:r>
    </w:p>
    <w:p w14:paraId="28E4D75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乌鲁木齐甘泉堡经济技术开发区（工业区）重大安全风险防控项目-智能化管控升级运营项目</w:t>
      </w:r>
      <w:r>
        <w:rPr>
          <w:rFonts w:hint="eastAsia" w:ascii="宋体" w:hAnsi="宋体" w:eastAsia="宋体" w:cs="宋体"/>
          <w:color w:val="auto"/>
          <w:sz w:val="24"/>
          <w:szCs w:val="24"/>
          <w:highlight w:val="none"/>
        </w:rPr>
        <w:t xml:space="preserve"> 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04</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24</w:t>
      </w:r>
      <w:r>
        <w:rPr>
          <w:rFonts w:hint="eastAsia" w:ascii="宋体" w:hAnsi="宋体" w:eastAsia="宋体" w:cs="宋体"/>
          <w:bCs/>
          <w:color w:val="auto"/>
          <w:sz w:val="24"/>
          <w:szCs w:val="24"/>
          <w:highlight w:val="none"/>
          <w:u w:val="single"/>
        </w:rPr>
        <w:t>日 11 点 00 分（</w:t>
      </w:r>
      <w:r>
        <w:rPr>
          <w:rFonts w:hint="eastAsia" w:ascii="宋体" w:hAnsi="宋体" w:eastAsia="宋体" w:cs="宋体"/>
          <w:bCs/>
          <w:color w:val="auto"/>
          <w:sz w:val="24"/>
          <w:szCs w:val="24"/>
          <w:highlight w:val="none"/>
        </w:rPr>
        <w:t>北京时间）前</w:t>
      </w:r>
      <w:r>
        <w:rPr>
          <w:rFonts w:hint="eastAsia" w:ascii="宋体" w:hAnsi="宋体" w:cs="宋体"/>
          <w:bCs/>
          <w:color w:val="auto"/>
          <w:sz w:val="24"/>
          <w:szCs w:val="24"/>
          <w:highlight w:val="none"/>
          <w:lang w:eastAsia="zh-CN"/>
        </w:rPr>
        <w:t>上传</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w:t>
      </w:r>
    </w:p>
    <w:p w14:paraId="03DDA3FD">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bookmarkStart w:id="9" w:name="_Toc28359003"/>
      <w:bookmarkStart w:id="10" w:name="_Toc35393791"/>
      <w:bookmarkStart w:id="11" w:name="_Toc28359080"/>
      <w:bookmarkStart w:id="12" w:name="_Toc35393622"/>
      <w:r>
        <w:rPr>
          <w:rFonts w:hint="eastAsia" w:ascii="宋体" w:hAnsi="宋体" w:eastAsia="宋体" w:cs="宋体"/>
          <w:b w:val="0"/>
          <w:bCs/>
          <w:color w:val="auto"/>
          <w:sz w:val="24"/>
          <w:szCs w:val="24"/>
          <w:highlight w:val="none"/>
          <w:shd w:val="clear" w:color="auto" w:fill="auto"/>
        </w:rPr>
        <w:t>一、项目基本情况</w:t>
      </w:r>
      <w:r>
        <w:rPr>
          <w:rFonts w:hint="eastAsia" w:ascii="宋体" w:hAnsi="宋体" w:eastAsia="宋体" w:cs="宋体"/>
          <w:b w:val="0"/>
          <w:bCs/>
          <w:color w:val="auto"/>
          <w:sz w:val="24"/>
          <w:szCs w:val="24"/>
          <w:highlight w:val="none"/>
          <w:shd w:val="clear" w:color="auto" w:fill="auto"/>
          <w:lang w:eastAsia="zh-CN"/>
        </w:rPr>
        <w:t>：</w:t>
      </w:r>
    </w:p>
    <w:p w14:paraId="7B8E20FA">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rPr>
      </w:pPr>
      <w:r>
        <w:rPr>
          <w:rFonts w:hint="eastAsia" w:ascii="宋体" w:hAnsi="宋体" w:eastAsia="宋体" w:cs="宋体"/>
          <w:b w:val="0"/>
          <w:bCs/>
          <w:color w:val="auto"/>
          <w:sz w:val="24"/>
          <w:szCs w:val="24"/>
          <w:highlight w:val="none"/>
          <w:shd w:val="clear" w:color="auto" w:fill="auto"/>
        </w:rPr>
        <w:t xml:space="preserve">项目编号： </w:t>
      </w:r>
      <w:r>
        <w:rPr>
          <w:rStyle w:val="42"/>
          <w:rFonts w:hint="eastAsia" w:hAnsi="宋体"/>
          <w:bCs/>
          <w:color w:val="auto"/>
          <w:sz w:val="24"/>
          <w:highlight w:val="none"/>
          <w:lang w:val="en-US" w:eastAsia="zh-CN"/>
        </w:rPr>
        <w:t>TYFWZB2026-088</w:t>
      </w:r>
    </w:p>
    <w:p w14:paraId="1C20D634">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cs="宋体"/>
          <w:color w:val="auto"/>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项目名称：</w:t>
      </w:r>
      <w:r>
        <w:rPr>
          <w:rFonts w:hint="eastAsia" w:hAnsi="宋体" w:cs="宋体"/>
          <w:color w:val="auto"/>
          <w:sz w:val="24"/>
          <w:szCs w:val="24"/>
          <w:highlight w:val="none"/>
          <w:u w:val="none"/>
          <w:lang w:eastAsia="zh-CN"/>
        </w:rPr>
        <w:t>乌鲁木齐甘泉堡经济技术开发区（工业区）重大安全风险防控项目-智能化管控升级运营项目</w:t>
      </w:r>
    </w:p>
    <w:p w14:paraId="4244254C">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采购方式：</w:t>
      </w:r>
      <w:r>
        <w:rPr>
          <w:rFonts w:hint="eastAsia" w:hAnsi="宋体" w:cs="宋体"/>
          <w:b w:val="0"/>
          <w:bCs/>
          <w:color w:val="auto"/>
          <w:sz w:val="24"/>
          <w:szCs w:val="24"/>
          <w:highlight w:val="none"/>
          <w:shd w:val="clear" w:color="auto" w:fill="auto"/>
          <w:lang w:val="en-US" w:eastAsia="zh-CN"/>
        </w:rPr>
        <w:t>公开招标</w:t>
      </w:r>
    </w:p>
    <w:p w14:paraId="49764AB6">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w:t>
      </w:r>
      <w:r>
        <w:rPr>
          <w:rFonts w:hint="eastAsia" w:hAnsi="宋体" w:cs="宋体"/>
          <w:b w:val="0"/>
          <w:bCs/>
          <w:color w:val="auto"/>
          <w:sz w:val="24"/>
          <w:szCs w:val="24"/>
          <w:highlight w:val="none"/>
          <w:shd w:val="clear" w:color="auto" w:fill="auto"/>
          <w:lang w:val="en-US" w:eastAsia="zh-CN"/>
        </w:rPr>
        <w:t>12960000.00</w:t>
      </w:r>
    </w:p>
    <w:p w14:paraId="1544B0F2">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12960000.00</w:t>
      </w:r>
      <w:r>
        <w:rPr>
          <w:rFonts w:hint="eastAsia" w:hAnsi="宋体" w:cs="宋体"/>
          <w:color w:val="auto"/>
          <w:kern w:val="2"/>
          <w:sz w:val="24"/>
          <w:szCs w:val="24"/>
          <w:highlight w:val="none"/>
          <w:lang w:val="en-US" w:eastAsia="zh-CN" w:bidi="ar-SA"/>
        </w:rPr>
        <w:t xml:space="preserve">  </w:t>
      </w:r>
    </w:p>
    <w:p w14:paraId="6B0D6C86">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采购需求：</w:t>
      </w:r>
    </w:p>
    <w:p w14:paraId="00038185">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   标项名称:</w:t>
      </w:r>
      <w:r>
        <w:rPr>
          <w:rFonts w:hint="eastAsia" w:hAnsi="宋体" w:cs="宋体"/>
          <w:color w:val="auto"/>
          <w:sz w:val="24"/>
          <w:szCs w:val="24"/>
          <w:highlight w:val="none"/>
          <w:u w:val="none"/>
          <w:lang w:eastAsia="zh-CN"/>
        </w:rPr>
        <w:t>乌鲁木齐甘泉堡经济技术开发区（工业区）重大安全风险防控项目-智能化管控升级运营项目</w:t>
      </w:r>
      <w:r>
        <w:rPr>
          <w:rFonts w:hint="eastAsia" w:hAnsi="宋体" w:cs="宋体"/>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shd w:val="clear" w:color="auto" w:fill="auto"/>
        </w:rPr>
        <w:t xml:space="preserve">   </w:t>
      </w:r>
    </w:p>
    <w:p w14:paraId="163421B0">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数量:1</w:t>
      </w:r>
    </w:p>
    <w:p w14:paraId="773B0B32">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预算金额（元）:</w:t>
      </w:r>
      <w:r>
        <w:rPr>
          <w:rFonts w:hint="eastAsia" w:hAnsi="宋体" w:cs="宋体"/>
          <w:color w:val="auto"/>
          <w:kern w:val="2"/>
          <w:sz w:val="24"/>
          <w:szCs w:val="24"/>
          <w:highlight w:val="none"/>
          <w:lang w:val="en-US" w:eastAsia="zh-CN" w:bidi="ar-SA"/>
        </w:rPr>
        <w:t xml:space="preserve"> </w:t>
      </w:r>
      <w:r>
        <w:rPr>
          <w:rFonts w:hint="eastAsia" w:hAnsi="宋体" w:cs="宋体"/>
          <w:b w:val="0"/>
          <w:bCs/>
          <w:color w:val="auto"/>
          <w:sz w:val="24"/>
          <w:szCs w:val="24"/>
          <w:highlight w:val="none"/>
          <w:shd w:val="clear" w:color="auto" w:fill="auto"/>
          <w:lang w:val="en-US" w:eastAsia="zh-CN"/>
        </w:rPr>
        <w:t>12960000.00</w:t>
      </w:r>
    </w:p>
    <w:p w14:paraId="494CC450">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   简要规格描述或项目基本概况介绍、用途：</w:t>
      </w:r>
      <w:r>
        <w:rPr>
          <w:rFonts w:hint="eastAsia" w:ascii="宋体" w:hAnsi="宋体" w:eastAsia="宋体" w:cs="宋体"/>
          <w:b w:val="0"/>
          <w:bCs w:val="0"/>
          <w:color w:val="auto"/>
          <w:sz w:val="24"/>
          <w:szCs w:val="24"/>
          <w:highlight w:val="none"/>
        </w:rPr>
        <w:t>本项目以《化工园区安全风险智能化管控平台建设指南（试行）》、《应急管理部财政部关于印发&lt;重点化工产业聚集区重大安全风险防控工作总体方案&gt;的通知》</w:t>
      </w:r>
      <w:r>
        <w:rPr>
          <w:rFonts w:hint="eastAsia" w:ascii="宋体" w:hAnsi="宋体" w:cs="宋体"/>
          <w:b w:val="0"/>
          <w:bCs w:val="0"/>
          <w:color w:val="auto"/>
          <w:sz w:val="24"/>
          <w:szCs w:val="24"/>
          <w:highlight w:val="none"/>
          <w:lang w:val="en-US" w:eastAsia="zh-CN"/>
        </w:rPr>
        <w:t>等国家或行业标准</w:t>
      </w:r>
      <w:r>
        <w:rPr>
          <w:rFonts w:hint="eastAsia" w:ascii="宋体" w:hAnsi="宋体" w:eastAsia="宋体" w:cs="宋体"/>
          <w:b w:val="0"/>
          <w:bCs w:val="0"/>
          <w:color w:val="auto"/>
          <w:sz w:val="24"/>
          <w:szCs w:val="24"/>
          <w:highlight w:val="none"/>
        </w:rPr>
        <w:t>为依据，为甘泉堡经济技术开发区化工产业集中区部署安全风险分析预警及预警信息智能发布系统，推进全维度安全监管数据治理，构建科学完善的重大安全风险防控体系，搭建智能化风险隐患治理机制，落实动态风险管控相关建设，完善区域流通风险管理举措，优化应急响应数据治理流程，开发实用性强的“应急通”小程序，建设园区订阅式（SaaS）安全风险智能化管控企服系统，增设智能AI助手，辅助实现风险研判、指令下发、咨询应答等高效处置，融入产业服务相关建设，搭建园区产业协同服务模块，助力企业供需对接、技术赋能，补充环保管理与能源管理相关设施及系统，实现园区污染物排放监测、环保合规管控及能源消耗统计、节能优化，开展园区三维建模工作，搭建标准化空间数据库，配置重点区域易燃易爆有毒有害气体泄漏监测管控设备，全面提升园区安全管控、产业发展、环保治理、能源利用的智能化、精细化与规范化水平</w:t>
      </w:r>
      <w:r>
        <w:rPr>
          <w:rFonts w:hint="eastAsia" w:ascii="宋体" w:hAnsi="宋体" w:cs="宋体"/>
          <w:b w:val="0"/>
          <w:bCs w:val="0"/>
          <w:color w:val="auto"/>
          <w:sz w:val="24"/>
          <w:szCs w:val="24"/>
          <w:highlight w:val="none"/>
          <w:lang w:eastAsia="zh-CN"/>
        </w:rPr>
        <w:t>。</w:t>
      </w:r>
    </w:p>
    <w:p w14:paraId="06E3E305">
      <w:pPr>
        <w:pStyle w:val="39"/>
        <w:spacing w:line="360" w:lineRule="auto"/>
        <w:rPr>
          <w:rFonts w:hint="default" w:eastAsia="宋体"/>
          <w:color w:val="auto"/>
          <w:highlight w:val="none"/>
          <w:lang w:val="en-US" w:eastAsia="zh-CN"/>
        </w:rPr>
      </w:pPr>
      <w:r>
        <w:rPr>
          <w:rFonts w:hint="eastAsia" w:eastAsia="宋体"/>
          <w:color w:val="auto"/>
          <w:sz w:val="24"/>
          <w:szCs w:val="24"/>
          <w:highlight w:val="none"/>
          <w:lang w:val="en-US" w:eastAsia="zh-CN"/>
        </w:rPr>
        <w:t xml:space="preserve">    </w:t>
      </w:r>
      <w:r>
        <w:rPr>
          <w:rFonts w:hint="eastAsia" w:ascii="宋体" w:hAnsi="宋体" w:eastAsia="宋体" w:cs="宋体"/>
          <w:b w:val="0"/>
          <w:bCs/>
          <w:color w:val="auto"/>
          <w:kern w:val="0"/>
          <w:sz w:val="24"/>
          <w:szCs w:val="24"/>
          <w:highlight w:val="none"/>
          <w:shd w:val="clear" w:color="auto" w:fill="auto"/>
          <w:lang w:val="en-US" w:eastAsia="zh-CN" w:bidi="ar-SA"/>
        </w:rPr>
        <w:t>备注：</w:t>
      </w:r>
      <w:r>
        <w:rPr>
          <w:rFonts w:hint="eastAsia" w:ascii="宋体" w:hAnsi="宋体" w:eastAsia="宋体" w:cs="宋体"/>
          <w:b w:val="0"/>
          <w:bCs/>
          <w:color w:val="auto"/>
          <w:sz w:val="24"/>
          <w:szCs w:val="24"/>
          <w:highlight w:val="none"/>
          <w:shd w:val="clear" w:color="auto" w:fill="auto"/>
          <w:lang w:val="en-US" w:eastAsia="zh-CN"/>
        </w:rPr>
        <w:t>/</w:t>
      </w:r>
    </w:p>
    <w:p w14:paraId="16B8A4EB">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合同履约期限：</w:t>
      </w:r>
      <w:r>
        <w:rPr>
          <w:rFonts w:hint="eastAsia" w:hAnsi="宋体" w:cs="宋体"/>
          <w:b w:val="0"/>
          <w:bCs/>
          <w:color w:val="auto"/>
          <w:sz w:val="24"/>
          <w:szCs w:val="24"/>
          <w:highlight w:val="none"/>
          <w:shd w:val="clear" w:color="auto" w:fill="auto"/>
          <w:lang w:val="en-US" w:eastAsia="zh-CN"/>
        </w:rPr>
        <w:t>详见招标文件</w:t>
      </w:r>
      <w:r>
        <w:rPr>
          <w:rFonts w:hint="eastAsia" w:ascii="宋体" w:hAnsi="宋体" w:eastAsia="宋体" w:cs="宋体"/>
          <w:b w:val="0"/>
          <w:bCs/>
          <w:color w:val="auto"/>
          <w:sz w:val="24"/>
          <w:szCs w:val="24"/>
          <w:highlight w:val="none"/>
          <w:shd w:val="clear" w:color="auto" w:fill="auto"/>
        </w:rPr>
        <w:t>。</w:t>
      </w:r>
    </w:p>
    <w:p w14:paraId="38BDCC13">
      <w:pPr>
        <w:pStyle w:val="64"/>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本项目（否）接受联合体投标。</w:t>
      </w:r>
    </w:p>
    <w:p w14:paraId="13C6263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9"/>
      <w:bookmarkEnd w:id="10"/>
      <w:bookmarkEnd w:id="11"/>
      <w:bookmarkEnd w:id="12"/>
    </w:p>
    <w:p w14:paraId="6279D98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D3BEB2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13" w:name="_Toc28359081"/>
      <w:bookmarkStart w:id="14" w:name="_Toc28359004"/>
      <w:r>
        <w:rPr>
          <w:rFonts w:hint="eastAsia" w:ascii="宋体" w:hAnsi="宋体" w:eastAsia="宋体" w:cs="宋体"/>
          <w:color w:val="auto"/>
          <w:sz w:val="24"/>
          <w:szCs w:val="24"/>
          <w:highlight w:val="none"/>
        </w:rPr>
        <w:t>2.落实政府采购政策需满足的资格要求：</w:t>
      </w:r>
    </w:p>
    <w:p w14:paraId="7052BC1B">
      <w:pPr>
        <w:pStyle w:val="64"/>
        <w:pageBreakBefore w:val="0"/>
        <w:widowControl/>
        <w:numPr>
          <w:ilvl w:val="0"/>
          <w:numId w:val="0"/>
        </w:numPr>
        <w:shd w:val="clear" w:color="auto" w:fill="auto"/>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hAnsi="宋体" w:cs="宋体"/>
          <w:b w:val="0"/>
          <w:bCs/>
          <w:color w:val="000000"/>
          <w:sz w:val="24"/>
          <w:szCs w:val="24"/>
          <w:highlight w:val="none"/>
          <w:shd w:val="clear" w:color="auto" w:fill="auto"/>
          <w:lang w:val="en-US" w:eastAsia="zh-CN"/>
        </w:rPr>
        <w:t>1、</w:t>
      </w:r>
      <w:r>
        <w:rPr>
          <w:rFonts w:hint="eastAsia" w:ascii="宋体" w:hAnsi="宋体" w:cs="宋体"/>
          <w:b w:val="0"/>
          <w:bCs/>
          <w:color w:val="000000"/>
          <w:sz w:val="24"/>
          <w:szCs w:val="24"/>
          <w:highlight w:val="none"/>
          <w:shd w:val="clear" w:color="auto" w:fill="auto"/>
          <w:lang w:val="en-US" w:eastAsia="zh-CN"/>
        </w:rPr>
        <w:t>本项目</w:t>
      </w:r>
      <w:r>
        <w:rPr>
          <w:rFonts w:hint="eastAsia" w:ascii="宋体" w:hAnsi="宋体" w:eastAsia="宋体" w:cs="宋体"/>
          <w:i w:val="0"/>
          <w:iCs w:val="0"/>
          <w:color w:val="000000"/>
          <w:sz w:val="24"/>
          <w:szCs w:val="24"/>
          <w:highlight w:val="none"/>
        </w:rPr>
        <w:t>为非专门面向中小企业（含中型、小型、微型企业）采购项目，根据《政府采购促进中小企业发展管理办法》（财库[2020]46号）的规定，对小微企业（含监狱企业、残疾人福利性单位视同小微企业）的投标价格给予10%的扣除，用扣除后的价格参与评审。</w:t>
      </w:r>
    </w:p>
    <w:p w14:paraId="1E8A1673">
      <w:pPr>
        <w:pageBreakBefore w:val="0"/>
        <w:widowControl/>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.本项目的特定资格要求：单位负责人为同一人或者存在直接控股、管理关系的不同投标人，不得参加同一合同项下的政府采购活动</w:t>
      </w:r>
      <w:r>
        <w:rPr>
          <w:rFonts w:hint="eastAsia" w:ascii="宋体" w:hAnsi="宋体" w:cs="宋体"/>
          <w:color w:val="auto"/>
          <w:sz w:val="24"/>
          <w:szCs w:val="24"/>
          <w:highlight w:val="none"/>
          <w:lang w:eastAsia="zh-CN"/>
        </w:rPr>
        <w:t>。</w:t>
      </w:r>
    </w:p>
    <w:p w14:paraId="7B24DAE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bookmarkStart w:id="15" w:name="_Toc35393623"/>
      <w:bookmarkStart w:id="16" w:name="_Toc35393792"/>
      <w:r>
        <w:rPr>
          <w:rFonts w:hint="eastAsia" w:ascii="宋体" w:hAnsi="宋体" w:eastAsia="宋体" w:cs="宋体"/>
          <w:color w:val="auto"/>
          <w:sz w:val="24"/>
          <w:szCs w:val="24"/>
          <w:highlight w:val="none"/>
        </w:rPr>
        <w:t>三、获取招标文件</w:t>
      </w:r>
      <w:bookmarkEnd w:id="13"/>
      <w:bookmarkEnd w:id="14"/>
      <w:bookmarkEnd w:id="15"/>
      <w:bookmarkEnd w:id="16"/>
    </w:p>
    <w:p w14:paraId="455ABA2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日，每天上午</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0:00至</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（北京时间，线上获取法定节假日均可 ）</w:t>
      </w:r>
    </w:p>
    <w:p w14:paraId="6982BF29">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登陆政采云平台http://www.zcygov.cn/，在线申请获取招标文件（登录政府采购云平台 → 项目采购 → 获取招标文件→申请，审核通过后可下载招标文件，如有操作性问题，可与政采云在线客服进行咨询，咨询电话：95763）。</w:t>
      </w:r>
    </w:p>
    <w:p w14:paraId="09C96E0C">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方式：投标人登录新疆政府采购云平台https://www.zcygov.cn/在线申请获取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（登录政府采购云平台 → 项目采购 → 获取招标文件→ 申请，审核通过后可下载招标文件）</w:t>
      </w:r>
    </w:p>
    <w:p w14:paraId="0071C071">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08841D7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14:paraId="59E549EE">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11点00分（北京时间）</w:t>
      </w:r>
    </w:p>
    <w:p w14:paraId="64B94A85">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11点00分（北京时间）</w:t>
      </w:r>
    </w:p>
    <w:p w14:paraId="3440A61E">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1" w:name="_Toc28359007"/>
      <w:bookmarkStart w:id="22" w:name="_Toc35393625"/>
      <w:bookmarkStart w:id="23" w:name="_Toc28359084"/>
      <w:bookmarkStart w:id="24" w:name="_Toc35393794"/>
      <w:r>
        <w:rPr>
          <w:rFonts w:hint="eastAsia" w:ascii="宋体" w:hAnsi="宋体" w:eastAsia="宋体" w:cs="宋体"/>
          <w:color w:val="auto"/>
          <w:sz w:val="24"/>
          <w:szCs w:val="24"/>
          <w:highlight w:val="none"/>
        </w:rPr>
        <w:t>政采云平台http://www.zcygov.cn/</w:t>
      </w:r>
    </w:p>
    <w:p w14:paraId="41931EDF">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bookmarkEnd w:id="21"/>
      <w:bookmarkEnd w:id="22"/>
      <w:bookmarkEnd w:id="23"/>
      <w:bookmarkEnd w:id="24"/>
    </w:p>
    <w:p w14:paraId="2967AEB9">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148B012F">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bookmarkStart w:id="25" w:name="_Toc35393795"/>
      <w:bookmarkStart w:id="26" w:name="_Toc35393626"/>
      <w:r>
        <w:rPr>
          <w:rFonts w:hint="eastAsia" w:ascii="宋体" w:hAnsi="宋体" w:eastAsia="宋体" w:cs="宋体"/>
          <w:color w:val="auto"/>
          <w:sz w:val="24"/>
          <w:szCs w:val="24"/>
          <w:highlight w:val="none"/>
        </w:rPr>
        <w:t>六、其他补充事宜</w:t>
      </w:r>
      <w:bookmarkEnd w:id="25"/>
      <w:bookmarkEnd w:id="26"/>
    </w:p>
    <w:p w14:paraId="3C092815">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bookmarkStart w:id="27" w:name="_Toc35393627"/>
      <w:bookmarkStart w:id="28" w:name="_Toc28359008"/>
      <w:bookmarkStart w:id="29" w:name="_Toc35393796"/>
      <w:bookmarkStart w:id="30" w:name="_Toc28359085"/>
      <w:r>
        <w:rPr>
          <w:rFonts w:hint="eastAsia" w:asciiTheme="minorEastAsia" w:hAnsiTheme="minorEastAsia" w:eastAsiaTheme="minorEastAsia" w:cstheme="minorEastAsia"/>
          <w:b w:val="0"/>
          <w:bCs/>
          <w:color w:val="auto"/>
          <w:sz w:val="24"/>
          <w:szCs w:val="24"/>
          <w:highlight w:val="none"/>
          <w:shd w:val="clear" w:color="auto" w:fill="auto"/>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F7ABC94">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3C00FD51">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3.供应商可前往新疆政府采购网（http://www.ccgp-xinjiang.gov.cn/）下载专区，下载政采云电子投标客户端，安装完成后，可通过账号密码或CA登录客户端进行投标文件制作。</w:t>
      </w:r>
    </w:p>
    <w:p w14:paraId="74F8BA33">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4..供应商在开标时须携带制作加密电子投标文件所使用的CA锁，电脑须提前配置好浏览器，以便开标时在线解密。</w:t>
      </w:r>
    </w:p>
    <w:p w14:paraId="566DE0F4">
      <w:pPr>
        <w:pStyle w:val="64"/>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val="en-US" w:eastAsia="zh-CN"/>
        </w:rPr>
        <w:t>5.投标供应商应当在投标截止时间前，将生成的“电子加密投标文件”上传递交至“政府采购云平台”，投标截止时间以后上传递交的投标文件将被“政府采购云平台”拒收。</w:t>
      </w:r>
    </w:p>
    <w:p w14:paraId="1F710F2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r>
        <w:rPr>
          <w:rFonts w:hint="eastAsia" w:ascii="宋体" w:hAnsi="宋体" w:eastAsia="宋体" w:cs="宋体"/>
          <w:color w:val="auto"/>
          <w:sz w:val="24"/>
          <w:szCs w:val="24"/>
          <w:highlight w:val="none"/>
          <w:lang w:eastAsia="zh-CN"/>
        </w:rPr>
        <w:t>：</w:t>
      </w:r>
    </w:p>
    <w:p w14:paraId="5B341B43">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7872C01D">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乌鲁木齐甘泉堡经济技术开发区（工业区）应急管理局</w:t>
      </w:r>
      <w:r>
        <w:rPr>
          <w:rFonts w:hint="eastAsia" w:ascii="宋体" w:hAnsi="宋体" w:eastAsia="宋体" w:cs="宋体"/>
          <w:color w:val="auto"/>
          <w:sz w:val="24"/>
          <w:szCs w:val="24"/>
          <w:highlight w:val="none"/>
        </w:rPr>
        <w:t>　　　　　　　　　　　</w:t>
      </w:r>
    </w:p>
    <w:p w14:paraId="2CFE88AC">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乌鲁木齐甘泉堡经济技术开发区(工业区)瀚海东街2345号</w:t>
      </w:r>
      <w:r>
        <w:rPr>
          <w:rFonts w:hint="eastAsia" w:ascii="宋体" w:hAnsi="宋体" w:eastAsia="宋体" w:cs="宋体"/>
          <w:color w:val="auto"/>
          <w:sz w:val="24"/>
          <w:szCs w:val="24"/>
          <w:highlight w:val="none"/>
        </w:rPr>
        <w:t>　　　　　　　　　</w:t>
      </w:r>
    </w:p>
    <w:p w14:paraId="416EB824">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18294073125</w:t>
      </w:r>
      <w:r>
        <w:rPr>
          <w:rFonts w:hint="eastAsia" w:ascii="宋体" w:hAnsi="宋体" w:eastAsia="宋体" w:cs="宋体"/>
          <w:color w:val="auto"/>
          <w:sz w:val="24"/>
          <w:szCs w:val="24"/>
          <w:highlight w:val="none"/>
        </w:rPr>
        <w:t xml:space="preserve"> </w:t>
      </w:r>
    </w:p>
    <w:p w14:paraId="1D37E106">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31" w:name="_Toc28359086"/>
      <w:bookmarkStart w:id="32" w:name="_Toc28359009"/>
    </w:p>
    <w:p w14:paraId="59A9E90F">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1"/>
      <w:bookmarkEnd w:id="32"/>
    </w:p>
    <w:p w14:paraId="0AFD50F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称：新疆拓源工程管理咨询有限公司　　　　　　　　　　　　</w:t>
      </w:r>
    </w:p>
    <w:p w14:paraId="718AB22F">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址：乌鲁木齐市水磨沟区龙盛街898号万科中央公园S6栋5层　　　　　　　　　　　　</w:t>
      </w:r>
    </w:p>
    <w:p w14:paraId="1A72D16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刘恒运、张曼、余宗键、田释月</w:t>
      </w:r>
    </w:p>
    <w:p w14:paraId="5D31E75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19909911103</w:t>
      </w:r>
    </w:p>
    <w:p w14:paraId="0EEDEBD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3638A6D">
      <w:pPr>
        <w:pStyle w:val="2"/>
        <w:pageBreakBefore w:val="0"/>
        <w:kinsoku/>
        <w:wordWrap/>
        <w:overflowPunct/>
        <w:topLinePunct w:val="0"/>
        <w:autoSpaceDE/>
        <w:autoSpaceDN/>
        <w:bidi w:val="0"/>
        <w:spacing w:before="0" w:after="0"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3" w:name="_Toc28983"/>
      <w:r>
        <w:rPr>
          <w:rFonts w:hint="eastAsia" w:ascii="宋体" w:hAnsi="宋体" w:eastAsia="宋体" w:cs="宋体"/>
          <w:color w:val="auto"/>
          <w:sz w:val="24"/>
          <w:szCs w:val="24"/>
          <w:highlight w:val="none"/>
        </w:rPr>
        <w:t>第二章  投标人须知</w:t>
      </w:r>
      <w:bookmarkEnd w:id="3"/>
      <w:bookmarkEnd w:id="4"/>
      <w:bookmarkEnd w:id="5"/>
      <w:bookmarkEnd w:id="6"/>
      <w:bookmarkEnd w:id="7"/>
      <w:bookmarkEnd w:id="8"/>
      <w:bookmarkEnd w:id="33"/>
    </w:p>
    <w:p w14:paraId="5B5799C0">
      <w:pPr>
        <w:keepNext/>
        <w:keepLines/>
        <w:pageBreakBefore w:val="0"/>
        <w:kinsoku/>
        <w:wordWrap/>
        <w:overflowPunct/>
        <w:topLinePunct w:val="0"/>
        <w:autoSpaceDE/>
        <w:autoSpaceDN/>
        <w:bidi w:val="0"/>
        <w:spacing w:line="420" w:lineRule="exact"/>
        <w:jc w:val="center"/>
        <w:textAlignment w:val="auto"/>
        <w:outlineLvl w:val="1"/>
        <w:rPr>
          <w:rFonts w:hint="eastAsia" w:ascii="宋体" w:hAnsi="宋体" w:eastAsia="宋体" w:cs="宋体"/>
          <w:b/>
          <w:bCs/>
          <w:color w:val="auto"/>
          <w:sz w:val="24"/>
          <w:szCs w:val="24"/>
          <w:highlight w:val="none"/>
        </w:rPr>
      </w:pPr>
      <w:bookmarkStart w:id="34" w:name="_Toc189727030"/>
      <w:bookmarkStart w:id="35" w:name="_Toc217446032"/>
      <w:bookmarkStart w:id="36" w:name="_Toc213397010"/>
      <w:bookmarkStart w:id="37" w:name="_Toc213496268"/>
      <w:bookmarkStart w:id="38" w:name="_Toc213396760"/>
      <w:bookmarkStart w:id="39" w:name="_Toc213396946"/>
      <w:r>
        <w:rPr>
          <w:rFonts w:hint="eastAsia" w:ascii="宋体" w:hAnsi="宋体" w:eastAsia="宋体" w:cs="宋体"/>
          <w:b/>
          <w:bCs/>
          <w:color w:val="auto"/>
          <w:sz w:val="24"/>
          <w:szCs w:val="24"/>
          <w:highlight w:val="none"/>
        </w:rPr>
        <w:t>一、投标人须知前附表</w:t>
      </w:r>
      <w:bookmarkEnd w:id="34"/>
      <w:bookmarkEnd w:id="35"/>
      <w:bookmarkEnd w:id="36"/>
      <w:bookmarkEnd w:id="37"/>
      <w:bookmarkEnd w:id="38"/>
      <w:bookmarkEnd w:id="39"/>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440"/>
        <w:gridCol w:w="6409"/>
      </w:tblGrid>
      <w:tr w14:paraId="66A9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374869B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45" w:type="pct"/>
            <w:vAlign w:val="center"/>
          </w:tcPr>
          <w:p w14:paraId="089A904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3761" w:type="pct"/>
            <w:vAlign w:val="center"/>
          </w:tcPr>
          <w:p w14:paraId="1862CB1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34AB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93" w:type="pct"/>
            <w:vAlign w:val="center"/>
          </w:tcPr>
          <w:p w14:paraId="6818610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45" w:type="pct"/>
            <w:vAlign w:val="center"/>
          </w:tcPr>
          <w:p w14:paraId="3B47005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3761" w:type="pct"/>
            <w:vAlign w:val="center"/>
          </w:tcPr>
          <w:p w14:paraId="01F7349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乌鲁木齐甘泉堡经济技术开发区（工业区）应急管理局</w:t>
            </w:r>
          </w:p>
          <w:p w14:paraId="18DB382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乌鲁木齐甘泉堡经济技术开发区(工业区)瀚海东街2345号</w:t>
            </w:r>
          </w:p>
          <w:p w14:paraId="54CC65E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联系人： </w:t>
            </w:r>
            <w:r>
              <w:rPr>
                <w:rFonts w:hint="eastAsia" w:ascii="宋体" w:hAnsi="宋体" w:cs="宋体"/>
                <w:color w:val="auto"/>
                <w:sz w:val="24"/>
                <w:szCs w:val="24"/>
                <w:highlight w:val="none"/>
                <w:lang w:eastAsia="zh-CN"/>
              </w:rPr>
              <w:t>何少华</w:t>
            </w:r>
          </w:p>
          <w:p w14:paraId="374C543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电话： </w:t>
            </w:r>
            <w:r>
              <w:rPr>
                <w:rFonts w:hint="eastAsia" w:ascii="宋体" w:hAnsi="宋体" w:cs="宋体"/>
                <w:color w:val="auto"/>
                <w:sz w:val="24"/>
                <w:szCs w:val="24"/>
                <w:highlight w:val="none"/>
                <w:lang w:eastAsia="zh-CN"/>
              </w:rPr>
              <w:t>18294073125</w:t>
            </w:r>
            <w:r>
              <w:rPr>
                <w:rFonts w:hint="eastAsia" w:ascii="宋体" w:hAnsi="宋体" w:eastAsia="宋体" w:cs="宋体"/>
                <w:color w:val="auto"/>
                <w:sz w:val="24"/>
                <w:szCs w:val="24"/>
                <w:highlight w:val="none"/>
                <w:lang w:eastAsia="zh-CN"/>
              </w:rPr>
              <w:t xml:space="preserve"> </w:t>
            </w:r>
          </w:p>
        </w:tc>
      </w:tr>
      <w:tr w14:paraId="0E1D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4E36995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45" w:type="pct"/>
            <w:vAlign w:val="center"/>
          </w:tcPr>
          <w:p w14:paraId="3B363B8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3761" w:type="pct"/>
            <w:vAlign w:val="center"/>
          </w:tcPr>
          <w:p w14:paraId="5EFCFE9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称：新疆拓源工程管理咨询有限公司</w:t>
            </w:r>
          </w:p>
          <w:p w14:paraId="7456A76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乌鲁木齐市水磨沟区龙盛街898号万科中央公园S6栋5层</w:t>
            </w:r>
          </w:p>
          <w:p w14:paraId="43445F6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刘恒运、张曼、余宗键、田释月</w:t>
            </w:r>
            <w:r>
              <w:rPr>
                <w:rFonts w:hint="eastAsia" w:ascii="宋体" w:hAnsi="宋体" w:eastAsia="宋体" w:cs="宋体"/>
                <w:color w:val="auto"/>
                <w:sz w:val="24"/>
                <w:szCs w:val="24"/>
                <w:highlight w:val="none"/>
              </w:rPr>
              <w:t xml:space="preserve"> </w:t>
            </w:r>
          </w:p>
          <w:p w14:paraId="4371E93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eastAsia="zh-CN"/>
              </w:rPr>
              <w:t>19909911103</w:t>
            </w:r>
            <w:r>
              <w:rPr>
                <w:rFonts w:hint="eastAsia" w:ascii="宋体" w:hAnsi="宋体" w:eastAsia="宋体" w:cs="宋体"/>
                <w:color w:val="auto"/>
                <w:sz w:val="24"/>
                <w:szCs w:val="24"/>
                <w:highlight w:val="none"/>
              </w:rPr>
              <w:t xml:space="preserve"> </w:t>
            </w:r>
          </w:p>
        </w:tc>
      </w:tr>
      <w:tr w14:paraId="4096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93" w:type="pct"/>
            <w:vAlign w:val="center"/>
          </w:tcPr>
          <w:p w14:paraId="51EEBB9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45" w:type="pct"/>
            <w:vAlign w:val="center"/>
          </w:tcPr>
          <w:p w14:paraId="3B01E8E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761" w:type="pct"/>
            <w:vAlign w:val="center"/>
          </w:tcPr>
          <w:p w14:paraId="64DE757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乌鲁木齐甘泉堡经济技术开发区（工业区）重大安全风险防控项目-智能化管控升级运营项目</w:t>
            </w:r>
          </w:p>
        </w:tc>
      </w:tr>
      <w:tr w14:paraId="6C98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0E9B8FA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45" w:type="pct"/>
            <w:vAlign w:val="center"/>
          </w:tcPr>
          <w:p w14:paraId="55587A3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3761" w:type="pct"/>
            <w:vAlign w:val="center"/>
          </w:tcPr>
          <w:p w14:paraId="0A1FC370">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auto"/>
                <w:sz w:val="24"/>
                <w:szCs w:val="24"/>
                <w:highlight w:val="none"/>
                <w:lang w:val="en-US" w:eastAsia="zh-CN"/>
              </w:rPr>
            </w:pPr>
            <w:r>
              <w:rPr>
                <w:rStyle w:val="42"/>
                <w:rFonts w:hint="eastAsia" w:ascii="宋体" w:hAnsi="宋体"/>
                <w:bCs/>
                <w:color w:val="auto"/>
                <w:sz w:val="24"/>
                <w:highlight w:val="none"/>
                <w:lang w:val="en-US" w:eastAsia="zh-CN"/>
              </w:rPr>
              <w:t>TYFWZB2026-088</w:t>
            </w:r>
          </w:p>
        </w:tc>
      </w:tr>
      <w:tr w14:paraId="4390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Align w:val="center"/>
          </w:tcPr>
          <w:p w14:paraId="7753C6D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45" w:type="pct"/>
            <w:vAlign w:val="center"/>
          </w:tcPr>
          <w:p w14:paraId="4E3DF1B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资金来源、预算金额及最高限价</w:t>
            </w:r>
          </w:p>
        </w:tc>
        <w:tc>
          <w:tcPr>
            <w:tcW w:w="3761" w:type="pct"/>
            <w:vAlign w:val="center"/>
          </w:tcPr>
          <w:p w14:paraId="5FFD9256">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7494453A">
            <w:pPr>
              <w:keepNext w:val="0"/>
              <w:keepLines w:val="0"/>
              <w:pageBreakBefore w:val="0"/>
              <w:kinsoku/>
              <w:wordWrap/>
              <w:overflowPunct/>
              <w:topLinePunct w:val="0"/>
              <w:autoSpaceDE/>
              <w:autoSpaceDN/>
              <w:bidi w:val="0"/>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预算金额（最高限价）</w:t>
            </w:r>
            <w:r>
              <w:rPr>
                <w:rFonts w:hint="eastAsia" w:ascii="宋体" w:hAnsi="宋体" w:eastAsia="宋体" w:cs="宋体"/>
                <w:color w:val="auto"/>
                <w:kern w:val="2"/>
                <w:sz w:val="24"/>
                <w:szCs w:val="24"/>
                <w:highlight w:val="none"/>
                <w:lang w:val="en-US" w:eastAsia="zh-CN" w:bidi="ar-SA"/>
              </w:rPr>
              <w:t>：12960000.00元</w:t>
            </w:r>
            <w:r>
              <w:rPr>
                <w:rFonts w:hint="eastAsia" w:ascii="宋体" w:hAnsi="宋体" w:cs="宋体"/>
                <w:color w:val="auto"/>
                <w:kern w:val="2"/>
                <w:sz w:val="24"/>
                <w:szCs w:val="24"/>
                <w:highlight w:val="none"/>
                <w:lang w:val="en-US" w:eastAsia="zh-CN" w:bidi="ar-SA"/>
              </w:rPr>
              <w:t>；</w:t>
            </w:r>
          </w:p>
          <w:p w14:paraId="6912F21D">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投标人投标报价若超过最高限价，投标无效。</w:t>
            </w:r>
          </w:p>
        </w:tc>
      </w:tr>
      <w:tr w14:paraId="4EB1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3" w:type="pct"/>
            <w:vAlign w:val="center"/>
          </w:tcPr>
          <w:p w14:paraId="3E8F2AA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6</w:t>
            </w:r>
          </w:p>
        </w:tc>
        <w:tc>
          <w:tcPr>
            <w:tcW w:w="845" w:type="pct"/>
            <w:vAlign w:val="center"/>
          </w:tcPr>
          <w:p w14:paraId="1DBCE4E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采购需求</w:t>
            </w:r>
          </w:p>
        </w:tc>
        <w:tc>
          <w:tcPr>
            <w:tcW w:w="3761" w:type="pct"/>
            <w:vAlign w:val="center"/>
          </w:tcPr>
          <w:p w14:paraId="2F79CE62">
            <w:pPr>
              <w:pStyle w:val="39"/>
              <w:rPr>
                <w:rFonts w:hint="default" w:ascii="宋体" w:hAnsi="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rPr>
              <w:t>本项目以《化工园区安全风险智能化管控平台建设指南（试行）》、《应急管理部财政部关于印发&lt;重点化工产业聚集区重大安全风险防控工作总体方案&gt;的通知》</w:t>
            </w:r>
            <w:r>
              <w:rPr>
                <w:rFonts w:hint="eastAsia" w:ascii="宋体" w:hAnsi="宋体" w:cs="宋体"/>
                <w:b w:val="0"/>
                <w:bCs w:val="0"/>
                <w:color w:val="auto"/>
                <w:sz w:val="24"/>
                <w:szCs w:val="24"/>
                <w:highlight w:val="none"/>
                <w:lang w:val="en-US" w:eastAsia="zh-CN"/>
              </w:rPr>
              <w:t>等国家或行业标准</w:t>
            </w:r>
            <w:r>
              <w:rPr>
                <w:rFonts w:hint="eastAsia" w:ascii="宋体" w:hAnsi="宋体" w:eastAsia="宋体" w:cs="宋体"/>
                <w:b w:val="0"/>
                <w:bCs w:val="0"/>
                <w:color w:val="auto"/>
                <w:sz w:val="24"/>
                <w:szCs w:val="24"/>
                <w:highlight w:val="none"/>
              </w:rPr>
              <w:t>为依据，为甘泉堡经济技术开发区化工产业集中区部署安全风险分析预警及预警信息智能发布系统，推进全维度安全监管数据治理，构建科学完善的重大安全风险防控体系，搭建智能化风险隐患治理机制，落实动态风险管控相关建设，完善区域流通风险管理举措，优化应急响应数据治理流程，开发实用性强的“应急通”小程序，建设园区订阅式（SaaS）安全风险智能化管控企服系统，增设智能AI助手，辅助实现风险研判、指令下发、咨询应答等高效处置，融入产业服务相关建设，搭建园区产业协同服务模块，助力企业供需对接、技术赋能，补充环保管理与能源管理相关设施及系统，实现园区污染物排放监测、环保合规管控及能源消耗统计、节能优化，开展园区三维建模工作，搭建标准化空间数据库，配置重点区域易燃易爆有毒有害气体泄漏监测管控设备，全面提升园区安全管控、产业发展、环保治理、能源利用的智能化、精细化与规范化水平</w:t>
            </w:r>
            <w:r>
              <w:rPr>
                <w:rFonts w:hint="eastAsia" w:ascii="宋体" w:hAnsi="宋体" w:cs="宋体"/>
                <w:b w:val="0"/>
                <w:bCs w:val="0"/>
                <w:color w:val="auto"/>
                <w:sz w:val="24"/>
                <w:szCs w:val="24"/>
                <w:highlight w:val="none"/>
                <w:lang w:eastAsia="zh-CN"/>
              </w:rPr>
              <w:t>。</w:t>
            </w:r>
          </w:p>
        </w:tc>
      </w:tr>
      <w:tr w14:paraId="0194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3" w:type="pct"/>
            <w:vAlign w:val="center"/>
          </w:tcPr>
          <w:p w14:paraId="17B1C71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45" w:type="pct"/>
            <w:vAlign w:val="center"/>
          </w:tcPr>
          <w:p w14:paraId="4BF5E38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标段（包）划分</w:t>
            </w:r>
          </w:p>
        </w:tc>
        <w:tc>
          <w:tcPr>
            <w:tcW w:w="3761" w:type="pct"/>
            <w:vAlign w:val="center"/>
          </w:tcPr>
          <w:p w14:paraId="762E2ABB">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本次招标共</w:t>
            </w:r>
            <w:r>
              <w:rPr>
                <w:rFonts w:hint="eastAsia" w:ascii="宋体" w:hAnsi="宋体" w:cs="宋体"/>
                <w:color w:val="auto"/>
                <w:sz w:val="24"/>
                <w:szCs w:val="24"/>
                <w:highlight w:val="none"/>
                <w:lang w:val="en-US" w:eastAsia="zh-CN"/>
              </w:rPr>
              <w:t>1个标项</w:t>
            </w:r>
          </w:p>
        </w:tc>
      </w:tr>
      <w:tr w14:paraId="5568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14:paraId="03CD33C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45" w:type="pct"/>
            <w:vAlign w:val="center"/>
          </w:tcPr>
          <w:p w14:paraId="5CE6C704">
            <w:pPr>
              <w:keepNext w:val="0"/>
              <w:keepLines w:val="0"/>
              <w:pageBreakBefore w:val="0"/>
              <w:kinsoku/>
              <w:wordWrap/>
              <w:overflowPunct/>
              <w:topLinePunct w:val="0"/>
              <w:autoSpaceDE/>
              <w:autoSpaceDN/>
              <w:bidi w:val="0"/>
              <w:spacing w:line="400" w:lineRule="exact"/>
              <w:ind w:firstLine="240" w:firstLineChars="1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val="en-US" w:eastAsia="zh-CN"/>
              </w:rPr>
              <w:t>、质量保证期</w:t>
            </w:r>
          </w:p>
        </w:tc>
        <w:tc>
          <w:tcPr>
            <w:tcW w:w="3761" w:type="pct"/>
            <w:vAlign w:val="center"/>
          </w:tcPr>
          <w:p w14:paraId="1513B6EA">
            <w:pP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服务期：</w:t>
            </w:r>
            <w:r>
              <w:rPr>
                <w:rFonts w:hint="eastAsia" w:ascii="宋体" w:hAnsi="宋体" w:cs="宋体"/>
                <w:color w:val="auto"/>
                <w:sz w:val="24"/>
                <w:highlight w:val="none"/>
                <w:lang w:val="en-US" w:eastAsia="zh-CN"/>
              </w:rPr>
              <w:t>自合同签订之日起至2026年10月31日（2026年7月31日前完成项目建设，2026年10月31日前具备验收条件）</w:t>
            </w:r>
          </w:p>
          <w:p w14:paraId="6BC1F8F9">
            <w:pPr>
              <w:spacing w:line="400" w:lineRule="exact"/>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质量保证期：自服务通过最终验收之日起3年，若国家有明确规定的质量保证期高于此保证期的，执行国家规定</w:t>
            </w:r>
          </w:p>
        </w:tc>
      </w:tr>
      <w:tr w14:paraId="6A04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1577FDD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45" w:type="pct"/>
            <w:vAlign w:val="center"/>
          </w:tcPr>
          <w:p w14:paraId="6F5750F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服务标准</w:t>
            </w:r>
          </w:p>
        </w:tc>
        <w:tc>
          <w:tcPr>
            <w:tcW w:w="3761" w:type="pct"/>
            <w:vAlign w:val="center"/>
          </w:tcPr>
          <w:p w14:paraId="2D456942">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按照招标文件第四章 </w:t>
            </w:r>
            <w:r>
              <w:rPr>
                <w:rFonts w:hint="eastAsia" w:ascii="宋体" w:hAnsi="宋体" w:cs="宋体"/>
                <w:bCs/>
                <w:color w:val="auto"/>
                <w:sz w:val="24"/>
                <w:szCs w:val="24"/>
                <w:highlight w:val="none"/>
                <w:lang w:eastAsia="zh-CN"/>
              </w:rPr>
              <w:t>项目服务需求</w:t>
            </w:r>
            <w:r>
              <w:rPr>
                <w:rFonts w:hint="eastAsia" w:ascii="宋体" w:hAnsi="宋体" w:cs="宋体"/>
                <w:color w:val="auto"/>
                <w:sz w:val="24"/>
                <w:szCs w:val="24"/>
                <w:highlight w:val="none"/>
                <w:lang w:val="en-US" w:eastAsia="zh-CN"/>
              </w:rPr>
              <w:t>及</w:t>
            </w:r>
            <w:r>
              <w:rPr>
                <w:rFonts w:hint="eastAsia" w:ascii="宋体" w:hAnsi="宋体" w:cs="宋体"/>
                <w:bCs/>
                <w:color w:val="auto"/>
                <w:sz w:val="24"/>
                <w:szCs w:val="24"/>
                <w:highlight w:val="none"/>
                <w:lang w:eastAsia="zh-CN"/>
              </w:rPr>
              <w:t>项目服务需求</w:t>
            </w:r>
            <w:r>
              <w:rPr>
                <w:rFonts w:hint="eastAsia" w:ascii="宋体" w:hAnsi="宋体" w:cs="宋体"/>
                <w:color w:val="auto"/>
                <w:sz w:val="24"/>
                <w:szCs w:val="24"/>
                <w:highlight w:val="none"/>
                <w:lang w:val="en-US" w:eastAsia="zh-CN"/>
              </w:rPr>
              <w:t>附件表完成，</w:t>
            </w:r>
            <w:r>
              <w:rPr>
                <w:rFonts w:hint="eastAsia" w:ascii="宋体" w:hAnsi="宋体" w:cs="宋体"/>
                <w:color w:val="auto"/>
                <w:sz w:val="24"/>
                <w:szCs w:val="24"/>
                <w:highlight w:val="none"/>
                <w:lang w:val="en-US" w:eastAsia="zh-CN"/>
              </w:rPr>
              <w:t>满足采购人需求</w:t>
            </w:r>
            <w:r>
              <w:rPr>
                <w:rFonts w:hint="eastAsia" w:ascii="宋体" w:hAnsi="宋体" w:cs="宋体"/>
                <w:color w:val="auto"/>
                <w:sz w:val="24"/>
                <w:szCs w:val="24"/>
                <w:highlight w:val="none"/>
                <w:lang w:val="en-US" w:eastAsia="zh-CN"/>
              </w:rPr>
              <w:t>。</w:t>
            </w:r>
          </w:p>
        </w:tc>
      </w:tr>
      <w:tr w14:paraId="3A5B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93" w:type="pct"/>
            <w:vAlign w:val="center"/>
          </w:tcPr>
          <w:p w14:paraId="538FF76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45" w:type="pct"/>
            <w:vAlign w:val="center"/>
          </w:tcPr>
          <w:p w14:paraId="1BB1A44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3761" w:type="pct"/>
            <w:vAlign w:val="center"/>
          </w:tcPr>
          <w:p w14:paraId="6D0E87C8">
            <w:pPr>
              <w:pStyle w:val="64"/>
              <w:pageBreakBefore w:val="0"/>
              <w:widowControl/>
              <w:numPr>
                <w:ilvl w:val="0"/>
                <w:numId w:val="4"/>
              </w:numPr>
              <w:shd w:val="clear" w:color="auto" w:fill="auto"/>
              <w:kinsoku/>
              <w:wordWrap/>
              <w:overflowPunct/>
              <w:topLinePunct w:val="0"/>
              <w:autoSpaceDE/>
              <w:autoSpaceDN/>
              <w:bidi w:val="0"/>
              <w:adjustRightInd/>
              <w:snapToGrid/>
              <w:ind w:firstLine="480" w:firstLineChars="200"/>
              <w:jc w:val="left"/>
              <w:textAlignment w:val="auto"/>
              <w:rPr>
                <w:rFonts w:hint="eastAsia" w:ascii="宋体" w:hAnsi="宋体" w:eastAsia="宋体" w:cs="宋体"/>
                <w:i w:val="0"/>
                <w:iCs w:val="0"/>
                <w:color w:val="000000"/>
                <w:sz w:val="24"/>
                <w:szCs w:val="24"/>
                <w:highlight w:val="none"/>
              </w:rPr>
            </w:pPr>
            <w:r>
              <w:rPr>
                <w:rFonts w:hint="eastAsia" w:ascii="宋体" w:hAnsi="宋体" w:cs="宋体"/>
                <w:b w:val="0"/>
                <w:bCs/>
                <w:color w:val="000000"/>
                <w:sz w:val="24"/>
                <w:szCs w:val="24"/>
                <w:highlight w:val="none"/>
                <w:shd w:val="clear" w:color="auto" w:fill="auto"/>
                <w:lang w:val="en-US" w:eastAsia="zh-CN"/>
              </w:rPr>
              <w:t>本项目</w:t>
            </w:r>
            <w:r>
              <w:rPr>
                <w:rFonts w:hint="eastAsia" w:ascii="宋体" w:hAnsi="宋体" w:eastAsia="宋体" w:cs="宋体"/>
                <w:i w:val="0"/>
                <w:iCs w:val="0"/>
                <w:color w:val="000000"/>
                <w:sz w:val="24"/>
                <w:szCs w:val="24"/>
                <w:highlight w:val="none"/>
              </w:rPr>
              <w:t>为非专门面向中小企业（含中型、小型、微型企业）采购项目，根据《政府采购促进中小企业发展管理办法》（财库[2020]46号）的规定，对小微企业（含监狱企业、残疾人福利性单位视同小微企业）的投标价格给予10%的扣除，用扣除后的价格参与评审。</w:t>
            </w:r>
          </w:p>
          <w:p w14:paraId="59C50874">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color w:val="auto"/>
                <w:kern w:val="0"/>
                <w:sz w:val="24"/>
                <w:szCs w:val="24"/>
                <w:highlight w:val="none"/>
                <w:shd w:val="clear" w:color="auto" w:fill="auto"/>
                <w:lang w:val="en-US" w:eastAsia="zh-CN"/>
              </w:rPr>
              <w:t>2</w:t>
            </w:r>
            <w:r>
              <w:rPr>
                <w:rFonts w:hint="eastAsia" w:ascii="宋体" w:hAnsi="宋体" w:eastAsia="宋体" w:cs="宋体"/>
                <w:b w:val="0"/>
                <w:bCs/>
                <w:color w:val="auto"/>
                <w:kern w:val="0"/>
                <w:sz w:val="24"/>
                <w:szCs w:val="24"/>
                <w:highlight w:val="none"/>
                <w:shd w:val="clear" w:color="auto" w:fill="auto"/>
                <w:lang w:eastAsia="zh-CN"/>
              </w:rPr>
              <w:t>、所属行业：</w:t>
            </w:r>
            <w:r>
              <w:rPr>
                <w:rFonts w:hint="eastAsia" w:ascii="宋体" w:hAnsi="宋体" w:eastAsia="宋体" w:cs="宋体"/>
                <w:b w:val="0"/>
                <w:bCs/>
                <w:color w:val="auto"/>
                <w:kern w:val="0"/>
                <w:sz w:val="24"/>
                <w:szCs w:val="24"/>
                <w:highlight w:val="none"/>
                <w:shd w:val="clear" w:color="auto" w:fill="auto"/>
                <w:lang w:val="en-US" w:eastAsia="zh-CN"/>
              </w:rPr>
              <w:t>软件和信息技术服务业</w:t>
            </w:r>
            <w:r>
              <w:rPr>
                <w:rFonts w:hint="eastAsia" w:ascii="宋体" w:hAnsi="宋体" w:eastAsia="宋体" w:cs="宋体"/>
                <w:b w:val="0"/>
                <w:bCs/>
                <w:color w:val="auto"/>
                <w:kern w:val="0"/>
                <w:sz w:val="24"/>
                <w:szCs w:val="24"/>
                <w:highlight w:val="none"/>
                <w:shd w:val="clear" w:color="auto" w:fill="auto"/>
                <w:lang w:eastAsia="zh-CN"/>
              </w:rPr>
              <w:t>。</w:t>
            </w:r>
          </w:p>
        </w:tc>
      </w:tr>
      <w:tr w14:paraId="6094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14:paraId="2D41CBC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45" w:type="pct"/>
            <w:vAlign w:val="center"/>
          </w:tcPr>
          <w:p w14:paraId="65D1162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tc>
        <w:tc>
          <w:tcPr>
            <w:tcW w:w="3761" w:type="pct"/>
            <w:vAlign w:val="center"/>
          </w:tcPr>
          <w:p w14:paraId="6C333216">
            <w:pPr>
              <w:pStyle w:val="45"/>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BB1362C">
            <w:pPr>
              <w:pStyle w:val="45"/>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为非专门面向中小企业（含中型、小型、微型企业）采购项目，根据《政府采购促进中小企业发展管理办法》（财库[2020]46号）的规定，对小微企业（含监狱企业、残疾人福利性单位视同小微企业）的投标价格给予10%的扣除，用扣除后的价格参与评审。</w:t>
            </w:r>
          </w:p>
          <w:p w14:paraId="349FCFD7">
            <w:pPr>
              <w:pStyle w:val="45"/>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3.本项目的特定资格要求：单位负责人为同一人或者存在直接控股、管理关系的不同投标人，不得参加同一合同项下的政府采购活动。</w:t>
            </w:r>
          </w:p>
        </w:tc>
      </w:tr>
      <w:tr w14:paraId="46CB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Align w:val="center"/>
          </w:tcPr>
          <w:p w14:paraId="48C0118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45" w:type="pct"/>
            <w:vAlign w:val="center"/>
          </w:tcPr>
          <w:p w14:paraId="094E7C5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3761" w:type="pct"/>
            <w:vAlign w:val="center"/>
          </w:tcPr>
          <w:p w14:paraId="3B7D79B2">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w:t>
            </w:r>
          </w:p>
          <w:p w14:paraId="6E02550A">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小写：120000.00元（大写：壹拾贰万元整）</w:t>
            </w:r>
          </w:p>
          <w:p w14:paraId="5D92FEDD">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截止时间前确认到账。</w:t>
            </w:r>
          </w:p>
          <w:p w14:paraId="0604E077">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一、投标保证金缴纳：</w:t>
            </w:r>
          </w:p>
          <w:p w14:paraId="57964500">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1.投标保证金应当以电汇、网银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保函</w:t>
            </w:r>
            <w:r>
              <w:rPr>
                <w:rFonts w:hint="eastAsia" w:ascii="宋体" w:hAnsi="宋体" w:eastAsia="宋体" w:cs="宋体"/>
                <w:color w:val="auto"/>
                <w:sz w:val="24"/>
                <w:szCs w:val="24"/>
                <w:highlight w:val="none"/>
              </w:rPr>
              <w:t>等非现金形式提交；</w:t>
            </w:r>
          </w:p>
          <w:p w14:paraId="12C213BF">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2.缴纳投标保证金时需备注项目名称；</w:t>
            </w:r>
          </w:p>
          <w:p w14:paraId="2EABD8A2">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截止时间：与投标文件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截止时间相同；</w:t>
            </w:r>
          </w:p>
          <w:p w14:paraId="7D992283">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投标保证金缴纳账户：</w:t>
            </w:r>
          </w:p>
          <w:p w14:paraId="4CFFCD85">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单位名称：新疆拓源工程管理咨询有限公司</w:t>
            </w:r>
          </w:p>
          <w:p w14:paraId="02FCDD16">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账号：107675470537</w:t>
            </w:r>
          </w:p>
          <w:p w14:paraId="4813E8B8">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开户行名称：中国银行乌鲁木齐市</w:t>
            </w:r>
            <w:r>
              <w:rPr>
                <w:rFonts w:hint="eastAsia" w:ascii="宋体" w:hAnsi="宋体" w:cs="宋体"/>
                <w:color w:val="auto"/>
                <w:sz w:val="24"/>
                <w:szCs w:val="24"/>
                <w:highlight w:val="none"/>
                <w:lang w:val="en-US" w:eastAsia="zh-CN"/>
              </w:rPr>
              <w:t>银川</w:t>
            </w:r>
            <w:r>
              <w:rPr>
                <w:rFonts w:hint="eastAsia" w:ascii="宋体" w:hAnsi="宋体" w:eastAsia="宋体" w:cs="宋体"/>
                <w:color w:val="auto"/>
                <w:sz w:val="24"/>
                <w:szCs w:val="24"/>
                <w:highlight w:val="none"/>
              </w:rPr>
              <w:t>路支行</w:t>
            </w:r>
          </w:p>
          <w:p w14:paraId="31D9C5E7">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行号：104881006135</w:t>
            </w:r>
          </w:p>
          <w:p w14:paraId="23ACF29D">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二、投标保证金退还：</w:t>
            </w:r>
          </w:p>
          <w:p w14:paraId="64E014FB">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1.未中标人的投标保证金将在中标通知书发出后5个工作日内退还；</w:t>
            </w:r>
          </w:p>
          <w:p w14:paraId="4798E642">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2.中标人的投标保证金将在自采购合同签订之日起5个工作日内无息退还；</w:t>
            </w:r>
          </w:p>
          <w:p w14:paraId="2B66B7E0">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3.有下列情形之一的，投标保证金不予退还：详见总则第15.5条。</w:t>
            </w:r>
          </w:p>
          <w:p w14:paraId="2447F3E3">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auto"/>
                <w:sz w:val="24"/>
                <w:szCs w:val="24"/>
                <w:highlight w:val="none"/>
              </w:rPr>
              <w:t>需装订在投标文件中相应位置。</w:t>
            </w:r>
          </w:p>
          <w:p w14:paraId="3A2DD45A">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注：投标人未按照招标文件的规定提交投标保证金的，将被视为</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14:paraId="0518D077">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财务部联系电话：0991-2338817</w:t>
            </w:r>
          </w:p>
        </w:tc>
      </w:tr>
      <w:tr w14:paraId="47FD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0C89F27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45" w:type="pct"/>
            <w:vAlign w:val="center"/>
          </w:tcPr>
          <w:p w14:paraId="68F4484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3761" w:type="pct"/>
            <w:vAlign w:val="center"/>
          </w:tcPr>
          <w:p w14:paraId="2858331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接受</w:t>
            </w:r>
          </w:p>
        </w:tc>
      </w:tr>
      <w:tr w14:paraId="7B0E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35D5C77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845" w:type="pct"/>
            <w:vAlign w:val="center"/>
          </w:tcPr>
          <w:p w14:paraId="694143E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w:t>
            </w:r>
          </w:p>
        </w:tc>
        <w:tc>
          <w:tcPr>
            <w:tcW w:w="3761" w:type="pct"/>
            <w:vAlign w:val="center"/>
          </w:tcPr>
          <w:p w14:paraId="0C214CE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不允许/</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允许</w:t>
            </w:r>
          </w:p>
        </w:tc>
      </w:tr>
      <w:tr w14:paraId="1CC7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37C705D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45" w:type="pct"/>
            <w:vAlign w:val="center"/>
          </w:tcPr>
          <w:p w14:paraId="2D61FB5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截止时间及地点</w:t>
            </w:r>
          </w:p>
        </w:tc>
        <w:tc>
          <w:tcPr>
            <w:tcW w:w="3761" w:type="pct"/>
            <w:vAlign w:val="center"/>
          </w:tcPr>
          <w:p w14:paraId="4ED9637D">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Theme="minorEastAsia" w:hAnsiTheme="minorEastAsia" w:eastAsiaTheme="minorEastAsia" w:cstheme="minorEastAsia"/>
                <w:b w:val="0"/>
                <w:bCs/>
                <w:color w:val="auto"/>
                <w:kern w:val="0"/>
                <w:sz w:val="24"/>
                <w:szCs w:val="24"/>
                <w:highlight w:val="none"/>
                <w:u w:val="none"/>
                <w:shd w:val="clear" w:color="auto" w:fill="auto"/>
                <w:lang w:eastAsia="zh-CN"/>
              </w:rPr>
            </w:pPr>
            <w:r>
              <w:rPr>
                <w:rFonts w:hint="eastAsia" w:asciiTheme="minorEastAsia" w:hAnsiTheme="minorEastAsia" w:eastAsiaTheme="minorEastAsia" w:cstheme="minorEastAsia"/>
                <w:b w:val="0"/>
                <w:bCs/>
                <w:color w:val="auto"/>
                <w:sz w:val="24"/>
                <w:szCs w:val="24"/>
                <w:highlight w:val="none"/>
                <w:u w:val="none"/>
                <w:shd w:val="clear" w:color="auto" w:fill="auto"/>
                <w:lang w:val="en-US" w:eastAsia="zh-CN"/>
              </w:rPr>
              <w:t>投标</w:t>
            </w:r>
            <w:r>
              <w:rPr>
                <w:rFonts w:hint="eastAsia" w:asciiTheme="minorEastAsia" w:hAnsiTheme="minorEastAsia" w:eastAsiaTheme="minorEastAsia" w:cstheme="minorEastAsia"/>
                <w:b w:val="0"/>
                <w:bCs/>
                <w:color w:val="auto"/>
                <w:sz w:val="24"/>
                <w:szCs w:val="24"/>
                <w:highlight w:val="none"/>
                <w:u w:val="none"/>
                <w:shd w:val="clear" w:color="auto" w:fill="auto"/>
              </w:rPr>
              <w:t>文件</w:t>
            </w:r>
            <w:r>
              <w:rPr>
                <w:rFonts w:hint="eastAsia" w:asciiTheme="minorEastAsia" w:hAnsiTheme="minorEastAsia" w:eastAsiaTheme="minorEastAsia" w:cstheme="minorEastAsia"/>
                <w:b w:val="0"/>
                <w:bCs/>
                <w:color w:val="auto"/>
                <w:sz w:val="24"/>
                <w:szCs w:val="24"/>
                <w:highlight w:val="none"/>
                <w:u w:val="none"/>
                <w:shd w:val="clear" w:color="auto" w:fill="auto"/>
                <w:lang w:val="en-US" w:eastAsia="zh-CN"/>
              </w:rPr>
              <w:t>上传</w:t>
            </w:r>
            <w:r>
              <w:rPr>
                <w:rFonts w:hint="eastAsia" w:asciiTheme="minorEastAsia" w:hAnsiTheme="minorEastAsia" w:eastAsiaTheme="minorEastAsia" w:cstheme="minorEastAsia"/>
                <w:b w:val="0"/>
                <w:bCs/>
                <w:color w:val="auto"/>
                <w:sz w:val="24"/>
                <w:szCs w:val="24"/>
                <w:highlight w:val="none"/>
                <w:u w:val="none"/>
                <w:shd w:val="clear" w:color="auto" w:fill="auto"/>
              </w:rPr>
              <w:t>截止时间</w:t>
            </w:r>
            <w:r>
              <w:rPr>
                <w:rFonts w:hint="eastAsia" w:asciiTheme="minorEastAsia" w:hAnsiTheme="minorEastAsia" w:eastAsiaTheme="minorEastAsia" w:cstheme="minorEastAsia"/>
                <w:b w:val="0"/>
                <w:bCs/>
                <w:color w:val="auto"/>
                <w:sz w:val="24"/>
                <w:szCs w:val="24"/>
                <w:highlight w:val="none"/>
                <w:u w:val="none"/>
                <w:shd w:val="clear" w:color="auto" w:fill="auto"/>
                <w:lang w:eastAsia="zh-CN"/>
              </w:rPr>
              <w:t>：</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r>
              <w:rPr>
                <w:rFonts w:hint="eastAsia" w:asciiTheme="minorEastAsia" w:hAnsiTheme="minorEastAsia" w:eastAsiaTheme="minorEastAsia" w:cstheme="minorEastAsia"/>
                <w:b w:val="0"/>
                <w:bCs/>
                <w:color w:val="auto"/>
                <w:sz w:val="24"/>
                <w:szCs w:val="24"/>
                <w:highlight w:val="none"/>
                <w:u w:val="none"/>
                <w:shd w:val="clear" w:color="auto" w:fill="auto"/>
                <w:lang w:val="en-US" w:eastAsia="zh-CN"/>
              </w:rPr>
              <w:t>1</w:t>
            </w:r>
            <w:r>
              <w:rPr>
                <w:rFonts w:hint="eastAsia" w:asciiTheme="minorEastAsia" w:hAnsiTheme="minorEastAsia" w:eastAsiaTheme="minorEastAsia" w:cstheme="minorEastAsia"/>
                <w:b w:val="0"/>
                <w:bCs/>
                <w:color w:val="auto"/>
                <w:sz w:val="24"/>
                <w:szCs w:val="24"/>
                <w:highlight w:val="none"/>
                <w:u w:val="single"/>
                <w:shd w:val="clear" w:color="auto" w:fill="auto"/>
                <w:lang w:val="en-US" w:eastAsia="zh-CN"/>
              </w:rPr>
              <w:t>1</w:t>
            </w:r>
            <w:r>
              <w:rPr>
                <w:rFonts w:hint="eastAsia" w:asciiTheme="minorEastAsia" w:hAnsiTheme="minorEastAsia" w:eastAsiaTheme="minorEastAsia" w:cstheme="minorEastAsia"/>
                <w:b w:val="0"/>
                <w:bCs/>
                <w:color w:val="auto"/>
                <w:sz w:val="24"/>
                <w:szCs w:val="24"/>
                <w:highlight w:val="none"/>
                <w:u w:val="none"/>
                <w:shd w:val="clear" w:color="auto" w:fill="auto"/>
              </w:rPr>
              <w:t>时</w:t>
            </w:r>
            <w:r>
              <w:rPr>
                <w:rFonts w:hint="eastAsia" w:asciiTheme="minorEastAsia" w:hAnsiTheme="minorEastAsia" w:eastAsiaTheme="minorEastAsia" w:cstheme="minorEastAsia"/>
                <w:b w:val="0"/>
                <w:bCs/>
                <w:color w:val="auto"/>
                <w:sz w:val="24"/>
                <w:szCs w:val="24"/>
                <w:highlight w:val="none"/>
                <w:u w:val="single"/>
                <w:shd w:val="clear" w:color="auto" w:fill="auto"/>
              </w:rPr>
              <w:t>00</w:t>
            </w:r>
            <w:r>
              <w:rPr>
                <w:rFonts w:hint="eastAsia" w:asciiTheme="minorEastAsia" w:hAnsiTheme="minorEastAsia" w:eastAsiaTheme="minorEastAsia" w:cstheme="minorEastAsia"/>
                <w:b w:val="0"/>
                <w:bCs/>
                <w:color w:val="auto"/>
                <w:sz w:val="24"/>
                <w:szCs w:val="24"/>
                <w:highlight w:val="none"/>
                <w:u w:val="none"/>
                <w:shd w:val="clear" w:color="auto" w:fill="auto"/>
              </w:rPr>
              <w:t>分</w:t>
            </w:r>
            <w:r>
              <w:rPr>
                <w:rFonts w:hint="eastAsia" w:asciiTheme="minorEastAsia" w:hAnsiTheme="minorEastAsia" w:eastAsiaTheme="minorEastAsia" w:cstheme="minorEastAsia"/>
                <w:b w:val="0"/>
                <w:bCs/>
                <w:color w:val="auto"/>
                <w:kern w:val="0"/>
                <w:sz w:val="24"/>
                <w:szCs w:val="24"/>
                <w:highlight w:val="none"/>
                <w:u w:val="none"/>
                <w:shd w:val="clear" w:color="auto" w:fill="auto"/>
              </w:rPr>
              <w:t>（北京时间）</w:t>
            </w:r>
            <w:r>
              <w:rPr>
                <w:rFonts w:hint="eastAsia" w:asciiTheme="minorEastAsia" w:hAnsiTheme="minorEastAsia" w:eastAsiaTheme="minorEastAsia" w:cstheme="minorEastAsia"/>
                <w:b w:val="0"/>
                <w:bCs/>
                <w:color w:val="auto"/>
                <w:kern w:val="0"/>
                <w:sz w:val="24"/>
                <w:szCs w:val="24"/>
                <w:highlight w:val="none"/>
                <w:u w:val="none"/>
                <w:shd w:val="clear" w:color="auto" w:fill="auto"/>
                <w:lang w:eastAsia="zh-CN"/>
              </w:rPr>
              <w:t>；</w:t>
            </w:r>
          </w:p>
          <w:p w14:paraId="65EE2B98">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应在投标截止时间前将“电子加密投标文件”成功</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至“政府采购云平台”，否则投标无效。</w:t>
            </w:r>
          </w:p>
        </w:tc>
      </w:tr>
      <w:tr w14:paraId="11C4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5710BC6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45" w:type="pct"/>
            <w:vAlign w:val="center"/>
          </w:tcPr>
          <w:p w14:paraId="63F56D6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采用电子招标投标</w:t>
            </w:r>
          </w:p>
        </w:tc>
        <w:tc>
          <w:tcPr>
            <w:tcW w:w="3761" w:type="pct"/>
            <w:vAlign w:val="center"/>
          </w:tcPr>
          <w:p w14:paraId="174CC47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p w14:paraId="70633D7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1、投标文件解密时间：</w:t>
            </w:r>
            <w:r>
              <w:rPr>
                <w:rFonts w:hint="eastAsia" w:ascii="宋体" w:hAnsi="宋体" w:eastAsia="宋体" w:cs="宋体"/>
                <w:color w:val="auto"/>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cs="宋体"/>
                <w:color w:val="auto"/>
                <w:sz w:val="24"/>
                <w:szCs w:val="24"/>
                <w:highlight w:val="none"/>
                <w:lang w:eastAsia="zh-CN"/>
              </w:rPr>
              <w:t>投标无效</w:t>
            </w:r>
            <w:r>
              <w:rPr>
                <w:rFonts w:hint="eastAsia" w:ascii="宋体" w:hAnsi="宋体" w:eastAsia="宋体" w:cs="宋体"/>
                <w:color w:val="auto"/>
                <w:sz w:val="24"/>
                <w:szCs w:val="24"/>
                <w:highlight w:val="none"/>
              </w:rPr>
              <w:t>。（解密时间开始时政采云平台将以短信形式向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在政采云平台预留的手机号发送短信通知，请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及时关注。）</w:t>
            </w:r>
          </w:p>
          <w:p w14:paraId="32B0142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报价CA签字确认：</w:t>
            </w:r>
            <w:r>
              <w:rPr>
                <w:rFonts w:hint="eastAsia" w:ascii="宋体" w:hAnsi="宋体" w:eastAsia="宋体" w:cs="宋体"/>
                <w:color w:val="auto"/>
                <w:sz w:val="24"/>
                <w:szCs w:val="24"/>
                <w:highlight w:val="none"/>
              </w:rPr>
              <w:t>报价文件开启后将开启签字时段，</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须在20分钟内用CA证书对报价进行签字确认。</w:t>
            </w:r>
          </w:p>
          <w:p w14:paraId="3E89D9A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3、备注:</w:t>
            </w:r>
          </w:p>
          <w:p w14:paraId="42095E5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（1）本次采购采用电子交易方式，电子交易平台为“政府采购云平台（www.zcygov.cn）”。</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参与本项目电子交易活动前，应注册成为政府采购平台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。编制电子投标文件前还需申领CA证书并绑定帐号.</w:t>
            </w:r>
          </w:p>
          <w:p w14:paraId="2CE7BA3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编制电子投标文件应安装“电子招投标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客户端”软件，并按照本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客户端的要求编制并加密投标文件。未按规定加密的投标文件，将被电子招投标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客户端拒收。“电子招投标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自行前往“新疆政府采购网—下载专区—新疆维吾尔自治区全流程电子招投标项目管理系统--电子招投标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客户端”版块获取。</w:t>
            </w:r>
          </w:p>
          <w:p w14:paraId="36BE071C">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应当在投标截止时间前，将“电子招投标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p>
          <w:p w14:paraId="3AEE7BBE">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（5）服务与支持。各政府采购代理机构（含集采机构）及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对不见面开评标系统的技术操作咨询，可通过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https://edu.zcygov.cn/luban/xinjiang-e-biding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 \l "/help"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”版面获取操作指南，同时对自助查询无法解决的问题可通过钉钉群及政采云在线客服获取服务支持。政采云热线人工号码：400-881-7190（工作时间：工作日08:00~20：00）</w:t>
            </w:r>
          </w:p>
        </w:tc>
      </w:tr>
      <w:tr w14:paraId="5A37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6CD7DD5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45" w:type="pct"/>
            <w:vAlign w:val="center"/>
          </w:tcPr>
          <w:p w14:paraId="3951009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761" w:type="pct"/>
            <w:vAlign w:val="center"/>
          </w:tcPr>
          <w:p w14:paraId="4E5A9225">
            <w:pPr>
              <w:keepNext w:val="0"/>
              <w:keepLines w:val="0"/>
              <w:pageBreakBefore w:val="0"/>
              <w:numPr>
                <w:ilvl w:val="0"/>
                <w:numId w:val="5"/>
              </w:numPr>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采购评审中出现下列情形之一的，评标委员会启动异常低价响应审查程序：</w:t>
            </w:r>
          </w:p>
          <w:p w14:paraId="4F152797">
            <w:pPr>
              <w:keepNext w:val="0"/>
              <w:keepLines w:val="0"/>
              <w:pageBreakBefore w:val="0"/>
              <w:numPr>
                <w:ilvl w:val="0"/>
                <w:numId w:val="5"/>
              </w:numPr>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响应报价低于全部通过符合性审查投标人响应报价平均值50%的，即响应报价&lt;全部通过符合性审查投标人响应报价平均值×50%；</w:t>
            </w:r>
          </w:p>
          <w:p w14:paraId="5032EB6C">
            <w:pPr>
              <w:keepNext w:val="0"/>
              <w:keepLines w:val="0"/>
              <w:pageBreakBefore w:val="0"/>
              <w:numPr>
                <w:ilvl w:val="0"/>
                <w:numId w:val="5"/>
              </w:numPr>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响应报价低于通过符合性审查的次低报价投标人响应报价50%的，即响应报价&lt;通过符合性审查的次低报价投标人响应报价×50%；</w:t>
            </w:r>
          </w:p>
          <w:p w14:paraId="2E383654">
            <w:pPr>
              <w:keepNext w:val="0"/>
              <w:keepLines w:val="0"/>
              <w:pageBreakBefore w:val="0"/>
              <w:numPr>
                <w:ilvl w:val="0"/>
                <w:numId w:val="5"/>
              </w:numPr>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响应报价低于采购项目最高限价45%的，即响应报价&lt;采购项目最高限价×45%；</w:t>
            </w:r>
          </w:p>
          <w:p w14:paraId="11E9093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响应审查后，属于前述第1项至第4项情形的，投标人在评审现场30分钟内对响应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tc>
      </w:tr>
      <w:tr w14:paraId="1A0C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93" w:type="pct"/>
            <w:vAlign w:val="center"/>
          </w:tcPr>
          <w:p w14:paraId="302384A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45" w:type="pct"/>
            <w:vAlign w:val="center"/>
          </w:tcPr>
          <w:p w14:paraId="0078FB9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3761" w:type="pct"/>
            <w:vAlign w:val="center"/>
          </w:tcPr>
          <w:p w14:paraId="1EEFD08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14:paraId="21A1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426B78D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45" w:type="pct"/>
            <w:vAlign w:val="center"/>
          </w:tcPr>
          <w:p w14:paraId="53BA923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3761" w:type="pct"/>
            <w:vAlign w:val="center"/>
          </w:tcPr>
          <w:p w14:paraId="7973546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 xml:space="preserve">不召开  </w:t>
            </w:r>
          </w:p>
        </w:tc>
      </w:tr>
      <w:tr w14:paraId="0A46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2A7271F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45" w:type="pct"/>
            <w:vAlign w:val="center"/>
          </w:tcPr>
          <w:p w14:paraId="4000081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3761" w:type="pct"/>
            <w:vAlign w:val="center"/>
          </w:tcPr>
          <w:p w14:paraId="4F5461AD">
            <w:pPr>
              <w:pStyle w:val="24"/>
              <w:keepNext w:val="0"/>
              <w:keepLines w:val="0"/>
              <w:pageBreakBefore w:val="0"/>
              <w:kinsoku/>
              <w:wordWrap/>
              <w:overflowPunct/>
              <w:topLinePunct w:val="0"/>
              <w:autoSpaceDE/>
              <w:autoSpaceDN/>
              <w:bidi w:val="0"/>
              <w:spacing w:line="400" w:lineRule="exact"/>
              <w:ind w:lef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银行出具的近1年内资信证明或202</w:t>
            </w:r>
            <w:r>
              <w:rPr>
                <w:rFonts w:hint="eastAsia" w:ascii="宋体" w:hAnsi="宋体" w:eastAsia="宋体" w:cs="宋体"/>
                <w:color w:val="auto"/>
                <w:sz w:val="24"/>
                <w:szCs w:val="24"/>
                <w:highlight w:val="none"/>
                <w:lang w:val="en-US" w:eastAsia="zh-CN"/>
              </w:rPr>
              <w:t>4年度或2025年度财务审计报告。</w:t>
            </w:r>
          </w:p>
        </w:tc>
      </w:tr>
      <w:tr w14:paraId="1E1E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6B5A048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845" w:type="pct"/>
            <w:vAlign w:val="center"/>
          </w:tcPr>
          <w:p w14:paraId="13FE5CC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761" w:type="pct"/>
            <w:vAlign w:val="center"/>
          </w:tcPr>
          <w:p w14:paraId="76251A9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从开标之日起60日历天</w:t>
            </w:r>
          </w:p>
        </w:tc>
      </w:tr>
      <w:tr w14:paraId="6C99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3A5F5F0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45" w:type="pct"/>
            <w:vAlign w:val="center"/>
          </w:tcPr>
          <w:p w14:paraId="502DFEB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3761" w:type="pct"/>
            <w:vAlign w:val="center"/>
          </w:tcPr>
          <w:p w14:paraId="64DA918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w:t>
            </w:r>
          </w:p>
          <w:p w14:paraId="5815324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14:paraId="1D2D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Align w:val="center"/>
          </w:tcPr>
          <w:p w14:paraId="6BE7F15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845" w:type="pct"/>
            <w:vAlign w:val="center"/>
          </w:tcPr>
          <w:p w14:paraId="26C33FA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3761" w:type="pct"/>
            <w:vAlign w:val="center"/>
          </w:tcPr>
          <w:p w14:paraId="65CA6F4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7A93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3F43615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845" w:type="pct"/>
            <w:vAlign w:val="center"/>
          </w:tcPr>
          <w:p w14:paraId="1EA4DF5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3761" w:type="pct"/>
            <w:vAlign w:val="center"/>
          </w:tcPr>
          <w:p w14:paraId="5B5B6D8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否，推荐3名中标候选人。</w:t>
            </w:r>
          </w:p>
        </w:tc>
      </w:tr>
      <w:tr w14:paraId="14D9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6E632D5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45" w:type="pct"/>
            <w:vAlign w:val="center"/>
          </w:tcPr>
          <w:p w14:paraId="5AD1421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761" w:type="pct"/>
            <w:vAlign w:val="center"/>
          </w:tcPr>
          <w:p w14:paraId="06A4F83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本项目不要求缴纳履约保证金。 </w:t>
            </w:r>
          </w:p>
        </w:tc>
      </w:tr>
      <w:tr w14:paraId="6ADD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58CAAD3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45" w:type="pct"/>
            <w:vAlign w:val="center"/>
          </w:tcPr>
          <w:p w14:paraId="7634C24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3761" w:type="pct"/>
            <w:vAlign w:val="center"/>
          </w:tcPr>
          <w:p w14:paraId="38615829">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《招标代理服务收费管理暂行办法》(国家发展计划委员会计价格〔2002〕1980号文)</w:t>
            </w:r>
            <w:r>
              <w:rPr>
                <w:rFonts w:hint="eastAsia" w:ascii="宋体" w:hAnsi="宋体" w:eastAsia="宋体" w:cs="宋体"/>
                <w:color w:val="auto"/>
                <w:sz w:val="24"/>
                <w:szCs w:val="24"/>
                <w:highlight w:val="none"/>
                <w:lang w:val="en-US" w:eastAsia="zh-CN"/>
              </w:rPr>
              <w:t>下浮20%，</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中标单位</w:t>
            </w:r>
            <w:r>
              <w:rPr>
                <w:rFonts w:hint="eastAsia" w:ascii="宋体" w:hAnsi="宋体" w:eastAsia="宋体" w:cs="宋体"/>
                <w:color w:val="auto"/>
                <w:sz w:val="24"/>
                <w:szCs w:val="24"/>
                <w:highlight w:val="none"/>
              </w:rPr>
              <w:t>支付。</w:t>
            </w:r>
          </w:p>
        </w:tc>
      </w:tr>
      <w:tr w14:paraId="2055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560A6F9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45" w:type="pct"/>
            <w:vAlign w:val="center"/>
          </w:tcPr>
          <w:p w14:paraId="3E2BD4D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761" w:type="pct"/>
            <w:vAlign w:val="center"/>
          </w:tcPr>
          <w:p w14:paraId="5BBA8504">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具体以签订合同为准</w:t>
            </w:r>
          </w:p>
        </w:tc>
      </w:tr>
      <w:tr w14:paraId="4764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3" w:type="pct"/>
            <w:vAlign w:val="center"/>
          </w:tcPr>
          <w:p w14:paraId="4FD9A42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845" w:type="pct"/>
            <w:vAlign w:val="center"/>
          </w:tcPr>
          <w:p w14:paraId="679BC5E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761" w:type="pct"/>
            <w:vAlign w:val="center"/>
          </w:tcPr>
          <w:p w14:paraId="16B2D5A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本次招标如有变更、澄清或其他通知将在发布招标公告的网站上公布。</w:t>
            </w:r>
          </w:p>
        </w:tc>
      </w:tr>
      <w:tr w14:paraId="4905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3" w:type="pct"/>
            <w:vAlign w:val="center"/>
          </w:tcPr>
          <w:p w14:paraId="4A8A7439">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845" w:type="pct"/>
            <w:vAlign w:val="center"/>
          </w:tcPr>
          <w:p w14:paraId="28C7D38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w:t>
            </w:r>
          </w:p>
        </w:tc>
        <w:tc>
          <w:tcPr>
            <w:tcW w:w="3761" w:type="pct"/>
            <w:vAlign w:val="center"/>
          </w:tcPr>
          <w:p w14:paraId="1A9140CE">
            <w:pPr>
              <w:pStyle w:val="39"/>
              <w:spacing w:line="360" w:lineRule="auto"/>
              <w:rPr>
                <w:rFonts w:hint="default" w:ascii="宋体" w:hAnsi="宋体" w:eastAsia="宋体" w:cs="宋体"/>
                <w:b/>
                <w:bCs/>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项目类型：服务</w:t>
            </w:r>
          </w:p>
        </w:tc>
      </w:tr>
    </w:tbl>
    <w:p w14:paraId="4DFAADE2">
      <w:pPr>
        <w:pStyle w:val="3"/>
        <w:pageBreakBefore w:val="0"/>
        <w:widowControl w:val="0"/>
        <w:kinsoku/>
        <w:wordWrap/>
        <w:overflowPunct/>
        <w:topLinePunct w:val="0"/>
        <w:autoSpaceDE/>
        <w:autoSpaceDN/>
        <w:bidi w:val="0"/>
        <w:adjustRightInd/>
        <w:spacing w:before="156" w:after="156" w:line="480" w:lineRule="exact"/>
        <w:textAlignment w:val="auto"/>
        <w:rPr>
          <w:rFonts w:hint="eastAsia" w:ascii="宋体" w:hAnsi="宋体" w:eastAsia="宋体" w:cs="宋体"/>
          <w:bCs w:val="0"/>
          <w:color w:val="auto"/>
          <w:sz w:val="24"/>
          <w:szCs w:val="24"/>
          <w:highlight w:val="none"/>
        </w:rPr>
      </w:pPr>
      <w:bookmarkStart w:id="169" w:name="_GoBack"/>
      <w:bookmarkEnd w:id="169"/>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39C01E7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0" w:name="_Toc183682342"/>
      <w:bookmarkStart w:id="41" w:name="_Toc183582205"/>
      <w:bookmarkStart w:id="42" w:name="_Toc217446034"/>
      <w:r>
        <w:rPr>
          <w:rFonts w:hint="eastAsia" w:ascii="宋体" w:hAnsi="宋体" w:eastAsia="宋体" w:cs="宋体"/>
          <w:color w:val="auto"/>
          <w:sz w:val="24"/>
          <w:szCs w:val="24"/>
          <w:highlight w:val="none"/>
        </w:rPr>
        <w:t>1.</w:t>
      </w:r>
      <w:bookmarkEnd w:id="40"/>
      <w:bookmarkEnd w:id="41"/>
      <w:r>
        <w:rPr>
          <w:rFonts w:hint="eastAsia" w:ascii="宋体" w:hAnsi="宋体" w:eastAsia="宋体" w:cs="宋体"/>
          <w:color w:val="auto"/>
          <w:sz w:val="24"/>
          <w:szCs w:val="24"/>
          <w:highlight w:val="none"/>
        </w:rPr>
        <w:t xml:space="preserve"> 适用范围</w:t>
      </w:r>
      <w:bookmarkEnd w:id="42"/>
    </w:p>
    <w:p w14:paraId="646F4FCA">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3D511C8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3" w:name="_Toc183682343"/>
      <w:bookmarkStart w:id="44" w:name="_Toc183582206"/>
      <w:bookmarkStart w:id="45" w:name="_Toc217446035"/>
      <w:r>
        <w:rPr>
          <w:rFonts w:hint="eastAsia" w:ascii="宋体" w:hAnsi="宋体" w:eastAsia="宋体" w:cs="宋体"/>
          <w:color w:val="auto"/>
          <w:sz w:val="24"/>
          <w:szCs w:val="24"/>
          <w:highlight w:val="none"/>
        </w:rPr>
        <w:t xml:space="preserve">2. </w:t>
      </w:r>
      <w:bookmarkEnd w:id="43"/>
      <w:bookmarkEnd w:id="44"/>
      <w:r>
        <w:rPr>
          <w:rFonts w:hint="eastAsia" w:ascii="宋体" w:hAnsi="宋体" w:eastAsia="宋体" w:cs="宋体"/>
          <w:color w:val="auto"/>
          <w:sz w:val="24"/>
          <w:szCs w:val="24"/>
          <w:highlight w:val="none"/>
        </w:rPr>
        <w:t>有关定义</w:t>
      </w:r>
      <w:bookmarkEnd w:id="45"/>
    </w:p>
    <w:p w14:paraId="4835CF6C">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eastAsia="zh-CN"/>
        </w:rPr>
        <w:t>乌鲁木齐甘泉堡经济技术开发区（工业区）应急管理局</w:t>
      </w:r>
      <w:r>
        <w:rPr>
          <w:rFonts w:hint="eastAsia" w:ascii="宋体" w:hAnsi="宋体" w:eastAsia="宋体" w:cs="宋体"/>
          <w:color w:val="auto"/>
          <w:sz w:val="24"/>
          <w:szCs w:val="24"/>
          <w:highlight w:val="none"/>
        </w:rPr>
        <w:t>。</w:t>
      </w:r>
    </w:p>
    <w:p w14:paraId="7AAD7AD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eastAsia="宋体" w:cs="宋体"/>
          <w:color w:val="auto"/>
          <w:sz w:val="24"/>
          <w:szCs w:val="24"/>
          <w:highlight w:val="none"/>
          <w:u w:val="single"/>
        </w:rPr>
        <w:t>新疆拓源工程管理咨询有限公司</w:t>
      </w:r>
      <w:r>
        <w:rPr>
          <w:rFonts w:hint="eastAsia" w:ascii="宋体" w:hAnsi="宋体" w:eastAsia="宋体" w:cs="宋体"/>
          <w:color w:val="auto"/>
          <w:sz w:val="24"/>
          <w:szCs w:val="24"/>
          <w:highlight w:val="none"/>
        </w:rPr>
        <w:t>。</w:t>
      </w:r>
    </w:p>
    <w:p w14:paraId="5236DDB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7EEFCBA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“投标人”系指下载了招标文件拟参加投标和向采购人提供货物的投标人。</w:t>
      </w:r>
    </w:p>
    <w:p w14:paraId="2F4A1FF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46" w:name="_Toc183582207"/>
      <w:bookmarkStart w:id="47" w:name="_Toc217390843"/>
      <w:bookmarkStart w:id="48" w:name="_Toc183682344"/>
      <w:bookmarkStart w:id="49" w:name="_Toc217446036"/>
      <w:r>
        <w:rPr>
          <w:rFonts w:hint="eastAsia" w:ascii="宋体" w:hAnsi="宋体" w:eastAsia="宋体" w:cs="宋体"/>
          <w:color w:val="auto"/>
          <w:sz w:val="24"/>
          <w:szCs w:val="24"/>
          <w:highlight w:val="none"/>
        </w:rPr>
        <w:t>3. 合格的</w:t>
      </w:r>
      <w:bookmarkEnd w:id="46"/>
      <w:bookmarkEnd w:id="47"/>
      <w:bookmarkEnd w:id="48"/>
      <w:bookmarkEnd w:id="49"/>
      <w:r>
        <w:rPr>
          <w:rFonts w:hint="eastAsia" w:ascii="宋体" w:hAnsi="宋体" w:eastAsia="宋体" w:cs="宋体"/>
          <w:color w:val="auto"/>
          <w:sz w:val="24"/>
          <w:szCs w:val="24"/>
          <w:highlight w:val="none"/>
        </w:rPr>
        <w:t>投标人</w:t>
      </w:r>
    </w:p>
    <w:p w14:paraId="5844808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14:paraId="36C2579F">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33F05852">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634A5E9E">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（3）下载招标文件并参与竞争。</w:t>
      </w:r>
    </w:p>
    <w:p w14:paraId="4EAE1C7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50" w:name="_Toc183682345"/>
      <w:bookmarkStart w:id="51" w:name="_Toc217446037"/>
      <w:bookmarkStart w:id="52" w:name="_Toc183582208"/>
      <w:r>
        <w:rPr>
          <w:rFonts w:hint="eastAsia" w:ascii="宋体" w:hAnsi="宋体" w:eastAsia="宋体" w:cs="宋体"/>
          <w:color w:val="auto"/>
          <w:sz w:val="24"/>
          <w:szCs w:val="24"/>
          <w:highlight w:val="none"/>
        </w:rPr>
        <w:t>4. 投标费用</w:t>
      </w:r>
      <w:bookmarkEnd w:id="50"/>
      <w:bookmarkEnd w:id="51"/>
      <w:bookmarkEnd w:id="52"/>
    </w:p>
    <w:p w14:paraId="3B72D898">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14:paraId="70579440">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Cs w:val="0"/>
          <w:color w:val="auto"/>
          <w:sz w:val="24"/>
          <w:szCs w:val="24"/>
          <w:highlight w:val="none"/>
        </w:rPr>
      </w:pPr>
      <w:bookmarkStart w:id="53" w:name="_Toc183682346"/>
      <w:bookmarkStart w:id="54" w:name="_Toc217446038"/>
      <w:bookmarkStart w:id="55" w:name="_Toc183582209"/>
      <w:bookmarkStart w:id="56" w:name="_Toc89075875"/>
      <w:bookmarkStart w:id="57" w:name="_Toc77400779"/>
      <w:r>
        <w:rPr>
          <w:rFonts w:hint="eastAsia" w:ascii="宋体" w:hAnsi="宋体" w:eastAsia="宋体" w:cs="宋体"/>
          <w:bCs w:val="0"/>
          <w:color w:val="auto"/>
          <w:sz w:val="24"/>
          <w:szCs w:val="24"/>
          <w:highlight w:val="none"/>
        </w:rPr>
        <w:t>三、</w:t>
      </w:r>
      <w:bookmarkEnd w:id="53"/>
      <w:bookmarkEnd w:id="54"/>
      <w:bookmarkEnd w:id="55"/>
      <w:bookmarkEnd w:id="56"/>
      <w:bookmarkEnd w:id="57"/>
      <w:r>
        <w:rPr>
          <w:rFonts w:hint="eastAsia" w:ascii="宋体" w:hAnsi="宋体" w:eastAsia="宋体" w:cs="宋体"/>
          <w:bCs w:val="0"/>
          <w:color w:val="auto"/>
          <w:sz w:val="24"/>
          <w:szCs w:val="24"/>
          <w:highlight w:val="none"/>
        </w:rPr>
        <w:t>招标文件</w:t>
      </w:r>
    </w:p>
    <w:p w14:paraId="5F458A7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58" w:name="_Toc183682347"/>
      <w:bookmarkStart w:id="59" w:name="_Toc217446039"/>
      <w:bookmarkStart w:id="60" w:name="_Toc183582210"/>
      <w:r>
        <w:rPr>
          <w:rFonts w:hint="eastAsia" w:ascii="宋体" w:hAnsi="宋体" w:eastAsia="宋体" w:cs="宋体"/>
          <w:color w:val="auto"/>
          <w:sz w:val="24"/>
          <w:szCs w:val="24"/>
          <w:highlight w:val="none"/>
        </w:rPr>
        <w:t>5．招标文件的构成</w:t>
      </w:r>
      <w:bookmarkEnd w:id="58"/>
      <w:bookmarkEnd w:id="59"/>
      <w:bookmarkEnd w:id="60"/>
    </w:p>
    <w:p w14:paraId="3FA679FB">
      <w:pPr>
        <w:pageBreakBefore w:val="0"/>
        <w:widowControl w:val="0"/>
        <w:tabs>
          <w:tab w:val="left" w:pos="72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2A215931">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1CD70416">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14:paraId="39F65A18">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4E91F9EC">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ab/>
      </w:r>
    </w:p>
    <w:p w14:paraId="7E372A19">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31DCDB21">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61BA7234">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3F68AED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61" w:name="_Toc183682348"/>
      <w:bookmarkStart w:id="62" w:name="_Toc183582211"/>
      <w:bookmarkStart w:id="63" w:name="_Toc217446040"/>
      <w:r>
        <w:rPr>
          <w:rFonts w:hint="eastAsia" w:ascii="宋体" w:hAnsi="宋体" w:eastAsia="宋体" w:cs="宋体"/>
          <w:color w:val="auto"/>
          <w:sz w:val="24"/>
          <w:szCs w:val="24"/>
          <w:highlight w:val="none"/>
        </w:rPr>
        <w:t>6. 招标文件的澄清</w:t>
      </w:r>
      <w:bookmarkEnd w:id="61"/>
      <w:bookmarkEnd w:id="62"/>
      <w:r>
        <w:rPr>
          <w:rFonts w:hint="eastAsia" w:ascii="宋体" w:hAnsi="宋体" w:eastAsia="宋体" w:cs="宋体"/>
          <w:color w:val="auto"/>
          <w:sz w:val="24"/>
          <w:szCs w:val="24"/>
          <w:highlight w:val="none"/>
        </w:rPr>
        <w:t>和修改</w:t>
      </w:r>
      <w:bookmarkEnd w:id="63"/>
    </w:p>
    <w:p w14:paraId="1838A8A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4" w:name="_Toc217446041"/>
      <w:bookmarkStart w:id="65" w:name="_Toc20884897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AA9403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A4D6A6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答疑会和现场考察</w:t>
      </w:r>
      <w:bookmarkEnd w:id="64"/>
      <w:bookmarkEnd w:id="65"/>
      <w:r>
        <w:rPr>
          <w:rFonts w:hint="eastAsia" w:ascii="宋体" w:hAnsi="宋体" w:eastAsia="宋体" w:cs="宋体"/>
          <w:color w:val="auto"/>
          <w:sz w:val="24"/>
          <w:szCs w:val="24"/>
          <w:highlight w:val="none"/>
        </w:rPr>
        <w:t>。</w:t>
      </w:r>
    </w:p>
    <w:p w14:paraId="0696F78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66" w:name="_Toc183582214"/>
      <w:bookmarkStart w:id="67" w:name="_Toc183682351"/>
      <w:bookmarkStart w:id="68" w:name="_Toc217446042"/>
      <w:bookmarkStart w:id="69" w:name="_Toc77400780"/>
      <w:bookmarkStart w:id="70" w:name="_Toc89075876"/>
      <w:r>
        <w:rPr>
          <w:rFonts w:hint="eastAsia" w:ascii="宋体" w:hAnsi="宋体" w:eastAsia="宋体" w:cs="宋体"/>
          <w:color w:val="auto"/>
          <w:sz w:val="24"/>
          <w:szCs w:val="24"/>
          <w:highlight w:val="none"/>
        </w:rPr>
        <w:t>7.1 本项目不组织答疑会和现场考察。</w:t>
      </w:r>
    </w:p>
    <w:p w14:paraId="21B18873">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66"/>
      <w:bookmarkEnd w:id="67"/>
      <w:bookmarkEnd w:id="68"/>
      <w:bookmarkEnd w:id="69"/>
      <w:bookmarkEnd w:id="70"/>
      <w:r>
        <w:rPr>
          <w:rFonts w:hint="eastAsia" w:ascii="宋体" w:hAnsi="宋体" w:eastAsia="宋体" w:cs="宋体"/>
          <w:bCs w:val="0"/>
          <w:color w:val="auto"/>
          <w:sz w:val="24"/>
          <w:szCs w:val="24"/>
          <w:highlight w:val="none"/>
        </w:rPr>
        <w:t>投标文件</w:t>
      </w:r>
    </w:p>
    <w:p w14:paraId="0125C67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1" w:name="_Toc183582215"/>
      <w:bookmarkStart w:id="72" w:name="_Toc217446043"/>
      <w:bookmarkStart w:id="73" w:name="_Toc183682352"/>
      <w:r>
        <w:rPr>
          <w:rFonts w:hint="eastAsia" w:ascii="宋体" w:hAnsi="宋体" w:eastAsia="宋体" w:cs="宋体"/>
          <w:color w:val="auto"/>
          <w:sz w:val="24"/>
          <w:szCs w:val="24"/>
          <w:highlight w:val="none"/>
        </w:rPr>
        <w:t>8．投标文件的语言</w:t>
      </w:r>
      <w:bookmarkEnd w:id="71"/>
      <w:bookmarkEnd w:id="72"/>
      <w:bookmarkEnd w:id="73"/>
    </w:p>
    <w:p w14:paraId="37C183F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2DC3467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2B0B8A3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4" w:name="_Toc183682353"/>
      <w:bookmarkStart w:id="75" w:name="_Toc217446044"/>
      <w:bookmarkStart w:id="76" w:name="_Toc183582216"/>
      <w:r>
        <w:rPr>
          <w:rFonts w:hint="eastAsia" w:ascii="宋体" w:hAnsi="宋体" w:eastAsia="宋体" w:cs="宋体"/>
          <w:color w:val="auto"/>
          <w:sz w:val="24"/>
          <w:szCs w:val="24"/>
          <w:highlight w:val="none"/>
        </w:rPr>
        <w:t>9．计量单位</w:t>
      </w:r>
      <w:bookmarkEnd w:id="74"/>
      <w:bookmarkEnd w:id="75"/>
      <w:bookmarkEnd w:id="76"/>
    </w:p>
    <w:p w14:paraId="247EB7C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0307170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7" w:name="_Toc217446045"/>
      <w:r>
        <w:rPr>
          <w:rFonts w:hint="eastAsia" w:ascii="宋体" w:hAnsi="宋体" w:eastAsia="宋体" w:cs="宋体"/>
          <w:color w:val="auto"/>
          <w:sz w:val="24"/>
          <w:szCs w:val="24"/>
          <w:highlight w:val="none"/>
        </w:rPr>
        <w:t>10. 投标货币</w:t>
      </w:r>
      <w:bookmarkEnd w:id="77"/>
    </w:p>
    <w:p w14:paraId="50167CE0">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7533FC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8" w:name="_Toc217446046"/>
      <w:r>
        <w:rPr>
          <w:rFonts w:hint="eastAsia" w:ascii="宋体" w:hAnsi="宋体" w:eastAsia="宋体" w:cs="宋体"/>
          <w:color w:val="auto"/>
          <w:sz w:val="24"/>
          <w:szCs w:val="24"/>
          <w:highlight w:val="none"/>
        </w:rPr>
        <w:t>11. 联合体投标</w:t>
      </w:r>
      <w:bookmarkEnd w:id="78"/>
    </w:p>
    <w:p w14:paraId="1B6527D2">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详见“投标人须知前附表”第13条。</w:t>
      </w:r>
    </w:p>
    <w:p w14:paraId="6A02557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79" w:name="_Toc217446047"/>
      <w:r>
        <w:rPr>
          <w:rFonts w:hint="eastAsia" w:ascii="宋体" w:hAnsi="宋体" w:eastAsia="宋体" w:cs="宋体"/>
          <w:color w:val="auto"/>
          <w:sz w:val="24"/>
          <w:szCs w:val="24"/>
          <w:highlight w:val="none"/>
        </w:rPr>
        <w:t>12. 知识产权</w:t>
      </w:r>
      <w:bookmarkEnd w:id="79"/>
    </w:p>
    <w:p w14:paraId="71D35D0F">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56AD2816">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56921F8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2FDC68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14:paraId="4B60C66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0" w:name="_Toc183582217"/>
      <w:bookmarkStart w:id="81" w:name="_Toc183682354"/>
      <w:bookmarkStart w:id="82" w:name="_Toc217446048"/>
      <w:r>
        <w:rPr>
          <w:rFonts w:hint="eastAsia" w:ascii="宋体" w:hAnsi="宋体" w:eastAsia="宋体" w:cs="宋体"/>
          <w:color w:val="auto"/>
          <w:sz w:val="24"/>
          <w:szCs w:val="24"/>
          <w:highlight w:val="none"/>
        </w:rPr>
        <w:t>13．投标文件的组成</w:t>
      </w:r>
      <w:bookmarkEnd w:id="80"/>
      <w:bookmarkEnd w:id="81"/>
      <w:bookmarkEnd w:id="82"/>
    </w:p>
    <w:p w14:paraId="06F0415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07E4830C">
      <w:pPr>
        <w:tabs>
          <w:tab w:val="left" w:pos="3480"/>
        </w:tabs>
        <w:spacing w:line="500" w:lineRule="exact"/>
        <w:ind w:firstLine="480" w:firstLineChars="200"/>
        <w:rPr>
          <w:rFonts w:hint="eastAsia" w:ascii="宋体" w:hAnsi="宋体" w:eastAsia="宋体" w:cs="宋体"/>
          <w:color w:val="auto"/>
          <w:sz w:val="24"/>
          <w:szCs w:val="24"/>
          <w:highlight w:val="none"/>
        </w:rPr>
      </w:pPr>
      <w:bookmarkStart w:id="83" w:name="_Toc217446049"/>
      <w:bookmarkStart w:id="84" w:name="_Toc183682355"/>
      <w:bookmarkStart w:id="85" w:name="_Toc183582218"/>
      <w:r>
        <w:rPr>
          <w:rFonts w:hint="eastAsia" w:ascii="宋体" w:hAnsi="宋体" w:eastAsia="宋体" w:cs="宋体"/>
          <w:color w:val="auto"/>
          <w:sz w:val="24"/>
          <w:szCs w:val="24"/>
          <w:highlight w:val="none"/>
        </w:rPr>
        <w:t>一、投标函</w:t>
      </w:r>
    </w:p>
    <w:p w14:paraId="3EA63BD5">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3C957ABC">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三、投标人基本情况表</w:t>
      </w:r>
    </w:p>
    <w:p w14:paraId="0006FDDF">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、投标人类似项目业绩一览表</w:t>
      </w:r>
    </w:p>
    <w:p w14:paraId="706F282F">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、商务、</w:t>
      </w:r>
      <w:r>
        <w:rPr>
          <w:rFonts w:hint="eastAsia" w:ascii="宋体" w:hAnsi="宋体" w:cs="宋体"/>
          <w:color w:val="auto"/>
          <w:sz w:val="24"/>
          <w:szCs w:val="24"/>
          <w:highlight w:val="none"/>
          <w:lang w:eastAsia="zh-CN"/>
        </w:rPr>
        <w:t>项目服务需求偏离表</w:t>
      </w:r>
    </w:p>
    <w:p w14:paraId="0E20D282">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、拟配备人员情况</w:t>
      </w:r>
    </w:p>
    <w:p w14:paraId="175A66AC">
      <w:pPr>
        <w:tabs>
          <w:tab w:val="left" w:pos="3480"/>
        </w:tabs>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项目的需求分析</w:t>
      </w:r>
    </w:p>
    <w:p w14:paraId="0384E848">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八、项目服务</w:t>
      </w:r>
      <w:r>
        <w:rPr>
          <w:rFonts w:hint="eastAsia" w:ascii="宋体" w:hAnsi="宋体" w:eastAsia="宋体" w:cs="宋体"/>
          <w:color w:val="auto"/>
          <w:sz w:val="24"/>
          <w:szCs w:val="24"/>
          <w:highlight w:val="none"/>
        </w:rPr>
        <w:t>方案</w:t>
      </w:r>
    </w:p>
    <w:p w14:paraId="262222CB">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、投标人认为需要提供的其他文件和资料</w:t>
      </w:r>
    </w:p>
    <w:p w14:paraId="72AC05DD">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14．投标文件格式</w:t>
      </w:r>
      <w:bookmarkEnd w:id="83"/>
      <w:bookmarkEnd w:id="84"/>
      <w:bookmarkEnd w:id="85"/>
      <w:r>
        <w:rPr>
          <w:rFonts w:hint="eastAsia" w:ascii="宋体" w:hAnsi="宋体" w:eastAsia="宋体" w:cs="宋体"/>
          <w:color w:val="auto"/>
          <w:sz w:val="24"/>
          <w:szCs w:val="24"/>
          <w:highlight w:val="none"/>
        </w:rPr>
        <w:tab/>
      </w:r>
    </w:p>
    <w:p w14:paraId="2364DC71">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29F2888D">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14:paraId="3E8FF12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6" w:name="_Toc217446050"/>
      <w:bookmarkStart w:id="87" w:name="_Toc183582223"/>
      <w:bookmarkStart w:id="88" w:name="_Toc183682360"/>
      <w:r>
        <w:rPr>
          <w:rFonts w:hint="eastAsia" w:ascii="宋体" w:hAnsi="宋体" w:eastAsia="宋体" w:cs="宋体"/>
          <w:color w:val="auto"/>
          <w:sz w:val="24"/>
          <w:szCs w:val="24"/>
          <w:highlight w:val="none"/>
        </w:rPr>
        <w:t>15．投标保证金</w:t>
      </w:r>
      <w:bookmarkEnd w:id="86"/>
      <w:bookmarkEnd w:id="87"/>
      <w:bookmarkEnd w:id="88"/>
    </w:p>
    <w:p w14:paraId="5F35199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14:paraId="4203763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601AE3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14:paraId="4A5DBCD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14:paraId="68C4FEE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15.5发生下列情形之一的，采购代理机构将不予退还投标人缴纳的投标保证金：</w:t>
      </w:r>
    </w:p>
    <w:p w14:paraId="29774D7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89" w:name="_Toc217446051"/>
      <w:bookmarkStart w:id="90" w:name="_Toc183582224"/>
      <w:bookmarkStart w:id="91" w:name="_Toc183682361"/>
      <w:r>
        <w:rPr>
          <w:rFonts w:hint="eastAsia" w:ascii="宋体" w:hAnsi="宋体" w:eastAsia="宋体" w:cs="宋体"/>
          <w:color w:val="auto"/>
          <w:sz w:val="24"/>
          <w:szCs w:val="24"/>
          <w:highlight w:val="none"/>
        </w:rPr>
        <w:t>（1）投标人在提交投标文件截止时间后撤回投标文件的；</w:t>
      </w:r>
    </w:p>
    <w:p w14:paraId="5A03E6A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14:paraId="2372A49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14:paraId="5280B87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（4）除因不可抗力或投标文件认可的情形以外，中标人不履行与采购人签订合同的，在签订合同时向采购人提出附加条件；</w:t>
      </w:r>
    </w:p>
    <w:p w14:paraId="02291F5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（5）中标人未能在规定期限内与采购人签署合同协议书或提交履约保证金的；</w:t>
      </w:r>
    </w:p>
    <w:p w14:paraId="17009C5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（6）投标人与采购人、其他投标人或者采购代理机构恶意串通的；</w:t>
      </w:r>
    </w:p>
    <w:p w14:paraId="448FFDC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74C8CE2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6A43564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16．投标有效期</w:t>
      </w:r>
      <w:bookmarkEnd w:id="89"/>
      <w:bookmarkEnd w:id="90"/>
      <w:bookmarkEnd w:id="91"/>
    </w:p>
    <w:p w14:paraId="52CA8F9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投标有效期详见投标人须知前附表。投标有效期短于此规定期限的，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7738E15">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3953728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b/>
          <w:color w:val="auto"/>
          <w:sz w:val="24"/>
          <w:szCs w:val="24"/>
          <w:highlight w:val="none"/>
        </w:rPr>
      </w:pPr>
      <w:bookmarkStart w:id="92" w:name="_Toc183682362"/>
      <w:bookmarkStart w:id="93" w:name="_Toc183582225"/>
      <w:bookmarkStart w:id="94" w:name="_Toc217446052"/>
      <w:bookmarkStart w:id="95" w:name="_Toc183682365"/>
      <w:bookmarkStart w:id="96" w:name="_Toc183582228"/>
      <w:bookmarkStart w:id="97" w:name="_Toc217446055"/>
      <w:r>
        <w:rPr>
          <w:rFonts w:hint="eastAsia" w:asciiTheme="minorEastAsia" w:hAnsiTheme="minorEastAsia" w:eastAsiaTheme="minorEastAsia" w:cstheme="minorEastAsia"/>
          <w:color w:val="auto"/>
          <w:sz w:val="24"/>
          <w:szCs w:val="24"/>
          <w:highlight w:val="none"/>
        </w:rPr>
        <w:t>17．投标文件的印制和签署</w:t>
      </w:r>
      <w:bookmarkEnd w:id="92"/>
      <w:bookmarkEnd w:id="93"/>
      <w:bookmarkEnd w:id="94"/>
    </w:p>
    <w:p w14:paraId="06D8D739">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w:t>
      </w:r>
      <w:r>
        <w:rPr>
          <w:rFonts w:ascii="宋体" w:hAnsi="宋体" w:eastAsia="宋体" w:cs="宋体"/>
          <w:color w:val="auto"/>
          <w:sz w:val="24"/>
          <w:szCs w:val="24"/>
          <w:highlight w:val="none"/>
        </w:rPr>
        <w:t>招标文件要求供应商法定代表人或者被授权代表签字处，均须加盖其 个人电子印章，并逐页加盖单位公章的电子印章。</w:t>
      </w:r>
    </w:p>
    <w:p w14:paraId="6A635AE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bookmarkStart w:id="98" w:name="_Toc183682363"/>
      <w:bookmarkStart w:id="99" w:name="_Toc183582226"/>
      <w:bookmarkStart w:id="100" w:name="_Toc77400781"/>
      <w:bookmarkStart w:id="101" w:name="_Toc89075877"/>
      <w:bookmarkStart w:id="102" w:name="_Toc217446053"/>
      <w:r>
        <w:rPr>
          <w:rFonts w:hint="eastAsia" w:asciiTheme="minorEastAsia" w:hAnsiTheme="minorEastAsia" w:eastAsiaTheme="minorEastAsia" w:cstheme="minorEastAsia"/>
          <w:color w:val="auto"/>
          <w:sz w:val="24"/>
          <w:szCs w:val="24"/>
          <w:highlight w:val="none"/>
        </w:rPr>
        <w:t>18. 投标文件的密封和标</w:t>
      </w:r>
      <w:bookmarkEnd w:id="98"/>
      <w:bookmarkEnd w:id="99"/>
      <w:bookmarkEnd w:id="100"/>
      <w:bookmarkEnd w:id="101"/>
      <w:r>
        <w:rPr>
          <w:rFonts w:hint="eastAsia" w:asciiTheme="minorEastAsia" w:hAnsiTheme="minorEastAsia" w:eastAsiaTheme="minorEastAsia" w:cstheme="minorEastAsia"/>
          <w:color w:val="auto"/>
          <w:sz w:val="24"/>
          <w:szCs w:val="24"/>
          <w:highlight w:val="none"/>
        </w:rPr>
        <w:t>注</w:t>
      </w:r>
      <w:bookmarkEnd w:id="102"/>
    </w:p>
    <w:p w14:paraId="7AE0E0D1">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ascii="宋体" w:hAnsi="宋体" w:eastAsia="宋体" w:cs="宋体"/>
          <w:color w:val="auto"/>
          <w:sz w:val="24"/>
          <w:szCs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26304A1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bookmarkStart w:id="103" w:name="_Toc183582227"/>
      <w:bookmarkStart w:id="104" w:name="_Toc217446054"/>
      <w:bookmarkStart w:id="105" w:name="_Toc183682364"/>
      <w:r>
        <w:rPr>
          <w:rFonts w:hint="eastAsia" w:asciiTheme="minorEastAsia" w:hAnsiTheme="minorEastAsia" w:eastAsiaTheme="minorEastAsia" w:cstheme="minorEastAsia"/>
          <w:color w:val="auto"/>
          <w:sz w:val="24"/>
          <w:szCs w:val="24"/>
          <w:highlight w:val="none"/>
        </w:rPr>
        <w:t>19．投标文件的</w:t>
      </w:r>
      <w:bookmarkEnd w:id="103"/>
      <w:bookmarkEnd w:id="104"/>
      <w:bookmarkEnd w:id="105"/>
      <w:r>
        <w:rPr>
          <w:rFonts w:hint="eastAsia" w:asciiTheme="minorEastAsia" w:hAnsiTheme="minorEastAsia" w:eastAsiaTheme="minorEastAsia" w:cstheme="minorEastAsia"/>
          <w:color w:val="auto"/>
          <w:sz w:val="24"/>
          <w:szCs w:val="24"/>
          <w:highlight w:val="none"/>
          <w:lang w:eastAsia="zh-CN"/>
        </w:rPr>
        <w:t>上传</w:t>
      </w:r>
    </w:p>
    <w:p w14:paraId="296E55B5">
      <w:pPr>
        <w:pStyle w:val="7"/>
        <w:pageBreakBefore w:val="0"/>
        <w:widowControl w:val="0"/>
        <w:kinsoku/>
        <w:wordWrap/>
        <w:overflowPunct/>
        <w:topLinePunct w:val="0"/>
        <w:autoSpaceDE/>
        <w:autoSpaceDN/>
        <w:bidi w:val="0"/>
        <w:adjustRightInd/>
        <w:spacing w:line="480" w:lineRule="exact"/>
        <w:ind w:firstLine="48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供应商应在</w:t>
      </w:r>
      <w:r>
        <w:rPr>
          <w:rFonts w:hint="eastAsia" w:ascii="宋体" w:hAnsi="宋体" w:cs="宋体"/>
          <w:color w:val="auto"/>
          <w:sz w:val="24"/>
          <w:szCs w:val="24"/>
          <w:highlight w:val="none"/>
          <w:lang w:eastAsia="zh-CN"/>
        </w:rPr>
        <w:t>招标文件</w:t>
      </w:r>
      <w:r>
        <w:rPr>
          <w:rFonts w:ascii="宋体" w:hAnsi="宋体" w:eastAsia="宋体" w:cs="宋体"/>
          <w:color w:val="auto"/>
          <w:sz w:val="24"/>
          <w:szCs w:val="24"/>
          <w:highlight w:val="none"/>
        </w:rPr>
        <w:t>规定的</w:t>
      </w:r>
      <w:r>
        <w:rPr>
          <w:rFonts w:hint="eastAsia" w:ascii="宋体" w:hAnsi="宋体" w:cs="宋体"/>
          <w:color w:val="auto"/>
          <w:sz w:val="24"/>
          <w:szCs w:val="24"/>
          <w:highlight w:val="none"/>
          <w:lang w:val="en-US" w:eastAsia="zh-CN"/>
        </w:rPr>
        <w:t>投标</w:t>
      </w:r>
      <w:r>
        <w:rPr>
          <w:rFonts w:ascii="宋体" w:hAnsi="宋体" w:eastAsia="宋体" w:cs="宋体"/>
          <w:color w:val="auto"/>
          <w:sz w:val="24"/>
          <w:szCs w:val="24"/>
          <w:highlight w:val="none"/>
        </w:rPr>
        <w:t>截止时间前，将响应文件按供应商须 知第15条规定加密上传，</w:t>
      </w:r>
      <w:r>
        <w:rPr>
          <w:rFonts w:hint="eastAsia" w:ascii="宋体" w:hAnsi="宋体" w:cs="宋体"/>
          <w:color w:val="auto"/>
          <w:sz w:val="24"/>
          <w:szCs w:val="24"/>
          <w:highlight w:val="none"/>
          <w:lang w:val="en-US" w:eastAsia="zh-CN"/>
        </w:rPr>
        <w:t>投标</w:t>
      </w:r>
      <w:r>
        <w:rPr>
          <w:rFonts w:ascii="宋体" w:hAnsi="宋体" w:eastAsia="宋体" w:cs="宋体"/>
          <w:color w:val="auto"/>
          <w:sz w:val="24"/>
          <w:szCs w:val="24"/>
          <w:highlight w:val="none"/>
        </w:rPr>
        <w:t>截止时间以后上传递交的响应文件将被“政府采 购云平台”拒收。</w:t>
      </w:r>
    </w:p>
    <w:p w14:paraId="5DC21688">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20．投标文件的修改和撤</w:t>
      </w:r>
      <w:bookmarkEnd w:id="95"/>
      <w:bookmarkEnd w:id="96"/>
      <w:r>
        <w:rPr>
          <w:rFonts w:hint="eastAsia" w:ascii="宋体" w:hAnsi="宋体" w:eastAsia="宋体" w:cs="宋体"/>
          <w:color w:val="auto"/>
          <w:sz w:val="24"/>
          <w:szCs w:val="24"/>
          <w:highlight w:val="none"/>
        </w:rPr>
        <w:t>回</w:t>
      </w:r>
      <w:bookmarkEnd w:id="97"/>
    </w:p>
    <w:p w14:paraId="1F79656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20.1 投标人在投标截止时间前，可以对所</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的投标文件进行补充、修改或者撤回</w:t>
      </w:r>
      <w:r>
        <w:rPr>
          <w:rFonts w:hint="eastAsia" w:ascii="宋体" w:hAnsi="宋体" w:cs="宋体"/>
          <w:color w:val="auto"/>
          <w:sz w:val="24"/>
          <w:szCs w:val="24"/>
          <w:highlight w:val="none"/>
          <w:lang w:eastAsia="zh-CN"/>
        </w:rPr>
        <w:t>。</w:t>
      </w:r>
    </w:p>
    <w:p w14:paraId="586C86F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在投标截止时间之后，投标人不得对其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的投标文件做任何修改或撤回投标。</w:t>
      </w:r>
    </w:p>
    <w:p w14:paraId="2ABF052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投标文件中如果出现计算上或累加上的算术错误，可按以下原则进行修改：</w:t>
      </w:r>
    </w:p>
    <w:p w14:paraId="2282D22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（1）投标文件中投标函内容与投标报价明细表不一致的，以投标函为准；</w:t>
      </w:r>
    </w:p>
    <w:p w14:paraId="25B8BA6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5682D9E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47363D0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（4）单价金额小数点或者百分比有明显错位的，以投标函的总价为准，并修改单价。</w:t>
      </w:r>
    </w:p>
    <w:p w14:paraId="1A72947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E00AEBC">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auto"/>
          <w:sz w:val="24"/>
          <w:szCs w:val="24"/>
          <w:highlight w:val="none"/>
        </w:rPr>
      </w:pPr>
      <w:bookmarkStart w:id="106" w:name="_Toc183682368"/>
      <w:bookmarkStart w:id="107" w:name="_Toc89075878"/>
      <w:bookmarkStart w:id="108" w:name="_Toc217446056"/>
      <w:bookmarkStart w:id="109" w:name="_Toc183582231"/>
      <w:bookmarkStart w:id="110" w:name="_Toc77400782"/>
      <w:r>
        <w:rPr>
          <w:rFonts w:hint="eastAsia" w:ascii="宋体" w:hAnsi="宋体" w:eastAsia="宋体" w:cs="宋体"/>
          <w:color w:val="auto"/>
          <w:sz w:val="24"/>
          <w:szCs w:val="24"/>
          <w:highlight w:val="none"/>
        </w:rPr>
        <w:t>五、开标和</w:t>
      </w:r>
      <w:bookmarkEnd w:id="106"/>
      <w:bookmarkEnd w:id="107"/>
      <w:bookmarkEnd w:id="108"/>
      <w:bookmarkEnd w:id="109"/>
      <w:bookmarkEnd w:id="110"/>
      <w:r>
        <w:rPr>
          <w:rFonts w:hint="eastAsia" w:ascii="宋体" w:hAnsi="宋体" w:eastAsia="宋体" w:cs="宋体"/>
          <w:color w:val="auto"/>
          <w:sz w:val="24"/>
          <w:szCs w:val="24"/>
          <w:highlight w:val="none"/>
        </w:rPr>
        <w:t>中标</w:t>
      </w:r>
    </w:p>
    <w:p w14:paraId="5D38BA0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11" w:name="_Toc183582232"/>
      <w:bookmarkStart w:id="112" w:name="_Toc183682369"/>
      <w:bookmarkStart w:id="113" w:name="_Toc217446057"/>
      <w:r>
        <w:rPr>
          <w:rFonts w:hint="eastAsia" w:ascii="宋体" w:hAnsi="宋体" w:eastAsia="宋体" w:cs="宋体"/>
          <w:color w:val="auto"/>
          <w:sz w:val="24"/>
          <w:szCs w:val="24"/>
          <w:highlight w:val="none"/>
        </w:rPr>
        <w:t>21．开标</w:t>
      </w:r>
      <w:bookmarkEnd w:id="111"/>
      <w:bookmarkEnd w:id="112"/>
      <w:bookmarkEnd w:id="113"/>
    </w:p>
    <w:p w14:paraId="3A04C5F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采购代理机构在招标文件规定的时间和地点组织招标活动，邀请下载招标文件并参与竞争的投标人参加开标，投标人未参加开标的，视同认可开标结果。</w:t>
      </w:r>
    </w:p>
    <w:p w14:paraId="5BF0CD3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5E269DB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开标时，采购代理机构可以邀请有关监督管理部门对开标进行现场监督。</w:t>
      </w:r>
    </w:p>
    <w:p w14:paraId="46BC39F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5EC5194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21.4宣布会场纪律和有关注意事项。</w:t>
      </w:r>
    </w:p>
    <w:p w14:paraId="6F08322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21.5开标时，</w:t>
      </w:r>
      <w:r>
        <w:rPr>
          <w:rFonts w:hint="eastAsia" w:ascii="宋体" w:hAnsi="宋体" w:cs="宋体"/>
          <w:color w:val="auto"/>
          <w:sz w:val="24"/>
          <w:szCs w:val="24"/>
          <w:highlight w:val="none"/>
          <w:lang w:eastAsia="zh-CN"/>
        </w:rPr>
        <w:t>投标单位完成在线解密后，由工作人员开始唱标</w:t>
      </w:r>
    </w:p>
    <w:p w14:paraId="6C36DD2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21.6</w:t>
      </w:r>
      <w:r>
        <w:rPr>
          <w:rFonts w:hint="eastAsia" w:ascii="宋体" w:hAnsi="宋体" w:cs="宋体"/>
          <w:color w:val="auto"/>
          <w:sz w:val="24"/>
          <w:szCs w:val="24"/>
          <w:highlight w:val="none"/>
          <w:lang w:eastAsia="zh-CN"/>
        </w:rPr>
        <w:t>唱标完毕后，如果投标人对所唱“报价一览表”内容有异议，应当立即提出。经现场监标人员确认，认为有必要重新唱标的，由唱标人员重新唱标。</w:t>
      </w:r>
    </w:p>
    <w:p w14:paraId="5864FDE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22.资格审查及组建评标委员会</w:t>
      </w:r>
    </w:p>
    <w:p w14:paraId="230EEB7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22.1公开招标采购项目开标结束后，采购人或者采购代理机构应当依法对投标人的资格进行审查。合格投标人不足3家的，不得评标。</w:t>
      </w:r>
    </w:p>
    <w:p w14:paraId="394CB858">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22.2符合性审查。符合性审查是指依据招标文件的规定，从商务和技术角度对投标文件的有效性和完整性进行审查，以确定是否对招标文件的实质性要求做出响应。</w:t>
      </w:r>
    </w:p>
    <w:p w14:paraId="133D92CC">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22.3评标委员会采用综合评分法对满足招标文件全部实质性要求的投标文件和投标报价进行综合评分。</w:t>
      </w:r>
    </w:p>
    <w:p w14:paraId="565380DE">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520AE6BA">
      <w:pPr>
        <w:pStyle w:val="46"/>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22.5采购代理机构在评标结果后2个工作日内将评标报告送采购人确认。</w:t>
      </w:r>
    </w:p>
    <w:p w14:paraId="0B89750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14" w:name="_Toc183682375"/>
      <w:bookmarkStart w:id="115" w:name="_Toc183582238"/>
      <w:bookmarkStart w:id="116" w:name="_Toc217446063"/>
      <w:r>
        <w:rPr>
          <w:rFonts w:hint="eastAsia" w:ascii="宋体" w:hAnsi="宋体" w:eastAsia="宋体" w:cs="宋体"/>
          <w:color w:val="auto"/>
          <w:sz w:val="24"/>
          <w:szCs w:val="24"/>
          <w:highlight w:val="none"/>
        </w:rPr>
        <w:t>23．中标通知</w:t>
      </w:r>
      <w:bookmarkEnd w:id="114"/>
      <w:bookmarkEnd w:id="115"/>
      <w:r>
        <w:rPr>
          <w:rFonts w:hint="eastAsia" w:ascii="宋体" w:hAnsi="宋体" w:eastAsia="宋体" w:cs="宋体"/>
          <w:color w:val="auto"/>
          <w:sz w:val="24"/>
          <w:szCs w:val="24"/>
          <w:highlight w:val="none"/>
        </w:rPr>
        <w:t>书</w:t>
      </w:r>
      <w:bookmarkEnd w:id="116"/>
    </w:p>
    <w:p w14:paraId="0CC6CD0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中标通知书为签订中标合同的依据，是合同的有效组成部分。</w:t>
      </w:r>
    </w:p>
    <w:p w14:paraId="798340A3">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中标通知书对采购人和中标人均具有法律效力。中标通知书发出后，采购人改变中标结果，或者中标人无正当理由放弃中标的，应当承担相应的法律责任。</w:t>
      </w:r>
    </w:p>
    <w:p w14:paraId="69C23D4B">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5D34FF5D">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auto"/>
          <w:sz w:val="24"/>
          <w:szCs w:val="24"/>
          <w:highlight w:val="none"/>
        </w:rPr>
      </w:pPr>
      <w:bookmarkStart w:id="117" w:name="_Toc217446064"/>
      <w:bookmarkStart w:id="118" w:name="_Toc183682377"/>
      <w:bookmarkStart w:id="119" w:name="_Toc183582240"/>
      <w:r>
        <w:rPr>
          <w:rFonts w:hint="eastAsia" w:ascii="宋体" w:hAnsi="宋体" w:eastAsia="宋体" w:cs="宋体"/>
          <w:color w:val="auto"/>
          <w:sz w:val="24"/>
          <w:szCs w:val="24"/>
          <w:highlight w:val="none"/>
        </w:rPr>
        <w:t>六、签订及履行合同和验收</w:t>
      </w:r>
      <w:bookmarkEnd w:id="117"/>
    </w:p>
    <w:p w14:paraId="53D6EC9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0" w:name="_Toc217446065"/>
      <w:r>
        <w:rPr>
          <w:rFonts w:hint="eastAsia" w:ascii="宋体" w:hAnsi="宋体" w:eastAsia="宋体" w:cs="宋体"/>
          <w:color w:val="auto"/>
          <w:sz w:val="24"/>
          <w:szCs w:val="24"/>
          <w:highlight w:val="none"/>
        </w:rPr>
        <w:t>24. 签订合同</w:t>
      </w:r>
      <w:bookmarkEnd w:id="120"/>
    </w:p>
    <w:p w14:paraId="1DA4759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1DFB492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236C0DC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中标人因不可抗力原因不能履行招标合同或放弃中标的，采购人可以与排在中标人之后第一位的中标候选人签订采购合同，以此类推。</w:t>
      </w:r>
    </w:p>
    <w:p w14:paraId="5150104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中标人在合同签订之后三个工作日内，将签订的合同（彩色扫描件）交至采购代理机构。</w:t>
      </w:r>
    </w:p>
    <w:p w14:paraId="5D832C7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1" w:name="_Toc217446066"/>
      <w:r>
        <w:rPr>
          <w:rFonts w:hint="eastAsia" w:ascii="宋体" w:hAnsi="宋体" w:eastAsia="宋体" w:cs="宋体"/>
          <w:color w:val="auto"/>
          <w:sz w:val="24"/>
          <w:szCs w:val="24"/>
          <w:highlight w:val="none"/>
        </w:rPr>
        <w:t>25. 合同分包</w:t>
      </w:r>
      <w:bookmarkEnd w:id="121"/>
      <w:r>
        <w:rPr>
          <w:rFonts w:hint="eastAsia" w:ascii="宋体" w:hAnsi="宋体" w:eastAsia="宋体" w:cs="宋体"/>
          <w:color w:val="auto"/>
          <w:sz w:val="24"/>
          <w:szCs w:val="24"/>
          <w:highlight w:val="none"/>
        </w:rPr>
        <w:t>（如有）</w:t>
      </w:r>
    </w:p>
    <w:p w14:paraId="3B36FAF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若本项目允许分包的，经采购人同意，中标人可以依法采取分包方式履行合同。这种要求应当在合同签订之前征得采购人同意，并且分包人履行分包项目的服务及技术要求等，必须与中标的一致。</w:t>
      </w:r>
    </w:p>
    <w:p w14:paraId="6D623FE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招标合同实行分包履行的，中标人就招标项目和分包项目向采购人负责，分包人就分包项目承担责任。</w:t>
      </w:r>
    </w:p>
    <w:p w14:paraId="07E6A9B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2" w:name="_Toc217446067"/>
      <w:r>
        <w:rPr>
          <w:rFonts w:hint="eastAsia" w:ascii="宋体" w:hAnsi="宋体" w:eastAsia="宋体" w:cs="宋体"/>
          <w:color w:val="auto"/>
          <w:sz w:val="24"/>
          <w:szCs w:val="24"/>
          <w:highlight w:val="none"/>
        </w:rPr>
        <w:t>26. 采购人增加合同标的权</w:t>
      </w:r>
      <w:bookmarkEnd w:id="122"/>
      <w:r>
        <w:rPr>
          <w:rFonts w:hint="eastAsia" w:ascii="宋体" w:hAnsi="宋体" w:eastAsia="宋体" w:cs="宋体"/>
          <w:color w:val="auto"/>
          <w:sz w:val="24"/>
          <w:szCs w:val="24"/>
          <w:highlight w:val="none"/>
        </w:rPr>
        <w:t>利</w:t>
      </w:r>
    </w:p>
    <w:p w14:paraId="7635FB9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AA9613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3" w:name="_Toc217446068"/>
      <w:r>
        <w:rPr>
          <w:rFonts w:hint="eastAsia" w:ascii="宋体" w:hAnsi="宋体" w:eastAsia="宋体" w:cs="宋体"/>
          <w:color w:val="auto"/>
          <w:sz w:val="24"/>
          <w:szCs w:val="24"/>
          <w:highlight w:val="none"/>
        </w:rPr>
        <w:t>27. 履约保证金</w:t>
      </w:r>
      <w:bookmarkEnd w:id="123"/>
    </w:p>
    <w:p w14:paraId="530A371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27.1 本项目不要求缴纳履约保证金。 </w:t>
      </w:r>
    </w:p>
    <w:p w14:paraId="4C832C0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4" w:name="_Toc217446069"/>
      <w:r>
        <w:rPr>
          <w:rFonts w:hint="eastAsia" w:ascii="宋体" w:hAnsi="宋体" w:eastAsia="宋体" w:cs="宋体"/>
          <w:color w:val="auto"/>
          <w:sz w:val="24"/>
          <w:szCs w:val="24"/>
          <w:highlight w:val="none"/>
        </w:rPr>
        <w:t>28. 履行合同</w:t>
      </w:r>
      <w:bookmarkEnd w:id="124"/>
    </w:p>
    <w:p w14:paraId="5B57320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中标人与采购人签订合同后，合同双方应严格执行合同条款，履行合同规定的义务，保证合同的顺利完成。</w:t>
      </w:r>
    </w:p>
    <w:p w14:paraId="15D4AC4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在合同履行过程中，如发生合同纠纷，合同双方应按照《中华人民共和国民法典》的有关规定进行处理。</w:t>
      </w:r>
    </w:p>
    <w:p w14:paraId="5D093B4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25" w:name="_Toc217446070"/>
      <w:r>
        <w:rPr>
          <w:rFonts w:hint="eastAsia" w:ascii="宋体" w:hAnsi="宋体" w:eastAsia="宋体" w:cs="宋体"/>
          <w:color w:val="auto"/>
          <w:sz w:val="24"/>
          <w:szCs w:val="24"/>
          <w:highlight w:val="none"/>
        </w:rPr>
        <w:t>29. 验收</w:t>
      </w:r>
      <w:bookmarkEnd w:id="125"/>
    </w:p>
    <w:p w14:paraId="5F57CA1E">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bookmarkStart w:id="126" w:name="_Toc217446071"/>
      <w:r>
        <w:rPr>
          <w:rFonts w:hint="eastAsia" w:ascii="宋体" w:hAnsi="宋体" w:eastAsia="宋体" w:cs="宋体"/>
          <w:color w:val="auto"/>
          <w:sz w:val="24"/>
          <w:szCs w:val="24"/>
          <w:highlight w:val="none"/>
        </w:rPr>
        <w:t>中标人与采购人应严格按照国家财政部《关于进一步加强政府采购需求和履约验收管理的指导意见》（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）的要求进行验收。</w:t>
      </w:r>
    </w:p>
    <w:bookmarkEnd w:id="118"/>
    <w:bookmarkEnd w:id="119"/>
    <w:bookmarkEnd w:id="126"/>
    <w:p w14:paraId="676E2B4A">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auto"/>
          <w:sz w:val="24"/>
          <w:szCs w:val="24"/>
          <w:highlight w:val="none"/>
        </w:rPr>
      </w:pPr>
      <w:bookmarkStart w:id="127" w:name="_Toc217446074"/>
      <w:bookmarkStart w:id="128" w:name="_Toc183582243"/>
      <w:bookmarkStart w:id="129" w:name="_Toc183682380"/>
      <w:r>
        <w:rPr>
          <w:rFonts w:hint="eastAsia" w:ascii="宋体" w:hAnsi="宋体" w:eastAsia="宋体" w:cs="宋体"/>
          <w:color w:val="auto"/>
          <w:sz w:val="24"/>
          <w:szCs w:val="24"/>
          <w:highlight w:val="none"/>
        </w:rPr>
        <w:t>七、投标纪律要求</w:t>
      </w:r>
      <w:bookmarkEnd w:id="127"/>
    </w:p>
    <w:p w14:paraId="6CB9162A">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30" w:name="_Toc217446075"/>
      <w:r>
        <w:rPr>
          <w:rFonts w:hint="eastAsia" w:ascii="宋体" w:hAnsi="宋体" w:eastAsia="宋体" w:cs="宋体"/>
          <w:color w:val="auto"/>
          <w:sz w:val="24"/>
          <w:szCs w:val="24"/>
          <w:highlight w:val="none"/>
        </w:rPr>
        <w:t>30. 投标人不得具有的情形</w:t>
      </w:r>
      <w:bookmarkEnd w:id="130"/>
    </w:p>
    <w:p w14:paraId="2CDDB6E8">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投标人参加投标不得有下列情形：</w:t>
      </w:r>
    </w:p>
    <w:p w14:paraId="68E03D0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39781F6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678ED56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（3）与采购人、其他投标人恶意串通；</w:t>
      </w:r>
    </w:p>
    <w:p w14:paraId="66194135">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14:paraId="37968B60">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14:paraId="7286C5CE">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7944F140">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14:paraId="4C3D1C7C">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b w:val="0"/>
          <w:bCs w:val="0"/>
          <w:color w:val="auto"/>
          <w:sz w:val="24"/>
          <w:szCs w:val="24"/>
          <w:highlight w:val="none"/>
        </w:rPr>
      </w:pPr>
      <w:bookmarkStart w:id="131" w:name="_Toc217446076"/>
      <w:r>
        <w:rPr>
          <w:rFonts w:hint="eastAsia" w:ascii="宋体" w:hAnsi="宋体" w:eastAsia="宋体" w:cs="宋体"/>
          <w:color w:val="auto"/>
          <w:sz w:val="24"/>
          <w:szCs w:val="24"/>
          <w:highlight w:val="none"/>
        </w:rPr>
        <w:t>八、</w:t>
      </w:r>
      <w:bookmarkEnd w:id="131"/>
      <w:r>
        <w:rPr>
          <w:rFonts w:hint="eastAsia" w:ascii="宋体" w:hAnsi="宋体" w:eastAsia="宋体" w:cs="宋体"/>
          <w:color w:val="auto"/>
          <w:sz w:val="24"/>
          <w:szCs w:val="24"/>
          <w:highlight w:val="none"/>
        </w:rPr>
        <w:t>合同价款支付</w:t>
      </w:r>
    </w:p>
    <w:p w14:paraId="6F42F18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bookmarkStart w:id="132" w:name="_Toc217446077"/>
      <w:r>
        <w:rPr>
          <w:rFonts w:hint="eastAsia" w:ascii="宋体" w:hAnsi="宋体" w:eastAsia="宋体" w:cs="宋体"/>
          <w:color w:val="auto"/>
          <w:sz w:val="24"/>
          <w:szCs w:val="24"/>
          <w:highlight w:val="none"/>
        </w:rPr>
        <w:t>31. 申请支付</w:t>
      </w:r>
      <w:bookmarkEnd w:id="132"/>
    </w:p>
    <w:p w14:paraId="1BB7225F">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31.1招标项目验收合格，采购人签署《验收结算书》后，向财政部门提出支付申请。采购人的自有资金，由采购人直接支付给中标人或者按照有关合同规定执行。</w:t>
      </w:r>
    </w:p>
    <w:p w14:paraId="039C3110">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财政部门根据采购人的支付申请，并对采购合同进行审核后，直接支付给中标人。</w:t>
      </w:r>
      <w:bookmarkStart w:id="133" w:name="_Toc217446078"/>
    </w:p>
    <w:p w14:paraId="41E1B85E">
      <w:pPr>
        <w:pStyle w:val="3"/>
        <w:pageBreakBefore w:val="0"/>
        <w:widowControl w:val="0"/>
        <w:kinsoku/>
        <w:wordWrap/>
        <w:overflowPunct/>
        <w:topLinePunct w:val="0"/>
        <w:autoSpaceDE/>
        <w:autoSpaceDN/>
        <w:bidi w:val="0"/>
        <w:adjustRightInd/>
        <w:spacing w:before="156" w:after="156"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3"/>
      <w:bookmarkStart w:id="134" w:name="_Toc217446079"/>
    </w:p>
    <w:p w14:paraId="605950C7">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4"/>
      <w:r>
        <w:rPr>
          <w:rFonts w:hint="eastAsia" w:ascii="宋体" w:hAnsi="宋体" w:eastAsia="宋体" w:cs="宋体"/>
          <w:color w:val="auto"/>
          <w:sz w:val="24"/>
          <w:szCs w:val="24"/>
          <w:highlight w:val="none"/>
        </w:rPr>
        <w:t>2．质疑、投诉的接收和处理严格按照《中华人共和国政府采购法</w:t>
      </w:r>
      <w:bookmarkEnd w:id="128"/>
      <w:bookmarkEnd w:id="129"/>
      <w:r>
        <w:rPr>
          <w:rFonts w:hint="eastAsia" w:ascii="宋体" w:hAnsi="宋体" w:eastAsia="宋体" w:cs="宋体"/>
          <w:color w:val="auto"/>
          <w:sz w:val="24"/>
          <w:szCs w:val="24"/>
          <w:highlight w:val="none"/>
        </w:rPr>
        <w:t>》、《政府采购质疑和投诉办法》、《财政部关于加强政府采购投标人投诉受理审查工作的通知》的规定办理。</w:t>
      </w:r>
    </w:p>
    <w:p w14:paraId="65C81510">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32.1投标人认为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11A579BE">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32.2潜在投标人已依法获取其可质疑的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的，可以对该文件提出质疑。对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提出质疑的，应当在获取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公告期限届满之日起7个工作日内提出。</w:t>
      </w:r>
    </w:p>
    <w:p w14:paraId="438D714F">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EB7F4C">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14:paraId="6ED14C90">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32.4投标人提出质疑应当提交质疑函和必要的证明材料。质疑函应当包括下列内容：</w:t>
      </w:r>
    </w:p>
    <w:p w14:paraId="11CAED9A">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321C4CF3">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2AA3155F">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59282FD8">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02638AB9">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59B3821E">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43DB4179">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14:paraId="3CE733F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783E9557">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联系部门：新疆拓源工程管理咨询有限公司招标部</w:t>
      </w:r>
    </w:p>
    <w:p w14:paraId="2B361337">
      <w:pPr>
        <w:pStyle w:val="7"/>
        <w:pageBreakBefore w:val="0"/>
        <w:widowControl w:val="0"/>
        <w:kinsoku/>
        <w:wordWrap/>
        <w:overflowPunct/>
        <w:topLinePunct w:val="0"/>
        <w:autoSpaceDE/>
        <w:autoSpaceDN/>
        <w:bidi w:val="0"/>
        <w:adjustRightInd/>
        <w:spacing w:line="480" w:lineRule="exact"/>
        <w:ind w:firstLine="480"/>
        <w:textAlignment w:val="auto"/>
        <w:rPr>
          <w:rStyle w:val="42"/>
          <w:rFonts w:hint="eastAsia" w:ascii="宋体" w:hAnsi="宋体"/>
          <w:bCs/>
          <w:color w:val="auto"/>
          <w:sz w:val="24"/>
          <w:highlight w:val="none"/>
        </w:rPr>
      </w:pPr>
      <w:r>
        <w:rPr>
          <w:rFonts w:hint="eastAsia" w:ascii="宋体" w:hAnsi="宋体" w:eastAsia="宋体" w:cs="宋体"/>
          <w:color w:val="auto"/>
          <w:sz w:val="24"/>
          <w:szCs w:val="24"/>
          <w:highlight w:val="none"/>
        </w:rPr>
        <w:t>联系人及联系电话：</w:t>
      </w:r>
      <w:r>
        <w:rPr>
          <w:rFonts w:hint="eastAsia" w:ascii="宋体" w:hAnsi="宋体" w:cs="宋体"/>
          <w:color w:val="auto"/>
          <w:sz w:val="24"/>
          <w:szCs w:val="24"/>
          <w:highlight w:val="none"/>
          <w:lang w:eastAsia="zh-CN"/>
        </w:rPr>
        <w:t>刘恒运、张曼、余宗键、田释月</w:t>
      </w:r>
      <w:r>
        <w:rPr>
          <w:rStyle w:val="42"/>
          <w:rFonts w:hint="eastAsia" w:ascii="宋体" w:hAnsi="宋体"/>
          <w:bCs/>
          <w:color w:val="auto"/>
          <w:sz w:val="24"/>
          <w:highlight w:val="none"/>
          <w:lang w:val="en-US" w:eastAsia="zh-CN"/>
        </w:rPr>
        <w:t>19909911103</w:t>
      </w:r>
    </w:p>
    <w:p w14:paraId="77FAAE2A">
      <w:pPr>
        <w:pStyle w:val="7"/>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通讯地址：乌鲁木齐市水磨沟区龙盛街898号万科中央公园S6栋5层</w:t>
      </w:r>
    </w:p>
    <w:p w14:paraId="393FA7BB">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4892370E">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220994C4">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37834FDD">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4CA51811">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19488424">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69E127DD">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0BCF39A0">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41C43292">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664438CD">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32.7投诉人应当根据《政府采购质疑和投诉办法》第七条第二款规定的信息内容，并按照其规定的方式提起投诉。</w:t>
      </w:r>
    </w:p>
    <w:p w14:paraId="78F1BC20">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1A7BBFB5">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08869267">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023623BA">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6C5E4151">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57693EF1">
      <w:pPr>
        <w:pStyle w:val="16"/>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04D76651">
      <w:pPr>
        <w:pStyle w:val="29"/>
        <w:rPr>
          <w:rFonts w:hint="eastAsia" w:ascii="宋体" w:hAnsi="宋体" w:eastAsia="宋体" w:cs="宋体"/>
          <w:color w:val="auto"/>
          <w:sz w:val="24"/>
          <w:szCs w:val="24"/>
          <w:highlight w:val="none"/>
        </w:rPr>
      </w:pPr>
    </w:p>
    <w:p w14:paraId="2F98303A">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质疑函范本</w:t>
      </w:r>
    </w:p>
    <w:p w14:paraId="49B7F658">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14:paraId="40D735CB">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7828775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6975621">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CCE5166">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4A65CC6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5FFB727">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B8248F">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4F7A15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4E1562D">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AF10A3C">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62BE410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获取日期：</w:t>
      </w:r>
      <w:r>
        <w:rPr>
          <w:rFonts w:hint="eastAsia" w:ascii="宋体" w:hAnsi="宋体" w:eastAsia="宋体" w:cs="宋体"/>
          <w:color w:val="auto"/>
          <w:sz w:val="24"/>
          <w:szCs w:val="24"/>
          <w:highlight w:val="none"/>
          <w:u w:val="dotted"/>
        </w:rPr>
        <w:t xml:space="preserve">                                           </w:t>
      </w:r>
    </w:p>
    <w:p w14:paraId="7601CED4">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0637B842">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508F35E">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D83D33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50E7266B">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E2AFB6A">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CC84C90">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EFE89A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2FF7E7C">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636572A">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14D51AC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770107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9779EEA">
      <w:pPr>
        <w:adjustRightInd w:val="0"/>
        <w:snapToGrid w:val="0"/>
        <w:spacing w:line="500" w:lineRule="exact"/>
        <w:ind w:firstLine="480" w:firstLineChars="200"/>
        <w:rPr>
          <w:rFonts w:hint="eastAsia" w:ascii="宋体" w:hAnsi="宋体" w:eastAsia="宋体" w:cs="宋体"/>
          <w:color w:val="auto"/>
          <w:sz w:val="24"/>
          <w:szCs w:val="24"/>
          <w:highlight w:val="none"/>
        </w:rPr>
      </w:pPr>
    </w:p>
    <w:p w14:paraId="3EC505C1">
      <w:pPr>
        <w:spacing w:line="500" w:lineRule="exact"/>
        <w:ind w:firstLine="482" w:firstLineChars="200"/>
        <w:jc w:val="center"/>
        <w:rPr>
          <w:rFonts w:hint="eastAsia" w:ascii="宋体" w:hAnsi="宋体" w:eastAsia="宋体" w:cs="宋体"/>
          <w:b/>
          <w:bCs/>
          <w:color w:val="auto"/>
          <w:sz w:val="24"/>
          <w:szCs w:val="24"/>
          <w:highlight w:val="none"/>
        </w:rPr>
      </w:pPr>
    </w:p>
    <w:p w14:paraId="1E0ADEEE">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2A6E121E">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14:paraId="796FAE13">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4E6381B7">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14:paraId="4899AB1C">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02CC536F">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76F67922">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78044BB8">
      <w:pPr>
        <w:pStyle w:val="29"/>
        <w:rPr>
          <w:rFonts w:hint="eastAsia" w:ascii="宋体" w:hAnsi="宋体" w:eastAsia="宋体" w:cs="宋体"/>
          <w:color w:val="auto"/>
          <w:sz w:val="24"/>
          <w:szCs w:val="24"/>
          <w:highlight w:val="none"/>
        </w:rPr>
      </w:pPr>
    </w:p>
    <w:p w14:paraId="7B09F087">
      <w:pPr>
        <w:pStyle w:val="29"/>
        <w:rPr>
          <w:rFonts w:hint="eastAsia" w:ascii="宋体" w:hAnsi="宋体" w:eastAsia="宋体" w:cs="宋体"/>
          <w:color w:val="auto"/>
          <w:sz w:val="24"/>
          <w:szCs w:val="24"/>
          <w:highlight w:val="none"/>
        </w:rPr>
      </w:pPr>
    </w:p>
    <w:p w14:paraId="3C89A877">
      <w:pPr>
        <w:pStyle w:val="7"/>
        <w:spacing w:line="500" w:lineRule="exact"/>
        <w:ind w:firstLine="480"/>
        <w:rPr>
          <w:rFonts w:hint="eastAsia" w:ascii="宋体" w:hAnsi="宋体" w:eastAsia="宋体" w:cs="宋体"/>
          <w:color w:val="auto"/>
          <w:sz w:val="24"/>
          <w:szCs w:val="24"/>
          <w:highlight w:val="none"/>
        </w:rPr>
      </w:pPr>
    </w:p>
    <w:p w14:paraId="13BCA4C3">
      <w:pPr>
        <w:spacing w:after="340"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5" w:name="_Toc21780"/>
      <w:bookmarkStart w:id="136" w:name="_Toc5850_WPSOffice_Level1"/>
      <w:r>
        <w:rPr>
          <w:rFonts w:hint="eastAsia" w:ascii="宋体" w:hAnsi="宋体" w:eastAsia="宋体" w:cs="宋体"/>
          <w:b/>
          <w:bCs/>
          <w:color w:val="auto"/>
          <w:sz w:val="24"/>
          <w:szCs w:val="24"/>
          <w:highlight w:val="none"/>
        </w:rPr>
        <w:t>第三章  投标文件格式</w:t>
      </w:r>
      <w:bookmarkEnd w:id="135"/>
      <w:bookmarkEnd w:id="136"/>
    </w:p>
    <w:p w14:paraId="16A4654E">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18ED5D92">
      <w:pPr>
        <w:spacing w:line="460" w:lineRule="exact"/>
        <w:rPr>
          <w:rFonts w:hint="eastAsia" w:ascii="宋体" w:hAnsi="宋体" w:eastAsia="宋体" w:cs="宋体"/>
          <w:b/>
          <w:color w:val="auto"/>
          <w:sz w:val="24"/>
          <w:szCs w:val="24"/>
          <w:highlight w:val="none"/>
        </w:rPr>
      </w:pPr>
    </w:p>
    <w:p w14:paraId="7D76349D">
      <w:pPr>
        <w:spacing w:line="460" w:lineRule="exact"/>
        <w:jc w:val="center"/>
        <w:rPr>
          <w:rFonts w:hint="eastAsia" w:ascii="宋体" w:hAnsi="宋体" w:eastAsia="宋体" w:cs="宋体"/>
          <w:b/>
          <w:color w:val="auto"/>
          <w:sz w:val="24"/>
          <w:szCs w:val="24"/>
          <w:highlight w:val="none"/>
        </w:rPr>
      </w:pPr>
    </w:p>
    <w:p w14:paraId="1E48AA6D">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7F2651C9">
      <w:pPr>
        <w:spacing w:line="460" w:lineRule="exact"/>
        <w:rPr>
          <w:rFonts w:hint="eastAsia" w:ascii="宋体" w:hAnsi="宋体" w:eastAsia="宋体" w:cs="宋体"/>
          <w:b/>
          <w:color w:val="auto"/>
          <w:sz w:val="24"/>
          <w:szCs w:val="24"/>
          <w:highlight w:val="none"/>
        </w:rPr>
      </w:pPr>
    </w:p>
    <w:p w14:paraId="7A5A338D">
      <w:pPr>
        <w:spacing w:line="460" w:lineRule="exact"/>
        <w:ind w:firstLine="504"/>
        <w:rPr>
          <w:rFonts w:hint="eastAsia" w:ascii="宋体" w:hAnsi="宋体" w:eastAsia="宋体" w:cs="宋体"/>
          <w:b/>
          <w:color w:val="auto"/>
          <w:sz w:val="24"/>
          <w:szCs w:val="24"/>
          <w:highlight w:val="none"/>
        </w:rPr>
      </w:pPr>
    </w:p>
    <w:p w14:paraId="49ED91A1">
      <w:pPr>
        <w:spacing w:line="460" w:lineRule="exact"/>
        <w:ind w:firstLine="504"/>
        <w:rPr>
          <w:rFonts w:hint="eastAsia" w:ascii="宋体" w:hAnsi="宋体" w:eastAsia="宋体" w:cs="宋体"/>
          <w:b/>
          <w:color w:val="auto"/>
          <w:sz w:val="24"/>
          <w:szCs w:val="24"/>
          <w:highlight w:val="none"/>
        </w:rPr>
      </w:pPr>
    </w:p>
    <w:p w14:paraId="4DF20756">
      <w:pPr>
        <w:spacing w:line="460" w:lineRule="exact"/>
        <w:ind w:firstLine="504"/>
        <w:rPr>
          <w:rFonts w:hint="eastAsia" w:ascii="宋体" w:hAnsi="宋体" w:eastAsia="宋体" w:cs="宋体"/>
          <w:b/>
          <w:color w:val="auto"/>
          <w:sz w:val="24"/>
          <w:szCs w:val="24"/>
          <w:highlight w:val="none"/>
        </w:rPr>
      </w:pPr>
    </w:p>
    <w:p w14:paraId="0B7BE032">
      <w:pPr>
        <w:spacing w:line="460" w:lineRule="exact"/>
        <w:ind w:firstLine="504"/>
        <w:rPr>
          <w:rFonts w:hint="eastAsia" w:ascii="宋体" w:hAnsi="宋体" w:eastAsia="宋体" w:cs="宋体"/>
          <w:b/>
          <w:color w:val="auto"/>
          <w:sz w:val="24"/>
          <w:szCs w:val="24"/>
          <w:highlight w:val="none"/>
        </w:rPr>
      </w:pPr>
    </w:p>
    <w:p w14:paraId="46C98087">
      <w:pPr>
        <w:spacing w:line="460" w:lineRule="exact"/>
        <w:ind w:firstLine="504"/>
        <w:rPr>
          <w:rFonts w:hint="eastAsia" w:ascii="宋体" w:hAnsi="宋体" w:eastAsia="宋体" w:cs="宋体"/>
          <w:b/>
          <w:color w:val="auto"/>
          <w:sz w:val="24"/>
          <w:szCs w:val="24"/>
          <w:highlight w:val="none"/>
        </w:rPr>
      </w:pPr>
    </w:p>
    <w:p w14:paraId="484A0BA2">
      <w:pPr>
        <w:spacing w:line="460" w:lineRule="exact"/>
        <w:rPr>
          <w:rFonts w:hint="eastAsia" w:ascii="宋体" w:hAnsi="宋体" w:eastAsia="宋体" w:cs="宋体"/>
          <w:b/>
          <w:color w:val="auto"/>
          <w:sz w:val="24"/>
          <w:szCs w:val="24"/>
          <w:highlight w:val="none"/>
        </w:rPr>
      </w:pPr>
    </w:p>
    <w:p w14:paraId="1979FA40">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45BF1B7D">
      <w:pPr>
        <w:pStyle w:val="29"/>
        <w:rPr>
          <w:rFonts w:hint="eastAsia" w:ascii="宋体" w:hAnsi="宋体" w:eastAsia="宋体" w:cs="宋体"/>
          <w:color w:val="auto"/>
          <w:sz w:val="24"/>
          <w:szCs w:val="24"/>
          <w:highlight w:val="none"/>
        </w:rPr>
      </w:pPr>
    </w:p>
    <w:p w14:paraId="1D544BC8">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14:paraId="2F48F38A">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EBD0936">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14:paraId="263750BF">
      <w:pPr>
        <w:spacing w:line="460" w:lineRule="exact"/>
        <w:ind w:firstLine="504"/>
        <w:rPr>
          <w:rFonts w:hint="eastAsia" w:ascii="宋体" w:hAnsi="宋体" w:eastAsia="宋体" w:cs="宋体"/>
          <w:b/>
          <w:color w:val="auto"/>
          <w:sz w:val="24"/>
          <w:szCs w:val="24"/>
          <w:highlight w:val="none"/>
        </w:rPr>
      </w:pPr>
    </w:p>
    <w:p w14:paraId="5D3FE080">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684D650A">
      <w:pPr>
        <w:spacing w:line="460" w:lineRule="exact"/>
        <w:ind w:firstLine="504"/>
        <w:rPr>
          <w:rFonts w:hint="eastAsia" w:ascii="宋体" w:hAnsi="宋体" w:eastAsia="宋体" w:cs="宋体"/>
          <w:b/>
          <w:color w:val="auto"/>
          <w:sz w:val="24"/>
          <w:szCs w:val="24"/>
          <w:highlight w:val="none"/>
        </w:rPr>
      </w:pPr>
    </w:p>
    <w:p w14:paraId="6D1D4581">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2281E571">
      <w:pPr>
        <w:spacing w:line="460" w:lineRule="exact"/>
        <w:ind w:firstLine="504"/>
        <w:rPr>
          <w:rFonts w:hint="eastAsia" w:ascii="宋体" w:hAnsi="宋体" w:eastAsia="宋体" w:cs="宋体"/>
          <w:b/>
          <w:color w:val="auto"/>
          <w:sz w:val="24"/>
          <w:szCs w:val="24"/>
          <w:highlight w:val="none"/>
        </w:rPr>
      </w:pPr>
    </w:p>
    <w:p w14:paraId="1FC9DE79">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1AE94F32">
      <w:pPr>
        <w:spacing w:line="460" w:lineRule="exact"/>
        <w:ind w:firstLine="504"/>
        <w:rPr>
          <w:rFonts w:hint="eastAsia" w:ascii="宋体" w:hAnsi="宋体" w:eastAsia="宋体" w:cs="宋体"/>
          <w:b/>
          <w:color w:val="auto"/>
          <w:sz w:val="24"/>
          <w:szCs w:val="24"/>
          <w:highlight w:val="none"/>
        </w:rPr>
      </w:pPr>
    </w:p>
    <w:p w14:paraId="6AEC36BB">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w:t>
      </w:r>
    </w:p>
    <w:p w14:paraId="0A9F1EF4">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4F77ABD1">
      <w:pPr>
        <w:tabs>
          <w:tab w:val="left" w:pos="3480"/>
        </w:tabs>
        <w:spacing w:line="500" w:lineRule="exact"/>
        <w:ind w:firstLine="480" w:firstLineChars="200"/>
        <w:rPr>
          <w:rFonts w:hint="eastAsia" w:ascii="宋体" w:hAnsi="宋体" w:eastAsia="宋体" w:cs="宋体"/>
          <w:color w:val="auto"/>
          <w:sz w:val="24"/>
          <w:szCs w:val="24"/>
          <w:highlight w:val="none"/>
        </w:rPr>
      </w:pPr>
      <w:bookmarkStart w:id="137" w:name="_Toc217446082"/>
    </w:p>
    <w:p w14:paraId="1296315A">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62A964E8">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04BF53C0">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三、投标人基本情况表</w:t>
      </w:r>
    </w:p>
    <w:p w14:paraId="04B240D0">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、投标人类似项目业绩一览表</w:t>
      </w:r>
    </w:p>
    <w:p w14:paraId="09343E23">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、商务、</w:t>
      </w:r>
      <w:r>
        <w:rPr>
          <w:rFonts w:hint="eastAsia" w:ascii="宋体" w:hAnsi="宋体" w:cs="宋体"/>
          <w:color w:val="auto"/>
          <w:sz w:val="24"/>
          <w:szCs w:val="24"/>
          <w:highlight w:val="none"/>
          <w:lang w:eastAsia="zh-CN"/>
        </w:rPr>
        <w:t>项目服务需求偏离表</w:t>
      </w:r>
    </w:p>
    <w:p w14:paraId="5229152B">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、拟配备人员情况</w:t>
      </w:r>
    </w:p>
    <w:p w14:paraId="385C9177">
      <w:pPr>
        <w:tabs>
          <w:tab w:val="left" w:pos="3480"/>
        </w:tabs>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项目的需求分析</w:t>
      </w:r>
    </w:p>
    <w:p w14:paraId="387B74C1">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八、项目服务</w:t>
      </w:r>
      <w:r>
        <w:rPr>
          <w:rFonts w:hint="eastAsia" w:ascii="宋体" w:hAnsi="宋体" w:eastAsia="宋体" w:cs="宋体"/>
          <w:color w:val="auto"/>
          <w:sz w:val="24"/>
          <w:szCs w:val="24"/>
          <w:highlight w:val="none"/>
        </w:rPr>
        <w:t>方案</w:t>
      </w:r>
    </w:p>
    <w:p w14:paraId="37DC85D8">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、投标人认为需要提供的其他文件和资料</w:t>
      </w:r>
    </w:p>
    <w:p w14:paraId="5705659D">
      <w:pPr>
        <w:tabs>
          <w:tab w:val="left" w:pos="3480"/>
        </w:tabs>
        <w:spacing w:line="500" w:lineRule="exact"/>
        <w:ind w:firstLine="480" w:firstLineChars="200"/>
        <w:rPr>
          <w:rFonts w:hint="eastAsia" w:ascii="宋体" w:hAnsi="宋体" w:eastAsia="宋体" w:cs="宋体"/>
          <w:color w:val="auto"/>
          <w:sz w:val="24"/>
          <w:szCs w:val="24"/>
          <w:highlight w:val="none"/>
        </w:rPr>
      </w:pPr>
    </w:p>
    <w:p w14:paraId="7CFB7356">
      <w:pPr>
        <w:pStyle w:val="7"/>
        <w:spacing w:line="500" w:lineRule="exact"/>
        <w:ind w:firstLine="480"/>
        <w:rPr>
          <w:rFonts w:hint="eastAsia" w:ascii="宋体" w:hAnsi="宋体" w:eastAsia="宋体" w:cs="宋体"/>
          <w:color w:val="auto"/>
          <w:sz w:val="24"/>
          <w:szCs w:val="24"/>
          <w:highlight w:val="none"/>
        </w:rPr>
      </w:pPr>
    </w:p>
    <w:p w14:paraId="1D74C4E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：投标人应按以上目录顺序编排投标文件，并标注相应页码。）</w:t>
      </w:r>
    </w:p>
    <w:p w14:paraId="099FFCFF">
      <w:pPr>
        <w:rPr>
          <w:rFonts w:hint="eastAsia" w:ascii="宋体" w:hAnsi="宋体" w:eastAsia="宋体" w:cs="宋体"/>
          <w:color w:val="auto"/>
          <w:sz w:val="24"/>
          <w:szCs w:val="24"/>
          <w:highlight w:val="none"/>
        </w:rPr>
      </w:pPr>
    </w:p>
    <w:p w14:paraId="4C907D55">
      <w:pPr>
        <w:pStyle w:val="29"/>
        <w:rPr>
          <w:rFonts w:hint="eastAsia" w:ascii="宋体" w:hAnsi="宋体" w:eastAsia="宋体" w:cs="宋体"/>
          <w:color w:val="auto"/>
          <w:sz w:val="24"/>
          <w:szCs w:val="24"/>
          <w:highlight w:val="none"/>
        </w:rPr>
      </w:pPr>
    </w:p>
    <w:p w14:paraId="5F693988">
      <w:pPr>
        <w:rPr>
          <w:rFonts w:hint="eastAsia" w:ascii="宋体" w:hAnsi="宋体" w:eastAsia="宋体" w:cs="宋体"/>
          <w:color w:val="auto"/>
          <w:sz w:val="24"/>
          <w:szCs w:val="24"/>
          <w:highlight w:val="none"/>
        </w:rPr>
      </w:pPr>
    </w:p>
    <w:p w14:paraId="0615403F">
      <w:pPr>
        <w:pStyle w:val="29"/>
        <w:rPr>
          <w:rFonts w:hint="eastAsia" w:ascii="宋体" w:hAnsi="宋体" w:eastAsia="宋体" w:cs="宋体"/>
          <w:color w:val="auto"/>
          <w:sz w:val="24"/>
          <w:szCs w:val="24"/>
          <w:highlight w:val="none"/>
        </w:rPr>
      </w:pPr>
    </w:p>
    <w:p w14:paraId="591F0C44">
      <w:pPr>
        <w:rPr>
          <w:rFonts w:hint="eastAsia" w:ascii="宋体" w:hAnsi="宋体" w:eastAsia="宋体" w:cs="宋体"/>
          <w:color w:val="auto"/>
          <w:sz w:val="24"/>
          <w:szCs w:val="24"/>
          <w:highlight w:val="none"/>
        </w:rPr>
      </w:pPr>
    </w:p>
    <w:p w14:paraId="4AD61797">
      <w:pPr>
        <w:spacing w:line="500" w:lineRule="exact"/>
        <w:rPr>
          <w:rFonts w:hint="eastAsia" w:ascii="宋体" w:hAnsi="宋体" w:eastAsia="宋体" w:cs="宋体"/>
          <w:color w:val="auto"/>
          <w:sz w:val="24"/>
          <w:szCs w:val="24"/>
          <w:highlight w:val="none"/>
        </w:rPr>
      </w:pPr>
    </w:p>
    <w:p w14:paraId="3279C16F">
      <w:pPr>
        <w:spacing w:line="500" w:lineRule="exact"/>
        <w:jc w:val="center"/>
        <w:rPr>
          <w:rFonts w:hint="eastAsia" w:ascii="宋体" w:hAnsi="宋体" w:eastAsia="宋体" w:cs="宋体"/>
          <w:color w:val="auto"/>
          <w:sz w:val="24"/>
          <w:szCs w:val="24"/>
          <w:highlight w:val="none"/>
        </w:rPr>
      </w:pPr>
    </w:p>
    <w:p w14:paraId="0A43586E">
      <w:pPr>
        <w:rPr>
          <w:rFonts w:hint="eastAsia" w:ascii="宋体" w:hAnsi="宋体" w:eastAsia="宋体" w:cs="宋体"/>
          <w:color w:val="auto"/>
          <w:sz w:val="24"/>
          <w:szCs w:val="24"/>
          <w:highlight w:val="none"/>
        </w:rPr>
      </w:pPr>
    </w:p>
    <w:p w14:paraId="1AF725C6">
      <w:pPr>
        <w:pStyle w:val="29"/>
        <w:rPr>
          <w:rFonts w:hint="eastAsia" w:ascii="宋体" w:hAnsi="宋体" w:eastAsia="宋体" w:cs="宋体"/>
          <w:color w:val="auto"/>
          <w:sz w:val="24"/>
          <w:szCs w:val="24"/>
          <w:highlight w:val="none"/>
        </w:rPr>
      </w:pPr>
    </w:p>
    <w:p w14:paraId="66855436">
      <w:pPr>
        <w:rPr>
          <w:rFonts w:hint="eastAsia" w:ascii="宋体" w:hAnsi="宋体" w:eastAsia="宋体" w:cs="宋体"/>
          <w:color w:val="auto"/>
          <w:sz w:val="24"/>
          <w:szCs w:val="24"/>
          <w:highlight w:val="none"/>
        </w:rPr>
      </w:pPr>
    </w:p>
    <w:p w14:paraId="5285DAB0">
      <w:pPr>
        <w:pStyle w:val="29"/>
        <w:rPr>
          <w:rFonts w:hint="eastAsia" w:ascii="宋体" w:hAnsi="宋体" w:eastAsia="宋体" w:cs="宋体"/>
          <w:color w:val="auto"/>
          <w:sz w:val="24"/>
          <w:szCs w:val="24"/>
          <w:highlight w:val="none"/>
        </w:rPr>
      </w:pPr>
    </w:p>
    <w:p w14:paraId="44375021">
      <w:pPr>
        <w:rPr>
          <w:rFonts w:hint="eastAsia" w:ascii="宋体" w:hAnsi="宋体" w:eastAsia="宋体" w:cs="宋体"/>
          <w:color w:val="auto"/>
          <w:sz w:val="24"/>
          <w:szCs w:val="24"/>
          <w:highlight w:val="none"/>
        </w:rPr>
      </w:pPr>
    </w:p>
    <w:p w14:paraId="02266E7C">
      <w:pPr>
        <w:pStyle w:val="29"/>
        <w:rPr>
          <w:rFonts w:hint="eastAsia" w:ascii="宋体" w:hAnsi="宋体" w:eastAsia="宋体" w:cs="宋体"/>
          <w:color w:val="auto"/>
          <w:sz w:val="24"/>
          <w:szCs w:val="24"/>
          <w:highlight w:val="none"/>
        </w:rPr>
      </w:pPr>
    </w:p>
    <w:p w14:paraId="0959003C">
      <w:pPr>
        <w:spacing w:line="500" w:lineRule="exact"/>
        <w:jc w:val="center"/>
        <w:rPr>
          <w:rFonts w:hint="eastAsia" w:ascii="宋体" w:hAnsi="宋体" w:eastAsia="宋体" w:cs="宋体"/>
          <w:color w:val="auto"/>
          <w:sz w:val="24"/>
          <w:szCs w:val="24"/>
          <w:highlight w:val="none"/>
        </w:rPr>
      </w:pPr>
    </w:p>
    <w:p w14:paraId="4F3D6838">
      <w:pPr>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一、</w:t>
      </w:r>
      <w:bookmarkEnd w:id="137"/>
      <w:r>
        <w:rPr>
          <w:rFonts w:hint="eastAsia" w:ascii="宋体" w:hAnsi="宋体" w:eastAsia="宋体" w:cs="宋体"/>
          <w:b/>
          <w:bCs/>
          <w:color w:val="auto"/>
          <w:sz w:val="24"/>
          <w:szCs w:val="24"/>
          <w:highlight w:val="none"/>
        </w:rPr>
        <w:t>投标函</w:t>
      </w:r>
    </w:p>
    <w:p w14:paraId="7DE49611">
      <w:pPr>
        <w:pStyle w:val="16"/>
        <w:spacing w:after="0" w:line="500" w:lineRule="exact"/>
        <w:ind w:left="0" w:leftChars="0" w:firstLine="480" w:firstLineChars="200"/>
        <w:rPr>
          <w:rFonts w:hint="eastAsia" w:ascii="宋体" w:hAnsi="宋体" w:eastAsia="宋体" w:cs="宋体"/>
          <w:bCs/>
          <w:color w:val="auto"/>
          <w:sz w:val="24"/>
          <w:szCs w:val="24"/>
          <w:highlight w:val="none"/>
        </w:rPr>
      </w:pPr>
      <w:bookmarkStart w:id="138" w:name="_Toc217446083"/>
      <w:r>
        <w:rPr>
          <w:rFonts w:hint="eastAsia" w:ascii="宋体" w:hAnsi="宋体" w:eastAsia="宋体" w:cs="宋体"/>
          <w:bCs/>
          <w:color w:val="auto"/>
          <w:sz w:val="24"/>
          <w:szCs w:val="24"/>
          <w:highlight w:val="none"/>
        </w:rPr>
        <w:t>__________（采购人）：</w:t>
      </w:r>
    </w:p>
    <w:p w14:paraId="2D3DB79A">
      <w:pPr>
        <w:pStyle w:val="16"/>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（投标人的名称）全权处理本项目投标的有关事宜。</w:t>
      </w:r>
    </w:p>
    <w:p w14:paraId="3EF9958B">
      <w:pPr>
        <w:pStyle w:val="16"/>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1、我方自愿按照招标文件规定的各项要求向采购人提供所需</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，总投标价为人民币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日历天。</w:t>
      </w:r>
    </w:p>
    <w:p w14:paraId="5E30CE8A">
      <w:pPr>
        <w:pStyle w:val="16"/>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2、一旦我方成交，我方将严格履行合同规定的责任和义务，</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期为：</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A625A38">
      <w:pPr>
        <w:pStyle w:val="16"/>
        <w:spacing w:after="0" w:line="500" w:lineRule="exact"/>
        <w:ind w:left="0" w:leftChars="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并达到采购人要求</w:t>
      </w:r>
      <w:r>
        <w:rPr>
          <w:rFonts w:hint="eastAsia" w:ascii="宋体" w:hAnsi="宋体" w:cs="宋体"/>
          <w:bCs/>
          <w:color w:val="auto"/>
          <w:sz w:val="24"/>
          <w:szCs w:val="24"/>
          <w:highlight w:val="none"/>
          <w:lang w:eastAsia="zh-CN"/>
        </w:rPr>
        <w:t>。</w:t>
      </w:r>
    </w:p>
    <w:p w14:paraId="63AEE70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14:paraId="7423946F">
      <w:pPr>
        <w:pStyle w:val="16"/>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14:paraId="524DD1C6">
      <w:pPr>
        <w:pStyle w:val="16"/>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5、我方愿意提供采购人可能另外要求的，与投标有关的文件资料，并保证我方已提供和将要提供的文件资料是真实、准确的。</w:t>
      </w:r>
    </w:p>
    <w:p w14:paraId="0896281D">
      <w:pPr>
        <w:pStyle w:val="16"/>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6、我方完全理解采购人不一定将合同授予最低报价的投标人。</w:t>
      </w:r>
    </w:p>
    <w:p w14:paraId="62298F98">
      <w:pPr>
        <w:pStyle w:val="16"/>
        <w:spacing w:after="0" w:line="500" w:lineRule="exact"/>
        <w:ind w:left="0" w:leftChars="0" w:firstLine="480" w:firstLineChars="200"/>
        <w:jc w:val="center"/>
        <w:rPr>
          <w:rFonts w:hint="eastAsia" w:ascii="宋体" w:hAnsi="宋体" w:eastAsia="宋体" w:cs="宋体"/>
          <w:bCs/>
          <w:color w:val="auto"/>
          <w:sz w:val="24"/>
          <w:szCs w:val="24"/>
          <w:highlight w:val="none"/>
        </w:rPr>
      </w:pPr>
    </w:p>
    <w:p w14:paraId="0844BEE1">
      <w:pPr>
        <w:pStyle w:val="16"/>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14:paraId="1C41EEEB">
      <w:pPr>
        <w:pStyle w:val="16"/>
        <w:spacing w:after="0" w:line="500" w:lineRule="exact"/>
        <w:ind w:left="0" w:leftChars="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授权人或被授权人（签字或盖章）</w:t>
      </w:r>
      <w:r>
        <w:rPr>
          <w:rFonts w:hint="eastAsia" w:ascii="宋体" w:hAnsi="宋体" w:eastAsia="宋体" w:cs="宋体"/>
          <w:bCs/>
          <w:color w:val="auto"/>
          <w:sz w:val="24"/>
          <w:szCs w:val="24"/>
          <w:highlight w:val="none"/>
        </w:rPr>
        <w:t>：</w:t>
      </w:r>
    </w:p>
    <w:p w14:paraId="7D1E5990">
      <w:pPr>
        <w:pStyle w:val="16"/>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1BA713FF">
      <w:pPr>
        <w:pStyle w:val="16"/>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76E2CF03">
      <w:pPr>
        <w:pStyle w:val="16"/>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07BE729B">
      <w:pPr>
        <w:pStyle w:val="46"/>
        <w:spacing w:line="460" w:lineRule="exact"/>
        <w:ind w:firstLine="3360" w:firstLineChars="1400"/>
        <w:rPr>
          <w:rFonts w:hint="eastAsia" w:ascii="宋体" w:hAnsi="宋体" w:eastAsia="宋体" w:cs="宋体"/>
          <w:bCs/>
          <w:color w:val="auto"/>
          <w:sz w:val="24"/>
          <w:szCs w:val="24"/>
          <w:highlight w:val="none"/>
        </w:rPr>
      </w:pPr>
    </w:p>
    <w:p w14:paraId="75284AF4">
      <w:pPr>
        <w:pStyle w:val="46"/>
        <w:spacing w:line="460" w:lineRule="exact"/>
        <w:ind w:firstLine="3360" w:firstLineChars="1400"/>
        <w:rPr>
          <w:rFonts w:hint="eastAsia" w:ascii="宋体" w:hAnsi="宋体" w:eastAsia="宋体" w:cs="宋体"/>
          <w:bCs/>
          <w:color w:val="auto"/>
          <w:sz w:val="24"/>
          <w:szCs w:val="24"/>
          <w:highlight w:val="none"/>
        </w:rPr>
      </w:pPr>
    </w:p>
    <w:p w14:paraId="37F30D9D">
      <w:pPr>
        <w:pStyle w:val="46"/>
        <w:spacing w:line="460" w:lineRule="exact"/>
        <w:ind w:firstLine="3360" w:firstLineChars="1400"/>
        <w:rPr>
          <w:rFonts w:hint="eastAsia" w:ascii="宋体" w:hAnsi="宋体" w:eastAsia="宋体" w:cs="宋体"/>
          <w:bCs/>
          <w:color w:val="auto"/>
          <w:sz w:val="24"/>
          <w:szCs w:val="24"/>
          <w:highlight w:val="none"/>
        </w:rPr>
      </w:pPr>
    </w:p>
    <w:p w14:paraId="2E62AD3B">
      <w:pPr>
        <w:pStyle w:val="46"/>
        <w:spacing w:line="460" w:lineRule="exact"/>
        <w:ind w:firstLine="3360" w:firstLineChars="1400"/>
        <w:rPr>
          <w:rFonts w:hint="eastAsia" w:ascii="宋体" w:hAnsi="宋体" w:eastAsia="宋体" w:cs="宋体"/>
          <w:bCs/>
          <w:color w:val="auto"/>
          <w:sz w:val="24"/>
          <w:szCs w:val="24"/>
          <w:highlight w:val="none"/>
        </w:rPr>
      </w:pPr>
    </w:p>
    <w:p w14:paraId="686B007E">
      <w:pPr>
        <w:pStyle w:val="46"/>
        <w:spacing w:line="460" w:lineRule="exact"/>
        <w:ind w:firstLine="3360" w:firstLineChars="1400"/>
        <w:rPr>
          <w:rFonts w:hint="eastAsia" w:ascii="宋体" w:hAnsi="宋体" w:eastAsia="宋体" w:cs="宋体"/>
          <w:bCs/>
          <w:color w:val="auto"/>
          <w:sz w:val="24"/>
          <w:szCs w:val="24"/>
          <w:highlight w:val="none"/>
        </w:rPr>
      </w:pPr>
    </w:p>
    <w:p w14:paraId="3AA0F19B">
      <w:pPr>
        <w:pStyle w:val="3"/>
        <w:numPr>
          <w:ilvl w:val="0"/>
          <w:numId w:val="6"/>
        </w:numPr>
        <w:spacing w:before="156" w:after="156"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身份证明书及授权委托书</w:t>
      </w:r>
    </w:p>
    <w:p w14:paraId="099389A3">
      <w:pPr>
        <w:spacing w:line="500" w:lineRule="exact"/>
        <w:ind w:firstLine="482" w:firstLineChars="200"/>
        <w:jc w:val="center"/>
        <w:rPr>
          <w:rFonts w:hint="eastAsia" w:ascii="宋体" w:hAnsi="宋体" w:eastAsia="宋体" w:cs="宋体"/>
          <w:b/>
          <w:bCs/>
          <w:color w:val="auto"/>
          <w:sz w:val="24"/>
          <w:szCs w:val="24"/>
          <w:highlight w:val="none"/>
        </w:rPr>
      </w:pPr>
    </w:p>
    <w:p w14:paraId="228F5FE6">
      <w:pPr>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身份证明书（投标人为法人）</w:t>
      </w:r>
    </w:p>
    <w:p w14:paraId="7DB4C23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5170BFA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7C3161E9">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73870AE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2CC861C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（项目名称）的投标、签署上述投标文件、进行合同谈判、签署合同和处理与之有关的一切事务权利的投标人。 </w:t>
      </w:r>
    </w:p>
    <w:p w14:paraId="76F4CED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5B3938D">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CC4864D">
      <w:pPr>
        <w:spacing w:line="50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法定代表人身份证正反面彩色扫描件</w:t>
      </w:r>
      <w:r>
        <w:rPr>
          <w:rFonts w:hint="eastAsia" w:ascii="宋体" w:hAnsi="宋体" w:eastAsia="宋体" w:cs="宋体"/>
          <w:b/>
          <w:bCs/>
          <w:color w:val="auto"/>
          <w:sz w:val="24"/>
          <w:szCs w:val="24"/>
          <w:highlight w:val="none"/>
          <w:lang w:eastAsia="zh-CN"/>
        </w:rPr>
        <w:t>。</w:t>
      </w:r>
    </w:p>
    <w:p w14:paraId="4DE64276">
      <w:pPr>
        <w:spacing w:line="500" w:lineRule="exact"/>
        <w:ind w:firstLine="480" w:firstLineChars="200"/>
        <w:jc w:val="center"/>
        <w:rPr>
          <w:rFonts w:hint="eastAsia" w:ascii="宋体" w:hAnsi="宋体" w:eastAsia="宋体" w:cs="宋体"/>
          <w:color w:val="auto"/>
          <w:sz w:val="24"/>
          <w:szCs w:val="24"/>
          <w:highlight w:val="none"/>
        </w:rPr>
      </w:pPr>
    </w:p>
    <w:p w14:paraId="23080245">
      <w:pPr>
        <w:spacing w:line="500" w:lineRule="exact"/>
        <w:ind w:firstLine="480" w:firstLineChars="200"/>
        <w:jc w:val="center"/>
        <w:rPr>
          <w:rFonts w:hint="eastAsia" w:ascii="宋体" w:hAnsi="宋体" w:eastAsia="宋体" w:cs="宋体"/>
          <w:color w:val="auto"/>
          <w:sz w:val="24"/>
          <w:szCs w:val="24"/>
          <w:highlight w:val="none"/>
        </w:rPr>
      </w:pPr>
    </w:p>
    <w:p w14:paraId="1DFF7501">
      <w:pPr>
        <w:spacing w:line="500" w:lineRule="exact"/>
        <w:ind w:firstLine="480" w:firstLineChars="200"/>
        <w:jc w:val="center"/>
        <w:rPr>
          <w:rFonts w:hint="eastAsia" w:ascii="宋体" w:hAnsi="宋体" w:eastAsia="宋体" w:cs="宋体"/>
          <w:color w:val="auto"/>
          <w:sz w:val="24"/>
          <w:szCs w:val="24"/>
          <w:highlight w:val="none"/>
        </w:rPr>
      </w:pPr>
    </w:p>
    <w:p w14:paraId="69D2B5E6">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投标人名称（盖章）：</w:t>
      </w:r>
      <w:r>
        <w:rPr>
          <w:rFonts w:hint="eastAsia" w:ascii="宋体" w:hAnsi="宋体" w:eastAsia="宋体" w:cs="宋体"/>
          <w:color w:val="auto"/>
          <w:sz w:val="24"/>
          <w:szCs w:val="24"/>
          <w:highlight w:val="none"/>
          <w:u w:val="single"/>
        </w:rPr>
        <w:t xml:space="preserve">                  </w:t>
      </w:r>
    </w:p>
    <w:p w14:paraId="139A5C3A">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14:paraId="1EEC2BCA">
      <w:pPr>
        <w:snapToGrid w:val="0"/>
        <w:spacing w:line="500" w:lineRule="exact"/>
        <w:ind w:firstLine="482" w:firstLineChars="200"/>
        <w:jc w:val="center"/>
        <w:rPr>
          <w:rFonts w:hint="eastAsia" w:ascii="宋体" w:hAnsi="宋体" w:eastAsia="宋体" w:cs="宋体"/>
          <w:b/>
          <w:bCs/>
          <w:color w:val="auto"/>
          <w:sz w:val="24"/>
          <w:szCs w:val="24"/>
          <w:highlight w:val="none"/>
        </w:rPr>
      </w:pPr>
    </w:p>
    <w:p w14:paraId="3E6169E9">
      <w:pPr>
        <w:pStyle w:val="12"/>
        <w:rPr>
          <w:rFonts w:hint="eastAsia" w:ascii="宋体" w:hAnsi="宋体" w:eastAsia="宋体" w:cs="宋体"/>
          <w:b/>
          <w:bCs/>
          <w:color w:val="auto"/>
          <w:sz w:val="24"/>
          <w:szCs w:val="24"/>
          <w:highlight w:val="none"/>
        </w:rPr>
      </w:pPr>
    </w:p>
    <w:p w14:paraId="5F634793">
      <w:pPr>
        <w:spacing w:line="500" w:lineRule="exact"/>
        <w:ind w:firstLine="482" w:firstLineChars="200"/>
        <w:jc w:val="center"/>
        <w:rPr>
          <w:rFonts w:hint="eastAsia" w:ascii="宋体" w:hAnsi="宋体" w:eastAsia="宋体" w:cs="宋体"/>
          <w:b/>
          <w:bCs/>
          <w:color w:val="auto"/>
          <w:sz w:val="24"/>
          <w:szCs w:val="24"/>
          <w:highlight w:val="none"/>
        </w:rPr>
      </w:pPr>
    </w:p>
    <w:p w14:paraId="1E07B2BA">
      <w:pPr>
        <w:snapToGrid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身份证明书（投标人为非法人）</w:t>
      </w:r>
    </w:p>
    <w:p w14:paraId="1EAFEF97">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color w:val="auto"/>
          <w:sz w:val="24"/>
          <w:szCs w:val="24"/>
          <w:highlight w:val="none"/>
        </w:rPr>
      </w:pPr>
    </w:p>
    <w:p w14:paraId="0A78CEFF">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       </w:t>
      </w:r>
    </w:p>
    <w:p w14:paraId="1D7FCD79">
      <w:pPr>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5427D6E">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                                           </w:t>
      </w:r>
    </w:p>
    <w:p w14:paraId="6E917A8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（项目名称）的投标、签署上述投标文件、进行合同谈判、签署合同和处理与之有关的一切事务权利的投标人。 </w:t>
      </w:r>
    </w:p>
    <w:p w14:paraId="2B66600D">
      <w:pPr>
        <w:snapToGrid w:val="0"/>
        <w:spacing w:line="500" w:lineRule="exact"/>
        <w:ind w:firstLine="480" w:firstLineChars="200"/>
        <w:rPr>
          <w:rFonts w:hint="eastAsia" w:ascii="宋体" w:hAnsi="宋体" w:eastAsia="宋体" w:cs="宋体"/>
          <w:color w:val="auto"/>
          <w:sz w:val="24"/>
          <w:szCs w:val="24"/>
          <w:highlight w:val="none"/>
        </w:rPr>
      </w:pPr>
    </w:p>
    <w:p w14:paraId="18269A4A">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065CDAE">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F8B200">
      <w:pPr>
        <w:snapToGrid w:val="0"/>
        <w:spacing w:line="50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身份证正反面彩色扫描件</w:t>
      </w:r>
      <w:r>
        <w:rPr>
          <w:rFonts w:hint="eastAsia" w:ascii="宋体" w:hAnsi="宋体" w:eastAsia="宋体" w:cs="宋体"/>
          <w:b/>
          <w:bCs/>
          <w:color w:val="auto"/>
          <w:sz w:val="24"/>
          <w:szCs w:val="24"/>
          <w:highlight w:val="none"/>
          <w:lang w:eastAsia="zh-CN"/>
        </w:rPr>
        <w:t>。</w:t>
      </w:r>
    </w:p>
    <w:p w14:paraId="6C114D06">
      <w:pPr>
        <w:spacing w:line="500" w:lineRule="exact"/>
        <w:ind w:firstLine="480" w:firstLineChars="200"/>
        <w:jc w:val="center"/>
        <w:rPr>
          <w:rFonts w:hint="eastAsia" w:ascii="宋体" w:hAnsi="宋体" w:eastAsia="宋体" w:cs="宋体"/>
          <w:color w:val="auto"/>
          <w:sz w:val="24"/>
          <w:szCs w:val="24"/>
          <w:highlight w:val="none"/>
        </w:rPr>
      </w:pPr>
    </w:p>
    <w:p w14:paraId="479D53C9">
      <w:pPr>
        <w:spacing w:line="500" w:lineRule="exact"/>
        <w:ind w:firstLine="480" w:firstLineChars="200"/>
        <w:jc w:val="center"/>
        <w:rPr>
          <w:rFonts w:hint="eastAsia" w:ascii="宋体" w:hAnsi="宋体" w:eastAsia="宋体" w:cs="宋体"/>
          <w:color w:val="auto"/>
          <w:sz w:val="24"/>
          <w:szCs w:val="24"/>
          <w:highlight w:val="none"/>
        </w:rPr>
      </w:pPr>
    </w:p>
    <w:p w14:paraId="3CDDC1F3">
      <w:pPr>
        <w:spacing w:line="500" w:lineRule="exact"/>
        <w:ind w:firstLine="480" w:firstLineChars="200"/>
        <w:jc w:val="center"/>
        <w:rPr>
          <w:rFonts w:hint="eastAsia" w:ascii="宋体" w:hAnsi="宋体" w:eastAsia="宋体" w:cs="宋体"/>
          <w:color w:val="auto"/>
          <w:sz w:val="24"/>
          <w:szCs w:val="24"/>
          <w:highlight w:val="none"/>
        </w:rPr>
      </w:pPr>
    </w:p>
    <w:p w14:paraId="4732A94C">
      <w:pPr>
        <w:spacing w:line="500" w:lineRule="exact"/>
        <w:ind w:firstLine="480" w:firstLineChars="200"/>
        <w:jc w:val="center"/>
        <w:rPr>
          <w:rFonts w:hint="eastAsia" w:ascii="宋体" w:hAnsi="宋体" w:eastAsia="宋体" w:cs="宋体"/>
          <w:color w:val="auto"/>
          <w:sz w:val="24"/>
          <w:szCs w:val="24"/>
          <w:highlight w:val="none"/>
        </w:rPr>
      </w:pPr>
    </w:p>
    <w:p w14:paraId="7ABD8075">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投标人（签字或盖章）：</w:t>
      </w:r>
      <w:r>
        <w:rPr>
          <w:rFonts w:hint="eastAsia" w:ascii="宋体" w:hAnsi="宋体" w:eastAsia="宋体" w:cs="宋体"/>
          <w:color w:val="auto"/>
          <w:sz w:val="24"/>
          <w:szCs w:val="24"/>
          <w:highlight w:val="none"/>
          <w:u w:val="single"/>
        </w:rPr>
        <w:t xml:space="preserve">                  </w:t>
      </w:r>
    </w:p>
    <w:p w14:paraId="3D75EFE9">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14:paraId="577A8496">
      <w:pPr>
        <w:pStyle w:val="12"/>
        <w:rPr>
          <w:rFonts w:hint="eastAsia" w:ascii="宋体" w:hAnsi="宋体" w:eastAsia="宋体" w:cs="宋体"/>
          <w:b/>
          <w:bCs/>
          <w:color w:val="auto"/>
          <w:sz w:val="24"/>
          <w:szCs w:val="24"/>
          <w:highlight w:val="none"/>
        </w:rPr>
      </w:pPr>
    </w:p>
    <w:p w14:paraId="3C54ED69">
      <w:pPr>
        <w:pStyle w:val="12"/>
        <w:rPr>
          <w:rFonts w:hint="eastAsia" w:ascii="宋体" w:hAnsi="宋体" w:eastAsia="宋体" w:cs="宋体"/>
          <w:b/>
          <w:bCs/>
          <w:color w:val="auto"/>
          <w:sz w:val="24"/>
          <w:szCs w:val="24"/>
          <w:highlight w:val="none"/>
        </w:rPr>
      </w:pPr>
    </w:p>
    <w:p w14:paraId="02295D04">
      <w:pPr>
        <w:pStyle w:val="12"/>
        <w:rPr>
          <w:rFonts w:hint="eastAsia" w:ascii="宋体" w:hAnsi="宋体" w:eastAsia="宋体" w:cs="宋体"/>
          <w:b/>
          <w:bCs/>
          <w:color w:val="auto"/>
          <w:sz w:val="24"/>
          <w:szCs w:val="24"/>
          <w:highlight w:val="none"/>
        </w:rPr>
      </w:pPr>
    </w:p>
    <w:p w14:paraId="0F04F20E">
      <w:pPr>
        <w:pStyle w:val="12"/>
        <w:rPr>
          <w:rFonts w:hint="eastAsia" w:ascii="宋体" w:hAnsi="宋体" w:eastAsia="宋体" w:cs="宋体"/>
          <w:b/>
          <w:bCs/>
          <w:color w:val="auto"/>
          <w:sz w:val="24"/>
          <w:szCs w:val="24"/>
          <w:highlight w:val="none"/>
        </w:rPr>
      </w:pPr>
    </w:p>
    <w:p w14:paraId="7CE4FEB4">
      <w:pPr>
        <w:pStyle w:val="12"/>
        <w:rPr>
          <w:rFonts w:hint="eastAsia" w:ascii="宋体" w:hAnsi="宋体" w:eastAsia="宋体" w:cs="宋体"/>
          <w:b/>
          <w:bCs/>
          <w:color w:val="auto"/>
          <w:sz w:val="24"/>
          <w:szCs w:val="24"/>
          <w:highlight w:val="none"/>
        </w:rPr>
      </w:pPr>
    </w:p>
    <w:p w14:paraId="06CD9946">
      <w:pPr>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法定代表人授权委托书（投标人为法人）</w:t>
      </w:r>
    </w:p>
    <w:p w14:paraId="41C11F33">
      <w:pPr>
        <w:pStyle w:val="29"/>
        <w:spacing w:line="500" w:lineRule="exact"/>
        <w:ind w:firstLine="480" w:firstLineChars="200"/>
        <w:rPr>
          <w:rFonts w:hint="eastAsia" w:ascii="宋体" w:hAnsi="宋体" w:eastAsia="宋体" w:cs="宋体"/>
          <w:color w:val="auto"/>
          <w:sz w:val="24"/>
          <w:szCs w:val="24"/>
          <w:highlight w:val="none"/>
        </w:rPr>
      </w:pPr>
    </w:p>
    <w:p w14:paraId="6C7388F8">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w:t>
      </w:r>
    </w:p>
    <w:p w14:paraId="626D1B4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（被授权人姓名、职务）为我方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项目编号）</w:t>
      </w:r>
      <w:r>
        <w:rPr>
          <w:rFonts w:hint="eastAsia" w:ascii="宋体" w:hAnsi="宋体" w:eastAsia="宋体" w:cs="宋体"/>
          <w:color w:val="auto"/>
          <w:sz w:val="24"/>
          <w:szCs w:val="24"/>
          <w:highlight w:val="none"/>
        </w:rPr>
        <w:t>” 项目投标活动的合法代表，以我方名义全权处理该项目有关投标、签订合同以及执行合同等一切事宜。</w:t>
      </w:r>
    </w:p>
    <w:p w14:paraId="56D307D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被授权人</w:t>
      </w:r>
      <w:r>
        <w:rPr>
          <w:rFonts w:hint="eastAsia" w:ascii="宋体" w:hAnsi="宋体" w:eastAsia="宋体" w:cs="宋体"/>
          <w:color w:val="auto"/>
          <w:sz w:val="24"/>
          <w:szCs w:val="24"/>
          <w:highlight w:val="none"/>
        </w:rPr>
        <w:t>无权转让本授权，特此声明。</w:t>
      </w:r>
    </w:p>
    <w:p w14:paraId="57D3FB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附：法定代表人及被授权人身份证正反面彩色扫描件</w:t>
      </w:r>
    </w:p>
    <w:p w14:paraId="3D55D026">
      <w:pPr>
        <w:pStyle w:val="29"/>
        <w:spacing w:line="500" w:lineRule="exact"/>
        <w:ind w:firstLine="480" w:firstLineChars="200"/>
        <w:rPr>
          <w:rFonts w:hint="eastAsia" w:ascii="宋体" w:hAnsi="宋体" w:eastAsia="宋体" w:cs="宋体"/>
          <w:color w:val="auto"/>
          <w:sz w:val="24"/>
          <w:szCs w:val="24"/>
          <w:highlight w:val="none"/>
        </w:rPr>
      </w:pPr>
    </w:p>
    <w:p w14:paraId="07C9CB90">
      <w:pPr>
        <w:spacing w:line="500" w:lineRule="exact"/>
        <w:ind w:firstLine="480" w:firstLineChars="200"/>
        <w:rPr>
          <w:rFonts w:hint="eastAsia" w:ascii="宋体" w:hAnsi="宋体" w:eastAsia="宋体" w:cs="宋体"/>
          <w:color w:val="auto"/>
          <w:sz w:val="24"/>
          <w:szCs w:val="24"/>
          <w:highlight w:val="none"/>
        </w:rPr>
      </w:pPr>
    </w:p>
    <w:p w14:paraId="6978988B">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14:paraId="5859E67E">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被授权人（签字）：</w:t>
      </w:r>
    </w:p>
    <w:p w14:paraId="3F77B045">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   </w:t>
      </w:r>
    </w:p>
    <w:p w14:paraId="7A293FFD">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781A96B5">
      <w:pPr>
        <w:spacing w:line="500" w:lineRule="exact"/>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授权委托书（投标人为非法人）</w:t>
      </w:r>
    </w:p>
    <w:p w14:paraId="46187F68">
      <w:pPr>
        <w:spacing w:line="500" w:lineRule="exact"/>
        <w:ind w:firstLine="480" w:firstLineChars="200"/>
        <w:rPr>
          <w:rFonts w:hint="eastAsia" w:ascii="宋体" w:hAnsi="宋体" w:eastAsia="宋体" w:cs="宋体"/>
          <w:color w:val="auto"/>
          <w:sz w:val="24"/>
          <w:szCs w:val="24"/>
          <w:highlight w:val="none"/>
        </w:rPr>
      </w:pPr>
    </w:p>
    <w:p w14:paraId="4697B2D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w:t>
      </w:r>
    </w:p>
    <w:p w14:paraId="536FD38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项目编号）</w:t>
      </w:r>
      <w:r>
        <w:rPr>
          <w:rFonts w:hint="eastAsia" w:ascii="宋体" w:hAnsi="宋体" w:eastAsia="宋体" w:cs="宋体"/>
          <w:color w:val="auto"/>
          <w:sz w:val="24"/>
          <w:szCs w:val="24"/>
          <w:highlight w:val="none"/>
        </w:rPr>
        <w:t>” 项目投标活动的合法代表，以我方名义全权处理该项目有关投标、签订合同以及执行合同等一切事宜。</w:t>
      </w:r>
    </w:p>
    <w:p w14:paraId="72614C8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被授权人</w:t>
      </w:r>
      <w:r>
        <w:rPr>
          <w:rFonts w:hint="eastAsia" w:ascii="宋体" w:hAnsi="宋体" w:eastAsia="宋体" w:cs="宋体"/>
          <w:color w:val="auto"/>
          <w:sz w:val="24"/>
          <w:szCs w:val="24"/>
          <w:highlight w:val="none"/>
        </w:rPr>
        <w:t>无权转让本授权，特此声明。</w:t>
      </w:r>
    </w:p>
    <w:p w14:paraId="1DC0B36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附：授权人及被授权人身份证正反面彩色扫描件</w:t>
      </w:r>
    </w:p>
    <w:p w14:paraId="629F78EB">
      <w:pPr>
        <w:pStyle w:val="29"/>
        <w:spacing w:line="500" w:lineRule="exact"/>
        <w:ind w:firstLine="480" w:firstLineChars="200"/>
        <w:rPr>
          <w:rFonts w:hint="eastAsia" w:ascii="宋体" w:hAnsi="宋体" w:eastAsia="宋体" w:cs="宋体"/>
          <w:color w:val="auto"/>
          <w:sz w:val="24"/>
          <w:szCs w:val="24"/>
          <w:highlight w:val="none"/>
        </w:rPr>
      </w:pPr>
    </w:p>
    <w:p w14:paraId="0DB50280">
      <w:pPr>
        <w:spacing w:line="500" w:lineRule="exact"/>
        <w:ind w:firstLine="480" w:firstLineChars="200"/>
        <w:rPr>
          <w:rFonts w:hint="eastAsia" w:ascii="宋体" w:hAnsi="宋体" w:eastAsia="宋体" w:cs="宋体"/>
          <w:color w:val="auto"/>
          <w:sz w:val="24"/>
          <w:szCs w:val="24"/>
          <w:highlight w:val="none"/>
        </w:rPr>
      </w:pPr>
    </w:p>
    <w:p w14:paraId="4ABB770E">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授权人（签字或盖章）：</w:t>
      </w:r>
    </w:p>
    <w:p w14:paraId="234DFF6A">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被授权人（签字）：   </w:t>
      </w:r>
    </w:p>
    <w:p w14:paraId="5A685EC5">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515CD972">
      <w:pPr>
        <w:keepNext/>
        <w:keepLines/>
        <w:spacing w:line="500" w:lineRule="exact"/>
        <w:ind w:firstLine="480" w:firstLineChars="200"/>
        <w:jc w:val="center"/>
        <w:rPr>
          <w:rFonts w:hint="eastAsia" w:ascii="宋体" w:hAnsi="宋体" w:eastAsia="宋体" w:cs="宋体"/>
          <w:color w:val="auto"/>
          <w:sz w:val="24"/>
          <w:szCs w:val="24"/>
          <w:highlight w:val="none"/>
        </w:rPr>
      </w:pPr>
    </w:p>
    <w:p w14:paraId="4AFFAAD9">
      <w:pPr>
        <w:pStyle w:val="3"/>
        <w:numPr>
          <w:ilvl w:val="0"/>
          <w:numId w:val="6"/>
        </w:numPr>
        <w:spacing w:before="156" w:after="156" w:line="320" w:lineRule="exact"/>
        <w:ind w:left="0" w:leftChars="0"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br w:type="page"/>
      </w:r>
      <w:bookmarkStart w:id="139" w:name="_Toc217446088"/>
      <w:r>
        <w:rPr>
          <w:rFonts w:hint="eastAsia" w:ascii="宋体" w:hAnsi="宋体" w:eastAsia="宋体" w:cs="宋体"/>
          <w:b/>
          <w:bCs/>
          <w:color w:val="auto"/>
          <w:kern w:val="0"/>
          <w:sz w:val="24"/>
          <w:szCs w:val="24"/>
          <w:highlight w:val="none"/>
        </w:rPr>
        <w:t>投标人基本情况表</w:t>
      </w:r>
      <w:bookmarkEnd w:id="139"/>
    </w:p>
    <w:p w14:paraId="3408ACFE">
      <w:pPr>
        <w:numPr>
          <w:ilvl w:val="0"/>
          <w:numId w:val="0"/>
        </w:numPr>
        <w:ind w:leftChars="200"/>
        <w:rPr>
          <w:rFonts w:hint="eastAsia"/>
          <w:color w:val="auto"/>
          <w:highlight w:val="none"/>
        </w:rPr>
      </w:pPr>
    </w:p>
    <w:tbl>
      <w:tblPr>
        <w:tblStyle w:val="30"/>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5EEE00A9">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7B7511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7FE6416D">
            <w:pPr>
              <w:jc w:val="center"/>
              <w:rPr>
                <w:rFonts w:hint="eastAsia" w:ascii="宋体" w:hAnsi="宋体" w:eastAsia="宋体" w:cs="宋体"/>
                <w:strike/>
                <w:color w:val="auto"/>
                <w:sz w:val="24"/>
                <w:szCs w:val="24"/>
                <w:highlight w:val="none"/>
              </w:rPr>
            </w:pPr>
          </w:p>
        </w:tc>
      </w:tr>
      <w:tr w14:paraId="1DCFEEF2">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75C676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28D1ACE0">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605CF7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39" w:type="dxa"/>
            <w:tcBorders>
              <w:top w:val="nil"/>
              <w:left w:val="nil"/>
              <w:bottom w:val="single" w:color="auto" w:sz="4" w:space="0"/>
              <w:right w:val="single" w:color="auto" w:sz="4" w:space="0"/>
            </w:tcBorders>
            <w:vAlign w:val="center"/>
          </w:tcPr>
          <w:p w14:paraId="7FFA56ED">
            <w:pPr>
              <w:jc w:val="center"/>
              <w:rPr>
                <w:rFonts w:hint="eastAsia" w:ascii="宋体" w:hAnsi="宋体" w:eastAsia="宋体" w:cs="宋体"/>
                <w:color w:val="auto"/>
                <w:sz w:val="24"/>
                <w:szCs w:val="24"/>
                <w:highlight w:val="none"/>
              </w:rPr>
            </w:pPr>
          </w:p>
        </w:tc>
      </w:tr>
      <w:tr w14:paraId="6828FBB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EFC84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17280000">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63120A9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2139" w:type="dxa"/>
            <w:tcBorders>
              <w:top w:val="nil"/>
              <w:left w:val="nil"/>
              <w:bottom w:val="single" w:color="auto" w:sz="4" w:space="0"/>
              <w:right w:val="single" w:color="auto" w:sz="4" w:space="0"/>
            </w:tcBorders>
            <w:vAlign w:val="center"/>
          </w:tcPr>
          <w:p w14:paraId="45337528">
            <w:pPr>
              <w:jc w:val="center"/>
              <w:rPr>
                <w:rFonts w:hint="eastAsia" w:ascii="宋体" w:hAnsi="宋体" w:eastAsia="宋体" w:cs="宋体"/>
                <w:color w:val="auto"/>
                <w:sz w:val="24"/>
                <w:szCs w:val="24"/>
                <w:highlight w:val="none"/>
              </w:rPr>
            </w:pPr>
          </w:p>
        </w:tc>
      </w:tr>
      <w:tr w14:paraId="055E2BD4">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8C84B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46BA0358">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778D06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39" w:type="dxa"/>
            <w:tcBorders>
              <w:top w:val="nil"/>
              <w:left w:val="nil"/>
              <w:bottom w:val="single" w:color="auto" w:sz="4" w:space="0"/>
              <w:right w:val="single" w:color="auto" w:sz="4" w:space="0"/>
            </w:tcBorders>
            <w:vAlign w:val="center"/>
          </w:tcPr>
          <w:p w14:paraId="03FD6F10">
            <w:pPr>
              <w:jc w:val="center"/>
              <w:rPr>
                <w:rFonts w:hint="eastAsia" w:ascii="宋体" w:hAnsi="宋体" w:eastAsia="宋体" w:cs="宋体"/>
                <w:color w:val="auto"/>
                <w:sz w:val="24"/>
                <w:szCs w:val="24"/>
                <w:highlight w:val="none"/>
              </w:rPr>
            </w:pPr>
          </w:p>
        </w:tc>
      </w:tr>
      <w:tr w14:paraId="01C5ABE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6B73BB6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50" w:type="dxa"/>
            <w:tcBorders>
              <w:top w:val="nil"/>
              <w:left w:val="nil"/>
              <w:bottom w:val="single" w:color="auto" w:sz="4" w:space="0"/>
              <w:right w:val="single" w:color="auto" w:sz="4" w:space="0"/>
            </w:tcBorders>
            <w:vAlign w:val="center"/>
          </w:tcPr>
          <w:p w14:paraId="433D1D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525" w:type="dxa"/>
            <w:tcBorders>
              <w:top w:val="nil"/>
              <w:left w:val="nil"/>
              <w:bottom w:val="single" w:color="auto" w:sz="4" w:space="0"/>
              <w:right w:val="single" w:color="auto" w:sz="4" w:space="0"/>
            </w:tcBorders>
            <w:vAlign w:val="center"/>
          </w:tcPr>
          <w:p w14:paraId="3DC042E7">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35A8B4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14:paraId="420B92CB">
            <w:pPr>
              <w:jc w:val="center"/>
              <w:rPr>
                <w:rFonts w:hint="eastAsia" w:ascii="宋体" w:hAnsi="宋体" w:eastAsia="宋体" w:cs="宋体"/>
                <w:color w:val="auto"/>
                <w:sz w:val="24"/>
                <w:szCs w:val="24"/>
                <w:highlight w:val="none"/>
              </w:rPr>
            </w:pPr>
          </w:p>
        </w:tc>
      </w:tr>
      <w:tr w14:paraId="197D643C">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5A06B62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50" w:type="dxa"/>
            <w:tcBorders>
              <w:top w:val="nil"/>
              <w:left w:val="nil"/>
              <w:bottom w:val="single" w:color="auto" w:sz="4" w:space="0"/>
              <w:right w:val="single" w:color="auto" w:sz="4" w:space="0"/>
            </w:tcBorders>
            <w:vAlign w:val="center"/>
          </w:tcPr>
          <w:p w14:paraId="31669F0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73D05A41">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5FADE0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39" w:type="dxa"/>
            <w:tcBorders>
              <w:top w:val="nil"/>
              <w:left w:val="nil"/>
              <w:bottom w:val="single" w:color="auto" w:sz="4" w:space="0"/>
              <w:right w:val="single" w:color="auto" w:sz="4" w:space="0"/>
            </w:tcBorders>
            <w:vAlign w:val="center"/>
          </w:tcPr>
          <w:p w14:paraId="64151766">
            <w:pPr>
              <w:jc w:val="center"/>
              <w:rPr>
                <w:rFonts w:hint="eastAsia" w:ascii="宋体" w:hAnsi="宋体" w:eastAsia="宋体" w:cs="宋体"/>
                <w:color w:val="auto"/>
                <w:sz w:val="24"/>
                <w:szCs w:val="24"/>
                <w:highlight w:val="none"/>
              </w:rPr>
            </w:pPr>
          </w:p>
        </w:tc>
      </w:tr>
      <w:tr w14:paraId="18D0F559">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93141F8">
            <w:pPr>
              <w:jc w:val="center"/>
              <w:rPr>
                <w:rFonts w:hint="eastAsia" w:ascii="宋体" w:hAnsi="宋体" w:eastAsia="宋体" w:cs="宋体"/>
                <w:color w:val="auto"/>
                <w:sz w:val="24"/>
                <w:szCs w:val="24"/>
                <w:highlight w:val="none"/>
              </w:rPr>
            </w:pPr>
          </w:p>
        </w:tc>
        <w:tc>
          <w:tcPr>
            <w:tcW w:w="1050" w:type="dxa"/>
            <w:tcBorders>
              <w:top w:val="nil"/>
              <w:left w:val="nil"/>
              <w:bottom w:val="single" w:color="auto" w:sz="4" w:space="0"/>
              <w:right w:val="single" w:color="auto" w:sz="4" w:space="0"/>
            </w:tcBorders>
            <w:vAlign w:val="center"/>
          </w:tcPr>
          <w:p w14:paraId="7B271C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7786B2EE">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19BAE6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39" w:type="dxa"/>
            <w:tcBorders>
              <w:top w:val="nil"/>
              <w:left w:val="nil"/>
              <w:bottom w:val="single" w:color="auto" w:sz="4" w:space="0"/>
              <w:right w:val="single" w:color="auto" w:sz="4" w:space="0"/>
            </w:tcBorders>
            <w:vAlign w:val="center"/>
          </w:tcPr>
          <w:p w14:paraId="4F4D0A45">
            <w:pPr>
              <w:jc w:val="center"/>
              <w:rPr>
                <w:rFonts w:hint="eastAsia" w:ascii="宋体" w:hAnsi="宋体" w:eastAsia="宋体" w:cs="宋体"/>
                <w:color w:val="auto"/>
                <w:sz w:val="24"/>
                <w:szCs w:val="24"/>
                <w:highlight w:val="none"/>
              </w:rPr>
            </w:pPr>
          </w:p>
        </w:tc>
      </w:tr>
      <w:tr w14:paraId="0C33F505">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786053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723FFBF1">
            <w:pPr>
              <w:jc w:val="center"/>
              <w:rPr>
                <w:rFonts w:hint="eastAsia" w:ascii="宋体" w:hAnsi="宋体" w:eastAsia="宋体" w:cs="宋体"/>
                <w:color w:val="auto"/>
                <w:sz w:val="24"/>
                <w:szCs w:val="24"/>
                <w:highlight w:val="none"/>
              </w:rPr>
            </w:pPr>
          </w:p>
        </w:tc>
        <w:tc>
          <w:tcPr>
            <w:tcW w:w="1537" w:type="dxa"/>
            <w:tcBorders>
              <w:top w:val="nil"/>
              <w:left w:val="nil"/>
              <w:bottom w:val="single" w:color="auto" w:sz="4" w:space="0"/>
              <w:right w:val="single" w:color="auto" w:sz="4" w:space="0"/>
            </w:tcBorders>
            <w:vAlign w:val="center"/>
          </w:tcPr>
          <w:p w14:paraId="5D0F4D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139" w:type="dxa"/>
            <w:tcBorders>
              <w:top w:val="nil"/>
              <w:left w:val="nil"/>
              <w:bottom w:val="single" w:color="auto" w:sz="4" w:space="0"/>
              <w:right w:val="single" w:color="auto" w:sz="4" w:space="0"/>
            </w:tcBorders>
            <w:vAlign w:val="center"/>
          </w:tcPr>
          <w:p w14:paraId="761D9521">
            <w:pPr>
              <w:jc w:val="center"/>
              <w:rPr>
                <w:rFonts w:hint="eastAsia" w:ascii="宋体" w:hAnsi="宋体" w:eastAsia="宋体" w:cs="宋体"/>
                <w:color w:val="auto"/>
                <w:sz w:val="24"/>
                <w:szCs w:val="24"/>
                <w:highlight w:val="none"/>
              </w:rPr>
            </w:pPr>
          </w:p>
        </w:tc>
      </w:tr>
      <w:tr w14:paraId="47E40D0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DF8E8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F8C2CC0">
            <w:pPr>
              <w:jc w:val="center"/>
              <w:rPr>
                <w:rFonts w:hint="eastAsia" w:ascii="宋体" w:hAnsi="宋体" w:eastAsia="宋体" w:cs="宋体"/>
                <w:color w:val="auto"/>
                <w:sz w:val="24"/>
                <w:szCs w:val="24"/>
                <w:highlight w:val="none"/>
              </w:rPr>
            </w:pPr>
          </w:p>
        </w:tc>
      </w:tr>
      <w:tr w14:paraId="3048BBF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6AA63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1E6CD131">
            <w:pPr>
              <w:jc w:val="center"/>
              <w:rPr>
                <w:rFonts w:hint="eastAsia" w:ascii="宋体" w:hAnsi="宋体" w:eastAsia="宋体" w:cs="宋体"/>
                <w:color w:val="auto"/>
                <w:sz w:val="24"/>
                <w:szCs w:val="24"/>
                <w:highlight w:val="none"/>
              </w:rPr>
            </w:pPr>
          </w:p>
        </w:tc>
      </w:tr>
    </w:tbl>
    <w:p w14:paraId="46F61191">
      <w:pPr>
        <w:adjustRightInd w:val="0"/>
        <w:spacing w:line="320" w:lineRule="exact"/>
        <w:ind w:firstLine="480" w:firstLineChars="200"/>
        <w:jc w:val="left"/>
        <w:rPr>
          <w:rFonts w:hint="eastAsia" w:ascii="宋体" w:hAnsi="宋体" w:eastAsia="宋体" w:cs="宋体"/>
          <w:bCs/>
          <w:color w:val="auto"/>
          <w:sz w:val="24"/>
          <w:szCs w:val="24"/>
          <w:highlight w:val="none"/>
        </w:rPr>
      </w:pPr>
    </w:p>
    <w:p w14:paraId="03F9501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98F8B6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1、投标人为法人时，后附营业执照等相关资料彩色扫描件；    </w:t>
      </w:r>
    </w:p>
    <w:p w14:paraId="411DA79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2、投标人为非法人时，格式自拟，后附相关资料彩色扫描件。</w:t>
      </w:r>
    </w:p>
    <w:p w14:paraId="3B29EFF2">
      <w:pPr>
        <w:adjustRightInd w:val="0"/>
        <w:spacing w:line="500" w:lineRule="exact"/>
        <w:ind w:firstLine="480" w:firstLineChars="200"/>
        <w:jc w:val="center"/>
        <w:rPr>
          <w:rFonts w:hint="eastAsia" w:ascii="宋体" w:hAnsi="宋体" w:eastAsia="宋体" w:cs="宋体"/>
          <w:bCs/>
          <w:color w:val="auto"/>
          <w:sz w:val="24"/>
          <w:szCs w:val="24"/>
          <w:highlight w:val="none"/>
        </w:rPr>
      </w:pPr>
      <w:bookmarkStart w:id="140" w:name="_Toc217446089"/>
    </w:p>
    <w:p w14:paraId="60E580EB">
      <w:pPr>
        <w:adjustRightInd w:val="0"/>
        <w:spacing w:line="500" w:lineRule="exact"/>
        <w:ind w:firstLine="480" w:firstLineChars="200"/>
        <w:jc w:val="center"/>
        <w:rPr>
          <w:rFonts w:hint="eastAsia" w:ascii="宋体" w:hAnsi="宋体" w:eastAsia="宋体" w:cs="宋体"/>
          <w:bCs/>
          <w:color w:val="auto"/>
          <w:sz w:val="24"/>
          <w:szCs w:val="24"/>
          <w:highlight w:val="none"/>
        </w:rPr>
      </w:pPr>
    </w:p>
    <w:p w14:paraId="7CB4831A">
      <w:pPr>
        <w:adjustRightInd w:val="0"/>
        <w:spacing w:line="500" w:lineRule="exact"/>
        <w:ind w:firstLine="480" w:firstLineChars="200"/>
        <w:jc w:val="center"/>
        <w:outlineLvl w:val="1"/>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、投标人类似项目业绩一览表</w:t>
      </w:r>
      <w:bookmarkEnd w:id="140"/>
    </w:p>
    <w:p w14:paraId="74565E5A">
      <w:pPr>
        <w:spacing w:line="400" w:lineRule="exact"/>
        <w:rPr>
          <w:rFonts w:hint="eastAsia" w:ascii="宋体" w:hAnsi="宋体" w:eastAsia="宋体" w:cs="宋体"/>
          <w:color w:val="auto"/>
          <w:sz w:val="24"/>
          <w:szCs w:val="24"/>
          <w:highlight w:val="none"/>
        </w:rPr>
      </w:pP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7346A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top w:val="single" w:color="auto" w:sz="4" w:space="0"/>
            </w:tcBorders>
            <w:vAlign w:val="center"/>
          </w:tcPr>
          <w:p w14:paraId="16FF8D10">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70" w:type="pct"/>
            <w:vAlign w:val="center"/>
          </w:tcPr>
          <w:p w14:paraId="484E5601">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661" w:type="pct"/>
            <w:vAlign w:val="center"/>
          </w:tcPr>
          <w:p w14:paraId="26FF21E3">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联系人</w:t>
            </w:r>
          </w:p>
        </w:tc>
        <w:tc>
          <w:tcPr>
            <w:tcW w:w="684" w:type="pct"/>
            <w:vAlign w:val="center"/>
          </w:tcPr>
          <w:p w14:paraId="0AAFF6BF">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c>
          <w:tcPr>
            <w:tcW w:w="690" w:type="pct"/>
            <w:vAlign w:val="center"/>
          </w:tcPr>
          <w:p w14:paraId="3D4F58BE">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701" w:type="pct"/>
            <w:vAlign w:val="center"/>
          </w:tcPr>
          <w:p w14:paraId="13CBDE00">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完成时间</w:t>
            </w:r>
          </w:p>
        </w:tc>
        <w:tc>
          <w:tcPr>
            <w:tcW w:w="688" w:type="pct"/>
            <w:vAlign w:val="center"/>
          </w:tcPr>
          <w:p w14:paraId="14768CBA">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tc>
        <w:tc>
          <w:tcPr>
            <w:tcW w:w="641" w:type="pct"/>
            <w:gridSpan w:val="2"/>
            <w:tcBorders>
              <w:right w:val="single" w:color="auto" w:sz="4" w:space="0"/>
            </w:tcBorders>
            <w:vAlign w:val="center"/>
          </w:tcPr>
          <w:p w14:paraId="18644945">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项目描述</w:t>
            </w:r>
          </w:p>
        </w:tc>
      </w:tr>
      <w:tr w14:paraId="49262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10EB864B">
            <w:pPr>
              <w:spacing w:line="400" w:lineRule="exact"/>
              <w:jc w:val="center"/>
              <w:rPr>
                <w:rFonts w:hint="eastAsia" w:ascii="宋体" w:hAnsi="宋体" w:eastAsia="宋体" w:cs="宋体"/>
                <w:color w:val="auto"/>
                <w:sz w:val="24"/>
                <w:szCs w:val="24"/>
                <w:highlight w:val="none"/>
              </w:rPr>
            </w:pPr>
          </w:p>
        </w:tc>
        <w:tc>
          <w:tcPr>
            <w:tcW w:w="570" w:type="pct"/>
            <w:vAlign w:val="center"/>
          </w:tcPr>
          <w:p w14:paraId="19300BF8">
            <w:pPr>
              <w:spacing w:line="400" w:lineRule="exact"/>
              <w:jc w:val="center"/>
              <w:rPr>
                <w:rFonts w:hint="eastAsia" w:ascii="宋体" w:hAnsi="宋体" w:eastAsia="宋体" w:cs="宋体"/>
                <w:color w:val="auto"/>
                <w:sz w:val="24"/>
                <w:szCs w:val="24"/>
                <w:highlight w:val="none"/>
              </w:rPr>
            </w:pPr>
          </w:p>
        </w:tc>
        <w:tc>
          <w:tcPr>
            <w:tcW w:w="661" w:type="pct"/>
            <w:vAlign w:val="center"/>
          </w:tcPr>
          <w:p w14:paraId="68DEFAAC">
            <w:pPr>
              <w:spacing w:line="400" w:lineRule="exact"/>
              <w:jc w:val="center"/>
              <w:rPr>
                <w:rFonts w:hint="eastAsia" w:ascii="宋体" w:hAnsi="宋体" w:eastAsia="宋体" w:cs="宋体"/>
                <w:color w:val="auto"/>
                <w:sz w:val="24"/>
                <w:szCs w:val="24"/>
                <w:highlight w:val="none"/>
              </w:rPr>
            </w:pPr>
          </w:p>
        </w:tc>
        <w:tc>
          <w:tcPr>
            <w:tcW w:w="684" w:type="pct"/>
            <w:vAlign w:val="center"/>
          </w:tcPr>
          <w:p w14:paraId="1107BC86">
            <w:pPr>
              <w:spacing w:line="400" w:lineRule="exact"/>
              <w:jc w:val="center"/>
              <w:rPr>
                <w:rFonts w:hint="eastAsia" w:ascii="宋体" w:hAnsi="宋体" w:eastAsia="宋体" w:cs="宋体"/>
                <w:color w:val="auto"/>
                <w:sz w:val="24"/>
                <w:szCs w:val="24"/>
                <w:highlight w:val="none"/>
              </w:rPr>
            </w:pPr>
          </w:p>
        </w:tc>
        <w:tc>
          <w:tcPr>
            <w:tcW w:w="690" w:type="pct"/>
            <w:vAlign w:val="center"/>
          </w:tcPr>
          <w:p w14:paraId="0594CBA8">
            <w:pPr>
              <w:spacing w:line="400" w:lineRule="exact"/>
              <w:jc w:val="center"/>
              <w:rPr>
                <w:rFonts w:hint="eastAsia" w:ascii="宋体" w:hAnsi="宋体" w:eastAsia="宋体" w:cs="宋体"/>
                <w:color w:val="auto"/>
                <w:sz w:val="24"/>
                <w:szCs w:val="24"/>
                <w:highlight w:val="none"/>
              </w:rPr>
            </w:pPr>
          </w:p>
        </w:tc>
        <w:tc>
          <w:tcPr>
            <w:tcW w:w="701" w:type="pct"/>
            <w:vAlign w:val="center"/>
          </w:tcPr>
          <w:p w14:paraId="727C4BB8">
            <w:pPr>
              <w:spacing w:line="400" w:lineRule="exact"/>
              <w:jc w:val="center"/>
              <w:rPr>
                <w:rFonts w:hint="eastAsia" w:ascii="宋体" w:hAnsi="宋体" w:eastAsia="宋体" w:cs="宋体"/>
                <w:color w:val="auto"/>
                <w:sz w:val="24"/>
                <w:szCs w:val="24"/>
                <w:highlight w:val="none"/>
              </w:rPr>
            </w:pPr>
          </w:p>
        </w:tc>
        <w:tc>
          <w:tcPr>
            <w:tcW w:w="688" w:type="pct"/>
            <w:vAlign w:val="center"/>
          </w:tcPr>
          <w:p w14:paraId="11A3BC89">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14:paraId="0E74AFFA">
            <w:pPr>
              <w:spacing w:line="400" w:lineRule="exact"/>
              <w:jc w:val="center"/>
              <w:rPr>
                <w:rFonts w:hint="eastAsia" w:ascii="宋体" w:hAnsi="宋体" w:eastAsia="宋体" w:cs="宋体"/>
                <w:color w:val="auto"/>
                <w:sz w:val="24"/>
                <w:szCs w:val="24"/>
                <w:highlight w:val="none"/>
              </w:rPr>
            </w:pPr>
          </w:p>
        </w:tc>
      </w:tr>
      <w:tr w14:paraId="1EC6B6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41345BD3">
            <w:pPr>
              <w:spacing w:line="400" w:lineRule="exact"/>
              <w:jc w:val="center"/>
              <w:rPr>
                <w:rFonts w:hint="eastAsia" w:ascii="宋体" w:hAnsi="宋体" w:eastAsia="宋体" w:cs="宋体"/>
                <w:color w:val="auto"/>
                <w:sz w:val="24"/>
                <w:szCs w:val="24"/>
                <w:highlight w:val="none"/>
              </w:rPr>
            </w:pPr>
          </w:p>
        </w:tc>
        <w:tc>
          <w:tcPr>
            <w:tcW w:w="570" w:type="pct"/>
            <w:vAlign w:val="center"/>
          </w:tcPr>
          <w:p w14:paraId="191188AA">
            <w:pPr>
              <w:spacing w:line="400" w:lineRule="exact"/>
              <w:jc w:val="center"/>
              <w:rPr>
                <w:rFonts w:hint="eastAsia" w:ascii="宋体" w:hAnsi="宋体" w:eastAsia="宋体" w:cs="宋体"/>
                <w:color w:val="auto"/>
                <w:sz w:val="24"/>
                <w:szCs w:val="24"/>
                <w:highlight w:val="none"/>
              </w:rPr>
            </w:pPr>
          </w:p>
        </w:tc>
        <w:tc>
          <w:tcPr>
            <w:tcW w:w="661" w:type="pct"/>
            <w:vAlign w:val="center"/>
          </w:tcPr>
          <w:p w14:paraId="0D3C1E93">
            <w:pPr>
              <w:spacing w:line="400" w:lineRule="exact"/>
              <w:jc w:val="center"/>
              <w:rPr>
                <w:rFonts w:hint="eastAsia" w:ascii="宋体" w:hAnsi="宋体" w:eastAsia="宋体" w:cs="宋体"/>
                <w:color w:val="auto"/>
                <w:sz w:val="24"/>
                <w:szCs w:val="24"/>
                <w:highlight w:val="none"/>
              </w:rPr>
            </w:pPr>
          </w:p>
        </w:tc>
        <w:tc>
          <w:tcPr>
            <w:tcW w:w="684" w:type="pct"/>
            <w:vAlign w:val="center"/>
          </w:tcPr>
          <w:p w14:paraId="78A65B20">
            <w:pPr>
              <w:spacing w:line="400" w:lineRule="exact"/>
              <w:jc w:val="center"/>
              <w:rPr>
                <w:rFonts w:hint="eastAsia" w:ascii="宋体" w:hAnsi="宋体" w:eastAsia="宋体" w:cs="宋体"/>
                <w:color w:val="auto"/>
                <w:sz w:val="24"/>
                <w:szCs w:val="24"/>
                <w:highlight w:val="none"/>
              </w:rPr>
            </w:pPr>
          </w:p>
        </w:tc>
        <w:tc>
          <w:tcPr>
            <w:tcW w:w="690" w:type="pct"/>
            <w:vAlign w:val="center"/>
          </w:tcPr>
          <w:p w14:paraId="6DF9BCB5">
            <w:pPr>
              <w:spacing w:line="400" w:lineRule="exact"/>
              <w:jc w:val="center"/>
              <w:rPr>
                <w:rFonts w:hint="eastAsia" w:ascii="宋体" w:hAnsi="宋体" w:eastAsia="宋体" w:cs="宋体"/>
                <w:color w:val="auto"/>
                <w:sz w:val="24"/>
                <w:szCs w:val="24"/>
                <w:highlight w:val="none"/>
              </w:rPr>
            </w:pPr>
          </w:p>
        </w:tc>
        <w:tc>
          <w:tcPr>
            <w:tcW w:w="701" w:type="pct"/>
            <w:vAlign w:val="center"/>
          </w:tcPr>
          <w:p w14:paraId="21FCE4C3">
            <w:pPr>
              <w:spacing w:line="400" w:lineRule="exact"/>
              <w:jc w:val="center"/>
              <w:rPr>
                <w:rFonts w:hint="eastAsia" w:ascii="宋体" w:hAnsi="宋体" w:eastAsia="宋体" w:cs="宋体"/>
                <w:color w:val="auto"/>
                <w:sz w:val="24"/>
                <w:szCs w:val="24"/>
                <w:highlight w:val="none"/>
              </w:rPr>
            </w:pPr>
          </w:p>
        </w:tc>
        <w:tc>
          <w:tcPr>
            <w:tcW w:w="688" w:type="pct"/>
            <w:vAlign w:val="center"/>
          </w:tcPr>
          <w:p w14:paraId="338A6EC7">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14:paraId="4BA3B8C0">
            <w:pPr>
              <w:spacing w:line="400" w:lineRule="exact"/>
              <w:jc w:val="center"/>
              <w:rPr>
                <w:rFonts w:hint="eastAsia" w:ascii="宋体" w:hAnsi="宋体" w:eastAsia="宋体" w:cs="宋体"/>
                <w:color w:val="auto"/>
                <w:sz w:val="24"/>
                <w:szCs w:val="24"/>
                <w:highlight w:val="none"/>
              </w:rPr>
            </w:pPr>
          </w:p>
        </w:tc>
      </w:tr>
      <w:tr w14:paraId="79A00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21873795">
            <w:pPr>
              <w:spacing w:line="400" w:lineRule="exact"/>
              <w:jc w:val="center"/>
              <w:rPr>
                <w:rFonts w:hint="eastAsia" w:ascii="宋体" w:hAnsi="宋体" w:eastAsia="宋体" w:cs="宋体"/>
                <w:color w:val="auto"/>
                <w:sz w:val="24"/>
                <w:szCs w:val="24"/>
                <w:highlight w:val="none"/>
              </w:rPr>
            </w:pPr>
          </w:p>
        </w:tc>
        <w:tc>
          <w:tcPr>
            <w:tcW w:w="570" w:type="pct"/>
            <w:vAlign w:val="center"/>
          </w:tcPr>
          <w:p w14:paraId="41FADEDB">
            <w:pPr>
              <w:spacing w:line="400" w:lineRule="exact"/>
              <w:jc w:val="center"/>
              <w:rPr>
                <w:rFonts w:hint="eastAsia" w:ascii="宋体" w:hAnsi="宋体" w:eastAsia="宋体" w:cs="宋体"/>
                <w:color w:val="auto"/>
                <w:sz w:val="24"/>
                <w:szCs w:val="24"/>
                <w:highlight w:val="none"/>
              </w:rPr>
            </w:pPr>
          </w:p>
        </w:tc>
        <w:tc>
          <w:tcPr>
            <w:tcW w:w="661" w:type="pct"/>
            <w:vAlign w:val="center"/>
          </w:tcPr>
          <w:p w14:paraId="767EA7F7">
            <w:pPr>
              <w:spacing w:line="400" w:lineRule="exact"/>
              <w:jc w:val="center"/>
              <w:rPr>
                <w:rFonts w:hint="eastAsia" w:ascii="宋体" w:hAnsi="宋体" w:eastAsia="宋体" w:cs="宋体"/>
                <w:color w:val="auto"/>
                <w:sz w:val="24"/>
                <w:szCs w:val="24"/>
                <w:highlight w:val="none"/>
              </w:rPr>
            </w:pPr>
          </w:p>
        </w:tc>
        <w:tc>
          <w:tcPr>
            <w:tcW w:w="684" w:type="pct"/>
            <w:vAlign w:val="center"/>
          </w:tcPr>
          <w:p w14:paraId="37C979BF">
            <w:pPr>
              <w:spacing w:line="400" w:lineRule="exact"/>
              <w:jc w:val="center"/>
              <w:rPr>
                <w:rFonts w:hint="eastAsia" w:ascii="宋体" w:hAnsi="宋体" w:eastAsia="宋体" w:cs="宋体"/>
                <w:color w:val="auto"/>
                <w:sz w:val="24"/>
                <w:szCs w:val="24"/>
                <w:highlight w:val="none"/>
              </w:rPr>
            </w:pPr>
          </w:p>
        </w:tc>
        <w:tc>
          <w:tcPr>
            <w:tcW w:w="690" w:type="pct"/>
            <w:vAlign w:val="center"/>
          </w:tcPr>
          <w:p w14:paraId="02631616">
            <w:pPr>
              <w:spacing w:line="400" w:lineRule="exact"/>
              <w:jc w:val="center"/>
              <w:rPr>
                <w:rFonts w:hint="eastAsia" w:ascii="宋体" w:hAnsi="宋体" w:eastAsia="宋体" w:cs="宋体"/>
                <w:color w:val="auto"/>
                <w:sz w:val="24"/>
                <w:szCs w:val="24"/>
                <w:highlight w:val="none"/>
              </w:rPr>
            </w:pPr>
          </w:p>
        </w:tc>
        <w:tc>
          <w:tcPr>
            <w:tcW w:w="701" w:type="pct"/>
            <w:vAlign w:val="center"/>
          </w:tcPr>
          <w:p w14:paraId="153F98B5">
            <w:pPr>
              <w:spacing w:line="400" w:lineRule="exact"/>
              <w:jc w:val="center"/>
              <w:rPr>
                <w:rFonts w:hint="eastAsia" w:ascii="宋体" w:hAnsi="宋体" w:eastAsia="宋体" w:cs="宋体"/>
                <w:color w:val="auto"/>
                <w:sz w:val="24"/>
                <w:szCs w:val="24"/>
                <w:highlight w:val="none"/>
              </w:rPr>
            </w:pPr>
          </w:p>
        </w:tc>
        <w:tc>
          <w:tcPr>
            <w:tcW w:w="688" w:type="pct"/>
            <w:vAlign w:val="center"/>
          </w:tcPr>
          <w:p w14:paraId="17C56A95">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14:paraId="006C1875">
            <w:pPr>
              <w:spacing w:line="400" w:lineRule="exact"/>
              <w:jc w:val="center"/>
              <w:rPr>
                <w:rFonts w:hint="eastAsia" w:ascii="宋体" w:hAnsi="宋体" w:eastAsia="宋体" w:cs="宋体"/>
                <w:color w:val="auto"/>
                <w:sz w:val="24"/>
                <w:szCs w:val="24"/>
                <w:highlight w:val="none"/>
              </w:rPr>
            </w:pPr>
          </w:p>
        </w:tc>
      </w:tr>
      <w:tr w14:paraId="59983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14:paraId="5F8C885C">
            <w:pPr>
              <w:spacing w:line="400" w:lineRule="exact"/>
              <w:jc w:val="center"/>
              <w:rPr>
                <w:rFonts w:hint="eastAsia" w:ascii="宋体" w:hAnsi="宋体" w:eastAsia="宋体" w:cs="宋体"/>
                <w:color w:val="auto"/>
                <w:sz w:val="24"/>
                <w:szCs w:val="24"/>
                <w:highlight w:val="none"/>
              </w:rPr>
            </w:pPr>
          </w:p>
        </w:tc>
        <w:tc>
          <w:tcPr>
            <w:tcW w:w="570" w:type="pct"/>
            <w:tcBorders>
              <w:right w:val="single" w:color="auto" w:sz="4" w:space="0"/>
            </w:tcBorders>
            <w:vAlign w:val="center"/>
          </w:tcPr>
          <w:p w14:paraId="7A8409B4">
            <w:pPr>
              <w:spacing w:line="400" w:lineRule="exact"/>
              <w:jc w:val="center"/>
              <w:rPr>
                <w:rFonts w:hint="eastAsia" w:ascii="宋体" w:hAnsi="宋体" w:eastAsia="宋体" w:cs="宋体"/>
                <w:color w:val="auto"/>
                <w:sz w:val="24"/>
                <w:szCs w:val="24"/>
                <w:highlight w:val="none"/>
              </w:rPr>
            </w:pPr>
          </w:p>
        </w:tc>
        <w:tc>
          <w:tcPr>
            <w:tcW w:w="661" w:type="pct"/>
            <w:tcBorders>
              <w:left w:val="single" w:color="auto" w:sz="4" w:space="0"/>
            </w:tcBorders>
            <w:vAlign w:val="center"/>
          </w:tcPr>
          <w:p w14:paraId="0F1BD5D4">
            <w:pPr>
              <w:spacing w:line="400" w:lineRule="exact"/>
              <w:jc w:val="center"/>
              <w:rPr>
                <w:rFonts w:hint="eastAsia" w:ascii="宋体" w:hAnsi="宋体" w:eastAsia="宋体" w:cs="宋体"/>
                <w:color w:val="auto"/>
                <w:sz w:val="24"/>
                <w:szCs w:val="24"/>
                <w:highlight w:val="none"/>
              </w:rPr>
            </w:pPr>
          </w:p>
        </w:tc>
        <w:tc>
          <w:tcPr>
            <w:tcW w:w="684" w:type="pct"/>
            <w:tcBorders>
              <w:left w:val="single" w:color="auto" w:sz="4" w:space="0"/>
            </w:tcBorders>
            <w:vAlign w:val="center"/>
          </w:tcPr>
          <w:p w14:paraId="19C5F86C">
            <w:pPr>
              <w:spacing w:line="400" w:lineRule="exact"/>
              <w:jc w:val="center"/>
              <w:rPr>
                <w:rFonts w:hint="eastAsia" w:ascii="宋体" w:hAnsi="宋体" w:eastAsia="宋体" w:cs="宋体"/>
                <w:color w:val="auto"/>
                <w:sz w:val="24"/>
                <w:szCs w:val="24"/>
                <w:highlight w:val="none"/>
              </w:rPr>
            </w:pPr>
          </w:p>
        </w:tc>
        <w:tc>
          <w:tcPr>
            <w:tcW w:w="690" w:type="pct"/>
            <w:tcBorders>
              <w:left w:val="single" w:color="auto" w:sz="4" w:space="0"/>
            </w:tcBorders>
            <w:vAlign w:val="center"/>
          </w:tcPr>
          <w:p w14:paraId="13BCBFEC">
            <w:pPr>
              <w:spacing w:line="400" w:lineRule="exact"/>
              <w:jc w:val="center"/>
              <w:rPr>
                <w:rFonts w:hint="eastAsia" w:ascii="宋体" w:hAnsi="宋体" w:eastAsia="宋体" w:cs="宋体"/>
                <w:color w:val="auto"/>
                <w:sz w:val="24"/>
                <w:szCs w:val="24"/>
                <w:highlight w:val="none"/>
              </w:rPr>
            </w:pPr>
          </w:p>
        </w:tc>
        <w:tc>
          <w:tcPr>
            <w:tcW w:w="701" w:type="pct"/>
            <w:vAlign w:val="center"/>
          </w:tcPr>
          <w:p w14:paraId="42FC78EC">
            <w:pPr>
              <w:spacing w:line="400" w:lineRule="exact"/>
              <w:jc w:val="center"/>
              <w:rPr>
                <w:rFonts w:hint="eastAsia" w:ascii="宋体" w:hAnsi="宋体" w:eastAsia="宋体" w:cs="宋体"/>
                <w:color w:val="auto"/>
                <w:sz w:val="24"/>
                <w:szCs w:val="24"/>
                <w:highlight w:val="none"/>
              </w:rPr>
            </w:pPr>
          </w:p>
        </w:tc>
        <w:tc>
          <w:tcPr>
            <w:tcW w:w="688" w:type="pct"/>
            <w:vAlign w:val="center"/>
          </w:tcPr>
          <w:p w14:paraId="4C02AFA1">
            <w:pPr>
              <w:spacing w:line="400" w:lineRule="exact"/>
              <w:jc w:val="center"/>
              <w:rPr>
                <w:rFonts w:hint="eastAsia" w:ascii="宋体" w:hAnsi="宋体" w:eastAsia="宋体" w:cs="宋体"/>
                <w:color w:val="auto"/>
                <w:sz w:val="24"/>
                <w:szCs w:val="24"/>
                <w:highlight w:val="none"/>
              </w:rPr>
            </w:pPr>
          </w:p>
        </w:tc>
        <w:tc>
          <w:tcPr>
            <w:tcW w:w="641" w:type="pct"/>
            <w:gridSpan w:val="2"/>
            <w:tcBorders>
              <w:right w:val="single" w:color="auto" w:sz="4" w:space="0"/>
            </w:tcBorders>
            <w:vAlign w:val="center"/>
          </w:tcPr>
          <w:p w14:paraId="12597C4B">
            <w:pPr>
              <w:spacing w:line="400" w:lineRule="exact"/>
              <w:jc w:val="center"/>
              <w:rPr>
                <w:rFonts w:hint="eastAsia" w:ascii="宋体" w:hAnsi="宋体" w:eastAsia="宋体" w:cs="宋体"/>
                <w:color w:val="auto"/>
                <w:sz w:val="24"/>
                <w:szCs w:val="24"/>
                <w:highlight w:val="none"/>
              </w:rPr>
            </w:pPr>
          </w:p>
        </w:tc>
      </w:tr>
      <w:tr w14:paraId="465BAE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right w:val="single" w:color="auto" w:sz="4" w:space="0"/>
            </w:tcBorders>
            <w:vAlign w:val="center"/>
          </w:tcPr>
          <w:p w14:paraId="30564338">
            <w:pPr>
              <w:spacing w:line="400" w:lineRule="exact"/>
              <w:rPr>
                <w:rFonts w:hint="eastAsia" w:ascii="宋体" w:hAnsi="宋体" w:eastAsia="宋体" w:cs="宋体"/>
                <w:color w:val="auto"/>
                <w:sz w:val="24"/>
                <w:szCs w:val="24"/>
                <w:highlight w:val="none"/>
              </w:rPr>
            </w:pPr>
          </w:p>
        </w:tc>
        <w:tc>
          <w:tcPr>
            <w:tcW w:w="570" w:type="pct"/>
            <w:tcBorders>
              <w:left w:val="single" w:color="auto" w:sz="4" w:space="0"/>
              <w:right w:val="single" w:color="auto" w:sz="4" w:space="0"/>
            </w:tcBorders>
            <w:vAlign w:val="center"/>
          </w:tcPr>
          <w:p w14:paraId="7697AE68">
            <w:pPr>
              <w:spacing w:line="400" w:lineRule="exact"/>
              <w:rPr>
                <w:rFonts w:hint="eastAsia" w:ascii="宋体" w:hAnsi="宋体" w:eastAsia="宋体" w:cs="宋体"/>
                <w:color w:val="auto"/>
                <w:sz w:val="24"/>
                <w:szCs w:val="24"/>
                <w:highlight w:val="none"/>
              </w:rPr>
            </w:pPr>
          </w:p>
        </w:tc>
        <w:tc>
          <w:tcPr>
            <w:tcW w:w="661" w:type="pct"/>
            <w:tcBorders>
              <w:left w:val="single" w:color="auto" w:sz="4" w:space="0"/>
              <w:right w:val="single" w:color="auto" w:sz="4" w:space="0"/>
            </w:tcBorders>
            <w:vAlign w:val="center"/>
          </w:tcPr>
          <w:p w14:paraId="52B31C22">
            <w:pPr>
              <w:spacing w:line="400" w:lineRule="exact"/>
              <w:rPr>
                <w:rFonts w:hint="eastAsia" w:ascii="宋体" w:hAnsi="宋体" w:eastAsia="宋体" w:cs="宋体"/>
                <w:color w:val="auto"/>
                <w:sz w:val="24"/>
                <w:szCs w:val="24"/>
                <w:highlight w:val="none"/>
              </w:rPr>
            </w:pPr>
          </w:p>
        </w:tc>
        <w:tc>
          <w:tcPr>
            <w:tcW w:w="684" w:type="pct"/>
            <w:tcBorders>
              <w:left w:val="single" w:color="auto" w:sz="4" w:space="0"/>
              <w:right w:val="single" w:color="auto" w:sz="4" w:space="0"/>
            </w:tcBorders>
            <w:vAlign w:val="center"/>
          </w:tcPr>
          <w:p w14:paraId="17AC8B7D">
            <w:pPr>
              <w:spacing w:line="400" w:lineRule="exact"/>
              <w:rPr>
                <w:rFonts w:hint="eastAsia" w:ascii="宋体" w:hAnsi="宋体" w:eastAsia="宋体" w:cs="宋体"/>
                <w:color w:val="auto"/>
                <w:sz w:val="24"/>
                <w:szCs w:val="24"/>
                <w:highlight w:val="none"/>
              </w:rPr>
            </w:pPr>
          </w:p>
        </w:tc>
        <w:tc>
          <w:tcPr>
            <w:tcW w:w="690" w:type="pct"/>
            <w:tcBorders>
              <w:left w:val="single" w:color="auto" w:sz="4" w:space="0"/>
              <w:right w:val="single" w:color="auto" w:sz="4" w:space="0"/>
            </w:tcBorders>
            <w:vAlign w:val="center"/>
          </w:tcPr>
          <w:p w14:paraId="6463FD48">
            <w:pPr>
              <w:spacing w:line="400" w:lineRule="exact"/>
              <w:rPr>
                <w:rFonts w:hint="eastAsia" w:ascii="宋体" w:hAnsi="宋体" w:eastAsia="宋体" w:cs="宋体"/>
                <w:color w:val="auto"/>
                <w:sz w:val="24"/>
                <w:szCs w:val="24"/>
                <w:highlight w:val="none"/>
              </w:rPr>
            </w:pPr>
          </w:p>
        </w:tc>
        <w:tc>
          <w:tcPr>
            <w:tcW w:w="701" w:type="pct"/>
            <w:tcBorders>
              <w:left w:val="single" w:color="auto" w:sz="4" w:space="0"/>
              <w:right w:val="single" w:color="auto" w:sz="4" w:space="0"/>
            </w:tcBorders>
            <w:vAlign w:val="center"/>
          </w:tcPr>
          <w:p w14:paraId="3C94A324">
            <w:pPr>
              <w:spacing w:line="400" w:lineRule="exact"/>
              <w:rPr>
                <w:rFonts w:hint="eastAsia" w:ascii="宋体" w:hAnsi="宋体" w:eastAsia="宋体" w:cs="宋体"/>
                <w:color w:val="auto"/>
                <w:sz w:val="24"/>
                <w:szCs w:val="24"/>
                <w:highlight w:val="none"/>
              </w:rPr>
            </w:pPr>
          </w:p>
        </w:tc>
        <w:tc>
          <w:tcPr>
            <w:tcW w:w="688" w:type="pct"/>
            <w:tcBorders>
              <w:left w:val="single" w:color="auto" w:sz="4" w:space="0"/>
              <w:right w:val="single" w:color="auto" w:sz="4" w:space="0"/>
            </w:tcBorders>
            <w:vAlign w:val="center"/>
          </w:tcPr>
          <w:p w14:paraId="4BAA5925">
            <w:pPr>
              <w:spacing w:line="400" w:lineRule="exact"/>
              <w:rPr>
                <w:rFonts w:hint="eastAsia" w:ascii="宋体" w:hAnsi="宋体" w:eastAsia="宋体" w:cs="宋体"/>
                <w:color w:val="auto"/>
                <w:sz w:val="24"/>
                <w:szCs w:val="24"/>
                <w:highlight w:val="none"/>
              </w:rPr>
            </w:pPr>
          </w:p>
        </w:tc>
        <w:tc>
          <w:tcPr>
            <w:tcW w:w="641" w:type="pct"/>
            <w:gridSpan w:val="2"/>
            <w:tcBorders>
              <w:left w:val="single" w:color="auto" w:sz="4" w:space="0"/>
              <w:right w:val="single" w:color="auto" w:sz="4" w:space="0"/>
            </w:tcBorders>
            <w:vAlign w:val="center"/>
          </w:tcPr>
          <w:p w14:paraId="78F88FDD">
            <w:pPr>
              <w:spacing w:line="400" w:lineRule="exact"/>
              <w:rPr>
                <w:rFonts w:hint="eastAsia" w:ascii="宋体" w:hAnsi="宋体" w:eastAsia="宋体" w:cs="宋体"/>
                <w:color w:val="auto"/>
                <w:sz w:val="24"/>
                <w:szCs w:val="24"/>
                <w:highlight w:val="none"/>
              </w:rPr>
            </w:pPr>
          </w:p>
        </w:tc>
      </w:tr>
      <w:tr w14:paraId="31FC64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59D2CD27">
            <w:pPr>
              <w:spacing w:line="400" w:lineRule="exact"/>
              <w:rPr>
                <w:rFonts w:hint="eastAsia" w:ascii="宋体" w:hAnsi="宋体" w:eastAsia="宋体" w:cs="宋体"/>
                <w:color w:val="auto"/>
                <w:sz w:val="24"/>
                <w:szCs w:val="24"/>
                <w:highlight w:val="none"/>
              </w:rPr>
            </w:pPr>
          </w:p>
        </w:tc>
        <w:tc>
          <w:tcPr>
            <w:tcW w:w="570" w:type="pct"/>
            <w:vAlign w:val="center"/>
          </w:tcPr>
          <w:p w14:paraId="31AA19BC">
            <w:pPr>
              <w:spacing w:line="400" w:lineRule="exact"/>
              <w:rPr>
                <w:rFonts w:hint="eastAsia" w:ascii="宋体" w:hAnsi="宋体" w:eastAsia="宋体" w:cs="宋体"/>
                <w:color w:val="auto"/>
                <w:sz w:val="24"/>
                <w:szCs w:val="24"/>
                <w:highlight w:val="none"/>
              </w:rPr>
            </w:pPr>
          </w:p>
        </w:tc>
        <w:tc>
          <w:tcPr>
            <w:tcW w:w="661" w:type="pct"/>
            <w:vAlign w:val="center"/>
          </w:tcPr>
          <w:p w14:paraId="6DFB15DD">
            <w:pPr>
              <w:spacing w:line="400" w:lineRule="exact"/>
              <w:rPr>
                <w:rFonts w:hint="eastAsia" w:ascii="宋体" w:hAnsi="宋体" w:eastAsia="宋体" w:cs="宋体"/>
                <w:color w:val="auto"/>
                <w:sz w:val="24"/>
                <w:szCs w:val="24"/>
                <w:highlight w:val="none"/>
              </w:rPr>
            </w:pPr>
          </w:p>
        </w:tc>
        <w:tc>
          <w:tcPr>
            <w:tcW w:w="684" w:type="pct"/>
            <w:vAlign w:val="center"/>
          </w:tcPr>
          <w:p w14:paraId="78C0E2F9">
            <w:pPr>
              <w:spacing w:line="400" w:lineRule="exact"/>
              <w:rPr>
                <w:rFonts w:hint="eastAsia" w:ascii="宋体" w:hAnsi="宋体" w:eastAsia="宋体" w:cs="宋体"/>
                <w:color w:val="auto"/>
                <w:sz w:val="24"/>
                <w:szCs w:val="24"/>
                <w:highlight w:val="none"/>
              </w:rPr>
            </w:pPr>
          </w:p>
        </w:tc>
        <w:tc>
          <w:tcPr>
            <w:tcW w:w="690" w:type="pct"/>
            <w:vAlign w:val="center"/>
          </w:tcPr>
          <w:p w14:paraId="25DA06F5">
            <w:pPr>
              <w:spacing w:line="400" w:lineRule="exact"/>
              <w:rPr>
                <w:rFonts w:hint="eastAsia" w:ascii="宋体" w:hAnsi="宋体" w:eastAsia="宋体" w:cs="宋体"/>
                <w:color w:val="auto"/>
                <w:sz w:val="24"/>
                <w:szCs w:val="24"/>
                <w:highlight w:val="none"/>
              </w:rPr>
            </w:pPr>
          </w:p>
        </w:tc>
        <w:tc>
          <w:tcPr>
            <w:tcW w:w="701" w:type="pct"/>
            <w:vAlign w:val="center"/>
          </w:tcPr>
          <w:p w14:paraId="0507D17A">
            <w:pPr>
              <w:spacing w:line="400" w:lineRule="exact"/>
              <w:rPr>
                <w:rFonts w:hint="eastAsia" w:ascii="宋体" w:hAnsi="宋体" w:eastAsia="宋体" w:cs="宋体"/>
                <w:color w:val="auto"/>
                <w:sz w:val="24"/>
                <w:szCs w:val="24"/>
                <w:highlight w:val="none"/>
              </w:rPr>
            </w:pPr>
          </w:p>
        </w:tc>
        <w:tc>
          <w:tcPr>
            <w:tcW w:w="688" w:type="pct"/>
            <w:tcBorders>
              <w:right w:val="single" w:color="auto" w:sz="4" w:space="0"/>
            </w:tcBorders>
            <w:vAlign w:val="center"/>
          </w:tcPr>
          <w:p w14:paraId="068125BF">
            <w:pPr>
              <w:spacing w:line="400" w:lineRule="exact"/>
              <w:rPr>
                <w:rFonts w:hint="eastAsia" w:ascii="宋体" w:hAnsi="宋体" w:eastAsia="宋体" w:cs="宋体"/>
                <w:color w:val="auto"/>
                <w:sz w:val="24"/>
                <w:szCs w:val="24"/>
                <w:highlight w:val="none"/>
              </w:rPr>
            </w:pPr>
          </w:p>
        </w:tc>
        <w:tc>
          <w:tcPr>
            <w:tcW w:w="635" w:type="pct"/>
            <w:tcBorders>
              <w:left w:val="single" w:color="auto" w:sz="4" w:space="0"/>
              <w:right w:val="single" w:color="auto" w:sz="4" w:space="0"/>
            </w:tcBorders>
            <w:vAlign w:val="center"/>
          </w:tcPr>
          <w:p w14:paraId="36B4E492">
            <w:pPr>
              <w:spacing w:line="400" w:lineRule="exact"/>
              <w:rPr>
                <w:rFonts w:hint="eastAsia" w:ascii="宋体" w:hAnsi="宋体" w:eastAsia="宋体" w:cs="宋体"/>
                <w:color w:val="auto"/>
                <w:sz w:val="24"/>
                <w:szCs w:val="24"/>
                <w:highlight w:val="none"/>
              </w:rPr>
            </w:pPr>
          </w:p>
        </w:tc>
      </w:tr>
      <w:tr w14:paraId="486476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285E7956">
            <w:pPr>
              <w:spacing w:line="400" w:lineRule="exact"/>
              <w:jc w:val="center"/>
              <w:rPr>
                <w:rFonts w:hint="eastAsia" w:ascii="宋体" w:hAnsi="宋体" w:eastAsia="宋体" w:cs="宋体"/>
                <w:color w:val="auto"/>
                <w:sz w:val="24"/>
                <w:szCs w:val="24"/>
                <w:highlight w:val="none"/>
              </w:rPr>
            </w:pPr>
          </w:p>
        </w:tc>
        <w:tc>
          <w:tcPr>
            <w:tcW w:w="570" w:type="pct"/>
            <w:vAlign w:val="center"/>
          </w:tcPr>
          <w:p w14:paraId="2F66328B">
            <w:pPr>
              <w:spacing w:line="400" w:lineRule="exact"/>
              <w:jc w:val="center"/>
              <w:rPr>
                <w:rFonts w:hint="eastAsia" w:ascii="宋体" w:hAnsi="宋体" w:eastAsia="宋体" w:cs="宋体"/>
                <w:color w:val="auto"/>
                <w:sz w:val="24"/>
                <w:szCs w:val="24"/>
                <w:highlight w:val="none"/>
              </w:rPr>
            </w:pPr>
          </w:p>
        </w:tc>
        <w:tc>
          <w:tcPr>
            <w:tcW w:w="661" w:type="pct"/>
            <w:vAlign w:val="center"/>
          </w:tcPr>
          <w:p w14:paraId="57A2657E">
            <w:pPr>
              <w:spacing w:line="400" w:lineRule="exact"/>
              <w:jc w:val="center"/>
              <w:rPr>
                <w:rFonts w:hint="eastAsia" w:ascii="宋体" w:hAnsi="宋体" w:eastAsia="宋体" w:cs="宋体"/>
                <w:color w:val="auto"/>
                <w:sz w:val="24"/>
                <w:szCs w:val="24"/>
                <w:highlight w:val="none"/>
              </w:rPr>
            </w:pPr>
          </w:p>
        </w:tc>
        <w:tc>
          <w:tcPr>
            <w:tcW w:w="684" w:type="pct"/>
            <w:vAlign w:val="center"/>
          </w:tcPr>
          <w:p w14:paraId="4BDDCFDD">
            <w:pPr>
              <w:spacing w:line="400" w:lineRule="exact"/>
              <w:jc w:val="center"/>
              <w:rPr>
                <w:rFonts w:hint="eastAsia" w:ascii="宋体" w:hAnsi="宋体" w:eastAsia="宋体" w:cs="宋体"/>
                <w:color w:val="auto"/>
                <w:sz w:val="24"/>
                <w:szCs w:val="24"/>
                <w:highlight w:val="none"/>
              </w:rPr>
            </w:pPr>
          </w:p>
        </w:tc>
        <w:tc>
          <w:tcPr>
            <w:tcW w:w="690" w:type="pct"/>
            <w:vAlign w:val="center"/>
          </w:tcPr>
          <w:p w14:paraId="214C84FF">
            <w:pPr>
              <w:spacing w:line="400" w:lineRule="exact"/>
              <w:jc w:val="center"/>
              <w:rPr>
                <w:rFonts w:hint="eastAsia" w:ascii="宋体" w:hAnsi="宋体" w:eastAsia="宋体" w:cs="宋体"/>
                <w:color w:val="auto"/>
                <w:sz w:val="24"/>
                <w:szCs w:val="24"/>
                <w:highlight w:val="none"/>
              </w:rPr>
            </w:pPr>
          </w:p>
        </w:tc>
        <w:tc>
          <w:tcPr>
            <w:tcW w:w="701" w:type="pct"/>
            <w:vAlign w:val="center"/>
          </w:tcPr>
          <w:p w14:paraId="2CA730DB">
            <w:pPr>
              <w:spacing w:line="400" w:lineRule="exact"/>
              <w:jc w:val="center"/>
              <w:rPr>
                <w:rFonts w:hint="eastAsia" w:ascii="宋体" w:hAnsi="宋体" w:eastAsia="宋体" w:cs="宋体"/>
                <w:color w:val="auto"/>
                <w:sz w:val="24"/>
                <w:szCs w:val="24"/>
                <w:highlight w:val="none"/>
              </w:rPr>
            </w:pPr>
          </w:p>
        </w:tc>
        <w:tc>
          <w:tcPr>
            <w:tcW w:w="688" w:type="pct"/>
            <w:tcBorders>
              <w:right w:val="single" w:color="auto" w:sz="4" w:space="0"/>
            </w:tcBorders>
            <w:vAlign w:val="center"/>
          </w:tcPr>
          <w:p w14:paraId="2B9E6914">
            <w:pPr>
              <w:spacing w:line="400" w:lineRule="exact"/>
              <w:jc w:val="center"/>
              <w:rPr>
                <w:rFonts w:hint="eastAsia" w:ascii="宋体" w:hAnsi="宋体" w:eastAsia="宋体" w:cs="宋体"/>
                <w:color w:val="auto"/>
                <w:sz w:val="24"/>
                <w:szCs w:val="24"/>
                <w:highlight w:val="none"/>
              </w:rPr>
            </w:pPr>
          </w:p>
        </w:tc>
        <w:tc>
          <w:tcPr>
            <w:tcW w:w="635" w:type="pct"/>
            <w:tcBorders>
              <w:left w:val="single" w:color="auto" w:sz="4" w:space="0"/>
              <w:right w:val="single" w:color="auto" w:sz="4" w:space="0"/>
            </w:tcBorders>
            <w:vAlign w:val="center"/>
          </w:tcPr>
          <w:p w14:paraId="51C59B29">
            <w:pPr>
              <w:spacing w:line="400" w:lineRule="exact"/>
              <w:jc w:val="center"/>
              <w:rPr>
                <w:rFonts w:hint="eastAsia" w:ascii="宋体" w:hAnsi="宋体" w:eastAsia="宋体" w:cs="宋体"/>
                <w:color w:val="auto"/>
                <w:sz w:val="24"/>
                <w:szCs w:val="24"/>
                <w:highlight w:val="none"/>
              </w:rPr>
            </w:pPr>
          </w:p>
        </w:tc>
      </w:tr>
      <w:tr w14:paraId="6C8E54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14:paraId="1095AA25">
            <w:pPr>
              <w:spacing w:line="400" w:lineRule="exact"/>
              <w:jc w:val="center"/>
              <w:rPr>
                <w:rFonts w:hint="eastAsia" w:ascii="宋体" w:hAnsi="宋体" w:eastAsia="宋体" w:cs="宋体"/>
                <w:color w:val="auto"/>
                <w:sz w:val="24"/>
                <w:szCs w:val="24"/>
                <w:highlight w:val="none"/>
              </w:rPr>
            </w:pPr>
          </w:p>
        </w:tc>
        <w:tc>
          <w:tcPr>
            <w:tcW w:w="570" w:type="pct"/>
            <w:vAlign w:val="center"/>
          </w:tcPr>
          <w:p w14:paraId="63DFA258">
            <w:pPr>
              <w:spacing w:line="400" w:lineRule="exact"/>
              <w:jc w:val="center"/>
              <w:rPr>
                <w:rFonts w:hint="eastAsia" w:ascii="宋体" w:hAnsi="宋体" w:eastAsia="宋体" w:cs="宋体"/>
                <w:color w:val="auto"/>
                <w:sz w:val="24"/>
                <w:szCs w:val="24"/>
                <w:highlight w:val="none"/>
              </w:rPr>
            </w:pPr>
          </w:p>
        </w:tc>
        <w:tc>
          <w:tcPr>
            <w:tcW w:w="661" w:type="pct"/>
            <w:vAlign w:val="center"/>
          </w:tcPr>
          <w:p w14:paraId="34111A6E">
            <w:pPr>
              <w:spacing w:line="400" w:lineRule="exact"/>
              <w:jc w:val="center"/>
              <w:rPr>
                <w:rFonts w:hint="eastAsia" w:ascii="宋体" w:hAnsi="宋体" w:eastAsia="宋体" w:cs="宋体"/>
                <w:color w:val="auto"/>
                <w:sz w:val="24"/>
                <w:szCs w:val="24"/>
                <w:highlight w:val="none"/>
              </w:rPr>
            </w:pPr>
          </w:p>
        </w:tc>
        <w:tc>
          <w:tcPr>
            <w:tcW w:w="684" w:type="pct"/>
            <w:vAlign w:val="center"/>
          </w:tcPr>
          <w:p w14:paraId="5500688A">
            <w:pPr>
              <w:spacing w:line="400" w:lineRule="exact"/>
              <w:jc w:val="center"/>
              <w:rPr>
                <w:rFonts w:hint="eastAsia" w:ascii="宋体" w:hAnsi="宋体" w:eastAsia="宋体" w:cs="宋体"/>
                <w:color w:val="auto"/>
                <w:sz w:val="24"/>
                <w:szCs w:val="24"/>
                <w:highlight w:val="none"/>
              </w:rPr>
            </w:pPr>
          </w:p>
        </w:tc>
        <w:tc>
          <w:tcPr>
            <w:tcW w:w="690" w:type="pct"/>
            <w:vAlign w:val="center"/>
          </w:tcPr>
          <w:p w14:paraId="54884101">
            <w:pPr>
              <w:spacing w:line="400" w:lineRule="exact"/>
              <w:jc w:val="center"/>
              <w:rPr>
                <w:rFonts w:hint="eastAsia" w:ascii="宋体" w:hAnsi="宋体" w:eastAsia="宋体" w:cs="宋体"/>
                <w:color w:val="auto"/>
                <w:sz w:val="24"/>
                <w:szCs w:val="24"/>
                <w:highlight w:val="none"/>
              </w:rPr>
            </w:pPr>
          </w:p>
        </w:tc>
        <w:tc>
          <w:tcPr>
            <w:tcW w:w="701" w:type="pct"/>
            <w:vAlign w:val="center"/>
          </w:tcPr>
          <w:p w14:paraId="197AA17D">
            <w:pPr>
              <w:spacing w:line="400" w:lineRule="exact"/>
              <w:jc w:val="center"/>
              <w:rPr>
                <w:rFonts w:hint="eastAsia" w:ascii="宋体" w:hAnsi="宋体" w:eastAsia="宋体" w:cs="宋体"/>
                <w:color w:val="auto"/>
                <w:sz w:val="24"/>
                <w:szCs w:val="24"/>
                <w:highlight w:val="none"/>
              </w:rPr>
            </w:pPr>
          </w:p>
        </w:tc>
        <w:tc>
          <w:tcPr>
            <w:tcW w:w="688" w:type="pct"/>
            <w:tcBorders>
              <w:right w:val="single" w:color="auto" w:sz="4" w:space="0"/>
            </w:tcBorders>
            <w:vAlign w:val="center"/>
          </w:tcPr>
          <w:p w14:paraId="61791CC4">
            <w:pPr>
              <w:spacing w:line="400" w:lineRule="exact"/>
              <w:jc w:val="center"/>
              <w:rPr>
                <w:rFonts w:hint="eastAsia" w:ascii="宋体" w:hAnsi="宋体" w:eastAsia="宋体" w:cs="宋体"/>
                <w:color w:val="auto"/>
                <w:sz w:val="24"/>
                <w:szCs w:val="24"/>
                <w:highlight w:val="none"/>
              </w:rPr>
            </w:pPr>
          </w:p>
        </w:tc>
        <w:tc>
          <w:tcPr>
            <w:tcW w:w="635" w:type="pct"/>
            <w:tcBorders>
              <w:left w:val="single" w:color="auto" w:sz="4" w:space="0"/>
              <w:right w:val="single" w:color="auto" w:sz="4" w:space="0"/>
            </w:tcBorders>
            <w:vAlign w:val="center"/>
          </w:tcPr>
          <w:p w14:paraId="2AAC6ABE">
            <w:pPr>
              <w:spacing w:line="400" w:lineRule="exact"/>
              <w:jc w:val="center"/>
              <w:rPr>
                <w:rFonts w:hint="eastAsia" w:ascii="宋体" w:hAnsi="宋体" w:eastAsia="宋体" w:cs="宋体"/>
                <w:color w:val="auto"/>
                <w:sz w:val="24"/>
                <w:szCs w:val="24"/>
                <w:highlight w:val="none"/>
              </w:rPr>
            </w:pPr>
          </w:p>
        </w:tc>
      </w:tr>
      <w:tr w14:paraId="777174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360" w:type="pct"/>
            <w:tcBorders>
              <w:bottom w:val="single" w:color="auto" w:sz="4" w:space="0"/>
            </w:tcBorders>
            <w:vAlign w:val="center"/>
          </w:tcPr>
          <w:p w14:paraId="35B0B11E">
            <w:pPr>
              <w:spacing w:line="400" w:lineRule="exact"/>
              <w:jc w:val="center"/>
              <w:rPr>
                <w:rFonts w:hint="eastAsia" w:ascii="宋体" w:hAnsi="宋体" w:eastAsia="宋体" w:cs="宋体"/>
                <w:color w:val="auto"/>
                <w:sz w:val="24"/>
                <w:szCs w:val="24"/>
                <w:highlight w:val="none"/>
              </w:rPr>
            </w:pPr>
          </w:p>
        </w:tc>
        <w:tc>
          <w:tcPr>
            <w:tcW w:w="570" w:type="pct"/>
            <w:tcBorders>
              <w:bottom w:val="single" w:color="auto" w:sz="4" w:space="0"/>
            </w:tcBorders>
            <w:vAlign w:val="center"/>
          </w:tcPr>
          <w:p w14:paraId="368BE061">
            <w:pPr>
              <w:spacing w:line="400" w:lineRule="exact"/>
              <w:jc w:val="center"/>
              <w:rPr>
                <w:rFonts w:hint="eastAsia" w:ascii="宋体" w:hAnsi="宋体" w:eastAsia="宋体" w:cs="宋体"/>
                <w:color w:val="auto"/>
                <w:sz w:val="24"/>
                <w:szCs w:val="24"/>
                <w:highlight w:val="none"/>
              </w:rPr>
            </w:pPr>
          </w:p>
        </w:tc>
        <w:tc>
          <w:tcPr>
            <w:tcW w:w="661" w:type="pct"/>
            <w:tcBorders>
              <w:bottom w:val="single" w:color="auto" w:sz="4" w:space="0"/>
            </w:tcBorders>
            <w:vAlign w:val="center"/>
          </w:tcPr>
          <w:p w14:paraId="790987BE">
            <w:pPr>
              <w:spacing w:line="400" w:lineRule="exact"/>
              <w:jc w:val="center"/>
              <w:rPr>
                <w:rFonts w:hint="eastAsia" w:ascii="宋体" w:hAnsi="宋体" w:eastAsia="宋体" w:cs="宋体"/>
                <w:color w:val="auto"/>
                <w:sz w:val="24"/>
                <w:szCs w:val="24"/>
                <w:highlight w:val="none"/>
              </w:rPr>
            </w:pPr>
          </w:p>
        </w:tc>
        <w:tc>
          <w:tcPr>
            <w:tcW w:w="684" w:type="pct"/>
            <w:tcBorders>
              <w:bottom w:val="single" w:color="auto" w:sz="4" w:space="0"/>
            </w:tcBorders>
            <w:vAlign w:val="center"/>
          </w:tcPr>
          <w:p w14:paraId="32095BB7">
            <w:pPr>
              <w:spacing w:line="400" w:lineRule="exact"/>
              <w:jc w:val="center"/>
              <w:rPr>
                <w:rFonts w:hint="eastAsia" w:ascii="宋体" w:hAnsi="宋体" w:eastAsia="宋体" w:cs="宋体"/>
                <w:color w:val="auto"/>
                <w:sz w:val="24"/>
                <w:szCs w:val="24"/>
                <w:highlight w:val="none"/>
              </w:rPr>
            </w:pPr>
          </w:p>
        </w:tc>
        <w:tc>
          <w:tcPr>
            <w:tcW w:w="690" w:type="pct"/>
            <w:tcBorders>
              <w:bottom w:val="single" w:color="auto" w:sz="4" w:space="0"/>
            </w:tcBorders>
            <w:vAlign w:val="center"/>
          </w:tcPr>
          <w:p w14:paraId="35105D2B">
            <w:pPr>
              <w:spacing w:line="400" w:lineRule="exact"/>
              <w:jc w:val="center"/>
              <w:rPr>
                <w:rFonts w:hint="eastAsia" w:ascii="宋体" w:hAnsi="宋体" w:eastAsia="宋体" w:cs="宋体"/>
                <w:color w:val="auto"/>
                <w:sz w:val="24"/>
                <w:szCs w:val="24"/>
                <w:highlight w:val="none"/>
              </w:rPr>
            </w:pPr>
          </w:p>
        </w:tc>
        <w:tc>
          <w:tcPr>
            <w:tcW w:w="701" w:type="pct"/>
            <w:tcBorders>
              <w:bottom w:val="single" w:color="auto" w:sz="4" w:space="0"/>
            </w:tcBorders>
            <w:vAlign w:val="center"/>
          </w:tcPr>
          <w:p w14:paraId="0697748C">
            <w:pPr>
              <w:spacing w:line="400" w:lineRule="exact"/>
              <w:jc w:val="center"/>
              <w:rPr>
                <w:rFonts w:hint="eastAsia" w:ascii="宋体" w:hAnsi="宋体" w:eastAsia="宋体" w:cs="宋体"/>
                <w:color w:val="auto"/>
                <w:sz w:val="24"/>
                <w:szCs w:val="24"/>
                <w:highlight w:val="none"/>
              </w:rPr>
            </w:pPr>
          </w:p>
        </w:tc>
        <w:tc>
          <w:tcPr>
            <w:tcW w:w="688" w:type="pct"/>
            <w:tcBorders>
              <w:bottom w:val="single" w:color="auto" w:sz="4" w:space="0"/>
              <w:right w:val="single" w:color="auto" w:sz="4" w:space="0"/>
            </w:tcBorders>
            <w:vAlign w:val="center"/>
          </w:tcPr>
          <w:p w14:paraId="28A403D2">
            <w:pPr>
              <w:spacing w:line="400" w:lineRule="exact"/>
              <w:jc w:val="center"/>
              <w:rPr>
                <w:rFonts w:hint="eastAsia" w:ascii="宋体" w:hAnsi="宋体" w:eastAsia="宋体" w:cs="宋体"/>
                <w:color w:val="auto"/>
                <w:sz w:val="24"/>
                <w:szCs w:val="24"/>
                <w:highlight w:val="none"/>
              </w:rPr>
            </w:pPr>
          </w:p>
        </w:tc>
        <w:tc>
          <w:tcPr>
            <w:tcW w:w="635" w:type="pct"/>
            <w:tcBorders>
              <w:left w:val="single" w:color="auto" w:sz="4" w:space="0"/>
              <w:bottom w:val="single" w:color="auto" w:sz="4" w:space="0"/>
              <w:right w:val="single" w:color="auto" w:sz="4" w:space="0"/>
            </w:tcBorders>
            <w:vAlign w:val="center"/>
          </w:tcPr>
          <w:p w14:paraId="29A2E010">
            <w:pPr>
              <w:spacing w:line="400" w:lineRule="exact"/>
              <w:jc w:val="center"/>
              <w:rPr>
                <w:rFonts w:hint="eastAsia" w:ascii="宋体" w:hAnsi="宋体" w:eastAsia="宋体" w:cs="宋体"/>
                <w:color w:val="auto"/>
                <w:sz w:val="24"/>
                <w:szCs w:val="24"/>
                <w:highlight w:val="none"/>
              </w:rPr>
            </w:pPr>
          </w:p>
        </w:tc>
      </w:tr>
      <w:tr w14:paraId="32B99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14:paraId="14B3A7EF">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bottom w:val="single" w:color="auto" w:sz="4" w:space="0"/>
            </w:tcBorders>
            <w:vAlign w:val="center"/>
          </w:tcPr>
          <w:p w14:paraId="42CF2556">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bottom w:val="single" w:color="auto" w:sz="4" w:space="0"/>
            </w:tcBorders>
            <w:vAlign w:val="center"/>
          </w:tcPr>
          <w:p w14:paraId="5ACEE9A2">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bottom w:val="single" w:color="auto" w:sz="4" w:space="0"/>
            </w:tcBorders>
            <w:vAlign w:val="center"/>
          </w:tcPr>
          <w:p w14:paraId="1129250B">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bottom w:val="single" w:color="auto" w:sz="4" w:space="0"/>
            </w:tcBorders>
            <w:vAlign w:val="center"/>
          </w:tcPr>
          <w:p w14:paraId="042BECFE">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bottom w:val="single" w:color="auto" w:sz="4" w:space="0"/>
            </w:tcBorders>
            <w:vAlign w:val="center"/>
          </w:tcPr>
          <w:p w14:paraId="3AE977D2">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bottom w:val="single" w:color="auto" w:sz="4" w:space="0"/>
              <w:right w:val="single" w:color="auto" w:sz="4" w:space="0"/>
            </w:tcBorders>
            <w:vAlign w:val="center"/>
          </w:tcPr>
          <w:p w14:paraId="4D080EBD">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5D8B1FD9">
            <w:pPr>
              <w:spacing w:line="400" w:lineRule="exact"/>
              <w:jc w:val="center"/>
              <w:rPr>
                <w:rFonts w:hint="eastAsia" w:ascii="宋体" w:hAnsi="宋体" w:eastAsia="宋体" w:cs="宋体"/>
                <w:color w:val="auto"/>
                <w:sz w:val="24"/>
                <w:szCs w:val="24"/>
                <w:highlight w:val="none"/>
              </w:rPr>
            </w:pPr>
          </w:p>
        </w:tc>
      </w:tr>
      <w:tr w14:paraId="25C53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14:paraId="36C9BE92">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bottom w:val="single" w:color="auto" w:sz="4" w:space="0"/>
            </w:tcBorders>
            <w:vAlign w:val="center"/>
          </w:tcPr>
          <w:p w14:paraId="3114E4BB">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bottom w:val="single" w:color="auto" w:sz="4" w:space="0"/>
            </w:tcBorders>
            <w:vAlign w:val="center"/>
          </w:tcPr>
          <w:p w14:paraId="1B1620A5">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bottom w:val="single" w:color="auto" w:sz="4" w:space="0"/>
            </w:tcBorders>
            <w:vAlign w:val="center"/>
          </w:tcPr>
          <w:p w14:paraId="6D926458">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bottom w:val="single" w:color="auto" w:sz="4" w:space="0"/>
            </w:tcBorders>
            <w:vAlign w:val="center"/>
          </w:tcPr>
          <w:p w14:paraId="338D8BDC">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bottom w:val="single" w:color="auto" w:sz="4" w:space="0"/>
            </w:tcBorders>
            <w:vAlign w:val="center"/>
          </w:tcPr>
          <w:p w14:paraId="2D8A7510">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bottom w:val="single" w:color="auto" w:sz="4" w:space="0"/>
              <w:right w:val="single" w:color="auto" w:sz="4" w:space="0"/>
            </w:tcBorders>
            <w:vAlign w:val="center"/>
          </w:tcPr>
          <w:p w14:paraId="041FB731">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0097DEB5">
            <w:pPr>
              <w:spacing w:line="400" w:lineRule="exact"/>
              <w:jc w:val="center"/>
              <w:rPr>
                <w:rFonts w:hint="eastAsia" w:ascii="宋体" w:hAnsi="宋体" w:eastAsia="宋体" w:cs="宋体"/>
                <w:color w:val="auto"/>
                <w:sz w:val="24"/>
                <w:szCs w:val="24"/>
                <w:highlight w:val="none"/>
              </w:rPr>
            </w:pPr>
          </w:p>
        </w:tc>
      </w:tr>
      <w:tr w14:paraId="0B96D3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360" w:type="pct"/>
            <w:tcBorders>
              <w:top w:val="single" w:color="auto" w:sz="4" w:space="0"/>
              <w:bottom w:val="single" w:color="auto" w:sz="4" w:space="0"/>
            </w:tcBorders>
            <w:vAlign w:val="center"/>
          </w:tcPr>
          <w:p w14:paraId="20DDB89B">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bottom w:val="single" w:color="auto" w:sz="4" w:space="0"/>
            </w:tcBorders>
            <w:vAlign w:val="center"/>
          </w:tcPr>
          <w:p w14:paraId="7BE777BD">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bottom w:val="single" w:color="auto" w:sz="4" w:space="0"/>
            </w:tcBorders>
            <w:vAlign w:val="center"/>
          </w:tcPr>
          <w:p w14:paraId="19AE2C7B">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bottom w:val="single" w:color="auto" w:sz="4" w:space="0"/>
            </w:tcBorders>
            <w:vAlign w:val="center"/>
          </w:tcPr>
          <w:p w14:paraId="2D688F69">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bottom w:val="single" w:color="auto" w:sz="4" w:space="0"/>
            </w:tcBorders>
            <w:vAlign w:val="center"/>
          </w:tcPr>
          <w:p w14:paraId="6CA4084B">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bottom w:val="single" w:color="auto" w:sz="4" w:space="0"/>
            </w:tcBorders>
            <w:vAlign w:val="center"/>
          </w:tcPr>
          <w:p w14:paraId="047846CC">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bottom w:val="single" w:color="auto" w:sz="4" w:space="0"/>
              <w:right w:val="single" w:color="auto" w:sz="4" w:space="0"/>
            </w:tcBorders>
            <w:vAlign w:val="center"/>
          </w:tcPr>
          <w:p w14:paraId="50592A91">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7719144C">
            <w:pPr>
              <w:spacing w:line="400" w:lineRule="exact"/>
              <w:jc w:val="center"/>
              <w:rPr>
                <w:rFonts w:hint="eastAsia" w:ascii="宋体" w:hAnsi="宋体" w:eastAsia="宋体" w:cs="宋体"/>
                <w:color w:val="auto"/>
                <w:sz w:val="24"/>
                <w:szCs w:val="24"/>
                <w:highlight w:val="none"/>
              </w:rPr>
            </w:pPr>
          </w:p>
        </w:tc>
      </w:tr>
      <w:tr w14:paraId="1E7B8D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360" w:type="pct"/>
            <w:tcBorders>
              <w:top w:val="single" w:color="auto" w:sz="4" w:space="0"/>
            </w:tcBorders>
            <w:vAlign w:val="center"/>
          </w:tcPr>
          <w:p w14:paraId="3643A5D8">
            <w:pPr>
              <w:spacing w:line="400" w:lineRule="exact"/>
              <w:jc w:val="center"/>
              <w:rPr>
                <w:rFonts w:hint="eastAsia" w:ascii="宋体" w:hAnsi="宋体" w:eastAsia="宋体" w:cs="宋体"/>
                <w:color w:val="auto"/>
                <w:sz w:val="24"/>
                <w:szCs w:val="24"/>
                <w:highlight w:val="none"/>
              </w:rPr>
            </w:pPr>
          </w:p>
        </w:tc>
        <w:tc>
          <w:tcPr>
            <w:tcW w:w="570" w:type="pct"/>
            <w:tcBorders>
              <w:top w:val="single" w:color="auto" w:sz="4" w:space="0"/>
            </w:tcBorders>
            <w:vAlign w:val="center"/>
          </w:tcPr>
          <w:p w14:paraId="5B5D8BE7">
            <w:pPr>
              <w:spacing w:line="400" w:lineRule="exact"/>
              <w:jc w:val="center"/>
              <w:rPr>
                <w:rFonts w:hint="eastAsia" w:ascii="宋体" w:hAnsi="宋体" w:eastAsia="宋体" w:cs="宋体"/>
                <w:color w:val="auto"/>
                <w:sz w:val="24"/>
                <w:szCs w:val="24"/>
                <w:highlight w:val="none"/>
              </w:rPr>
            </w:pPr>
          </w:p>
        </w:tc>
        <w:tc>
          <w:tcPr>
            <w:tcW w:w="661" w:type="pct"/>
            <w:tcBorders>
              <w:top w:val="single" w:color="auto" w:sz="4" w:space="0"/>
            </w:tcBorders>
            <w:vAlign w:val="center"/>
          </w:tcPr>
          <w:p w14:paraId="035FCD59">
            <w:pPr>
              <w:spacing w:line="400" w:lineRule="exact"/>
              <w:jc w:val="center"/>
              <w:rPr>
                <w:rFonts w:hint="eastAsia" w:ascii="宋体" w:hAnsi="宋体" w:eastAsia="宋体" w:cs="宋体"/>
                <w:color w:val="auto"/>
                <w:sz w:val="24"/>
                <w:szCs w:val="24"/>
                <w:highlight w:val="none"/>
              </w:rPr>
            </w:pPr>
          </w:p>
        </w:tc>
        <w:tc>
          <w:tcPr>
            <w:tcW w:w="684" w:type="pct"/>
            <w:tcBorders>
              <w:top w:val="single" w:color="auto" w:sz="4" w:space="0"/>
            </w:tcBorders>
            <w:vAlign w:val="center"/>
          </w:tcPr>
          <w:p w14:paraId="0708620F">
            <w:pPr>
              <w:spacing w:line="400" w:lineRule="exact"/>
              <w:jc w:val="center"/>
              <w:rPr>
                <w:rFonts w:hint="eastAsia" w:ascii="宋体" w:hAnsi="宋体" w:eastAsia="宋体" w:cs="宋体"/>
                <w:color w:val="auto"/>
                <w:sz w:val="24"/>
                <w:szCs w:val="24"/>
                <w:highlight w:val="none"/>
              </w:rPr>
            </w:pPr>
          </w:p>
        </w:tc>
        <w:tc>
          <w:tcPr>
            <w:tcW w:w="690" w:type="pct"/>
            <w:tcBorders>
              <w:top w:val="single" w:color="auto" w:sz="4" w:space="0"/>
            </w:tcBorders>
            <w:vAlign w:val="center"/>
          </w:tcPr>
          <w:p w14:paraId="35369014">
            <w:pPr>
              <w:spacing w:line="400" w:lineRule="exact"/>
              <w:jc w:val="center"/>
              <w:rPr>
                <w:rFonts w:hint="eastAsia" w:ascii="宋体" w:hAnsi="宋体" w:eastAsia="宋体" w:cs="宋体"/>
                <w:color w:val="auto"/>
                <w:sz w:val="24"/>
                <w:szCs w:val="24"/>
                <w:highlight w:val="none"/>
              </w:rPr>
            </w:pPr>
          </w:p>
        </w:tc>
        <w:tc>
          <w:tcPr>
            <w:tcW w:w="701" w:type="pct"/>
            <w:tcBorders>
              <w:top w:val="single" w:color="auto" w:sz="4" w:space="0"/>
            </w:tcBorders>
            <w:vAlign w:val="center"/>
          </w:tcPr>
          <w:p w14:paraId="5843871B">
            <w:pPr>
              <w:spacing w:line="400" w:lineRule="exact"/>
              <w:jc w:val="center"/>
              <w:rPr>
                <w:rFonts w:hint="eastAsia" w:ascii="宋体" w:hAnsi="宋体" w:eastAsia="宋体" w:cs="宋体"/>
                <w:color w:val="auto"/>
                <w:sz w:val="24"/>
                <w:szCs w:val="24"/>
                <w:highlight w:val="none"/>
              </w:rPr>
            </w:pPr>
          </w:p>
        </w:tc>
        <w:tc>
          <w:tcPr>
            <w:tcW w:w="688" w:type="pct"/>
            <w:tcBorders>
              <w:top w:val="single" w:color="auto" w:sz="4" w:space="0"/>
              <w:right w:val="single" w:color="auto" w:sz="4" w:space="0"/>
            </w:tcBorders>
            <w:vAlign w:val="center"/>
          </w:tcPr>
          <w:p w14:paraId="26E655F4">
            <w:pPr>
              <w:spacing w:line="400" w:lineRule="exact"/>
              <w:jc w:val="center"/>
              <w:rPr>
                <w:rFonts w:hint="eastAsia" w:ascii="宋体" w:hAnsi="宋体" w:eastAsia="宋体" w:cs="宋体"/>
                <w:color w:val="auto"/>
                <w:sz w:val="24"/>
                <w:szCs w:val="24"/>
                <w:highlight w:val="none"/>
              </w:rPr>
            </w:pPr>
          </w:p>
        </w:tc>
        <w:tc>
          <w:tcPr>
            <w:tcW w:w="635" w:type="pct"/>
            <w:tcBorders>
              <w:top w:val="single" w:color="auto" w:sz="4" w:space="0"/>
              <w:left w:val="single" w:color="auto" w:sz="4" w:space="0"/>
              <w:right w:val="single" w:color="auto" w:sz="4" w:space="0"/>
            </w:tcBorders>
            <w:vAlign w:val="center"/>
          </w:tcPr>
          <w:p w14:paraId="7657B2EF">
            <w:pPr>
              <w:spacing w:line="400" w:lineRule="exact"/>
              <w:jc w:val="center"/>
              <w:rPr>
                <w:rFonts w:hint="eastAsia" w:ascii="宋体" w:hAnsi="宋体" w:eastAsia="宋体" w:cs="宋体"/>
                <w:color w:val="auto"/>
                <w:sz w:val="24"/>
                <w:szCs w:val="24"/>
                <w:highlight w:val="none"/>
              </w:rPr>
            </w:pPr>
          </w:p>
        </w:tc>
      </w:tr>
    </w:tbl>
    <w:p w14:paraId="14FD574C">
      <w:pPr>
        <w:spacing w:line="360" w:lineRule="auto"/>
        <w:jc w:val="left"/>
        <w:rPr>
          <w:rFonts w:hint="eastAsia" w:ascii="宋体" w:hAnsi="宋体" w:eastAsia="宋体" w:cs="宋体"/>
          <w:bCs/>
          <w:color w:val="auto"/>
          <w:sz w:val="24"/>
          <w:szCs w:val="24"/>
          <w:highlight w:val="none"/>
        </w:rPr>
      </w:pPr>
    </w:p>
    <w:p w14:paraId="15F240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C5953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1.本表后附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近三年完成的类似业绩</w:t>
      </w:r>
      <w:r>
        <w:rPr>
          <w:rFonts w:hint="eastAsia" w:ascii="宋体" w:hAnsi="宋体" w:eastAsia="宋体" w:cs="宋体"/>
          <w:bCs/>
          <w:color w:val="auto"/>
          <w:sz w:val="24"/>
          <w:szCs w:val="24"/>
          <w:highlight w:val="none"/>
        </w:rPr>
        <w:t>，</w:t>
      </w:r>
      <w:r>
        <w:rPr>
          <w:rFonts w:hint="eastAsia" w:ascii="宋体" w:hAnsi="宋体" w:cs="宋体"/>
          <w:color w:val="auto"/>
          <w:sz w:val="24"/>
          <w:szCs w:val="24"/>
          <w:highlight w:val="none"/>
        </w:rPr>
        <w:t>须提供服务合同（至少包括合同首页、签字盖章页、服务内容页）彩色扫描件等证明材料</w:t>
      </w:r>
      <w:r>
        <w:rPr>
          <w:rFonts w:hint="eastAsia" w:ascii="宋体" w:hAnsi="宋体" w:eastAsia="宋体" w:cs="宋体"/>
          <w:color w:val="auto"/>
          <w:sz w:val="24"/>
          <w:szCs w:val="24"/>
          <w:highlight w:val="none"/>
        </w:rPr>
        <w:t>；</w:t>
      </w:r>
    </w:p>
    <w:p w14:paraId="7A785D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2.具体年份要求：202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年01月01日-</w:t>
      </w:r>
      <w:r>
        <w:rPr>
          <w:rFonts w:hint="eastAsia" w:ascii="宋体" w:hAnsi="宋体" w:eastAsia="宋体" w:cs="宋体"/>
          <w:color w:val="auto"/>
          <w:sz w:val="24"/>
          <w:szCs w:val="24"/>
          <w:highlight w:val="none"/>
          <w:lang w:val="en-US" w:eastAsia="zh-CN"/>
        </w:rPr>
        <w:t>投标文件</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lang w:val="en-US" w:eastAsia="zh-CN"/>
        </w:rPr>
        <w:t>截止时间前</w:t>
      </w:r>
      <w:r>
        <w:rPr>
          <w:rFonts w:hint="eastAsia" w:ascii="宋体" w:hAnsi="宋体" w:eastAsia="宋体" w:cs="宋体"/>
          <w:color w:val="auto"/>
          <w:sz w:val="24"/>
          <w:szCs w:val="24"/>
          <w:highlight w:val="none"/>
        </w:rPr>
        <w:t>，业绩认定日期以</w:t>
      </w:r>
      <w:r>
        <w:rPr>
          <w:rFonts w:hint="eastAsia" w:ascii="宋体" w:hAnsi="宋体" w:eastAsia="宋体" w:cs="宋体"/>
          <w:color w:val="auto"/>
          <w:sz w:val="24"/>
          <w:szCs w:val="24"/>
          <w:highlight w:val="none"/>
          <w:lang w:val="en-US" w:eastAsia="zh-CN"/>
        </w:rPr>
        <w:t>合同签订日期</w:t>
      </w:r>
      <w:r>
        <w:rPr>
          <w:rFonts w:hint="eastAsia" w:ascii="宋体" w:hAnsi="宋体" w:eastAsia="宋体" w:cs="宋体"/>
          <w:color w:val="auto"/>
          <w:sz w:val="24"/>
          <w:szCs w:val="24"/>
          <w:highlight w:val="none"/>
        </w:rPr>
        <w:t>为准。</w:t>
      </w:r>
    </w:p>
    <w:p w14:paraId="1DD9C87E">
      <w:pPr>
        <w:spacing w:line="400" w:lineRule="exact"/>
        <w:ind w:left="360"/>
        <w:jc w:val="center"/>
        <w:rPr>
          <w:rFonts w:hint="eastAsia" w:ascii="宋体" w:hAnsi="宋体" w:eastAsia="宋体" w:cs="宋体"/>
          <w:color w:val="auto"/>
          <w:sz w:val="24"/>
          <w:szCs w:val="24"/>
          <w:highlight w:val="none"/>
        </w:rPr>
      </w:pPr>
    </w:p>
    <w:p w14:paraId="5D413787">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         </w:t>
      </w:r>
    </w:p>
    <w:p w14:paraId="7193B12A">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授权人或被授权人（签字或盖章）</w:t>
      </w:r>
      <w:r>
        <w:rPr>
          <w:rFonts w:hint="eastAsia" w:ascii="宋体" w:hAnsi="宋体" w:eastAsia="宋体" w:cs="宋体"/>
          <w:bCs/>
          <w:color w:val="auto"/>
          <w:sz w:val="24"/>
          <w:szCs w:val="24"/>
          <w:highlight w:val="none"/>
        </w:rPr>
        <w:t>：</w:t>
      </w:r>
    </w:p>
    <w:p w14:paraId="5C537E7D">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A2A2FA8">
      <w:pPr>
        <w:pStyle w:val="3"/>
        <w:numPr>
          <w:ilvl w:val="0"/>
          <w:numId w:val="0"/>
        </w:numPr>
        <w:spacing w:before="156" w:after="156" w:line="400" w:lineRule="exact"/>
        <w:jc w:val="center"/>
        <w:rPr>
          <w:rFonts w:hint="eastAsia" w:ascii="宋体" w:hAnsi="宋体" w:eastAsia="宋体" w:cs="宋体"/>
          <w:color w:val="auto"/>
          <w:sz w:val="24"/>
          <w:szCs w:val="24"/>
          <w:highlight w:val="none"/>
          <w:lang w:eastAsia="zh-CN"/>
        </w:rPr>
      </w:pPr>
      <w:bookmarkStart w:id="141" w:name="_Toc217446090"/>
      <w:bookmarkStart w:id="142" w:name="_Toc217446091"/>
      <w:r>
        <w:rPr>
          <w:rFonts w:hint="eastAsia" w:ascii="宋体" w:hAnsi="宋体" w:eastAsia="宋体" w:cs="宋体"/>
          <w:bCs w:val="0"/>
          <w:color w:val="auto"/>
          <w:kern w:val="0"/>
          <w:sz w:val="24"/>
          <w:szCs w:val="24"/>
          <w:highlight w:val="none"/>
        </w:rPr>
        <w:br w:type="page"/>
      </w:r>
      <w:bookmarkEnd w:id="141"/>
      <w:r>
        <w:rPr>
          <w:rFonts w:hint="eastAsia" w:ascii="宋体" w:hAnsi="宋体" w:eastAsia="宋体" w:cs="宋体"/>
          <w:bCs w:val="0"/>
          <w:color w:val="auto"/>
          <w:kern w:val="0"/>
          <w:sz w:val="24"/>
          <w:szCs w:val="24"/>
          <w:highlight w:val="none"/>
          <w:lang w:val="en-US" w:eastAsia="zh-CN"/>
        </w:rPr>
        <w:t>五、</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项目服务需求偏离表</w:t>
      </w:r>
    </w:p>
    <w:p w14:paraId="1399D230">
      <w:pPr>
        <w:numPr>
          <w:ilvl w:val="0"/>
          <w:numId w:val="0"/>
        </w:numPr>
        <w:jc w:val="center"/>
        <w:rPr>
          <w:rFonts w:hint="eastAsia" w:ascii="宋体" w:hAnsi="宋体" w:eastAsia="宋体" w:cs="宋体"/>
          <w:b/>
          <w:bCs/>
          <w:color w:val="auto"/>
          <w:sz w:val="24"/>
          <w:szCs w:val="24"/>
          <w:highlight w:val="none"/>
        </w:rPr>
      </w:pPr>
    </w:p>
    <w:bookmarkEnd w:id="142"/>
    <w:p w14:paraId="3B8E12B5">
      <w:pPr>
        <w:numPr>
          <w:ilvl w:val="0"/>
          <w:numId w:val="0"/>
        </w:num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商务</w:t>
      </w:r>
      <w:r>
        <w:rPr>
          <w:rFonts w:hint="eastAsia" w:ascii="宋体" w:hAnsi="宋体" w:eastAsia="宋体" w:cs="宋体"/>
          <w:b/>
          <w:bCs/>
          <w:color w:val="auto"/>
          <w:sz w:val="24"/>
          <w:szCs w:val="24"/>
          <w:highlight w:val="none"/>
          <w:lang w:val="en-US" w:eastAsia="zh-CN"/>
        </w:rPr>
        <w:t>条款偏离表</w:t>
      </w:r>
    </w:p>
    <w:p w14:paraId="1F6D7A60">
      <w:pPr>
        <w:rPr>
          <w:rFonts w:hint="eastAsia" w:ascii="宋体" w:hAnsi="宋体" w:eastAsia="宋体" w:cs="宋体"/>
          <w:b w:val="0"/>
          <w:bCs/>
          <w:color w:val="auto"/>
          <w:sz w:val="24"/>
          <w:szCs w:val="24"/>
          <w:highlight w:val="none"/>
          <w:lang w:val="en-US" w:eastAsia="zh-CN"/>
        </w:rPr>
      </w:pPr>
    </w:p>
    <w:tbl>
      <w:tblPr>
        <w:tblStyle w:val="30"/>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3716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noWrap w:val="0"/>
            <w:vAlign w:val="center"/>
          </w:tcPr>
          <w:p w14:paraId="31795F60">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noWrap w:val="0"/>
            <w:vAlign w:val="center"/>
          </w:tcPr>
          <w:p w14:paraId="04D0DD0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noWrap w:val="0"/>
            <w:vAlign w:val="center"/>
          </w:tcPr>
          <w:p w14:paraId="06E49AD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0C4490E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noWrap w:val="0"/>
            <w:vAlign w:val="center"/>
          </w:tcPr>
          <w:p w14:paraId="7F9BEC9B">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224F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4147891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noWrap w:val="0"/>
            <w:vAlign w:val="center"/>
          </w:tcPr>
          <w:p w14:paraId="635EBDE9">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、合格的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008" w:type="dxa"/>
            <w:noWrap w:val="0"/>
            <w:vAlign w:val="center"/>
          </w:tcPr>
          <w:p w14:paraId="04A85CA1">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noWrap w:val="0"/>
            <w:vAlign w:val="center"/>
          </w:tcPr>
          <w:p w14:paraId="5CCAB5E6">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19A6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6610FB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noWrap w:val="0"/>
            <w:vAlign w:val="center"/>
          </w:tcPr>
          <w:p w14:paraId="1AFBF1C9">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的各项须知、规约要求和责任义务；</w:t>
            </w:r>
          </w:p>
        </w:tc>
        <w:tc>
          <w:tcPr>
            <w:tcW w:w="1008" w:type="dxa"/>
            <w:noWrap w:val="0"/>
            <w:vAlign w:val="center"/>
          </w:tcPr>
          <w:p w14:paraId="7002F73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781B03E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2D06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6F926B7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noWrap w:val="0"/>
            <w:vAlign w:val="center"/>
          </w:tcPr>
          <w:p w14:paraId="1A394402">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noWrap w:val="0"/>
            <w:vAlign w:val="center"/>
          </w:tcPr>
          <w:p w14:paraId="131121B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173B8C07">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11FE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A27015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noWrap w:val="0"/>
            <w:vAlign w:val="center"/>
          </w:tcPr>
          <w:p w14:paraId="193C7F3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noWrap w:val="0"/>
            <w:vAlign w:val="center"/>
          </w:tcPr>
          <w:p w14:paraId="3B1F998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14C7F25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1C65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noWrap w:val="0"/>
            <w:vAlign w:val="center"/>
          </w:tcPr>
          <w:p w14:paraId="5C8C250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noWrap w:val="0"/>
            <w:vAlign w:val="center"/>
          </w:tcPr>
          <w:p w14:paraId="7CD5BE7C">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w:t>
            </w:r>
            <w:r>
              <w:rPr>
                <w:rFonts w:hint="eastAsia" w:ascii="宋体" w:hAnsi="宋体" w:eastAsia="宋体" w:cs="宋体"/>
                <w:color w:val="auto"/>
                <w:sz w:val="24"/>
                <w:szCs w:val="24"/>
                <w:highlight w:val="none"/>
                <w:lang w:val="en-US" w:eastAsia="zh-CN"/>
              </w:rPr>
              <w:t>成果文件</w:t>
            </w:r>
            <w:r>
              <w:rPr>
                <w:rFonts w:hint="eastAsia" w:ascii="宋体" w:hAnsi="宋体" w:eastAsia="宋体" w:cs="宋体"/>
                <w:color w:val="auto"/>
                <w:sz w:val="24"/>
                <w:szCs w:val="24"/>
                <w:highlight w:val="none"/>
              </w:rPr>
              <w:t>来源证明或合法性证明；</w:t>
            </w:r>
          </w:p>
        </w:tc>
        <w:tc>
          <w:tcPr>
            <w:tcW w:w="1008" w:type="dxa"/>
            <w:noWrap w:val="0"/>
            <w:vAlign w:val="center"/>
          </w:tcPr>
          <w:p w14:paraId="36A8A1E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61BCB87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5A5D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noWrap w:val="0"/>
            <w:vAlign w:val="center"/>
          </w:tcPr>
          <w:p w14:paraId="75019DFB">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noWrap w:val="0"/>
            <w:vAlign w:val="center"/>
          </w:tcPr>
          <w:p w14:paraId="1980B22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noWrap w:val="0"/>
            <w:vAlign w:val="center"/>
          </w:tcPr>
          <w:p w14:paraId="3C84C0A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43F9020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A2D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295D7F9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noWrap w:val="0"/>
            <w:vAlign w:val="center"/>
          </w:tcPr>
          <w:p w14:paraId="5012B60D">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noWrap w:val="0"/>
            <w:vAlign w:val="center"/>
          </w:tcPr>
          <w:p w14:paraId="13D02B0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7165A7BD">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7962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6E30420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noWrap w:val="0"/>
            <w:vAlign w:val="center"/>
          </w:tcPr>
          <w:p w14:paraId="6165B7F9">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相关进度安排要求；</w:t>
            </w:r>
          </w:p>
        </w:tc>
        <w:tc>
          <w:tcPr>
            <w:tcW w:w="1008" w:type="dxa"/>
            <w:noWrap w:val="0"/>
            <w:vAlign w:val="center"/>
          </w:tcPr>
          <w:p w14:paraId="164B310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0169937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735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117FF46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noWrap w:val="0"/>
            <w:vAlign w:val="center"/>
          </w:tcPr>
          <w:p w14:paraId="2BE8599F">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noWrap w:val="0"/>
            <w:vAlign w:val="center"/>
          </w:tcPr>
          <w:p w14:paraId="2B6396F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noWrap w:val="0"/>
            <w:vAlign w:val="center"/>
          </w:tcPr>
          <w:p w14:paraId="6CA54D2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23FD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0"/>
            <w:vAlign w:val="center"/>
          </w:tcPr>
          <w:p w14:paraId="7F1D1BC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noWrap w:val="0"/>
            <w:vAlign w:val="center"/>
          </w:tcPr>
          <w:p w14:paraId="621FFBE1">
            <w:pPr>
              <w:pStyle w:val="22"/>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noWrap w:val="0"/>
            <w:vAlign w:val="center"/>
          </w:tcPr>
          <w:p w14:paraId="54DD47EA">
            <w:pPr>
              <w:pStyle w:val="6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noWrap w:val="0"/>
            <w:vAlign w:val="center"/>
          </w:tcPr>
          <w:p w14:paraId="23F14040">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44FD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noWrap w:val="0"/>
            <w:vAlign w:val="center"/>
          </w:tcPr>
          <w:p w14:paraId="3B07EB2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noWrap w:val="0"/>
            <w:vAlign w:val="center"/>
          </w:tcPr>
          <w:p w14:paraId="6752BD79">
            <w:pPr>
              <w:pStyle w:val="22"/>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noWrap w:val="0"/>
            <w:vAlign w:val="center"/>
          </w:tcPr>
          <w:p w14:paraId="2D2CAF4C">
            <w:pPr>
              <w:pStyle w:val="6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noWrap w:val="0"/>
            <w:vAlign w:val="center"/>
          </w:tcPr>
          <w:p w14:paraId="096708DB">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39DB8F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1355F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GB"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w:t>
      </w:r>
      <w:r>
        <w:rPr>
          <w:rFonts w:hint="eastAsia" w:ascii="宋体" w:hAnsi="宋体" w:eastAsia="宋体" w:cs="宋体"/>
          <w:color w:val="auto"/>
          <w:sz w:val="24"/>
          <w:szCs w:val="24"/>
          <w:highlight w:val="none"/>
          <w:lang w:val="en-GB" w:eastAsia="zh-CN"/>
        </w:rPr>
        <w:t>供应商</w:t>
      </w:r>
      <w:r>
        <w:rPr>
          <w:rFonts w:hint="eastAsia" w:ascii="宋体" w:hAnsi="宋体" w:eastAsia="宋体" w:cs="宋体"/>
          <w:color w:val="auto"/>
          <w:sz w:val="24"/>
          <w:szCs w:val="24"/>
          <w:highlight w:val="none"/>
          <w:lang w:val="en-GB"/>
        </w:rPr>
        <w:t>完全响应，则请在“是否响应”栏内打“√”，对打“×”视为偏离，请在“偏离说明”栏内扼要说明偏离情况；</w:t>
      </w:r>
    </w:p>
    <w:p w14:paraId="51F5AC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GB" w:eastAsia="zh-CN"/>
        </w:rPr>
        <w:t>供应商</w:t>
      </w:r>
      <w:r>
        <w:rPr>
          <w:rFonts w:hint="eastAsia" w:ascii="宋体" w:hAnsi="宋体" w:eastAsia="宋体" w:cs="宋体"/>
          <w:color w:val="auto"/>
          <w:sz w:val="24"/>
          <w:szCs w:val="24"/>
          <w:highlight w:val="none"/>
          <w:lang w:val="en-GB"/>
        </w:rPr>
        <w:t>应认真填写本响应表，若</w:t>
      </w:r>
      <w:r>
        <w:rPr>
          <w:rFonts w:hint="eastAsia" w:ascii="宋体" w:hAnsi="宋体" w:cs="宋体"/>
          <w:color w:val="auto"/>
          <w:sz w:val="24"/>
          <w:szCs w:val="24"/>
          <w:highlight w:val="none"/>
          <w:lang w:val="en-GB" w:eastAsia="zh-CN"/>
        </w:rPr>
        <w:t>评标委员会</w:t>
      </w:r>
      <w:r>
        <w:rPr>
          <w:rFonts w:hint="eastAsia" w:ascii="宋体" w:hAnsi="宋体" w:eastAsia="宋体" w:cs="宋体"/>
          <w:color w:val="auto"/>
          <w:sz w:val="24"/>
          <w:szCs w:val="24"/>
          <w:highlight w:val="none"/>
          <w:lang w:val="en-GB"/>
        </w:rPr>
        <w:t>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w:t>
      </w:r>
      <w:r>
        <w:rPr>
          <w:rFonts w:hint="eastAsia" w:ascii="宋体" w:hAnsi="宋体" w:cs="宋体"/>
          <w:color w:val="auto"/>
          <w:sz w:val="24"/>
          <w:szCs w:val="24"/>
          <w:highlight w:val="none"/>
          <w:lang w:val="en-GB" w:eastAsia="zh-CN"/>
        </w:rPr>
        <w:t>评标委员会</w:t>
      </w:r>
      <w:r>
        <w:rPr>
          <w:rFonts w:hint="eastAsia" w:ascii="宋体" w:hAnsi="宋体" w:eastAsia="宋体" w:cs="宋体"/>
          <w:color w:val="auto"/>
          <w:sz w:val="24"/>
          <w:szCs w:val="24"/>
          <w:highlight w:val="none"/>
          <w:lang w:val="en-GB"/>
        </w:rPr>
        <w:t>将按本招标文件相关规定执行；</w:t>
      </w:r>
    </w:p>
    <w:p w14:paraId="6F61DF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GB"/>
        </w:rPr>
        <w:t>本表内容不得擅自修改。</w:t>
      </w:r>
    </w:p>
    <w:p w14:paraId="64EFDEBB">
      <w:pPr>
        <w:pageBreakBefore w:val="0"/>
        <w:shd w:val="clear" w:color="auto" w:fill="auto"/>
        <w:kinsoku/>
        <w:wordWrap/>
        <w:overflowPunct/>
        <w:topLinePunct w:val="0"/>
        <w:bidi w:val="0"/>
        <w:adjustRightInd w:val="0"/>
        <w:spacing w:line="500" w:lineRule="exact"/>
        <w:ind w:left="0" w:leftChars="0" w:right="0" w:rightChars="0" w:firstLine="420" w:firstLineChars="175"/>
        <w:jc w:val="left"/>
        <w:rPr>
          <w:rFonts w:hint="eastAsia" w:ascii="宋体" w:hAnsi="宋体" w:eastAsia="宋体" w:cs="宋体"/>
          <w:b w:val="0"/>
          <w:bCs/>
          <w:color w:val="auto"/>
          <w:sz w:val="24"/>
          <w:szCs w:val="24"/>
          <w:highlight w:val="none"/>
          <w:shd w:val="clear" w:color="auto" w:fill="auto"/>
        </w:rPr>
      </w:pPr>
    </w:p>
    <w:p w14:paraId="1CACE28D">
      <w:pPr>
        <w:pageBreakBefore w:val="0"/>
        <w:shd w:val="clear" w:color="auto" w:fill="auto"/>
        <w:kinsoku/>
        <w:wordWrap/>
        <w:overflowPunct/>
        <w:topLinePunct w:val="0"/>
        <w:bidi w:val="0"/>
        <w:adjustRightInd w:val="0"/>
        <w:spacing w:line="500" w:lineRule="exact"/>
        <w:ind w:left="0" w:leftChars="0" w:right="0" w:rightChars="0" w:firstLine="420" w:firstLineChars="175"/>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 xml:space="preserve">供应商名称（盖章）：        </w:t>
      </w:r>
    </w:p>
    <w:p w14:paraId="60F8502B">
      <w:pPr>
        <w:pageBreakBefore w:val="0"/>
        <w:shd w:val="clear" w:color="auto" w:fill="auto"/>
        <w:kinsoku/>
        <w:wordWrap/>
        <w:overflowPunct/>
        <w:topLinePunct w:val="0"/>
        <w:bidi w:val="0"/>
        <w:adjustRightInd w:val="0"/>
        <w:spacing w:line="500" w:lineRule="exact"/>
        <w:ind w:left="0" w:leftChars="0" w:right="0" w:rightChars="0" w:firstLine="420" w:firstLineChars="175"/>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       </w:t>
      </w: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 xml:space="preserve">    </w:t>
      </w: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 xml:space="preserve"> </w:t>
      </w:r>
      <w:r>
        <w:rPr>
          <w:rFonts w:hint="eastAsia" w:ascii="宋体" w:hAnsi="宋体" w:eastAsia="宋体" w:cs="宋体"/>
          <w:b w:val="0"/>
          <w:bCs/>
          <w:color w:val="auto"/>
          <w:sz w:val="24"/>
          <w:szCs w:val="24"/>
          <w:highlight w:val="none"/>
          <w:shd w:val="clear" w:color="auto" w:fill="auto"/>
          <w:lang w:eastAsia="zh-CN"/>
        </w:rPr>
        <w:t>法定代表人</w:t>
      </w:r>
      <w:r>
        <w:rPr>
          <w:rFonts w:hint="eastAsia" w:ascii="宋体" w:hAnsi="宋体" w:eastAsia="宋体" w:cs="宋体"/>
          <w:b w:val="0"/>
          <w:bCs/>
          <w:color w:val="auto"/>
          <w:sz w:val="24"/>
          <w:szCs w:val="24"/>
          <w:highlight w:val="none"/>
          <w:shd w:val="clear" w:color="auto" w:fill="auto"/>
        </w:rPr>
        <w:t>或被授权人（</w:t>
      </w:r>
      <w:r>
        <w:rPr>
          <w:rFonts w:hint="eastAsia" w:ascii="宋体" w:hAnsi="宋体" w:eastAsia="宋体" w:cs="宋体"/>
          <w:b w:val="0"/>
          <w:bCs/>
          <w:color w:val="auto"/>
          <w:sz w:val="24"/>
          <w:szCs w:val="24"/>
          <w:highlight w:val="none"/>
          <w:shd w:val="clear" w:color="auto" w:fill="auto"/>
          <w:lang w:eastAsia="zh-CN"/>
        </w:rPr>
        <w:t>签字或盖章</w:t>
      </w:r>
      <w:r>
        <w:rPr>
          <w:rFonts w:hint="eastAsia" w:ascii="宋体" w:hAnsi="宋体" w:eastAsia="宋体" w:cs="宋体"/>
          <w:b w:val="0"/>
          <w:bCs/>
          <w:color w:val="auto"/>
          <w:sz w:val="24"/>
          <w:szCs w:val="24"/>
          <w:highlight w:val="none"/>
          <w:shd w:val="clear" w:color="auto" w:fill="auto"/>
        </w:rPr>
        <w:t>）：</w:t>
      </w:r>
    </w:p>
    <w:p w14:paraId="13B222A5">
      <w:pPr>
        <w:pageBreakBefore w:val="0"/>
        <w:shd w:val="clear" w:color="auto" w:fill="auto"/>
        <w:kinsoku/>
        <w:wordWrap/>
        <w:overflowPunct/>
        <w:topLinePunct w:val="0"/>
        <w:bidi w:val="0"/>
        <w:adjustRightInd w:val="0"/>
        <w:spacing w:line="500" w:lineRule="exact"/>
        <w:ind w:right="0" w:rightChars="0" w:firstLine="3360" w:firstLineChars="14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日期:</w:t>
      </w:r>
      <w:r>
        <w:rPr>
          <w:rFonts w:hint="eastAsia" w:ascii="宋体" w:hAnsi="宋体" w:eastAsia="宋体" w:cs="宋体"/>
          <w:b w:val="0"/>
          <w:bCs/>
          <w:color w:val="auto"/>
          <w:sz w:val="24"/>
          <w:szCs w:val="24"/>
          <w:highlight w:val="none"/>
          <w:shd w:val="clear" w:color="auto" w:fill="auto"/>
          <w:lang w:val="en-US" w:eastAsia="zh-CN"/>
        </w:rPr>
        <w:t xml:space="preserve">  年 月 日</w:t>
      </w:r>
    </w:p>
    <w:p w14:paraId="714187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eastAsia="zh-CN"/>
        </w:rPr>
        <w:br w:type="page"/>
      </w:r>
      <w:r>
        <w:rPr>
          <w:rFonts w:hint="eastAsia" w:ascii="宋体" w:hAnsi="宋体" w:eastAsia="宋体" w:cs="宋体"/>
          <w:b w:val="0"/>
          <w:bCs/>
          <w:color w:val="000000"/>
          <w:sz w:val="24"/>
          <w:highlight w:val="none"/>
          <w:lang w:eastAsia="zh-CN"/>
        </w:rPr>
        <w:t>（</w:t>
      </w:r>
      <w:r>
        <w:rPr>
          <w:rFonts w:hint="eastAsia" w:ascii="宋体" w:hAnsi="宋体" w:eastAsia="宋体" w:cs="宋体"/>
          <w:b w:val="0"/>
          <w:bCs/>
          <w:color w:val="000000"/>
          <w:sz w:val="24"/>
          <w:highlight w:val="none"/>
          <w:lang w:val="en-US" w:eastAsia="zh-CN"/>
        </w:rPr>
        <w:t>二</w:t>
      </w:r>
      <w:r>
        <w:rPr>
          <w:rFonts w:hint="eastAsia" w:ascii="宋体" w:hAnsi="宋体" w:eastAsia="宋体" w:cs="宋体"/>
          <w:b w:val="0"/>
          <w:bCs/>
          <w:color w:val="000000"/>
          <w:sz w:val="24"/>
          <w:highlight w:val="none"/>
          <w:lang w:eastAsia="zh-CN"/>
        </w:rPr>
        <w:t>）服务</w:t>
      </w:r>
      <w:r>
        <w:rPr>
          <w:rFonts w:hint="eastAsia" w:ascii="宋体" w:hAnsi="宋体" w:eastAsia="宋体" w:cs="宋体"/>
          <w:b w:val="0"/>
          <w:bCs/>
          <w:color w:val="000000"/>
          <w:sz w:val="24"/>
          <w:highlight w:val="none"/>
        </w:rPr>
        <w:t>需求偏离表</w:t>
      </w:r>
    </w:p>
    <w:p w14:paraId="5BA199C2">
      <w:pPr>
        <w:pStyle w:val="7"/>
        <w:ind w:firstLine="480"/>
        <w:rPr>
          <w:rFonts w:hint="eastAsia" w:ascii="宋体" w:hAnsi="宋体" w:eastAsia="宋体" w:cs="宋体"/>
          <w:b w:val="0"/>
          <w:bCs/>
          <w:color w:val="000000"/>
          <w:sz w:val="24"/>
          <w:highlight w:val="none"/>
        </w:rPr>
      </w:pP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062"/>
        <w:gridCol w:w="1229"/>
        <w:gridCol w:w="1575"/>
        <w:gridCol w:w="1500"/>
        <w:gridCol w:w="1055"/>
        <w:gridCol w:w="1036"/>
      </w:tblGrid>
      <w:tr w14:paraId="7AB6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23" w:type="pct"/>
            <w:noWrap w:val="0"/>
            <w:vAlign w:val="center"/>
          </w:tcPr>
          <w:p w14:paraId="7C7FA03D">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序号</w:t>
            </w:r>
          </w:p>
        </w:tc>
        <w:tc>
          <w:tcPr>
            <w:tcW w:w="623" w:type="pct"/>
            <w:noWrap w:val="0"/>
            <w:vAlign w:val="center"/>
          </w:tcPr>
          <w:p w14:paraId="30CD0BBC">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服务名称</w:t>
            </w:r>
          </w:p>
        </w:tc>
        <w:tc>
          <w:tcPr>
            <w:tcW w:w="721" w:type="pct"/>
            <w:noWrap w:val="0"/>
            <w:vAlign w:val="center"/>
          </w:tcPr>
          <w:p w14:paraId="13FF6323">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eastAsia="zh-CN"/>
              </w:rPr>
              <w:t>招标文件</w:t>
            </w:r>
            <w:r>
              <w:rPr>
                <w:rFonts w:hint="eastAsia" w:ascii="宋体" w:hAnsi="宋体" w:eastAsia="宋体" w:cs="宋体"/>
                <w:b w:val="0"/>
                <w:bCs/>
                <w:color w:val="000000"/>
                <w:sz w:val="24"/>
                <w:highlight w:val="none"/>
              </w:rPr>
              <w:t>条款号</w:t>
            </w:r>
          </w:p>
        </w:tc>
        <w:tc>
          <w:tcPr>
            <w:tcW w:w="924" w:type="pct"/>
            <w:noWrap w:val="0"/>
            <w:vAlign w:val="center"/>
          </w:tcPr>
          <w:p w14:paraId="12A2D64A">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eastAsia="zh-CN"/>
              </w:rPr>
              <w:t>招标文件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要求</w:t>
            </w:r>
          </w:p>
        </w:tc>
        <w:tc>
          <w:tcPr>
            <w:tcW w:w="880" w:type="pct"/>
            <w:noWrap w:val="0"/>
            <w:vAlign w:val="center"/>
          </w:tcPr>
          <w:p w14:paraId="6421BF85">
            <w:pPr>
              <w:jc w:val="center"/>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响应文件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响应</w:t>
            </w:r>
          </w:p>
        </w:tc>
        <w:tc>
          <w:tcPr>
            <w:tcW w:w="619" w:type="pct"/>
            <w:noWrap w:val="0"/>
            <w:vAlign w:val="center"/>
          </w:tcPr>
          <w:p w14:paraId="07DEBF70">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偏离</w:t>
            </w:r>
          </w:p>
        </w:tc>
        <w:tc>
          <w:tcPr>
            <w:tcW w:w="607" w:type="pct"/>
            <w:noWrap w:val="0"/>
            <w:vAlign w:val="center"/>
          </w:tcPr>
          <w:p w14:paraId="5B55C9A3">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说明</w:t>
            </w:r>
          </w:p>
        </w:tc>
      </w:tr>
      <w:tr w14:paraId="6725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066415F7">
            <w:pPr>
              <w:rPr>
                <w:rFonts w:hint="eastAsia" w:ascii="宋体" w:hAnsi="宋体" w:eastAsia="宋体" w:cs="宋体"/>
                <w:b w:val="0"/>
                <w:bCs/>
                <w:color w:val="000000"/>
                <w:sz w:val="24"/>
                <w:highlight w:val="none"/>
              </w:rPr>
            </w:pPr>
          </w:p>
        </w:tc>
        <w:tc>
          <w:tcPr>
            <w:tcW w:w="623" w:type="pct"/>
            <w:noWrap w:val="0"/>
            <w:vAlign w:val="top"/>
          </w:tcPr>
          <w:p w14:paraId="4755CD78">
            <w:pPr>
              <w:rPr>
                <w:rFonts w:hint="eastAsia" w:ascii="宋体" w:hAnsi="宋体" w:eastAsia="宋体" w:cs="宋体"/>
                <w:b w:val="0"/>
                <w:bCs/>
                <w:color w:val="000000"/>
                <w:sz w:val="24"/>
                <w:highlight w:val="none"/>
              </w:rPr>
            </w:pPr>
          </w:p>
        </w:tc>
        <w:tc>
          <w:tcPr>
            <w:tcW w:w="721" w:type="pct"/>
            <w:noWrap w:val="0"/>
            <w:vAlign w:val="top"/>
          </w:tcPr>
          <w:p w14:paraId="065E563D">
            <w:pPr>
              <w:rPr>
                <w:rFonts w:hint="eastAsia" w:ascii="宋体" w:hAnsi="宋体" w:eastAsia="宋体" w:cs="宋体"/>
                <w:b w:val="0"/>
                <w:bCs/>
                <w:color w:val="000000"/>
                <w:sz w:val="24"/>
                <w:highlight w:val="none"/>
              </w:rPr>
            </w:pPr>
          </w:p>
        </w:tc>
        <w:tc>
          <w:tcPr>
            <w:tcW w:w="924" w:type="pct"/>
            <w:noWrap w:val="0"/>
            <w:vAlign w:val="top"/>
          </w:tcPr>
          <w:p w14:paraId="623D989F">
            <w:pPr>
              <w:rPr>
                <w:rFonts w:hint="eastAsia" w:ascii="宋体" w:hAnsi="宋体" w:eastAsia="宋体" w:cs="宋体"/>
                <w:b w:val="0"/>
                <w:bCs/>
                <w:color w:val="000000"/>
                <w:sz w:val="24"/>
                <w:highlight w:val="none"/>
              </w:rPr>
            </w:pPr>
          </w:p>
        </w:tc>
        <w:tc>
          <w:tcPr>
            <w:tcW w:w="880" w:type="pct"/>
            <w:noWrap w:val="0"/>
            <w:vAlign w:val="top"/>
          </w:tcPr>
          <w:p w14:paraId="0858E243">
            <w:pPr>
              <w:rPr>
                <w:rFonts w:hint="eastAsia" w:ascii="宋体" w:hAnsi="宋体" w:eastAsia="宋体" w:cs="宋体"/>
                <w:b w:val="0"/>
                <w:bCs/>
                <w:color w:val="000000"/>
                <w:sz w:val="24"/>
                <w:highlight w:val="none"/>
              </w:rPr>
            </w:pPr>
          </w:p>
        </w:tc>
        <w:tc>
          <w:tcPr>
            <w:tcW w:w="619" w:type="pct"/>
            <w:noWrap w:val="0"/>
            <w:vAlign w:val="top"/>
          </w:tcPr>
          <w:p w14:paraId="6279085B">
            <w:pPr>
              <w:rPr>
                <w:rFonts w:hint="eastAsia" w:ascii="宋体" w:hAnsi="宋体" w:eastAsia="宋体" w:cs="宋体"/>
                <w:b w:val="0"/>
                <w:bCs/>
                <w:color w:val="000000"/>
                <w:sz w:val="24"/>
                <w:highlight w:val="none"/>
              </w:rPr>
            </w:pPr>
          </w:p>
        </w:tc>
        <w:tc>
          <w:tcPr>
            <w:tcW w:w="607" w:type="pct"/>
            <w:noWrap w:val="0"/>
            <w:vAlign w:val="top"/>
          </w:tcPr>
          <w:p w14:paraId="3D580305">
            <w:pPr>
              <w:rPr>
                <w:rFonts w:hint="eastAsia" w:ascii="宋体" w:hAnsi="宋体" w:eastAsia="宋体" w:cs="宋体"/>
                <w:b w:val="0"/>
                <w:bCs/>
                <w:color w:val="000000"/>
                <w:sz w:val="24"/>
                <w:highlight w:val="none"/>
              </w:rPr>
            </w:pPr>
          </w:p>
        </w:tc>
      </w:tr>
      <w:tr w14:paraId="7A09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7E4EF5B0">
            <w:pPr>
              <w:rPr>
                <w:rFonts w:hint="eastAsia" w:ascii="宋体" w:hAnsi="宋体" w:eastAsia="宋体" w:cs="宋体"/>
                <w:b w:val="0"/>
                <w:bCs/>
                <w:color w:val="000000"/>
                <w:sz w:val="24"/>
                <w:highlight w:val="none"/>
              </w:rPr>
            </w:pPr>
          </w:p>
        </w:tc>
        <w:tc>
          <w:tcPr>
            <w:tcW w:w="623" w:type="pct"/>
            <w:noWrap w:val="0"/>
            <w:vAlign w:val="top"/>
          </w:tcPr>
          <w:p w14:paraId="3BA702F1">
            <w:pPr>
              <w:rPr>
                <w:rFonts w:hint="eastAsia" w:ascii="宋体" w:hAnsi="宋体" w:eastAsia="宋体" w:cs="宋体"/>
                <w:b w:val="0"/>
                <w:bCs/>
                <w:color w:val="000000"/>
                <w:sz w:val="24"/>
                <w:highlight w:val="none"/>
              </w:rPr>
            </w:pPr>
          </w:p>
        </w:tc>
        <w:tc>
          <w:tcPr>
            <w:tcW w:w="721" w:type="pct"/>
            <w:noWrap w:val="0"/>
            <w:vAlign w:val="top"/>
          </w:tcPr>
          <w:p w14:paraId="77FD3BE5">
            <w:pPr>
              <w:rPr>
                <w:rFonts w:hint="eastAsia" w:ascii="宋体" w:hAnsi="宋体" w:eastAsia="宋体" w:cs="宋体"/>
                <w:b w:val="0"/>
                <w:bCs/>
                <w:color w:val="000000"/>
                <w:sz w:val="24"/>
                <w:highlight w:val="none"/>
              </w:rPr>
            </w:pPr>
          </w:p>
        </w:tc>
        <w:tc>
          <w:tcPr>
            <w:tcW w:w="924" w:type="pct"/>
            <w:noWrap w:val="0"/>
            <w:vAlign w:val="top"/>
          </w:tcPr>
          <w:p w14:paraId="75CB9A51">
            <w:pPr>
              <w:rPr>
                <w:rFonts w:hint="eastAsia" w:ascii="宋体" w:hAnsi="宋体" w:eastAsia="宋体" w:cs="宋体"/>
                <w:b w:val="0"/>
                <w:bCs/>
                <w:color w:val="000000"/>
                <w:sz w:val="24"/>
                <w:highlight w:val="none"/>
              </w:rPr>
            </w:pPr>
          </w:p>
        </w:tc>
        <w:tc>
          <w:tcPr>
            <w:tcW w:w="880" w:type="pct"/>
            <w:noWrap w:val="0"/>
            <w:vAlign w:val="top"/>
          </w:tcPr>
          <w:p w14:paraId="3090BDFB">
            <w:pPr>
              <w:rPr>
                <w:rFonts w:hint="eastAsia" w:ascii="宋体" w:hAnsi="宋体" w:eastAsia="宋体" w:cs="宋体"/>
                <w:b w:val="0"/>
                <w:bCs/>
                <w:color w:val="000000"/>
                <w:sz w:val="24"/>
                <w:highlight w:val="none"/>
              </w:rPr>
            </w:pPr>
          </w:p>
        </w:tc>
        <w:tc>
          <w:tcPr>
            <w:tcW w:w="619" w:type="pct"/>
            <w:noWrap w:val="0"/>
            <w:vAlign w:val="top"/>
          </w:tcPr>
          <w:p w14:paraId="00837E36">
            <w:pPr>
              <w:rPr>
                <w:rFonts w:hint="eastAsia" w:ascii="宋体" w:hAnsi="宋体" w:eastAsia="宋体" w:cs="宋体"/>
                <w:b w:val="0"/>
                <w:bCs/>
                <w:color w:val="000000"/>
                <w:sz w:val="24"/>
                <w:highlight w:val="none"/>
              </w:rPr>
            </w:pPr>
          </w:p>
        </w:tc>
        <w:tc>
          <w:tcPr>
            <w:tcW w:w="607" w:type="pct"/>
            <w:noWrap w:val="0"/>
            <w:vAlign w:val="top"/>
          </w:tcPr>
          <w:p w14:paraId="3AF56F6C">
            <w:pPr>
              <w:rPr>
                <w:rFonts w:hint="eastAsia" w:ascii="宋体" w:hAnsi="宋体" w:eastAsia="宋体" w:cs="宋体"/>
                <w:b w:val="0"/>
                <w:bCs/>
                <w:color w:val="000000"/>
                <w:sz w:val="24"/>
                <w:highlight w:val="none"/>
              </w:rPr>
            </w:pPr>
          </w:p>
        </w:tc>
      </w:tr>
      <w:tr w14:paraId="2483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200CCCEF">
            <w:pPr>
              <w:rPr>
                <w:rFonts w:hint="eastAsia" w:ascii="宋体" w:hAnsi="宋体" w:eastAsia="宋体" w:cs="宋体"/>
                <w:b w:val="0"/>
                <w:bCs/>
                <w:color w:val="000000"/>
                <w:sz w:val="24"/>
                <w:highlight w:val="none"/>
              </w:rPr>
            </w:pPr>
          </w:p>
        </w:tc>
        <w:tc>
          <w:tcPr>
            <w:tcW w:w="623" w:type="pct"/>
            <w:noWrap w:val="0"/>
            <w:vAlign w:val="top"/>
          </w:tcPr>
          <w:p w14:paraId="597933DA">
            <w:pPr>
              <w:rPr>
                <w:rFonts w:hint="eastAsia" w:ascii="宋体" w:hAnsi="宋体" w:eastAsia="宋体" w:cs="宋体"/>
                <w:b w:val="0"/>
                <w:bCs/>
                <w:color w:val="000000"/>
                <w:sz w:val="24"/>
                <w:highlight w:val="none"/>
              </w:rPr>
            </w:pPr>
          </w:p>
        </w:tc>
        <w:tc>
          <w:tcPr>
            <w:tcW w:w="721" w:type="pct"/>
            <w:noWrap w:val="0"/>
            <w:vAlign w:val="top"/>
          </w:tcPr>
          <w:p w14:paraId="19ACB10E">
            <w:pPr>
              <w:rPr>
                <w:rFonts w:hint="eastAsia" w:ascii="宋体" w:hAnsi="宋体" w:eastAsia="宋体" w:cs="宋体"/>
                <w:b w:val="0"/>
                <w:bCs/>
                <w:color w:val="000000"/>
                <w:sz w:val="24"/>
                <w:highlight w:val="none"/>
              </w:rPr>
            </w:pPr>
          </w:p>
        </w:tc>
        <w:tc>
          <w:tcPr>
            <w:tcW w:w="924" w:type="pct"/>
            <w:noWrap w:val="0"/>
            <w:vAlign w:val="top"/>
          </w:tcPr>
          <w:p w14:paraId="2B785136">
            <w:pPr>
              <w:rPr>
                <w:rFonts w:hint="eastAsia" w:ascii="宋体" w:hAnsi="宋体" w:eastAsia="宋体" w:cs="宋体"/>
                <w:b w:val="0"/>
                <w:bCs/>
                <w:color w:val="000000"/>
                <w:sz w:val="24"/>
                <w:highlight w:val="none"/>
              </w:rPr>
            </w:pPr>
          </w:p>
        </w:tc>
        <w:tc>
          <w:tcPr>
            <w:tcW w:w="880" w:type="pct"/>
            <w:noWrap w:val="0"/>
            <w:vAlign w:val="top"/>
          </w:tcPr>
          <w:p w14:paraId="2C9DFCCD">
            <w:pPr>
              <w:rPr>
                <w:rFonts w:hint="eastAsia" w:ascii="宋体" w:hAnsi="宋体" w:eastAsia="宋体" w:cs="宋体"/>
                <w:b w:val="0"/>
                <w:bCs/>
                <w:color w:val="000000"/>
                <w:sz w:val="24"/>
                <w:highlight w:val="none"/>
              </w:rPr>
            </w:pPr>
          </w:p>
        </w:tc>
        <w:tc>
          <w:tcPr>
            <w:tcW w:w="619" w:type="pct"/>
            <w:noWrap w:val="0"/>
            <w:vAlign w:val="top"/>
          </w:tcPr>
          <w:p w14:paraId="38AC1F42">
            <w:pPr>
              <w:rPr>
                <w:rFonts w:hint="eastAsia" w:ascii="宋体" w:hAnsi="宋体" w:eastAsia="宋体" w:cs="宋体"/>
                <w:b w:val="0"/>
                <w:bCs/>
                <w:color w:val="000000"/>
                <w:sz w:val="24"/>
                <w:highlight w:val="none"/>
              </w:rPr>
            </w:pPr>
          </w:p>
        </w:tc>
        <w:tc>
          <w:tcPr>
            <w:tcW w:w="607" w:type="pct"/>
            <w:noWrap w:val="0"/>
            <w:vAlign w:val="top"/>
          </w:tcPr>
          <w:p w14:paraId="33AAF2C0">
            <w:pPr>
              <w:rPr>
                <w:rFonts w:hint="eastAsia" w:ascii="宋体" w:hAnsi="宋体" w:eastAsia="宋体" w:cs="宋体"/>
                <w:b w:val="0"/>
                <w:bCs/>
                <w:color w:val="000000"/>
                <w:sz w:val="24"/>
                <w:highlight w:val="none"/>
              </w:rPr>
            </w:pPr>
          </w:p>
        </w:tc>
      </w:tr>
      <w:tr w14:paraId="31FB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0555E9E6">
            <w:pPr>
              <w:rPr>
                <w:rFonts w:hint="eastAsia" w:ascii="宋体" w:hAnsi="宋体" w:eastAsia="宋体" w:cs="宋体"/>
                <w:b w:val="0"/>
                <w:bCs/>
                <w:color w:val="000000"/>
                <w:sz w:val="24"/>
                <w:highlight w:val="none"/>
              </w:rPr>
            </w:pPr>
          </w:p>
        </w:tc>
        <w:tc>
          <w:tcPr>
            <w:tcW w:w="623" w:type="pct"/>
            <w:noWrap w:val="0"/>
            <w:vAlign w:val="top"/>
          </w:tcPr>
          <w:p w14:paraId="4F30CD10">
            <w:pPr>
              <w:rPr>
                <w:rFonts w:hint="eastAsia" w:ascii="宋体" w:hAnsi="宋体" w:eastAsia="宋体" w:cs="宋体"/>
                <w:b w:val="0"/>
                <w:bCs/>
                <w:color w:val="000000"/>
                <w:sz w:val="24"/>
                <w:highlight w:val="none"/>
              </w:rPr>
            </w:pPr>
          </w:p>
        </w:tc>
        <w:tc>
          <w:tcPr>
            <w:tcW w:w="721" w:type="pct"/>
            <w:noWrap w:val="0"/>
            <w:vAlign w:val="top"/>
          </w:tcPr>
          <w:p w14:paraId="284F027E">
            <w:pPr>
              <w:rPr>
                <w:rFonts w:hint="eastAsia" w:ascii="宋体" w:hAnsi="宋体" w:eastAsia="宋体" w:cs="宋体"/>
                <w:b w:val="0"/>
                <w:bCs/>
                <w:color w:val="000000"/>
                <w:sz w:val="24"/>
                <w:highlight w:val="none"/>
              </w:rPr>
            </w:pPr>
          </w:p>
        </w:tc>
        <w:tc>
          <w:tcPr>
            <w:tcW w:w="924" w:type="pct"/>
            <w:noWrap w:val="0"/>
            <w:vAlign w:val="top"/>
          </w:tcPr>
          <w:p w14:paraId="43FDFD35">
            <w:pPr>
              <w:rPr>
                <w:rFonts w:hint="eastAsia" w:ascii="宋体" w:hAnsi="宋体" w:eastAsia="宋体" w:cs="宋体"/>
                <w:b w:val="0"/>
                <w:bCs/>
                <w:color w:val="000000"/>
                <w:sz w:val="24"/>
                <w:highlight w:val="none"/>
              </w:rPr>
            </w:pPr>
          </w:p>
        </w:tc>
        <w:tc>
          <w:tcPr>
            <w:tcW w:w="880" w:type="pct"/>
            <w:noWrap w:val="0"/>
            <w:vAlign w:val="top"/>
          </w:tcPr>
          <w:p w14:paraId="483889B2">
            <w:pPr>
              <w:rPr>
                <w:rFonts w:hint="eastAsia" w:ascii="宋体" w:hAnsi="宋体" w:eastAsia="宋体" w:cs="宋体"/>
                <w:b w:val="0"/>
                <w:bCs/>
                <w:color w:val="000000"/>
                <w:sz w:val="24"/>
                <w:highlight w:val="none"/>
              </w:rPr>
            </w:pPr>
          </w:p>
        </w:tc>
        <w:tc>
          <w:tcPr>
            <w:tcW w:w="619" w:type="pct"/>
            <w:noWrap w:val="0"/>
            <w:vAlign w:val="top"/>
          </w:tcPr>
          <w:p w14:paraId="3D6F7E5C">
            <w:pPr>
              <w:rPr>
                <w:rFonts w:hint="eastAsia" w:ascii="宋体" w:hAnsi="宋体" w:eastAsia="宋体" w:cs="宋体"/>
                <w:b w:val="0"/>
                <w:bCs/>
                <w:color w:val="000000"/>
                <w:sz w:val="24"/>
                <w:highlight w:val="none"/>
              </w:rPr>
            </w:pPr>
          </w:p>
        </w:tc>
        <w:tc>
          <w:tcPr>
            <w:tcW w:w="607" w:type="pct"/>
            <w:noWrap w:val="0"/>
            <w:vAlign w:val="top"/>
          </w:tcPr>
          <w:p w14:paraId="2BE66035">
            <w:pPr>
              <w:rPr>
                <w:rFonts w:hint="eastAsia" w:ascii="宋体" w:hAnsi="宋体" w:eastAsia="宋体" w:cs="宋体"/>
                <w:b w:val="0"/>
                <w:bCs/>
                <w:color w:val="000000"/>
                <w:sz w:val="24"/>
                <w:highlight w:val="none"/>
              </w:rPr>
            </w:pPr>
          </w:p>
        </w:tc>
      </w:tr>
      <w:tr w14:paraId="5209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14:paraId="21549626">
            <w:pPr>
              <w:rPr>
                <w:rFonts w:hint="eastAsia" w:ascii="宋体" w:hAnsi="宋体" w:eastAsia="宋体" w:cs="宋体"/>
                <w:b w:val="0"/>
                <w:bCs/>
                <w:color w:val="000000"/>
                <w:sz w:val="24"/>
                <w:highlight w:val="none"/>
              </w:rPr>
            </w:pPr>
          </w:p>
        </w:tc>
        <w:tc>
          <w:tcPr>
            <w:tcW w:w="623" w:type="pct"/>
            <w:noWrap w:val="0"/>
            <w:vAlign w:val="top"/>
          </w:tcPr>
          <w:p w14:paraId="74D6771B">
            <w:pPr>
              <w:rPr>
                <w:rFonts w:hint="eastAsia" w:ascii="宋体" w:hAnsi="宋体" w:eastAsia="宋体" w:cs="宋体"/>
                <w:b w:val="0"/>
                <w:bCs/>
                <w:color w:val="000000"/>
                <w:sz w:val="24"/>
                <w:highlight w:val="none"/>
              </w:rPr>
            </w:pPr>
          </w:p>
        </w:tc>
        <w:tc>
          <w:tcPr>
            <w:tcW w:w="721" w:type="pct"/>
            <w:noWrap w:val="0"/>
            <w:vAlign w:val="top"/>
          </w:tcPr>
          <w:p w14:paraId="7CAE5462">
            <w:pPr>
              <w:rPr>
                <w:rFonts w:hint="eastAsia" w:ascii="宋体" w:hAnsi="宋体" w:eastAsia="宋体" w:cs="宋体"/>
                <w:b w:val="0"/>
                <w:bCs/>
                <w:color w:val="000000"/>
                <w:sz w:val="24"/>
                <w:highlight w:val="none"/>
              </w:rPr>
            </w:pPr>
          </w:p>
        </w:tc>
        <w:tc>
          <w:tcPr>
            <w:tcW w:w="924" w:type="pct"/>
            <w:noWrap w:val="0"/>
            <w:vAlign w:val="top"/>
          </w:tcPr>
          <w:p w14:paraId="7D60FA90">
            <w:pPr>
              <w:rPr>
                <w:rFonts w:hint="eastAsia" w:ascii="宋体" w:hAnsi="宋体" w:eastAsia="宋体" w:cs="宋体"/>
                <w:b w:val="0"/>
                <w:bCs/>
                <w:color w:val="000000"/>
                <w:sz w:val="24"/>
                <w:highlight w:val="none"/>
              </w:rPr>
            </w:pPr>
          </w:p>
        </w:tc>
        <w:tc>
          <w:tcPr>
            <w:tcW w:w="880" w:type="pct"/>
            <w:noWrap w:val="0"/>
            <w:vAlign w:val="top"/>
          </w:tcPr>
          <w:p w14:paraId="18F7B570">
            <w:pPr>
              <w:rPr>
                <w:rFonts w:hint="eastAsia" w:ascii="宋体" w:hAnsi="宋体" w:eastAsia="宋体" w:cs="宋体"/>
                <w:b w:val="0"/>
                <w:bCs/>
                <w:color w:val="000000"/>
                <w:sz w:val="24"/>
                <w:highlight w:val="none"/>
              </w:rPr>
            </w:pPr>
          </w:p>
        </w:tc>
        <w:tc>
          <w:tcPr>
            <w:tcW w:w="619" w:type="pct"/>
            <w:noWrap w:val="0"/>
            <w:vAlign w:val="top"/>
          </w:tcPr>
          <w:p w14:paraId="64D12274">
            <w:pPr>
              <w:rPr>
                <w:rFonts w:hint="eastAsia" w:ascii="宋体" w:hAnsi="宋体" w:eastAsia="宋体" w:cs="宋体"/>
                <w:b w:val="0"/>
                <w:bCs/>
                <w:color w:val="000000"/>
                <w:sz w:val="24"/>
                <w:highlight w:val="none"/>
              </w:rPr>
            </w:pPr>
          </w:p>
        </w:tc>
        <w:tc>
          <w:tcPr>
            <w:tcW w:w="607" w:type="pct"/>
            <w:noWrap w:val="0"/>
            <w:vAlign w:val="top"/>
          </w:tcPr>
          <w:p w14:paraId="68B903E1">
            <w:pPr>
              <w:rPr>
                <w:rFonts w:hint="eastAsia" w:ascii="宋体" w:hAnsi="宋体" w:eastAsia="宋体" w:cs="宋体"/>
                <w:b w:val="0"/>
                <w:bCs/>
                <w:color w:val="000000"/>
                <w:sz w:val="24"/>
                <w:highlight w:val="none"/>
              </w:rPr>
            </w:pPr>
          </w:p>
        </w:tc>
      </w:tr>
    </w:tbl>
    <w:p w14:paraId="147B577E">
      <w:pPr>
        <w:spacing w:line="440" w:lineRule="exac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备注：</w:t>
      </w:r>
    </w:p>
    <w:p w14:paraId="6A82C7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000000"/>
          <w:sz w:val="24"/>
          <w:highlight w:val="none"/>
          <w:lang w:eastAsia="zh-CN"/>
        </w:rPr>
      </w:pPr>
      <w:r>
        <w:rPr>
          <w:rFonts w:hint="eastAsia" w:ascii="宋体" w:hAnsi="宋体" w:eastAsia="宋体" w:cs="宋体"/>
          <w:b w:val="0"/>
          <w:bCs/>
          <w:color w:val="000000"/>
          <w:sz w:val="24"/>
          <w:highlight w:val="none"/>
          <w:lang w:val="en-US" w:eastAsia="zh-CN"/>
        </w:rPr>
        <w:t>1、</w:t>
      </w:r>
      <w:r>
        <w:rPr>
          <w:rFonts w:hint="eastAsia" w:ascii="宋体" w:hAnsi="宋体" w:eastAsia="宋体" w:cs="宋体"/>
          <w:b w:val="0"/>
          <w:bCs/>
          <w:color w:val="000000"/>
          <w:sz w:val="24"/>
          <w:highlight w:val="none"/>
          <w:lang w:eastAsia="zh-CN"/>
        </w:rPr>
        <w:t>供应商</w:t>
      </w:r>
      <w:r>
        <w:rPr>
          <w:rFonts w:hint="eastAsia" w:ascii="宋体" w:hAnsi="宋体" w:eastAsia="宋体" w:cs="宋体"/>
          <w:b w:val="0"/>
          <w:bCs/>
          <w:color w:val="000000"/>
          <w:sz w:val="24"/>
          <w:highlight w:val="none"/>
        </w:rPr>
        <w:t>应根据其提供的服务，对照</w:t>
      </w:r>
      <w:r>
        <w:rPr>
          <w:rFonts w:hint="eastAsia" w:ascii="宋体" w:hAnsi="宋体" w:cs="宋体"/>
          <w:b w:val="0"/>
          <w:bCs/>
          <w:color w:val="000000"/>
          <w:sz w:val="24"/>
          <w:highlight w:val="none"/>
          <w:lang w:val="en-US" w:eastAsia="zh-CN"/>
        </w:rPr>
        <w:t>招标文件</w:t>
      </w:r>
      <w:r>
        <w:rPr>
          <w:rFonts w:hint="eastAsia" w:ascii="宋体" w:hAnsi="宋体" w:eastAsia="宋体" w:cs="宋体"/>
          <w:b w:val="0"/>
          <w:bCs/>
          <w:color w:val="000000"/>
          <w:sz w:val="24"/>
          <w:highlight w:val="none"/>
        </w:rPr>
        <w:t>“第四章</w:t>
      </w:r>
      <w:r>
        <w:rPr>
          <w:rFonts w:hint="eastAsia" w:ascii="宋体" w:hAnsi="宋体" w:eastAsia="宋体" w:cs="宋体"/>
          <w:b w:val="0"/>
          <w:bCs/>
          <w:color w:val="000000"/>
          <w:sz w:val="24"/>
          <w:highlight w:val="none"/>
          <w:lang w:eastAsia="zh-CN"/>
        </w:rPr>
        <w:t>项目服务需求</w:t>
      </w:r>
      <w:r>
        <w:rPr>
          <w:rFonts w:hint="eastAsia" w:ascii="宋体" w:hAnsi="宋体" w:eastAsia="宋体" w:cs="宋体"/>
          <w:b w:val="0"/>
          <w:bCs/>
          <w:color w:val="000000"/>
          <w:sz w:val="24"/>
          <w:highlight w:val="none"/>
        </w:rPr>
        <w:t>”中的条款号逐项填写，“</w:t>
      </w:r>
      <w:r>
        <w:rPr>
          <w:rFonts w:hint="eastAsia" w:ascii="宋体" w:hAnsi="宋体" w:eastAsia="宋体" w:cs="宋体"/>
          <w:b w:val="0"/>
          <w:bCs/>
          <w:color w:val="000000"/>
          <w:sz w:val="24"/>
          <w:highlight w:val="none"/>
          <w:lang w:eastAsia="zh-CN"/>
        </w:rPr>
        <w:t>响应文件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响应</w:t>
      </w:r>
      <w:r>
        <w:rPr>
          <w:rFonts w:hint="eastAsia" w:ascii="宋体" w:hAnsi="宋体" w:eastAsia="宋体" w:cs="宋体"/>
          <w:b w:val="0"/>
          <w:bCs/>
          <w:color w:val="000000"/>
          <w:sz w:val="24"/>
          <w:highlight w:val="none"/>
        </w:rPr>
        <w:t>”一栏应如实反映响应服务</w:t>
      </w:r>
      <w:r>
        <w:rPr>
          <w:rFonts w:hint="eastAsia" w:ascii="宋体" w:hAnsi="宋体" w:eastAsia="宋体" w:cs="宋体"/>
          <w:b w:val="0"/>
          <w:bCs/>
          <w:color w:val="000000"/>
          <w:sz w:val="24"/>
          <w:highlight w:val="none"/>
          <w:lang w:val="en-US" w:eastAsia="zh-CN"/>
        </w:rPr>
        <w:t>情况</w:t>
      </w:r>
      <w:r>
        <w:rPr>
          <w:rFonts w:hint="eastAsia" w:ascii="宋体" w:hAnsi="宋体" w:eastAsia="宋体" w:cs="宋体"/>
          <w:b w:val="0"/>
          <w:bCs/>
          <w:color w:val="000000"/>
          <w:sz w:val="24"/>
          <w:highlight w:val="none"/>
        </w:rPr>
        <w:t>，，不得虚假响应，否则将视为未实质性响应</w:t>
      </w:r>
      <w:r>
        <w:rPr>
          <w:rFonts w:hint="eastAsia" w:ascii="宋体" w:hAnsi="宋体" w:cs="宋体"/>
          <w:b w:val="0"/>
          <w:bCs/>
          <w:color w:val="000000"/>
          <w:sz w:val="24"/>
          <w:highlight w:val="none"/>
          <w:lang w:eastAsia="zh-CN"/>
        </w:rPr>
        <w:t>招标文件</w:t>
      </w:r>
      <w:r>
        <w:rPr>
          <w:rFonts w:hint="eastAsia" w:ascii="宋体" w:hAnsi="宋体" w:eastAsia="宋体" w:cs="宋体"/>
          <w:b w:val="0"/>
          <w:bCs/>
          <w:color w:val="000000"/>
          <w:sz w:val="24"/>
          <w:highlight w:val="none"/>
        </w:rPr>
        <w:t>要求，</w:t>
      </w:r>
      <w:r>
        <w:rPr>
          <w:rFonts w:hint="eastAsia" w:ascii="宋体" w:hAnsi="宋体" w:eastAsia="宋体" w:cs="宋体"/>
          <w:b w:val="0"/>
          <w:bCs/>
          <w:color w:val="000000"/>
          <w:sz w:val="24"/>
          <w:highlight w:val="none"/>
          <w:lang w:val="en-US" w:eastAsia="zh-CN"/>
        </w:rPr>
        <w:t>响应</w:t>
      </w:r>
      <w:r>
        <w:rPr>
          <w:rFonts w:hint="eastAsia" w:ascii="宋体" w:hAnsi="宋体" w:eastAsia="宋体" w:cs="宋体"/>
          <w:b w:val="0"/>
          <w:bCs/>
          <w:color w:val="000000"/>
          <w:sz w:val="24"/>
          <w:highlight w:val="none"/>
        </w:rPr>
        <w:t>无效</w:t>
      </w:r>
      <w:r>
        <w:rPr>
          <w:rFonts w:hint="eastAsia" w:ascii="宋体" w:hAnsi="宋体" w:eastAsia="宋体" w:cs="宋体"/>
          <w:b w:val="0"/>
          <w:bCs/>
          <w:color w:val="000000"/>
          <w:sz w:val="24"/>
          <w:highlight w:val="none"/>
          <w:lang w:eastAsia="zh-CN"/>
        </w:rPr>
        <w:t>。</w:t>
      </w:r>
    </w:p>
    <w:p w14:paraId="2431431E">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756E213A">
      <w:pPr>
        <w:numPr>
          <w:ilvl w:val="0"/>
          <w:numId w:val="0"/>
        </w:numPr>
        <w:jc w:val="center"/>
        <w:outlineLvl w:val="1"/>
        <w:rPr>
          <w:rFonts w:hint="eastAsia" w:ascii="宋体" w:hAnsi="宋体" w:eastAsia="宋体" w:cs="宋体"/>
          <w:b/>
          <w:bCs/>
          <w:color w:val="auto"/>
          <w:kern w:val="0"/>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kern w:val="0"/>
          <w:sz w:val="24"/>
          <w:szCs w:val="24"/>
          <w:highlight w:val="none"/>
        </w:rPr>
        <w:t>拟配备人员情况</w:t>
      </w:r>
    </w:p>
    <w:p w14:paraId="1A2D2676">
      <w:pPr>
        <w:pStyle w:val="7"/>
        <w:numPr>
          <w:ilvl w:val="0"/>
          <w:numId w:val="0"/>
        </w:numPr>
        <w:rPr>
          <w:rFonts w:hint="eastAsia" w:ascii="宋体" w:hAnsi="宋体" w:eastAsia="宋体" w:cs="宋体"/>
          <w:color w:val="auto"/>
          <w:sz w:val="24"/>
          <w:szCs w:val="24"/>
          <w:highlight w:val="none"/>
        </w:rPr>
      </w:pPr>
    </w:p>
    <w:p w14:paraId="14A7EFBC">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1、项目负责人介绍应包括：姓名、性别、年龄、学历、参加工作时间等。</w:t>
      </w:r>
    </w:p>
    <w:p w14:paraId="73E1E0FC">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2、项目负责人近三年（20</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年1月1日至今）的类似业绩（按下表填写）</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1470"/>
        <w:gridCol w:w="2099"/>
        <w:gridCol w:w="1152"/>
      </w:tblGrid>
      <w:tr w14:paraId="622B0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472" w:type="dxa"/>
            <w:tcBorders>
              <w:top w:val="single" w:color="auto" w:sz="12" w:space="0"/>
              <w:left w:val="single" w:color="auto" w:sz="12" w:space="0"/>
              <w:bottom w:val="single" w:color="auto" w:sz="6" w:space="0"/>
              <w:right w:val="single" w:color="auto" w:sz="6" w:space="0"/>
            </w:tcBorders>
            <w:noWrap w:val="0"/>
            <w:vAlign w:val="center"/>
          </w:tcPr>
          <w:p w14:paraId="43146620">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单位</w:t>
            </w:r>
          </w:p>
        </w:tc>
        <w:tc>
          <w:tcPr>
            <w:tcW w:w="1470" w:type="dxa"/>
            <w:tcBorders>
              <w:top w:val="single" w:color="auto" w:sz="12" w:space="0"/>
              <w:left w:val="single" w:color="auto" w:sz="6" w:space="0"/>
              <w:bottom w:val="single" w:color="auto" w:sz="6" w:space="0"/>
              <w:right w:val="single" w:color="auto" w:sz="6" w:space="0"/>
            </w:tcBorders>
            <w:noWrap w:val="0"/>
            <w:vAlign w:val="center"/>
          </w:tcPr>
          <w:p w14:paraId="47F5E259">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内容</w:t>
            </w:r>
          </w:p>
        </w:tc>
        <w:tc>
          <w:tcPr>
            <w:tcW w:w="2099" w:type="dxa"/>
            <w:tcBorders>
              <w:top w:val="single" w:color="auto" w:sz="12" w:space="0"/>
              <w:left w:val="single" w:color="auto" w:sz="6" w:space="0"/>
              <w:bottom w:val="single" w:color="auto" w:sz="6" w:space="0"/>
              <w:right w:val="single" w:color="auto" w:sz="6" w:space="0"/>
            </w:tcBorders>
            <w:noWrap w:val="0"/>
            <w:vAlign w:val="center"/>
          </w:tcPr>
          <w:p w14:paraId="56749C02">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服务时间</w:t>
            </w:r>
          </w:p>
        </w:tc>
        <w:tc>
          <w:tcPr>
            <w:tcW w:w="1152" w:type="dxa"/>
            <w:tcBorders>
              <w:top w:val="single" w:color="auto" w:sz="12" w:space="0"/>
              <w:left w:val="single" w:color="auto" w:sz="4" w:space="0"/>
              <w:bottom w:val="single" w:color="auto" w:sz="6" w:space="0"/>
              <w:right w:val="single" w:color="auto" w:sz="12" w:space="0"/>
            </w:tcBorders>
            <w:noWrap w:val="0"/>
            <w:vAlign w:val="center"/>
          </w:tcPr>
          <w:p w14:paraId="3967FDCF">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备注</w:t>
            </w:r>
          </w:p>
        </w:tc>
      </w:tr>
      <w:tr w14:paraId="172CD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472" w:type="dxa"/>
            <w:tcBorders>
              <w:top w:val="single" w:color="auto" w:sz="6" w:space="0"/>
              <w:left w:val="single" w:color="auto" w:sz="12" w:space="0"/>
              <w:bottom w:val="single" w:color="auto" w:sz="12" w:space="0"/>
              <w:right w:val="single" w:color="auto" w:sz="6" w:space="0"/>
            </w:tcBorders>
            <w:noWrap w:val="0"/>
            <w:vAlign w:val="center"/>
          </w:tcPr>
          <w:p w14:paraId="1E71B318">
            <w:pPr>
              <w:spacing w:line="400" w:lineRule="exact"/>
              <w:jc w:val="left"/>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12" w:space="0"/>
              <w:right w:val="single" w:color="auto" w:sz="6" w:space="0"/>
            </w:tcBorders>
            <w:noWrap w:val="0"/>
            <w:vAlign w:val="center"/>
          </w:tcPr>
          <w:p w14:paraId="6878CE52">
            <w:pPr>
              <w:spacing w:line="400" w:lineRule="exact"/>
              <w:jc w:val="left"/>
              <w:rPr>
                <w:rFonts w:hint="eastAsia" w:ascii="宋体" w:hAnsi="宋体" w:cs="宋体"/>
                <w:color w:val="auto"/>
                <w:sz w:val="24"/>
                <w:highlight w:val="none"/>
              </w:rPr>
            </w:pPr>
          </w:p>
        </w:tc>
        <w:tc>
          <w:tcPr>
            <w:tcW w:w="2099" w:type="dxa"/>
            <w:tcBorders>
              <w:top w:val="single" w:color="auto" w:sz="6" w:space="0"/>
              <w:left w:val="single" w:color="auto" w:sz="6" w:space="0"/>
              <w:bottom w:val="single" w:color="auto" w:sz="12" w:space="0"/>
              <w:right w:val="single" w:color="auto" w:sz="6" w:space="0"/>
            </w:tcBorders>
            <w:noWrap w:val="0"/>
            <w:vAlign w:val="center"/>
          </w:tcPr>
          <w:p w14:paraId="75BE02B0">
            <w:pPr>
              <w:spacing w:line="400" w:lineRule="exact"/>
              <w:jc w:val="left"/>
              <w:rPr>
                <w:rFonts w:hint="eastAsia" w:ascii="宋体" w:hAnsi="宋体" w:cs="宋体"/>
                <w:color w:val="auto"/>
                <w:sz w:val="24"/>
                <w:highlight w:val="none"/>
              </w:rPr>
            </w:pPr>
          </w:p>
        </w:tc>
        <w:tc>
          <w:tcPr>
            <w:tcW w:w="1152" w:type="dxa"/>
            <w:tcBorders>
              <w:top w:val="single" w:color="auto" w:sz="6" w:space="0"/>
              <w:left w:val="single" w:color="auto" w:sz="4" w:space="0"/>
              <w:bottom w:val="single" w:color="auto" w:sz="12" w:space="0"/>
              <w:right w:val="single" w:color="auto" w:sz="12" w:space="0"/>
            </w:tcBorders>
            <w:noWrap w:val="0"/>
            <w:vAlign w:val="center"/>
          </w:tcPr>
          <w:p w14:paraId="1BB5CC8F">
            <w:pPr>
              <w:spacing w:line="400" w:lineRule="exact"/>
              <w:jc w:val="left"/>
              <w:rPr>
                <w:rFonts w:hint="eastAsia" w:ascii="宋体" w:hAnsi="宋体" w:cs="宋体"/>
                <w:color w:val="auto"/>
                <w:sz w:val="24"/>
                <w:highlight w:val="none"/>
              </w:rPr>
            </w:pPr>
          </w:p>
        </w:tc>
      </w:tr>
    </w:tbl>
    <w:p w14:paraId="6A186AF3">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3、项目负责人简历格式自拟，后附身份证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资格证书</w:t>
      </w:r>
      <w:r>
        <w:rPr>
          <w:rFonts w:hint="eastAsia" w:ascii="宋体" w:hAnsi="宋体" w:cs="宋体"/>
          <w:color w:val="auto"/>
          <w:sz w:val="24"/>
          <w:highlight w:val="none"/>
        </w:rPr>
        <w:t>、学历证书等彩色扫描件。</w:t>
      </w:r>
    </w:p>
    <w:p w14:paraId="0D7E63E6">
      <w:pPr>
        <w:autoSpaceDE w:val="0"/>
        <w:autoSpaceDN w:val="0"/>
        <w:adjustRightInd w:val="0"/>
        <w:rPr>
          <w:rFonts w:hint="eastAsia" w:ascii="宋体" w:hAnsi="宋体" w:cs="宋体"/>
          <w:bCs/>
          <w:color w:val="auto"/>
          <w:highlight w:val="none"/>
        </w:rPr>
      </w:pPr>
    </w:p>
    <w:p w14:paraId="6B7D3B4A">
      <w:pPr>
        <w:pStyle w:val="29"/>
        <w:ind w:firstLine="0"/>
        <w:rPr>
          <w:rFonts w:hint="eastAsia"/>
          <w:color w:val="auto"/>
          <w:highlight w:val="none"/>
        </w:rPr>
      </w:pPr>
    </w:p>
    <w:p w14:paraId="22F551DE">
      <w:pPr>
        <w:rPr>
          <w:rFonts w:hint="eastAsia"/>
          <w:color w:val="auto"/>
          <w:highlight w:val="none"/>
        </w:rPr>
      </w:pPr>
      <w:r>
        <w:rPr>
          <w:rFonts w:hint="eastAsia"/>
          <w:color w:val="auto"/>
          <w:highlight w:val="none"/>
        </w:rPr>
        <w:br w:type="page"/>
      </w:r>
      <w:r>
        <w:rPr>
          <w:rFonts w:hint="eastAsia"/>
          <w:color w:val="auto"/>
          <w:highlight w:val="none"/>
          <w:lang w:val="en-US" w:eastAsia="zh-CN"/>
        </w:rPr>
        <w:t>4</w:t>
      </w:r>
      <w:r>
        <w:rPr>
          <w:rFonts w:hint="eastAsia" w:ascii="宋体" w:hAnsi="宋体" w:cs="宋体"/>
          <w:color w:val="auto"/>
          <w:sz w:val="24"/>
          <w:highlight w:val="none"/>
        </w:rPr>
        <w:t>、项目配备人员</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46F4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14:paraId="1206E22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910" w:type="dxa"/>
            <w:vMerge w:val="restart"/>
            <w:noWrap w:val="0"/>
            <w:vAlign w:val="center"/>
          </w:tcPr>
          <w:p w14:paraId="664A851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12" w:type="dxa"/>
            <w:vMerge w:val="restart"/>
            <w:noWrap w:val="0"/>
            <w:vAlign w:val="center"/>
          </w:tcPr>
          <w:p w14:paraId="4E44B2E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912" w:type="dxa"/>
            <w:vMerge w:val="restart"/>
            <w:noWrap w:val="0"/>
            <w:vAlign w:val="center"/>
          </w:tcPr>
          <w:p w14:paraId="0821FDE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职称或职务</w:t>
            </w:r>
          </w:p>
        </w:tc>
        <w:tc>
          <w:tcPr>
            <w:tcW w:w="912" w:type="dxa"/>
            <w:vMerge w:val="restart"/>
            <w:noWrap w:val="0"/>
            <w:vAlign w:val="center"/>
          </w:tcPr>
          <w:p w14:paraId="138E1EA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常住地</w:t>
            </w:r>
          </w:p>
        </w:tc>
        <w:tc>
          <w:tcPr>
            <w:tcW w:w="3815" w:type="dxa"/>
            <w:gridSpan w:val="4"/>
            <w:noWrap w:val="0"/>
            <w:vAlign w:val="center"/>
          </w:tcPr>
          <w:p w14:paraId="0B6B009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资格证明</w:t>
            </w:r>
          </w:p>
        </w:tc>
      </w:tr>
      <w:tr w14:paraId="028A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14:paraId="22BB41E9">
            <w:pPr>
              <w:spacing w:line="400" w:lineRule="exact"/>
              <w:jc w:val="center"/>
              <w:rPr>
                <w:rFonts w:hint="eastAsia" w:ascii="宋体" w:hAnsi="宋体" w:cs="宋体"/>
                <w:color w:val="auto"/>
                <w:sz w:val="24"/>
                <w:highlight w:val="none"/>
              </w:rPr>
            </w:pPr>
          </w:p>
        </w:tc>
        <w:tc>
          <w:tcPr>
            <w:tcW w:w="910" w:type="dxa"/>
            <w:vMerge w:val="continue"/>
            <w:noWrap w:val="0"/>
            <w:vAlign w:val="center"/>
          </w:tcPr>
          <w:p w14:paraId="0A1E3530">
            <w:pPr>
              <w:spacing w:line="400" w:lineRule="exact"/>
              <w:jc w:val="center"/>
              <w:rPr>
                <w:rFonts w:hint="eastAsia" w:ascii="宋体" w:hAnsi="宋体" w:cs="宋体"/>
                <w:color w:val="auto"/>
                <w:sz w:val="24"/>
                <w:highlight w:val="none"/>
              </w:rPr>
            </w:pPr>
          </w:p>
        </w:tc>
        <w:tc>
          <w:tcPr>
            <w:tcW w:w="912" w:type="dxa"/>
            <w:vMerge w:val="continue"/>
            <w:noWrap w:val="0"/>
            <w:vAlign w:val="center"/>
          </w:tcPr>
          <w:p w14:paraId="7524A68F">
            <w:pPr>
              <w:spacing w:line="400" w:lineRule="exact"/>
              <w:jc w:val="center"/>
              <w:rPr>
                <w:rFonts w:hint="eastAsia" w:ascii="宋体" w:hAnsi="宋体" w:cs="宋体"/>
                <w:color w:val="auto"/>
                <w:sz w:val="24"/>
                <w:highlight w:val="none"/>
              </w:rPr>
            </w:pPr>
          </w:p>
        </w:tc>
        <w:tc>
          <w:tcPr>
            <w:tcW w:w="912" w:type="dxa"/>
            <w:vMerge w:val="continue"/>
            <w:noWrap w:val="0"/>
            <w:vAlign w:val="center"/>
          </w:tcPr>
          <w:p w14:paraId="6C0748EE">
            <w:pPr>
              <w:spacing w:line="400" w:lineRule="exact"/>
              <w:jc w:val="center"/>
              <w:rPr>
                <w:rFonts w:hint="eastAsia" w:ascii="宋体" w:hAnsi="宋体" w:cs="宋体"/>
                <w:color w:val="auto"/>
                <w:sz w:val="24"/>
                <w:highlight w:val="none"/>
              </w:rPr>
            </w:pPr>
          </w:p>
        </w:tc>
        <w:tc>
          <w:tcPr>
            <w:tcW w:w="912" w:type="dxa"/>
            <w:vMerge w:val="continue"/>
            <w:noWrap w:val="0"/>
            <w:vAlign w:val="center"/>
          </w:tcPr>
          <w:p w14:paraId="555672B1">
            <w:pPr>
              <w:spacing w:line="400" w:lineRule="exact"/>
              <w:jc w:val="center"/>
              <w:rPr>
                <w:rFonts w:hint="eastAsia" w:ascii="宋体" w:hAnsi="宋体" w:cs="宋体"/>
                <w:color w:val="auto"/>
                <w:sz w:val="24"/>
                <w:highlight w:val="none"/>
              </w:rPr>
            </w:pPr>
          </w:p>
        </w:tc>
        <w:tc>
          <w:tcPr>
            <w:tcW w:w="1188" w:type="dxa"/>
            <w:noWrap w:val="0"/>
            <w:vAlign w:val="center"/>
          </w:tcPr>
          <w:p w14:paraId="5F8B310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证书名称</w:t>
            </w:r>
          </w:p>
        </w:tc>
        <w:tc>
          <w:tcPr>
            <w:tcW w:w="835" w:type="dxa"/>
            <w:noWrap w:val="0"/>
            <w:vAlign w:val="center"/>
          </w:tcPr>
          <w:p w14:paraId="0B5D9F5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951" w:type="dxa"/>
            <w:noWrap w:val="0"/>
            <w:vAlign w:val="center"/>
          </w:tcPr>
          <w:p w14:paraId="71D0885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841" w:type="dxa"/>
            <w:noWrap w:val="0"/>
            <w:vAlign w:val="center"/>
          </w:tcPr>
          <w:p w14:paraId="2028026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r>
      <w:tr w14:paraId="00F9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3485C55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管</w:t>
            </w:r>
          </w:p>
          <w:p w14:paraId="4551B2D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理</w:t>
            </w:r>
          </w:p>
          <w:p w14:paraId="5B3C119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人</w:t>
            </w:r>
          </w:p>
          <w:p w14:paraId="4FC396F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员</w:t>
            </w:r>
          </w:p>
        </w:tc>
        <w:tc>
          <w:tcPr>
            <w:tcW w:w="910" w:type="dxa"/>
            <w:noWrap w:val="0"/>
            <w:vAlign w:val="top"/>
          </w:tcPr>
          <w:p w14:paraId="0FB6465F">
            <w:pPr>
              <w:spacing w:line="400" w:lineRule="exact"/>
              <w:jc w:val="center"/>
              <w:rPr>
                <w:rFonts w:hint="eastAsia" w:ascii="宋体" w:hAnsi="宋体" w:cs="宋体"/>
                <w:color w:val="auto"/>
                <w:sz w:val="24"/>
                <w:highlight w:val="none"/>
              </w:rPr>
            </w:pPr>
          </w:p>
        </w:tc>
        <w:tc>
          <w:tcPr>
            <w:tcW w:w="912" w:type="dxa"/>
            <w:noWrap w:val="0"/>
            <w:vAlign w:val="top"/>
          </w:tcPr>
          <w:p w14:paraId="4A0EB0C6">
            <w:pPr>
              <w:spacing w:line="400" w:lineRule="exact"/>
              <w:jc w:val="center"/>
              <w:rPr>
                <w:rFonts w:hint="eastAsia" w:ascii="宋体" w:hAnsi="宋体" w:cs="宋体"/>
                <w:color w:val="auto"/>
                <w:sz w:val="24"/>
                <w:highlight w:val="none"/>
              </w:rPr>
            </w:pPr>
          </w:p>
        </w:tc>
        <w:tc>
          <w:tcPr>
            <w:tcW w:w="912" w:type="dxa"/>
            <w:noWrap w:val="0"/>
            <w:vAlign w:val="top"/>
          </w:tcPr>
          <w:p w14:paraId="00C614F9">
            <w:pPr>
              <w:spacing w:line="400" w:lineRule="exact"/>
              <w:jc w:val="center"/>
              <w:rPr>
                <w:rFonts w:hint="eastAsia" w:ascii="宋体" w:hAnsi="宋体" w:cs="宋体"/>
                <w:color w:val="auto"/>
                <w:sz w:val="24"/>
                <w:highlight w:val="none"/>
              </w:rPr>
            </w:pPr>
          </w:p>
        </w:tc>
        <w:tc>
          <w:tcPr>
            <w:tcW w:w="912" w:type="dxa"/>
            <w:noWrap w:val="0"/>
            <w:vAlign w:val="top"/>
          </w:tcPr>
          <w:p w14:paraId="4547B273">
            <w:pPr>
              <w:spacing w:line="400" w:lineRule="exact"/>
              <w:jc w:val="center"/>
              <w:rPr>
                <w:rFonts w:hint="eastAsia" w:ascii="宋体" w:hAnsi="宋体" w:cs="宋体"/>
                <w:color w:val="auto"/>
                <w:sz w:val="24"/>
                <w:highlight w:val="none"/>
              </w:rPr>
            </w:pPr>
          </w:p>
        </w:tc>
        <w:tc>
          <w:tcPr>
            <w:tcW w:w="1188" w:type="dxa"/>
            <w:noWrap w:val="0"/>
            <w:vAlign w:val="top"/>
          </w:tcPr>
          <w:p w14:paraId="162D1BC4">
            <w:pPr>
              <w:spacing w:line="400" w:lineRule="exact"/>
              <w:jc w:val="center"/>
              <w:rPr>
                <w:rFonts w:hint="eastAsia" w:ascii="宋体" w:hAnsi="宋体" w:cs="宋体"/>
                <w:color w:val="auto"/>
                <w:sz w:val="24"/>
                <w:highlight w:val="none"/>
              </w:rPr>
            </w:pPr>
          </w:p>
        </w:tc>
        <w:tc>
          <w:tcPr>
            <w:tcW w:w="835" w:type="dxa"/>
            <w:noWrap w:val="0"/>
            <w:vAlign w:val="top"/>
          </w:tcPr>
          <w:p w14:paraId="0962B259">
            <w:pPr>
              <w:spacing w:line="400" w:lineRule="exact"/>
              <w:jc w:val="center"/>
              <w:rPr>
                <w:rFonts w:hint="eastAsia" w:ascii="宋体" w:hAnsi="宋体" w:cs="宋体"/>
                <w:color w:val="auto"/>
                <w:sz w:val="24"/>
                <w:highlight w:val="none"/>
              </w:rPr>
            </w:pPr>
          </w:p>
        </w:tc>
        <w:tc>
          <w:tcPr>
            <w:tcW w:w="951" w:type="dxa"/>
            <w:noWrap w:val="0"/>
            <w:vAlign w:val="top"/>
          </w:tcPr>
          <w:p w14:paraId="38FC30D7">
            <w:pPr>
              <w:spacing w:line="400" w:lineRule="exact"/>
              <w:jc w:val="center"/>
              <w:rPr>
                <w:rFonts w:hint="eastAsia" w:ascii="宋体" w:hAnsi="宋体" w:cs="宋体"/>
                <w:color w:val="auto"/>
                <w:sz w:val="24"/>
                <w:highlight w:val="none"/>
              </w:rPr>
            </w:pPr>
          </w:p>
        </w:tc>
        <w:tc>
          <w:tcPr>
            <w:tcW w:w="841" w:type="dxa"/>
            <w:noWrap w:val="0"/>
            <w:vAlign w:val="top"/>
          </w:tcPr>
          <w:p w14:paraId="6D500268">
            <w:pPr>
              <w:spacing w:line="400" w:lineRule="exact"/>
              <w:jc w:val="center"/>
              <w:rPr>
                <w:rFonts w:hint="eastAsia" w:ascii="宋体" w:hAnsi="宋体" w:cs="宋体"/>
                <w:color w:val="auto"/>
                <w:sz w:val="24"/>
                <w:highlight w:val="none"/>
              </w:rPr>
            </w:pPr>
          </w:p>
        </w:tc>
      </w:tr>
      <w:tr w14:paraId="0392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0FFB4EA6">
            <w:pPr>
              <w:spacing w:line="400" w:lineRule="exact"/>
              <w:jc w:val="center"/>
              <w:rPr>
                <w:rFonts w:hint="eastAsia" w:ascii="宋体" w:hAnsi="宋体" w:cs="宋体"/>
                <w:color w:val="auto"/>
                <w:sz w:val="24"/>
                <w:highlight w:val="none"/>
              </w:rPr>
            </w:pPr>
          </w:p>
        </w:tc>
        <w:tc>
          <w:tcPr>
            <w:tcW w:w="910" w:type="dxa"/>
            <w:noWrap w:val="0"/>
            <w:vAlign w:val="top"/>
          </w:tcPr>
          <w:p w14:paraId="1E7FBFA0">
            <w:pPr>
              <w:spacing w:line="400" w:lineRule="exact"/>
              <w:jc w:val="center"/>
              <w:rPr>
                <w:rFonts w:hint="eastAsia" w:ascii="宋体" w:hAnsi="宋体" w:cs="宋体"/>
                <w:color w:val="auto"/>
                <w:sz w:val="24"/>
                <w:highlight w:val="none"/>
              </w:rPr>
            </w:pPr>
          </w:p>
        </w:tc>
        <w:tc>
          <w:tcPr>
            <w:tcW w:w="912" w:type="dxa"/>
            <w:noWrap w:val="0"/>
            <w:vAlign w:val="top"/>
          </w:tcPr>
          <w:p w14:paraId="4DAFF48E">
            <w:pPr>
              <w:spacing w:line="400" w:lineRule="exact"/>
              <w:jc w:val="center"/>
              <w:rPr>
                <w:rFonts w:hint="eastAsia" w:ascii="宋体" w:hAnsi="宋体" w:cs="宋体"/>
                <w:color w:val="auto"/>
                <w:sz w:val="24"/>
                <w:highlight w:val="none"/>
              </w:rPr>
            </w:pPr>
          </w:p>
        </w:tc>
        <w:tc>
          <w:tcPr>
            <w:tcW w:w="912" w:type="dxa"/>
            <w:noWrap w:val="0"/>
            <w:vAlign w:val="top"/>
          </w:tcPr>
          <w:p w14:paraId="5668EFF4">
            <w:pPr>
              <w:spacing w:line="400" w:lineRule="exact"/>
              <w:jc w:val="center"/>
              <w:rPr>
                <w:rFonts w:hint="eastAsia" w:ascii="宋体" w:hAnsi="宋体" w:cs="宋体"/>
                <w:color w:val="auto"/>
                <w:sz w:val="24"/>
                <w:highlight w:val="none"/>
              </w:rPr>
            </w:pPr>
          </w:p>
        </w:tc>
        <w:tc>
          <w:tcPr>
            <w:tcW w:w="912" w:type="dxa"/>
            <w:noWrap w:val="0"/>
            <w:vAlign w:val="top"/>
          </w:tcPr>
          <w:p w14:paraId="4E1D94DF">
            <w:pPr>
              <w:spacing w:line="400" w:lineRule="exact"/>
              <w:jc w:val="center"/>
              <w:rPr>
                <w:rFonts w:hint="eastAsia" w:ascii="宋体" w:hAnsi="宋体" w:cs="宋体"/>
                <w:color w:val="auto"/>
                <w:sz w:val="24"/>
                <w:highlight w:val="none"/>
              </w:rPr>
            </w:pPr>
          </w:p>
        </w:tc>
        <w:tc>
          <w:tcPr>
            <w:tcW w:w="1188" w:type="dxa"/>
            <w:noWrap w:val="0"/>
            <w:vAlign w:val="top"/>
          </w:tcPr>
          <w:p w14:paraId="6A751D88">
            <w:pPr>
              <w:spacing w:line="400" w:lineRule="exact"/>
              <w:jc w:val="center"/>
              <w:rPr>
                <w:rFonts w:hint="eastAsia" w:ascii="宋体" w:hAnsi="宋体" w:cs="宋体"/>
                <w:color w:val="auto"/>
                <w:sz w:val="24"/>
                <w:highlight w:val="none"/>
              </w:rPr>
            </w:pPr>
          </w:p>
        </w:tc>
        <w:tc>
          <w:tcPr>
            <w:tcW w:w="835" w:type="dxa"/>
            <w:noWrap w:val="0"/>
            <w:vAlign w:val="top"/>
          </w:tcPr>
          <w:p w14:paraId="520C5429">
            <w:pPr>
              <w:spacing w:line="400" w:lineRule="exact"/>
              <w:jc w:val="center"/>
              <w:rPr>
                <w:rFonts w:hint="eastAsia" w:ascii="宋体" w:hAnsi="宋体" w:cs="宋体"/>
                <w:color w:val="auto"/>
                <w:sz w:val="24"/>
                <w:highlight w:val="none"/>
              </w:rPr>
            </w:pPr>
          </w:p>
        </w:tc>
        <w:tc>
          <w:tcPr>
            <w:tcW w:w="951" w:type="dxa"/>
            <w:noWrap w:val="0"/>
            <w:vAlign w:val="top"/>
          </w:tcPr>
          <w:p w14:paraId="40623FAF">
            <w:pPr>
              <w:spacing w:line="400" w:lineRule="exact"/>
              <w:jc w:val="center"/>
              <w:rPr>
                <w:rFonts w:hint="eastAsia" w:ascii="宋体" w:hAnsi="宋体" w:cs="宋体"/>
                <w:color w:val="auto"/>
                <w:sz w:val="24"/>
                <w:highlight w:val="none"/>
              </w:rPr>
            </w:pPr>
          </w:p>
        </w:tc>
        <w:tc>
          <w:tcPr>
            <w:tcW w:w="841" w:type="dxa"/>
            <w:noWrap w:val="0"/>
            <w:vAlign w:val="top"/>
          </w:tcPr>
          <w:p w14:paraId="2683E4E1">
            <w:pPr>
              <w:spacing w:line="400" w:lineRule="exact"/>
              <w:jc w:val="center"/>
              <w:rPr>
                <w:rFonts w:hint="eastAsia" w:ascii="宋体" w:hAnsi="宋体" w:cs="宋体"/>
                <w:color w:val="auto"/>
                <w:sz w:val="24"/>
                <w:highlight w:val="none"/>
              </w:rPr>
            </w:pPr>
          </w:p>
        </w:tc>
      </w:tr>
      <w:tr w14:paraId="08CC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78D9767E">
            <w:pPr>
              <w:spacing w:line="400" w:lineRule="exact"/>
              <w:jc w:val="center"/>
              <w:rPr>
                <w:rFonts w:hint="eastAsia" w:ascii="宋体" w:hAnsi="宋体" w:cs="宋体"/>
                <w:color w:val="auto"/>
                <w:sz w:val="24"/>
                <w:highlight w:val="none"/>
              </w:rPr>
            </w:pPr>
          </w:p>
        </w:tc>
        <w:tc>
          <w:tcPr>
            <w:tcW w:w="910" w:type="dxa"/>
            <w:noWrap w:val="0"/>
            <w:vAlign w:val="top"/>
          </w:tcPr>
          <w:p w14:paraId="2EFCC7EE">
            <w:pPr>
              <w:spacing w:line="400" w:lineRule="exact"/>
              <w:jc w:val="center"/>
              <w:rPr>
                <w:rFonts w:hint="eastAsia" w:ascii="宋体" w:hAnsi="宋体" w:cs="宋体"/>
                <w:color w:val="auto"/>
                <w:sz w:val="24"/>
                <w:highlight w:val="none"/>
              </w:rPr>
            </w:pPr>
          </w:p>
        </w:tc>
        <w:tc>
          <w:tcPr>
            <w:tcW w:w="912" w:type="dxa"/>
            <w:noWrap w:val="0"/>
            <w:vAlign w:val="top"/>
          </w:tcPr>
          <w:p w14:paraId="57123002">
            <w:pPr>
              <w:spacing w:line="400" w:lineRule="exact"/>
              <w:jc w:val="center"/>
              <w:rPr>
                <w:rFonts w:hint="eastAsia" w:ascii="宋体" w:hAnsi="宋体" w:cs="宋体"/>
                <w:color w:val="auto"/>
                <w:sz w:val="24"/>
                <w:highlight w:val="none"/>
              </w:rPr>
            </w:pPr>
          </w:p>
        </w:tc>
        <w:tc>
          <w:tcPr>
            <w:tcW w:w="912" w:type="dxa"/>
            <w:noWrap w:val="0"/>
            <w:vAlign w:val="top"/>
          </w:tcPr>
          <w:p w14:paraId="0C564B7B">
            <w:pPr>
              <w:spacing w:line="400" w:lineRule="exact"/>
              <w:jc w:val="center"/>
              <w:rPr>
                <w:rFonts w:hint="eastAsia" w:ascii="宋体" w:hAnsi="宋体" w:cs="宋体"/>
                <w:color w:val="auto"/>
                <w:sz w:val="24"/>
                <w:highlight w:val="none"/>
              </w:rPr>
            </w:pPr>
          </w:p>
        </w:tc>
        <w:tc>
          <w:tcPr>
            <w:tcW w:w="912" w:type="dxa"/>
            <w:noWrap w:val="0"/>
            <w:vAlign w:val="top"/>
          </w:tcPr>
          <w:p w14:paraId="5802F7A6">
            <w:pPr>
              <w:spacing w:line="400" w:lineRule="exact"/>
              <w:jc w:val="center"/>
              <w:rPr>
                <w:rFonts w:hint="eastAsia" w:ascii="宋体" w:hAnsi="宋体" w:cs="宋体"/>
                <w:color w:val="auto"/>
                <w:sz w:val="24"/>
                <w:highlight w:val="none"/>
              </w:rPr>
            </w:pPr>
          </w:p>
        </w:tc>
        <w:tc>
          <w:tcPr>
            <w:tcW w:w="1188" w:type="dxa"/>
            <w:noWrap w:val="0"/>
            <w:vAlign w:val="top"/>
          </w:tcPr>
          <w:p w14:paraId="4F0DC757">
            <w:pPr>
              <w:spacing w:line="400" w:lineRule="exact"/>
              <w:jc w:val="center"/>
              <w:rPr>
                <w:rFonts w:hint="eastAsia" w:ascii="宋体" w:hAnsi="宋体" w:cs="宋体"/>
                <w:color w:val="auto"/>
                <w:sz w:val="24"/>
                <w:highlight w:val="none"/>
              </w:rPr>
            </w:pPr>
          </w:p>
        </w:tc>
        <w:tc>
          <w:tcPr>
            <w:tcW w:w="835" w:type="dxa"/>
            <w:noWrap w:val="0"/>
            <w:vAlign w:val="top"/>
          </w:tcPr>
          <w:p w14:paraId="5A77E2DB">
            <w:pPr>
              <w:spacing w:line="400" w:lineRule="exact"/>
              <w:jc w:val="center"/>
              <w:rPr>
                <w:rFonts w:hint="eastAsia" w:ascii="宋体" w:hAnsi="宋体" w:cs="宋体"/>
                <w:color w:val="auto"/>
                <w:sz w:val="24"/>
                <w:highlight w:val="none"/>
              </w:rPr>
            </w:pPr>
          </w:p>
        </w:tc>
        <w:tc>
          <w:tcPr>
            <w:tcW w:w="951" w:type="dxa"/>
            <w:noWrap w:val="0"/>
            <w:vAlign w:val="top"/>
          </w:tcPr>
          <w:p w14:paraId="67FFD961">
            <w:pPr>
              <w:spacing w:line="400" w:lineRule="exact"/>
              <w:jc w:val="center"/>
              <w:rPr>
                <w:rFonts w:hint="eastAsia" w:ascii="宋体" w:hAnsi="宋体" w:cs="宋体"/>
                <w:color w:val="auto"/>
                <w:sz w:val="24"/>
                <w:highlight w:val="none"/>
              </w:rPr>
            </w:pPr>
          </w:p>
        </w:tc>
        <w:tc>
          <w:tcPr>
            <w:tcW w:w="841" w:type="dxa"/>
            <w:noWrap w:val="0"/>
            <w:vAlign w:val="top"/>
          </w:tcPr>
          <w:p w14:paraId="6C127D28">
            <w:pPr>
              <w:spacing w:line="400" w:lineRule="exact"/>
              <w:jc w:val="center"/>
              <w:rPr>
                <w:rFonts w:hint="eastAsia" w:ascii="宋体" w:hAnsi="宋体" w:cs="宋体"/>
                <w:color w:val="auto"/>
                <w:sz w:val="24"/>
                <w:highlight w:val="none"/>
              </w:rPr>
            </w:pPr>
          </w:p>
        </w:tc>
      </w:tr>
      <w:tr w14:paraId="2546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14:paraId="11001910">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服</w:t>
            </w:r>
          </w:p>
          <w:p w14:paraId="2BC0E5B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务</w:t>
            </w:r>
          </w:p>
          <w:p w14:paraId="632E823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人</w:t>
            </w:r>
          </w:p>
          <w:p w14:paraId="7314BD7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员</w:t>
            </w:r>
          </w:p>
        </w:tc>
        <w:tc>
          <w:tcPr>
            <w:tcW w:w="910" w:type="dxa"/>
            <w:noWrap w:val="0"/>
            <w:vAlign w:val="top"/>
          </w:tcPr>
          <w:p w14:paraId="6EF8D6BF">
            <w:pPr>
              <w:spacing w:line="400" w:lineRule="exact"/>
              <w:jc w:val="center"/>
              <w:rPr>
                <w:rFonts w:hint="eastAsia" w:ascii="宋体" w:hAnsi="宋体" w:cs="宋体"/>
                <w:color w:val="auto"/>
                <w:sz w:val="24"/>
                <w:highlight w:val="none"/>
              </w:rPr>
            </w:pPr>
          </w:p>
        </w:tc>
        <w:tc>
          <w:tcPr>
            <w:tcW w:w="912" w:type="dxa"/>
            <w:noWrap w:val="0"/>
            <w:vAlign w:val="top"/>
          </w:tcPr>
          <w:p w14:paraId="4FF83F9F">
            <w:pPr>
              <w:spacing w:line="400" w:lineRule="exact"/>
              <w:jc w:val="center"/>
              <w:rPr>
                <w:rFonts w:hint="eastAsia" w:ascii="宋体" w:hAnsi="宋体" w:cs="宋体"/>
                <w:color w:val="auto"/>
                <w:sz w:val="24"/>
                <w:highlight w:val="none"/>
              </w:rPr>
            </w:pPr>
          </w:p>
        </w:tc>
        <w:tc>
          <w:tcPr>
            <w:tcW w:w="912" w:type="dxa"/>
            <w:noWrap w:val="0"/>
            <w:vAlign w:val="top"/>
          </w:tcPr>
          <w:p w14:paraId="386A465F">
            <w:pPr>
              <w:spacing w:line="400" w:lineRule="exact"/>
              <w:jc w:val="center"/>
              <w:rPr>
                <w:rFonts w:hint="eastAsia" w:ascii="宋体" w:hAnsi="宋体" w:cs="宋体"/>
                <w:color w:val="auto"/>
                <w:sz w:val="24"/>
                <w:highlight w:val="none"/>
              </w:rPr>
            </w:pPr>
          </w:p>
        </w:tc>
        <w:tc>
          <w:tcPr>
            <w:tcW w:w="912" w:type="dxa"/>
            <w:noWrap w:val="0"/>
            <w:vAlign w:val="top"/>
          </w:tcPr>
          <w:p w14:paraId="62CEAC8B">
            <w:pPr>
              <w:spacing w:line="400" w:lineRule="exact"/>
              <w:jc w:val="center"/>
              <w:rPr>
                <w:rFonts w:hint="eastAsia" w:ascii="宋体" w:hAnsi="宋体" w:cs="宋体"/>
                <w:color w:val="auto"/>
                <w:sz w:val="24"/>
                <w:highlight w:val="none"/>
              </w:rPr>
            </w:pPr>
          </w:p>
        </w:tc>
        <w:tc>
          <w:tcPr>
            <w:tcW w:w="1188" w:type="dxa"/>
            <w:noWrap w:val="0"/>
            <w:vAlign w:val="top"/>
          </w:tcPr>
          <w:p w14:paraId="3EBF3A1B">
            <w:pPr>
              <w:spacing w:line="400" w:lineRule="exact"/>
              <w:jc w:val="center"/>
              <w:rPr>
                <w:rFonts w:hint="eastAsia" w:ascii="宋体" w:hAnsi="宋体" w:cs="宋体"/>
                <w:color w:val="auto"/>
                <w:sz w:val="24"/>
                <w:highlight w:val="none"/>
              </w:rPr>
            </w:pPr>
          </w:p>
        </w:tc>
        <w:tc>
          <w:tcPr>
            <w:tcW w:w="835" w:type="dxa"/>
            <w:noWrap w:val="0"/>
            <w:vAlign w:val="top"/>
          </w:tcPr>
          <w:p w14:paraId="0FAF7DCA">
            <w:pPr>
              <w:spacing w:line="400" w:lineRule="exact"/>
              <w:jc w:val="center"/>
              <w:rPr>
                <w:rFonts w:hint="eastAsia" w:ascii="宋体" w:hAnsi="宋体" w:cs="宋体"/>
                <w:color w:val="auto"/>
                <w:sz w:val="24"/>
                <w:highlight w:val="none"/>
              </w:rPr>
            </w:pPr>
          </w:p>
        </w:tc>
        <w:tc>
          <w:tcPr>
            <w:tcW w:w="951" w:type="dxa"/>
            <w:noWrap w:val="0"/>
            <w:vAlign w:val="top"/>
          </w:tcPr>
          <w:p w14:paraId="02B8B821">
            <w:pPr>
              <w:spacing w:line="400" w:lineRule="exact"/>
              <w:jc w:val="center"/>
              <w:rPr>
                <w:rFonts w:hint="eastAsia" w:ascii="宋体" w:hAnsi="宋体" w:cs="宋体"/>
                <w:color w:val="auto"/>
                <w:sz w:val="24"/>
                <w:highlight w:val="none"/>
              </w:rPr>
            </w:pPr>
          </w:p>
        </w:tc>
        <w:tc>
          <w:tcPr>
            <w:tcW w:w="841" w:type="dxa"/>
            <w:noWrap w:val="0"/>
            <w:vAlign w:val="top"/>
          </w:tcPr>
          <w:p w14:paraId="5986BAD3">
            <w:pPr>
              <w:spacing w:line="400" w:lineRule="exact"/>
              <w:jc w:val="center"/>
              <w:rPr>
                <w:rFonts w:hint="eastAsia" w:ascii="宋体" w:hAnsi="宋体" w:cs="宋体"/>
                <w:color w:val="auto"/>
                <w:sz w:val="24"/>
                <w:highlight w:val="none"/>
              </w:rPr>
            </w:pPr>
          </w:p>
        </w:tc>
      </w:tr>
      <w:tr w14:paraId="2FC0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23D981A8">
            <w:pPr>
              <w:spacing w:line="400" w:lineRule="exact"/>
              <w:jc w:val="center"/>
              <w:rPr>
                <w:rFonts w:hint="eastAsia" w:ascii="宋体" w:hAnsi="宋体" w:cs="宋体"/>
                <w:color w:val="auto"/>
                <w:sz w:val="24"/>
                <w:highlight w:val="none"/>
              </w:rPr>
            </w:pPr>
          </w:p>
        </w:tc>
        <w:tc>
          <w:tcPr>
            <w:tcW w:w="910" w:type="dxa"/>
            <w:noWrap w:val="0"/>
            <w:vAlign w:val="top"/>
          </w:tcPr>
          <w:p w14:paraId="1E0C47CF">
            <w:pPr>
              <w:spacing w:line="400" w:lineRule="exact"/>
              <w:jc w:val="center"/>
              <w:rPr>
                <w:rFonts w:hint="eastAsia" w:ascii="宋体" w:hAnsi="宋体" w:cs="宋体"/>
                <w:color w:val="auto"/>
                <w:sz w:val="24"/>
                <w:highlight w:val="none"/>
              </w:rPr>
            </w:pPr>
          </w:p>
        </w:tc>
        <w:tc>
          <w:tcPr>
            <w:tcW w:w="912" w:type="dxa"/>
            <w:noWrap w:val="0"/>
            <w:vAlign w:val="top"/>
          </w:tcPr>
          <w:p w14:paraId="6FBE7526">
            <w:pPr>
              <w:spacing w:line="400" w:lineRule="exact"/>
              <w:jc w:val="center"/>
              <w:rPr>
                <w:rFonts w:hint="eastAsia" w:ascii="宋体" w:hAnsi="宋体" w:cs="宋体"/>
                <w:color w:val="auto"/>
                <w:sz w:val="24"/>
                <w:highlight w:val="none"/>
              </w:rPr>
            </w:pPr>
          </w:p>
        </w:tc>
        <w:tc>
          <w:tcPr>
            <w:tcW w:w="912" w:type="dxa"/>
            <w:noWrap w:val="0"/>
            <w:vAlign w:val="top"/>
          </w:tcPr>
          <w:p w14:paraId="487B877E">
            <w:pPr>
              <w:spacing w:line="400" w:lineRule="exact"/>
              <w:jc w:val="center"/>
              <w:rPr>
                <w:rFonts w:hint="eastAsia" w:ascii="宋体" w:hAnsi="宋体" w:cs="宋体"/>
                <w:color w:val="auto"/>
                <w:sz w:val="24"/>
                <w:highlight w:val="none"/>
              </w:rPr>
            </w:pPr>
          </w:p>
        </w:tc>
        <w:tc>
          <w:tcPr>
            <w:tcW w:w="912" w:type="dxa"/>
            <w:noWrap w:val="0"/>
            <w:vAlign w:val="top"/>
          </w:tcPr>
          <w:p w14:paraId="3C0493E5">
            <w:pPr>
              <w:spacing w:line="400" w:lineRule="exact"/>
              <w:jc w:val="center"/>
              <w:rPr>
                <w:rFonts w:hint="eastAsia" w:ascii="宋体" w:hAnsi="宋体" w:cs="宋体"/>
                <w:color w:val="auto"/>
                <w:sz w:val="24"/>
                <w:highlight w:val="none"/>
              </w:rPr>
            </w:pPr>
          </w:p>
        </w:tc>
        <w:tc>
          <w:tcPr>
            <w:tcW w:w="1188" w:type="dxa"/>
            <w:noWrap w:val="0"/>
            <w:vAlign w:val="top"/>
          </w:tcPr>
          <w:p w14:paraId="57BD9D01">
            <w:pPr>
              <w:spacing w:line="400" w:lineRule="exact"/>
              <w:jc w:val="center"/>
              <w:rPr>
                <w:rFonts w:hint="eastAsia" w:ascii="宋体" w:hAnsi="宋体" w:cs="宋体"/>
                <w:color w:val="auto"/>
                <w:sz w:val="24"/>
                <w:highlight w:val="none"/>
              </w:rPr>
            </w:pPr>
          </w:p>
        </w:tc>
        <w:tc>
          <w:tcPr>
            <w:tcW w:w="835" w:type="dxa"/>
            <w:noWrap w:val="0"/>
            <w:vAlign w:val="top"/>
          </w:tcPr>
          <w:p w14:paraId="5193A946">
            <w:pPr>
              <w:spacing w:line="400" w:lineRule="exact"/>
              <w:jc w:val="center"/>
              <w:rPr>
                <w:rFonts w:hint="eastAsia" w:ascii="宋体" w:hAnsi="宋体" w:cs="宋体"/>
                <w:color w:val="auto"/>
                <w:sz w:val="24"/>
                <w:highlight w:val="none"/>
              </w:rPr>
            </w:pPr>
          </w:p>
        </w:tc>
        <w:tc>
          <w:tcPr>
            <w:tcW w:w="951" w:type="dxa"/>
            <w:noWrap w:val="0"/>
            <w:vAlign w:val="top"/>
          </w:tcPr>
          <w:p w14:paraId="1FD3E851">
            <w:pPr>
              <w:spacing w:line="400" w:lineRule="exact"/>
              <w:jc w:val="center"/>
              <w:rPr>
                <w:rFonts w:hint="eastAsia" w:ascii="宋体" w:hAnsi="宋体" w:cs="宋体"/>
                <w:color w:val="auto"/>
                <w:sz w:val="24"/>
                <w:highlight w:val="none"/>
              </w:rPr>
            </w:pPr>
          </w:p>
        </w:tc>
        <w:tc>
          <w:tcPr>
            <w:tcW w:w="841" w:type="dxa"/>
            <w:noWrap w:val="0"/>
            <w:vAlign w:val="top"/>
          </w:tcPr>
          <w:p w14:paraId="3496DC47">
            <w:pPr>
              <w:spacing w:line="400" w:lineRule="exact"/>
              <w:jc w:val="center"/>
              <w:rPr>
                <w:rFonts w:hint="eastAsia" w:ascii="宋体" w:hAnsi="宋体" w:cs="宋体"/>
                <w:color w:val="auto"/>
                <w:sz w:val="24"/>
                <w:highlight w:val="none"/>
              </w:rPr>
            </w:pPr>
          </w:p>
        </w:tc>
      </w:tr>
      <w:tr w14:paraId="1D1D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D06DC45">
            <w:pPr>
              <w:spacing w:line="400" w:lineRule="exact"/>
              <w:jc w:val="center"/>
              <w:rPr>
                <w:rFonts w:hint="eastAsia" w:ascii="宋体" w:hAnsi="宋体" w:cs="宋体"/>
                <w:color w:val="auto"/>
                <w:sz w:val="24"/>
                <w:highlight w:val="none"/>
              </w:rPr>
            </w:pPr>
          </w:p>
        </w:tc>
        <w:tc>
          <w:tcPr>
            <w:tcW w:w="910" w:type="dxa"/>
            <w:noWrap w:val="0"/>
            <w:vAlign w:val="top"/>
          </w:tcPr>
          <w:p w14:paraId="78D75B66">
            <w:pPr>
              <w:spacing w:line="400" w:lineRule="exact"/>
              <w:jc w:val="center"/>
              <w:rPr>
                <w:rFonts w:hint="eastAsia" w:ascii="宋体" w:hAnsi="宋体" w:cs="宋体"/>
                <w:color w:val="auto"/>
                <w:sz w:val="24"/>
                <w:highlight w:val="none"/>
              </w:rPr>
            </w:pPr>
          </w:p>
        </w:tc>
        <w:tc>
          <w:tcPr>
            <w:tcW w:w="912" w:type="dxa"/>
            <w:noWrap w:val="0"/>
            <w:vAlign w:val="top"/>
          </w:tcPr>
          <w:p w14:paraId="430DA020">
            <w:pPr>
              <w:spacing w:line="400" w:lineRule="exact"/>
              <w:jc w:val="center"/>
              <w:rPr>
                <w:rFonts w:hint="eastAsia" w:ascii="宋体" w:hAnsi="宋体" w:cs="宋体"/>
                <w:color w:val="auto"/>
                <w:sz w:val="24"/>
                <w:highlight w:val="none"/>
              </w:rPr>
            </w:pPr>
          </w:p>
        </w:tc>
        <w:tc>
          <w:tcPr>
            <w:tcW w:w="912" w:type="dxa"/>
            <w:noWrap w:val="0"/>
            <w:vAlign w:val="top"/>
          </w:tcPr>
          <w:p w14:paraId="7287524F">
            <w:pPr>
              <w:spacing w:line="400" w:lineRule="exact"/>
              <w:jc w:val="center"/>
              <w:rPr>
                <w:rFonts w:hint="eastAsia" w:ascii="宋体" w:hAnsi="宋体" w:cs="宋体"/>
                <w:color w:val="auto"/>
                <w:sz w:val="24"/>
                <w:highlight w:val="none"/>
              </w:rPr>
            </w:pPr>
          </w:p>
        </w:tc>
        <w:tc>
          <w:tcPr>
            <w:tcW w:w="912" w:type="dxa"/>
            <w:noWrap w:val="0"/>
            <w:vAlign w:val="top"/>
          </w:tcPr>
          <w:p w14:paraId="33D9D1BA">
            <w:pPr>
              <w:spacing w:line="400" w:lineRule="exact"/>
              <w:jc w:val="center"/>
              <w:rPr>
                <w:rFonts w:hint="eastAsia" w:ascii="宋体" w:hAnsi="宋体" w:cs="宋体"/>
                <w:color w:val="auto"/>
                <w:sz w:val="24"/>
                <w:highlight w:val="none"/>
              </w:rPr>
            </w:pPr>
          </w:p>
        </w:tc>
        <w:tc>
          <w:tcPr>
            <w:tcW w:w="1188" w:type="dxa"/>
            <w:noWrap w:val="0"/>
            <w:vAlign w:val="top"/>
          </w:tcPr>
          <w:p w14:paraId="74E880A5">
            <w:pPr>
              <w:spacing w:line="400" w:lineRule="exact"/>
              <w:jc w:val="center"/>
              <w:rPr>
                <w:rFonts w:hint="eastAsia" w:ascii="宋体" w:hAnsi="宋体" w:cs="宋体"/>
                <w:color w:val="auto"/>
                <w:sz w:val="24"/>
                <w:highlight w:val="none"/>
              </w:rPr>
            </w:pPr>
          </w:p>
        </w:tc>
        <w:tc>
          <w:tcPr>
            <w:tcW w:w="835" w:type="dxa"/>
            <w:noWrap w:val="0"/>
            <w:vAlign w:val="top"/>
          </w:tcPr>
          <w:p w14:paraId="1D6A74DE">
            <w:pPr>
              <w:spacing w:line="400" w:lineRule="exact"/>
              <w:jc w:val="center"/>
              <w:rPr>
                <w:rFonts w:hint="eastAsia" w:ascii="宋体" w:hAnsi="宋体" w:cs="宋体"/>
                <w:color w:val="auto"/>
                <w:sz w:val="24"/>
                <w:highlight w:val="none"/>
              </w:rPr>
            </w:pPr>
          </w:p>
        </w:tc>
        <w:tc>
          <w:tcPr>
            <w:tcW w:w="951" w:type="dxa"/>
            <w:noWrap w:val="0"/>
            <w:vAlign w:val="top"/>
          </w:tcPr>
          <w:p w14:paraId="1DEF8BD4">
            <w:pPr>
              <w:spacing w:line="400" w:lineRule="exact"/>
              <w:jc w:val="center"/>
              <w:rPr>
                <w:rFonts w:hint="eastAsia" w:ascii="宋体" w:hAnsi="宋体" w:cs="宋体"/>
                <w:color w:val="auto"/>
                <w:sz w:val="24"/>
                <w:highlight w:val="none"/>
              </w:rPr>
            </w:pPr>
          </w:p>
        </w:tc>
        <w:tc>
          <w:tcPr>
            <w:tcW w:w="841" w:type="dxa"/>
            <w:noWrap w:val="0"/>
            <w:vAlign w:val="top"/>
          </w:tcPr>
          <w:p w14:paraId="548FB476">
            <w:pPr>
              <w:spacing w:line="400" w:lineRule="exact"/>
              <w:jc w:val="center"/>
              <w:rPr>
                <w:rFonts w:hint="eastAsia" w:ascii="宋体" w:hAnsi="宋体" w:cs="宋体"/>
                <w:color w:val="auto"/>
                <w:sz w:val="24"/>
                <w:highlight w:val="none"/>
              </w:rPr>
            </w:pPr>
          </w:p>
        </w:tc>
      </w:tr>
      <w:tr w14:paraId="1757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35246E1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w:t>
            </w:r>
          </w:p>
          <w:p w14:paraId="3E47469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他</w:t>
            </w:r>
          </w:p>
          <w:p w14:paraId="47A7C46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人</w:t>
            </w:r>
          </w:p>
          <w:p w14:paraId="02DD879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员</w:t>
            </w:r>
          </w:p>
        </w:tc>
        <w:tc>
          <w:tcPr>
            <w:tcW w:w="910" w:type="dxa"/>
            <w:noWrap w:val="0"/>
            <w:vAlign w:val="top"/>
          </w:tcPr>
          <w:p w14:paraId="785087A4">
            <w:pPr>
              <w:spacing w:line="400" w:lineRule="exact"/>
              <w:jc w:val="center"/>
              <w:rPr>
                <w:rFonts w:hint="eastAsia" w:ascii="宋体" w:hAnsi="宋体" w:cs="宋体"/>
                <w:color w:val="auto"/>
                <w:sz w:val="24"/>
                <w:highlight w:val="none"/>
              </w:rPr>
            </w:pPr>
          </w:p>
        </w:tc>
        <w:tc>
          <w:tcPr>
            <w:tcW w:w="912" w:type="dxa"/>
            <w:noWrap w:val="0"/>
            <w:vAlign w:val="top"/>
          </w:tcPr>
          <w:p w14:paraId="36D2BE60">
            <w:pPr>
              <w:spacing w:line="400" w:lineRule="exact"/>
              <w:jc w:val="center"/>
              <w:rPr>
                <w:rFonts w:hint="eastAsia" w:ascii="宋体" w:hAnsi="宋体" w:cs="宋体"/>
                <w:color w:val="auto"/>
                <w:sz w:val="24"/>
                <w:highlight w:val="none"/>
              </w:rPr>
            </w:pPr>
          </w:p>
        </w:tc>
        <w:tc>
          <w:tcPr>
            <w:tcW w:w="912" w:type="dxa"/>
            <w:noWrap w:val="0"/>
            <w:vAlign w:val="top"/>
          </w:tcPr>
          <w:p w14:paraId="1FB7D535">
            <w:pPr>
              <w:spacing w:line="400" w:lineRule="exact"/>
              <w:jc w:val="center"/>
              <w:rPr>
                <w:rFonts w:hint="eastAsia" w:ascii="宋体" w:hAnsi="宋体" w:cs="宋体"/>
                <w:color w:val="auto"/>
                <w:sz w:val="24"/>
                <w:highlight w:val="none"/>
              </w:rPr>
            </w:pPr>
          </w:p>
        </w:tc>
        <w:tc>
          <w:tcPr>
            <w:tcW w:w="912" w:type="dxa"/>
            <w:noWrap w:val="0"/>
            <w:vAlign w:val="top"/>
          </w:tcPr>
          <w:p w14:paraId="0D965B0E">
            <w:pPr>
              <w:spacing w:line="400" w:lineRule="exact"/>
              <w:jc w:val="center"/>
              <w:rPr>
                <w:rFonts w:hint="eastAsia" w:ascii="宋体" w:hAnsi="宋体" w:cs="宋体"/>
                <w:color w:val="auto"/>
                <w:sz w:val="24"/>
                <w:highlight w:val="none"/>
              </w:rPr>
            </w:pPr>
          </w:p>
        </w:tc>
        <w:tc>
          <w:tcPr>
            <w:tcW w:w="1188" w:type="dxa"/>
            <w:noWrap w:val="0"/>
            <w:vAlign w:val="top"/>
          </w:tcPr>
          <w:p w14:paraId="589B8600">
            <w:pPr>
              <w:spacing w:line="400" w:lineRule="exact"/>
              <w:jc w:val="center"/>
              <w:rPr>
                <w:rFonts w:hint="eastAsia" w:ascii="宋体" w:hAnsi="宋体" w:cs="宋体"/>
                <w:color w:val="auto"/>
                <w:sz w:val="24"/>
                <w:highlight w:val="none"/>
              </w:rPr>
            </w:pPr>
          </w:p>
        </w:tc>
        <w:tc>
          <w:tcPr>
            <w:tcW w:w="835" w:type="dxa"/>
            <w:noWrap w:val="0"/>
            <w:vAlign w:val="top"/>
          </w:tcPr>
          <w:p w14:paraId="4F52C5DD">
            <w:pPr>
              <w:spacing w:line="400" w:lineRule="exact"/>
              <w:jc w:val="center"/>
              <w:rPr>
                <w:rFonts w:hint="eastAsia" w:ascii="宋体" w:hAnsi="宋体" w:cs="宋体"/>
                <w:color w:val="auto"/>
                <w:sz w:val="24"/>
                <w:highlight w:val="none"/>
              </w:rPr>
            </w:pPr>
          </w:p>
        </w:tc>
        <w:tc>
          <w:tcPr>
            <w:tcW w:w="951" w:type="dxa"/>
            <w:noWrap w:val="0"/>
            <w:vAlign w:val="top"/>
          </w:tcPr>
          <w:p w14:paraId="4A502220">
            <w:pPr>
              <w:spacing w:line="400" w:lineRule="exact"/>
              <w:jc w:val="center"/>
              <w:rPr>
                <w:rFonts w:hint="eastAsia" w:ascii="宋体" w:hAnsi="宋体" w:cs="宋体"/>
                <w:color w:val="auto"/>
                <w:sz w:val="24"/>
                <w:highlight w:val="none"/>
              </w:rPr>
            </w:pPr>
          </w:p>
        </w:tc>
        <w:tc>
          <w:tcPr>
            <w:tcW w:w="841" w:type="dxa"/>
            <w:noWrap w:val="0"/>
            <w:vAlign w:val="top"/>
          </w:tcPr>
          <w:p w14:paraId="5A14A8B2">
            <w:pPr>
              <w:spacing w:line="400" w:lineRule="exact"/>
              <w:jc w:val="center"/>
              <w:rPr>
                <w:rFonts w:hint="eastAsia" w:ascii="宋体" w:hAnsi="宋体" w:cs="宋体"/>
                <w:color w:val="auto"/>
                <w:sz w:val="24"/>
                <w:highlight w:val="none"/>
              </w:rPr>
            </w:pPr>
          </w:p>
        </w:tc>
      </w:tr>
      <w:tr w14:paraId="5836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71F27B98">
            <w:pPr>
              <w:spacing w:line="400" w:lineRule="exact"/>
              <w:jc w:val="center"/>
              <w:rPr>
                <w:rFonts w:hint="eastAsia" w:ascii="宋体" w:hAnsi="宋体" w:cs="宋体"/>
                <w:color w:val="auto"/>
                <w:sz w:val="24"/>
                <w:highlight w:val="none"/>
              </w:rPr>
            </w:pPr>
          </w:p>
        </w:tc>
        <w:tc>
          <w:tcPr>
            <w:tcW w:w="910" w:type="dxa"/>
            <w:noWrap w:val="0"/>
            <w:vAlign w:val="top"/>
          </w:tcPr>
          <w:p w14:paraId="662E45D9">
            <w:pPr>
              <w:spacing w:line="400" w:lineRule="exact"/>
              <w:jc w:val="center"/>
              <w:rPr>
                <w:rFonts w:hint="eastAsia" w:ascii="宋体" w:hAnsi="宋体" w:cs="宋体"/>
                <w:color w:val="auto"/>
                <w:sz w:val="24"/>
                <w:highlight w:val="none"/>
              </w:rPr>
            </w:pPr>
          </w:p>
        </w:tc>
        <w:tc>
          <w:tcPr>
            <w:tcW w:w="912" w:type="dxa"/>
            <w:noWrap w:val="0"/>
            <w:vAlign w:val="top"/>
          </w:tcPr>
          <w:p w14:paraId="6BC71557">
            <w:pPr>
              <w:spacing w:line="400" w:lineRule="exact"/>
              <w:jc w:val="center"/>
              <w:rPr>
                <w:rFonts w:hint="eastAsia" w:ascii="宋体" w:hAnsi="宋体" w:cs="宋体"/>
                <w:b/>
                <w:bCs/>
                <w:color w:val="auto"/>
                <w:sz w:val="24"/>
                <w:highlight w:val="none"/>
              </w:rPr>
            </w:pPr>
          </w:p>
        </w:tc>
        <w:tc>
          <w:tcPr>
            <w:tcW w:w="912" w:type="dxa"/>
            <w:noWrap w:val="0"/>
            <w:vAlign w:val="top"/>
          </w:tcPr>
          <w:p w14:paraId="16759F3F">
            <w:pPr>
              <w:spacing w:line="400" w:lineRule="exact"/>
              <w:jc w:val="center"/>
              <w:rPr>
                <w:rFonts w:hint="eastAsia" w:ascii="宋体" w:hAnsi="宋体" w:cs="宋体"/>
                <w:b/>
                <w:bCs/>
                <w:color w:val="auto"/>
                <w:sz w:val="24"/>
                <w:highlight w:val="none"/>
              </w:rPr>
            </w:pPr>
          </w:p>
        </w:tc>
        <w:tc>
          <w:tcPr>
            <w:tcW w:w="912" w:type="dxa"/>
            <w:noWrap w:val="0"/>
            <w:vAlign w:val="top"/>
          </w:tcPr>
          <w:p w14:paraId="6A669626">
            <w:pPr>
              <w:spacing w:line="400" w:lineRule="exact"/>
              <w:jc w:val="center"/>
              <w:rPr>
                <w:rFonts w:hint="eastAsia" w:ascii="宋体" w:hAnsi="宋体" w:cs="宋体"/>
                <w:b/>
                <w:bCs/>
                <w:color w:val="auto"/>
                <w:sz w:val="24"/>
                <w:highlight w:val="none"/>
              </w:rPr>
            </w:pPr>
          </w:p>
        </w:tc>
        <w:tc>
          <w:tcPr>
            <w:tcW w:w="1188" w:type="dxa"/>
            <w:noWrap w:val="0"/>
            <w:vAlign w:val="top"/>
          </w:tcPr>
          <w:p w14:paraId="4B2AF31C">
            <w:pPr>
              <w:spacing w:line="400" w:lineRule="exact"/>
              <w:jc w:val="center"/>
              <w:rPr>
                <w:rFonts w:hint="eastAsia" w:ascii="宋体" w:hAnsi="宋体" w:cs="宋体"/>
                <w:b/>
                <w:bCs/>
                <w:color w:val="auto"/>
                <w:sz w:val="24"/>
                <w:highlight w:val="none"/>
              </w:rPr>
            </w:pPr>
          </w:p>
        </w:tc>
        <w:tc>
          <w:tcPr>
            <w:tcW w:w="835" w:type="dxa"/>
            <w:noWrap w:val="0"/>
            <w:vAlign w:val="top"/>
          </w:tcPr>
          <w:p w14:paraId="56918E17">
            <w:pPr>
              <w:spacing w:line="400" w:lineRule="exact"/>
              <w:jc w:val="center"/>
              <w:rPr>
                <w:rFonts w:hint="eastAsia" w:ascii="宋体" w:hAnsi="宋体" w:cs="宋体"/>
                <w:b/>
                <w:bCs/>
                <w:color w:val="auto"/>
                <w:sz w:val="24"/>
                <w:highlight w:val="none"/>
              </w:rPr>
            </w:pPr>
          </w:p>
        </w:tc>
        <w:tc>
          <w:tcPr>
            <w:tcW w:w="951" w:type="dxa"/>
            <w:noWrap w:val="0"/>
            <w:vAlign w:val="top"/>
          </w:tcPr>
          <w:p w14:paraId="02327D8D">
            <w:pPr>
              <w:spacing w:line="400" w:lineRule="exact"/>
              <w:jc w:val="center"/>
              <w:rPr>
                <w:rFonts w:hint="eastAsia" w:ascii="宋体" w:hAnsi="宋体" w:cs="宋体"/>
                <w:b/>
                <w:bCs/>
                <w:color w:val="auto"/>
                <w:sz w:val="24"/>
                <w:highlight w:val="none"/>
              </w:rPr>
            </w:pPr>
          </w:p>
        </w:tc>
        <w:tc>
          <w:tcPr>
            <w:tcW w:w="841" w:type="dxa"/>
            <w:noWrap w:val="0"/>
            <w:vAlign w:val="top"/>
          </w:tcPr>
          <w:p w14:paraId="22ECC5E7">
            <w:pPr>
              <w:spacing w:line="400" w:lineRule="exact"/>
              <w:jc w:val="center"/>
              <w:rPr>
                <w:rFonts w:hint="eastAsia" w:ascii="宋体" w:hAnsi="宋体" w:cs="宋体"/>
                <w:b/>
                <w:bCs/>
                <w:color w:val="auto"/>
                <w:sz w:val="24"/>
                <w:highlight w:val="none"/>
              </w:rPr>
            </w:pPr>
          </w:p>
        </w:tc>
      </w:tr>
      <w:tr w14:paraId="578E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12E6B452">
            <w:pPr>
              <w:spacing w:line="400" w:lineRule="exact"/>
              <w:jc w:val="center"/>
              <w:rPr>
                <w:rFonts w:hint="eastAsia" w:ascii="宋体" w:hAnsi="宋体" w:cs="宋体"/>
                <w:color w:val="auto"/>
                <w:sz w:val="24"/>
                <w:highlight w:val="none"/>
              </w:rPr>
            </w:pPr>
          </w:p>
        </w:tc>
        <w:tc>
          <w:tcPr>
            <w:tcW w:w="910" w:type="dxa"/>
            <w:noWrap w:val="0"/>
            <w:vAlign w:val="top"/>
          </w:tcPr>
          <w:p w14:paraId="2CF10BBE">
            <w:pPr>
              <w:spacing w:line="400" w:lineRule="exact"/>
              <w:jc w:val="center"/>
              <w:rPr>
                <w:rFonts w:hint="eastAsia" w:ascii="宋体" w:hAnsi="宋体" w:cs="宋体"/>
                <w:color w:val="auto"/>
                <w:sz w:val="24"/>
                <w:highlight w:val="none"/>
              </w:rPr>
            </w:pPr>
          </w:p>
        </w:tc>
        <w:tc>
          <w:tcPr>
            <w:tcW w:w="912" w:type="dxa"/>
            <w:noWrap w:val="0"/>
            <w:vAlign w:val="top"/>
          </w:tcPr>
          <w:p w14:paraId="29B2DAD7">
            <w:pPr>
              <w:spacing w:line="400" w:lineRule="exact"/>
              <w:jc w:val="center"/>
              <w:rPr>
                <w:rFonts w:hint="eastAsia" w:ascii="宋体" w:hAnsi="宋体" w:cs="宋体"/>
                <w:b/>
                <w:bCs/>
                <w:color w:val="auto"/>
                <w:sz w:val="24"/>
                <w:highlight w:val="none"/>
              </w:rPr>
            </w:pPr>
          </w:p>
        </w:tc>
        <w:tc>
          <w:tcPr>
            <w:tcW w:w="912" w:type="dxa"/>
            <w:noWrap w:val="0"/>
            <w:vAlign w:val="top"/>
          </w:tcPr>
          <w:p w14:paraId="3D1015C6">
            <w:pPr>
              <w:spacing w:line="400" w:lineRule="exact"/>
              <w:jc w:val="center"/>
              <w:rPr>
                <w:rFonts w:hint="eastAsia" w:ascii="宋体" w:hAnsi="宋体" w:cs="宋体"/>
                <w:b/>
                <w:bCs/>
                <w:color w:val="auto"/>
                <w:sz w:val="24"/>
                <w:highlight w:val="none"/>
              </w:rPr>
            </w:pPr>
          </w:p>
        </w:tc>
        <w:tc>
          <w:tcPr>
            <w:tcW w:w="912" w:type="dxa"/>
            <w:noWrap w:val="0"/>
            <w:vAlign w:val="top"/>
          </w:tcPr>
          <w:p w14:paraId="52B4E549">
            <w:pPr>
              <w:spacing w:line="400" w:lineRule="exact"/>
              <w:jc w:val="center"/>
              <w:rPr>
                <w:rFonts w:hint="eastAsia" w:ascii="宋体" w:hAnsi="宋体" w:cs="宋体"/>
                <w:b/>
                <w:bCs/>
                <w:color w:val="auto"/>
                <w:sz w:val="24"/>
                <w:highlight w:val="none"/>
              </w:rPr>
            </w:pPr>
          </w:p>
        </w:tc>
        <w:tc>
          <w:tcPr>
            <w:tcW w:w="1188" w:type="dxa"/>
            <w:noWrap w:val="0"/>
            <w:vAlign w:val="top"/>
          </w:tcPr>
          <w:p w14:paraId="7B032BA9">
            <w:pPr>
              <w:spacing w:line="400" w:lineRule="exact"/>
              <w:jc w:val="center"/>
              <w:rPr>
                <w:rFonts w:hint="eastAsia" w:ascii="宋体" w:hAnsi="宋体" w:cs="宋体"/>
                <w:b/>
                <w:bCs/>
                <w:color w:val="auto"/>
                <w:sz w:val="24"/>
                <w:highlight w:val="none"/>
              </w:rPr>
            </w:pPr>
          </w:p>
        </w:tc>
        <w:tc>
          <w:tcPr>
            <w:tcW w:w="835" w:type="dxa"/>
            <w:noWrap w:val="0"/>
            <w:vAlign w:val="top"/>
          </w:tcPr>
          <w:p w14:paraId="45956945">
            <w:pPr>
              <w:spacing w:line="400" w:lineRule="exact"/>
              <w:jc w:val="center"/>
              <w:rPr>
                <w:rFonts w:hint="eastAsia" w:ascii="宋体" w:hAnsi="宋体" w:cs="宋体"/>
                <w:b/>
                <w:bCs/>
                <w:color w:val="auto"/>
                <w:sz w:val="24"/>
                <w:highlight w:val="none"/>
              </w:rPr>
            </w:pPr>
          </w:p>
        </w:tc>
        <w:tc>
          <w:tcPr>
            <w:tcW w:w="951" w:type="dxa"/>
            <w:noWrap w:val="0"/>
            <w:vAlign w:val="top"/>
          </w:tcPr>
          <w:p w14:paraId="19D033E9">
            <w:pPr>
              <w:spacing w:line="400" w:lineRule="exact"/>
              <w:jc w:val="center"/>
              <w:rPr>
                <w:rFonts w:hint="eastAsia" w:ascii="宋体" w:hAnsi="宋体" w:cs="宋体"/>
                <w:b/>
                <w:bCs/>
                <w:color w:val="auto"/>
                <w:sz w:val="24"/>
                <w:highlight w:val="none"/>
              </w:rPr>
            </w:pPr>
          </w:p>
        </w:tc>
        <w:tc>
          <w:tcPr>
            <w:tcW w:w="841" w:type="dxa"/>
            <w:noWrap w:val="0"/>
            <w:vAlign w:val="top"/>
          </w:tcPr>
          <w:p w14:paraId="627E29E4">
            <w:pPr>
              <w:spacing w:line="400" w:lineRule="exact"/>
              <w:jc w:val="center"/>
              <w:rPr>
                <w:rFonts w:hint="eastAsia" w:ascii="宋体" w:hAnsi="宋体" w:cs="宋体"/>
                <w:b/>
                <w:bCs/>
                <w:color w:val="auto"/>
                <w:sz w:val="24"/>
                <w:highlight w:val="none"/>
              </w:rPr>
            </w:pPr>
          </w:p>
        </w:tc>
      </w:tr>
    </w:tbl>
    <w:p w14:paraId="7E1EA998">
      <w:pPr>
        <w:adjustRightInd w:val="0"/>
        <w:spacing w:line="400" w:lineRule="exact"/>
        <w:ind w:firstLine="900" w:firstLineChars="375"/>
        <w:jc w:val="left"/>
        <w:rPr>
          <w:rFonts w:hint="eastAsia" w:ascii="宋体" w:hAnsi="宋体" w:cs="宋体"/>
          <w:bCs/>
          <w:color w:val="auto"/>
          <w:sz w:val="24"/>
          <w:highlight w:val="none"/>
        </w:rPr>
      </w:pPr>
      <w:r>
        <w:rPr>
          <w:rFonts w:hint="eastAsia" w:ascii="宋体" w:hAnsi="宋体" w:cs="宋体"/>
          <w:bCs/>
          <w:color w:val="auto"/>
          <w:sz w:val="24"/>
          <w:highlight w:val="none"/>
        </w:rPr>
        <w:t>注：后附人员相关证书彩色扫描件。</w:t>
      </w:r>
    </w:p>
    <w:p w14:paraId="6BD995B2">
      <w:pPr>
        <w:pStyle w:val="12"/>
        <w:rPr>
          <w:rFonts w:hint="eastAsia" w:ascii="宋体" w:hAnsi="宋体" w:cs="宋体"/>
          <w:color w:val="auto"/>
          <w:sz w:val="24"/>
          <w:highlight w:val="none"/>
        </w:rPr>
      </w:pPr>
    </w:p>
    <w:p w14:paraId="2D024920">
      <w:pPr>
        <w:adjustRightInd w:val="0"/>
        <w:spacing w:line="400" w:lineRule="exact"/>
        <w:ind w:firstLine="900" w:firstLineChars="375"/>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投标人名称（盖章）：        </w:t>
      </w:r>
    </w:p>
    <w:p w14:paraId="335D5BA2">
      <w:pPr>
        <w:adjustRightInd w:val="0"/>
        <w:spacing w:line="400" w:lineRule="exact"/>
        <w:ind w:firstLine="4020" w:firstLineChars="1675"/>
        <w:rPr>
          <w:rFonts w:hint="eastAsia" w:ascii="宋体" w:hAnsi="宋体" w:cs="宋体"/>
          <w:bCs/>
          <w:color w:val="auto"/>
          <w:sz w:val="24"/>
          <w:highlight w:val="none"/>
        </w:rPr>
      </w:pPr>
      <w:r>
        <w:rPr>
          <w:rFonts w:hint="eastAsia" w:ascii="宋体" w:hAnsi="宋体" w:cs="宋体"/>
          <w:color w:val="auto"/>
          <w:sz w:val="24"/>
          <w:highlight w:val="none"/>
        </w:rPr>
        <w:t>授权人或被授权人（签字或盖章）</w:t>
      </w:r>
      <w:r>
        <w:rPr>
          <w:rFonts w:hint="eastAsia" w:ascii="宋体" w:hAnsi="宋体" w:cs="宋体"/>
          <w:bCs/>
          <w:color w:val="auto"/>
          <w:sz w:val="24"/>
          <w:highlight w:val="none"/>
        </w:rPr>
        <w:t>：</w:t>
      </w:r>
    </w:p>
    <w:p w14:paraId="55B4A880">
      <w:pPr>
        <w:adjustRightInd w:val="0"/>
        <w:spacing w:line="400" w:lineRule="exact"/>
        <w:ind w:firstLine="900" w:firstLineChars="375"/>
        <w:jc w:val="center"/>
        <w:rPr>
          <w:rFonts w:hint="eastAsia" w:ascii="宋体" w:hAnsi="宋体" w:cs="宋体"/>
          <w:bCs/>
          <w:color w:val="auto"/>
          <w:sz w:val="24"/>
          <w:highlight w:val="none"/>
        </w:rPr>
      </w:pPr>
      <w:r>
        <w:rPr>
          <w:rFonts w:hint="eastAsia" w:ascii="宋体" w:hAnsi="宋体" w:cs="宋体"/>
          <w:bCs/>
          <w:color w:val="auto"/>
          <w:sz w:val="24"/>
          <w:highlight w:val="none"/>
        </w:rPr>
        <w:t>日期:</w:t>
      </w:r>
    </w:p>
    <w:p w14:paraId="538FCDDD">
      <w:pPr>
        <w:spacing w:line="360" w:lineRule="auto"/>
        <w:ind w:firstLine="4080" w:firstLineChars="1700"/>
        <w:jc w:val="left"/>
        <w:rPr>
          <w:rFonts w:hint="eastAsia" w:ascii="宋体" w:hAnsi="宋体" w:eastAsia="宋体" w:cs="宋体"/>
          <w:color w:val="auto"/>
          <w:sz w:val="24"/>
          <w:szCs w:val="24"/>
          <w:highlight w:val="none"/>
        </w:rPr>
      </w:pPr>
    </w:p>
    <w:p w14:paraId="16E5C3B9">
      <w:pPr>
        <w:spacing w:line="440" w:lineRule="exact"/>
        <w:jc w:val="center"/>
        <w:rPr>
          <w:rFonts w:hint="eastAsia" w:ascii="宋体" w:hAnsi="宋体" w:eastAsia="宋体" w:cs="宋体"/>
          <w:color w:val="auto"/>
          <w:sz w:val="24"/>
          <w:szCs w:val="24"/>
          <w:highlight w:val="none"/>
        </w:rPr>
      </w:pPr>
    </w:p>
    <w:p w14:paraId="16B29306">
      <w:pPr>
        <w:rPr>
          <w:rFonts w:hint="eastAsia" w:ascii="宋体" w:hAnsi="宋体" w:eastAsia="宋体" w:cs="宋体"/>
          <w:color w:val="auto"/>
          <w:sz w:val="24"/>
          <w:szCs w:val="24"/>
          <w:highlight w:val="none"/>
        </w:rPr>
      </w:pPr>
    </w:p>
    <w:p w14:paraId="5F782793">
      <w:pPr>
        <w:pStyle w:val="25"/>
        <w:spacing w:before="75" w:beforeAutospacing="0" w:after="75" w:afterAutospacing="0" w:line="540" w:lineRule="atLeast"/>
        <w:rPr>
          <w:rFonts w:hint="eastAsia" w:ascii="宋体" w:hAnsi="宋体" w:eastAsia="宋体" w:cs="宋体"/>
          <w:color w:val="auto"/>
          <w:sz w:val="24"/>
          <w:szCs w:val="24"/>
          <w:highlight w:val="none"/>
        </w:rPr>
      </w:pPr>
    </w:p>
    <w:p w14:paraId="40FB603A">
      <w:pPr>
        <w:pStyle w:val="25"/>
        <w:spacing w:before="75" w:beforeAutospacing="0" w:after="75" w:afterAutospacing="0" w:line="540" w:lineRule="atLeast"/>
        <w:rPr>
          <w:rFonts w:hint="eastAsia" w:ascii="宋体" w:hAnsi="宋体" w:eastAsia="宋体" w:cs="宋体"/>
          <w:color w:val="auto"/>
          <w:sz w:val="24"/>
          <w:szCs w:val="24"/>
          <w:highlight w:val="none"/>
        </w:rPr>
      </w:pPr>
    </w:p>
    <w:p w14:paraId="22F90A31">
      <w:pPr>
        <w:pStyle w:val="25"/>
        <w:spacing w:before="75" w:beforeAutospacing="0" w:after="75" w:afterAutospacing="0" w:line="540" w:lineRule="atLeast"/>
        <w:rPr>
          <w:rFonts w:hint="eastAsia" w:ascii="宋体" w:hAnsi="宋体" w:eastAsia="宋体" w:cs="宋体"/>
          <w:color w:val="auto"/>
          <w:sz w:val="24"/>
          <w:szCs w:val="24"/>
          <w:highlight w:val="none"/>
        </w:rPr>
      </w:pPr>
    </w:p>
    <w:p w14:paraId="442E95A2">
      <w:pPr>
        <w:pStyle w:val="29"/>
        <w:numPr>
          <w:ilvl w:val="0"/>
          <w:numId w:val="0"/>
        </w:numPr>
        <w:jc w:val="center"/>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br w:type="page"/>
      </w:r>
      <w:r>
        <w:rPr>
          <w:rFonts w:hint="eastAsia" w:ascii="宋体" w:hAnsi="宋体" w:cs="宋体"/>
          <w:b/>
          <w:bCs/>
          <w:color w:val="auto"/>
          <w:kern w:val="0"/>
          <w:sz w:val="24"/>
          <w:szCs w:val="24"/>
          <w:highlight w:val="none"/>
          <w:lang w:val="en-US" w:eastAsia="zh-CN"/>
        </w:rPr>
        <w:t>七、项目的需求分析</w:t>
      </w:r>
    </w:p>
    <w:p w14:paraId="63A5FF5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bookmarkEnd w:id="138"/>
    <w:p w14:paraId="124ADD84">
      <w:pPr>
        <w:pStyle w:val="7"/>
        <w:ind w:firstLine="0" w:firstLineChars="0"/>
        <w:jc w:val="center"/>
        <w:outlineLvl w:val="1"/>
        <w:rPr>
          <w:rFonts w:hint="default" w:ascii="宋体" w:hAnsi="宋体" w:eastAsia="宋体" w:cs="宋体"/>
          <w:b/>
          <w:bCs/>
          <w:color w:val="auto"/>
          <w:kern w:val="0"/>
          <w:sz w:val="24"/>
          <w:szCs w:val="24"/>
          <w:highlight w:val="none"/>
          <w:lang w:val="en-US" w:eastAsia="zh-CN"/>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143" w:name="_Toc31271_WPSOffice_Level1"/>
      <w:r>
        <w:rPr>
          <w:rFonts w:hint="eastAsia" w:ascii="宋体" w:hAnsi="宋体" w:cs="宋体"/>
          <w:b/>
          <w:bCs/>
          <w:color w:val="auto"/>
          <w:kern w:val="0"/>
          <w:sz w:val="24"/>
          <w:szCs w:val="24"/>
          <w:highlight w:val="none"/>
          <w:lang w:val="en-US" w:eastAsia="zh-CN"/>
        </w:rPr>
        <w:t>根据第五章“评标办法”所需内容自拟格式</w:t>
      </w:r>
    </w:p>
    <w:p w14:paraId="4AD22C91">
      <w:pPr>
        <w:pStyle w:val="29"/>
        <w:numPr>
          <w:ilvl w:val="0"/>
          <w:numId w:val="0"/>
        </w:numPr>
        <w:jc w:val="center"/>
        <w:outlineLvl w:val="1"/>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八、项目服务方案</w:t>
      </w:r>
    </w:p>
    <w:p w14:paraId="045F3D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4688AAD">
      <w:pPr>
        <w:pStyle w:val="7"/>
        <w:ind w:firstLine="0" w:firstLineChars="0"/>
        <w:jc w:val="center"/>
        <w:outlineLvl w:val="1"/>
        <w:rPr>
          <w:rFonts w:hint="default" w:ascii="宋体" w:hAnsi="宋体" w:eastAsia="宋体" w:cs="宋体"/>
          <w:b/>
          <w:bCs/>
          <w:color w:val="auto"/>
          <w:kern w:val="0"/>
          <w:sz w:val="24"/>
          <w:szCs w:val="24"/>
          <w:highlight w:val="none"/>
          <w:lang w:val="en-US" w:eastAsia="zh-CN"/>
        </w:rPr>
        <w:sectPr>
          <w:footerReference r:id="rId8"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b/>
          <w:bCs/>
          <w:color w:val="auto"/>
          <w:kern w:val="0"/>
          <w:sz w:val="24"/>
          <w:szCs w:val="24"/>
          <w:highlight w:val="none"/>
          <w:lang w:val="en-US" w:eastAsia="zh-CN"/>
        </w:rPr>
        <w:t>根据第五章“评标办法”所需内容自拟格式</w:t>
      </w:r>
    </w:p>
    <w:p w14:paraId="521E3341">
      <w:pPr>
        <w:pStyle w:val="7"/>
        <w:ind w:firstLine="0" w:firstLineChars="0"/>
        <w:jc w:val="center"/>
        <w:outlineLvl w:val="1"/>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九</w:t>
      </w:r>
      <w:r>
        <w:rPr>
          <w:rFonts w:hint="eastAsia" w:ascii="宋体" w:hAnsi="宋体" w:eastAsia="宋体" w:cs="宋体"/>
          <w:b/>
          <w:bCs/>
          <w:color w:val="auto"/>
          <w:kern w:val="0"/>
          <w:sz w:val="24"/>
          <w:szCs w:val="24"/>
          <w:highlight w:val="none"/>
        </w:rPr>
        <w:t>、投标人认为需要提供的其他文件和资料</w:t>
      </w:r>
    </w:p>
    <w:p w14:paraId="15F3CC80">
      <w:pPr>
        <w:spacing w:line="460" w:lineRule="exact"/>
        <w:rPr>
          <w:rFonts w:hint="eastAsia" w:ascii="宋体" w:hAnsi="宋体" w:eastAsia="宋体" w:cs="宋体"/>
          <w:bCs/>
          <w:color w:val="auto"/>
          <w:sz w:val="24"/>
          <w:szCs w:val="24"/>
          <w:highlight w:val="none"/>
        </w:rPr>
      </w:pPr>
    </w:p>
    <w:p w14:paraId="19CEB30E">
      <w:pPr>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1、以下《中小微企业声明函》、《监狱企业的证明文件》及《残疾人福利性单位声明函》投标人根据自身的实际情况选用（如有）。</w:t>
      </w:r>
    </w:p>
    <w:p w14:paraId="078D1E3B">
      <w:pPr>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2、投标人同时为小型（或微型）企业、监狱企业、残疾人福利性单位任两种或以上情况的，评审中只享受一次价格扣除（或评审得分优惠），不重复进行价格扣除。</w:t>
      </w:r>
    </w:p>
    <w:p w14:paraId="0C6EF0FF">
      <w:pPr>
        <w:pStyle w:val="15"/>
        <w:pageBreakBefore w:val="0"/>
        <w:shd w:val="clear" w:color="auto" w:fill="auto"/>
        <w:kinsoku/>
        <w:wordWrap/>
        <w:overflowPunct/>
        <w:topLinePunct w:val="0"/>
        <w:bidi w:val="0"/>
        <w:spacing w:line="460" w:lineRule="exact"/>
        <w:ind w:left="0" w:leftChars="0" w:right="0" w:rightChars="0" w:firstLine="480" w:firstLineChars="200"/>
        <w:jc w:val="center"/>
        <w:outlineLvl w:val="2"/>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lang w:val="en-US" w:eastAsia="zh-CN"/>
        </w:rPr>
        <w:t>一</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中小企业声明函</w:t>
      </w:r>
    </w:p>
    <w:p w14:paraId="69008805">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p>
    <w:p w14:paraId="64C8BE83">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本公司（联合体）郑重声明，根据《政府采购促进中小企业发展管理办法》（财库﹝2020﹞46号）的规定，本公司（联合体）参加</w:t>
      </w:r>
    </w:p>
    <w:p w14:paraId="4462117D">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u w:val="single"/>
          <w:shd w:val="clear" w:color="auto" w:fill="auto"/>
        </w:rPr>
        <w:t>（单位名称）</w:t>
      </w:r>
      <w:r>
        <w:rPr>
          <w:rFonts w:hint="eastAsia" w:ascii="宋体" w:hAnsi="宋体" w:eastAsia="宋体" w:cs="宋体"/>
          <w:b w:val="0"/>
          <w:bCs/>
          <w:color w:val="auto"/>
          <w:sz w:val="24"/>
          <w:szCs w:val="24"/>
          <w:highlight w:val="none"/>
          <w:shd w:val="clear" w:color="auto" w:fill="auto"/>
        </w:rPr>
        <w:t>的</w:t>
      </w:r>
      <w:r>
        <w:rPr>
          <w:rFonts w:hint="eastAsia" w:ascii="宋体" w:hAnsi="宋体" w:eastAsia="宋体" w:cs="宋体"/>
          <w:b w:val="0"/>
          <w:bCs/>
          <w:color w:val="auto"/>
          <w:sz w:val="24"/>
          <w:szCs w:val="24"/>
          <w:highlight w:val="none"/>
          <w:u w:val="single"/>
          <w:shd w:val="clear" w:color="auto" w:fill="auto"/>
        </w:rPr>
        <w:t>（项目名称）</w:t>
      </w:r>
      <w:r>
        <w:rPr>
          <w:rFonts w:hint="eastAsia" w:ascii="宋体" w:hAnsi="宋体" w:eastAsia="宋体" w:cs="宋体"/>
          <w:b w:val="0"/>
          <w:bCs/>
          <w:color w:val="auto"/>
          <w:sz w:val="24"/>
          <w:szCs w:val="24"/>
          <w:highlight w:val="none"/>
          <w:shd w:val="clear" w:color="auto" w:fill="auto"/>
        </w:rPr>
        <w:t>采购活动，</w:t>
      </w:r>
      <w:r>
        <w:rPr>
          <w:rFonts w:hint="eastAsia" w:ascii="宋体" w:hAnsi="宋体" w:eastAsia="宋体" w:cs="宋体"/>
          <w:b w:val="0"/>
          <w:bCs/>
          <w:color w:val="auto"/>
          <w:sz w:val="24"/>
          <w:szCs w:val="24"/>
          <w:highlight w:val="none"/>
          <w:shd w:val="clear" w:color="auto" w:fill="auto"/>
          <w:lang w:val="en-US" w:eastAsia="zh-CN"/>
        </w:rPr>
        <w:t>工程的施工单位</w:t>
      </w:r>
      <w:r>
        <w:rPr>
          <w:rFonts w:hint="eastAsia" w:ascii="宋体" w:hAnsi="宋体" w:eastAsia="宋体" w:cs="宋体"/>
          <w:b w:val="0"/>
          <w:bCs/>
          <w:color w:val="auto"/>
          <w:sz w:val="24"/>
          <w:szCs w:val="24"/>
          <w:highlight w:val="none"/>
          <w:shd w:val="clear" w:color="auto" w:fill="auto"/>
        </w:rPr>
        <w:t>全部</w:t>
      </w:r>
      <w:r>
        <w:rPr>
          <w:rFonts w:hint="eastAsia" w:ascii="宋体" w:hAnsi="宋体" w:eastAsia="宋体" w:cs="宋体"/>
          <w:b w:val="0"/>
          <w:bCs/>
          <w:color w:val="auto"/>
          <w:sz w:val="24"/>
          <w:szCs w:val="24"/>
          <w:highlight w:val="none"/>
          <w:shd w:val="clear" w:color="auto" w:fill="auto"/>
          <w:lang w:val="en-US" w:eastAsia="zh-CN"/>
        </w:rPr>
        <w:t>为</w:t>
      </w:r>
      <w:r>
        <w:rPr>
          <w:rFonts w:hint="eastAsia" w:ascii="宋体" w:hAnsi="宋体" w:eastAsia="宋体" w:cs="宋体"/>
          <w:b w:val="0"/>
          <w:bCs/>
          <w:color w:val="auto"/>
          <w:sz w:val="24"/>
          <w:szCs w:val="24"/>
          <w:highlight w:val="none"/>
          <w:shd w:val="clear" w:color="auto" w:fill="auto"/>
        </w:rPr>
        <w:t>符合政策要求的中小企业</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lang w:val="en-US" w:eastAsia="zh-CN"/>
        </w:rPr>
        <w:t>或者：服务全部由符合政策要求的中小企业承接</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。相关企业（含联合体中的中小企业、签订分包意向协议的中小企业）的具体情况如下：</w:t>
      </w:r>
    </w:p>
    <w:p w14:paraId="65F6EBD0">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1.</w:t>
      </w:r>
      <w:r>
        <w:rPr>
          <w:rFonts w:hint="eastAsia" w:ascii="宋体" w:hAnsi="宋体" w:eastAsia="宋体" w:cs="宋体"/>
          <w:b w:val="0"/>
          <w:bCs/>
          <w:color w:val="auto"/>
          <w:sz w:val="24"/>
          <w:szCs w:val="24"/>
          <w:highlight w:val="none"/>
          <w:u w:val="single"/>
          <w:shd w:val="clear" w:color="auto" w:fill="auto"/>
        </w:rPr>
        <w:t xml:space="preserve"> （标的名称）</w:t>
      </w:r>
      <w:r>
        <w:rPr>
          <w:rFonts w:hint="eastAsia" w:ascii="宋体" w:hAnsi="宋体" w:eastAsia="宋体" w:cs="宋体"/>
          <w:b w:val="0"/>
          <w:bCs/>
          <w:color w:val="auto"/>
          <w:sz w:val="24"/>
          <w:szCs w:val="24"/>
          <w:highlight w:val="none"/>
          <w:shd w:val="clear" w:color="auto" w:fill="auto"/>
        </w:rPr>
        <w:t>，属于</w:t>
      </w:r>
      <w:r>
        <w:rPr>
          <w:rFonts w:hint="eastAsia" w:ascii="宋体" w:hAnsi="宋体" w:eastAsia="宋体" w:cs="宋体"/>
          <w:b w:val="0"/>
          <w:bCs/>
          <w:color w:val="auto"/>
          <w:sz w:val="24"/>
          <w:szCs w:val="24"/>
          <w:highlight w:val="none"/>
          <w:u w:val="single"/>
          <w:shd w:val="clear" w:color="auto" w:fill="auto"/>
        </w:rPr>
        <w:t>（采购文件中明确的所属行业）行业</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val="en-US" w:eastAsia="zh-CN"/>
        </w:rPr>
        <w:t>承建（承接）企业</w:t>
      </w:r>
      <w:r>
        <w:rPr>
          <w:rFonts w:hint="eastAsia" w:ascii="宋体" w:hAnsi="宋体" w:eastAsia="宋体" w:cs="宋体"/>
          <w:b w:val="0"/>
          <w:bCs/>
          <w:color w:val="auto"/>
          <w:sz w:val="24"/>
          <w:szCs w:val="24"/>
          <w:highlight w:val="none"/>
          <w:shd w:val="clear" w:color="auto" w:fill="auto"/>
        </w:rPr>
        <w:t>为</w:t>
      </w:r>
      <w:r>
        <w:rPr>
          <w:rFonts w:hint="eastAsia" w:ascii="宋体" w:hAnsi="宋体" w:eastAsia="宋体" w:cs="宋体"/>
          <w:b w:val="0"/>
          <w:bCs/>
          <w:color w:val="auto"/>
          <w:sz w:val="24"/>
          <w:szCs w:val="24"/>
          <w:highlight w:val="none"/>
          <w:u w:val="single"/>
          <w:shd w:val="clear" w:color="auto" w:fill="auto"/>
        </w:rPr>
        <w:t>（企业名称）</w:t>
      </w:r>
      <w:r>
        <w:rPr>
          <w:rFonts w:hint="eastAsia" w:ascii="宋体" w:hAnsi="宋体" w:eastAsia="宋体" w:cs="宋体"/>
          <w:b w:val="0"/>
          <w:bCs/>
          <w:color w:val="auto"/>
          <w:sz w:val="24"/>
          <w:szCs w:val="24"/>
          <w:highlight w:val="none"/>
          <w:shd w:val="clear" w:color="auto" w:fill="auto"/>
        </w:rPr>
        <w:t>，从业人员</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人，营业收入为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万元，资产总额为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w:t>
      </w:r>
      <w:r>
        <w:rPr>
          <w:rFonts w:hint="eastAsia" w:ascii="宋体" w:hAnsi="宋体" w:eastAsia="宋体" w:cs="宋体"/>
          <w:b w:val="0"/>
          <w:bCs/>
          <w:color w:val="auto"/>
          <w:sz w:val="24"/>
          <w:szCs w:val="24"/>
          <w:highlight w:val="none"/>
          <w:shd w:val="clear" w:color="auto" w:fill="auto"/>
          <w:vertAlign w:val="superscript"/>
        </w:rPr>
        <w:t>1</w:t>
      </w:r>
      <w:r>
        <w:rPr>
          <w:rFonts w:hint="eastAsia" w:ascii="宋体" w:hAnsi="宋体" w:eastAsia="宋体" w:cs="宋体"/>
          <w:b w:val="0"/>
          <w:bCs/>
          <w:color w:val="auto"/>
          <w:sz w:val="24"/>
          <w:szCs w:val="24"/>
          <w:highlight w:val="none"/>
          <w:shd w:val="clear" w:color="auto" w:fill="auto"/>
        </w:rPr>
        <w:t>，属于（中型企业、小型企业、微型企业）；</w:t>
      </w:r>
    </w:p>
    <w:p w14:paraId="7572DADD">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2.</w:t>
      </w:r>
      <w:r>
        <w:rPr>
          <w:rFonts w:hint="eastAsia" w:ascii="宋体" w:hAnsi="宋体" w:eastAsia="宋体" w:cs="宋体"/>
          <w:b w:val="0"/>
          <w:bCs/>
          <w:color w:val="auto"/>
          <w:sz w:val="24"/>
          <w:szCs w:val="24"/>
          <w:highlight w:val="none"/>
          <w:u w:val="single"/>
          <w:shd w:val="clear" w:color="auto" w:fill="auto"/>
        </w:rPr>
        <w:t xml:space="preserve"> （标的名称）</w:t>
      </w:r>
      <w:r>
        <w:rPr>
          <w:rFonts w:hint="eastAsia" w:ascii="宋体" w:hAnsi="宋体" w:eastAsia="宋体" w:cs="宋体"/>
          <w:b w:val="0"/>
          <w:bCs/>
          <w:color w:val="auto"/>
          <w:sz w:val="24"/>
          <w:szCs w:val="24"/>
          <w:highlight w:val="none"/>
          <w:shd w:val="clear" w:color="auto" w:fill="auto"/>
        </w:rPr>
        <w:t>，属于</w:t>
      </w:r>
      <w:r>
        <w:rPr>
          <w:rFonts w:hint="eastAsia" w:ascii="宋体" w:hAnsi="宋体" w:eastAsia="宋体" w:cs="宋体"/>
          <w:b w:val="0"/>
          <w:bCs/>
          <w:color w:val="auto"/>
          <w:sz w:val="24"/>
          <w:szCs w:val="24"/>
          <w:highlight w:val="none"/>
          <w:u w:val="single"/>
          <w:shd w:val="clear" w:color="auto" w:fill="auto"/>
        </w:rPr>
        <w:t>（采购文件中明确的所属行业）行业</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val="en-US" w:eastAsia="zh-CN"/>
        </w:rPr>
        <w:t>承建（承接）企业</w:t>
      </w:r>
      <w:r>
        <w:rPr>
          <w:rFonts w:hint="eastAsia" w:ascii="宋体" w:hAnsi="宋体" w:eastAsia="宋体" w:cs="宋体"/>
          <w:b w:val="0"/>
          <w:bCs/>
          <w:color w:val="auto"/>
          <w:sz w:val="24"/>
          <w:szCs w:val="24"/>
          <w:highlight w:val="none"/>
          <w:u w:val="single"/>
          <w:shd w:val="clear" w:color="auto" w:fill="auto"/>
        </w:rPr>
        <w:t>（企业名称）</w:t>
      </w:r>
      <w:r>
        <w:rPr>
          <w:rFonts w:hint="eastAsia" w:ascii="宋体" w:hAnsi="宋体" w:eastAsia="宋体" w:cs="宋体"/>
          <w:b w:val="0"/>
          <w:bCs/>
          <w:color w:val="auto"/>
          <w:sz w:val="24"/>
          <w:szCs w:val="24"/>
          <w:highlight w:val="none"/>
          <w:shd w:val="clear" w:color="auto" w:fill="auto"/>
        </w:rPr>
        <w:t>，从业人员</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人，营业收入为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万元，资产总额为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shd w:val="clear" w:color="auto" w:fill="auto"/>
        </w:rPr>
        <w:t>万元，属于</w:t>
      </w:r>
      <w:r>
        <w:rPr>
          <w:rFonts w:hint="eastAsia" w:ascii="宋体" w:hAnsi="宋体" w:eastAsia="宋体" w:cs="宋体"/>
          <w:b w:val="0"/>
          <w:bCs/>
          <w:color w:val="auto"/>
          <w:sz w:val="24"/>
          <w:szCs w:val="24"/>
          <w:highlight w:val="none"/>
          <w:u w:val="single"/>
          <w:shd w:val="clear" w:color="auto" w:fill="auto"/>
        </w:rPr>
        <w:t>（中型企业、小型企业、微型企业）</w:t>
      </w:r>
      <w:r>
        <w:rPr>
          <w:rFonts w:hint="eastAsia" w:ascii="宋体" w:hAnsi="宋体" w:eastAsia="宋体" w:cs="宋体"/>
          <w:b w:val="0"/>
          <w:bCs/>
          <w:color w:val="auto"/>
          <w:sz w:val="24"/>
          <w:szCs w:val="24"/>
          <w:highlight w:val="none"/>
          <w:shd w:val="clear" w:color="auto" w:fill="auto"/>
        </w:rPr>
        <w:t>；</w:t>
      </w:r>
    </w:p>
    <w:p w14:paraId="7F9387CC">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w:t>
      </w:r>
    </w:p>
    <w:p w14:paraId="31F3421E">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以上企业，不属于大企业的分支机构，不存在控股股东为大企业的情形，也不存在与大企业的负责人为同一人的情形。</w:t>
      </w:r>
    </w:p>
    <w:p w14:paraId="19AD8C10">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本企业对上述声明内容的真实性负责。如有虚假，将依法承担相应责任。</w:t>
      </w:r>
    </w:p>
    <w:p w14:paraId="1D99814D">
      <w:pPr>
        <w:pStyle w:val="15"/>
        <w:pageBreakBefore w:val="0"/>
        <w:shd w:val="clear" w:color="auto" w:fill="auto"/>
        <w:kinsoku/>
        <w:wordWrap/>
        <w:overflowPunct/>
        <w:topLinePunct w:val="0"/>
        <w:bidi w:val="0"/>
        <w:spacing w:line="460" w:lineRule="exact"/>
        <w:ind w:left="0" w:leftChars="0" w:right="0" w:rightChars="0" w:firstLine="480" w:firstLineChars="20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 xml:space="preserve">           </w:t>
      </w:r>
    </w:p>
    <w:p w14:paraId="7CF96F7A">
      <w:pPr>
        <w:pStyle w:val="15"/>
        <w:pageBreakBefore w:val="0"/>
        <w:shd w:val="clear" w:color="auto" w:fill="auto"/>
        <w:kinsoku/>
        <w:wordWrap/>
        <w:overflowPunct/>
        <w:topLinePunct w:val="0"/>
        <w:bidi w:val="0"/>
        <w:spacing w:line="460" w:lineRule="exact"/>
        <w:ind w:left="0" w:leftChars="0" w:right="0" w:rightChars="0" w:firstLine="480" w:firstLineChars="200"/>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企业名称（盖章）：</w:t>
      </w:r>
    </w:p>
    <w:p w14:paraId="5BF75FD2">
      <w:pPr>
        <w:pStyle w:val="15"/>
        <w:pageBreakBefore w:val="0"/>
        <w:shd w:val="clear" w:color="auto" w:fill="auto"/>
        <w:kinsoku/>
        <w:wordWrap/>
        <w:overflowPunct/>
        <w:topLinePunct w:val="0"/>
        <w:bidi w:val="0"/>
        <w:spacing w:line="460" w:lineRule="exact"/>
        <w:ind w:left="0" w:leftChars="0" w:right="0" w:rightChars="0" w:firstLine="480" w:firstLineChars="200"/>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日 期：</w:t>
      </w:r>
      <w:r>
        <w:rPr>
          <w:rFonts w:hint="eastAsia" w:ascii="宋体" w:hAnsi="宋体" w:eastAsia="宋体" w:cs="宋体"/>
          <w:b w:val="0"/>
          <w:bCs/>
          <w:color w:val="auto"/>
          <w:spacing w:val="6"/>
          <w:sz w:val="24"/>
          <w:szCs w:val="24"/>
          <w:highlight w:val="none"/>
          <w:shd w:val="clear" w:color="auto" w:fill="auto"/>
          <w:lang w:val="en-US" w:eastAsia="zh-CN"/>
        </w:rPr>
        <w:t xml:space="preserve">  年  月  日</w:t>
      </w:r>
    </w:p>
    <w:p w14:paraId="0253B9F4">
      <w:pPr>
        <w:pStyle w:val="15"/>
        <w:pageBreakBefore w:val="0"/>
        <w:shd w:val="clear" w:color="auto" w:fill="auto"/>
        <w:kinsoku/>
        <w:wordWrap/>
        <w:overflowPunct/>
        <w:topLinePunct w:val="0"/>
        <w:bidi w:val="0"/>
        <w:spacing w:line="460" w:lineRule="exact"/>
        <w:ind w:left="0" w:leftChars="0" w:right="0" w:rightChars="0" w:firstLine="480" w:firstLineChars="2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备注：</w:t>
      </w:r>
      <w:r>
        <w:rPr>
          <w:rFonts w:hint="eastAsia" w:ascii="宋体" w:hAnsi="宋体" w:eastAsia="宋体" w:cs="宋体"/>
          <w:b w:val="0"/>
          <w:bCs/>
          <w:color w:val="auto"/>
          <w:sz w:val="24"/>
          <w:szCs w:val="24"/>
          <w:highlight w:val="none"/>
          <w:shd w:val="clear" w:color="auto" w:fill="auto"/>
        </w:rPr>
        <w:t>从业人员、营业收入、资产总额填报上一年度数据，无上一年度数据的新成立企业可不填报</w:t>
      </w:r>
      <w:r>
        <w:rPr>
          <w:rFonts w:hint="eastAsia" w:ascii="宋体" w:hAnsi="宋体" w:eastAsia="宋体" w:cs="宋体"/>
          <w:b w:val="0"/>
          <w:bCs/>
          <w:color w:val="auto"/>
          <w:sz w:val="24"/>
          <w:szCs w:val="24"/>
          <w:highlight w:val="none"/>
          <w:shd w:val="clear" w:color="auto" w:fill="auto"/>
          <w:lang w:eastAsia="zh-CN"/>
        </w:rPr>
        <w:t>。</w:t>
      </w:r>
    </w:p>
    <w:p w14:paraId="0511807B">
      <w:pPr>
        <w:spacing w:line="460" w:lineRule="exact"/>
        <w:jc w:val="center"/>
        <w:rPr>
          <w:rFonts w:hint="eastAsia" w:ascii="宋体" w:hAnsi="宋体" w:eastAsia="宋体" w:cs="宋体"/>
          <w:b/>
          <w:bCs/>
          <w:color w:val="auto"/>
          <w:sz w:val="24"/>
          <w:szCs w:val="24"/>
          <w:highlight w:val="none"/>
        </w:rPr>
      </w:pPr>
    </w:p>
    <w:p w14:paraId="3E027937">
      <w:pPr>
        <w:pStyle w:val="26"/>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p>
    <w:p w14:paraId="3CC2C6AC">
      <w:pPr>
        <w:rPr>
          <w:rFonts w:hint="eastAsia" w:ascii="宋体" w:hAnsi="宋体" w:eastAsia="宋体" w:cs="宋体"/>
          <w:color w:val="auto"/>
          <w:sz w:val="24"/>
          <w:szCs w:val="24"/>
          <w:highlight w:val="none"/>
        </w:rPr>
      </w:pPr>
    </w:p>
    <w:p w14:paraId="676E05FB">
      <w:pPr>
        <w:spacing w:line="46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 xml:space="preserve">（二） </w:t>
      </w:r>
      <w:bookmarkStart w:id="144" w:name="OLE_LINK14"/>
      <w:bookmarkStart w:id="145" w:name="OLE_LINK13"/>
      <w:r>
        <w:rPr>
          <w:rFonts w:hint="eastAsia" w:ascii="宋体" w:hAnsi="宋体" w:eastAsia="宋体" w:cs="宋体"/>
          <w:b/>
          <w:color w:val="auto"/>
          <w:spacing w:val="6"/>
          <w:sz w:val="24"/>
          <w:szCs w:val="24"/>
          <w:highlight w:val="none"/>
        </w:rPr>
        <w:t>残疾人福利性单位声明函</w:t>
      </w:r>
    </w:p>
    <w:bookmarkEnd w:id="144"/>
    <w:bookmarkEnd w:id="145"/>
    <w:p w14:paraId="684086F9">
      <w:pPr>
        <w:spacing w:line="460" w:lineRule="exact"/>
        <w:rPr>
          <w:rFonts w:hint="eastAsia" w:ascii="宋体" w:hAnsi="宋体" w:eastAsia="宋体" w:cs="宋体"/>
          <w:b/>
          <w:color w:val="auto"/>
          <w:spacing w:val="6"/>
          <w:sz w:val="24"/>
          <w:szCs w:val="24"/>
          <w:highlight w:val="none"/>
        </w:rPr>
      </w:pPr>
    </w:p>
    <w:p w14:paraId="3FEE2426">
      <w:pPr>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3C2E91F3">
      <w:pPr>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21DF8F">
      <w:pPr>
        <w:spacing w:line="460" w:lineRule="exact"/>
        <w:ind w:firstLine="504" w:firstLineChars="200"/>
        <w:rPr>
          <w:rFonts w:hint="eastAsia" w:ascii="宋体" w:hAnsi="宋体" w:eastAsia="宋体" w:cs="宋体"/>
          <w:color w:val="auto"/>
          <w:spacing w:val="6"/>
          <w:sz w:val="24"/>
          <w:szCs w:val="24"/>
          <w:highlight w:val="none"/>
        </w:rPr>
      </w:pPr>
    </w:p>
    <w:p w14:paraId="4A321618">
      <w:pPr>
        <w:spacing w:line="460" w:lineRule="exact"/>
        <w:ind w:firstLine="504" w:firstLineChars="200"/>
        <w:rPr>
          <w:rFonts w:hint="eastAsia" w:ascii="宋体" w:hAnsi="宋体" w:eastAsia="宋体" w:cs="宋体"/>
          <w:color w:val="auto"/>
          <w:spacing w:val="6"/>
          <w:sz w:val="24"/>
          <w:szCs w:val="24"/>
          <w:highlight w:val="none"/>
        </w:rPr>
      </w:pPr>
    </w:p>
    <w:p w14:paraId="2201AA5C">
      <w:pPr>
        <w:tabs>
          <w:tab w:val="left" w:pos="4860"/>
        </w:tabs>
        <w:spacing w:line="460"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03895CB8">
      <w:pPr>
        <w:tabs>
          <w:tab w:val="left" w:pos="4860"/>
        </w:tabs>
        <w:spacing w:line="460"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1FE6EAB0">
      <w:pPr>
        <w:widowControl/>
        <w:adjustRightInd w:val="0"/>
        <w:snapToGrid w:val="0"/>
        <w:spacing w:line="460" w:lineRule="exact"/>
        <w:rPr>
          <w:rFonts w:hint="eastAsia" w:ascii="宋体" w:hAnsi="宋体" w:eastAsia="宋体" w:cs="宋体"/>
          <w:color w:val="auto"/>
          <w:sz w:val="24"/>
          <w:szCs w:val="24"/>
          <w:highlight w:val="none"/>
        </w:rPr>
      </w:pPr>
    </w:p>
    <w:p w14:paraId="45AE0D33">
      <w:pPr>
        <w:spacing w:line="460" w:lineRule="exact"/>
        <w:jc w:val="left"/>
        <w:rPr>
          <w:rFonts w:hint="eastAsia" w:ascii="宋体" w:hAnsi="宋体" w:eastAsia="宋体" w:cs="宋体"/>
          <w:bCs/>
          <w:color w:val="auto"/>
          <w:sz w:val="24"/>
          <w:szCs w:val="24"/>
          <w:highlight w:val="none"/>
        </w:rPr>
      </w:pPr>
    </w:p>
    <w:p w14:paraId="315667F3">
      <w:pPr>
        <w:widowControl/>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：须提供证明材料（能反映出企业残疾人的占比等情况的材料及残疾人证等）。</w:t>
      </w:r>
    </w:p>
    <w:p w14:paraId="5845F740">
      <w:pPr>
        <w:spacing w:line="460" w:lineRule="exact"/>
        <w:jc w:val="center"/>
        <w:rPr>
          <w:rFonts w:hint="eastAsia" w:ascii="宋体" w:hAnsi="宋体" w:eastAsia="宋体" w:cs="宋体"/>
          <w:b/>
          <w:bCs/>
          <w:color w:val="auto"/>
          <w:sz w:val="24"/>
          <w:szCs w:val="24"/>
          <w:highlight w:val="none"/>
        </w:rPr>
      </w:pPr>
    </w:p>
    <w:p w14:paraId="4EDD0BBB">
      <w:pPr>
        <w:spacing w:line="460" w:lineRule="exact"/>
        <w:jc w:val="center"/>
        <w:rPr>
          <w:rFonts w:hint="eastAsia" w:ascii="宋体" w:hAnsi="宋体" w:eastAsia="宋体" w:cs="宋体"/>
          <w:b/>
          <w:bCs/>
          <w:color w:val="auto"/>
          <w:sz w:val="24"/>
          <w:szCs w:val="24"/>
          <w:highlight w:val="none"/>
        </w:rPr>
      </w:pPr>
    </w:p>
    <w:p w14:paraId="7D84DD66">
      <w:pPr>
        <w:widowControl/>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5E97C292">
      <w:pPr>
        <w:spacing w:line="460" w:lineRule="exact"/>
        <w:ind w:firstLine="480" w:firstLineChars="200"/>
        <w:jc w:val="left"/>
        <w:rPr>
          <w:rFonts w:hint="eastAsia" w:ascii="宋体" w:hAnsi="宋体" w:eastAsia="宋体" w:cs="宋体"/>
          <w:color w:val="auto"/>
          <w:sz w:val="24"/>
          <w:szCs w:val="24"/>
          <w:highlight w:val="none"/>
        </w:rPr>
      </w:pPr>
    </w:p>
    <w:p w14:paraId="65AC6E7A">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7F392C6">
      <w:pPr>
        <w:pStyle w:val="15"/>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2.证明材料加盖投标人公章。</w:t>
      </w:r>
    </w:p>
    <w:p w14:paraId="71696FD6">
      <w:pPr>
        <w:pStyle w:val="15"/>
        <w:spacing w:line="460" w:lineRule="exact"/>
        <w:jc w:val="both"/>
        <w:rPr>
          <w:rFonts w:hint="eastAsia" w:ascii="宋体" w:hAnsi="宋体" w:eastAsia="宋体" w:cs="宋体"/>
          <w:b/>
          <w:bCs/>
          <w:color w:val="auto"/>
          <w:sz w:val="24"/>
          <w:szCs w:val="24"/>
          <w:highlight w:val="none"/>
        </w:rPr>
      </w:pPr>
    </w:p>
    <w:p w14:paraId="34DBB0A9">
      <w:pPr>
        <w:pStyle w:val="15"/>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（四）投标保证金</w:t>
      </w:r>
      <w:r>
        <w:rPr>
          <w:rFonts w:hint="eastAsia" w:ascii="宋体" w:hAnsi="宋体" w:eastAsia="宋体" w:cs="宋体"/>
          <w:b/>
          <w:bCs/>
          <w:color w:val="auto"/>
          <w:sz w:val="24"/>
          <w:szCs w:val="24"/>
          <w:highlight w:val="none"/>
          <w:lang w:eastAsia="zh-CN"/>
        </w:rPr>
        <w:t>缴纳凭证</w:t>
      </w:r>
    </w:p>
    <w:p w14:paraId="7C2194A7">
      <w:pPr>
        <w:pStyle w:val="15"/>
        <w:spacing w:line="460" w:lineRule="exact"/>
        <w:jc w:val="center"/>
        <w:rPr>
          <w:rFonts w:hint="eastAsia" w:ascii="宋体" w:hAnsi="宋体" w:eastAsia="宋体" w:cs="宋体"/>
          <w:color w:val="auto"/>
          <w:sz w:val="24"/>
          <w:szCs w:val="24"/>
          <w:highlight w:val="none"/>
        </w:rPr>
      </w:pP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3B19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5000" w:type="pct"/>
            <w:tcBorders>
              <w:top w:val="single" w:color="auto" w:sz="4" w:space="0"/>
              <w:bottom w:val="single" w:color="auto" w:sz="4" w:space="0"/>
            </w:tcBorders>
            <w:vAlign w:val="center"/>
          </w:tcPr>
          <w:p w14:paraId="32CB3220">
            <w:pPr>
              <w:pStyle w:val="15"/>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缴纳凭证</w:t>
            </w:r>
          </w:p>
        </w:tc>
      </w:tr>
    </w:tbl>
    <w:p w14:paraId="608DB312">
      <w:pPr>
        <w:adjustRightInd w:val="0"/>
        <w:snapToGrid w:val="0"/>
        <w:spacing w:line="460" w:lineRule="exact"/>
        <w:ind w:firstLine="480" w:firstLineChars="200"/>
        <w:rPr>
          <w:rFonts w:hint="eastAsia" w:ascii="宋体" w:hAnsi="宋体" w:eastAsia="宋体" w:cs="宋体"/>
          <w:color w:val="auto"/>
          <w:sz w:val="24"/>
          <w:szCs w:val="24"/>
          <w:highlight w:val="none"/>
        </w:rPr>
      </w:pPr>
    </w:p>
    <w:p w14:paraId="3E1F8D6C">
      <w:pPr>
        <w:widowControl/>
        <w:shd w:val="clear" w:color="auto" w:fill="FFFFFF"/>
        <w:spacing w:line="460" w:lineRule="exact"/>
        <w:jc w:val="left"/>
        <w:rPr>
          <w:rFonts w:hint="eastAsia" w:ascii="宋体" w:hAnsi="宋体" w:eastAsia="宋体" w:cs="宋体"/>
          <w:color w:val="auto"/>
          <w:kern w:val="0"/>
          <w:sz w:val="24"/>
          <w:szCs w:val="24"/>
          <w:highlight w:val="none"/>
        </w:rPr>
      </w:pPr>
    </w:p>
    <w:p w14:paraId="2CAB7F86">
      <w:pPr>
        <w:spacing w:line="460" w:lineRule="exact"/>
        <w:rPr>
          <w:rFonts w:hint="eastAsia" w:ascii="宋体" w:hAnsi="宋体" w:eastAsia="宋体" w:cs="宋体"/>
          <w:color w:val="auto"/>
          <w:sz w:val="24"/>
          <w:szCs w:val="24"/>
          <w:highlight w:val="none"/>
        </w:rPr>
      </w:pPr>
    </w:p>
    <w:bookmarkEnd w:id="143"/>
    <w:p w14:paraId="136EC467">
      <w:pPr>
        <w:pStyle w:val="15"/>
        <w:spacing w:line="460" w:lineRule="exact"/>
        <w:jc w:val="center"/>
        <w:rPr>
          <w:rFonts w:hint="eastAsia" w:ascii="宋体" w:hAnsi="宋体" w:eastAsia="宋体" w:cs="宋体"/>
          <w:b/>
          <w:bCs/>
          <w:color w:val="auto"/>
          <w:sz w:val="24"/>
          <w:szCs w:val="24"/>
          <w:highlight w:val="none"/>
          <w:lang w:eastAsia="zh-CN"/>
        </w:rPr>
      </w:pPr>
      <w:bookmarkStart w:id="146" w:name="_Toc2964"/>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）其他</w:t>
      </w:r>
    </w:p>
    <w:bookmarkEnd w:id="146"/>
    <w:p w14:paraId="2455D793">
      <w:pPr>
        <w:spacing w:line="500" w:lineRule="exact"/>
        <w:ind w:firstLine="420" w:firstLineChars="200"/>
        <w:rPr>
          <w:rFonts w:hint="eastAsia" w:ascii="宋体" w:hAnsi="宋体" w:eastAsia="宋体" w:cs="宋体"/>
          <w:color w:val="auto"/>
          <w:sz w:val="24"/>
          <w:szCs w:val="24"/>
          <w:highlight w:val="none"/>
        </w:rPr>
      </w:pPr>
      <w:r>
        <w:rPr>
          <w:rFonts w:hint="eastAsia" w:ascii="宋体" w:hAnsi="宋体" w:cs="宋体"/>
          <w:b w:val="0"/>
          <w:bCs/>
          <w:color w:val="auto"/>
          <w:highlight w:val="none"/>
          <w:shd w:val="clear" w:color="auto" w:fill="auto"/>
          <w:lang w:val="en-US" w:eastAsia="zh-CN"/>
        </w:rPr>
        <w:t>投标人</w:t>
      </w:r>
      <w:r>
        <w:rPr>
          <w:rFonts w:hint="eastAsia" w:ascii="宋体" w:hAnsi="宋体" w:eastAsia="宋体" w:cs="宋体"/>
          <w:b w:val="0"/>
          <w:bCs/>
          <w:color w:val="auto"/>
          <w:highlight w:val="none"/>
          <w:shd w:val="clear" w:color="auto" w:fill="auto"/>
          <w:lang w:val="en-US" w:eastAsia="zh-CN"/>
        </w:rPr>
        <w:t>认为需提供的</w:t>
      </w:r>
      <w:r>
        <w:rPr>
          <w:rFonts w:hint="eastAsia" w:ascii="宋体" w:hAnsi="宋体" w:eastAsia="宋体" w:cs="宋体"/>
          <w:b/>
          <w:bCs w:val="0"/>
          <w:color w:val="auto"/>
          <w:highlight w:val="none"/>
          <w:shd w:val="clear" w:color="auto" w:fill="auto"/>
          <w:lang w:val="en-US" w:eastAsia="zh-CN"/>
        </w:rPr>
        <w:t>资格审查</w:t>
      </w:r>
      <w:r>
        <w:rPr>
          <w:rFonts w:hint="eastAsia" w:ascii="宋体" w:hAnsi="宋体" w:eastAsia="宋体" w:cs="宋体"/>
          <w:b w:val="0"/>
          <w:bCs/>
          <w:color w:val="auto"/>
          <w:highlight w:val="none"/>
          <w:shd w:val="clear" w:color="auto" w:fill="auto"/>
          <w:lang w:val="en-US" w:eastAsia="zh-CN"/>
        </w:rPr>
        <w:t>及其他补充资料。</w:t>
      </w:r>
    </w:p>
    <w:p w14:paraId="71F3FF38">
      <w:pPr>
        <w:rPr>
          <w:rFonts w:hint="eastAsia" w:ascii="宋体" w:hAnsi="宋体" w:eastAsia="宋体" w:cs="宋体"/>
          <w:b/>
          <w:color w:val="auto"/>
          <w:sz w:val="24"/>
          <w:szCs w:val="24"/>
          <w:highlight w:val="none"/>
          <w:lang w:eastAsia="zh-CN"/>
        </w:rPr>
      </w:pPr>
      <w:bookmarkStart w:id="147" w:name="_Toc20068"/>
      <w:r>
        <w:rPr>
          <w:rFonts w:hint="eastAsia" w:ascii="宋体" w:hAnsi="宋体" w:eastAsia="宋体" w:cs="宋体"/>
          <w:b/>
          <w:color w:val="auto"/>
          <w:sz w:val="24"/>
          <w:szCs w:val="24"/>
          <w:highlight w:val="none"/>
          <w:lang w:eastAsia="zh-CN"/>
        </w:rPr>
        <w:br w:type="page"/>
      </w:r>
    </w:p>
    <w:p w14:paraId="1CF90730">
      <w:pPr>
        <w:pStyle w:val="47"/>
        <w:spacing w:line="460" w:lineRule="exact"/>
        <w:ind w:left="964" w:right="-50" w:rightChars="-24" w:firstLine="0"/>
        <w:jc w:val="center"/>
        <w:outlineLvl w:val="0"/>
        <w:rPr>
          <w:rStyle w:val="48"/>
          <w:rFonts w:hint="eastAsia" w:ascii="宋体" w:hAnsi="宋体" w:eastAsia="宋体" w:cs="宋体"/>
          <w:color w:val="auto"/>
          <w:sz w:val="24"/>
          <w:szCs w:val="24"/>
          <w:highlight w:val="none"/>
          <w:shd w:val="clear" w:color="auto" w:fill="FFFF00"/>
          <w:lang w:eastAsia="zh-CN"/>
        </w:rPr>
      </w:pPr>
      <w:r>
        <w:rPr>
          <w:rFonts w:hint="eastAsia" w:ascii="宋体" w:hAnsi="宋体" w:eastAsia="宋体" w:cs="宋体"/>
          <w:b/>
          <w:bCs/>
          <w:color w:val="auto"/>
          <w:kern w:val="2"/>
          <w:sz w:val="24"/>
          <w:szCs w:val="24"/>
          <w:highlight w:val="none"/>
          <w:lang w:eastAsia="zh-CN"/>
        </w:rPr>
        <w:t xml:space="preserve">第四章  </w:t>
      </w:r>
      <w:bookmarkEnd w:id="147"/>
      <w:r>
        <w:rPr>
          <w:rFonts w:hint="eastAsia" w:ascii="宋体" w:hAnsi="宋体" w:cs="宋体"/>
          <w:b/>
          <w:bCs/>
          <w:color w:val="auto"/>
          <w:kern w:val="2"/>
          <w:sz w:val="24"/>
          <w:szCs w:val="24"/>
          <w:highlight w:val="none"/>
          <w:lang w:eastAsia="zh-CN"/>
        </w:rPr>
        <w:t>项目服务需求</w:t>
      </w:r>
    </w:p>
    <w:p w14:paraId="781CFD78">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cs="宋体"/>
          <w:b w:val="0"/>
          <w:bCs w:val="0"/>
          <w:color w:val="auto"/>
          <w:sz w:val="24"/>
          <w:szCs w:val="24"/>
          <w:highlight w:val="none"/>
          <w:lang w:eastAsia="zh-CN"/>
        </w:rPr>
      </w:pPr>
      <w:bookmarkStart w:id="148" w:name="_Toc17884_WPSOffice_Level1"/>
      <w:bookmarkStart w:id="149" w:name="_Toc15082"/>
      <w:r>
        <w:rPr>
          <w:rFonts w:hint="eastAsia" w:ascii="宋体" w:hAnsi="宋体" w:eastAsia="宋体" w:cs="宋体"/>
          <w:b w:val="0"/>
          <w:bCs w:val="0"/>
          <w:color w:val="auto"/>
          <w:sz w:val="24"/>
          <w:szCs w:val="24"/>
          <w:highlight w:val="none"/>
        </w:rPr>
        <w:t>本项目以《化工园区安全风险智能化管控平台建设指南（试行）》、《应急管理部财政部关于印发&lt;重点化工产业聚集区重大安全风险防控工作总体方案&gt;的通知》</w:t>
      </w:r>
      <w:r>
        <w:rPr>
          <w:rFonts w:hint="eastAsia" w:ascii="宋体" w:hAnsi="宋体" w:cs="宋体"/>
          <w:b w:val="0"/>
          <w:bCs w:val="0"/>
          <w:color w:val="auto"/>
          <w:sz w:val="24"/>
          <w:szCs w:val="24"/>
          <w:highlight w:val="none"/>
          <w:lang w:val="en-US" w:eastAsia="zh-CN"/>
        </w:rPr>
        <w:t>等国家或行业标准</w:t>
      </w:r>
      <w:r>
        <w:rPr>
          <w:rFonts w:hint="eastAsia" w:ascii="宋体" w:hAnsi="宋体" w:eastAsia="宋体" w:cs="宋体"/>
          <w:b w:val="0"/>
          <w:bCs w:val="0"/>
          <w:color w:val="auto"/>
          <w:sz w:val="24"/>
          <w:szCs w:val="24"/>
          <w:highlight w:val="none"/>
        </w:rPr>
        <w:t>为依据，为甘泉堡经济技术开发区化工产业集中区部署安全风险分析预警及预警信息智能发布系统，推进全维度安全监管数据治理，构建科学完善的重大安全风险防控体系，搭建智能化风险隐患治理机制，落实动态风险管控相关建设，完善区域流通风险管理举措，优化应急响应数据治理流程，开发实用性强的“应急通”小程序，建设园区订阅式（SaaS）安全风险智能化管控企服系统，增设智能AI助手，辅助实现风险研判、指令下发、咨询应答等高效处置，融入产业服务相关建设，搭建园区产业协同服务模块，助力企业供需对接、技术赋能，补充环保管理与能源管理相关设施及系统，实现园区污染物排放监测、环保合规管控及能源消耗统计、节能优化，开展园区三维建模工作，搭建标准化空间数据库，配置重点区域易燃易爆有毒有害气体泄漏监测管控设备，全面提升园区安全管控、产业发展、环保治理、能源利用的智能化、精细化与规范化水平</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br w:type="page"/>
      </w:r>
    </w:p>
    <w:tbl>
      <w:tblPr>
        <w:tblStyle w:val="3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820"/>
        <w:gridCol w:w="537"/>
        <w:gridCol w:w="1004"/>
        <w:gridCol w:w="4386"/>
        <w:gridCol w:w="464"/>
        <w:gridCol w:w="464"/>
      </w:tblGrid>
      <w:tr w14:paraId="2728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B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45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分项</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C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建设任务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FE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A3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14:paraId="44AC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5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86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安全风险分析预警及预警信息智能发布系统</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B7C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可视化风险动态监管</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2A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善综合预警信息接入、汇聚、统计分析及展示，辅助专家研判，预测预报安全生产事故、自然灾害发生的可能性和损失程度，同时通过多险联防模块及时发送预警信息通知园区内企业负责人落实防范措施，提升园区和企业对多灾种的综合预警防范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D73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0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B47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A91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BAE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化工园区安全生产风险综合预警</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2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以危险化学品企业基础数据，重大危险源储罐感知数据，硝酸铵仓库感知数据，重点监管的危险化工工艺装置感知数据以及厂区可燃有毒气体泄漏感知数据等为基础，主动测算相关报警数据，提供相应报表，做出智能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以风险分级管控和隐患排查治理双重预防体系建设为基础，综合考虑风险分析完成情况、内置评估模型，辅助自动识别生产环节中的风险点，并根据预设规则对风险进行分级（红、橙、黄、蓝），生成可视化的园区安全风险“四色图”，基于风险清单，自动生成排查任务。系统自动分派整改责任人并跟踪进度，形成“排查-登记-整改-验收-销号”的数字化闭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CFD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A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005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A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CE69">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78F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每日动态分级监管预警及报告智能体助手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39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汇聚现有监测预警系统的承诺公告、在线情况等系统运行状态数据，双预防体系运行情况、报警数量及整改完成率等双重预防机制数据，重大危险源包保责任人履职情况等重大危险源安全管理数据，企业每日特殊作业、电力应用数据等多种数据，完善每日动态分级监管模型。从固有风险水平、生产负荷、动态监测参数、安全管理状况、系统运行、作业风险管控、外部因素等维度区分特别管控（红色）、重点关注（黄色）和一般监管（绿色），完善重大危险源企业常态化分级监管机制，实现靶向精准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B10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492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AE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9D4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FE8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园区安全生产态势多维度统计分析</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27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构建一个多源数据实时汇聚与智能分析的核心平台。通过整合安全、环保、能源、物流等各维度数据，并利用大数据分析引擎，实现园区运行综合态势的动态可视化全景展示。重点强化对重大危险源、应急资源、封闭化卡口等关键要素的监测预警能力，形成横向贯通各部门、纵向穿透各企业的“一张图”指挥视图，显著提升管理者对全局态势的感知速度与重大安全风险的精准决策能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升级安全监管视图的智能化水平。通过融合视频智能分析（如烟火识别、人员违规行为识别）、物联网传感器数据（如气体浓度、温度压力）及企业安全台账，构建精准化的安全风险画像。系统将建立多层级的预警模型，实现从风险感知、自动报警、任务派发到处置反馈的全程闭环管理，有效降低漏报误报率，提升对高风险区域和对象的靶向监管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实现园区物理边界的数字化、可视化全管控。通过全面接入并整合周界监控、道闸卡口、车辆GPS/北斗定位等系统数据，在地图上实时呈现所有入园车辆，特别是危化品运输车辆的精确位置与行驶轨迹。系统支持对指定车辆的历史轨迹回放与电子围栏预警，并与停车场管理系统联动，实现从入园、路径规划、在途监控到离园的全过程可视化闭环管理，夯实园区封闭化安全基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克服应急资源数据孤岛、协同调度迟缓的短板，优化部门、一体化的应急指挥“数字沙盘”。通过统一汇聚并动态更新应急队伍、物资装备、专家、避难场所等资源信息，实现资源分布、状态、数量的实时可视。在突发事件时，系统可基于事故地点与类型，智能匹配、一键调度周边应急资源，并可视化展示救援力量行进轨迹与处置进度，为指挥者提供高效的协同指挥工具，大幅缩短应急响应与资源调配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AF15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nil"/>
              <w:right w:val="single" w:color="000000" w:sz="4" w:space="0"/>
            </w:tcBorders>
            <w:shd w:val="clear" w:color="auto" w:fill="auto"/>
            <w:vAlign w:val="center"/>
          </w:tcPr>
          <w:p w14:paraId="042DB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B97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E86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安全监管数据治理</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61C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化工园区企业数据治理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D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完善灵活可配置的查询统计功能，支持多维度、多视角，按园区规划、企业规模、产业类型等多维度对基础信息进行统计展示，帮助管理者快速洞察园区整体结构与特征，为科学决策提供可靠的数据支撑。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A1F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A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78DD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5E51">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34D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证照数据治理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F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升许可管理的灵活性与透明度，重构在线审批流程。支持监管单位根据法规与企业类型，自定义配置审批环节、条件与角色权限。实现申请、受理、审核、批准、发证全流程电子化与状态实时可查。同时，系统内置多维度统计分析引擎，可对许可数量、办理时效、通过率等指标进行自动统计与可视化呈现，为监管效能评估与政策优化提供数据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38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13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8D5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B471">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0F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装置工况数据治理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EC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加强对高风险作业的源头监管，建立装置开停车与大检修的线上备案与智能监管体系。企业需在线提交详细方案及风险评估报告，系统自动备案并生成唯一监管编码。作业期间，通过与企业DCS、视频监控等系统对接，对关键参数进行抽查监测。事后，系统可自动汇总各企业作业频次、风险等级、合规情况等数据，进行多维度统计分析，助力园区实施差异化、精准化作业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18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E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7507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EF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704C">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7A4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承包商数据治理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08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对第三方服务单位的动态、精准管理，建立统一的第三方单位信息数据库与诚信评价体系。支持在线维护单位资质、业绩、人员、保险等信息，并与国家信用信息平台进行核验。监管单位可自定义设置包含事故记录、违规行为、服务质量等维度的诚信评价模型，系统自动评分定级。评价结果可视化展示，并作为入园准入、合同续签的重要参考，推动建立优质优价的良性市场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885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5492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1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8C9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59F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安全监管检查数据治理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9F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推动执法工作的规范化与高效化，构建覆盖PC端与移动端的全流程执法管理系统。支持从年度计划制定、现场检查、证据采集（拍照、录像）、文书生成（自动套用模板）、整改通知到复查验收的线上闭环。移动执法APP支持离线操作与数据同步。集成云端法律法规库，支持关键字、条文号快速检索。建立典型执法案例库，为执法人员提供参考，统一执法标准，提升执法专业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166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4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E4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7F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4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重大安全风险防控</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8D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风险预警模型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4C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对重大风险的动态、精准管控，引入量化风险评估（QRA）模型与动态分级机制。系统定期或根据工艺变更自动对识别出的重大风险进行计算评估，依据风险矩阵动态调整风险等级。对高风险区域，系统可自动关联调取周边视频监控、启动特殊巡检任务、限制无关人员进入等联动控制。提供风险热力图与趋势分析报告，辅助管理者有的放矢地配置安防资源，实现风险可控在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为确保本条核心功能自主可控、知识产权合规无侵权风险及系统全生命周期迭代运维能力，投标人须提供化工园区风险预警模型或重大安全风险预防监控系统等计算机软件著作权登记证书（复印件加盖投标人公章，著作权人须为投标人或通过合法途径取得授权的投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BA9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A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B31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B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28C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4F5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智能分析管控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60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提升风险预警的准确性与及时性，本优化将从硬件接入与算法模型两方面进行升级。扩大温度、压力、液位、有毒有害气体等传感器的覆盖密度与精度。部署更先进的机器学习算法，对监测数据进行趋势分析、关联分析和早期异常诊断，动态优化预警阈值。实现分级（如提示、警告、严重）预警，并通过声光、短信、APP推送等多渠道自动通知相关责任人，变被动响应为主动预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DD7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6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1EF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5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D22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1B5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危险源全生命周期管控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2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升安全管理工作的系统性与闭环性强化报告的自动生成与隐患的督办能力。系统可根据检查记录、监测数据等，自动生成标准化安全评估报告初稿。对录入的隐患，系统自动建立台账，明确整改责任人与期限，并通过消息中心、短信等方式进行分级督办提醒。整改需线上提交证据，验收后方可闭环。系统支持对隐患类型、区域、重复性等进行多维度统计分析，识别管理薄弱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34F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10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8D8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4C5BD">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AD6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重大风险动态监管</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B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科学高效的差异化监管，建立基于风险的重大危险源企业动态分类模型。模型综合考虑危险源数量、等级、工艺危险性、安全管理水平、历史事故等多重因素，将企业分为A（高风险）、B（中风险）、C（低风险）等类别。系统根据分类结果自动推荐不同的检查频次、深度与重点内容。对A类企业实施重点监控、增加抽查频次，确保监管力量聚焦于最高风险点，提升监管资源利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9BF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2A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25CC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9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9F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智能化风险隐患治理</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9CE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隐患“全链条”跟踪管理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4F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确保隐患整改的及时性与有效性，构建智能化的分级督办提醒体系。系统根据隐患的等级（重大、较大、一般）和临近超期时间，自动触发不同层级的督办提醒（如站内消息、短信、自动电话通知），并逐级上报。提供可视化的整改进度看板，管理者可一目了然地掌握辖区隐患总数、已整改、超期未整改等关键指标。对反复出现或超期未改的隐患，系统可自动生成专项报告，提请重点督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C87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5A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543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BD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F71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124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风险管控和隐患排查效果模型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9D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客观评估企业双重预防机制运行实效，开发标准化的线上抽查检查工具。系统内置包含机制建设、风险管控、隐患排查、持续改进等维度的检查清单与评分标准。检查人员可通过移动端进行现场核查、拍照取证、在线评分。系统自动汇总分析各企业得分情况，生成区域、行业对比分析报告，识别共性问题与优秀实践，为精准指导与监管决策提供量化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699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2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6B88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E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85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动态风险管控</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AC9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作业风险智能分析</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5E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洞察特殊作业风险规律，优化管理策略，强化特殊作业数据的深度分析能力。系统自动归集全园区所有特殊作业票证信息，支持按作业类型（动火、吊装等）、风险等级、作业单位、时间段等多维度进行交叉统计与可视化分析（如趋势图、占比图）。可自动生成作业风险分析报告，识别高频作业类型、高风险时段、问题集中企业，为园区有针对性加强现场监管、开展专项培训提供数据洞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ABD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F8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F4B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31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FB24">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FA1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智能化TopN监管</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72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升作业现场远程监管能力，构建基于视频智能分析的在线抽查系统。通过调取作业点附近的固定或移动视频监控，检查人员可远程核实作业票证、安全措施落实、人员防护装备佩戴等情况。系统可集成行为识别算法，自动检测如未戴安全帽、监护人员离岗等违规行为并报警。抽查记录与问题可直接推送至企业负责人，实现“线上巡查、线下整改”的高效监管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81D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2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7F46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9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AA3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8B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园区内聚集作业风险分布预警</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DC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现场作业风险信息的预警、有效处置与闭环，设计标准化的预警处置工作流。预警产生后，系统自动根据风险级别将信息推送至企业相关责任人与园区监管人员。企业责任人需在规定时间内进行确认、处理，并分阶段上报处置过程与结果。园区管理人员可实时跟踪处置进度，并对处置结果进行审核确认，形成完整的“预警-接收-处置-反馈-消警”电子台账，确保每条预警有着落、有回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97E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B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533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9D5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区域流通风险管理</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BD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危化车辆调度管理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20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危化品车辆停车场的规范化、智能化管理，建设集预约、引导、监控于一体的管理平台。车辆入园前可在线预约专用停车场车位。系统根据车辆危化品种类、吨位自动分配停车区域。通过场内引导屏与APP，引导车辆快速停入指定车位。停车场视频监控全覆盖，并与园区消防、气体监测系统联动。对超时停放、异常移动等情况自动报警，并与门禁系统联动，防止车辆违规驶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F77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4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6D5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8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796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F31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车辆运输风险管控</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4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化危化品车辆在园区的行驶安全与效率，开发智能路径规划与实时追踪服务。系统基于实时路况、企业位置、危化品种类、专用停车场容量等信息，为入园车辆规划最优行驶路径，并规避人员密集区、重要设施周边。车辆在途期间，通过GPS/北斗实现厘米级高精度定位与实时位置在地图上的显示。支持设置电子围栏，对偏离路径、超速、滞留等异常行为进行自动预警，实现运输过程的全程可知可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84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6745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8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C16C">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2B6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动态风险聚集管理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5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掌握园区内人员动态，防范人员在核心区域内聚集风险，构建精准的人员定位与分布管理系统。通过接入企业人员定位系统数据，结合门禁记录，在地图上实时显示不同区域的人员数量、身份信息及分布热力图。可设置区域最大承载人数告警、静止超时告警、闯入禁区告警等规则。一旦触发告警，可自动联动附近视频监控，为应急疏散与日常管理提供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353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26F2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AB6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应急响应数据治理</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238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应急预案数据结构化治理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66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升应急预案的实用性与可操作性，建设数字化的预案管理平台。支持对企业应急预案进行结构化备案与版本管理。提供强大的全文检索与关联查询功能。园区级预案支持在线编制、评审、发布、修订的全流程管理。预案要素（如应急组织、处置程序、资源清单）可被系统其他模块（如应急指挥、资源管理）直接调用，确保预案与实战紧密结合，避免“纸面预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854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EA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C1D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6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A7E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BD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突发事件演练评估数据管理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1F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复杂突发事件中提供科学的决策支持，集成专业的灾害后果模拟与资源优化算法。根据事故类型（泄漏、火灾、爆炸），调用相应的数学模型，结合实时风速风向、地形数据，模拟灾害扩散范围、影响区域与伤亡预估。基于模拟结果与可用资源分布，系统可智能推荐最优的救援力量部署方案、疏散路径与医疗资源调配方案。支持在线会商，共享决策视图与推演结果，辅助指挥者制定科学高效的处置策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FB2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1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620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CE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3B30">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0D1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物资数据治理调度优化</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28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摸清应急资源家底，实现科学调度，建立动态、准确的应急资源数据库。支持对救援队伍、专家、装备、物资、医疗点、避难场所等各类资源进行信息化管理，记录其位置、数量、状态、性能参数、负责人及联系方式。系统定期提醒进行资源核查与维护更新。支持基于地图的资源查询与统计分析，在应急时可根据事故地点与类型，快速筛选并推荐可用资源，为指挥调度提供精准信息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86E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E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B93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F5CB">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0D1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指挥通信接口一体化整合</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B7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障应急响应的指挥顺畅、协同高效，打造一体化的应急指挥调度系统。集成融合报警信息、视频监控、气象数据、资源状态、人员位置等多源信息，形成统一的指挥视图。内置语音、视频、群组消息等通信工具，实现指挥中心与现场人员的无缝沟通。支持在线创建应急任务，指派给特定队伍或个人，并实时跟踪任务状态与完成情况。所有指挥指令与通讯记录全程留痕，可供事后追溯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491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6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5DC3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8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A86D">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A1D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聚集区应急管理数据接口开发实施</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B5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园区内数据采集接入、上传规范；上级应急部门数据交换至园区数据规范；数据采集接口设计；数据传输接口设计；数据集成接口设计；数据分析接口设计；接口安全设计。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4CB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1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082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C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32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“应急通”小程序</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D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现场监管与移动办公需求，打造功能强大、体验优良的官方移动应用（App）。App作为PC端系统的重要延伸，集成信息查询（企业、风险点）、任务处理（隐患整改、执法检查）、实时预警接收、视频监控调阅、移动执法、通讯协作等核心功能。采用先进的跨平台技术，确保与企业端数据实时同步、操作流畅。通过优化界面设计，降低使用门槛，使安全监管工作可随时随地开展，极大提升工作灵活性与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1D8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29C3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1C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10C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园区订阅式（SaaS）安全风险智能化管控企服系统建设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39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生产数据可视化、安全生产数据监测、安全生产一张图、企业基础信息管理、双重预防机制、两重点一重大、特殊作业管理、智能巡检、承包商管理系统，物联网设备感知、监测、预警、处置、评估等方面的基础建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为确保本条核心功能自主可控、知识产权合规无侵权风险及系统全生命周期迭代运维能力，投标人须提供企业安全风险智能化管控平台或园区安全风险智能化管控平台等计算机软件著作权登记证书（复印件加盖投标人公章，著作权人须为投标人或通过合法途径取得授权的投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63E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52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7057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176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三维建模</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7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利用倾斜摄影对园区进行三维建模，利用无人机进行倾斜摄影，以建立真实的三维模型。通过倾斜摄影技术，无人机以不同角度和高度对地面进行拍摄，从而获取更多的细节和准确的地理信息。满足要求面积18.3平方公里，地面分辨率优于5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43B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3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DE6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6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8F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空间数据库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CA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实现基础地理数据和业务地理数据采集、处理、建库、更新和维护。提供地理数据管理、服务发布、空间分析、场景构建，快速部署、规划、调度和指挥应用的能力，帮助职能部门快速构建定制化的图层应用。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09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3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62AA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FB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B66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智能AI助手</w:t>
            </w:r>
          </w:p>
        </w:tc>
        <w:tc>
          <w:tcPr>
            <w:tcW w:w="537" w:type="dxa"/>
            <w:vMerge w:val="restart"/>
            <w:tcBorders>
              <w:top w:val="single" w:color="000000" w:sz="4" w:space="0"/>
              <w:left w:val="single" w:color="000000" w:sz="4" w:space="0"/>
              <w:bottom w:val="nil"/>
              <w:right w:val="single" w:color="000000" w:sz="4" w:space="0"/>
            </w:tcBorders>
            <w:shd w:val="clear" w:color="auto" w:fill="auto"/>
            <w:vAlign w:val="center"/>
          </w:tcPr>
          <w:p w14:paraId="2A0A4E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AI运营助手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0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隐患排查运营问答助手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3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汇聚国家法律法规，事故案例，隐患排查问题等，提供对不同工艺，不同危化品的隐患排查依据，辅助巡查服务人员能够快速佐证其隐患，获取相关的法律依据。隐患排查问答助手是通过内置的AI模型总结分析现场隐患，提供涵盖多个行业的全面精准的检查表与数据库支持，助力用户快速发现潜在问题点。同时，该助手还能自动生成检查报告，构建可视化数据中心，提供全面的数据分析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7C0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3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04D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1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9B8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nil"/>
              <w:right w:val="single" w:color="000000" w:sz="4" w:space="0"/>
            </w:tcBorders>
            <w:shd w:val="clear" w:color="auto" w:fill="auto"/>
            <w:vAlign w:val="center"/>
          </w:tcPr>
          <w:p w14:paraId="5142D53B">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58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特殊作业运营问答助手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32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基于《危险化学品企业特殊作业安全规范》（GB 30871-2022）政策要求，以及企业特殊作业过程中的相关隐患要求，提供对特殊作业票证及作业过程中的隐患的问答助手。提供全面的特殊作业指导与安全管理支持。它通过深度学习与大数据分析，能够智能解答用户在化工特殊作业中遇到的各种问题，提供精准的操作建议与安全风险提示。同时，该助手还支持实时数据监测与隐患预警，助力用户实现高效、安全的生产作业。无论是新手还是资深从业者，都能从中获得宝贵的帮助与指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540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5691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4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7ECA">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nil"/>
              <w:right w:val="single" w:color="000000" w:sz="4" w:space="0"/>
            </w:tcBorders>
            <w:shd w:val="clear" w:color="auto" w:fill="auto"/>
            <w:vAlign w:val="center"/>
          </w:tcPr>
          <w:p w14:paraId="0E6045E9">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80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行业标准政策百科助手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2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对化工行业的百科查询助手，用户可在园区运营过程中的问题，咨询政策，标准，法律相关要求，系统可回复相关的政策依据。它整合了化工行业相关的法律法规、政策文件、环保要求等，为用户提供一站式查询服务。用户可以通过该助手快速了解化工行业的政策导向、标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15B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8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729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FD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B94B">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nil"/>
              <w:right w:val="single" w:color="000000" w:sz="4" w:space="0"/>
            </w:tcBorders>
            <w:shd w:val="clear" w:color="auto" w:fill="auto"/>
            <w:vAlign w:val="center"/>
          </w:tcPr>
          <w:p w14:paraId="7E1B111A">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6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自动运营报告生成助手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13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园区运营过程中，可基于对园区企业的安全管理的基础数据，以及园区本地化的相关数据，生成运营结果数据。利用AI技术，能够自动收集、整理和分析运营数据，快速生成专业、详细的运营报告。这款助手不仅支持多种报告模板，还能根据用户需求进行个性化定制，极大地提升了报告制作的效率和质量，为决策提供了有力的数据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6A4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7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66C8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02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726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nil"/>
              <w:right w:val="single" w:color="000000" w:sz="4" w:space="0"/>
            </w:tcBorders>
            <w:shd w:val="clear" w:color="auto" w:fill="auto"/>
            <w:vAlign w:val="center"/>
          </w:tcPr>
          <w:p w14:paraId="5B05C16E">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9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知识问答能力</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9C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实现通过智能问答服务，为用户提供即时专业的支持。用户通过自然语言输入相关问题，智能助理将调用大模型能力实时进行深度理解和推理，最终提供简洁而准确的回答。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F3E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9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2588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6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D4A7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nil"/>
              <w:right w:val="single" w:color="000000" w:sz="4" w:space="0"/>
            </w:tcBorders>
            <w:shd w:val="clear" w:color="auto" w:fill="auto"/>
            <w:vAlign w:val="center"/>
          </w:tcPr>
          <w:p w14:paraId="5AC95A96">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77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数据问答能力</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9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过对园区本地数据的学习和分析，为用户提供即时、精准的数据支持，帮助用户轻松应对数据分析，提供功能强大、易于使用的数据分析和解答工具。能够理解和解析用户提出的关于数据的各种问题，无论是基础的数据查询、数据分析，还是复杂的数据挖掘、数据预测等需求，都能提供即时、准确的回应。用户无需具备专业的数据处理知识，只需通过自然语言与平台进行交互，即可轻松获取所需的数据信息和洞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08F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CA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E04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E2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1F8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nil"/>
              <w:right w:val="single" w:color="000000" w:sz="4" w:space="0"/>
            </w:tcBorders>
            <w:shd w:val="clear" w:color="auto" w:fill="auto"/>
            <w:vAlign w:val="center"/>
          </w:tcPr>
          <w:p w14:paraId="28372458">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4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应用集成模块</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7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提供第三方应用集成智能助理的软件模块。提供API调用能力，以及H5页面直接集成能力。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258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E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2821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7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1C0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9CC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知识库</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99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知识库管理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4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支持用户上传、解析、编辑和分类维护相关文档，并为此提供全面的解析模板和工具。此外，系统支持版本控制，确保知识库内容的更新安全可靠。允许用户根据自身的特定需求和行业特点，创建和管理个性化的大模型知识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F3B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ED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F0D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57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E3F4">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2E41">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70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化工专业基础知识库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FE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为园区及用户提供基础的化工原理、化工设备、化工工艺及安全基础管理等方面数据库建设，基于数据库实现对智能助手的训练。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9EB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1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52AF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C29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BBEF">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A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化工行业政策信息库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6A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为园区及用户提供化工行业方面的政策文件内容、官方解读等信息的数据库建设，基于数据库实现对智能助手的训练。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40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0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3A0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3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888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FEA88">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BB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化工隐患检查表数据库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32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为园区积累大类的化工行业隐患检查表和隐患检查结果数据库，用户可以根据隐患描述、检查依据、整改建议等信息快速完成隐患对标。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B08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D3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804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E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EE57">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77FB">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7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化工法律、标准法规库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8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为园区及用户提供化工行业方面的国家法律法规、化工行业方面的国标、行标、地标、团标文件要求数据库建设，基于数据库实现对智能助手的训练。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B25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D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794D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DD8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EAE7">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3F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危化品MSDS库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D0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为园区及用户提供危化品MSDS等信息数据库建设，基于数据库实现对智能助手的训练。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900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D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296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B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996B">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B30D">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1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重大危险源信息库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9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为园区及用户提供各类危险化学品重大危险源临界量数据库建设，基于数据库实现对智能助手的训练。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B1F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E4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E57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0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417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CAB1">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5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事故案例库</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0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为园区及用户提供典型事故案例信息智能数据库建设，为园区及用户提供事故原因，预防措施等方面的解答，基于数据库实现对智能助手的训练。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09D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B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r>
      <w:tr w14:paraId="5063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4141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产业服务</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880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产业链分析</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0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梳理园区化工产业链上下游环节，展示相关优势产业链条。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517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AF1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7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E012920">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4F8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产业分布图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2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可视化呈现园区内优势产业空间布局，直观展示产业集聚与分布特征。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E5A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8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575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61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67913B">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F2E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产业招商图</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D5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可视化展现园区空间资源、招商资源等信息。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9B3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2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7C03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F93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环保管理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CE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环保全覆盖监测优化整合园区及企业的废气外排口、空气质量监测站点、特征因子监测站点、污水处理厂排口、地表水监测站点、企业废水外排口、地下水监测站点、雨水排口、污染治理设施监控、固危废动态监控等的监测数据，形成大气四级防控、水环境防控、工况管理、固危废动态管控等监测模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2、大气四级防控升级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过采集复用园区已有环境监测站点的数据，同时根据对园区内企业的环境风险评估，构建“点、线、面、域”的大气环境四级防控体系。通过筛选空气质量监测因子和特征污染物监测因子以及预警阈值设置、监测数值趋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大气溯源在环境监测设备实时监测数据的基础上，结合实时的气象数据及园区企业档案数据、特征污染物名录库，通过科学的算法模型实现对大气环境污染高风险企业的筛选并形成污染源可疑企业清单，现场工作人员可根据溯源结果清单核查污染源排放企业，达到污染溯源的目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5C7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6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92B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EC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06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能源管理</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C2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1、能源指标与法规文件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(1)能耗指标:为响应当地双控政策实现对所在区域的双控指标(能耗总量和强度)数据进行管理，实现园区对当地政府所下发指标进行管理、分配、下达等功能。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能源政策法规文件:通过人工手动填报/上传或通过系统采集方式整合能源相关政策法规，对能源行业政策法规进行集中维护管理，为管理人员作为辅助决策的基础支撑可对法规文件进行查询、录入、编辑、查看等功能，文件数据与平台知识库互通，可同步知识库信息，同时可以联动统计分析系统，为管理人员提供辅助决策支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(3)国家重点节能减排技术:对标《国家重点节能低碳技术目录》，结合园区企业情况，分析低碳技术推广应用效果。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2、能源数据统计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(1)蒸汽数据统计:实现企业蒸汽月度消耗数据、同比分析等数据展示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(2)电力数据统计:实现企业电力月度消耗数据、同比分析等数据展小。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(3)天然气公司数据统计:实现企业天然气月度消耗数据、同比分析等数据展示。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(4)用水数据统计:实现企业用水月度消耗数据、同比分析等数据展示。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(5)企业综合能耗:实现各个企业能源统计数据、综合能耗数据的对比分析，方便管理者挖掘节能潜力，找到能源管理的关键所在。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BF1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E3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044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BEE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易燃易爆有毒有害气体泄漏监测管控设备配置</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405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重点区域易燃易爆有毒有害气体泄漏监测系统</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C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接入在线式易燃易爆有毒有害气体泄漏设备，实现大范围的易燃易爆有毒有害气体监测，包含实时监控、地图显示、预警信息等功能。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为确保本条核心功能自主可控、知识产权合规无侵权风险及系统全生命周期迭代运维能力，投标人须提供中华人民共和国国家版权局颁发的、在法定保护有效期内的易燃易爆有毒有害气体泄漏监测管控系统等计算机软件著作权登记证书（复印件加盖投标人公章，著作权人须为投标人</w:t>
            </w:r>
            <w:r>
              <w:rPr>
                <w:rFonts w:hint="eastAsia" w:ascii="宋体" w:hAnsi="宋体" w:cs="宋体"/>
                <w:i w:val="0"/>
                <w:iCs w:val="0"/>
                <w:color w:val="000000"/>
                <w:kern w:val="0"/>
                <w:sz w:val="24"/>
                <w:szCs w:val="24"/>
                <w:highlight w:val="none"/>
                <w:u w:val="none"/>
                <w:lang w:val="en-US" w:eastAsia="zh-CN" w:bidi="ar"/>
              </w:rPr>
              <w:t>或通过合法途径取得授权的投标人）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550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6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CBD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C43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D4C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F5C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分项</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75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建设任务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FFE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2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14:paraId="7E63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E0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002C">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5D9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易燃易爆气体监测大范围速扫设备</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0B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一、主机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监测气体数量≥450种，包括烷烃类（甲烷、乙烷等）、烯烃类（乙烯、丙烯等）、芳香烃（甲苯、乙苯、二甲苯等）、卤代烃/卤代烷（氯乙烯、二氯甲烷等）、醇类（甲醇、乙醇等）等有机化合物，以及氨气、二氧化硫等无机化合物。识别气体库可根据客户需求定制、扩充。（提供国家认可的第三方检测机构出具的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（2）采用被动式斯特林制冷型傅里叶红外光谱遥感检测技术。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（3）监测距离：≥5km。（提供国家认可的第三方检测机构出具的报告）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▲（4）响应时间：≤4s。（提供国家认可的第三方检测机构出具的报告）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（5）场景视频：可见光+红外热像（必须同时具备可见光相机和红外相机，满足夜间使用需求）。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（6）光谱测量速率≥10副图/秒（@4cm-1）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（7）波长重复性：≤0.01cm-1。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（8）光谱分辨率：1cm-1、4cm-1(可调)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（9）可见相机分辨率：≥1080P，红外相机分辨率：≥640×512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（10）供电方式：交流、直流两种供电方式。电压：220VAC±10%或26VDC士4VDC；</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▲（11）设备能在蒸汽干扰条件下，准确识别气体，并满足示值误差≤±5%要求；（需提供有CMA或CNAS资质的第三方检测报告）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▲（12）为保证设备长期稳定运行，不受国际贸易环境变化影响，其中核心部件干涉仪需自主可控，需要有国产化证明材料。（需提供国家专业机构出具的干涉仪控制电路板组件电子元器件选用分析报告）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二、云台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（1）扫描范围：水平0°～360°，俯仰-30°～+45°。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（2）扫描旋转速度：水平旋转速度为0.01°/s～20°/s，垂直旋转速度为0.01°/s～10°/s。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三、软件系统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▲（1）支持数据上传智能化管控平台。（需提供证明资料）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（2）产品具有识别气体并实时显示结果、即时报警、检测模式选择、检测区域实时视频显示、检测区域可视化选取、检测过程实时显示（包括检测识别结果的图像、名称和数值）。（需提供证明资料）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（3）可实时视频显示测试结果，可动态显示气体的分布和扩散趋势。（需提供证明资料）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产品支持便携式架设，并且包括但不限于以下几种监测模式（定点扫描，区域扫描，警戒扫描，快速区域扫描，系统自定义区域扫描等），确保不同场景的气体监测；具有预置位/预置区域功能，可设置多个预置区域/预置位协同检测；具有自动巡航检测功能，支持多区域自动巡检；具有多区域巡航阈值区域扫描功能，支持视场内任意扫描区域设定，并可以为每个扫描区域命名，并在巡航方案内的每个设定监测区域对识别因子进行预设分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▲（5）为了保证后期将检测结果接入内部平台的数据安全性，以及产品配套软件的合规性以及后期变更管理，配套的气体遥测成像报警系统软件需提供WEB端漏洞扫描报告。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四、环境适应性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（1）主机+云台（含防雨遮阳盖）尺寸≤537mm（长）×375mm（宽）×515mm（高）。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▲（2）设备必须满足在新疆多沙尘、强电磁干扰环境下的长期稳定运行要求，投标人应提供国家级或国际公认的第三方检测机构出具的、证明设备防风沙（如IP防护等级、防尘试验）的检测报告。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保证产品在高空部署时，能够承受强风、阵风等振动冲击干扰，产品应符合国家有关振动冲击的规范要求。（提供具有开展环境适应性检测资质的第三方检测机构出具的报告，需同时提供能够证明认证机构的具有相应资质的文件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为了防止5G等各种通信设备电场辐射对产品造成干扰影响，需提供产品开展RS103电场辐射敏感度检测的报告（提供具有开展电磁兼容检测资质的第三方检测机构出具的报告，需同时提供能够证明认证机构的具有相应资质的文件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四、含安装施工及配套辅材。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B02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4A5A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1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9F6B">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A51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35米高塔</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C2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（1）塔高：35 米（含避雷针）；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（2）塔型：单元组合式角钢塔；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（3）自立式格构塔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（4）基本风压：按50年一遇设计（如0.45~0.70 kN/m²，视地区而定）。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（5）含安装施工及配套辅材。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12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F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882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4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E2B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安全风险智能化管控运营服务（含平台运维保障）</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7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派出安全生产专家带队，由智能化风险管控运营专员、IT运维人员组成安全风险智能化管控运营服务专班，明晰职责、明确分工，开展智能化安全风险管控体系建设，发挥平台作用，防范化解重大安全风险。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安全生产专家需同时具备高级工程师和注册安全工程师证书，其他人员需具备注册安全工程师证书并具有相关行业3年以上工作经验。</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F5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2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r>
    </w:tbl>
    <w:p w14:paraId="37AC67AE">
      <w:pPr>
        <w:pStyle w:val="12"/>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ascii="宋体" w:hAnsi="宋体" w:eastAsia="宋体" w:cs="Times New Roman"/>
          <w:b/>
          <w:highlight w:val="none"/>
          <w:lang w:eastAsia="zh-CN"/>
        </w:rPr>
        <w:t>▲</w:t>
      </w:r>
      <w:r>
        <w:rPr>
          <w:rFonts w:hint="eastAsia" w:ascii="宋体" w:hAnsi="宋体" w:eastAsia="宋体" w:cs="宋体"/>
          <w:b/>
          <w:bCs/>
          <w:color w:val="auto"/>
          <w:sz w:val="24"/>
          <w:szCs w:val="24"/>
          <w:highlight w:val="none"/>
          <w:lang w:val="en-US" w:eastAsia="zh-CN"/>
        </w:rPr>
        <w:t>”代表重要技术参数；无标识则表示属一般技术参数项，“</w:t>
      </w:r>
      <w:r>
        <w:rPr>
          <w:rFonts w:ascii="宋体" w:hAnsi="宋体" w:eastAsia="宋体" w:cs="Times New Roman"/>
          <w:b/>
          <w:highlight w:val="none"/>
          <w:lang w:eastAsia="zh-CN"/>
        </w:rPr>
        <w:t>▲</w:t>
      </w:r>
      <w:r>
        <w:rPr>
          <w:rFonts w:hint="eastAsia" w:ascii="宋体" w:hAnsi="宋体" w:eastAsia="宋体" w:cs="宋体"/>
          <w:b/>
          <w:bCs/>
          <w:color w:val="auto"/>
          <w:sz w:val="24"/>
          <w:szCs w:val="24"/>
          <w:highlight w:val="none"/>
          <w:lang w:val="en-US" w:eastAsia="zh-CN"/>
        </w:rPr>
        <w:t>”技术参数项与一般技术参数项将作为技术、商务部分评审标准“技术参数”的参数评分项。</w:t>
      </w:r>
    </w:p>
    <w:p w14:paraId="6588DB42">
      <w:pPr>
        <w:pStyle w:val="12"/>
        <w:spacing w:line="360" w:lineRule="auto"/>
        <w:ind w:firstLine="482"/>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每项参数要求投标人须提供与建设任务要求的相应证明材料，例如货物类产品参数提供检测报告、测试报告、产品合格证、鉴定证书、制造商产品彩页、制造商官网截图、制造商产品说明书或相应实物照片等。技术服务类参数提供相应承诺函或其他证明材料。</w:t>
      </w:r>
    </w:p>
    <w:p w14:paraId="305ACE5E">
      <w:pPr>
        <w:rPr>
          <w:rFonts w:hint="eastAsia"/>
          <w:highlight w:val="none"/>
          <w:lang w:val="en-US" w:eastAsia="zh-CN"/>
        </w:rPr>
      </w:pPr>
    </w:p>
    <w:p w14:paraId="170FE68E">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第五章  评标办法</w:t>
      </w:r>
      <w:bookmarkEnd w:id="148"/>
      <w:bookmarkEnd w:id="149"/>
      <w:bookmarkStart w:id="150" w:name="_Hlt101846155"/>
      <w:bookmarkEnd w:id="150"/>
      <w:bookmarkStart w:id="151" w:name="_Toc183582280"/>
      <w:bookmarkStart w:id="152" w:name="_Toc183682415"/>
      <w:bookmarkStart w:id="153" w:name="_Toc217446097"/>
      <w:bookmarkStart w:id="154" w:name="_Toc208849007"/>
    </w:p>
    <w:p w14:paraId="31377CA6">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51"/>
      <w:bookmarkEnd w:id="152"/>
      <w:bookmarkEnd w:id="153"/>
      <w:bookmarkEnd w:id="154"/>
    </w:p>
    <w:p w14:paraId="22A76DF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4790A27C">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14:paraId="400ED32C">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180E9616">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7217D7D2">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1C2F1B3A">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（2）要求投标投标人对投标文件有关事项作出解释或者澄清；</w:t>
      </w:r>
    </w:p>
    <w:p w14:paraId="12E343A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（3）推荐中标候选投标人名单，或者受采购人委托按照事先确定的办法直接确定中标投标人；</w:t>
      </w:r>
    </w:p>
    <w:p w14:paraId="43EFA20A">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55" w:name="_Toc217446098"/>
    </w:p>
    <w:p w14:paraId="1471D49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评标过程严格保密。投标人对评标委员会的评标过程或合同授予决定施加影响的任何行为都可能导致其投标被拒绝。</w:t>
      </w:r>
    </w:p>
    <w:p w14:paraId="1D94B701">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79EA5471">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630623A7">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1BBADB03">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74C0C8F6">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55"/>
    </w:p>
    <w:p w14:paraId="15498833">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bookmarkStart w:id="156" w:name="_Toc217446099"/>
      <w:r>
        <w:rPr>
          <w:rFonts w:hint="eastAsia" w:ascii="宋体" w:hAnsi="宋体" w:eastAsia="宋体" w:cs="宋体"/>
          <w:color w:val="auto"/>
          <w:sz w:val="24"/>
          <w:szCs w:val="24"/>
          <w:highlight w:val="none"/>
        </w:rPr>
        <w:t>3.1资格审查</w:t>
      </w:r>
    </w:p>
    <w:p w14:paraId="4CBC1F5A">
      <w:pPr>
        <w:keepNext/>
        <w:keepLines/>
        <w:pageBreakBefore w:val="0"/>
        <w:kinsoku/>
        <w:wordWrap/>
        <w:overflowPunct/>
        <w:topLinePunct w:val="0"/>
        <w:autoSpaceDE/>
        <w:autoSpaceDN/>
        <w:bidi w:val="0"/>
        <w:adjustRightInd/>
        <w:spacing w:line="380" w:lineRule="exact"/>
        <w:jc w:val="center"/>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
          <w:bCs w:val="0"/>
          <w:color w:val="auto"/>
          <w:sz w:val="24"/>
          <w:szCs w:val="24"/>
          <w:highlight w:val="none"/>
        </w:rPr>
        <w:t>资格审查表</w:t>
      </w:r>
    </w:p>
    <w:tbl>
      <w:tblPr>
        <w:tblStyle w:val="30"/>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9"/>
        <w:gridCol w:w="6541"/>
        <w:gridCol w:w="621"/>
        <w:gridCol w:w="682"/>
      </w:tblGrid>
      <w:tr w14:paraId="70DE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316" w:type="pct"/>
            <w:vMerge w:val="restart"/>
            <w:vAlign w:val="center"/>
          </w:tcPr>
          <w:p w14:paraId="3F2031D9">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05" w:type="pct"/>
            <w:vMerge w:val="restart"/>
            <w:vAlign w:val="center"/>
          </w:tcPr>
          <w:p w14:paraId="45DC14FD">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c>
          <w:tcPr>
            <w:tcW w:w="777" w:type="pct"/>
            <w:gridSpan w:val="2"/>
            <w:vAlign w:val="center"/>
          </w:tcPr>
          <w:p w14:paraId="578E156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r>
      <w:tr w14:paraId="6099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16" w:type="pct"/>
            <w:vMerge w:val="continue"/>
            <w:vAlign w:val="center"/>
          </w:tcPr>
          <w:p w14:paraId="03B62FED">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3905" w:type="pct"/>
            <w:vMerge w:val="continue"/>
            <w:vAlign w:val="center"/>
          </w:tcPr>
          <w:p w14:paraId="4902AECB">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371" w:type="pct"/>
            <w:vAlign w:val="center"/>
          </w:tcPr>
          <w:p w14:paraId="4645007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405" w:type="pct"/>
            <w:vAlign w:val="center"/>
          </w:tcPr>
          <w:p w14:paraId="3D813BE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14:paraId="1F8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316" w:type="pct"/>
            <w:vAlign w:val="center"/>
          </w:tcPr>
          <w:p w14:paraId="0119A4E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05" w:type="pct"/>
            <w:vAlign w:val="center"/>
          </w:tcPr>
          <w:p w14:paraId="05791A2D">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具有独立承担民事责任的能力</w:t>
            </w:r>
            <w:r>
              <w:rPr>
                <w:rFonts w:hint="eastAsia" w:ascii="宋体" w:hAnsi="宋体" w:cs="宋体"/>
                <w:color w:val="000000"/>
                <w:sz w:val="24"/>
                <w:szCs w:val="24"/>
                <w:highlight w:val="none"/>
                <w:lang w:eastAsia="zh-CN"/>
              </w:rPr>
              <w:t>。</w:t>
            </w:r>
          </w:p>
          <w:p w14:paraId="32961409">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供应商满足以下条件之一即可：</w:t>
            </w:r>
          </w:p>
          <w:p w14:paraId="26C2CBA8">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供应商为企业（包括合伙企业）的，应提供有效的“营业执照”；</w:t>
            </w:r>
          </w:p>
          <w:p w14:paraId="6E6B3BD3">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供应商为事业单位的，应提供有效的“事业单位法人证书”；</w:t>
            </w:r>
          </w:p>
          <w:p w14:paraId="40CEA073">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供应商是非企业机构的，应提供有效的“执业许可证”、“登记证书”等证明文件；</w:t>
            </w:r>
          </w:p>
          <w:p w14:paraId="369B75AE">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供应商是个体工商户的，应提供有效的“个体工商户营业执照”；</w:t>
            </w:r>
          </w:p>
          <w:p w14:paraId="7C94C266">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供应商是自然人的，应提供有效的自然人身份证明。</w:t>
            </w:r>
          </w:p>
          <w:p w14:paraId="00547AC8">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000000"/>
                <w:sz w:val="24"/>
                <w:szCs w:val="24"/>
                <w:highlight w:val="none"/>
              </w:rPr>
              <w:t>】</w:t>
            </w:r>
          </w:p>
        </w:tc>
        <w:tc>
          <w:tcPr>
            <w:tcW w:w="371" w:type="pct"/>
            <w:vAlign w:val="center"/>
          </w:tcPr>
          <w:p w14:paraId="52AD965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59F62D41">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5995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6" w:type="pct"/>
            <w:vAlign w:val="center"/>
          </w:tcPr>
          <w:p w14:paraId="01AA87AE">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05" w:type="pct"/>
            <w:vAlign w:val="center"/>
          </w:tcPr>
          <w:p w14:paraId="2AA2D8ED">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r>
              <w:rPr>
                <w:rFonts w:hint="eastAsia" w:ascii="宋体" w:hAnsi="宋体" w:cs="宋体"/>
                <w:color w:val="auto"/>
                <w:sz w:val="24"/>
                <w:szCs w:val="24"/>
                <w:highlight w:val="none"/>
                <w:lang w:eastAsia="zh-CN"/>
              </w:rPr>
              <w:t>。</w:t>
            </w:r>
          </w:p>
          <w:p w14:paraId="171E12C1">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以开标截止时间点投标人未列入“信用中国”&lt;www.creditchina.gov.cn&gt;网站的“失信被执行人”和“重大税收违法失信主体”（投标人为自然人时无需提供）及“中国政府采购网”&lt;www.ccgp.gov.cn&gt;网站的“政府采购严重违法失信行为记录名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rPr>
              <w:t>截止时间点，由</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代理公司统一登陆网站查询递交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信誉情况，并以保存的网页查询截图为准。②银行出具的近1年内资信证明或</w:t>
            </w:r>
            <w:r>
              <w:rPr>
                <w:rFonts w:hint="eastAsia" w:ascii="宋体" w:hAnsi="宋体" w:cs="宋体"/>
                <w:color w:val="auto"/>
                <w:sz w:val="24"/>
                <w:szCs w:val="24"/>
                <w:highlight w:val="none"/>
                <w:lang w:val="en-US" w:eastAsia="zh-CN"/>
              </w:rPr>
              <w:t>2024</w:t>
            </w:r>
            <w:r>
              <w:rPr>
                <w:rFonts w:hint="eastAsia" w:ascii="宋体" w:hAnsi="宋体" w:eastAsia="宋体" w:cs="宋体"/>
                <w:color w:val="auto"/>
                <w:sz w:val="24"/>
                <w:szCs w:val="24"/>
                <w:highlight w:val="none"/>
              </w:rPr>
              <w:t>年度</w:t>
            </w:r>
            <w:r>
              <w:rPr>
                <w:rFonts w:hint="eastAsia" w:ascii="宋体" w:hAnsi="宋体" w:cs="宋体"/>
                <w:color w:val="auto"/>
                <w:sz w:val="24"/>
                <w:szCs w:val="24"/>
                <w:highlight w:val="none"/>
                <w:lang w:val="en-US" w:eastAsia="zh-CN"/>
              </w:rPr>
              <w:t>或2025年度</w:t>
            </w:r>
            <w:r>
              <w:rPr>
                <w:rFonts w:hint="eastAsia" w:ascii="宋体" w:hAnsi="宋体" w:eastAsia="宋体" w:cs="宋体"/>
                <w:color w:val="auto"/>
                <w:sz w:val="24"/>
                <w:szCs w:val="24"/>
                <w:highlight w:val="none"/>
              </w:rPr>
              <w:t>经审计的财务报告，新成立企业无需提供。】</w:t>
            </w:r>
          </w:p>
        </w:tc>
        <w:tc>
          <w:tcPr>
            <w:tcW w:w="371" w:type="pct"/>
            <w:vAlign w:val="center"/>
          </w:tcPr>
          <w:p w14:paraId="2529AA7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16DF5E79">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74A2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6" w:type="pct"/>
            <w:vAlign w:val="center"/>
          </w:tcPr>
          <w:p w14:paraId="6521FF75">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05" w:type="pct"/>
            <w:vAlign w:val="center"/>
          </w:tcPr>
          <w:p w14:paraId="0DBB52C8">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r>
              <w:rPr>
                <w:rFonts w:hint="eastAsia" w:ascii="宋体" w:hAnsi="宋体" w:cs="宋体"/>
                <w:color w:val="auto"/>
                <w:sz w:val="24"/>
                <w:szCs w:val="24"/>
                <w:highlight w:val="none"/>
                <w:lang w:eastAsia="zh-CN"/>
              </w:rPr>
              <w:t>。</w:t>
            </w:r>
          </w:p>
          <w:p w14:paraId="32018198">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【须提供：①相关设备或设施的购置发票或单据（任一）或提供承诺函；②</w:t>
            </w:r>
            <w:r>
              <w:rPr>
                <w:rFonts w:hint="eastAsia" w:ascii="宋体" w:hAnsi="宋体" w:eastAsia="宋体" w:cs="宋体"/>
                <w:color w:val="auto"/>
                <w:spacing w:val="-2"/>
                <w:sz w:val="24"/>
                <w:szCs w:val="24"/>
                <w:highlight w:val="none"/>
              </w:rPr>
              <w:t>提供具有履行合同所必需的专业技术能力相关证明材料或声明</w:t>
            </w:r>
            <w:r>
              <w:rPr>
                <w:rFonts w:hint="eastAsia" w:ascii="宋体" w:hAnsi="宋体" w:eastAsia="宋体" w:cs="宋体"/>
                <w:color w:val="auto"/>
                <w:sz w:val="24"/>
                <w:szCs w:val="24"/>
                <w:highlight w:val="none"/>
              </w:rPr>
              <w:t>。】</w:t>
            </w:r>
          </w:p>
        </w:tc>
        <w:tc>
          <w:tcPr>
            <w:tcW w:w="371" w:type="pct"/>
            <w:vAlign w:val="center"/>
          </w:tcPr>
          <w:p w14:paraId="1B44DF3B">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3FF47AA0">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0F76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6" w:type="pct"/>
            <w:vAlign w:val="center"/>
          </w:tcPr>
          <w:p w14:paraId="0A9A73F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05" w:type="pct"/>
            <w:vAlign w:val="center"/>
          </w:tcPr>
          <w:p w14:paraId="01B8C3AF">
            <w:pPr>
              <w:pStyle w:val="12"/>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r>
              <w:rPr>
                <w:rFonts w:hint="eastAsia" w:ascii="宋体" w:hAnsi="宋体" w:cs="宋体"/>
                <w:color w:val="auto"/>
                <w:sz w:val="24"/>
                <w:szCs w:val="24"/>
                <w:highlight w:val="none"/>
                <w:lang w:eastAsia="zh-CN"/>
              </w:rPr>
              <w:t>。</w:t>
            </w:r>
          </w:p>
          <w:p w14:paraId="525A9EBC">
            <w:pPr>
              <w:pStyle w:val="12"/>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近12个月内任意1个月已依法缴纳税收的凭据；②近12个月内任意1个月已依法缴纳社会保险的凭据（依法免税或不需要缴纳社会保障资金的投标人，应提供相应证明文件，新成立企业或自然人无需提供）】</w:t>
            </w:r>
          </w:p>
        </w:tc>
        <w:tc>
          <w:tcPr>
            <w:tcW w:w="371" w:type="pct"/>
            <w:vAlign w:val="center"/>
          </w:tcPr>
          <w:p w14:paraId="1BE812CB">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6296AB5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3736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6" w:type="pct"/>
            <w:vAlign w:val="center"/>
          </w:tcPr>
          <w:p w14:paraId="0BB182AB">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05" w:type="pct"/>
            <w:vAlign w:val="center"/>
          </w:tcPr>
          <w:p w14:paraId="346C9EFC">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参加本次政府采购活动前三年内，在经营活动中没有重大违法记录</w:t>
            </w:r>
            <w:r>
              <w:rPr>
                <w:rFonts w:hint="eastAsia" w:ascii="宋体" w:hAnsi="宋体" w:cs="宋体"/>
                <w:color w:val="auto"/>
                <w:sz w:val="24"/>
                <w:szCs w:val="24"/>
                <w:highlight w:val="none"/>
                <w:lang w:eastAsia="zh-CN"/>
              </w:rPr>
              <w:t>。</w:t>
            </w:r>
          </w:p>
          <w:p w14:paraId="52705C4D">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【须提供书面声明（投标人自行承诺并承担后果，声明不实的，按《政府采购法》及相关法律法规中提供虚假材料的有关规定处理。】 </w:t>
            </w:r>
          </w:p>
        </w:tc>
        <w:tc>
          <w:tcPr>
            <w:tcW w:w="371" w:type="pct"/>
            <w:vAlign w:val="center"/>
          </w:tcPr>
          <w:p w14:paraId="427A14A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119951D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613F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6" w:type="pct"/>
            <w:vAlign w:val="center"/>
          </w:tcPr>
          <w:p w14:paraId="1B384EC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05" w:type="pct"/>
            <w:vAlign w:val="center"/>
          </w:tcPr>
          <w:p w14:paraId="3737F787">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w:t>
            </w:r>
          </w:p>
          <w:p w14:paraId="2494D9B0">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【须提供书面声明（投标人自行承诺并承担后果，声明函不实的，按《政府采购法》及相关法律法规中提供虚假材料的有关规定处理。】 </w:t>
            </w:r>
          </w:p>
        </w:tc>
        <w:tc>
          <w:tcPr>
            <w:tcW w:w="371" w:type="pct"/>
            <w:vAlign w:val="center"/>
          </w:tcPr>
          <w:p w14:paraId="46F01C82">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4E66C11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3D39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6" w:type="pct"/>
            <w:vAlign w:val="center"/>
          </w:tcPr>
          <w:p w14:paraId="74BAA889">
            <w:pPr>
              <w:pStyle w:val="52"/>
              <w:pageBreakBefore w:val="0"/>
              <w:kinsoku/>
              <w:wordWrap/>
              <w:overflowPunct/>
              <w:topLinePunct w:val="0"/>
              <w:autoSpaceDE/>
              <w:autoSpaceDN/>
              <w:bidi w:val="0"/>
              <w:adjustRightInd/>
              <w:spacing w:line="38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905" w:type="pct"/>
            <w:vAlign w:val="center"/>
          </w:tcPr>
          <w:p w14:paraId="1FE8AB91">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tc>
        <w:tc>
          <w:tcPr>
            <w:tcW w:w="371" w:type="pct"/>
            <w:vAlign w:val="center"/>
          </w:tcPr>
          <w:p w14:paraId="231FAF7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19BD9320">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516E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22" w:type="pct"/>
            <w:gridSpan w:val="2"/>
            <w:vAlign w:val="center"/>
          </w:tcPr>
          <w:p w14:paraId="0B5CD06E">
            <w:pPr>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371" w:type="pct"/>
            <w:vAlign w:val="center"/>
          </w:tcPr>
          <w:p w14:paraId="7E491C8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05" w:type="pct"/>
            <w:vAlign w:val="center"/>
          </w:tcPr>
          <w:p w14:paraId="20E151E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377E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5000" w:type="pct"/>
            <w:gridSpan w:val="4"/>
            <w:vAlign w:val="center"/>
          </w:tcPr>
          <w:p w14:paraId="0B41EDF5">
            <w:pPr>
              <w:pStyle w:val="52"/>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中有一项未通过上述审查标准，</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将认定整个</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不响应</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件而予以无效处理，并且不允许</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通过修改或撤销其不符合要求的差异或保留，使之成为具有响应性的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tc>
      </w:tr>
    </w:tbl>
    <w:p w14:paraId="15864B82">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2E56DD4C">
      <w:pPr>
        <w:pStyle w:val="29"/>
        <w:pageBreakBefore w:val="0"/>
        <w:kinsoku/>
        <w:wordWrap/>
        <w:overflowPunct/>
        <w:topLinePunct w:val="0"/>
        <w:autoSpaceDE/>
        <w:autoSpaceDN/>
        <w:bidi w:val="0"/>
        <w:adjustRightInd/>
        <w:spacing w:line="3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0"/>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6"/>
        <w:gridCol w:w="6100"/>
        <w:gridCol w:w="782"/>
        <w:gridCol w:w="853"/>
      </w:tblGrid>
      <w:tr w14:paraId="719C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369" w:type="pct"/>
            <w:vMerge w:val="restart"/>
            <w:vAlign w:val="center"/>
          </w:tcPr>
          <w:p w14:paraId="373B595D">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51" w:type="pct"/>
            <w:vMerge w:val="restart"/>
            <w:vAlign w:val="center"/>
          </w:tcPr>
          <w:p w14:paraId="28219F5A">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c>
          <w:tcPr>
            <w:tcW w:w="978" w:type="pct"/>
            <w:gridSpan w:val="2"/>
            <w:vAlign w:val="center"/>
          </w:tcPr>
          <w:p w14:paraId="20C7C33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r>
      <w:tr w14:paraId="350E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369" w:type="pct"/>
            <w:vMerge w:val="continue"/>
            <w:vAlign w:val="center"/>
          </w:tcPr>
          <w:p w14:paraId="2A774D2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3651" w:type="pct"/>
            <w:vMerge w:val="continue"/>
            <w:vAlign w:val="center"/>
          </w:tcPr>
          <w:p w14:paraId="5F5E3169">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468" w:type="pct"/>
            <w:vAlign w:val="center"/>
          </w:tcPr>
          <w:p w14:paraId="5574C2B5">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510" w:type="pct"/>
            <w:vAlign w:val="center"/>
          </w:tcPr>
          <w:p w14:paraId="62BF83C0">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14:paraId="69E7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1D43220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51" w:type="pct"/>
            <w:vAlign w:val="center"/>
          </w:tcPr>
          <w:p w14:paraId="0F280287">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符合招标文件要求；</w:t>
            </w:r>
          </w:p>
        </w:tc>
        <w:tc>
          <w:tcPr>
            <w:tcW w:w="468" w:type="pct"/>
            <w:vAlign w:val="center"/>
          </w:tcPr>
          <w:p w14:paraId="39C844E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71CBFC9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148E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655788D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51" w:type="pct"/>
            <w:vAlign w:val="center"/>
          </w:tcPr>
          <w:p w14:paraId="7809F8C8">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按照招标文件规定和要求</w:t>
            </w:r>
            <w:r>
              <w:rPr>
                <w:rFonts w:hint="eastAsia" w:ascii="宋体" w:hAnsi="宋体" w:cs="宋体"/>
                <w:color w:val="auto"/>
                <w:sz w:val="24"/>
                <w:szCs w:val="24"/>
                <w:highlight w:val="none"/>
                <w:lang w:val="en-US" w:eastAsia="zh-CN"/>
              </w:rPr>
              <w:t>加密</w:t>
            </w:r>
            <w:r>
              <w:rPr>
                <w:rFonts w:hint="eastAsia" w:ascii="宋体" w:hAnsi="宋体" w:eastAsia="宋体" w:cs="宋体"/>
                <w:color w:val="auto"/>
                <w:sz w:val="24"/>
                <w:szCs w:val="24"/>
                <w:highlight w:val="none"/>
              </w:rPr>
              <w:t>、签章；</w:t>
            </w:r>
          </w:p>
        </w:tc>
        <w:tc>
          <w:tcPr>
            <w:tcW w:w="468" w:type="pct"/>
            <w:vAlign w:val="center"/>
          </w:tcPr>
          <w:p w14:paraId="3FD27C8E">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01110D50">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13B0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2F32158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651" w:type="pct"/>
            <w:vAlign w:val="center"/>
          </w:tcPr>
          <w:p w14:paraId="159B3D51">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按照招标文件规定缴纳投标保证金；</w:t>
            </w:r>
          </w:p>
        </w:tc>
        <w:tc>
          <w:tcPr>
            <w:tcW w:w="468" w:type="pct"/>
            <w:vAlign w:val="center"/>
          </w:tcPr>
          <w:p w14:paraId="4876F73D">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7C5E665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503C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55D6B40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651" w:type="pct"/>
            <w:vAlign w:val="center"/>
          </w:tcPr>
          <w:p w14:paraId="28DD7AF6">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投标报价不得高于设定的最高限价；</w:t>
            </w:r>
          </w:p>
        </w:tc>
        <w:tc>
          <w:tcPr>
            <w:tcW w:w="468" w:type="pct"/>
            <w:vAlign w:val="center"/>
          </w:tcPr>
          <w:p w14:paraId="7620214C">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0387BE35">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0E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14:paraId="4F0F42CB">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651" w:type="pct"/>
            <w:vAlign w:val="center"/>
          </w:tcPr>
          <w:p w14:paraId="78C043A7">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期符合招标文件规定期限；</w:t>
            </w:r>
          </w:p>
        </w:tc>
        <w:tc>
          <w:tcPr>
            <w:tcW w:w="468" w:type="pct"/>
            <w:vAlign w:val="center"/>
          </w:tcPr>
          <w:p w14:paraId="6AF536A1">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502EF951">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6368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369" w:type="pct"/>
            <w:vAlign w:val="center"/>
          </w:tcPr>
          <w:p w14:paraId="0580875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651" w:type="pct"/>
            <w:vAlign w:val="center"/>
          </w:tcPr>
          <w:p w14:paraId="45E0770B">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按照招标文件规定的格式要求编制投标文件，实质性响应招标文件内容；</w:t>
            </w:r>
          </w:p>
        </w:tc>
        <w:tc>
          <w:tcPr>
            <w:tcW w:w="468" w:type="pct"/>
            <w:vAlign w:val="center"/>
          </w:tcPr>
          <w:p w14:paraId="10986BD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60731D0E">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5698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369" w:type="pct"/>
            <w:vAlign w:val="center"/>
          </w:tcPr>
          <w:p w14:paraId="25ED3689">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3651" w:type="pct"/>
            <w:vAlign w:val="center"/>
          </w:tcPr>
          <w:p w14:paraId="47B7CE6E">
            <w:pPr>
              <w:pStyle w:val="52"/>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投标文件不得附有采购人不能接受的条件</w:t>
            </w:r>
            <w:r>
              <w:rPr>
                <w:rFonts w:hint="eastAsia" w:ascii="宋体" w:hAnsi="宋体" w:eastAsia="宋体" w:cs="宋体"/>
                <w:color w:val="auto"/>
                <w:sz w:val="24"/>
                <w:szCs w:val="24"/>
                <w:highlight w:val="none"/>
                <w:lang w:eastAsia="zh-CN"/>
              </w:rPr>
              <w:t>。</w:t>
            </w:r>
          </w:p>
        </w:tc>
        <w:tc>
          <w:tcPr>
            <w:tcW w:w="468" w:type="pct"/>
            <w:vAlign w:val="center"/>
          </w:tcPr>
          <w:p w14:paraId="54B49374">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68AC52C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77AB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4021" w:type="pct"/>
            <w:gridSpan w:val="2"/>
            <w:vAlign w:val="center"/>
          </w:tcPr>
          <w:p w14:paraId="7704DE2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468" w:type="pct"/>
            <w:vAlign w:val="center"/>
          </w:tcPr>
          <w:p w14:paraId="18AE48D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c>
          <w:tcPr>
            <w:tcW w:w="510" w:type="pct"/>
            <w:vAlign w:val="center"/>
          </w:tcPr>
          <w:p w14:paraId="1FD9AC35">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highlight w:val="none"/>
              </w:rPr>
            </w:pPr>
          </w:p>
        </w:tc>
      </w:tr>
      <w:tr w14:paraId="6EF3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5000" w:type="pct"/>
            <w:gridSpan w:val="4"/>
            <w:vAlign w:val="center"/>
          </w:tcPr>
          <w:p w14:paraId="615362F9">
            <w:pPr>
              <w:pStyle w:val="52"/>
              <w:pageBreakBefore w:val="0"/>
              <w:kinsoku/>
              <w:wordWrap/>
              <w:overflowPunct/>
              <w:topLinePunct w:val="0"/>
              <w:autoSpaceDE/>
              <w:autoSpaceDN/>
              <w:bidi w:val="0"/>
              <w:adjustRightInd/>
              <w:spacing w:line="3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07E44617">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2EA564AD">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7" w:name="_Toc217446104"/>
      <w:bookmarkStart w:id="158" w:name="_Toc183682422"/>
      <w:bookmarkStart w:id="159" w:name="_Toc183582287"/>
    </w:p>
    <w:bookmarkEnd w:id="157"/>
    <w:bookmarkEnd w:id="158"/>
    <w:bookmarkEnd w:id="159"/>
    <w:p w14:paraId="7E5759A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3.4比较与评价。按招</w:t>
      </w:r>
      <w:r>
        <w:rPr>
          <w:rFonts w:hint="eastAsia" w:ascii="宋体" w:hAnsi="宋体" w:eastAsia="宋体" w:cs="宋体"/>
          <w:b w:val="0"/>
          <w:bCs w:val="0"/>
          <w:color w:val="auto"/>
          <w:sz w:val="24"/>
          <w:szCs w:val="24"/>
          <w:highlight w:val="none"/>
        </w:rPr>
        <w:t>标文件中规定的评标方法和标准，对符合性审查合格的投标文件进行综合比较与评价。</w:t>
      </w:r>
    </w:p>
    <w:p w14:paraId="68E2647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3.5推荐中标候选人名单。中标候选人数量应当根据招标文件确定，但必须按顺序排列中标候选人。</w:t>
      </w:r>
    </w:p>
    <w:p w14:paraId="1F39F85D">
      <w:pPr>
        <w:pStyle w:val="46"/>
        <w:pageBreakBefore w:val="0"/>
        <w:kinsoku/>
        <w:wordWrap/>
        <w:overflowPunct/>
        <w:topLinePunct w:val="0"/>
        <w:autoSpaceDE/>
        <w:autoSpaceDN/>
        <w:bidi w:val="0"/>
        <w:adjustRightInd/>
        <w:spacing w:line="3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b w:val="0"/>
          <w:bCs w:val="0"/>
          <w:color w:val="auto"/>
          <w:sz w:val="24"/>
          <w:szCs w:val="24"/>
          <w:highlight w:val="none"/>
          <w:shd w:val="clear" w:color="auto" w:fill="FAFAFA"/>
        </w:rPr>
        <w:t>，按照技术指标优劣顺序推荐</w:t>
      </w:r>
      <w:r>
        <w:rPr>
          <w:rFonts w:hint="eastAsia" w:ascii="宋体" w:hAnsi="宋体" w:eastAsia="宋体" w:cs="宋体"/>
          <w:b w:val="0"/>
          <w:bCs w:val="0"/>
          <w:color w:val="auto"/>
          <w:sz w:val="24"/>
          <w:szCs w:val="24"/>
          <w:highlight w:val="none"/>
        </w:rPr>
        <w:t>。</w:t>
      </w:r>
    </w:p>
    <w:p w14:paraId="0697B6A9">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3.6编写评标报告。评标报告是评标委员会根据评标委员成员签字的原始评标记录和评标结果编写的报告，其主要内容包括：</w:t>
      </w:r>
    </w:p>
    <w:p w14:paraId="314AC551">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（1）项目概况、开标日期和地点；</w:t>
      </w:r>
    </w:p>
    <w:p w14:paraId="6D5252AB">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（2）参与竞争的的投标人名单和评标委员会成员名单；</w:t>
      </w:r>
    </w:p>
    <w:p w14:paraId="4731EF7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（3）评审因素和评分标准；</w:t>
      </w:r>
    </w:p>
    <w:p w14:paraId="0497F24F">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（4）开标记录和评标情况及说明，包括投标无效投标人名单及原因；</w:t>
      </w:r>
    </w:p>
    <w:p w14:paraId="183056D4">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（5）评标结果和中标候选人排序。</w:t>
      </w:r>
    </w:p>
    <w:p w14:paraId="79745293">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bookmarkStart w:id="160" w:name="_Toc217446103"/>
      <w:r>
        <w:rPr>
          <w:rFonts w:hint="eastAsia" w:ascii="宋体" w:hAnsi="宋体" w:eastAsia="宋体" w:cs="宋体"/>
          <w:b w:val="0"/>
          <w:bCs w:val="0"/>
          <w:color w:val="auto"/>
          <w:sz w:val="24"/>
          <w:szCs w:val="24"/>
          <w:highlight w:val="none"/>
        </w:rPr>
        <w:t>4. 评标细则及标准</w:t>
      </w:r>
      <w:bookmarkEnd w:id="160"/>
    </w:p>
    <w:p w14:paraId="7BDD0698">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 评标委员会只对通过符合性审查的投标文件，根据招标文件的要求采用相同的评标程序、评分办法及标准进行评价和比较。</w:t>
      </w:r>
    </w:p>
    <w:p w14:paraId="5D75E15E">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本次综合评分的因素是：商务、价格、技术服务、业绩、对招标文件的响应程度以及投标文件规范性等。</w:t>
      </w:r>
    </w:p>
    <w:p w14:paraId="3CAE4BF3">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 除价格因素外，评标委员会成员应依据投标文件规定的评审因素和评分标准进行比较打分。</w:t>
      </w:r>
    </w:p>
    <w:p w14:paraId="02ADD276">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4.4评标细则及标准的制定以科学合理、降低评标委员会自由裁量权为原则。</w:t>
      </w:r>
    </w:p>
    <w:p w14:paraId="51E3C18B">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4.5评标委员会将按照下述评分标准对通过符合性审查的投标文件进行详细评标，投标人评标得分等于所有评委评分的算术平均值，结果保留两位小数。</w:t>
      </w:r>
    </w:p>
    <w:p w14:paraId="5890133E">
      <w:pPr>
        <w:pStyle w:val="14"/>
        <w:tabs>
          <w:tab w:val="left" w:pos="600"/>
        </w:tabs>
        <w:spacing w:line="360" w:lineRule="auto"/>
        <w:ind w:firstLine="480" w:firstLineChars="20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评审因素权重表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974"/>
        <w:gridCol w:w="2241"/>
        <w:gridCol w:w="2698"/>
      </w:tblGrid>
      <w:tr w14:paraId="4C77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250F2810">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4AF83F90">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14:paraId="06D2CDE6">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14:paraId="519C82C2">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3</w:t>
            </w:r>
          </w:p>
        </w:tc>
      </w:tr>
      <w:tr w14:paraId="132C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56493009">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34D80B29">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263D3533">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54708E36">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合计</w:t>
            </w:r>
          </w:p>
        </w:tc>
      </w:tr>
      <w:tr w14:paraId="5340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3BEE09FE">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权重</w:t>
            </w:r>
          </w:p>
        </w:tc>
        <w:tc>
          <w:tcPr>
            <w:tcW w:w="1158" w:type="pct"/>
            <w:tcBorders>
              <w:top w:val="single" w:color="auto" w:sz="4" w:space="0"/>
              <w:left w:val="single" w:color="auto" w:sz="4" w:space="0"/>
              <w:bottom w:val="single" w:color="auto" w:sz="4" w:space="0"/>
              <w:right w:val="single" w:color="auto" w:sz="4" w:space="0"/>
            </w:tcBorders>
            <w:vAlign w:val="center"/>
          </w:tcPr>
          <w:p w14:paraId="689C7CD8">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10</w:t>
            </w:r>
            <w:r>
              <w:rPr>
                <w:rFonts w:hint="eastAsia" w:ascii="宋体" w:hAnsi="宋体" w:eastAsia="宋体" w:cs="宋体"/>
                <w:b w:val="0"/>
                <w:bCs w:val="0"/>
                <w:color w:val="auto"/>
                <w:spacing w:val="6"/>
                <w:kern w:val="0"/>
                <w:sz w:val="24"/>
                <w:szCs w:val="24"/>
                <w:highlight w:val="none"/>
              </w:rPr>
              <w:t>%</w:t>
            </w:r>
          </w:p>
        </w:tc>
        <w:tc>
          <w:tcPr>
            <w:tcW w:w="1315" w:type="pct"/>
            <w:tcBorders>
              <w:top w:val="single" w:color="auto" w:sz="4" w:space="0"/>
              <w:left w:val="single" w:color="auto" w:sz="4" w:space="0"/>
              <w:bottom w:val="single" w:color="auto" w:sz="4" w:space="0"/>
              <w:right w:val="single" w:color="auto" w:sz="4" w:space="0"/>
            </w:tcBorders>
            <w:vAlign w:val="center"/>
          </w:tcPr>
          <w:p w14:paraId="12FBA65B">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90</w:t>
            </w:r>
            <w:r>
              <w:rPr>
                <w:rFonts w:hint="eastAsia" w:ascii="宋体" w:hAnsi="宋体" w:eastAsia="宋体" w:cs="宋体"/>
                <w:b w:val="0"/>
                <w:bCs w:val="0"/>
                <w:color w:val="auto"/>
                <w:spacing w:val="6"/>
                <w:kern w:val="0"/>
                <w:sz w:val="24"/>
                <w:szCs w:val="24"/>
                <w:highlight w:val="none"/>
              </w:rPr>
              <w:t>%</w:t>
            </w:r>
          </w:p>
        </w:tc>
        <w:tc>
          <w:tcPr>
            <w:tcW w:w="1583" w:type="pct"/>
            <w:tcBorders>
              <w:top w:val="single" w:color="auto" w:sz="4" w:space="0"/>
              <w:left w:val="single" w:color="auto" w:sz="4" w:space="0"/>
              <w:bottom w:val="single" w:color="auto" w:sz="4" w:space="0"/>
              <w:right w:val="single" w:color="auto" w:sz="4" w:space="0"/>
            </w:tcBorders>
            <w:vAlign w:val="center"/>
          </w:tcPr>
          <w:p w14:paraId="01CAE852">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100%</w:t>
            </w:r>
          </w:p>
        </w:tc>
      </w:tr>
    </w:tbl>
    <w:p w14:paraId="4152B61F">
      <w:pPr>
        <w:pStyle w:val="14"/>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z w:val="24"/>
          <w:szCs w:val="24"/>
          <w:highlight w:val="none"/>
        </w:rPr>
        <w:t>技术、商务部分评审标准（</w:t>
      </w:r>
      <w:r>
        <w:rPr>
          <w:rFonts w:hint="eastAsia" w:ascii="宋体" w:hAnsi="宋体" w:cs="宋体"/>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rPr>
        <w:t>分）</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56"/>
        <w:gridCol w:w="994"/>
        <w:gridCol w:w="6369"/>
      </w:tblGrid>
      <w:tr w14:paraId="67704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79" w:type="pct"/>
            <w:tcBorders>
              <w:left w:val="single" w:color="auto" w:sz="4" w:space="0"/>
            </w:tcBorders>
            <w:noWrap w:val="0"/>
            <w:vAlign w:val="center"/>
          </w:tcPr>
          <w:p w14:paraId="21769AF0">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评审因素</w:t>
            </w:r>
          </w:p>
        </w:tc>
        <w:tc>
          <w:tcPr>
            <w:tcW w:w="583" w:type="pct"/>
            <w:noWrap w:val="0"/>
            <w:vAlign w:val="center"/>
          </w:tcPr>
          <w:p w14:paraId="448AE87E">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 xml:space="preserve">分值 </w:t>
            </w:r>
          </w:p>
          <w:p w14:paraId="17B82581">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w:t>
            </w:r>
            <w:r>
              <w:rPr>
                <w:rFonts w:hint="eastAsia" w:ascii="宋体" w:hAnsi="宋体" w:cs="宋体"/>
                <w:b w:val="0"/>
                <w:bCs w:val="0"/>
                <w:color w:val="auto"/>
                <w:sz w:val="24"/>
                <w:szCs w:val="24"/>
                <w:highlight w:val="none"/>
                <w:shd w:val="clear" w:color="auto" w:fill="auto"/>
                <w:lang w:val="en-US" w:eastAsia="zh-CN"/>
              </w:rPr>
              <w:t>9</w:t>
            </w:r>
            <w:r>
              <w:rPr>
                <w:rFonts w:hint="eastAsia" w:ascii="宋体" w:hAnsi="宋体" w:eastAsia="宋体" w:cs="宋体"/>
                <w:b w:val="0"/>
                <w:bCs w:val="0"/>
                <w:color w:val="auto"/>
                <w:sz w:val="24"/>
                <w:szCs w:val="24"/>
                <w:highlight w:val="none"/>
                <w:shd w:val="clear" w:color="auto" w:fill="auto"/>
                <w:lang w:val="en-US" w:eastAsia="zh-CN"/>
              </w:rPr>
              <w:t>0</w:t>
            </w:r>
            <w:r>
              <w:rPr>
                <w:rFonts w:hint="eastAsia" w:ascii="宋体" w:hAnsi="宋体" w:eastAsia="宋体" w:cs="宋体"/>
                <w:b w:val="0"/>
                <w:bCs w:val="0"/>
                <w:color w:val="auto"/>
                <w:sz w:val="24"/>
                <w:szCs w:val="24"/>
                <w:highlight w:val="none"/>
                <w:shd w:val="clear" w:color="auto" w:fill="auto"/>
              </w:rPr>
              <w:t>分）</w:t>
            </w:r>
          </w:p>
        </w:tc>
        <w:tc>
          <w:tcPr>
            <w:tcW w:w="3737" w:type="pct"/>
            <w:noWrap w:val="0"/>
            <w:vAlign w:val="center"/>
          </w:tcPr>
          <w:p w14:paraId="15BA349B">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评审标准</w:t>
            </w:r>
          </w:p>
        </w:tc>
      </w:tr>
      <w:tr w14:paraId="1D0A5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679" w:type="pct"/>
            <w:noWrap w:val="0"/>
            <w:vAlign w:val="center"/>
          </w:tcPr>
          <w:p w14:paraId="2063D89B">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default"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val="0"/>
                <w:bCs/>
                <w:color w:val="auto"/>
                <w:sz w:val="24"/>
                <w:szCs w:val="24"/>
                <w:highlight w:val="none"/>
                <w:shd w:val="clear" w:color="auto" w:fill="auto"/>
                <w:lang w:eastAsia="zh-CN"/>
              </w:rPr>
              <w:t>供应商业</w:t>
            </w:r>
            <w:r>
              <w:rPr>
                <w:rFonts w:hint="eastAsia" w:ascii="宋体" w:hAnsi="宋体" w:eastAsia="宋体" w:cs="宋体"/>
                <w:b w:val="0"/>
                <w:bCs/>
                <w:color w:val="auto"/>
                <w:sz w:val="24"/>
                <w:szCs w:val="24"/>
                <w:highlight w:val="none"/>
                <w:shd w:val="clear" w:color="auto" w:fill="auto"/>
              </w:rPr>
              <w:t>绩</w:t>
            </w:r>
          </w:p>
        </w:tc>
        <w:tc>
          <w:tcPr>
            <w:tcW w:w="583" w:type="pct"/>
            <w:noWrap w:val="0"/>
            <w:vAlign w:val="center"/>
          </w:tcPr>
          <w:p w14:paraId="745440B8">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cs="宋体"/>
                <w:b w:val="0"/>
                <w:bCs/>
                <w:color w:val="auto"/>
                <w:sz w:val="24"/>
                <w:szCs w:val="24"/>
                <w:highlight w:val="none"/>
                <w:shd w:val="clear" w:color="auto" w:fill="auto"/>
                <w:lang w:val="en-US" w:eastAsia="zh-CN"/>
              </w:rPr>
              <w:t>5</w:t>
            </w:r>
            <w:r>
              <w:rPr>
                <w:rFonts w:hint="eastAsia" w:ascii="宋体" w:hAnsi="宋体" w:eastAsia="宋体" w:cs="宋体"/>
                <w:b w:val="0"/>
                <w:bCs/>
                <w:color w:val="auto"/>
                <w:sz w:val="24"/>
                <w:szCs w:val="24"/>
                <w:highlight w:val="none"/>
                <w:shd w:val="clear" w:color="auto" w:fill="auto"/>
                <w:lang w:val="en-US" w:eastAsia="zh-CN"/>
              </w:rPr>
              <w:t>分</w:t>
            </w:r>
          </w:p>
        </w:tc>
        <w:tc>
          <w:tcPr>
            <w:tcW w:w="3737" w:type="pct"/>
            <w:noWrap w:val="0"/>
            <w:vAlign w:val="center"/>
          </w:tcPr>
          <w:p w14:paraId="272DBC62">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根据供应商提供近三年（</w:t>
            </w:r>
            <w:r>
              <w:rPr>
                <w:rFonts w:hint="eastAsia" w:ascii="宋体" w:hAnsi="宋体" w:eastAsia="宋体" w:cs="宋体"/>
                <w:b w:val="0"/>
                <w:bCs/>
                <w:color w:val="auto"/>
                <w:sz w:val="24"/>
                <w:szCs w:val="24"/>
                <w:highlight w:val="none"/>
                <w:shd w:val="clear" w:color="auto" w:fill="auto"/>
                <w:lang w:eastAsia="zh-CN"/>
              </w:rPr>
              <w:t>202</w:t>
            </w:r>
            <w:r>
              <w:rPr>
                <w:rFonts w:hint="eastAsia" w:ascii="宋体" w:hAnsi="宋体" w:cs="宋体"/>
                <w:b w:val="0"/>
                <w:bCs/>
                <w:color w:val="auto"/>
                <w:sz w:val="24"/>
                <w:szCs w:val="24"/>
                <w:highlight w:val="none"/>
                <w:shd w:val="clear" w:color="auto" w:fill="auto"/>
                <w:lang w:val="en-US" w:eastAsia="zh-CN"/>
              </w:rPr>
              <w:t>3</w:t>
            </w:r>
            <w:r>
              <w:rPr>
                <w:rFonts w:hint="eastAsia" w:ascii="宋体" w:hAnsi="宋体" w:eastAsia="宋体" w:cs="宋体"/>
                <w:b w:val="0"/>
                <w:bCs/>
                <w:color w:val="auto"/>
                <w:sz w:val="24"/>
                <w:szCs w:val="24"/>
                <w:highlight w:val="none"/>
                <w:shd w:val="clear" w:color="auto" w:fill="auto"/>
                <w:lang w:eastAsia="zh-CN"/>
              </w:rPr>
              <w:t>年01月01日</w:t>
            </w:r>
            <w:r>
              <w:rPr>
                <w:rFonts w:hint="eastAsia" w:ascii="宋体" w:hAnsi="宋体" w:eastAsia="宋体" w:cs="宋体"/>
                <w:b w:val="0"/>
                <w:bCs/>
                <w:color w:val="auto"/>
                <w:sz w:val="24"/>
                <w:szCs w:val="24"/>
                <w:highlight w:val="none"/>
                <w:shd w:val="clear" w:color="auto" w:fill="auto"/>
              </w:rPr>
              <w:t>-至今</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业绩认定日期以</w:t>
            </w:r>
            <w:r>
              <w:rPr>
                <w:rFonts w:hint="eastAsia" w:ascii="宋体" w:hAnsi="宋体" w:eastAsia="宋体" w:cs="宋体"/>
                <w:b w:val="0"/>
                <w:bCs/>
                <w:color w:val="auto"/>
                <w:sz w:val="24"/>
                <w:szCs w:val="24"/>
                <w:highlight w:val="none"/>
                <w:shd w:val="clear" w:color="auto" w:fill="auto"/>
                <w:lang w:val="en-US" w:eastAsia="zh-CN"/>
              </w:rPr>
              <w:t>服务合同签订日期</w:t>
            </w:r>
            <w:r>
              <w:rPr>
                <w:rFonts w:hint="eastAsia" w:ascii="宋体" w:hAnsi="宋体" w:eastAsia="宋体" w:cs="宋体"/>
                <w:b w:val="0"/>
                <w:bCs/>
                <w:color w:val="auto"/>
                <w:sz w:val="24"/>
                <w:szCs w:val="24"/>
                <w:highlight w:val="none"/>
                <w:shd w:val="clear" w:color="auto" w:fill="auto"/>
              </w:rPr>
              <w:t>为准）</w:t>
            </w:r>
            <w:r>
              <w:rPr>
                <w:rFonts w:hint="eastAsia" w:ascii="宋体" w:hAnsi="宋体" w:eastAsia="宋体" w:cs="宋体"/>
                <w:b w:val="0"/>
                <w:bCs/>
                <w:color w:val="auto"/>
                <w:sz w:val="24"/>
                <w:szCs w:val="24"/>
                <w:highlight w:val="none"/>
                <w:shd w:val="clear" w:color="auto" w:fill="auto"/>
                <w:lang w:val="en-US" w:eastAsia="zh-CN"/>
              </w:rPr>
              <w:t>类似项目业绩</w:t>
            </w:r>
            <w:r>
              <w:rPr>
                <w:rFonts w:hint="eastAsia" w:ascii="宋体" w:hAnsi="宋体" w:eastAsia="宋体" w:cs="宋体"/>
                <w:b w:val="0"/>
                <w:bCs/>
                <w:color w:val="auto"/>
                <w:sz w:val="24"/>
                <w:szCs w:val="24"/>
                <w:highlight w:val="none"/>
                <w:shd w:val="clear" w:color="auto" w:fill="auto"/>
              </w:rPr>
              <w:t>进行评分，1项得</w:t>
            </w:r>
            <w:r>
              <w:rPr>
                <w:rFonts w:hint="eastAsia" w:ascii="宋体" w:hAnsi="宋体" w:cs="宋体"/>
                <w:b w:val="0"/>
                <w:bCs/>
                <w:color w:val="auto"/>
                <w:sz w:val="24"/>
                <w:szCs w:val="24"/>
                <w:highlight w:val="none"/>
                <w:shd w:val="clear" w:color="auto" w:fill="auto"/>
                <w:lang w:val="en-US" w:eastAsia="zh-CN"/>
              </w:rPr>
              <w:t>2.5</w:t>
            </w:r>
            <w:r>
              <w:rPr>
                <w:rFonts w:hint="eastAsia" w:ascii="宋体" w:hAnsi="宋体" w:eastAsia="宋体" w:cs="宋体"/>
                <w:b w:val="0"/>
                <w:bCs/>
                <w:color w:val="auto"/>
                <w:sz w:val="24"/>
                <w:szCs w:val="24"/>
                <w:highlight w:val="none"/>
                <w:shd w:val="clear" w:color="auto" w:fill="auto"/>
              </w:rPr>
              <w:t>分，最高得</w:t>
            </w:r>
            <w:r>
              <w:rPr>
                <w:rFonts w:hint="eastAsia" w:ascii="宋体" w:hAnsi="宋体" w:cs="宋体"/>
                <w:b w:val="0"/>
                <w:bCs/>
                <w:color w:val="auto"/>
                <w:sz w:val="24"/>
                <w:szCs w:val="24"/>
                <w:highlight w:val="none"/>
                <w:shd w:val="clear" w:color="auto" w:fill="auto"/>
                <w:lang w:val="en-US" w:eastAsia="zh-CN"/>
              </w:rPr>
              <w:t>5</w:t>
            </w:r>
            <w:r>
              <w:rPr>
                <w:rFonts w:hint="eastAsia" w:ascii="宋体" w:hAnsi="宋体" w:eastAsia="宋体" w:cs="宋体"/>
                <w:b w:val="0"/>
                <w:bCs/>
                <w:color w:val="auto"/>
                <w:sz w:val="24"/>
                <w:szCs w:val="24"/>
                <w:highlight w:val="none"/>
                <w:shd w:val="clear" w:color="auto" w:fill="auto"/>
              </w:rPr>
              <w:t>分。</w:t>
            </w:r>
          </w:p>
          <w:p w14:paraId="6B985F5C">
            <w:pPr>
              <w:pStyle w:val="52"/>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cs="宋体"/>
                <w:color w:val="auto"/>
                <w:sz w:val="24"/>
                <w:szCs w:val="24"/>
                <w:highlight w:val="none"/>
              </w:rPr>
              <w:t>须提供服务合同（至少包括合同首页、签字盖章页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服务内容页）彩色扫描件等证明材料</w:t>
            </w:r>
            <w:r>
              <w:rPr>
                <w:rFonts w:hint="eastAsia" w:ascii="宋体" w:hAnsi="宋体" w:eastAsia="宋体" w:cs="宋体"/>
                <w:b w:val="0"/>
                <w:bCs/>
                <w:color w:val="auto"/>
                <w:sz w:val="24"/>
                <w:szCs w:val="24"/>
                <w:highlight w:val="none"/>
                <w:shd w:val="clear" w:color="auto" w:fill="auto"/>
              </w:rPr>
              <w:t>）</w:t>
            </w:r>
          </w:p>
        </w:tc>
      </w:tr>
      <w:tr w14:paraId="091E8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9" w:type="pct"/>
            <w:noWrap w:val="0"/>
            <w:vAlign w:val="center"/>
          </w:tcPr>
          <w:p w14:paraId="0C997096">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default"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项目组人员</w:t>
            </w:r>
          </w:p>
        </w:tc>
        <w:tc>
          <w:tcPr>
            <w:tcW w:w="583" w:type="pct"/>
            <w:noWrap w:val="0"/>
            <w:vAlign w:val="center"/>
          </w:tcPr>
          <w:p w14:paraId="0636A2C9">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default"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10分</w:t>
            </w:r>
          </w:p>
        </w:tc>
        <w:tc>
          <w:tcPr>
            <w:tcW w:w="3737" w:type="pct"/>
            <w:noWrap w:val="0"/>
            <w:vAlign w:val="center"/>
          </w:tcPr>
          <w:p w14:paraId="0465BF7C">
            <w:pPr>
              <w:keepNext w:val="0"/>
              <w:keepLines w:val="0"/>
              <w:widowControl/>
              <w:suppressLineNumbers w:val="0"/>
              <w:shd w:val="clear" w:color="auto" w:fill="auto"/>
              <w:snapToGrid/>
              <w:jc w:val="left"/>
              <w:outlineLvl w:val="9"/>
              <w:rPr>
                <w:rFonts w:hint="eastAsia" w:ascii="宋体" w:hAnsi="宋体" w:cs="宋体"/>
                <w:b w:val="0"/>
                <w:bCs/>
                <w:color w:val="auto"/>
                <w:sz w:val="24"/>
                <w:szCs w:val="24"/>
                <w:highlight w:val="none"/>
                <w:shd w:val="clear" w:color="auto" w:fill="auto"/>
                <w:lang w:val="en-US" w:eastAsia="zh-CN"/>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1.投标人项目负责人同时具有高级工程师证书（信息化系统或化工类专业）和中级国家注册安全工程师执业证书的得4分，不满足或部分满足不得分</w:t>
            </w:r>
            <w:r>
              <w:rPr>
                <w:rFonts w:hint="eastAsia" w:ascii="宋体" w:hAnsi="宋体" w:cs="宋体"/>
                <w:b w:val="0"/>
                <w:bCs/>
                <w:color w:val="auto"/>
                <w:sz w:val="24"/>
                <w:szCs w:val="24"/>
                <w:highlight w:val="none"/>
                <w:shd w:val="clear" w:color="auto" w:fill="auto"/>
                <w:lang w:val="en-US" w:eastAsia="zh-CN"/>
              </w:rPr>
              <w:t>。</w:t>
            </w:r>
          </w:p>
          <w:p w14:paraId="04BA6AB8">
            <w:pPr>
              <w:widowControl/>
              <w:shd w:val="clear" w:color="auto" w:fill="auto"/>
              <w:snapToGrid/>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cs="宋体"/>
                <w:b w:val="0"/>
                <w:bCs/>
                <w:color w:val="auto"/>
                <w:sz w:val="24"/>
                <w:szCs w:val="24"/>
                <w:highlight w:val="none"/>
                <w:shd w:val="clear" w:color="auto" w:fill="auto"/>
                <w:lang w:val="en-US" w:eastAsia="zh-CN"/>
              </w:rPr>
              <w:t>2.</w:t>
            </w:r>
            <w:r>
              <w:rPr>
                <w:rFonts w:hint="eastAsia" w:ascii="宋体" w:hAnsi="宋体" w:eastAsia="宋体" w:cs="宋体"/>
                <w:bCs/>
                <w:i w:val="0"/>
                <w:iCs w:val="0"/>
                <w:color w:val="auto"/>
                <w:kern w:val="2"/>
                <w:sz w:val="24"/>
                <w:szCs w:val="24"/>
                <w:highlight w:val="none"/>
                <w:u w:val="none"/>
                <w:shd w:val="clear" w:color="auto" w:fill="auto"/>
                <w:lang w:val="en-US" w:eastAsia="zh-CN" w:bidi="ar"/>
              </w:rPr>
              <w:t>投标人项目组其他人员具有中级国家注册安全工程师执业证书的每人得2分，最高得6分。</w:t>
            </w:r>
          </w:p>
          <w:p w14:paraId="7724CA17">
            <w:pPr>
              <w:widowControl/>
              <w:shd w:val="clear" w:color="auto" w:fill="auto"/>
              <w:wordWrap/>
              <w:snapToGrid/>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以上合计最高得分10分。</w:t>
            </w:r>
          </w:p>
          <w:p w14:paraId="664E0DC6">
            <w:pPr>
              <w:rPr>
                <w:rFonts w:hint="default" w:ascii="宋体" w:hAnsi="宋体" w:eastAsia="宋体" w:cs="宋体"/>
                <w:b/>
                <w:bCs/>
                <w:color w:val="auto"/>
                <w:sz w:val="24"/>
                <w:szCs w:val="24"/>
                <w:highlight w:val="none"/>
                <w:lang w:val="en-US" w:eastAsia="zh-CN"/>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（以上人员提供证书扫描件加盖投标人公章；以上人员必须在本单位工作，</w:t>
            </w:r>
            <w:r>
              <w:rPr>
                <w:rFonts w:hint="eastAsia" w:ascii="宋体" w:hAnsi="宋体" w:cs="宋体"/>
                <w:bCs/>
                <w:i w:val="0"/>
                <w:iCs w:val="0"/>
                <w:color w:val="auto"/>
                <w:kern w:val="2"/>
                <w:sz w:val="24"/>
                <w:szCs w:val="24"/>
                <w:highlight w:val="none"/>
                <w:u w:val="none"/>
                <w:shd w:val="clear" w:color="auto" w:fill="auto"/>
                <w:lang w:val="en-US" w:eastAsia="zh-CN" w:bidi="ar"/>
              </w:rPr>
              <w:t>并提供近6个月任意一个月</w:t>
            </w:r>
            <w:r>
              <w:rPr>
                <w:rFonts w:hint="eastAsia" w:ascii="宋体" w:hAnsi="宋体" w:eastAsia="宋体" w:cs="宋体"/>
                <w:bCs/>
                <w:i w:val="0"/>
                <w:iCs w:val="0"/>
                <w:color w:val="auto"/>
                <w:kern w:val="2"/>
                <w:sz w:val="24"/>
                <w:szCs w:val="24"/>
                <w:highlight w:val="none"/>
                <w:u w:val="none"/>
                <w:shd w:val="clear" w:color="auto" w:fill="auto"/>
                <w:lang w:val="en-US" w:eastAsia="zh-CN" w:bidi="ar"/>
              </w:rPr>
              <w:t>的社保缴费证明（并加盖缴费证明专用章）或其他能够证明参加社保的有效证明材料；退休人员无需提供社保缴费证明，需提供与聘用单位签订的有效聘用劳动合同及退休证明）</w:t>
            </w:r>
          </w:p>
        </w:tc>
      </w:tr>
      <w:tr w14:paraId="0AEC5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9" w:type="pct"/>
            <w:noWrap w:val="0"/>
            <w:vAlign w:val="center"/>
          </w:tcPr>
          <w:p w14:paraId="15D47C72">
            <w:pPr>
              <w:keepNext w:val="0"/>
              <w:keepLines w:val="0"/>
              <w:widowControl/>
              <w:suppressLineNumbers w:val="0"/>
              <w:jc w:val="center"/>
              <w:textAlignment w:val="center"/>
              <w:rPr>
                <w:rFonts w:hint="default" w:ascii="宋体" w:hAnsi="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2"/>
                <w:sz w:val="24"/>
                <w:szCs w:val="24"/>
                <w:highlight w:val="none"/>
                <w:u w:val="none"/>
                <w:lang w:val="en-US" w:eastAsia="zh-CN" w:bidi="ar-SA"/>
              </w:rPr>
              <w:t>技术参数</w:t>
            </w:r>
          </w:p>
        </w:tc>
        <w:tc>
          <w:tcPr>
            <w:tcW w:w="583" w:type="pct"/>
            <w:noWrap w:val="0"/>
            <w:vAlign w:val="center"/>
          </w:tcPr>
          <w:p w14:paraId="16CD0692">
            <w:pPr>
              <w:keepNext w:val="0"/>
              <w:keepLines w:val="0"/>
              <w:widowControl/>
              <w:suppressLineNumbers w:val="0"/>
              <w:jc w:val="center"/>
              <w:textAlignment w:val="center"/>
              <w:rPr>
                <w:rFonts w:hint="default" w:ascii="宋体" w:hAnsi="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2"/>
                <w:sz w:val="24"/>
                <w:szCs w:val="24"/>
                <w:highlight w:val="none"/>
                <w:u w:val="none"/>
                <w:lang w:val="en-US" w:eastAsia="zh-CN" w:bidi="ar-SA"/>
              </w:rPr>
              <w:t>15</w:t>
            </w:r>
          </w:p>
        </w:tc>
        <w:tc>
          <w:tcPr>
            <w:tcW w:w="3737" w:type="pct"/>
            <w:noWrap w:val="0"/>
            <w:vAlign w:val="center"/>
          </w:tcPr>
          <w:p w14:paraId="5A5FA295">
            <w:pPr>
              <w:widowControl/>
              <w:snapToGrid/>
              <w:ind w:right="-31" w:rightChars="-15"/>
              <w:jc w:val="both"/>
              <w:rPr>
                <w:rFonts w:hint="eastAsia" w:ascii="宋体" w:hAnsi="宋体" w:eastAsia="宋体" w:cs="宋体"/>
                <w:bCs/>
                <w:color w:val="auto"/>
                <w:kern w:val="2"/>
                <w:sz w:val="24"/>
                <w:szCs w:val="24"/>
                <w:highlight w:val="none"/>
                <w:u w:val="none"/>
                <w:shd w:val="clear" w:color="auto" w:fill="auto"/>
                <w:lang w:bidi="ar"/>
              </w:rPr>
            </w:pPr>
            <w:r>
              <w:rPr>
                <w:rFonts w:hint="eastAsia" w:ascii="宋体" w:hAnsi="宋体" w:eastAsia="宋体" w:cs="宋体"/>
                <w:bCs/>
                <w:color w:val="auto"/>
                <w:sz w:val="24"/>
                <w:szCs w:val="24"/>
                <w:highlight w:val="none"/>
                <w:u w:val="none"/>
                <w:shd w:val="clear" w:color="auto" w:fill="auto"/>
                <w:lang w:val="en-US" w:eastAsia="zh-CN" w:bidi="ar"/>
              </w:rPr>
              <w:t>投标人投标文件</w:t>
            </w:r>
            <w:r>
              <w:rPr>
                <w:rFonts w:hint="eastAsia" w:ascii="宋体" w:hAnsi="宋体" w:eastAsia="宋体" w:cs="宋体"/>
                <w:bCs/>
                <w:color w:val="auto"/>
                <w:sz w:val="24"/>
                <w:szCs w:val="24"/>
                <w:highlight w:val="none"/>
                <w:u w:val="none"/>
                <w:shd w:val="clear" w:color="auto" w:fill="auto"/>
                <w:lang w:bidi="ar"/>
              </w:rPr>
              <w:t>技术规格响应全部满足招标要求的为</w:t>
            </w:r>
            <w:r>
              <w:rPr>
                <w:rFonts w:hint="eastAsia" w:ascii="宋体" w:hAnsi="宋体" w:cs="宋体"/>
                <w:bCs/>
                <w:color w:val="auto"/>
                <w:sz w:val="24"/>
                <w:szCs w:val="24"/>
                <w:highlight w:val="none"/>
                <w:u w:val="none"/>
                <w:shd w:val="clear" w:color="auto" w:fill="auto"/>
                <w:lang w:val="en-US" w:eastAsia="zh-CN" w:bidi="ar"/>
              </w:rPr>
              <w:t>15</w:t>
            </w:r>
            <w:r>
              <w:rPr>
                <w:rFonts w:hint="eastAsia" w:ascii="宋体" w:hAnsi="宋体" w:eastAsia="宋体" w:cs="宋体"/>
                <w:bCs/>
                <w:color w:val="auto"/>
                <w:sz w:val="24"/>
                <w:szCs w:val="24"/>
                <w:highlight w:val="none"/>
                <w:u w:val="none"/>
                <w:shd w:val="clear" w:color="auto" w:fill="auto"/>
                <w:lang w:bidi="ar"/>
              </w:rPr>
              <w:t>分，其中每有一项带“▲”重要条款要求不满足扣1分，一般条款每有一项不满足扣0.5分，扣完为止。</w:t>
            </w:r>
          </w:p>
          <w:p w14:paraId="26EAE7A7">
            <w:pPr>
              <w:keepNext w:val="0"/>
              <w:keepLines w:val="0"/>
              <w:widowControl/>
              <w:suppressLineNumbers w:val="0"/>
              <w:spacing w:line="360" w:lineRule="exact"/>
              <w:ind w:firstLine="0" w:firstLineChars="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注：技术参数响应指标以</w:t>
            </w:r>
            <w:r>
              <w:rPr>
                <w:rFonts w:hint="eastAsia" w:ascii="宋体" w:hAnsi="宋体" w:eastAsia="宋体" w:cs="宋体"/>
                <w:kern w:val="0"/>
                <w:sz w:val="24"/>
                <w:szCs w:val="24"/>
                <w:highlight w:val="none"/>
                <w:lang w:val="en-US" w:eastAsia="zh-CN"/>
              </w:rPr>
              <w:t>投标人提供的例如货物类产品参数提供检测报告、测试报告、产品合格证、鉴定证书、制造商产品彩页、制造商官网截图、制造商产品说明书或相应实物照片等，技术服务类参数提供相应承诺函或其他证明材料</w:t>
            </w:r>
            <w:r>
              <w:rPr>
                <w:rFonts w:hint="eastAsia" w:ascii="宋体" w:hAnsi="宋体" w:eastAsia="宋体" w:cs="宋体"/>
                <w:kern w:val="0"/>
                <w:sz w:val="24"/>
                <w:szCs w:val="24"/>
                <w:highlight w:val="none"/>
              </w:rPr>
              <w:t>为准</w:t>
            </w:r>
            <w:r>
              <w:rPr>
                <w:rFonts w:hint="eastAsia" w:ascii="宋体" w:hAnsi="宋体" w:eastAsia="宋体" w:cs="宋体"/>
                <w:kern w:val="0"/>
                <w:sz w:val="24"/>
                <w:szCs w:val="24"/>
                <w:highlight w:val="none"/>
                <w:lang w:eastAsia="zh-CN"/>
              </w:rPr>
              <w:t>。</w:t>
            </w:r>
          </w:p>
          <w:p w14:paraId="0D8431E3">
            <w:pPr>
              <w:keepNext w:val="0"/>
              <w:keepLines w:val="0"/>
              <w:widowControl/>
              <w:suppressLineNumbers w:val="0"/>
              <w:spacing w:line="360" w:lineRule="exact"/>
              <w:ind w:firstLine="0" w:firstLineChars="0"/>
              <w:jc w:val="left"/>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kern w:val="0"/>
                <w:sz w:val="24"/>
                <w:szCs w:val="24"/>
                <w:highlight w:val="none"/>
              </w:rPr>
              <w:t>若投标文件中技术支持资料参数与技术规格偏离表应答不符或无支持资料应答，而投标人又未在投标文件中作出说明和解释的，视为不响应该条技术参数要求。</w:t>
            </w:r>
          </w:p>
        </w:tc>
      </w:tr>
      <w:tr w14:paraId="65D3A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9" w:type="pct"/>
            <w:noWrap w:val="0"/>
            <w:vAlign w:val="center"/>
          </w:tcPr>
          <w:p w14:paraId="61F8E2CA">
            <w:pPr>
              <w:keepNext w:val="0"/>
              <w:keepLines w:val="0"/>
              <w:widowControl/>
              <w:suppressLineNumbers w:val="0"/>
              <w:shd w:val="clear" w:color="auto" w:fill="auto"/>
              <w:spacing w:line="340" w:lineRule="exact"/>
              <w:jc w:val="center"/>
              <w:textAlignment w:val="auto"/>
              <w:outlineLvl w:val="9"/>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项目整体实施方案</w:t>
            </w:r>
          </w:p>
        </w:tc>
        <w:tc>
          <w:tcPr>
            <w:tcW w:w="583" w:type="pct"/>
            <w:noWrap w:val="0"/>
            <w:vAlign w:val="center"/>
          </w:tcPr>
          <w:p w14:paraId="106C5E5B">
            <w:pPr>
              <w:keepNext w:val="0"/>
              <w:keepLines w:val="0"/>
              <w:widowControl/>
              <w:suppressLineNumbers w:val="0"/>
              <w:shd w:val="clear" w:color="auto" w:fill="auto"/>
              <w:spacing w:line="340" w:lineRule="exact"/>
              <w:jc w:val="center"/>
              <w:textAlignment w:val="auto"/>
              <w:outlineLvl w:val="9"/>
              <w:rPr>
                <w:rFonts w:hint="eastAsia" w:ascii="宋体" w:hAnsi="宋体" w:cs="宋体"/>
                <w:b w:val="0"/>
                <w:bCs/>
                <w:i w:val="0"/>
                <w:iCs w:val="0"/>
                <w:color w:val="auto"/>
                <w:kern w:val="2"/>
                <w:sz w:val="24"/>
                <w:szCs w:val="24"/>
                <w:highlight w:val="none"/>
                <w:u w:val="none"/>
                <w:shd w:val="clear" w:color="auto" w:fill="auto"/>
                <w:lang w:val="en-US" w:eastAsia="zh-CN" w:bidi="ar-SA"/>
              </w:rPr>
            </w:pPr>
            <w:r>
              <w:rPr>
                <w:rFonts w:hint="eastAsia" w:ascii="宋体" w:hAnsi="宋体" w:cs="宋体"/>
                <w:b w:val="0"/>
                <w:bCs/>
                <w:i w:val="0"/>
                <w:iCs w:val="0"/>
                <w:color w:val="auto"/>
                <w:kern w:val="2"/>
                <w:sz w:val="24"/>
                <w:szCs w:val="24"/>
                <w:highlight w:val="none"/>
                <w:u w:val="none"/>
                <w:shd w:val="clear" w:color="auto" w:fill="auto"/>
                <w:lang w:val="en-US" w:eastAsia="zh-CN" w:bidi="ar-SA"/>
              </w:rPr>
              <w:t>25</w:t>
            </w:r>
          </w:p>
        </w:tc>
        <w:tc>
          <w:tcPr>
            <w:tcW w:w="3737" w:type="pct"/>
            <w:noWrap w:val="0"/>
            <w:vAlign w:val="center"/>
          </w:tcPr>
          <w:p w14:paraId="4FD64C27">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投标人根据项目建设需求，结合基础环境条件、实施标准等因素</w:t>
            </w:r>
            <w:r>
              <w:rPr>
                <w:rFonts w:hint="eastAsia" w:ascii="宋体" w:hAnsi="宋体" w:cs="宋体"/>
                <w:bCs/>
                <w:i w:val="0"/>
                <w:iCs w:val="0"/>
                <w:color w:val="auto"/>
                <w:kern w:val="2"/>
                <w:sz w:val="24"/>
                <w:szCs w:val="24"/>
                <w:highlight w:val="none"/>
                <w:u w:val="none"/>
                <w:shd w:val="clear" w:color="auto" w:fill="auto"/>
                <w:lang w:val="en-US" w:eastAsia="zh-CN" w:bidi="ar"/>
              </w:rPr>
              <w:t>进行编制，包括但不限于以下内容：</w:t>
            </w:r>
          </w:p>
          <w:p w14:paraId="45F4E2BD">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①项目进度计划；</w:t>
            </w:r>
          </w:p>
          <w:p w14:paraId="089A1008">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②质量控制措施；</w:t>
            </w:r>
          </w:p>
          <w:p w14:paraId="100C574B">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③供货实施安全管理措施；</w:t>
            </w:r>
          </w:p>
          <w:p w14:paraId="178B8344">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④软件开发、硬件安装、调试方案；</w:t>
            </w:r>
          </w:p>
          <w:p w14:paraId="6A25C980">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⑤</w:t>
            </w:r>
            <w:r>
              <w:rPr>
                <w:rFonts w:hint="eastAsia" w:ascii="宋体" w:hAnsi="宋体" w:eastAsia="宋体" w:cs="宋体"/>
                <w:i w:val="0"/>
                <w:iCs w:val="0"/>
                <w:color w:val="000000"/>
                <w:kern w:val="0"/>
                <w:sz w:val="24"/>
                <w:szCs w:val="24"/>
                <w:highlight w:val="none"/>
                <w:u w:val="none"/>
                <w:lang w:val="en-US" w:eastAsia="zh-CN" w:bidi="ar"/>
              </w:rPr>
              <w:t>违约承诺、系统故障处理措施、拟投入设施设备等情况</w:t>
            </w:r>
            <w:r>
              <w:rPr>
                <w:rFonts w:hint="eastAsia" w:ascii="宋体" w:hAnsi="宋体" w:cs="宋体"/>
                <w:bCs/>
                <w:i w:val="0"/>
                <w:iCs w:val="0"/>
                <w:color w:val="auto"/>
                <w:kern w:val="2"/>
                <w:sz w:val="24"/>
                <w:szCs w:val="24"/>
                <w:highlight w:val="none"/>
                <w:u w:val="none"/>
                <w:shd w:val="clear" w:color="auto" w:fill="auto"/>
                <w:lang w:val="en-US" w:eastAsia="zh-CN" w:bidi="ar"/>
              </w:rPr>
              <w:t>；</w:t>
            </w:r>
          </w:p>
          <w:p w14:paraId="64790175">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 w:val="0"/>
                <w:bCs w:val="0"/>
                <w:i w:val="0"/>
                <w:iCs w:val="0"/>
                <w:color w:val="auto"/>
                <w:kern w:val="2"/>
                <w:sz w:val="24"/>
                <w:szCs w:val="24"/>
                <w:highlight w:val="none"/>
                <w:u w:val="none"/>
                <w:lang w:val="en-US" w:eastAsia="zh-CN" w:bidi="ar-SA"/>
              </w:rPr>
              <w:t>以上内容都包含得</w:t>
            </w:r>
            <w:r>
              <w:rPr>
                <w:rFonts w:hint="eastAsia" w:ascii="宋体" w:hAnsi="宋体" w:cs="宋体"/>
                <w:b w:val="0"/>
                <w:bCs w:val="0"/>
                <w:i w:val="0"/>
                <w:iCs w:val="0"/>
                <w:color w:val="auto"/>
                <w:kern w:val="2"/>
                <w:sz w:val="24"/>
                <w:szCs w:val="24"/>
                <w:highlight w:val="none"/>
                <w:u w:val="none"/>
                <w:lang w:val="en-US" w:eastAsia="zh-CN" w:bidi="ar-SA"/>
              </w:rPr>
              <w:t>25</w:t>
            </w:r>
            <w:r>
              <w:rPr>
                <w:rFonts w:hint="eastAsia" w:ascii="宋体" w:hAnsi="宋体" w:eastAsia="宋体" w:cs="宋体"/>
                <w:b w:val="0"/>
                <w:bCs w:val="0"/>
                <w:i w:val="0"/>
                <w:iCs w:val="0"/>
                <w:color w:val="auto"/>
                <w:kern w:val="2"/>
                <w:sz w:val="24"/>
                <w:szCs w:val="24"/>
                <w:highlight w:val="none"/>
                <w:u w:val="none"/>
                <w:lang w:val="en-US" w:eastAsia="zh-CN" w:bidi="ar-SA"/>
              </w:rPr>
              <w:t>分；每缺少一小项内容扣</w:t>
            </w:r>
            <w:r>
              <w:rPr>
                <w:rFonts w:hint="eastAsia" w:ascii="宋体" w:hAnsi="宋体" w:cs="宋体"/>
                <w:b w:val="0"/>
                <w:bCs w:val="0"/>
                <w:i w:val="0"/>
                <w:iCs w:val="0"/>
                <w:color w:val="auto"/>
                <w:kern w:val="2"/>
                <w:sz w:val="24"/>
                <w:szCs w:val="24"/>
                <w:highlight w:val="none"/>
                <w:u w:val="none"/>
                <w:lang w:val="en-US" w:eastAsia="zh-CN" w:bidi="ar-SA"/>
              </w:rPr>
              <w:t>5</w:t>
            </w:r>
            <w:r>
              <w:rPr>
                <w:rFonts w:hint="eastAsia" w:ascii="宋体" w:hAnsi="宋体" w:eastAsia="宋体" w:cs="宋体"/>
                <w:b w:val="0"/>
                <w:bCs w:val="0"/>
                <w:i w:val="0"/>
                <w:iCs w:val="0"/>
                <w:color w:val="auto"/>
                <w:kern w:val="2"/>
                <w:sz w:val="24"/>
                <w:szCs w:val="24"/>
                <w:highlight w:val="none"/>
                <w:u w:val="none"/>
                <w:lang w:val="en-US" w:eastAsia="zh-CN" w:bidi="ar-SA"/>
              </w:rPr>
              <w:t>分；每有一处缺陷的扣</w:t>
            </w:r>
            <w:r>
              <w:rPr>
                <w:rFonts w:hint="eastAsia" w:ascii="宋体" w:hAnsi="宋体" w:cs="宋体"/>
                <w:b w:val="0"/>
                <w:bCs w:val="0"/>
                <w:i w:val="0"/>
                <w:iCs w:val="0"/>
                <w:color w:val="auto"/>
                <w:kern w:val="2"/>
                <w:sz w:val="24"/>
                <w:szCs w:val="24"/>
                <w:highlight w:val="none"/>
                <w:u w:val="none"/>
                <w:lang w:val="en-US" w:eastAsia="zh-CN" w:bidi="ar-SA"/>
              </w:rPr>
              <w:t>2.5</w:t>
            </w:r>
            <w:r>
              <w:rPr>
                <w:rFonts w:hint="eastAsia" w:ascii="宋体" w:hAnsi="宋体" w:eastAsia="宋体" w:cs="宋体"/>
                <w:b w:val="0"/>
                <w:bCs w:val="0"/>
                <w:i w:val="0"/>
                <w:iCs w:val="0"/>
                <w:color w:val="auto"/>
                <w:kern w:val="2"/>
                <w:sz w:val="24"/>
                <w:szCs w:val="24"/>
                <w:highlight w:val="none"/>
                <w:u w:val="none"/>
                <w:lang w:val="en-US" w:eastAsia="zh-CN" w:bidi="ar-SA"/>
              </w:rPr>
              <w:t>分；扣完为止，未提供不得分。（缺陷是指：存在不适用该项目实际情况的情形、凭空编造、内容前后不一致，前后逻辑错误，涉及的规范及标准错误，地点区域错误、内容缺失、不符合项目需求的任意一项）</w:t>
            </w:r>
          </w:p>
        </w:tc>
      </w:tr>
      <w:tr w14:paraId="636E3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9" w:type="pct"/>
            <w:noWrap w:val="0"/>
            <w:vAlign w:val="center"/>
          </w:tcPr>
          <w:p w14:paraId="0F906469">
            <w:pPr>
              <w:keepNext w:val="0"/>
              <w:keepLines w:val="0"/>
              <w:widowControl/>
              <w:suppressLineNumbers w:val="0"/>
              <w:shd w:val="clear" w:color="auto" w:fill="auto"/>
              <w:spacing w:line="340" w:lineRule="exact"/>
              <w:jc w:val="center"/>
              <w:textAlignment w:val="auto"/>
              <w:outlineLvl w:val="9"/>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项目重点、难点分析</w:t>
            </w:r>
          </w:p>
        </w:tc>
        <w:tc>
          <w:tcPr>
            <w:tcW w:w="583" w:type="pct"/>
            <w:noWrap w:val="0"/>
            <w:vAlign w:val="center"/>
          </w:tcPr>
          <w:p w14:paraId="04BAC949">
            <w:pPr>
              <w:keepNext w:val="0"/>
              <w:keepLines w:val="0"/>
              <w:widowControl/>
              <w:suppressLineNumbers w:val="0"/>
              <w:shd w:val="clear" w:color="auto" w:fill="auto"/>
              <w:spacing w:line="340" w:lineRule="exact"/>
              <w:jc w:val="center"/>
              <w:textAlignment w:val="auto"/>
              <w:outlineLvl w:val="9"/>
              <w:rPr>
                <w:rFonts w:hint="eastAsia" w:ascii="宋体" w:hAnsi="宋体" w:cs="宋体"/>
                <w:b w:val="0"/>
                <w:bCs/>
                <w:i w:val="0"/>
                <w:iCs w:val="0"/>
                <w:color w:val="auto"/>
                <w:kern w:val="2"/>
                <w:sz w:val="24"/>
                <w:szCs w:val="24"/>
                <w:highlight w:val="none"/>
                <w:u w:val="none"/>
                <w:shd w:val="clear" w:color="auto" w:fill="auto"/>
                <w:lang w:val="en-US" w:eastAsia="zh-CN" w:bidi="ar-SA"/>
              </w:rPr>
            </w:pPr>
            <w:r>
              <w:rPr>
                <w:rFonts w:hint="eastAsia" w:ascii="宋体" w:hAnsi="宋体" w:cs="宋体"/>
                <w:b w:val="0"/>
                <w:bCs/>
                <w:i w:val="0"/>
                <w:iCs w:val="0"/>
                <w:color w:val="auto"/>
                <w:kern w:val="2"/>
                <w:sz w:val="24"/>
                <w:szCs w:val="24"/>
                <w:highlight w:val="none"/>
                <w:u w:val="none"/>
                <w:shd w:val="clear" w:color="auto" w:fill="auto"/>
                <w:lang w:val="en-US" w:eastAsia="zh-CN" w:bidi="ar-SA"/>
              </w:rPr>
              <w:t>10</w:t>
            </w:r>
          </w:p>
        </w:tc>
        <w:tc>
          <w:tcPr>
            <w:tcW w:w="3737" w:type="pct"/>
            <w:noWrap w:val="0"/>
            <w:vAlign w:val="center"/>
          </w:tcPr>
          <w:p w14:paraId="7112BAB4">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投标人对项目重难点及突发情况分析处理</w:t>
            </w:r>
            <w:r>
              <w:rPr>
                <w:rFonts w:hint="eastAsia" w:ascii="宋体" w:hAnsi="宋体" w:cs="宋体"/>
                <w:bCs/>
                <w:i w:val="0"/>
                <w:iCs w:val="0"/>
                <w:color w:val="auto"/>
                <w:kern w:val="2"/>
                <w:sz w:val="24"/>
                <w:szCs w:val="24"/>
                <w:highlight w:val="none"/>
                <w:u w:val="none"/>
                <w:shd w:val="clear" w:color="auto" w:fill="auto"/>
                <w:lang w:val="en-US" w:eastAsia="zh-CN" w:bidi="ar"/>
              </w:rPr>
              <w:t>，包括但不限于以下内容</w:t>
            </w:r>
            <w:r>
              <w:rPr>
                <w:rFonts w:hint="eastAsia" w:ascii="宋体" w:hAnsi="宋体" w:eastAsia="宋体" w:cs="宋体"/>
                <w:bCs/>
                <w:i w:val="0"/>
                <w:iCs w:val="0"/>
                <w:color w:val="auto"/>
                <w:kern w:val="2"/>
                <w:sz w:val="24"/>
                <w:szCs w:val="24"/>
                <w:highlight w:val="none"/>
                <w:u w:val="none"/>
                <w:shd w:val="clear" w:color="auto" w:fill="auto"/>
                <w:lang w:val="en-US" w:eastAsia="zh-CN" w:bidi="ar"/>
              </w:rPr>
              <w:t>:</w:t>
            </w:r>
          </w:p>
          <w:p w14:paraId="4F103C41">
            <w:pPr>
              <w:keepNext w:val="0"/>
              <w:keepLines w:val="0"/>
              <w:widowControl/>
              <w:suppressLineNumbers w:val="0"/>
              <w:shd w:val="clear" w:color="auto" w:fill="auto"/>
              <w:spacing w:line="340" w:lineRule="exact"/>
              <w:jc w:val="left"/>
              <w:textAlignment w:val="auto"/>
              <w:outlineLvl w:val="9"/>
              <w:rPr>
                <w:rFonts w:hint="default"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①项目重点识别与管控措施;</w:t>
            </w:r>
          </w:p>
          <w:p w14:paraId="06044DD0">
            <w:pPr>
              <w:keepNext w:val="0"/>
              <w:keepLines w:val="0"/>
              <w:widowControl/>
              <w:suppressLineNumbers w:val="0"/>
              <w:shd w:val="clear" w:color="auto" w:fill="auto"/>
              <w:spacing w:line="340" w:lineRule="exact"/>
              <w:jc w:val="left"/>
              <w:textAlignment w:val="auto"/>
              <w:outlineLvl w:val="9"/>
              <w:rPr>
                <w:rFonts w:hint="default"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②</w:t>
            </w:r>
            <w:r>
              <w:rPr>
                <w:rFonts w:hint="eastAsia" w:ascii="宋体" w:hAnsi="宋体" w:cs="宋体"/>
                <w:bCs/>
                <w:i w:val="0"/>
                <w:iCs w:val="0"/>
                <w:color w:val="auto"/>
                <w:kern w:val="2"/>
                <w:sz w:val="24"/>
                <w:szCs w:val="24"/>
                <w:highlight w:val="none"/>
                <w:u w:val="none"/>
                <w:shd w:val="clear" w:color="auto" w:fill="auto"/>
                <w:lang w:val="en-US" w:eastAsia="zh-CN" w:bidi="ar"/>
              </w:rPr>
              <w:t>项目难点分析与解决方案;</w:t>
            </w:r>
          </w:p>
          <w:p w14:paraId="18615B6F">
            <w:pPr>
              <w:keepNext w:val="0"/>
              <w:keepLines w:val="0"/>
              <w:widowControl/>
              <w:suppressLineNumbers w:val="0"/>
              <w:shd w:val="clear" w:color="auto" w:fill="auto"/>
              <w:spacing w:line="340" w:lineRule="exact"/>
              <w:jc w:val="left"/>
              <w:textAlignment w:val="auto"/>
              <w:outlineLvl w:val="9"/>
              <w:rPr>
                <w:rFonts w:hint="default"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③</w:t>
            </w:r>
            <w:r>
              <w:rPr>
                <w:rFonts w:hint="eastAsia" w:ascii="宋体" w:hAnsi="宋体" w:cs="宋体"/>
                <w:bCs/>
                <w:i w:val="0"/>
                <w:iCs w:val="0"/>
                <w:color w:val="auto"/>
                <w:kern w:val="2"/>
                <w:sz w:val="24"/>
                <w:szCs w:val="24"/>
                <w:highlight w:val="none"/>
                <w:u w:val="none"/>
                <w:shd w:val="clear" w:color="auto" w:fill="auto"/>
                <w:lang w:val="en-US" w:eastAsia="zh-CN" w:bidi="ar"/>
              </w:rPr>
              <w:t>突发情况预判与应急处置;</w:t>
            </w:r>
          </w:p>
          <w:p w14:paraId="5E022661">
            <w:pPr>
              <w:keepNext w:val="0"/>
              <w:keepLines w:val="0"/>
              <w:widowControl/>
              <w:suppressLineNumbers w:val="0"/>
              <w:shd w:val="clear" w:color="auto" w:fill="auto"/>
              <w:spacing w:line="340" w:lineRule="exact"/>
              <w:jc w:val="left"/>
              <w:textAlignment w:val="auto"/>
              <w:outlineLvl w:val="9"/>
              <w:rPr>
                <w:rFonts w:hint="default"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④整体保障与闭环管理;</w:t>
            </w:r>
          </w:p>
          <w:p w14:paraId="583BEE9F">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 w:val="0"/>
                <w:bCs w:val="0"/>
                <w:i w:val="0"/>
                <w:iCs w:val="0"/>
                <w:color w:val="auto"/>
                <w:kern w:val="2"/>
                <w:sz w:val="24"/>
                <w:szCs w:val="24"/>
                <w:highlight w:val="none"/>
                <w:u w:val="none"/>
                <w:lang w:val="en-US" w:eastAsia="zh-CN" w:bidi="ar-SA"/>
              </w:rPr>
              <w:t>以上内容都包含得</w:t>
            </w:r>
            <w:r>
              <w:rPr>
                <w:rFonts w:hint="eastAsia" w:ascii="宋体" w:hAnsi="宋体" w:cs="宋体"/>
                <w:b w:val="0"/>
                <w:bCs w:val="0"/>
                <w:i w:val="0"/>
                <w:iCs w:val="0"/>
                <w:color w:val="auto"/>
                <w:kern w:val="2"/>
                <w:sz w:val="24"/>
                <w:szCs w:val="24"/>
                <w:highlight w:val="none"/>
                <w:u w:val="none"/>
                <w:lang w:val="en-US" w:eastAsia="zh-CN" w:bidi="ar-SA"/>
              </w:rPr>
              <w:t>10</w:t>
            </w:r>
            <w:r>
              <w:rPr>
                <w:rFonts w:hint="eastAsia" w:ascii="宋体" w:hAnsi="宋体" w:eastAsia="宋体" w:cs="宋体"/>
                <w:b w:val="0"/>
                <w:bCs w:val="0"/>
                <w:i w:val="0"/>
                <w:iCs w:val="0"/>
                <w:color w:val="auto"/>
                <w:kern w:val="2"/>
                <w:sz w:val="24"/>
                <w:szCs w:val="24"/>
                <w:highlight w:val="none"/>
                <w:u w:val="none"/>
                <w:lang w:val="en-US" w:eastAsia="zh-CN" w:bidi="ar-SA"/>
              </w:rPr>
              <w:t>分；每缺少一小项内容扣</w:t>
            </w:r>
            <w:r>
              <w:rPr>
                <w:rFonts w:hint="eastAsia" w:ascii="宋体" w:hAnsi="宋体" w:cs="宋体"/>
                <w:b w:val="0"/>
                <w:bCs w:val="0"/>
                <w:i w:val="0"/>
                <w:iCs w:val="0"/>
                <w:color w:val="auto"/>
                <w:kern w:val="2"/>
                <w:sz w:val="24"/>
                <w:szCs w:val="24"/>
                <w:highlight w:val="none"/>
                <w:u w:val="none"/>
                <w:lang w:val="en-US" w:eastAsia="zh-CN" w:bidi="ar-SA"/>
              </w:rPr>
              <w:t>2.5</w:t>
            </w:r>
            <w:r>
              <w:rPr>
                <w:rFonts w:hint="eastAsia" w:ascii="宋体" w:hAnsi="宋体" w:eastAsia="宋体" w:cs="宋体"/>
                <w:b w:val="0"/>
                <w:bCs w:val="0"/>
                <w:i w:val="0"/>
                <w:iCs w:val="0"/>
                <w:color w:val="auto"/>
                <w:kern w:val="2"/>
                <w:sz w:val="24"/>
                <w:szCs w:val="24"/>
                <w:highlight w:val="none"/>
                <w:u w:val="none"/>
                <w:lang w:val="en-US" w:eastAsia="zh-CN" w:bidi="ar-SA"/>
              </w:rPr>
              <w:t>分；每有一处缺陷的扣</w:t>
            </w:r>
            <w:r>
              <w:rPr>
                <w:rFonts w:hint="eastAsia" w:ascii="宋体" w:hAnsi="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val="0"/>
                <w:bCs w:val="0"/>
                <w:i w:val="0"/>
                <w:iCs w:val="0"/>
                <w:color w:val="auto"/>
                <w:kern w:val="2"/>
                <w:sz w:val="24"/>
                <w:szCs w:val="24"/>
                <w:highlight w:val="none"/>
                <w:u w:val="none"/>
                <w:lang w:val="en-US" w:eastAsia="zh-CN" w:bidi="ar-SA"/>
              </w:rPr>
              <w:t>分；扣完为止，未提供不得分。（缺陷是指：存在不适用该项目实际情况的情形、凭空编造、内容前后不一致，前后逻辑错误，涉及的规范及标准错误，地点区域错误、内容缺失、不符合项目需求的任意一项）</w:t>
            </w:r>
          </w:p>
        </w:tc>
      </w:tr>
      <w:tr w14:paraId="38200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9" w:type="pct"/>
            <w:noWrap w:val="0"/>
            <w:vAlign w:val="center"/>
          </w:tcPr>
          <w:p w14:paraId="433F5192">
            <w:pPr>
              <w:keepNext w:val="0"/>
              <w:keepLines w:val="0"/>
              <w:widowControl/>
              <w:suppressLineNumbers w:val="0"/>
              <w:shd w:val="clear" w:color="auto" w:fill="auto"/>
              <w:spacing w:line="340" w:lineRule="exact"/>
              <w:jc w:val="center"/>
              <w:textAlignment w:val="auto"/>
              <w:outlineLvl w:val="9"/>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技术支持和维护能力</w:t>
            </w:r>
          </w:p>
        </w:tc>
        <w:tc>
          <w:tcPr>
            <w:tcW w:w="583" w:type="pct"/>
            <w:noWrap w:val="0"/>
            <w:vAlign w:val="center"/>
          </w:tcPr>
          <w:p w14:paraId="7F26E652">
            <w:pPr>
              <w:keepNext w:val="0"/>
              <w:keepLines w:val="0"/>
              <w:widowControl/>
              <w:suppressLineNumbers w:val="0"/>
              <w:shd w:val="clear" w:color="auto" w:fill="auto"/>
              <w:spacing w:line="340" w:lineRule="exact"/>
              <w:jc w:val="center"/>
              <w:textAlignment w:val="auto"/>
              <w:outlineLvl w:val="9"/>
              <w:rPr>
                <w:rFonts w:hint="eastAsia" w:ascii="宋体" w:hAnsi="宋体" w:cs="宋体"/>
                <w:b w:val="0"/>
                <w:bCs/>
                <w:i w:val="0"/>
                <w:iCs w:val="0"/>
                <w:color w:val="auto"/>
                <w:kern w:val="2"/>
                <w:sz w:val="24"/>
                <w:szCs w:val="24"/>
                <w:highlight w:val="none"/>
                <w:u w:val="none"/>
                <w:shd w:val="clear" w:color="auto" w:fill="auto"/>
                <w:lang w:val="en-US" w:eastAsia="zh-CN" w:bidi="ar-SA"/>
              </w:rPr>
            </w:pPr>
            <w:r>
              <w:rPr>
                <w:rFonts w:hint="eastAsia" w:ascii="宋体" w:hAnsi="宋体" w:cs="宋体"/>
                <w:b w:val="0"/>
                <w:bCs/>
                <w:i w:val="0"/>
                <w:iCs w:val="0"/>
                <w:color w:val="auto"/>
                <w:kern w:val="2"/>
                <w:sz w:val="24"/>
                <w:szCs w:val="24"/>
                <w:highlight w:val="none"/>
                <w:u w:val="none"/>
                <w:shd w:val="clear" w:color="auto" w:fill="auto"/>
                <w:lang w:val="en-US" w:eastAsia="zh-CN" w:bidi="ar-SA"/>
              </w:rPr>
              <w:t>10</w:t>
            </w:r>
          </w:p>
        </w:tc>
        <w:tc>
          <w:tcPr>
            <w:tcW w:w="3737" w:type="pct"/>
            <w:noWrap w:val="0"/>
            <w:vAlign w:val="center"/>
          </w:tcPr>
          <w:p w14:paraId="43A71B1C">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投标人具备后续技术支持和维护能力</w:t>
            </w:r>
            <w:r>
              <w:rPr>
                <w:rFonts w:hint="eastAsia" w:ascii="宋体" w:hAnsi="宋体" w:cs="宋体"/>
                <w:bCs/>
                <w:i w:val="0"/>
                <w:iCs w:val="0"/>
                <w:color w:val="auto"/>
                <w:kern w:val="2"/>
                <w:sz w:val="24"/>
                <w:szCs w:val="24"/>
                <w:highlight w:val="none"/>
                <w:u w:val="none"/>
                <w:shd w:val="clear" w:color="auto" w:fill="auto"/>
                <w:lang w:val="en-US" w:eastAsia="zh-CN" w:bidi="ar"/>
              </w:rPr>
              <w:t>，包括但不限于以下内容：</w:t>
            </w:r>
          </w:p>
          <w:p w14:paraId="46EDD8EC">
            <w:pPr>
              <w:keepNext w:val="0"/>
              <w:keepLines w:val="0"/>
              <w:widowControl/>
              <w:suppressLineNumbers w:val="0"/>
              <w:shd w:val="clear" w:color="auto" w:fill="auto"/>
              <w:spacing w:line="340" w:lineRule="exact"/>
              <w:jc w:val="left"/>
              <w:textAlignment w:val="auto"/>
              <w:outlineLvl w:val="9"/>
              <w:rPr>
                <w:rFonts w:hint="eastAsia" w:ascii="宋体" w:hAnsi="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①</w:t>
            </w:r>
            <w:r>
              <w:rPr>
                <w:rFonts w:hint="eastAsia" w:ascii="宋体" w:hAnsi="宋体" w:cs="宋体"/>
                <w:b w:val="0"/>
                <w:bCs w:val="0"/>
                <w:i w:val="0"/>
                <w:iCs w:val="0"/>
                <w:color w:val="auto"/>
                <w:kern w:val="2"/>
                <w:sz w:val="24"/>
                <w:szCs w:val="24"/>
                <w:highlight w:val="none"/>
                <w:u w:val="none"/>
                <w:lang w:val="en-US" w:eastAsia="zh-CN" w:bidi="ar-SA"/>
              </w:rPr>
              <w:t>技术服务承诺与运维保障</w:t>
            </w:r>
            <w:r>
              <w:rPr>
                <w:rFonts w:hint="eastAsia" w:ascii="宋体" w:hAnsi="宋体" w:eastAsia="宋体" w:cs="宋体"/>
                <w:b w:val="0"/>
                <w:bCs w:val="0"/>
                <w:i w:val="0"/>
                <w:iCs w:val="0"/>
                <w:color w:val="auto"/>
                <w:kern w:val="2"/>
                <w:sz w:val="24"/>
                <w:szCs w:val="24"/>
                <w:highlight w:val="none"/>
                <w:u w:val="none"/>
                <w:lang w:val="en-US" w:eastAsia="zh-CN" w:bidi="ar-SA"/>
              </w:rPr>
              <w:t>；</w:t>
            </w:r>
          </w:p>
          <w:p w14:paraId="60BE321D">
            <w:pPr>
              <w:keepNext w:val="0"/>
              <w:keepLines w:val="0"/>
              <w:widowControl/>
              <w:suppressLineNumbers w:val="0"/>
              <w:shd w:val="clear" w:color="auto" w:fill="auto"/>
              <w:spacing w:line="340" w:lineRule="exact"/>
              <w:jc w:val="left"/>
              <w:textAlignment w:val="auto"/>
              <w:outlineLvl w:val="9"/>
              <w:rPr>
                <w:rFonts w:hint="eastAsia" w:ascii="宋体" w:hAnsi="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②故障分级响应与处置机制</w:t>
            </w:r>
            <w:r>
              <w:rPr>
                <w:rFonts w:hint="eastAsia" w:ascii="宋体" w:hAnsi="宋体" w:eastAsia="宋体" w:cs="宋体"/>
                <w:bCs/>
                <w:i w:val="0"/>
                <w:iCs w:val="0"/>
                <w:color w:val="auto"/>
                <w:kern w:val="2"/>
                <w:sz w:val="24"/>
                <w:szCs w:val="24"/>
                <w:highlight w:val="none"/>
                <w:u w:val="none"/>
                <w:shd w:val="clear" w:color="auto" w:fill="auto"/>
                <w:lang w:val="en-US" w:eastAsia="zh-CN" w:bidi="ar"/>
              </w:rPr>
              <w:t>；</w:t>
            </w:r>
          </w:p>
          <w:p w14:paraId="556FCB3F">
            <w:pPr>
              <w:keepNext w:val="0"/>
              <w:keepLines w:val="0"/>
              <w:widowControl/>
              <w:suppressLineNumbers w:val="0"/>
              <w:shd w:val="clear" w:color="auto" w:fill="auto"/>
              <w:spacing w:line="340" w:lineRule="exact"/>
              <w:jc w:val="left"/>
              <w:textAlignment w:val="auto"/>
              <w:outlineLvl w:val="9"/>
              <w:rPr>
                <w:rFonts w:hint="default" w:ascii="宋体" w:hAnsi="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③技术团队与实操支撑能力；</w:t>
            </w:r>
          </w:p>
          <w:p w14:paraId="51C06F67">
            <w:pPr>
              <w:keepNext w:val="0"/>
              <w:keepLines w:val="0"/>
              <w:widowControl/>
              <w:suppressLineNumbers w:val="0"/>
              <w:shd w:val="clear" w:color="auto" w:fill="auto"/>
              <w:spacing w:line="340" w:lineRule="exact"/>
              <w:jc w:val="left"/>
              <w:textAlignment w:val="auto"/>
              <w:outlineLvl w:val="9"/>
              <w:rPr>
                <w:rFonts w:hint="eastAsia" w:ascii="宋体" w:hAnsi="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④风险管控与预防性技术保障；</w:t>
            </w:r>
          </w:p>
          <w:p w14:paraId="2B6CFF19">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 w:val="0"/>
                <w:bCs w:val="0"/>
                <w:i w:val="0"/>
                <w:iCs w:val="0"/>
                <w:color w:val="auto"/>
                <w:kern w:val="2"/>
                <w:sz w:val="24"/>
                <w:szCs w:val="24"/>
                <w:highlight w:val="none"/>
                <w:u w:val="none"/>
                <w:lang w:val="en-US" w:eastAsia="zh-CN" w:bidi="ar-SA"/>
              </w:rPr>
              <w:t>以上内容都包含得</w:t>
            </w:r>
            <w:r>
              <w:rPr>
                <w:rFonts w:hint="eastAsia" w:ascii="宋体" w:hAnsi="宋体" w:cs="宋体"/>
                <w:b w:val="0"/>
                <w:bCs w:val="0"/>
                <w:i w:val="0"/>
                <w:iCs w:val="0"/>
                <w:color w:val="auto"/>
                <w:kern w:val="2"/>
                <w:sz w:val="24"/>
                <w:szCs w:val="24"/>
                <w:highlight w:val="none"/>
                <w:u w:val="none"/>
                <w:lang w:val="en-US" w:eastAsia="zh-CN" w:bidi="ar-SA"/>
              </w:rPr>
              <w:t>10</w:t>
            </w:r>
            <w:r>
              <w:rPr>
                <w:rFonts w:hint="eastAsia" w:ascii="宋体" w:hAnsi="宋体" w:eastAsia="宋体" w:cs="宋体"/>
                <w:b w:val="0"/>
                <w:bCs w:val="0"/>
                <w:i w:val="0"/>
                <w:iCs w:val="0"/>
                <w:color w:val="auto"/>
                <w:kern w:val="2"/>
                <w:sz w:val="24"/>
                <w:szCs w:val="24"/>
                <w:highlight w:val="none"/>
                <w:u w:val="none"/>
                <w:lang w:val="en-US" w:eastAsia="zh-CN" w:bidi="ar-SA"/>
              </w:rPr>
              <w:t>分；每缺少一小项内容扣</w:t>
            </w:r>
            <w:r>
              <w:rPr>
                <w:rFonts w:hint="eastAsia" w:ascii="宋体" w:hAnsi="宋体" w:cs="宋体"/>
                <w:b w:val="0"/>
                <w:bCs w:val="0"/>
                <w:i w:val="0"/>
                <w:iCs w:val="0"/>
                <w:color w:val="auto"/>
                <w:kern w:val="2"/>
                <w:sz w:val="24"/>
                <w:szCs w:val="24"/>
                <w:highlight w:val="none"/>
                <w:u w:val="none"/>
                <w:lang w:val="en-US" w:eastAsia="zh-CN" w:bidi="ar-SA"/>
              </w:rPr>
              <w:t>2.5</w:t>
            </w:r>
            <w:r>
              <w:rPr>
                <w:rFonts w:hint="eastAsia" w:ascii="宋体" w:hAnsi="宋体" w:eastAsia="宋体" w:cs="宋体"/>
                <w:b w:val="0"/>
                <w:bCs w:val="0"/>
                <w:i w:val="0"/>
                <w:iCs w:val="0"/>
                <w:color w:val="auto"/>
                <w:kern w:val="2"/>
                <w:sz w:val="24"/>
                <w:szCs w:val="24"/>
                <w:highlight w:val="none"/>
                <w:u w:val="none"/>
                <w:lang w:val="en-US" w:eastAsia="zh-CN" w:bidi="ar-SA"/>
              </w:rPr>
              <w:t>分；每有一处缺陷的扣</w:t>
            </w:r>
            <w:r>
              <w:rPr>
                <w:rFonts w:hint="eastAsia" w:ascii="宋体" w:hAnsi="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val="0"/>
                <w:bCs w:val="0"/>
                <w:i w:val="0"/>
                <w:iCs w:val="0"/>
                <w:color w:val="auto"/>
                <w:kern w:val="2"/>
                <w:sz w:val="24"/>
                <w:szCs w:val="24"/>
                <w:highlight w:val="none"/>
                <w:u w:val="none"/>
                <w:lang w:val="en-US" w:eastAsia="zh-CN" w:bidi="ar-SA"/>
              </w:rPr>
              <w:t>分；扣完为止，未提供不得分。（缺陷是指：存在不适用该项目实际情况的情形、凭空编造、内容前后不一致，前后逻辑错误，涉及的规范及标准错误，地点区域错误、内容缺失、不符合项目需求的任意一项）</w:t>
            </w:r>
          </w:p>
        </w:tc>
      </w:tr>
      <w:tr w14:paraId="01F2D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9" w:type="pct"/>
            <w:noWrap w:val="0"/>
            <w:vAlign w:val="center"/>
          </w:tcPr>
          <w:p w14:paraId="708899F1">
            <w:pPr>
              <w:keepNext w:val="0"/>
              <w:keepLines w:val="0"/>
              <w:widowControl/>
              <w:suppressLineNumbers w:val="0"/>
              <w:shd w:val="clear" w:color="auto" w:fill="auto"/>
              <w:spacing w:line="340" w:lineRule="exact"/>
              <w:jc w:val="center"/>
              <w:textAlignment w:val="auto"/>
              <w:outlineLvl w:val="9"/>
              <w:rPr>
                <w:rFonts w:hint="default" w:ascii="宋体" w:hAnsi="宋体" w:eastAsia="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售后服务</w:t>
            </w:r>
          </w:p>
        </w:tc>
        <w:tc>
          <w:tcPr>
            <w:tcW w:w="583" w:type="pct"/>
            <w:noWrap w:val="0"/>
            <w:vAlign w:val="center"/>
          </w:tcPr>
          <w:p w14:paraId="34AE0456">
            <w:pPr>
              <w:keepNext w:val="0"/>
              <w:keepLines w:val="0"/>
              <w:widowControl/>
              <w:suppressLineNumbers w:val="0"/>
              <w:shd w:val="clear" w:color="auto" w:fill="auto"/>
              <w:spacing w:line="340" w:lineRule="exact"/>
              <w:jc w:val="center"/>
              <w:textAlignment w:val="auto"/>
              <w:outlineLvl w:val="9"/>
              <w:rPr>
                <w:rFonts w:hint="eastAsia" w:ascii="宋体" w:hAnsi="宋体" w:cs="宋体"/>
                <w:b w:val="0"/>
                <w:bCs/>
                <w:i w:val="0"/>
                <w:iCs w:val="0"/>
                <w:color w:val="auto"/>
                <w:kern w:val="2"/>
                <w:sz w:val="24"/>
                <w:szCs w:val="24"/>
                <w:highlight w:val="none"/>
                <w:u w:val="none"/>
                <w:shd w:val="clear" w:color="auto" w:fill="auto"/>
                <w:lang w:val="en-US" w:eastAsia="zh-CN" w:bidi="ar-SA"/>
              </w:rPr>
            </w:pPr>
            <w:r>
              <w:rPr>
                <w:rFonts w:hint="eastAsia" w:ascii="宋体" w:hAnsi="宋体" w:cs="宋体"/>
                <w:b w:val="0"/>
                <w:bCs/>
                <w:i w:val="0"/>
                <w:iCs w:val="0"/>
                <w:color w:val="auto"/>
                <w:kern w:val="2"/>
                <w:sz w:val="24"/>
                <w:szCs w:val="24"/>
                <w:highlight w:val="none"/>
                <w:u w:val="none"/>
                <w:shd w:val="clear" w:color="auto" w:fill="auto"/>
                <w:lang w:val="en-US" w:eastAsia="zh-CN" w:bidi="ar-SA"/>
              </w:rPr>
              <w:t>15</w:t>
            </w:r>
          </w:p>
        </w:tc>
        <w:tc>
          <w:tcPr>
            <w:tcW w:w="3737" w:type="pct"/>
            <w:noWrap w:val="0"/>
            <w:vAlign w:val="center"/>
          </w:tcPr>
          <w:p w14:paraId="21F7BDFF">
            <w:pPr>
              <w:keepNext w:val="0"/>
              <w:keepLines w:val="0"/>
              <w:widowControl/>
              <w:suppressLineNumbers w:val="0"/>
              <w:shd w:val="clear" w:color="auto" w:fill="auto"/>
              <w:spacing w:line="340" w:lineRule="exact"/>
              <w:jc w:val="left"/>
              <w:textAlignment w:val="auto"/>
              <w:outlineLvl w:val="9"/>
              <w:rPr>
                <w:rFonts w:hint="eastAsia" w:ascii="宋体" w:hAnsi="宋体" w:cs="宋体"/>
                <w:bCs/>
                <w:i w:val="0"/>
                <w:iCs w:val="0"/>
                <w:color w:val="auto"/>
                <w:kern w:val="2"/>
                <w:sz w:val="24"/>
                <w:szCs w:val="24"/>
                <w:highlight w:val="none"/>
                <w:u w:val="none"/>
                <w:shd w:val="clear" w:color="auto" w:fill="auto"/>
                <w:lang w:val="en-US" w:eastAsia="zh-CN" w:bidi="ar"/>
              </w:rPr>
            </w:pPr>
            <w:r>
              <w:rPr>
                <w:rFonts w:hint="eastAsia" w:ascii="宋体" w:hAnsi="宋体" w:eastAsia="宋体" w:cs="宋体"/>
                <w:bCs/>
                <w:i w:val="0"/>
                <w:iCs w:val="0"/>
                <w:color w:val="auto"/>
                <w:kern w:val="2"/>
                <w:sz w:val="24"/>
                <w:szCs w:val="24"/>
                <w:highlight w:val="none"/>
                <w:u w:val="none"/>
                <w:shd w:val="clear" w:color="auto" w:fill="auto"/>
                <w:lang w:val="en-US" w:eastAsia="zh-CN" w:bidi="ar"/>
              </w:rPr>
              <w:t>投标人</w:t>
            </w:r>
            <w:r>
              <w:rPr>
                <w:rFonts w:hint="eastAsia" w:ascii="宋体" w:hAnsi="宋体" w:cs="宋体"/>
                <w:bCs/>
                <w:i w:val="0"/>
                <w:iCs w:val="0"/>
                <w:color w:val="auto"/>
                <w:kern w:val="2"/>
                <w:sz w:val="24"/>
                <w:szCs w:val="24"/>
                <w:highlight w:val="none"/>
                <w:u w:val="none"/>
                <w:shd w:val="clear" w:color="auto" w:fill="auto"/>
                <w:lang w:val="en-US" w:eastAsia="zh-CN" w:bidi="ar"/>
              </w:rPr>
              <w:t>提供</w:t>
            </w:r>
            <w:r>
              <w:rPr>
                <w:rFonts w:hint="eastAsia" w:ascii="宋体" w:hAnsi="宋体" w:eastAsia="宋体" w:cs="宋体"/>
                <w:bCs/>
                <w:i w:val="0"/>
                <w:iCs w:val="0"/>
                <w:color w:val="auto"/>
                <w:kern w:val="2"/>
                <w:sz w:val="24"/>
                <w:szCs w:val="24"/>
                <w:highlight w:val="none"/>
                <w:u w:val="none"/>
                <w:shd w:val="clear" w:color="auto" w:fill="auto"/>
                <w:lang w:val="en-US" w:eastAsia="zh-CN" w:bidi="ar"/>
              </w:rPr>
              <w:t>的售后服务</w:t>
            </w:r>
            <w:r>
              <w:rPr>
                <w:rFonts w:hint="eastAsia" w:ascii="宋体" w:hAnsi="宋体" w:cs="宋体"/>
                <w:bCs/>
                <w:i w:val="0"/>
                <w:iCs w:val="0"/>
                <w:color w:val="auto"/>
                <w:kern w:val="2"/>
                <w:sz w:val="24"/>
                <w:szCs w:val="24"/>
                <w:highlight w:val="none"/>
                <w:u w:val="none"/>
                <w:shd w:val="clear" w:color="auto" w:fill="auto"/>
                <w:lang w:val="en-US" w:eastAsia="zh-CN" w:bidi="ar"/>
              </w:rPr>
              <w:t>进行评审，包括但不限于以下内容：</w:t>
            </w:r>
          </w:p>
          <w:p w14:paraId="337DD181">
            <w:pPr>
              <w:keepNext w:val="0"/>
              <w:keepLines w:val="0"/>
              <w:widowControl/>
              <w:suppressLineNumbers w:val="0"/>
              <w:shd w:val="clear" w:color="auto" w:fill="auto"/>
              <w:spacing w:line="340" w:lineRule="exact"/>
              <w:jc w:val="left"/>
              <w:textAlignment w:val="auto"/>
              <w:outlineLvl w:val="9"/>
              <w:rPr>
                <w:rFonts w:hint="eastAsia" w:ascii="宋体" w:hAnsi="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①全流程售后服务体系搭建；</w:t>
            </w:r>
          </w:p>
          <w:p w14:paraId="3988ACC0">
            <w:pPr>
              <w:keepNext w:val="0"/>
              <w:keepLines w:val="0"/>
              <w:widowControl/>
              <w:suppressLineNumbers w:val="0"/>
              <w:shd w:val="clear" w:color="auto" w:fill="auto"/>
              <w:spacing w:line="340" w:lineRule="exact"/>
              <w:jc w:val="left"/>
              <w:textAlignment w:val="auto"/>
              <w:outlineLvl w:val="9"/>
              <w:rPr>
                <w:rFonts w:hint="eastAsia" w:ascii="宋体" w:hAnsi="宋体" w:cs="宋体"/>
                <w:bCs/>
                <w:i w:val="0"/>
                <w:iCs w:val="0"/>
                <w:color w:val="auto"/>
                <w:kern w:val="2"/>
                <w:sz w:val="24"/>
                <w:szCs w:val="24"/>
                <w:highlight w:val="none"/>
                <w:u w:val="none"/>
                <w:shd w:val="clear" w:color="auto" w:fill="auto"/>
                <w:lang w:val="en-US" w:eastAsia="zh-CN" w:bidi="ar"/>
              </w:rPr>
            </w:pPr>
            <w:r>
              <w:rPr>
                <w:rFonts w:hint="eastAsia" w:ascii="宋体" w:hAnsi="宋体" w:cs="宋体"/>
                <w:bCs/>
                <w:i w:val="0"/>
                <w:iCs w:val="0"/>
                <w:color w:val="auto"/>
                <w:kern w:val="2"/>
                <w:sz w:val="24"/>
                <w:szCs w:val="24"/>
                <w:highlight w:val="none"/>
                <w:u w:val="none"/>
                <w:shd w:val="clear" w:color="auto" w:fill="auto"/>
                <w:lang w:val="en-US" w:eastAsia="zh-CN" w:bidi="ar"/>
              </w:rPr>
              <w:t>②售后响应与时效性保障机制；</w:t>
            </w:r>
          </w:p>
          <w:p w14:paraId="24C66541">
            <w:pPr>
              <w:pStyle w:val="12"/>
              <w:rPr>
                <w:rFonts w:hint="default"/>
                <w:highlight w:val="none"/>
                <w:lang w:val="en-US" w:eastAsia="zh-CN"/>
              </w:rPr>
            </w:pPr>
            <w:r>
              <w:rPr>
                <w:rFonts w:hint="eastAsia" w:ascii="宋体" w:hAnsi="宋体" w:cs="宋体"/>
                <w:bCs/>
                <w:i w:val="0"/>
                <w:iCs w:val="0"/>
                <w:color w:val="auto"/>
                <w:kern w:val="2"/>
                <w:sz w:val="24"/>
                <w:szCs w:val="24"/>
                <w:highlight w:val="none"/>
                <w:u w:val="none"/>
                <w:shd w:val="clear" w:color="auto" w:fill="auto"/>
                <w:lang w:val="en-US" w:eastAsia="zh-CN" w:bidi="ar"/>
              </w:rPr>
              <w:t>③软件升级维护保障措施；</w:t>
            </w:r>
          </w:p>
          <w:p w14:paraId="51F142EA">
            <w:pPr>
              <w:keepNext w:val="0"/>
              <w:keepLines w:val="0"/>
              <w:widowControl/>
              <w:suppressLineNumbers w:val="0"/>
              <w:shd w:val="clear" w:color="auto" w:fill="auto"/>
              <w:spacing w:line="340" w:lineRule="exact"/>
              <w:jc w:val="left"/>
              <w:textAlignment w:val="auto"/>
              <w:outlineLvl w:val="9"/>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 w:val="0"/>
                <w:bCs w:val="0"/>
                <w:i w:val="0"/>
                <w:iCs w:val="0"/>
                <w:color w:val="auto"/>
                <w:kern w:val="2"/>
                <w:sz w:val="24"/>
                <w:szCs w:val="24"/>
                <w:highlight w:val="none"/>
                <w:u w:val="none"/>
                <w:lang w:val="en-US" w:eastAsia="zh-CN" w:bidi="ar-SA"/>
              </w:rPr>
              <w:t>以上内容都包含得</w:t>
            </w:r>
            <w:r>
              <w:rPr>
                <w:rFonts w:hint="eastAsia" w:ascii="宋体" w:hAnsi="宋体" w:cs="宋体"/>
                <w:b w:val="0"/>
                <w:bCs w:val="0"/>
                <w:i w:val="0"/>
                <w:iCs w:val="0"/>
                <w:color w:val="auto"/>
                <w:kern w:val="2"/>
                <w:sz w:val="24"/>
                <w:szCs w:val="24"/>
                <w:highlight w:val="none"/>
                <w:u w:val="none"/>
                <w:lang w:val="en-US" w:eastAsia="zh-CN" w:bidi="ar-SA"/>
              </w:rPr>
              <w:t>15</w:t>
            </w:r>
            <w:r>
              <w:rPr>
                <w:rFonts w:hint="eastAsia" w:ascii="宋体" w:hAnsi="宋体" w:eastAsia="宋体" w:cs="宋体"/>
                <w:b w:val="0"/>
                <w:bCs w:val="0"/>
                <w:i w:val="0"/>
                <w:iCs w:val="0"/>
                <w:color w:val="auto"/>
                <w:kern w:val="2"/>
                <w:sz w:val="24"/>
                <w:szCs w:val="24"/>
                <w:highlight w:val="none"/>
                <w:u w:val="none"/>
                <w:lang w:val="en-US" w:eastAsia="zh-CN" w:bidi="ar-SA"/>
              </w:rPr>
              <w:t>分；每缺少一小项内容扣5分；每有一处缺陷的扣</w:t>
            </w:r>
            <w:r>
              <w:rPr>
                <w:rFonts w:hint="eastAsia" w:ascii="宋体" w:hAnsi="宋体" w:cs="宋体"/>
                <w:b w:val="0"/>
                <w:bCs w:val="0"/>
                <w:i w:val="0"/>
                <w:iCs w:val="0"/>
                <w:color w:val="auto"/>
                <w:kern w:val="2"/>
                <w:sz w:val="24"/>
                <w:szCs w:val="24"/>
                <w:highlight w:val="none"/>
                <w:u w:val="none"/>
                <w:lang w:val="en-US" w:eastAsia="zh-CN" w:bidi="ar-SA"/>
              </w:rPr>
              <w:t>2.5</w:t>
            </w:r>
            <w:r>
              <w:rPr>
                <w:rFonts w:hint="eastAsia" w:ascii="宋体" w:hAnsi="宋体" w:eastAsia="宋体" w:cs="宋体"/>
                <w:b w:val="0"/>
                <w:bCs w:val="0"/>
                <w:i w:val="0"/>
                <w:iCs w:val="0"/>
                <w:color w:val="auto"/>
                <w:kern w:val="2"/>
                <w:sz w:val="24"/>
                <w:szCs w:val="24"/>
                <w:highlight w:val="none"/>
                <w:u w:val="none"/>
                <w:lang w:val="en-US" w:eastAsia="zh-CN" w:bidi="ar-SA"/>
              </w:rPr>
              <w:t>分；扣完为止，未提供不得分。（缺陷是指：存在不适用该项目实际情况的情形、凭空编造、内容前后不一致，前后逻辑错误，涉及的规范及标准错误，地点区域错误、内容缺失、不符合项目需求的任意一项）</w:t>
            </w:r>
          </w:p>
        </w:tc>
      </w:tr>
    </w:tbl>
    <w:p w14:paraId="5C0A99EB">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1224A036">
      <w:pPr>
        <w:pStyle w:val="14"/>
        <w:tabs>
          <w:tab w:val="left" w:pos="600"/>
        </w:tabs>
        <w:spacing w:line="360" w:lineRule="auto"/>
        <w:ind w:firstLine="480" w:firstLineChars="20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报价部分评</w:t>
      </w:r>
      <w:r>
        <w:rPr>
          <w:rFonts w:hint="eastAsia" w:ascii="宋体" w:hAnsi="宋体" w:eastAsia="宋体" w:cs="宋体"/>
          <w:b w:val="0"/>
          <w:bCs w:val="0"/>
          <w:color w:val="auto"/>
          <w:sz w:val="24"/>
          <w:szCs w:val="24"/>
          <w:highlight w:val="none"/>
          <w:lang w:val="zh-CN"/>
        </w:rPr>
        <w:t>审</w:t>
      </w:r>
      <w:r>
        <w:rPr>
          <w:rFonts w:hint="eastAsia" w:ascii="宋体" w:hAnsi="宋体" w:eastAsia="宋体" w:cs="宋体"/>
          <w:b w:val="0"/>
          <w:bCs w:val="0"/>
          <w:color w:val="auto"/>
          <w:sz w:val="24"/>
          <w:szCs w:val="24"/>
          <w:highlight w:val="none"/>
        </w:rPr>
        <w:t>标准（</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557"/>
        <w:gridCol w:w="1104"/>
        <w:gridCol w:w="6301"/>
      </w:tblGrid>
      <w:tr w14:paraId="23C8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Align w:val="center"/>
          </w:tcPr>
          <w:p w14:paraId="1A35A71E">
            <w:pPr>
              <w:autoSpaceDE w:val="0"/>
              <w:autoSpaceDN w:val="0"/>
              <w:adjustRightInd w:val="0"/>
              <w:jc w:val="center"/>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序号</w:t>
            </w:r>
          </w:p>
        </w:tc>
        <w:tc>
          <w:tcPr>
            <w:tcW w:w="975" w:type="pct"/>
            <w:gridSpan w:val="2"/>
            <w:vAlign w:val="center"/>
          </w:tcPr>
          <w:p w14:paraId="6BB60FDA">
            <w:pPr>
              <w:autoSpaceDE w:val="0"/>
              <w:autoSpaceDN w:val="0"/>
              <w:adjustRightInd w:val="0"/>
              <w:jc w:val="center"/>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评审因素</w:t>
            </w:r>
          </w:p>
        </w:tc>
        <w:tc>
          <w:tcPr>
            <w:tcW w:w="3698" w:type="pct"/>
            <w:vAlign w:val="center"/>
          </w:tcPr>
          <w:p w14:paraId="01506796">
            <w:pPr>
              <w:autoSpaceDE w:val="0"/>
              <w:autoSpaceDN w:val="0"/>
              <w:adjustRightInd w:val="0"/>
              <w:jc w:val="center"/>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评审标准</w:t>
            </w:r>
          </w:p>
        </w:tc>
      </w:tr>
      <w:tr w14:paraId="6B00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restart"/>
            <w:vAlign w:val="center"/>
          </w:tcPr>
          <w:p w14:paraId="07143E48">
            <w:pPr>
              <w:autoSpaceDE w:val="0"/>
              <w:autoSpaceDN w:val="0"/>
              <w:adjustRightInd w:val="0"/>
              <w:jc w:val="center"/>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w:t>
            </w:r>
          </w:p>
        </w:tc>
        <w:tc>
          <w:tcPr>
            <w:tcW w:w="975" w:type="pct"/>
            <w:gridSpan w:val="2"/>
            <w:vMerge w:val="restart"/>
            <w:vAlign w:val="center"/>
          </w:tcPr>
          <w:p w14:paraId="650670C5">
            <w:pPr>
              <w:autoSpaceDE w:val="0"/>
              <w:autoSpaceDN w:val="0"/>
              <w:adjustRightIn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投标报价</w:t>
            </w:r>
          </w:p>
        </w:tc>
        <w:tc>
          <w:tcPr>
            <w:tcW w:w="3698" w:type="pct"/>
            <w:vAlign w:val="center"/>
          </w:tcPr>
          <w:p w14:paraId="1E3C57A1">
            <w:pPr>
              <w:autoSpaceDE w:val="0"/>
              <w:autoSpaceDN w:val="0"/>
              <w:adjustRightInd w:val="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评标基准价即满足招标文件要求且投标价格最低的投标报价。</w:t>
            </w:r>
          </w:p>
          <w:p w14:paraId="6727125E">
            <w:pPr>
              <w:autoSpaceDE w:val="0"/>
              <w:autoSpaceDN w:val="0"/>
              <w:adjustRightInd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rPr>
              <w:t>投标报价得分=（评标基准价/投标报价）×</w:t>
            </w:r>
            <w:r>
              <w:rPr>
                <w:rFonts w:hint="eastAsia" w:ascii="宋体" w:hAnsi="宋体" w:cs="宋体"/>
                <w:b w:val="0"/>
                <w:bCs w:val="0"/>
                <w:color w:val="auto"/>
                <w:sz w:val="24"/>
                <w:szCs w:val="24"/>
                <w:highlight w:val="none"/>
                <w:lang w:val="en-US" w:eastAsia="zh-CN"/>
              </w:rPr>
              <w:t>10</w:t>
            </w:r>
          </w:p>
        </w:tc>
      </w:tr>
      <w:tr w14:paraId="21AD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continue"/>
            <w:vAlign w:val="center"/>
          </w:tcPr>
          <w:p w14:paraId="00CFD9F1">
            <w:pPr>
              <w:autoSpaceDE w:val="0"/>
              <w:autoSpaceDN w:val="0"/>
              <w:adjustRightInd w:val="0"/>
              <w:jc w:val="center"/>
              <w:rPr>
                <w:rFonts w:hint="eastAsia" w:ascii="宋体" w:hAnsi="宋体" w:eastAsia="宋体" w:cs="宋体"/>
                <w:b w:val="0"/>
                <w:bCs w:val="0"/>
                <w:color w:val="auto"/>
                <w:sz w:val="24"/>
                <w:szCs w:val="24"/>
                <w:highlight w:val="none"/>
                <w:lang w:val="zh-CN"/>
              </w:rPr>
            </w:pPr>
          </w:p>
        </w:tc>
        <w:tc>
          <w:tcPr>
            <w:tcW w:w="975" w:type="pct"/>
            <w:gridSpan w:val="2"/>
            <w:vMerge w:val="continue"/>
            <w:vAlign w:val="center"/>
          </w:tcPr>
          <w:p w14:paraId="2FD67E71">
            <w:pPr>
              <w:autoSpaceDE w:val="0"/>
              <w:autoSpaceDN w:val="0"/>
              <w:adjustRightInd w:val="0"/>
              <w:jc w:val="center"/>
              <w:rPr>
                <w:rFonts w:hint="eastAsia" w:ascii="宋体" w:hAnsi="宋体" w:eastAsia="宋体" w:cs="宋体"/>
                <w:b w:val="0"/>
                <w:bCs w:val="0"/>
                <w:color w:val="auto"/>
                <w:sz w:val="24"/>
                <w:szCs w:val="24"/>
                <w:highlight w:val="none"/>
                <w:lang w:val="zh-CN"/>
              </w:rPr>
            </w:pPr>
          </w:p>
        </w:tc>
        <w:tc>
          <w:tcPr>
            <w:tcW w:w="3698" w:type="pct"/>
            <w:vAlign w:val="center"/>
          </w:tcPr>
          <w:p w14:paraId="55BE0767">
            <w:pPr>
              <w:autoSpaceDE w:val="0"/>
              <w:autoSpaceDN w:val="0"/>
              <w:adjustRightInd w:val="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因落实政府采购政策进行价格调整的，以调整后的价格计算评标基准价和投标报价。</w:t>
            </w:r>
          </w:p>
        </w:tc>
      </w:tr>
      <w:tr w14:paraId="661F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restart"/>
            <w:vAlign w:val="center"/>
          </w:tcPr>
          <w:p w14:paraId="269989F6">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327" w:type="pct"/>
            <w:vMerge w:val="restart"/>
            <w:vAlign w:val="center"/>
          </w:tcPr>
          <w:p w14:paraId="117938F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政府采购价格折扣优惠政策说明</w:t>
            </w:r>
          </w:p>
        </w:tc>
        <w:tc>
          <w:tcPr>
            <w:tcW w:w="647" w:type="pct"/>
            <w:vMerge w:val="restart"/>
            <w:vAlign w:val="center"/>
          </w:tcPr>
          <w:p w14:paraId="5F18FDE6">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中小企业</w:t>
            </w:r>
          </w:p>
        </w:tc>
        <w:tc>
          <w:tcPr>
            <w:tcW w:w="3698" w:type="pct"/>
            <w:vAlign w:val="center"/>
          </w:tcPr>
          <w:p w14:paraId="3F6FBFC0">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根据工信部等部委发布的《关于印发中小企业划型标准规定的通知》（工信部联企业〔2011〕300号），按照本次采购标的所属行业的划型标准，符合条件的中小企业须提供自拟格式的《中小企业声明函》。</w:t>
            </w:r>
          </w:p>
        </w:tc>
      </w:tr>
      <w:tr w14:paraId="6B3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26" w:type="pct"/>
            <w:vMerge w:val="continue"/>
            <w:vAlign w:val="center"/>
          </w:tcPr>
          <w:p w14:paraId="701D5B4D">
            <w:pPr>
              <w:jc w:val="center"/>
              <w:rPr>
                <w:rFonts w:hint="eastAsia" w:ascii="宋体" w:hAnsi="宋体" w:eastAsia="宋体" w:cs="宋体"/>
                <w:b w:val="0"/>
                <w:bCs w:val="0"/>
                <w:color w:val="auto"/>
                <w:sz w:val="24"/>
                <w:szCs w:val="24"/>
                <w:highlight w:val="none"/>
              </w:rPr>
            </w:pPr>
          </w:p>
        </w:tc>
        <w:tc>
          <w:tcPr>
            <w:tcW w:w="327" w:type="pct"/>
            <w:vMerge w:val="continue"/>
            <w:vAlign w:val="center"/>
          </w:tcPr>
          <w:p w14:paraId="67C8F96E">
            <w:pPr>
              <w:jc w:val="center"/>
              <w:rPr>
                <w:rFonts w:hint="eastAsia" w:ascii="宋体" w:hAnsi="宋体" w:eastAsia="宋体" w:cs="宋体"/>
                <w:b w:val="0"/>
                <w:bCs w:val="0"/>
                <w:color w:val="auto"/>
                <w:sz w:val="24"/>
                <w:szCs w:val="24"/>
                <w:highlight w:val="none"/>
              </w:rPr>
            </w:pPr>
          </w:p>
        </w:tc>
        <w:tc>
          <w:tcPr>
            <w:tcW w:w="647" w:type="pct"/>
            <w:vMerge w:val="continue"/>
            <w:vAlign w:val="center"/>
          </w:tcPr>
          <w:p w14:paraId="19C43ABA">
            <w:pPr>
              <w:jc w:val="center"/>
              <w:rPr>
                <w:rFonts w:hint="eastAsia" w:ascii="宋体" w:hAnsi="宋体" w:eastAsia="宋体" w:cs="宋体"/>
                <w:b w:val="0"/>
                <w:bCs w:val="0"/>
                <w:color w:val="auto"/>
                <w:sz w:val="24"/>
                <w:szCs w:val="24"/>
                <w:highlight w:val="none"/>
              </w:rPr>
            </w:pPr>
          </w:p>
        </w:tc>
        <w:tc>
          <w:tcPr>
            <w:tcW w:w="3698" w:type="pct"/>
            <w:vAlign w:val="center"/>
          </w:tcPr>
          <w:p w14:paraId="3B00445E">
            <w:pPr>
              <w:pStyle w:val="64"/>
              <w:widowControl/>
              <w:numPr>
                <w:ilvl w:val="0"/>
                <w:numId w:val="0"/>
              </w:numPr>
              <w:shd w:val="clear" w:color="auto" w:fill="auto"/>
              <w:adjustRightInd/>
              <w:jc w:val="left"/>
              <w:textAlignment w:val="auto"/>
              <w:rPr>
                <w:rFonts w:hint="eastAsia" w:eastAsia="宋体"/>
                <w:b w:val="0"/>
                <w:bCs w:val="0"/>
                <w:color w:val="auto"/>
                <w:sz w:val="24"/>
                <w:szCs w:val="24"/>
                <w:highlight w:val="none"/>
                <w:lang w:val="en-US" w:eastAsia="zh-CN"/>
              </w:rPr>
            </w:pPr>
            <w:r>
              <w:rPr>
                <w:rFonts w:hint="eastAsia" w:ascii="宋体" w:hAnsi="宋体" w:cs="宋体"/>
                <w:b w:val="0"/>
                <w:bCs/>
                <w:color w:val="000000"/>
                <w:sz w:val="24"/>
                <w:szCs w:val="24"/>
                <w:highlight w:val="none"/>
                <w:shd w:val="clear" w:color="auto" w:fill="auto"/>
                <w:lang w:val="en-US" w:eastAsia="zh-CN"/>
              </w:rPr>
              <w:t>本项目</w:t>
            </w:r>
            <w:r>
              <w:rPr>
                <w:rFonts w:hint="eastAsia" w:ascii="宋体" w:hAnsi="宋体" w:eastAsia="宋体" w:cs="宋体"/>
                <w:i w:val="0"/>
                <w:iCs w:val="0"/>
                <w:color w:val="000000"/>
                <w:sz w:val="24"/>
                <w:szCs w:val="24"/>
                <w:highlight w:val="none"/>
              </w:rPr>
              <w:t>为非专门面向中小企业（含中型、小型、微型企业）采购项目，根据《政府采购促进中小企业发展管理办法》（财库[2020]46号）的规定，对小微企业（含监狱企业、残疾人福利性单位视同小微企业）的投标价格给予10%的扣除，用扣除后的价格参与评审。</w:t>
            </w:r>
          </w:p>
        </w:tc>
      </w:tr>
      <w:tr w14:paraId="49D7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14:paraId="43F0627C">
            <w:pPr>
              <w:jc w:val="center"/>
              <w:rPr>
                <w:rFonts w:hint="eastAsia" w:ascii="宋体" w:hAnsi="宋体" w:eastAsia="宋体" w:cs="宋体"/>
                <w:b w:val="0"/>
                <w:bCs w:val="0"/>
                <w:color w:val="auto"/>
                <w:sz w:val="24"/>
                <w:szCs w:val="24"/>
                <w:highlight w:val="none"/>
              </w:rPr>
            </w:pPr>
          </w:p>
        </w:tc>
        <w:tc>
          <w:tcPr>
            <w:tcW w:w="327" w:type="pct"/>
            <w:vMerge w:val="continue"/>
            <w:vAlign w:val="center"/>
          </w:tcPr>
          <w:p w14:paraId="2B33D594">
            <w:pPr>
              <w:jc w:val="center"/>
              <w:rPr>
                <w:rFonts w:hint="eastAsia" w:ascii="宋体" w:hAnsi="宋体" w:eastAsia="宋体" w:cs="宋体"/>
                <w:b w:val="0"/>
                <w:bCs w:val="0"/>
                <w:color w:val="auto"/>
                <w:sz w:val="24"/>
                <w:szCs w:val="24"/>
                <w:highlight w:val="none"/>
              </w:rPr>
            </w:pPr>
          </w:p>
        </w:tc>
        <w:tc>
          <w:tcPr>
            <w:tcW w:w="647" w:type="pct"/>
            <w:vAlign w:val="center"/>
          </w:tcPr>
          <w:p w14:paraId="3A02E56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监狱企业</w:t>
            </w:r>
          </w:p>
        </w:tc>
        <w:tc>
          <w:tcPr>
            <w:tcW w:w="3698" w:type="pct"/>
            <w:vAlign w:val="center"/>
          </w:tcPr>
          <w:p w14:paraId="2CD51978">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财库〔2014〕68号《财政部司法部关于政府采购支持监狱企业发展有关问题的通知》，能够提供由省级以上监狱管理局、戒毒管理局（含新疆生产建设兵团）出具的“属于监狱企业的证明文件”的监狱企业，视同小型。</w:t>
            </w:r>
          </w:p>
        </w:tc>
      </w:tr>
      <w:tr w14:paraId="6384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14:paraId="0B9545D3">
            <w:pPr>
              <w:jc w:val="center"/>
              <w:rPr>
                <w:rFonts w:hint="eastAsia" w:ascii="宋体" w:hAnsi="宋体" w:eastAsia="宋体" w:cs="宋体"/>
                <w:b w:val="0"/>
                <w:bCs w:val="0"/>
                <w:color w:val="auto"/>
                <w:sz w:val="24"/>
                <w:szCs w:val="24"/>
                <w:highlight w:val="none"/>
              </w:rPr>
            </w:pPr>
          </w:p>
        </w:tc>
        <w:tc>
          <w:tcPr>
            <w:tcW w:w="327" w:type="pct"/>
            <w:vMerge w:val="continue"/>
            <w:vAlign w:val="center"/>
          </w:tcPr>
          <w:p w14:paraId="56D8FE61">
            <w:pPr>
              <w:jc w:val="center"/>
              <w:rPr>
                <w:rFonts w:hint="eastAsia" w:ascii="宋体" w:hAnsi="宋体" w:eastAsia="宋体" w:cs="宋体"/>
                <w:b w:val="0"/>
                <w:bCs w:val="0"/>
                <w:color w:val="auto"/>
                <w:sz w:val="24"/>
                <w:szCs w:val="24"/>
                <w:highlight w:val="none"/>
              </w:rPr>
            </w:pPr>
          </w:p>
        </w:tc>
        <w:tc>
          <w:tcPr>
            <w:tcW w:w="647" w:type="pct"/>
            <w:vAlign w:val="center"/>
          </w:tcPr>
          <w:p w14:paraId="1A16BE54">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福利企业</w:t>
            </w:r>
          </w:p>
        </w:tc>
        <w:tc>
          <w:tcPr>
            <w:tcW w:w="3698" w:type="pct"/>
            <w:vAlign w:val="center"/>
          </w:tcPr>
          <w:p w14:paraId="746D83C7">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财库〔2017〕141号《财政部民政部中国残疾人联合会关于促进残疾人就业政府采购政策的通知》，符合享受政府采购支持政策的残疾人福利性单位条件且提供自拟格式的《残疾人福利性单位声明函》的残疾人福利性单位，视同小型。</w:t>
            </w:r>
          </w:p>
        </w:tc>
      </w:tr>
      <w:tr w14:paraId="12E5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00" w:type="pct"/>
            <w:gridSpan w:val="4"/>
            <w:vAlign w:val="center"/>
          </w:tcPr>
          <w:p w14:paraId="3C52BFB5">
            <w:pPr>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评分注意事项：</w:t>
            </w:r>
          </w:p>
          <w:p w14:paraId="78343E7A">
            <w:pPr>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    因落实政府采购政策进行价格调整的，评标委员会应记录价格调整的依据、计算过程及计算结果。</w:t>
            </w:r>
          </w:p>
        </w:tc>
      </w:tr>
    </w:tbl>
    <w:p w14:paraId="3A5D7458">
      <w:pPr>
        <w:pStyle w:val="14"/>
        <w:tabs>
          <w:tab w:val="left" w:pos="600"/>
        </w:tabs>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4.5.1投标人总分=报价部分得分+技术、商务部分得分，结果保留两位小数。</w:t>
      </w:r>
    </w:p>
    <w:p w14:paraId="42B0D53F">
      <w:pPr>
        <w:spacing w:line="460" w:lineRule="exact"/>
        <w:ind w:firstLine="480" w:firstLineChars="200"/>
        <w:rPr>
          <w:rFonts w:hint="eastAsia" w:ascii="宋体" w:hAnsi="宋体" w:eastAsia="宋体" w:cs="宋体"/>
          <w:b w:val="0"/>
          <w:bCs w:val="0"/>
          <w:color w:val="auto"/>
          <w:sz w:val="24"/>
          <w:szCs w:val="24"/>
          <w:highlight w:val="none"/>
        </w:rPr>
      </w:pPr>
      <w:bookmarkStart w:id="161" w:name="_Toc217446060"/>
      <w:r>
        <w:rPr>
          <w:rFonts w:hint="eastAsia" w:ascii="宋体" w:hAnsi="宋体" w:eastAsia="宋体" w:cs="宋体"/>
          <w:b w:val="0"/>
          <w:bCs w:val="0"/>
          <w:color w:val="auto"/>
          <w:sz w:val="24"/>
          <w:szCs w:val="24"/>
          <w:highlight w:val="none"/>
        </w:rPr>
        <w:t>5. 终止招标</w:t>
      </w:r>
    </w:p>
    <w:p w14:paraId="13D46BDA">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采购人、采购代理机构在发布招标公告、资格预审公告或者发出投标邀请书后，除因重大变故采购任务取消情况外，不得擅自终止招标活动。</w:t>
      </w:r>
    </w:p>
    <w:p w14:paraId="204B49A3">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482DCD4">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定标</w:t>
      </w:r>
      <w:bookmarkEnd w:id="161"/>
      <w:bookmarkStart w:id="162" w:name="_Toc217446061"/>
    </w:p>
    <w:p w14:paraId="302A464A">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 定标原则</w:t>
      </w:r>
      <w:bookmarkEnd w:id="162"/>
      <w:r>
        <w:rPr>
          <w:rFonts w:hint="eastAsia" w:ascii="宋体" w:hAnsi="宋体" w:eastAsia="宋体" w:cs="宋体"/>
          <w:b w:val="0"/>
          <w:bCs w:val="0"/>
          <w:color w:val="auto"/>
          <w:sz w:val="24"/>
          <w:szCs w:val="24"/>
          <w:highlight w:val="none"/>
        </w:rPr>
        <w:t>：本项目根据评标委员会推荐的中标候选人名单，按顺序确定中标人。</w:t>
      </w:r>
    </w:p>
    <w:p w14:paraId="4941756D">
      <w:pPr>
        <w:spacing w:line="460" w:lineRule="exact"/>
        <w:ind w:firstLine="480" w:firstLineChars="200"/>
        <w:rPr>
          <w:rFonts w:hint="eastAsia" w:ascii="宋体" w:hAnsi="宋体" w:eastAsia="宋体" w:cs="宋体"/>
          <w:b w:val="0"/>
          <w:bCs w:val="0"/>
          <w:color w:val="auto"/>
          <w:sz w:val="24"/>
          <w:szCs w:val="24"/>
          <w:highlight w:val="none"/>
        </w:rPr>
      </w:pPr>
      <w:bookmarkStart w:id="163" w:name="_Toc217446062"/>
      <w:r>
        <w:rPr>
          <w:rFonts w:hint="eastAsia" w:ascii="宋体" w:hAnsi="宋体" w:eastAsia="宋体" w:cs="宋体"/>
          <w:b w:val="0"/>
          <w:bCs w:val="0"/>
          <w:color w:val="auto"/>
          <w:sz w:val="24"/>
          <w:szCs w:val="24"/>
          <w:highlight w:val="none"/>
        </w:rPr>
        <w:t>6.2. 定标程序</w:t>
      </w:r>
      <w:bookmarkEnd w:id="163"/>
    </w:p>
    <w:p w14:paraId="446D9043">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3826B79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14:paraId="506463F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采购人应当自收到评标报告之日起5个工作日内在评标报告推荐的中标候选人中按顺序确定中标人。</w:t>
      </w:r>
    </w:p>
    <w:p w14:paraId="24893EE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根据采购人确定的中标人，采购人在招标公告发布的媒体上发布中标公告，同时向中标人发出中标通知书。</w:t>
      </w:r>
    </w:p>
    <w:p w14:paraId="2EBC6A4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56"/>
    <w:p w14:paraId="26A90FC7">
      <w:pPr>
        <w:spacing w:line="460" w:lineRule="exact"/>
        <w:ind w:firstLine="480" w:firstLineChars="200"/>
        <w:rPr>
          <w:rFonts w:hint="eastAsia" w:ascii="宋体" w:hAnsi="宋体" w:eastAsia="宋体" w:cs="宋体"/>
          <w:color w:val="auto"/>
          <w:sz w:val="24"/>
          <w:szCs w:val="24"/>
          <w:highlight w:val="none"/>
        </w:rPr>
      </w:pPr>
      <w:bookmarkStart w:id="164" w:name="_Toc183682432"/>
      <w:bookmarkStart w:id="165" w:name="_Toc217446105"/>
      <w:bookmarkStart w:id="166" w:name="_Toc208849022"/>
      <w:bookmarkStart w:id="167" w:name="_Toc183582297"/>
      <w:r>
        <w:rPr>
          <w:rFonts w:hint="eastAsia" w:ascii="宋体" w:hAnsi="宋体" w:eastAsia="宋体" w:cs="宋体"/>
          <w:color w:val="auto"/>
          <w:sz w:val="24"/>
          <w:szCs w:val="24"/>
          <w:highlight w:val="none"/>
        </w:rPr>
        <w:t xml:space="preserve">7. </w:t>
      </w:r>
      <w:bookmarkEnd w:id="164"/>
      <w:bookmarkEnd w:id="165"/>
      <w:bookmarkEnd w:id="166"/>
      <w:bookmarkEnd w:id="167"/>
      <w:r>
        <w:rPr>
          <w:rFonts w:hint="eastAsia" w:ascii="宋体" w:hAnsi="宋体" w:eastAsia="宋体" w:cs="宋体"/>
          <w:color w:val="auto"/>
          <w:sz w:val="24"/>
          <w:szCs w:val="24"/>
          <w:highlight w:val="none"/>
        </w:rPr>
        <w:t>评标专家在政府采购活动中承担以下义务：</w:t>
      </w:r>
    </w:p>
    <w:p w14:paraId="17C35352">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397D66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5D5D0BA5">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14:paraId="7BECEFA4">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14:paraId="67C3A537">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93812C4">
      <w:pPr>
        <w:widowControl/>
        <w:autoSpaceDE w:val="0"/>
        <w:autoSpaceDN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配合采购人或者采购代理机构答复投标人质疑，配合投诉处理工作等事宜。</w:t>
      </w:r>
    </w:p>
    <w:p w14:paraId="1FBF2A9F">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53389353">
      <w:pPr>
        <w:widowControl/>
        <w:autoSpaceDE w:val="0"/>
        <w:autoSpaceDN w:val="0"/>
        <w:spacing w:line="460" w:lineRule="exact"/>
        <w:ind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71218C05">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14:paraId="5B5B31E2">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48F1A31D">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6A649F84">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3563339A">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1638C4AD">
      <w:pPr>
        <w:pStyle w:val="2"/>
        <w:spacing w:before="0" w:after="340" w:line="46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68" w:name="_Toc22113"/>
      <w:r>
        <w:rPr>
          <w:rFonts w:hint="eastAsia" w:ascii="宋体" w:hAnsi="宋体" w:eastAsia="宋体" w:cs="宋体"/>
          <w:b/>
          <w:bCs/>
          <w:color w:val="auto"/>
          <w:sz w:val="24"/>
          <w:szCs w:val="24"/>
          <w:highlight w:val="none"/>
        </w:rPr>
        <w:t>第六章  拟签订的合同文本</w:t>
      </w:r>
      <w:bookmarkEnd w:id="168"/>
    </w:p>
    <w:p w14:paraId="318A4275">
      <w:pPr>
        <w:adjustRightInd w:val="0"/>
        <w:snapToGrid w:val="0"/>
        <w:spacing w:line="360" w:lineRule="auto"/>
        <w:jc w:val="center"/>
        <w:rPr>
          <w:rFonts w:ascii="宋体" w:hAnsi="宋体" w:eastAsia="宋体" w:cs="Times New Roman"/>
          <w:b/>
          <w:bCs/>
          <w:sz w:val="24"/>
          <w:szCs w:val="24"/>
          <w:highlight w:val="none"/>
        </w:rPr>
      </w:pPr>
      <w:r>
        <w:rPr>
          <w:rFonts w:ascii="宋体" w:hAnsi="宋体" w:eastAsia="宋体" w:cs="Times New Roman"/>
          <w:b/>
          <w:bCs/>
          <w:sz w:val="24"/>
          <w:szCs w:val="24"/>
          <w:highlight w:val="none"/>
        </w:rPr>
        <w:t>合</w:t>
      </w:r>
      <w:r>
        <w:rPr>
          <w:rFonts w:hint="eastAsia" w:cs="Times New Roman"/>
          <w:b/>
          <w:bCs/>
          <w:sz w:val="24"/>
          <w:szCs w:val="24"/>
          <w:highlight w:val="none"/>
          <w:lang w:val="en-US" w:eastAsia="zh-CN"/>
        </w:rPr>
        <w:t xml:space="preserve"> </w:t>
      </w:r>
      <w:r>
        <w:rPr>
          <w:rFonts w:ascii="宋体" w:hAnsi="宋体" w:eastAsia="宋体" w:cs="Times New Roman"/>
          <w:b/>
          <w:bCs/>
          <w:sz w:val="24"/>
          <w:szCs w:val="24"/>
          <w:highlight w:val="none"/>
        </w:rPr>
        <w:t>同</w:t>
      </w:r>
    </w:p>
    <w:p w14:paraId="35EF347E">
      <w:pPr>
        <w:adjustRightInd w:val="0"/>
        <w:snapToGrid w:val="0"/>
        <w:spacing w:line="360" w:lineRule="auto"/>
        <w:jc w:val="center"/>
        <w:rPr>
          <w:rFonts w:hint="eastAsia" w:ascii="宋体" w:hAnsi="宋体" w:eastAsia="宋体" w:cs="Times New Roman"/>
          <w:b/>
          <w:bCs/>
          <w:sz w:val="24"/>
          <w:szCs w:val="24"/>
          <w:highlight w:val="none"/>
          <w:lang w:eastAsia="zh-CN"/>
        </w:rPr>
      </w:pPr>
      <w:r>
        <w:rPr>
          <w:rFonts w:hint="eastAsia" w:cs="Times New Roman"/>
          <w:b/>
          <w:bCs/>
          <w:sz w:val="24"/>
          <w:szCs w:val="24"/>
          <w:highlight w:val="none"/>
          <w:lang w:eastAsia="zh-CN"/>
        </w:rPr>
        <w:t>（</w:t>
      </w:r>
      <w:r>
        <w:rPr>
          <w:rFonts w:hint="eastAsia" w:ascii="宋体" w:hAnsi="宋体" w:eastAsia="宋体" w:cs="Times New Roman"/>
          <w:b/>
          <w:bCs/>
          <w:sz w:val="24"/>
          <w:szCs w:val="24"/>
          <w:highlight w:val="none"/>
        </w:rPr>
        <w:t>具体以与甲方实际签订为准</w:t>
      </w:r>
      <w:r>
        <w:rPr>
          <w:rFonts w:hint="eastAsia" w:cs="Times New Roman"/>
          <w:b/>
          <w:bCs/>
          <w:sz w:val="24"/>
          <w:szCs w:val="24"/>
          <w:highlight w:val="none"/>
          <w:lang w:eastAsia="zh-CN"/>
        </w:rPr>
        <w:t>）</w:t>
      </w:r>
    </w:p>
    <w:p w14:paraId="438FB5D2">
      <w:pPr>
        <w:ind w:firstLine="280" w:firstLineChars="1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合同编号：</w:t>
      </w:r>
    </w:p>
    <w:p w14:paraId="24D42080">
      <w:pPr>
        <w:rPr>
          <w:rFonts w:hint="default" w:ascii="Times New Roman" w:hAnsi="Times New Roman" w:eastAsia="方正仿宋_GBK" w:cs="Times New Roman"/>
          <w:highlight w:val="none"/>
        </w:rPr>
      </w:pPr>
    </w:p>
    <w:p w14:paraId="1F9523FA">
      <w:pPr>
        <w:jc w:val="center"/>
        <w:rPr>
          <w:rFonts w:hint="default" w:ascii="Times New Roman" w:hAnsi="Times New Roman" w:eastAsia="方正仿宋_GBK" w:cs="Times New Roman"/>
          <w:sz w:val="44"/>
          <w:szCs w:val="44"/>
          <w:highlight w:val="none"/>
        </w:rPr>
      </w:pPr>
    </w:p>
    <w:p w14:paraId="21751D2B">
      <w:pPr>
        <w:jc w:val="center"/>
        <w:rPr>
          <w:rFonts w:hint="default" w:ascii="Times New Roman" w:hAnsi="Times New Roman" w:eastAsia="方正黑体_GBK" w:cs="Times New Roman"/>
          <w:sz w:val="52"/>
          <w:szCs w:val="52"/>
          <w:highlight w:val="none"/>
        </w:rPr>
      </w:pPr>
      <w:r>
        <w:rPr>
          <w:rFonts w:hint="default" w:ascii="Times New Roman" w:hAnsi="Times New Roman" w:eastAsia="方正黑体_GBK" w:cs="Times New Roman"/>
          <w:sz w:val="52"/>
          <w:szCs w:val="52"/>
          <w:highlight w:val="none"/>
        </w:rPr>
        <w:t>政府采购合同</w:t>
      </w:r>
    </w:p>
    <w:p w14:paraId="1C520200">
      <w:pPr>
        <w:jc w:val="center"/>
        <w:rPr>
          <w:rFonts w:hint="default" w:ascii="Times New Roman" w:hAnsi="Times New Roman" w:eastAsia="方正黑体_GBK" w:cs="Times New Roman"/>
          <w:sz w:val="44"/>
          <w:szCs w:val="44"/>
          <w:highlight w:val="none"/>
        </w:rPr>
      </w:pPr>
      <w:r>
        <w:rPr>
          <w:rFonts w:hint="default" w:ascii="Times New Roman" w:hAnsi="Times New Roman" w:eastAsia="方正黑体_GBK" w:cs="Times New Roman"/>
          <w:sz w:val="44"/>
          <w:szCs w:val="44"/>
          <w:highlight w:val="none"/>
        </w:rPr>
        <w:t>（服务类）</w:t>
      </w:r>
    </w:p>
    <w:p w14:paraId="44A798C6">
      <w:pPr>
        <w:jc w:val="center"/>
        <w:rPr>
          <w:rFonts w:hint="default" w:ascii="Times New Roman" w:hAnsi="Times New Roman" w:eastAsia="方正仿宋_GBK" w:cs="Times New Roman"/>
          <w:sz w:val="44"/>
          <w:szCs w:val="44"/>
          <w:highlight w:val="none"/>
        </w:rPr>
      </w:pPr>
    </w:p>
    <w:p w14:paraId="0D660C1A">
      <w:pPr>
        <w:jc w:val="center"/>
        <w:rPr>
          <w:rFonts w:hint="default" w:ascii="Times New Roman" w:hAnsi="Times New Roman" w:eastAsia="方正仿宋_GBK" w:cs="Times New Roman"/>
          <w:sz w:val="44"/>
          <w:szCs w:val="44"/>
          <w:highlight w:val="none"/>
        </w:rPr>
      </w:pPr>
    </w:p>
    <w:p w14:paraId="5EAFD4B6">
      <w:pPr>
        <w:jc w:val="center"/>
        <w:rPr>
          <w:rFonts w:hint="default" w:ascii="Times New Roman" w:hAnsi="Times New Roman" w:eastAsia="方正仿宋_GBK" w:cs="Times New Roman"/>
          <w:sz w:val="44"/>
          <w:szCs w:val="44"/>
          <w:highlight w:val="none"/>
        </w:rPr>
      </w:pPr>
    </w:p>
    <w:p w14:paraId="52130A8F">
      <w:pPr>
        <w:rPr>
          <w:rFonts w:hint="default" w:ascii="Times New Roman" w:hAnsi="Times New Roman" w:eastAsia="方正仿宋_GBK" w:cs="Times New Roman"/>
          <w:sz w:val="28"/>
          <w:szCs w:val="28"/>
          <w:highlight w:val="none"/>
        </w:rPr>
      </w:pPr>
    </w:p>
    <w:p w14:paraId="0C1C5086">
      <w:pPr>
        <w:rPr>
          <w:rFonts w:hint="default" w:ascii="Times New Roman" w:hAnsi="Times New Roman" w:eastAsia="方正仿宋_GBK" w:cs="Times New Roman"/>
          <w:sz w:val="28"/>
          <w:szCs w:val="28"/>
          <w:highlight w:val="none"/>
        </w:rPr>
      </w:pPr>
    </w:p>
    <w:p w14:paraId="545F333A">
      <w:pPr>
        <w:rPr>
          <w:rFonts w:hint="default" w:ascii="Times New Roman" w:hAnsi="Times New Roman" w:eastAsia="方正仿宋_GBK" w:cs="Times New Roman"/>
          <w:sz w:val="28"/>
          <w:szCs w:val="28"/>
          <w:highlight w:val="none"/>
        </w:rPr>
      </w:pPr>
    </w:p>
    <w:p w14:paraId="74D90D0F">
      <w:pPr>
        <w:rPr>
          <w:rFonts w:hint="default" w:ascii="Times New Roman" w:hAnsi="Times New Roman" w:eastAsia="方正仿宋_GBK" w:cs="Times New Roman"/>
          <w:sz w:val="28"/>
          <w:szCs w:val="28"/>
          <w:highlight w:val="none"/>
        </w:rPr>
      </w:pPr>
    </w:p>
    <w:p w14:paraId="5711919F">
      <w:pPr>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sz w:val="28"/>
          <w:szCs w:val="28"/>
          <w:highlight w:val="none"/>
          <w:u w:val="single"/>
        </w:rPr>
        <w:t>甘泉堡经济技术开发区（工业区）重大安全风险防控项目-智能化管控升级运营项目</w:t>
      </w:r>
      <w:r>
        <w:rPr>
          <w:rFonts w:hint="eastAsia" w:asciiTheme="minorEastAsia" w:hAnsiTheme="minorEastAsia" w:eastAsiaTheme="minorEastAsia" w:cstheme="minorEastAsia"/>
          <w:sz w:val="28"/>
          <w:szCs w:val="28"/>
          <w:highlight w:val="none"/>
          <w:u w:val="single"/>
          <w:lang w:val="en-US" w:eastAsia="zh-CN"/>
        </w:rPr>
        <w:t xml:space="preserve">        </w:t>
      </w:r>
    </w:p>
    <w:p w14:paraId="448B4D73">
      <w:pPr>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eastAsiaTheme="minorEastAsia" w:cstheme="minorEastAsia"/>
          <w:sz w:val="28"/>
          <w:szCs w:val="28"/>
          <w:highlight w:val="none"/>
        </w:rPr>
        <w:t>甲</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方：</w:t>
      </w:r>
      <w:r>
        <w:rPr>
          <w:rFonts w:hint="eastAsia" w:asciiTheme="minorEastAsia" w:hAnsiTheme="minorEastAsia" w:eastAsiaTheme="minorEastAsia" w:cstheme="minorEastAsia"/>
          <w:sz w:val="28"/>
          <w:szCs w:val="28"/>
          <w:highlight w:val="none"/>
          <w:u w:val="single"/>
        </w:rPr>
        <w:t>乌鲁木齐甘泉堡经济技术开发区（工业区）应急管理局</w:t>
      </w:r>
    </w:p>
    <w:p w14:paraId="26CE21FE">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乙</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方：</w:t>
      </w:r>
      <w:r>
        <w:rPr>
          <w:rFonts w:hint="eastAsia" w:asciiTheme="minorEastAsia" w:hAnsiTheme="minorEastAsia" w:eastAsiaTheme="minorEastAsia" w:cstheme="minorEastAsia"/>
          <w:sz w:val="28"/>
          <w:szCs w:val="28"/>
          <w:highlight w:val="none"/>
          <w:u w:val="single"/>
          <w:lang w:eastAsia="zh-CN"/>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p>
    <w:p w14:paraId="301323F3">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签</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订</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地：</w:t>
      </w:r>
      <w:r>
        <w:rPr>
          <w:rFonts w:hint="eastAsia" w:asciiTheme="minorEastAsia" w:hAnsiTheme="minorEastAsia" w:eastAsiaTheme="minorEastAsia" w:cstheme="minorEastAsia"/>
          <w:b w:val="0"/>
          <w:bCs w:val="0"/>
          <w:sz w:val="28"/>
          <w:szCs w:val="28"/>
          <w:highlight w:val="none"/>
          <w:u w:val="single"/>
        </w:rPr>
        <w:t>乌鲁木齐市</w:t>
      </w:r>
      <w:r>
        <w:rPr>
          <w:rFonts w:hint="eastAsia" w:asciiTheme="minorEastAsia" w:hAnsiTheme="minorEastAsia" w:eastAsiaTheme="minorEastAsia" w:cstheme="minorEastAsia"/>
          <w:b w:val="0"/>
          <w:bCs w:val="0"/>
          <w:sz w:val="28"/>
          <w:szCs w:val="28"/>
          <w:highlight w:val="none"/>
          <w:u w:val="single"/>
          <w:lang w:val="en-US" w:eastAsia="zh-CN"/>
        </w:rPr>
        <w:t xml:space="preserve">甘泉堡经济技术开发区                  </w:t>
      </w:r>
    </w:p>
    <w:p w14:paraId="265E399C">
      <w:pPr>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eastAsiaTheme="minorEastAsia" w:cstheme="minorEastAsia"/>
          <w:sz w:val="28"/>
          <w:szCs w:val="28"/>
          <w:highlight w:val="none"/>
        </w:rPr>
        <w:t>签订日期：</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年</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月</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日</w:t>
      </w:r>
      <w:r>
        <w:rPr>
          <w:rFonts w:hint="eastAsia" w:asciiTheme="minorEastAsia" w:hAnsiTheme="minorEastAsia" w:eastAsiaTheme="minorEastAsia" w:cstheme="minorEastAsia"/>
          <w:sz w:val="28"/>
          <w:szCs w:val="28"/>
          <w:highlight w:val="none"/>
          <w:u w:val="single"/>
          <w:lang w:val="en-US" w:eastAsia="zh-CN"/>
        </w:rPr>
        <w:t xml:space="preserve">                             </w:t>
      </w:r>
    </w:p>
    <w:p w14:paraId="11371871">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p>
    <w:p w14:paraId="2FF15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甲乙双方根据《中华人民共和国政府采购法》《中华人民共和国政府采购法实施条例》《中华人民共和国民法典》等相关法律法规、规范性文件以及项目（填写项目名称</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项目编号）的成交结果、</w:t>
      </w:r>
      <w:r>
        <w:rPr>
          <w:rFonts w:hint="eastAsia" w:asciiTheme="minorEastAsia" w:hAnsiTheme="minorEastAsia" w:eastAsiaTheme="minorEastAsia" w:cstheme="minorEastAsia"/>
          <w:sz w:val="28"/>
          <w:szCs w:val="28"/>
          <w:highlight w:val="none"/>
          <w:lang w:val="en-US" w:eastAsia="zh-CN"/>
        </w:rPr>
        <w:t>招标</w:t>
      </w:r>
      <w:r>
        <w:rPr>
          <w:rFonts w:hint="eastAsia" w:asciiTheme="minorEastAsia" w:hAnsiTheme="minorEastAsia" w:eastAsiaTheme="minorEastAsia" w:cstheme="minorEastAsia"/>
          <w:sz w:val="28"/>
          <w:szCs w:val="28"/>
          <w:highlight w:val="none"/>
        </w:rPr>
        <w:t>文件、响应文件等文件的相关内容，经平等自愿协商一致，就如下合同条款达成一致意见。</w:t>
      </w:r>
    </w:p>
    <w:p w14:paraId="499DC56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1.1合同组成部分</w:t>
      </w:r>
    </w:p>
    <w:p w14:paraId="20A4EB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B77D8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1、本合同及其补充合同、变更协议；</w:t>
      </w:r>
    </w:p>
    <w:p w14:paraId="3BF9FD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2、中标通知书；</w:t>
      </w:r>
    </w:p>
    <w:p w14:paraId="56D3BE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3、投标文件（含澄清或者说明文件）；</w:t>
      </w:r>
    </w:p>
    <w:p w14:paraId="53891D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4、招标文件（含澄清或者修改文件）；</w:t>
      </w:r>
    </w:p>
    <w:p w14:paraId="2DDE3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5、其他相关采购文件。</w:t>
      </w:r>
    </w:p>
    <w:p w14:paraId="672E0EB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1.2</w:t>
      </w:r>
      <w:r>
        <w:rPr>
          <w:rFonts w:hint="eastAsia" w:asciiTheme="minorEastAsia" w:hAnsiTheme="minorEastAsia" w:eastAsiaTheme="minorEastAsia" w:cstheme="minorEastAsia"/>
          <w:sz w:val="28"/>
          <w:szCs w:val="28"/>
          <w:highlight w:val="none"/>
          <w:lang w:val="en-US" w:eastAsia="zh-CN"/>
        </w:rPr>
        <w:t>服务</w:t>
      </w:r>
    </w:p>
    <w:p w14:paraId="336A36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1、标的名称：</w:t>
      </w:r>
      <w:r>
        <w:rPr>
          <w:rFonts w:hint="eastAsia" w:asciiTheme="minorEastAsia" w:hAnsiTheme="minorEastAsia" w:eastAsiaTheme="minorEastAsia" w:cstheme="minorEastAsia"/>
          <w:b w:val="0"/>
          <w:bCs w:val="0"/>
          <w:sz w:val="28"/>
          <w:szCs w:val="28"/>
          <w:highlight w:val="none"/>
          <w:u w:val="single"/>
          <w:lang w:eastAsia="zh-CN"/>
        </w:rPr>
        <w:t>甘泉堡经济技术开发区（工业区）重大安全风险防控项目-智能化管控升级运营项目</w:t>
      </w:r>
      <w:r>
        <w:rPr>
          <w:rFonts w:hint="eastAsia" w:asciiTheme="minorEastAsia" w:hAnsiTheme="minorEastAsia" w:eastAsiaTheme="minorEastAsia" w:cstheme="minorEastAsia"/>
          <w:sz w:val="28"/>
          <w:szCs w:val="28"/>
          <w:highlight w:val="none"/>
        </w:rPr>
        <w:t>；</w:t>
      </w:r>
    </w:p>
    <w:p w14:paraId="027404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2、标的数量：</w:t>
      </w:r>
      <w:r>
        <w:rPr>
          <w:rFonts w:hint="eastAsia" w:asciiTheme="minorEastAsia" w:hAnsiTheme="minorEastAsia" w:eastAsiaTheme="minorEastAsia" w:cstheme="minorEastAsia"/>
          <w:sz w:val="28"/>
          <w:szCs w:val="28"/>
          <w:highlight w:val="none"/>
          <w:u w:val="single"/>
        </w:rPr>
        <w:t>1个</w:t>
      </w:r>
      <w:r>
        <w:rPr>
          <w:rFonts w:hint="eastAsia" w:asciiTheme="minorEastAsia" w:hAnsiTheme="minorEastAsia" w:eastAsiaTheme="minorEastAsia" w:cstheme="minorEastAsia"/>
          <w:sz w:val="28"/>
          <w:szCs w:val="28"/>
          <w:highlight w:val="none"/>
        </w:rPr>
        <w:t>；</w:t>
      </w:r>
    </w:p>
    <w:p w14:paraId="242F15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3、标的质量：</w:t>
      </w:r>
      <w:r>
        <w:rPr>
          <w:rFonts w:hint="eastAsia" w:asciiTheme="minorEastAsia" w:hAnsiTheme="minorEastAsia" w:eastAsiaTheme="minorEastAsia" w:cstheme="minorEastAsia"/>
          <w:sz w:val="28"/>
          <w:szCs w:val="28"/>
          <w:highlight w:val="none"/>
          <w:u w:val="single"/>
        </w:rPr>
        <w:t>本项目以《化工园区安全风险智能化管控平台建设指南（试行）》、《应急管理部财政部关于印发&lt;重点化工产业聚集区重大安全风险防控工作总体方案&gt;的通知》</w:t>
      </w:r>
      <w:r>
        <w:rPr>
          <w:rFonts w:hint="eastAsia" w:asciiTheme="minorEastAsia" w:hAnsiTheme="minorEastAsia" w:eastAsiaTheme="minorEastAsia" w:cstheme="minorEastAsia"/>
          <w:sz w:val="28"/>
          <w:szCs w:val="28"/>
          <w:highlight w:val="none"/>
          <w:u w:val="single"/>
          <w:lang w:val="en-US" w:eastAsia="zh-CN"/>
        </w:rPr>
        <w:t>等国家或行业标准</w:t>
      </w:r>
      <w:r>
        <w:rPr>
          <w:rFonts w:hint="eastAsia" w:asciiTheme="minorEastAsia" w:hAnsiTheme="minorEastAsia" w:eastAsiaTheme="minorEastAsia" w:cstheme="minorEastAsia"/>
          <w:sz w:val="28"/>
          <w:szCs w:val="28"/>
          <w:highlight w:val="none"/>
          <w:u w:val="single"/>
        </w:rPr>
        <w:t>为依据，为甘泉堡经济技术开发区化工产业集中区部署安全风险分析预警及预警信息智能发布系统，推进全维度安全监管数据治理，构建科学完善的重大安全风险防控体系，搭建智能化风险隐患治理机制，落实动态风险管控相关建设，完善区域流通风险管理举措，优化应急响应数据治理流程，开发实用性强的“应急通”小程序，建设园区订阅式（SaaS）安全风险智能化管控企服系统，增设智能AI助手，辅助实现风险研判、指令下发、咨询应答等高效处置，融入产业服务相关建设，搭建园区产业协同服务模块，助力企业供需对接、技术赋能，补充环保管理与能源管理相关设施及系统，实现园区污染物排放监测、环保合规管控及能源消耗统计、节能优化，开展园区三维建模工作，搭建标准化空间数据库，配置重点区域易燃易爆有毒有害气体泄漏监测管控设备，全面提升园区安全管控、产业发展、环保治理、能源利用的智能化、精细化与规范化水平</w:t>
      </w:r>
      <w:r>
        <w:rPr>
          <w:rFonts w:hint="eastAsia" w:asciiTheme="minorEastAsia" w:hAnsiTheme="minorEastAsia" w:eastAsiaTheme="minorEastAsia" w:cstheme="minorEastAsia"/>
          <w:sz w:val="28"/>
          <w:szCs w:val="28"/>
          <w:highlight w:val="none"/>
          <w:u w:val="single"/>
          <w:lang w:eastAsia="zh-CN"/>
        </w:rPr>
        <w:t>。</w:t>
      </w:r>
    </w:p>
    <w:p w14:paraId="3E67062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1.3服务项目及要求</w:t>
      </w:r>
    </w:p>
    <w:p w14:paraId="6E4485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highlight w:val="none"/>
          <w:u w:val="single"/>
          <w:lang w:val="en-US" w:eastAsia="zh-CN"/>
        </w:rPr>
      </w:pPr>
      <w:r>
        <w:rPr>
          <w:rFonts w:hint="eastAsia" w:asciiTheme="minorEastAsia" w:hAnsiTheme="minorEastAsia" w:eastAsiaTheme="minorEastAsia" w:cstheme="minorEastAsia"/>
          <w:sz w:val="28"/>
          <w:szCs w:val="28"/>
          <w:highlight w:val="none"/>
        </w:rPr>
        <w:t>1、项目标准：</w:t>
      </w:r>
      <w:r>
        <w:rPr>
          <w:rFonts w:hint="eastAsia" w:asciiTheme="minorEastAsia" w:hAnsiTheme="minorEastAsia" w:eastAsiaTheme="minorEastAsia" w:cstheme="minorEastAsia"/>
          <w:sz w:val="28"/>
          <w:szCs w:val="28"/>
          <w:highlight w:val="none"/>
          <w:u w:val="single"/>
          <w:lang w:val="en-US" w:eastAsia="zh-CN"/>
        </w:rPr>
        <w:t xml:space="preserve">按照招标文件第四章 </w:t>
      </w:r>
      <w:r>
        <w:rPr>
          <w:rFonts w:hint="eastAsia" w:asciiTheme="minorEastAsia" w:hAnsiTheme="minorEastAsia" w:eastAsiaTheme="minorEastAsia" w:cstheme="minorEastAsia"/>
          <w:sz w:val="28"/>
          <w:szCs w:val="28"/>
          <w:highlight w:val="none"/>
          <w:u w:val="single"/>
          <w:lang w:eastAsia="zh-CN"/>
        </w:rPr>
        <w:t>项目服务需求</w:t>
      </w:r>
      <w:r>
        <w:rPr>
          <w:rFonts w:hint="eastAsia" w:asciiTheme="minorEastAsia" w:hAnsiTheme="minorEastAsia" w:eastAsiaTheme="minorEastAsia" w:cstheme="minorEastAsia"/>
          <w:sz w:val="28"/>
          <w:szCs w:val="28"/>
          <w:highlight w:val="none"/>
          <w:u w:val="single"/>
          <w:lang w:val="en-US" w:eastAsia="zh-CN"/>
        </w:rPr>
        <w:t>及</w:t>
      </w:r>
      <w:r>
        <w:rPr>
          <w:rFonts w:hint="eastAsia" w:asciiTheme="minorEastAsia" w:hAnsiTheme="minorEastAsia" w:eastAsiaTheme="minorEastAsia" w:cstheme="minorEastAsia"/>
          <w:sz w:val="28"/>
          <w:szCs w:val="28"/>
          <w:highlight w:val="none"/>
          <w:u w:val="single"/>
          <w:lang w:eastAsia="zh-CN"/>
        </w:rPr>
        <w:t>项目服务需求</w:t>
      </w:r>
      <w:r>
        <w:rPr>
          <w:rFonts w:hint="eastAsia" w:asciiTheme="minorEastAsia" w:hAnsiTheme="minorEastAsia" w:eastAsiaTheme="minorEastAsia" w:cstheme="minorEastAsia"/>
          <w:sz w:val="28"/>
          <w:szCs w:val="28"/>
          <w:highlight w:val="none"/>
          <w:u w:val="single"/>
          <w:lang w:val="en-US" w:eastAsia="zh-CN"/>
        </w:rPr>
        <w:t>附件表完成</w:t>
      </w:r>
    </w:p>
    <w:p w14:paraId="35C715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highlight w:val="none"/>
          <w:u w:val="single"/>
          <w:lang w:val="en-US" w:eastAsia="zh-CN"/>
        </w:rPr>
      </w:pPr>
      <w:r>
        <w:rPr>
          <w:rFonts w:hint="eastAsia" w:asciiTheme="minorEastAsia" w:hAnsiTheme="minorEastAsia" w:eastAsiaTheme="minorEastAsia" w:cstheme="minorEastAsia"/>
          <w:sz w:val="28"/>
          <w:szCs w:val="28"/>
          <w:highlight w:val="none"/>
        </w:rPr>
        <w:t>2、服务期限：</w:t>
      </w:r>
      <w:r>
        <w:rPr>
          <w:rFonts w:hint="eastAsia" w:asciiTheme="minorEastAsia" w:hAnsiTheme="minorEastAsia" w:eastAsiaTheme="minorEastAsia" w:cstheme="minorEastAsia"/>
          <w:sz w:val="28"/>
          <w:szCs w:val="28"/>
          <w:highlight w:val="none"/>
          <w:lang w:val="en-US" w:eastAsia="zh-CN"/>
        </w:rPr>
        <w:t>2026年</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lang w:val="en-US" w:eastAsia="zh-CN"/>
        </w:rPr>
        <w:t>日至2026年10月31日（2026年7月31日前完成项目建设，2026年10月31日前具备验收条件）</w:t>
      </w:r>
    </w:p>
    <w:p w14:paraId="5AD07C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3、服务地点：</w:t>
      </w:r>
      <w:r>
        <w:rPr>
          <w:rFonts w:hint="eastAsia" w:asciiTheme="minorEastAsia" w:hAnsiTheme="minorEastAsia" w:eastAsiaTheme="minorEastAsia" w:cstheme="minorEastAsia"/>
          <w:sz w:val="28"/>
          <w:szCs w:val="28"/>
          <w:highlight w:val="none"/>
          <w:u w:val="single"/>
        </w:rPr>
        <w:t>乌鲁木齐甘泉堡经济技术开发区（工业区）</w:t>
      </w:r>
    </w:p>
    <w:p w14:paraId="3E9C4B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eastAsiaTheme="minorEastAsia" w:cstheme="minorEastAsia"/>
          <w:sz w:val="28"/>
          <w:szCs w:val="28"/>
          <w:highlight w:val="none"/>
          <w:u w:val="none"/>
          <w:lang w:val="en-US" w:eastAsia="zh-CN"/>
        </w:rPr>
        <w:t>4、项目完成方式：</w:t>
      </w:r>
      <w:r>
        <w:rPr>
          <w:rFonts w:hint="eastAsia" w:asciiTheme="minorEastAsia" w:hAnsiTheme="minorEastAsia" w:eastAsiaTheme="minorEastAsia" w:cstheme="minorEastAsia"/>
          <w:sz w:val="28"/>
          <w:szCs w:val="28"/>
          <w:highlight w:val="none"/>
          <w:u w:val="single"/>
          <w:lang w:val="en-US" w:eastAsia="zh-CN"/>
        </w:rPr>
        <w:t xml:space="preserve">按照招标文件第四章 </w:t>
      </w:r>
      <w:r>
        <w:rPr>
          <w:rFonts w:hint="eastAsia" w:asciiTheme="minorEastAsia" w:hAnsiTheme="minorEastAsia" w:eastAsiaTheme="minorEastAsia" w:cstheme="minorEastAsia"/>
          <w:sz w:val="28"/>
          <w:szCs w:val="28"/>
          <w:highlight w:val="none"/>
          <w:u w:val="single"/>
          <w:lang w:eastAsia="zh-CN"/>
        </w:rPr>
        <w:t>项目服务需求</w:t>
      </w:r>
      <w:r>
        <w:rPr>
          <w:rFonts w:hint="eastAsia" w:asciiTheme="minorEastAsia" w:hAnsiTheme="minorEastAsia" w:eastAsiaTheme="minorEastAsia" w:cstheme="minorEastAsia"/>
          <w:sz w:val="28"/>
          <w:szCs w:val="28"/>
          <w:highlight w:val="none"/>
          <w:u w:val="single"/>
          <w:lang w:val="en-US" w:eastAsia="zh-CN"/>
        </w:rPr>
        <w:t>及</w:t>
      </w:r>
      <w:r>
        <w:rPr>
          <w:rFonts w:hint="eastAsia" w:asciiTheme="minorEastAsia" w:hAnsiTheme="minorEastAsia" w:eastAsiaTheme="minorEastAsia" w:cstheme="minorEastAsia"/>
          <w:sz w:val="28"/>
          <w:szCs w:val="28"/>
          <w:highlight w:val="none"/>
          <w:u w:val="single"/>
          <w:lang w:eastAsia="zh-CN"/>
        </w:rPr>
        <w:t>项目服务需求</w:t>
      </w:r>
      <w:r>
        <w:rPr>
          <w:rFonts w:hint="eastAsia" w:asciiTheme="minorEastAsia" w:hAnsiTheme="minorEastAsia" w:eastAsiaTheme="minorEastAsia" w:cstheme="minorEastAsia"/>
          <w:sz w:val="28"/>
          <w:szCs w:val="28"/>
          <w:highlight w:val="none"/>
          <w:u w:val="single"/>
          <w:lang w:val="en-US" w:eastAsia="zh-CN"/>
        </w:rPr>
        <w:t>附件表完成。</w:t>
      </w:r>
    </w:p>
    <w:p w14:paraId="1C0A9A5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1.4价款</w:t>
      </w:r>
    </w:p>
    <w:p w14:paraId="4B2B9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本合同总价为：￥</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val="en-US" w:eastAsia="zh-CN"/>
        </w:rPr>
        <w:t>含税价，</w:t>
      </w:r>
      <w:r>
        <w:rPr>
          <w:rFonts w:hint="eastAsia" w:asciiTheme="minorEastAsia" w:hAnsiTheme="minorEastAsia" w:eastAsiaTheme="minorEastAsia" w:cstheme="minorEastAsia"/>
          <w:sz w:val="28"/>
          <w:szCs w:val="28"/>
          <w:highlight w:val="none"/>
        </w:rPr>
        <w:t>大写：</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rPr>
        <w:t>）。</w:t>
      </w:r>
    </w:p>
    <w:p w14:paraId="3D4995C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br w:type="page"/>
      </w:r>
    </w:p>
    <w:p w14:paraId="49F60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2、分项价格</w:t>
      </w:r>
    </w:p>
    <w:tbl>
      <w:tblPr>
        <w:tblStyle w:val="3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4"/>
        <w:gridCol w:w="5680"/>
        <w:gridCol w:w="400"/>
        <w:gridCol w:w="400"/>
        <w:gridCol w:w="401"/>
        <w:gridCol w:w="961"/>
      </w:tblGrid>
      <w:tr w14:paraId="5A16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375" w:type="pct"/>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60" w:type="dxa"/>
              <w:bottom w:w="60" w:type="dxa"/>
              <w:right w:w="60" w:type="dxa"/>
            </w:tcMar>
            <w:vAlign w:val="center"/>
          </w:tcPr>
          <w:p w14:paraId="236BC28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服务内容</w:t>
            </w:r>
          </w:p>
        </w:tc>
        <w:tc>
          <w:tcPr>
            <w:tcW w:w="3399"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0C94F66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主要工作内容</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22748CD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服务周期</w:t>
            </w:r>
          </w:p>
        </w:tc>
        <w:tc>
          <w:tcPr>
            <w:tcW w:w="221"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0E9E830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单位</w:t>
            </w:r>
          </w:p>
        </w:tc>
        <w:tc>
          <w:tcPr>
            <w:tcW w:w="221"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2032932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B3C9A4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总价（元）</w:t>
            </w:r>
          </w:p>
        </w:tc>
      </w:tr>
      <w:tr w14:paraId="6920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7FA1C3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智能化管控升级运营</w:t>
            </w:r>
          </w:p>
        </w:tc>
        <w:tc>
          <w:tcPr>
            <w:tcW w:w="3399"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3FCB268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rPr>
              <w:t>本项目以《化工园区安全风险智能化管控平台建设指南（试行）》、《应急管理部财政部关于印发&lt;重点化工产业聚集区重大安全风险防控工作总体方案&gt;的通知》</w:t>
            </w:r>
            <w:r>
              <w:rPr>
                <w:rFonts w:hint="eastAsia" w:asciiTheme="minorEastAsia" w:hAnsiTheme="minorEastAsia" w:eastAsiaTheme="minorEastAsia" w:cstheme="minorEastAsia"/>
                <w:b w:val="0"/>
                <w:bCs w:val="0"/>
                <w:color w:val="auto"/>
                <w:sz w:val="28"/>
                <w:szCs w:val="28"/>
                <w:highlight w:val="none"/>
                <w:lang w:val="en-US" w:eastAsia="zh-CN"/>
              </w:rPr>
              <w:t>等国家或行业标准</w:t>
            </w:r>
            <w:r>
              <w:rPr>
                <w:rFonts w:hint="eastAsia" w:asciiTheme="minorEastAsia" w:hAnsiTheme="minorEastAsia" w:eastAsiaTheme="minorEastAsia" w:cstheme="minorEastAsia"/>
                <w:b w:val="0"/>
                <w:bCs w:val="0"/>
                <w:color w:val="auto"/>
                <w:sz w:val="28"/>
                <w:szCs w:val="28"/>
                <w:highlight w:val="none"/>
              </w:rPr>
              <w:t>为依据，为甘泉堡经济技术开发区化工产业集中区部署安全风险分析预警及预警信息智能发布系统，推进全维度安全监管数据治理，构建科学完善的重大安全风险防控体系，搭建智能化风险隐患治理机制，落实动态风险管控相关建设，完善区域流通风险管理举措，优化应急响应数据治理流程，开发实用性强的“应急通”小程序，建设园区订阅式（SaaS）安全风险智能化管控企服系统，增设智能AI助手，辅助实现风险研判、指令下发、咨询应答等高效处置，融入产业服务相关建设，搭建园区产业协同服务模块，助力企业供需对接、技术赋能，补充环保管理与能源管理相关设施及系统，实现园区污染物排放监测、环保合规管控及能源消耗统计、节能优化，开展园区三维建模工作，搭建标准化空间数据库，配置重点区域易燃易爆有毒有害气体泄漏监测管控设备，全面提升园区安全管控、产业发展、环保治理、能源利用的智能化、精细化与规范化水平</w:t>
            </w:r>
            <w:r>
              <w:rPr>
                <w:rFonts w:hint="eastAsia" w:asciiTheme="minorEastAsia" w:hAnsiTheme="minorEastAsia" w:eastAsiaTheme="minorEastAsia" w:cstheme="minorEastAsia"/>
                <w:b w:val="0"/>
                <w:bCs w:val="0"/>
                <w:color w:val="auto"/>
                <w:sz w:val="28"/>
                <w:szCs w:val="28"/>
                <w:highlight w:val="none"/>
                <w:lang w:eastAsia="zh-CN"/>
              </w:rPr>
              <w:t>。</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D13195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p>
        </w:tc>
        <w:tc>
          <w:tcPr>
            <w:tcW w:w="221"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5D6E9F4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w:t>
            </w:r>
          </w:p>
        </w:tc>
        <w:tc>
          <w:tcPr>
            <w:tcW w:w="221"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4F51CEC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p>
        </w:tc>
        <w:tc>
          <w:tcPr>
            <w:tcW w:w="514"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2F39363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0" w:firstLineChars="0"/>
              <w:jc w:val="center"/>
              <w:textAlignment w:val="auto"/>
              <w:rPr>
                <w:rFonts w:hint="eastAsia" w:asciiTheme="minorEastAsia" w:hAnsiTheme="minorEastAsia" w:eastAsiaTheme="minorEastAsia" w:cstheme="minorEastAsia"/>
                <w:sz w:val="28"/>
                <w:szCs w:val="28"/>
                <w:highlight w:val="none"/>
                <w:lang w:val="en-US" w:eastAsia="zh-CN"/>
              </w:rPr>
            </w:pPr>
          </w:p>
        </w:tc>
      </w:tr>
      <w:tr w14:paraId="5B7D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4D232D15">
            <w:pPr>
              <w:keepNext w:val="0"/>
              <w:keepLines w:val="0"/>
              <w:pageBreakBefore w:val="0"/>
              <w:widowControl w:val="0"/>
              <w:numPr>
                <w:ilvl w:val="0"/>
                <w:numId w:val="0"/>
              </w:numPr>
              <w:tabs>
                <w:tab w:val="left" w:pos="1231"/>
              </w:tabs>
              <w:kinsoku/>
              <w:wordWrap/>
              <w:overflowPunct/>
              <w:topLinePunct w:val="0"/>
              <w:autoSpaceDE/>
              <w:autoSpaceDN/>
              <w:bidi w:val="0"/>
              <w:adjustRightInd/>
              <w:snapToGrid w:val="0"/>
              <w:spacing w:line="440" w:lineRule="exact"/>
              <w:ind w:right="0" w:rightChars="0" w:firstLine="0" w:firstLineChars="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总价（含税）：            元（大写：            ）</w:t>
            </w:r>
          </w:p>
        </w:tc>
      </w:tr>
    </w:tbl>
    <w:p w14:paraId="6EEF77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、付款方式和发票开具方式</w:t>
      </w:r>
    </w:p>
    <w:p w14:paraId="0ECF5B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（1）项目经费确保专款专用，支付方式（</w:t>
      </w:r>
      <w:r>
        <w:rPr>
          <w:rFonts w:hint="eastAsia" w:asciiTheme="minorEastAsia" w:hAnsiTheme="minorEastAsia" w:eastAsiaTheme="minorEastAsia" w:cstheme="minorEastAsia"/>
          <w:sz w:val="28"/>
          <w:szCs w:val="28"/>
          <w:highlight w:val="none"/>
          <w:u w:val="single"/>
        </w:rPr>
        <w:t>①</w:t>
      </w:r>
      <w:r>
        <w:rPr>
          <w:rFonts w:hint="eastAsia" w:asciiTheme="minorEastAsia" w:hAnsiTheme="minorEastAsia" w:eastAsiaTheme="minorEastAsia" w:cstheme="minorEastAsia"/>
          <w:sz w:val="28"/>
          <w:szCs w:val="28"/>
          <w:highlight w:val="none"/>
        </w:rPr>
        <w:t>）</w:t>
      </w:r>
    </w:p>
    <w:p w14:paraId="40AF15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①分段支付；②按月支付；③按季支付；④项目完成结算。</w:t>
      </w:r>
    </w:p>
    <w:p w14:paraId="156CDBC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sz w:val="28"/>
          <w:szCs w:val="28"/>
          <w:highlight w:val="none"/>
          <w:lang w:val="en-US" w:eastAsia="zh-CN"/>
        </w:rPr>
        <w:t>第一次付款：项目软件平台完成部署后，</w:t>
      </w:r>
      <w:r>
        <w:rPr>
          <w:rFonts w:hint="eastAsia" w:asciiTheme="minorEastAsia" w:hAnsiTheme="minorEastAsia" w:eastAsiaTheme="minorEastAsia" w:cstheme="minorEastAsia"/>
          <w:sz w:val="28"/>
          <w:szCs w:val="28"/>
          <w:highlight w:val="none"/>
        </w:rPr>
        <w:t>甲方</w:t>
      </w:r>
      <w:r>
        <w:rPr>
          <w:rFonts w:hint="eastAsia" w:asciiTheme="minorEastAsia" w:hAnsiTheme="minorEastAsia" w:eastAsiaTheme="minorEastAsia" w:cstheme="minorEastAsia"/>
          <w:sz w:val="28"/>
          <w:szCs w:val="28"/>
          <w:highlight w:val="none"/>
          <w:lang w:val="en-US" w:eastAsia="zh-CN"/>
        </w:rPr>
        <w:t>在</w:t>
      </w:r>
      <w:r>
        <w:rPr>
          <w:rFonts w:hint="eastAsia" w:asciiTheme="minorEastAsia" w:hAnsiTheme="minorEastAsia" w:eastAsiaTheme="minorEastAsia" w:cstheme="minorEastAsia"/>
          <w:b w:val="0"/>
          <w:bCs w:val="0"/>
          <w:sz w:val="28"/>
          <w:szCs w:val="28"/>
          <w:highlight w:val="none"/>
          <w:u w:val="single"/>
          <w:lang w:val="en-US" w:eastAsia="zh-CN"/>
        </w:rPr>
        <w:t>30</w:t>
      </w:r>
      <w:r>
        <w:rPr>
          <w:rFonts w:hint="eastAsia" w:asciiTheme="minorEastAsia" w:hAnsiTheme="minorEastAsia" w:eastAsiaTheme="minorEastAsia" w:cstheme="minorEastAsia"/>
          <w:b w:val="0"/>
          <w:bCs w:val="0"/>
          <w:sz w:val="28"/>
          <w:szCs w:val="28"/>
          <w:highlight w:val="none"/>
          <w:lang w:val="en-US" w:eastAsia="zh-CN"/>
        </w:rPr>
        <w:t>个工作日内</w:t>
      </w:r>
      <w:r>
        <w:rPr>
          <w:rFonts w:hint="eastAsia" w:asciiTheme="minorEastAsia" w:hAnsiTheme="minorEastAsia" w:eastAsiaTheme="minorEastAsia" w:cstheme="minorEastAsia"/>
          <w:sz w:val="28"/>
          <w:szCs w:val="28"/>
          <w:highlight w:val="none"/>
        </w:rPr>
        <w:t>向乙方支付合同</w:t>
      </w:r>
      <w:r>
        <w:rPr>
          <w:rFonts w:hint="eastAsia" w:asciiTheme="minorEastAsia" w:hAnsiTheme="minorEastAsia" w:eastAsiaTheme="minorEastAsia" w:cstheme="minorEastAsia"/>
          <w:color w:val="auto"/>
          <w:sz w:val="28"/>
          <w:szCs w:val="28"/>
          <w:highlight w:val="none"/>
        </w:rPr>
        <w:t>总价</w:t>
      </w:r>
      <w:r>
        <w:rPr>
          <w:rFonts w:hint="eastAsia" w:asciiTheme="minorEastAsia" w:hAnsiTheme="minorEastAsia" w:eastAsiaTheme="minorEastAsia" w:cstheme="minorEastAsia"/>
          <w:color w:val="auto"/>
          <w:sz w:val="28"/>
          <w:szCs w:val="28"/>
          <w:highlight w:val="none"/>
          <w:u w:val="single"/>
          <w:lang w:val="en-US" w:eastAsia="zh-CN"/>
        </w:rPr>
        <w:t>20</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u w:val="none"/>
          <w:lang w:val="en-US" w:eastAsia="zh-CN"/>
        </w:rPr>
        <w:t>项目服务费用</w:t>
      </w:r>
      <w:r>
        <w:rPr>
          <w:rFonts w:hint="eastAsia" w:asciiTheme="minorEastAsia" w:hAnsiTheme="minorEastAsia" w:eastAsiaTheme="minorEastAsia" w:cstheme="minorEastAsia"/>
          <w:color w:val="auto"/>
          <w:sz w:val="28"/>
          <w:szCs w:val="28"/>
          <w:highlight w:val="none"/>
        </w:rPr>
        <w:t>，小计：￥</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元（大写：</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因财政预算调整、资金拨付延迟，甲方付款时限顺延</w:t>
      </w:r>
      <w:r>
        <w:rPr>
          <w:rFonts w:hint="eastAsia" w:asciiTheme="minorEastAsia" w:hAnsiTheme="minorEastAsia" w:eastAsiaTheme="minorEastAsia" w:cstheme="minorEastAsia"/>
          <w:color w:val="auto"/>
          <w:sz w:val="28"/>
          <w:szCs w:val="28"/>
          <w:highlight w:val="none"/>
        </w:rPr>
        <w:t>；</w:t>
      </w:r>
    </w:p>
    <w:p w14:paraId="1C155B2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第二次付款：</w:t>
      </w:r>
      <w:r>
        <w:rPr>
          <w:rFonts w:hint="eastAsia" w:asciiTheme="minorEastAsia" w:hAnsiTheme="minorEastAsia" w:eastAsiaTheme="minorEastAsia" w:cstheme="minorEastAsia"/>
          <w:b/>
          <w:bCs/>
          <w:color w:val="auto"/>
          <w:sz w:val="28"/>
          <w:szCs w:val="28"/>
          <w:highlight w:val="none"/>
          <w:u w:val="single"/>
          <w:lang w:val="en-US" w:eastAsia="zh-CN"/>
        </w:rPr>
        <w:t>项目软、硬件整体安装、调测试完成后</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color w:val="auto"/>
          <w:sz w:val="28"/>
          <w:szCs w:val="28"/>
          <w:highlight w:val="none"/>
        </w:rPr>
        <w:t>甲方</w:t>
      </w:r>
      <w:r>
        <w:rPr>
          <w:rFonts w:hint="eastAsia" w:asciiTheme="minorEastAsia" w:hAnsiTheme="minorEastAsia" w:eastAsiaTheme="minorEastAsia" w:cstheme="minorEastAsia"/>
          <w:sz w:val="28"/>
          <w:szCs w:val="28"/>
          <w:highlight w:val="none"/>
          <w:lang w:val="en-US" w:eastAsia="zh-CN"/>
        </w:rPr>
        <w:t>在</w:t>
      </w:r>
      <w:r>
        <w:rPr>
          <w:rFonts w:hint="eastAsia" w:asciiTheme="minorEastAsia" w:hAnsiTheme="minorEastAsia" w:eastAsiaTheme="minorEastAsia" w:cstheme="minorEastAsia"/>
          <w:b w:val="0"/>
          <w:bCs w:val="0"/>
          <w:sz w:val="28"/>
          <w:szCs w:val="28"/>
          <w:highlight w:val="none"/>
          <w:u w:val="single"/>
          <w:lang w:val="en-US" w:eastAsia="zh-CN"/>
        </w:rPr>
        <w:t>30</w:t>
      </w:r>
      <w:r>
        <w:rPr>
          <w:rFonts w:hint="eastAsia" w:asciiTheme="minorEastAsia" w:hAnsiTheme="minorEastAsia" w:eastAsiaTheme="minorEastAsia" w:cstheme="minorEastAsia"/>
          <w:b w:val="0"/>
          <w:bCs w:val="0"/>
          <w:sz w:val="28"/>
          <w:szCs w:val="28"/>
          <w:highlight w:val="none"/>
          <w:lang w:val="en-US" w:eastAsia="zh-CN"/>
        </w:rPr>
        <w:t>个工作日内</w:t>
      </w:r>
      <w:r>
        <w:rPr>
          <w:rFonts w:hint="eastAsia" w:asciiTheme="minorEastAsia" w:hAnsiTheme="minorEastAsia" w:eastAsiaTheme="minorEastAsia" w:cstheme="minorEastAsia"/>
          <w:color w:val="auto"/>
          <w:sz w:val="28"/>
          <w:szCs w:val="28"/>
          <w:highlight w:val="none"/>
        </w:rPr>
        <w:t>向乙方支付合同总价</w:t>
      </w:r>
      <w:r>
        <w:rPr>
          <w:rFonts w:hint="eastAsia" w:asciiTheme="minorEastAsia" w:hAnsiTheme="minorEastAsia" w:eastAsiaTheme="minorEastAsia" w:cstheme="minorEastAsia"/>
          <w:color w:val="auto"/>
          <w:sz w:val="28"/>
          <w:szCs w:val="28"/>
          <w:highlight w:val="none"/>
          <w:u w:val="single"/>
          <w:lang w:val="en-US" w:eastAsia="zh-CN"/>
        </w:rPr>
        <w:t>20</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rPr>
        <w:t>项目</w:t>
      </w:r>
      <w:r>
        <w:rPr>
          <w:rFonts w:hint="eastAsia" w:asciiTheme="minorEastAsia" w:hAnsiTheme="minorEastAsia" w:eastAsiaTheme="minorEastAsia" w:cstheme="minorEastAsia"/>
          <w:color w:val="auto"/>
          <w:sz w:val="28"/>
          <w:szCs w:val="28"/>
          <w:highlight w:val="none"/>
          <w:lang w:val="en-US" w:eastAsia="zh-CN"/>
        </w:rPr>
        <w:t>服务费用</w:t>
      </w:r>
      <w:r>
        <w:rPr>
          <w:rFonts w:hint="eastAsia" w:asciiTheme="minorEastAsia" w:hAnsiTheme="minorEastAsia" w:eastAsiaTheme="minorEastAsia" w:cstheme="minorEastAsia"/>
          <w:color w:val="auto"/>
          <w:sz w:val="28"/>
          <w:szCs w:val="28"/>
          <w:highlight w:val="none"/>
        </w:rPr>
        <w:t>，小计：￥</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元（大写：</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w:t>
      </w:r>
    </w:p>
    <w:p w14:paraId="5DD834B4">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第三次付款：</w:t>
      </w:r>
      <w:r>
        <w:rPr>
          <w:rFonts w:hint="eastAsia" w:asciiTheme="minorEastAsia" w:hAnsiTheme="minorEastAsia" w:eastAsiaTheme="minorEastAsia" w:cstheme="minorEastAsia"/>
          <w:b/>
          <w:bCs/>
          <w:color w:val="auto"/>
          <w:sz w:val="28"/>
          <w:szCs w:val="28"/>
          <w:highlight w:val="none"/>
          <w:u w:val="single"/>
          <w:lang w:val="en-US" w:eastAsia="zh-CN"/>
        </w:rPr>
        <w:t>项目所有数据接入完成后，</w:t>
      </w:r>
      <w:r>
        <w:rPr>
          <w:rFonts w:hint="eastAsia" w:asciiTheme="minorEastAsia" w:hAnsiTheme="minorEastAsia" w:eastAsiaTheme="minorEastAsia" w:cstheme="minorEastAsia"/>
          <w:color w:val="auto"/>
          <w:sz w:val="28"/>
          <w:szCs w:val="28"/>
          <w:highlight w:val="none"/>
        </w:rPr>
        <w:t>甲方</w:t>
      </w:r>
      <w:r>
        <w:rPr>
          <w:rFonts w:hint="eastAsia" w:asciiTheme="minorEastAsia" w:hAnsiTheme="minorEastAsia" w:eastAsiaTheme="minorEastAsia" w:cstheme="minorEastAsia"/>
          <w:sz w:val="28"/>
          <w:szCs w:val="28"/>
          <w:highlight w:val="none"/>
          <w:lang w:val="en-US" w:eastAsia="zh-CN"/>
        </w:rPr>
        <w:t>在</w:t>
      </w:r>
      <w:r>
        <w:rPr>
          <w:rFonts w:hint="eastAsia" w:asciiTheme="minorEastAsia" w:hAnsiTheme="minorEastAsia" w:eastAsiaTheme="minorEastAsia" w:cstheme="minorEastAsia"/>
          <w:b w:val="0"/>
          <w:bCs w:val="0"/>
          <w:sz w:val="28"/>
          <w:szCs w:val="28"/>
          <w:highlight w:val="none"/>
          <w:u w:val="single"/>
          <w:lang w:val="en-US" w:eastAsia="zh-CN"/>
        </w:rPr>
        <w:t>30</w:t>
      </w:r>
      <w:r>
        <w:rPr>
          <w:rFonts w:hint="eastAsia" w:asciiTheme="minorEastAsia" w:hAnsiTheme="minorEastAsia" w:eastAsiaTheme="minorEastAsia" w:cstheme="minorEastAsia"/>
          <w:b w:val="0"/>
          <w:bCs w:val="0"/>
          <w:sz w:val="28"/>
          <w:szCs w:val="28"/>
          <w:highlight w:val="none"/>
          <w:lang w:val="en-US" w:eastAsia="zh-CN"/>
        </w:rPr>
        <w:t>个工作日内</w:t>
      </w:r>
      <w:r>
        <w:rPr>
          <w:rFonts w:hint="eastAsia" w:asciiTheme="minorEastAsia" w:hAnsiTheme="minorEastAsia" w:eastAsiaTheme="minorEastAsia" w:cstheme="minorEastAsia"/>
          <w:color w:val="auto"/>
          <w:sz w:val="28"/>
          <w:szCs w:val="28"/>
          <w:highlight w:val="none"/>
        </w:rPr>
        <w:t>向乙方支付</w:t>
      </w:r>
      <w:r>
        <w:rPr>
          <w:rFonts w:hint="eastAsia" w:asciiTheme="minorEastAsia" w:hAnsiTheme="minorEastAsia" w:eastAsiaTheme="minorEastAsia" w:cstheme="minorEastAsia"/>
          <w:color w:val="auto"/>
          <w:sz w:val="28"/>
          <w:szCs w:val="28"/>
          <w:highlight w:val="none"/>
          <w:u w:val="single"/>
          <w:lang w:val="en-US" w:eastAsia="zh-CN"/>
        </w:rPr>
        <w:t>2</w:t>
      </w:r>
      <w:r>
        <w:rPr>
          <w:rFonts w:hint="eastAsia" w:asciiTheme="minorEastAsia" w:hAnsiTheme="minorEastAsia" w:eastAsiaTheme="minorEastAsia" w:cstheme="minorEastAsia"/>
          <w:color w:val="auto"/>
          <w:sz w:val="28"/>
          <w:szCs w:val="28"/>
          <w:highlight w:val="none"/>
          <w:u w:val="single"/>
        </w:rPr>
        <w:t>0%</w:t>
      </w:r>
      <w:r>
        <w:rPr>
          <w:rFonts w:hint="eastAsia" w:asciiTheme="minorEastAsia" w:hAnsiTheme="minorEastAsia" w:eastAsiaTheme="minorEastAsia" w:cstheme="minorEastAsia"/>
          <w:color w:val="auto"/>
          <w:sz w:val="28"/>
          <w:szCs w:val="28"/>
          <w:highlight w:val="none"/>
          <w:lang w:val="en-US" w:eastAsia="zh-CN"/>
        </w:rPr>
        <w:t>项目</w:t>
      </w:r>
      <w:r>
        <w:rPr>
          <w:rFonts w:hint="eastAsia" w:asciiTheme="minorEastAsia" w:hAnsiTheme="minorEastAsia" w:eastAsiaTheme="minorEastAsia" w:cstheme="minorEastAsia"/>
          <w:color w:val="auto"/>
          <w:sz w:val="28"/>
          <w:szCs w:val="28"/>
          <w:highlight w:val="none"/>
        </w:rPr>
        <w:t>服务费用，小计：￥</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元（大写：</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p>
    <w:p w14:paraId="06C7F74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四</w:t>
      </w:r>
      <w:r>
        <w:rPr>
          <w:rFonts w:hint="eastAsia" w:asciiTheme="minorEastAsia" w:hAnsiTheme="minorEastAsia" w:eastAsiaTheme="minorEastAsia" w:cstheme="minorEastAsia"/>
          <w:b/>
          <w:bCs/>
          <w:color w:val="auto"/>
          <w:sz w:val="28"/>
          <w:szCs w:val="28"/>
          <w:highlight w:val="none"/>
        </w:rPr>
        <w:t>次付款：</w:t>
      </w:r>
      <w:r>
        <w:rPr>
          <w:rFonts w:hint="eastAsia" w:asciiTheme="minorEastAsia" w:hAnsiTheme="minorEastAsia" w:eastAsiaTheme="minorEastAsia" w:cstheme="minorEastAsia"/>
          <w:b/>
          <w:bCs/>
          <w:sz w:val="28"/>
          <w:szCs w:val="28"/>
          <w:highlight w:val="none"/>
          <w:u w:val="single"/>
          <w:lang w:val="en-US" w:eastAsia="zh-CN"/>
        </w:rPr>
        <w:t>项目所有验收工作完成</w:t>
      </w:r>
      <w:r>
        <w:rPr>
          <w:rFonts w:hint="eastAsia" w:asciiTheme="minorEastAsia" w:hAnsiTheme="minorEastAsia" w:eastAsiaTheme="minorEastAsia" w:cstheme="minorEastAsia"/>
          <w:b/>
          <w:bCs/>
          <w:color w:val="auto"/>
          <w:spacing w:val="0"/>
          <w:w w:val="100"/>
          <w:position w:val="0"/>
          <w:sz w:val="28"/>
          <w:szCs w:val="28"/>
          <w:highlight w:val="none"/>
          <w:u w:val="single"/>
          <w:shd w:val="clear" w:color="auto" w:fill="auto"/>
          <w:lang w:val="en-US" w:eastAsia="zh-CN" w:bidi="en-US"/>
        </w:rPr>
        <w:t>，</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甲方</w:t>
      </w:r>
      <w:r>
        <w:rPr>
          <w:rFonts w:hint="eastAsia" w:asciiTheme="minorEastAsia" w:hAnsiTheme="minorEastAsia" w:eastAsiaTheme="minorEastAsia" w:cstheme="minorEastAsia"/>
          <w:sz w:val="28"/>
          <w:szCs w:val="28"/>
          <w:highlight w:val="none"/>
          <w:lang w:val="en-US" w:eastAsia="zh-CN"/>
        </w:rPr>
        <w:t>在</w:t>
      </w:r>
      <w:r>
        <w:rPr>
          <w:rFonts w:hint="eastAsia" w:asciiTheme="minorEastAsia" w:hAnsiTheme="minorEastAsia" w:eastAsiaTheme="minorEastAsia" w:cstheme="minorEastAsia"/>
          <w:b w:val="0"/>
          <w:bCs w:val="0"/>
          <w:sz w:val="28"/>
          <w:szCs w:val="28"/>
          <w:highlight w:val="none"/>
          <w:u w:val="single"/>
          <w:lang w:val="en-US" w:eastAsia="zh-CN"/>
        </w:rPr>
        <w:t>30</w:t>
      </w:r>
      <w:r>
        <w:rPr>
          <w:rFonts w:hint="eastAsia" w:asciiTheme="minorEastAsia" w:hAnsiTheme="minorEastAsia" w:eastAsiaTheme="minorEastAsia" w:cstheme="minorEastAsia"/>
          <w:b w:val="0"/>
          <w:bCs w:val="0"/>
          <w:sz w:val="28"/>
          <w:szCs w:val="28"/>
          <w:highlight w:val="none"/>
          <w:lang w:val="en-US" w:eastAsia="zh-CN"/>
        </w:rPr>
        <w:t>个工作日内</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向乙方支付合同总价</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zh-CN" w:bidi="en-US"/>
        </w:rPr>
        <w:t>35</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en-US" w:bidi="en-US"/>
        </w:rPr>
        <w:t>%</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项目</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zh-CN" w:bidi="en-US"/>
        </w:rPr>
        <w:t>服务费用</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en-US" w:bidi="en-US"/>
        </w:rPr>
        <w:t>小计：￥</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zh-CN" w:bidi="en-US"/>
        </w:rPr>
        <w:t xml:space="preserve">         </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en-US" w:bidi="en-US"/>
        </w:rPr>
        <w:t>元（大写：</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zh-CN" w:bidi="en-US"/>
        </w:rPr>
        <w:t xml:space="preserve">           </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en-US" w:bidi="en-US"/>
        </w:rPr>
        <w:t>）</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zh-CN" w:bidi="en-US"/>
        </w:rPr>
        <w:t>。</w:t>
      </w:r>
    </w:p>
    <w:p w14:paraId="20458A0C">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zh-CN" w:bidi="en-US"/>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五</w:t>
      </w:r>
      <w:r>
        <w:rPr>
          <w:rFonts w:hint="eastAsia" w:asciiTheme="minorEastAsia" w:hAnsiTheme="minorEastAsia" w:eastAsiaTheme="minorEastAsia" w:cstheme="minorEastAsia"/>
          <w:b/>
          <w:bCs/>
          <w:color w:val="auto"/>
          <w:sz w:val="28"/>
          <w:szCs w:val="28"/>
          <w:highlight w:val="none"/>
        </w:rPr>
        <w:t>次付款：</w:t>
      </w:r>
      <w:r>
        <w:rPr>
          <w:rFonts w:hint="eastAsia" w:asciiTheme="minorEastAsia" w:hAnsiTheme="minorEastAsia" w:eastAsiaTheme="minorEastAsia" w:cstheme="minorEastAsia"/>
          <w:b/>
          <w:bCs/>
          <w:color w:val="auto"/>
          <w:sz w:val="28"/>
          <w:szCs w:val="28"/>
          <w:highlight w:val="none"/>
          <w:lang w:val="en-US" w:eastAsia="zh-CN"/>
        </w:rPr>
        <w:t>项目质量服务期满</w:t>
      </w:r>
      <w:r>
        <w:rPr>
          <w:rFonts w:hint="eastAsia" w:asciiTheme="minorEastAsia" w:hAnsiTheme="minorEastAsia" w:eastAsiaTheme="minorEastAsia" w:cstheme="minorEastAsia"/>
          <w:b/>
          <w:bCs/>
          <w:color w:val="auto"/>
          <w:spacing w:val="0"/>
          <w:w w:val="100"/>
          <w:position w:val="0"/>
          <w:sz w:val="28"/>
          <w:szCs w:val="28"/>
          <w:highlight w:val="none"/>
          <w:u w:val="single"/>
          <w:shd w:val="clear" w:color="auto" w:fill="auto"/>
          <w:lang w:val="en-US" w:eastAsia="zh-CN" w:bidi="en-US"/>
        </w:rPr>
        <w:t>，且运行正常，</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甲方</w:t>
      </w:r>
      <w:r>
        <w:rPr>
          <w:rFonts w:hint="eastAsia" w:asciiTheme="minorEastAsia" w:hAnsiTheme="minorEastAsia" w:eastAsiaTheme="minorEastAsia" w:cstheme="minorEastAsia"/>
          <w:sz w:val="28"/>
          <w:szCs w:val="28"/>
          <w:highlight w:val="none"/>
          <w:lang w:val="en-US" w:eastAsia="zh-CN"/>
        </w:rPr>
        <w:t>在</w:t>
      </w:r>
      <w:r>
        <w:rPr>
          <w:rFonts w:hint="eastAsia" w:asciiTheme="minorEastAsia" w:hAnsiTheme="minorEastAsia" w:eastAsiaTheme="minorEastAsia" w:cstheme="minorEastAsia"/>
          <w:b w:val="0"/>
          <w:bCs w:val="0"/>
          <w:sz w:val="28"/>
          <w:szCs w:val="28"/>
          <w:highlight w:val="none"/>
          <w:u w:val="single"/>
          <w:lang w:val="en-US" w:eastAsia="zh-CN"/>
        </w:rPr>
        <w:t>30</w:t>
      </w:r>
      <w:r>
        <w:rPr>
          <w:rFonts w:hint="eastAsia" w:asciiTheme="minorEastAsia" w:hAnsiTheme="minorEastAsia" w:eastAsiaTheme="minorEastAsia" w:cstheme="minorEastAsia"/>
          <w:b w:val="0"/>
          <w:bCs w:val="0"/>
          <w:sz w:val="28"/>
          <w:szCs w:val="28"/>
          <w:highlight w:val="none"/>
          <w:lang w:val="en-US" w:eastAsia="zh-CN"/>
        </w:rPr>
        <w:t>个工作日内</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向乙方支付合同总价</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zh-CN" w:bidi="en-US"/>
        </w:rPr>
        <w:t>5</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en-US" w:bidi="en-US"/>
        </w:rPr>
        <w:t>%</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项目</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zh-CN" w:bidi="en-US"/>
        </w:rPr>
        <w:t>服务费用</w:t>
      </w:r>
      <w:r>
        <w:rPr>
          <w:rFonts w:hint="eastAsia" w:asciiTheme="minorEastAsia" w:hAnsiTheme="minorEastAsia" w:eastAsiaTheme="minorEastAsia" w:cstheme="minorEastAsia"/>
          <w:color w:val="auto"/>
          <w:spacing w:val="0"/>
          <w:w w:val="100"/>
          <w:position w:val="0"/>
          <w:sz w:val="28"/>
          <w:szCs w:val="28"/>
          <w:highlight w:val="none"/>
          <w:u w:val="none"/>
          <w:shd w:val="clear" w:color="auto" w:fill="auto"/>
          <w:lang w:val="en-US" w:eastAsia="en-US" w:bidi="en-US"/>
        </w:rPr>
        <w:t>，</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en-US" w:bidi="en-US"/>
        </w:rPr>
        <w:t>小计：￥</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zh-CN" w:bidi="en-US"/>
        </w:rPr>
        <w:t xml:space="preserve">         </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en-US" w:bidi="en-US"/>
        </w:rPr>
        <w:t>元（大写：</w:t>
      </w:r>
      <w:r>
        <w:rPr>
          <w:rFonts w:hint="eastAsia" w:asciiTheme="minorEastAsia" w:hAnsiTheme="minorEastAsia" w:eastAsiaTheme="minorEastAsia" w:cstheme="minorEastAsia"/>
          <w:color w:val="auto"/>
          <w:spacing w:val="0"/>
          <w:w w:val="100"/>
          <w:position w:val="0"/>
          <w:sz w:val="28"/>
          <w:szCs w:val="28"/>
          <w:highlight w:val="none"/>
          <w:u w:val="single"/>
          <w:shd w:val="clear" w:color="auto" w:fill="auto"/>
          <w:lang w:val="en-US" w:eastAsia="zh-CN" w:bidi="en-US"/>
        </w:rPr>
        <w:t xml:space="preserve">           </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en-US" w:bidi="en-US"/>
        </w:rPr>
        <w:t>）</w:t>
      </w:r>
      <w:r>
        <w:rPr>
          <w:rFonts w:hint="eastAsia" w:asciiTheme="minorEastAsia" w:hAnsiTheme="minorEastAsia" w:eastAsiaTheme="minorEastAsia" w:cstheme="minorEastAsia"/>
          <w:color w:val="auto"/>
          <w:spacing w:val="0"/>
          <w:w w:val="100"/>
          <w:position w:val="0"/>
          <w:sz w:val="28"/>
          <w:szCs w:val="28"/>
          <w:highlight w:val="none"/>
          <w:shd w:val="clear" w:color="auto" w:fill="auto"/>
          <w:lang w:val="en-US" w:eastAsia="zh-CN" w:bidi="en-US"/>
        </w:rPr>
        <w:t>。</w:t>
      </w:r>
    </w:p>
    <w:p w14:paraId="7CAA98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（2）付款方式：</w:t>
      </w:r>
      <w:r>
        <w:rPr>
          <w:rFonts w:hint="eastAsia" w:asciiTheme="minorEastAsia" w:hAnsiTheme="minorEastAsia" w:eastAsiaTheme="minorEastAsia" w:cstheme="minorEastAsia"/>
          <w:sz w:val="28"/>
          <w:szCs w:val="28"/>
          <w:highlight w:val="none"/>
          <w:u w:val="single"/>
        </w:rPr>
        <w:t>电子转账支付</w:t>
      </w:r>
      <w:r>
        <w:rPr>
          <w:rFonts w:hint="eastAsia" w:asciiTheme="minorEastAsia" w:hAnsiTheme="minorEastAsia" w:eastAsiaTheme="minorEastAsia" w:cstheme="minorEastAsia"/>
          <w:sz w:val="28"/>
          <w:szCs w:val="28"/>
          <w:highlight w:val="none"/>
        </w:rPr>
        <w:t>；</w:t>
      </w:r>
    </w:p>
    <w:p w14:paraId="2B485A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（3）到达支付节点，乙方向甲方提交下列文件材料，经甲方项目负责人审核无误后支付采购资金：</w:t>
      </w:r>
    </w:p>
    <w:p w14:paraId="67EE16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①</w:t>
      </w:r>
      <w:r>
        <w:rPr>
          <w:rFonts w:hint="eastAsia" w:asciiTheme="minorEastAsia" w:hAnsiTheme="minorEastAsia" w:eastAsiaTheme="minorEastAsia" w:cstheme="minorEastAsia"/>
          <w:sz w:val="28"/>
          <w:szCs w:val="28"/>
          <w:highlight w:val="none"/>
          <w:u w:val="single"/>
        </w:rPr>
        <w:t>经甲方确认的发票</w:t>
      </w:r>
      <w:r>
        <w:rPr>
          <w:rFonts w:hint="eastAsia" w:asciiTheme="minorEastAsia" w:hAnsiTheme="minorEastAsia" w:eastAsiaTheme="minorEastAsia" w:cstheme="minorEastAsia"/>
          <w:sz w:val="28"/>
          <w:szCs w:val="28"/>
          <w:highlight w:val="none"/>
        </w:rPr>
        <w:t>；（乙方向甲方开具</w:t>
      </w:r>
      <w:r>
        <w:rPr>
          <w:rFonts w:hint="eastAsia" w:asciiTheme="minorEastAsia" w:hAnsiTheme="minorEastAsia" w:eastAsiaTheme="minorEastAsia" w:cstheme="minorEastAsia"/>
          <w:sz w:val="28"/>
          <w:szCs w:val="28"/>
          <w:highlight w:val="none"/>
          <w:u w:val="single"/>
        </w:rPr>
        <w:t>增值税普通发票</w:t>
      </w:r>
      <w:r>
        <w:rPr>
          <w:rFonts w:hint="eastAsia" w:asciiTheme="minorEastAsia" w:hAnsiTheme="minorEastAsia" w:eastAsiaTheme="minorEastAsia" w:cstheme="minorEastAsia"/>
          <w:sz w:val="28"/>
          <w:szCs w:val="28"/>
          <w:highlight w:val="none"/>
        </w:rPr>
        <w:t>后，甲方向乙方支付项目款项，若乙方未开具发票甲方有权不予支付该项目款项且无需承担任何违约责任）</w:t>
      </w:r>
    </w:p>
    <w:p w14:paraId="38F6E1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②</w:t>
      </w:r>
      <w:r>
        <w:rPr>
          <w:rFonts w:hint="eastAsia" w:asciiTheme="minorEastAsia" w:hAnsiTheme="minorEastAsia" w:eastAsiaTheme="minorEastAsia" w:cstheme="minorEastAsia"/>
          <w:sz w:val="28"/>
          <w:szCs w:val="28"/>
          <w:highlight w:val="none"/>
          <w:lang w:val="en-US" w:eastAsia="zh-CN"/>
        </w:rPr>
        <w:t>乙方向甲方提交付款申请或付款进度相关资料。</w:t>
      </w:r>
    </w:p>
    <w:p w14:paraId="4AE27D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③经甲乙双方项目负责人确认签署的</w:t>
      </w:r>
      <w:r>
        <w:rPr>
          <w:rFonts w:hint="eastAsia" w:asciiTheme="minorEastAsia" w:hAnsiTheme="minorEastAsia" w:eastAsiaTheme="minorEastAsia" w:cstheme="minorEastAsia"/>
          <w:sz w:val="28"/>
          <w:szCs w:val="28"/>
          <w:highlight w:val="none"/>
          <w:u w:val="single"/>
        </w:rPr>
        <w:t>《项目验收单》</w:t>
      </w:r>
      <w:r>
        <w:rPr>
          <w:rFonts w:hint="eastAsia" w:asciiTheme="minorEastAsia" w:hAnsiTheme="minorEastAsia" w:eastAsiaTheme="minorEastAsia" w:cstheme="minorEastAsia"/>
          <w:sz w:val="28"/>
          <w:szCs w:val="28"/>
          <w:highlight w:val="none"/>
          <w:u w:val="single"/>
          <w:lang w:eastAsia="zh-CN"/>
        </w:rPr>
        <w:t>（</w:t>
      </w:r>
      <w:r>
        <w:rPr>
          <w:rFonts w:hint="eastAsia" w:asciiTheme="minorEastAsia" w:hAnsiTheme="minorEastAsia" w:eastAsiaTheme="minorEastAsia" w:cstheme="minorEastAsia"/>
          <w:sz w:val="28"/>
          <w:szCs w:val="28"/>
          <w:highlight w:val="none"/>
          <w:u w:val="single"/>
          <w:lang w:val="en-US" w:eastAsia="zh-CN"/>
        </w:rPr>
        <w:t>附件一</w:t>
      </w:r>
      <w:r>
        <w:rPr>
          <w:rFonts w:hint="eastAsia" w:asciiTheme="minorEastAsia" w:hAnsiTheme="minorEastAsia" w:eastAsiaTheme="minorEastAsia" w:cstheme="minorEastAsia"/>
          <w:sz w:val="28"/>
          <w:szCs w:val="28"/>
          <w:highlight w:val="none"/>
          <w:u w:val="single"/>
          <w:lang w:eastAsia="zh-CN"/>
        </w:rPr>
        <w:t>）</w:t>
      </w:r>
      <w:r>
        <w:rPr>
          <w:rFonts w:hint="eastAsia" w:asciiTheme="minorEastAsia" w:hAnsiTheme="minorEastAsia" w:eastAsiaTheme="minorEastAsia" w:cstheme="minorEastAsia"/>
          <w:sz w:val="28"/>
          <w:szCs w:val="28"/>
          <w:highlight w:val="none"/>
        </w:rPr>
        <w:t>。</w:t>
      </w:r>
    </w:p>
    <w:p w14:paraId="7ABC2E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（4）甲方开票信息：</w:t>
      </w:r>
    </w:p>
    <w:p w14:paraId="07D2EA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账户名称：乌鲁木齐甘泉堡经济技术开发区（工业区）应急管理局</w:t>
      </w:r>
    </w:p>
    <w:p w14:paraId="109136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开户行：新疆天山农村商业银行股份有限公司甘泉堡支行</w:t>
      </w:r>
    </w:p>
    <w:p w14:paraId="5D081C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账号：807080112010100052558</w:t>
      </w:r>
    </w:p>
    <w:p w14:paraId="2881D7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税号：11650100MB108121XL</w:t>
      </w:r>
    </w:p>
    <w:p w14:paraId="349B01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地址：乌鲁木齐甘泉堡经济技术开发区（工业区）暴马丁香东街1117号</w:t>
      </w:r>
    </w:p>
    <w:p w14:paraId="23EDF2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FF0000"/>
          <w:sz w:val="28"/>
          <w:szCs w:val="28"/>
          <w:highlight w:val="none"/>
        </w:rPr>
      </w:pPr>
      <w:r>
        <w:rPr>
          <w:rFonts w:hint="eastAsia" w:asciiTheme="minorEastAsia" w:hAnsiTheme="minorEastAsia" w:eastAsiaTheme="minorEastAsia" w:cstheme="minorEastAsia"/>
          <w:color w:val="auto"/>
          <w:sz w:val="28"/>
          <w:szCs w:val="28"/>
          <w:highlight w:val="none"/>
        </w:rPr>
        <w:t>电话：0991-6970308</w:t>
      </w:r>
    </w:p>
    <w:p w14:paraId="09AF76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（5）乙方收款信息：</w:t>
      </w:r>
    </w:p>
    <w:p w14:paraId="2E0A7D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账户名称：</w:t>
      </w:r>
      <w:r>
        <w:rPr>
          <w:rFonts w:hint="eastAsia" w:asciiTheme="minorEastAsia" w:hAnsiTheme="minorEastAsia" w:eastAsiaTheme="minorEastAsia" w:cstheme="minorEastAsia"/>
          <w:sz w:val="28"/>
          <w:szCs w:val="28"/>
          <w:highlight w:val="none"/>
          <w:lang w:val="en-US" w:eastAsia="zh-CN"/>
        </w:rPr>
        <w:t xml:space="preserve"> </w:t>
      </w:r>
    </w:p>
    <w:p w14:paraId="561BF9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开户行号：</w:t>
      </w:r>
    </w:p>
    <w:p w14:paraId="5CDEA6D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账号：</w:t>
      </w:r>
    </w:p>
    <w:p w14:paraId="5ED1A1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税号：</w:t>
      </w:r>
    </w:p>
    <w:p w14:paraId="6E0A79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w:t>
      </w:r>
    </w:p>
    <w:p w14:paraId="1889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电话：</w:t>
      </w:r>
    </w:p>
    <w:p w14:paraId="54496E1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验收</w:t>
      </w:r>
    </w:p>
    <w:p w14:paraId="7C30AB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1、验收地点：</w:t>
      </w:r>
      <w:r>
        <w:rPr>
          <w:rFonts w:hint="eastAsia" w:asciiTheme="minorEastAsia" w:hAnsiTheme="minorEastAsia" w:eastAsiaTheme="minorEastAsia" w:cstheme="minorEastAsia"/>
          <w:sz w:val="28"/>
          <w:szCs w:val="28"/>
          <w:highlight w:val="none"/>
          <w:u w:val="single"/>
        </w:rPr>
        <w:t>乌鲁木齐甘泉堡经济技术开发区（工业区）</w:t>
      </w:r>
    </w:p>
    <w:p w14:paraId="606587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2、乙方应按</w:t>
      </w:r>
      <w:r>
        <w:rPr>
          <w:rFonts w:hint="eastAsia" w:asciiTheme="minorEastAsia" w:hAnsiTheme="minorEastAsia" w:eastAsiaTheme="minorEastAsia" w:cstheme="minorEastAsia"/>
          <w:sz w:val="28"/>
          <w:szCs w:val="28"/>
          <w:highlight w:val="none"/>
          <w:lang w:val="en-US" w:eastAsia="zh-CN"/>
        </w:rPr>
        <w:t>甲方</w:t>
      </w:r>
      <w:r>
        <w:rPr>
          <w:rFonts w:hint="eastAsia" w:asciiTheme="minorEastAsia" w:hAnsiTheme="minorEastAsia" w:eastAsiaTheme="minorEastAsia" w:cstheme="minorEastAsia"/>
          <w:sz w:val="28"/>
          <w:szCs w:val="28"/>
          <w:highlight w:val="none"/>
        </w:rPr>
        <w:t>约定对提供的服务成果</w:t>
      </w:r>
      <w:r>
        <w:rPr>
          <w:rFonts w:hint="eastAsia" w:asciiTheme="minorEastAsia" w:hAnsiTheme="minorEastAsia" w:eastAsiaTheme="minorEastAsia" w:cstheme="minorEastAsia"/>
          <w:sz w:val="28"/>
          <w:szCs w:val="28"/>
          <w:highlight w:val="none"/>
          <w:lang w:eastAsia="zh-CN"/>
        </w:rPr>
        <w:t>做出</w:t>
      </w:r>
      <w:r>
        <w:rPr>
          <w:rFonts w:hint="eastAsia" w:asciiTheme="minorEastAsia" w:hAnsiTheme="minorEastAsia" w:eastAsiaTheme="minorEastAsia" w:cstheme="minorEastAsia"/>
          <w:sz w:val="28"/>
          <w:szCs w:val="28"/>
          <w:highlight w:val="none"/>
        </w:rPr>
        <w:t>全面自查和整理、列出清单，清单应随提供的服务成果交给甲方；甲方按照合同的约定进行验收；</w:t>
      </w:r>
    </w:p>
    <w:p w14:paraId="36C6E7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3、验收时，甲乙双方必须同时在场，乙方所提供的服务不符合合同内规定的，甲方有权拒绝验收，乙方应及时按本合同</w:t>
      </w:r>
      <w:r>
        <w:rPr>
          <w:rFonts w:hint="eastAsia" w:asciiTheme="minorEastAsia" w:hAnsiTheme="minorEastAsia" w:eastAsiaTheme="minorEastAsia" w:cstheme="minorEastAsia"/>
          <w:sz w:val="28"/>
          <w:szCs w:val="28"/>
          <w:highlight w:val="none"/>
          <w:lang w:val="en-US" w:eastAsia="zh-CN"/>
        </w:rPr>
        <w:t>服务</w:t>
      </w:r>
      <w:r>
        <w:rPr>
          <w:rFonts w:hint="eastAsia" w:asciiTheme="minorEastAsia" w:hAnsiTheme="minorEastAsia" w:eastAsiaTheme="minorEastAsia" w:cstheme="minorEastAsia"/>
          <w:sz w:val="28"/>
          <w:szCs w:val="28"/>
          <w:highlight w:val="none"/>
        </w:rPr>
        <w:t>规定和甲方要求免费进行整改，直至验收完毕</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甲</w:t>
      </w:r>
      <w:r>
        <w:rPr>
          <w:rFonts w:hint="eastAsia" w:asciiTheme="minorEastAsia" w:hAnsiTheme="minorEastAsia" w:eastAsiaTheme="minorEastAsia" w:cstheme="minorEastAsia"/>
          <w:sz w:val="28"/>
          <w:szCs w:val="28"/>
          <w:highlight w:val="none"/>
        </w:rPr>
        <w:t>方视为乙方按本合同规定完成服务</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经整改后</w:t>
      </w:r>
      <w:r>
        <w:rPr>
          <w:rFonts w:hint="eastAsia" w:asciiTheme="minorEastAsia" w:hAnsiTheme="minorEastAsia" w:eastAsiaTheme="minorEastAsia" w:cstheme="minorEastAsia"/>
          <w:sz w:val="28"/>
          <w:szCs w:val="28"/>
          <w:highlight w:val="none"/>
        </w:rPr>
        <w:t>服务仍达不到合同文件规定内容的，</w:t>
      </w:r>
      <w:r>
        <w:rPr>
          <w:rFonts w:hint="eastAsia" w:asciiTheme="minorEastAsia" w:hAnsiTheme="minorEastAsia" w:eastAsiaTheme="minorEastAsia" w:cstheme="minorEastAsia"/>
          <w:sz w:val="28"/>
          <w:szCs w:val="28"/>
          <w:highlight w:val="none"/>
          <w:lang w:val="en-US" w:eastAsia="zh-CN"/>
        </w:rPr>
        <w:t>甲方有权拒收，并有权解除合同；乙方需退还已收取的全部费用，并向甲方支付合同总价</w:t>
      </w:r>
      <w:r>
        <w:rPr>
          <w:rFonts w:hint="eastAsia" w:asciiTheme="minorEastAsia" w:hAnsiTheme="minorEastAsia" w:eastAsiaTheme="minorEastAsia" w:cstheme="minorEastAsia"/>
          <w:sz w:val="28"/>
          <w:szCs w:val="28"/>
          <w:highlight w:val="none"/>
          <w:u w:val="single"/>
          <w:lang w:val="en-US" w:eastAsia="zh-CN"/>
        </w:rPr>
        <w:t>5%</w:t>
      </w:r>
      <w:r>
        <w:rPr>
          <w:rFonts w:hint="eastAsia" w:asciiTheme="minorEastAsia" w:hAnsiTheme="minorEastAsia" w:eastAsiaTheme="minorEastAsia" w:cstheme="minorEastAsia"/>
          <w:sz w:val="28"/>
          <w:szCs w:val="28"/>
          <w:highlight w:val="none"/>
          <w:lang w:val="en-US" w:eastAsia="zh-CN"/>
        </w:rPr>
        <w:t>的违约金，违约金不足以弥补甲方损失的，以甲方损失为准；</w:t>
      </w:r>
    </w:p>
    <w:p w14:paraId="211F628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项目管理服务及质量保证</w:t>
      </w:r>
      <w:r>
        <w:rPr>
          <w:rFonts w:hint="eastAsia" w:asciiTheme="minorEastAsia" w:hAnsiTheme="minorEastAsia" w:eastAsiaTheme="minorEastAsia" w:cstheme="minorEastAsia"/>
          <w:sz w:val="28"/>
          <w:szCs w:val="28"/>
          <w:highlight w:val="none"/>
        </w:rPr>
        <w:tab/>
      </w:r>
    </w:p>
    <w:p w14:paraId="34C7D2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1、乙方应组建技术熟练、</w:t>
      </w:r>
      <w:r>
        <w:rPr>
          <w:rFonts w:hint="eastAsia" w:asciiTheme="minorEastAsia" w:hAnsiTheme="minorEastAsia" w:eastAsiaTheme="minorEastAsia" w:cstheme="minorEastAsia"/>
          <w:sz w:val="28"/>
          <w:szCs w:val="28"/>
          <w:highlight w:val="none"/>
          <w:lang w:val="en-US" w:eastAsia="zh-CN"/>
        </w:rPr>
        <w:t>具备相关资质</w:t>
      </w:r>
      <w:r>
        <w:rPr>
          <w:rFonts w:hint="eastAsia" w:asciiTheme="minorEastAsia" w:hAnsiTheme="minorEastAsia" w:eastAsiaTheme="minorEastAsia" w:cstheme="minorEastAsia"/>
          <w:sz w:val="28"/>
          <w:szCs w:val="28"/>
          <w:highlight w:val="none"/>
        </w:rPr>
        <w:t>的团队全面履行合同，并指定不少于一人全权、全程负责本项目服务的落实，包括但不限于服务的咨询、执行和后续工作</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项目负责人必须具备相应资质及具有丰富从业经验，乙方对本项目所有成果负有法律责任</w:t>
      </w:r>
      <w:r>
        <w:rPr>
          <w:rFonts w:hint="eastAsia" w:asciiTheme="minorEastAsia" w:hAnsiTheme="minorEastAsia" w:eastAsiaTheme="minorEastAsia" w:cstheme="minorEastAsia"/>
          <w:sz w:val="28"/>
          <w:szCs w:val="28"/>
          <w:highlight w:val="none"/>
        </w:rPr>
        <w:t>。</w:t>
      </w:r>
    </w:p>
    <w:p w14:paraId="47D01D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rPr>
        <w:t>项目负责人名称：</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rPr>
        <w:t>；联系电话：</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p>
    <w:p w14:paraId="308FA0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资质证书：</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p>
    <w:p w14:paraId="3FB1EA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kern w:val="0"/>
          <w:sz w:val="28"/>
          <w:szCs w:val="28"/>
          <w:highlight w:val="none"/>
          <w:lang w:val="en-US" w:eastAsia="zh-CN" w:bidi="ar-SA"/>
        </w:rPr>
        <w:t>乙方更换项目负责人的，应提前5个工作日书面通知甲方并提交新负责人的资质证明，新负责人资质不得低于原负责人，经甲方书面同意后方可更换，否则甲方有权要求乙方限期整改，整改期间项目工期不顺延，由此产生的损失由乙方承担。</w:t>
      </w:r>
    </w:p>
    <w:p w14:paraId="18B346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en-US" w:eastAsia="zh-CN"/>
        </w:rPr>
        <w:t>乙方应积极配合甲方，沟通、协调、处理项目实施过程中有关服务方面事项</w:t>
      </w:r>
      <w:r>
        <w:rPr>
          <w:rFonts w:hint="eastAsia" w:asciiTheme="minorEastAsia" w:hAnsiTheme="minorEastAsia" w:eastAsiaTheme="minorEastAsia" w:cstheme="minorEastAsia"/>
          <w:sz w:val="28"/>
          <w:szCs w:val="28"/>
          <w:highlight w:val="none"/>
        </w:rPr>
        <w:t>；</w:t>
      </w:r>
    </w:p>
    <w:p w14:paraId="3E98F1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3、乙方应保证履行合同的人员数量和素质、软件和硬件设备的配置、场地、环境和设施等满足全面履行合同的要求，并应接受甲方的监督检查。</w:t>
      </w:r>
    </w:p>
    <w:p w14:paraId="756A3ED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售后服务</w:t>
      </w:r>
    </w:p>
    <w:p w14:paraId="3B4DFFE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1、乙方提供服务的质量保证期为自服务通过最终验收之日</w:t>
      </w:r>
      <w:r>
        <w:rPr>
          <w:rFonts w:hint="eastAsia" w:asciiTheme="minorEastAsia" w:hAnsiTheme="minorEastAsia" w:eastAsiaTheme="minorEastAsia" w:cstheme="minorEastAsia"/>
          <w:sz w:val="28"/>
          <w:szCs w:val="28"/>
          <w:highlight w:val="none"/>
          <w:lang w:val="en-US" w:eastAsia="zh-CN"/>
        </w:rPr>
        <w:t>起</w:t>
      </w: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lang w:val="en-US" w:eastAsia="zh-CN"/>
        </w:rPr>
        <w:t>年</w:t>
      </w:r>
      <w:r>
        <w:rPr>
          <w:rFonts w:hint="eastAsia" w:asciiTheme="minorEastAsia" w:hAnsiTheme="minorEastAsia" w:eastAsiaTheme="minorEastAsia" w:cstheme="minorEastAsia"/>
          <w:sz w:val="28"/>
          <w:szCs w:val="28"/>
          <w:highlight w:val="none"/>
        </w:rPr>
        <w:t>，若国家有明确规定的质量保证期高于此保证期的，执行国家规定。</w:t>
      </w:r>
    </w:p>
    <w:p w14:paraId="153A45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2、服务期内，乙方应提供相关</w:t>
      </w:r>
      <w:r>
        <w:rPr>
          <w:rFonts w:hint="eastAsia" w:asciiTheme="minorEastAsia" w:hAnsiTheme="minorEastAsia" w:eastAsiaTheme="minorEastAsia" w:cstheme="minorEastAsia"/>
          <w:sz w:val="28"/>
          <w:szCs w:val="28"/>
          <w:highlight w:val="none"/>
          <w:lang w:val="en-US" w:eastAsia="zh-CN"/>
        </w:rPr>
        <w:t>技术</w:t>
      </w:r>
      <w:r>
        <w:rPr>
          <w:rFonts w:hint="eastAsia" w:asciiTheme="minorEastAsia" w:hAnsiTheme="minorEastAsia" w:eastAsiaTheme="minorEastAsia" w:cstheme="minorEastAsia"/>
          <w:sz w:val="28"/>
          <w:szCs w:val="28"/>
          <w:highlight w:val="none"/>
        </w:rPr>
        <w:t>服务支持；对甲方所反映的任何</w:t>
      </w:r>
      <w:r>
        <w:rPr>
          <w:rFonts w:hint="eastAsia" w:asciiTheme="minorEastAsia" w:hAnsiTheme="minorEastAsia" w:eastAsiaTheme="minorEastAsia" w:cstheme="minorEastAsia"/>
          <w:sz w:val="28"/>
          <w:szCs w:val="28"/>
          <w:highlight w:val="none"/>
          <w:lang w:val="en-US" w:eastAsia="zh-CN"/>
        </w:rPr>
        <w:t>有关项目</w:t>
      </w:r>
      <w:r>
        <w:rPr>
          <w:rFonts w:hint="eastAsia" w:asciiTheme="minorEastAsia" w:hAnsiTheme="minorEastAsia" w:eastAsiaTheme="minorEastAsia" w:cstheme="minorEastAsia"/>
          <w:sz w:val="28"/>
          <w:szCs w:val="28"/>
          <w:highlight w:val="none"/>
        </w:rPr>
        <w:t>问题在</w:t>
      </w:r>
      <w:r>
        <w:rPr>
          <w:rFonts w:hint="eastAsia" w:asciiTheme="minorEastAsia" w:hAnsiTheme="minorEastAsia" w:eastAsiaTheme="minorEastAsia" w:cstheme="minorEastAsia"/>
          <w:sz w:val="28"/>
          <w:szCs w:val="28"/>
          <w:highlight w:val="none"/>
          <w:u w:val="single"/>
        </w:rPr>
        <w:t>2</w:t>
      </w:r>
      <w:r>
        <w:rPr>
          <w:rFonts w:hint="eastAsia" w:asciiTheme="minorEastAsia" w:hAnsiTheme="minorEastAsia" w:eastAsiaTheme="minorEastAsia" w:cstheme="minorEastAsia"/>
          <w:sz w:val="28"/>
          <w:szCs w:val="28"/>
          <w:highlight w:val="none"/>
        </w:rPr>
        <w:t>日之内做出及时响应在</w:t>
      </w:r>
      <w:r>
        <w:rPr>
          <w:rFonts w:hint="eastAsia" w:asciiTheme="minorEastAsia" w:hAnsiTheme="minorEastAsia" w:eastAsiaTheme="minorEastAsia" w:cstheme="minorEastAsia"/>
          <w:sz w:val="28"/>
          <w:szCs w:val="28"/>
          <w:highlight w:val="none"/>
          <w:u w:val="single"/>
        </w:rPr>
        <w:t>1</w:t>
      </w:r>
      <w:r>
        <w:rPr>
          <w:rFonts w:hint="eastAsia" w:asciiTheme="minorEastAsia" w:hAnsiTheme="minorEastAsia" w:eastAsiaTheme="minorEastAsia" w:cstheme="minorEastAsia"/>
          <w:sz w:val="28"/>
          <w:szCs w:val="28"/>
          <w:highlight w:val="none"/>
        </w:rPr>
        <w:t>日之内赶到现场实地解决问题；若问题在</w:t>
      </w:r>
      <w:r>
        <w:rPr>
          <w:rFonts w:hint="eastAsia" w:asciiTheme="minorEastAsia" w:hAnsiTheme="minorEastAsia" w:eastAsiaTheme="minorEastAsia" w:cstheme="minorEastAsia"/>
          <w:sz w:val="28"/>
          <w:szCs w:val="28"/>
          <w:highlight w:val="none"/>
          <w:u w:val="single"/>
          <w:lang w:val="en-US" w:eastAsia="zh-CN"/>
        </w:rPr>
        <w:t>2</w:t>
      </w:r>
      <w:r>
        <w:rPr>
          <w:rFonts w:hint="eastAsia" w:asciiTheme="minorEastAsia" w:hAnsiTheme="minorEastAsia" w:eastAsiaTheme="minorEastAsia" w:cstheme="minorEastAsia"/>
          <w:sz w:val="28"/>
          <w:szCs w:val="28"/>
          <w:highlight w:val="none"/>
        </w:rPr>
        <w:t>个工作日后仍无法解决，乙方应在</w:t>
      </w:r>
      <w:r>
        <w:rPr>
          <w:rFonts w:hint="eastAsia" w:asciiTheme="minorEastAsia" w:hAnsiTheme="minorEastAsia" w:eastAsiaTheme="minorEastAsia" w:cstheme="minorEastAsia"/>
          <w:sz w:val="28"/>
          <w:szCs w:val="28"/>
          <w:highlight w:val="none"/>
          <w:u w:val="single"/>
          <w:lang w:val="en-US" w:eastAsia="zh-CN"/>
        </w:rPr>
        <w:t>7</w:t>
      </w:r>
      <w:r>
        <w:rPr>
          <w:rFonts w:hint="eastAsia" w:asciiTheme="minorEastAsia" w:hAnsiTheme="minorEastAsia" w:eastAsiaTheme="minorEastAsia" w:cstheme="minorEastAsia"/>
          <w:sz w:val="28"/>
          <w:szCs w:val="28"/>
          <w:highlight w:val="none"/>
        </w:rPr>
        <w:t>日内免费提供服务的补偿、替换方案，直至服务恢复正常。</w:t>
      </w:r>
    </w:p>
    <w:p w14:paraId="6DC04B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质量保证期</w:t>
      </w:r>
      <w:r>
        <w:rPr>
          <w:rFonts w:hint="eastAsia" w:asciiTheme="minorEastAsia" w:hAnsiTheme="minorEastAsia" w:eastAsiaTheme="minorEastAsia" w:cstheme="minorEastAsia"/>
          <w:sz w:val="28"/>
          <w:szCs w:val="28"/>
          <w:highlight w:val="none"/>
          <w:lang w:val="en-US" w:eastAsia="zh-CN"/>
        </w:rPr>
        <w:t>内，因系统技术升级更新、漏洞修复、数据接入、政策调整等，乙方提供升级、维护服务；按照采购需求，负责免费提供项目运维和培训甲方技术人员。</w:t>
      </w:r>
    </w:p>
    <w:p w14:paraId="545B5B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、乙方必须遵守甲方的有关管理制度、操作规章；对于乙方违反规章造成甲方损失的，由乙方按照本合同关于违约责任承担赔偿责任。</w:t>
      </w:r>
    </w:p>
    <w:p w14:paraId="407A2EC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相关权利及义务</w:t>
      </w:r>
    </w:p>
    <w:p w14:paraId="17AD0E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1、甲方有权对乙方提供的服务进行验收，验收时对不符合合同要求的有权拒绝接受；</w:t>
      </w:r>
    </w:p>
    <w:p w14:paraId="291F75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2、甲方有权监督乙方提供服务的全过程；</w:t>
      </w:r>
    </w:p>
    <w:p w14:paraId="5A55D4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3、甲方有权监督乙方提供的售后服务，对乙方提供的售后服务不符合合同要求时加以指出乃至追究合同责任；</w:t>
      </w:r>
    </w:p>
    <w:p w14:paraId="42620E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4、甲方在合同期限内履行付款责任；</w:t>
      </w:r>
    </w:p>
    <w:p w14:paraId="7F9D503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5、甲方在乙方提供服务时应给予帮助和协调各方关系，并向乙方提供工作开展所需的文件、资料，乙方应及时提出需要甲方协助和协调的内容，以便保证合同的正常履行；</w:t>
      </w:r>
    </w:p>
    <w:p w14:paraId="7CC8502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6、乙方应严格按照合同约定的要求、标准以及时间，组织有关专业人员及相关工作人员完成相应的工作；</w:t>
      </w:r>
    </w:p>
    <w:p w14:paraId="18F6DE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7、乙方应严格遵守各项规定，严谨、客观的完成受托工作，对出具的</w:t>
      </w:r>
      <w:r>
        <w:rPr>
          <w:rFonts w:hint="eastAsia" w:asciiTheme="minorEastAsia" w:hAnsiTheme="minorEastAsia" w:eastAsiaTheme="minorEastAsia" w:cstheme="minorEastAsia"/>
          <w:sz w:val="28"/>
          <w:szCs w:val="28"/>
          <w:highlight w:val="none"/>
          <w:lang w:val="en-US" w:eastAsia="zh-CN"/>
        </w:rPr>
        <w:t>审核</w:t>
      </w:r>
      <w:r>
        <w:rPr>
          <w:rFonts w:hint="eastAsia" w:asciiTheme="minorEastAsia" w:hAnsiTheme="minorEastAsia" w:eastAsiaTheme="minorEastAsia" w:cstheme="minorEastAsia"/>
          <w:sz w:val="28"/>
          <w:szCs w:val="28"/>
          <w:highlight w:val="none"/>
        </w:rPr>
        <w:t>意见、</w:t>
      </w:r>
      <w:r>
        <w:rPr>
          <w:rFonts w:hint="eastAsia" w:asciiTheme="minorEastAsia" w:hAnsiTheme="minorEastAsia" w:eastAsiaTheme="minorEastAsia" w:cstheme="minorEastAsia"/>
          <w:sz w:val="28"/>
          <w:szCs w:val="28"/>
          <w:highlight w:val="none"/>
          <w:lang w:val="en-US" w:eastAsia="zh-CN"/>
        </w:rPr>
        <w:t>报告</w:t>
      </w:r>
      <w:r>
        <w:rPr>
          <w:rFonts w:hint="eastAsia" w:asciiTheme="minorEastAsia" w:hAnsiTheme="minorEastAsia" w:eastAsiaTheme="minorEastAsia" w:cstheme="minorEastAsia"/>
          <w:sz w:val="28"/>
          <w:szCs w:val="28"/>
          <w:highlight w:val="none"/>
        </w:rPr>
        <w:t>负责；</w:t>
      </w:r>
    </w:p>
    <w:p w14:paraId="039F13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8、乙方需按照甲方制定</w:t>
      </w:r>
      <w:r>
        <w:rPr>
          <w:rFonts w:hint="eastAsia" w:asciiTheme="minorEastAsia" w:hAnsiTheme="minorEastAsia" w:eastAsiaTheme="minorEastAsia" w:cstheme="minorEastAsia"/>
          <w:sz w:val="28"/>
          <w:szCs w:val="28"/>
          <w:highlight w:val="none"/>
          <w:lang w:val="en-US" w:eastAsia="zh-CN"/>
        </w:rPr>
        <w:t>的项目计划进度</w:t>
      </w:r>
      <w:r>
        <w:rPr>
          <w:rFonts w:hint="eastAsia" w:asciiTheme="minorEastAsia" w:hAnsiTheme="minorEastAsia" w:eastAsiaTheme="minorEastAsia" w:cstheme="minorEastAsia"/>
          <w:sz w:val="28"/>
          <w:szCs w:val="28"/>
          <w:highlight w:val="none"/>
        </w:rPr>
        <w:t>，并配合甲方</w:t>
      </w:r>
      <w:r>
        <w:rPr>
          <w:rFonts w:hint="eastAsia" w:asciiTheme="minorEastAsia" w:hAnsiTheme="minorEastAsia" w:eastAsiaTheme="minorEastAsia" w:cstheme="minorEastAsia"/>
          <w:sz w:val="28"/>
          <w:szCs w:val="28"/>
          <w:highlight w:val="none"/>
          <w:lang w:val="en-US" w:eastAsia="zh-CN"/>
        </w:rPr>
        <w:t>推进项目实施进展</w:t>
      </w:r>
      <w:r>
        <w:rPr>
          <w:rFonts w:hint="eastAsia" w:asciiTheme="minorEastAsia" w:hAnsiTheme="minorEastAsia" w:eastAsiaTheme="minorEastAsia" w:cstheme="minorEastAsia"/>
          <w:sz w:val="28"/>
          <w:szCs w:val="28"/>
          <w:highlight w:val="none"/>
        </w:rPr>
        <w:t>；</w:t>
      </w:r>
    </w:p>
    <w:p w14:paraId="251383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9、乙方有义务妥善保管和保护由甲方提供的所有信息和资料等</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包括但不限于甲方提供或乙方在服务过程中自行掌握的相关项目信息，若因乙方原因导致上述信息泄露，甲方有权解除合同</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乙方需要退还已收取的全部费用，并向甲方支付合同总价</w:t>
      </w:r>
      <w:r>
        <w:rPr>
          <w:rFonts w:hint="eastAsia" w:asciiTheme="minorEastAsia" w:hAnsiTheme="minorEastAsia" w:eastAsiaTheme="minorEastAsia" w:cstheme="minorEastAsia"/>
          <w:sz w:val="28"/>
          <w:szCs w:val="28"/>
          <w:highlight w:val="none"/>
          <w:u w:val="single"/>
          <w:lang w:val="en-US" w:eastAsia="zh-CN"/>
        </w:rPr>
        <w:t>20%</w:t>
      </w:r>
      <w:r>
        <w:rPr>
          <w:rFonts w:hint="eastAsia" w:asciiTheme="minorEastAsia" w:hAnsiTheme="minorEastAsia" w:eastAsiaTheme="minorEastAsia" w:cstheme="minorEastAsia"/>
          <w:sz w:val="28"/>
          <w:szCs w:val="28"/>
          <w:highlight w:val="none"/>
          <w:lang w:val="en-US" w:eastAsia="zh-CN"/>
        </w:rPr>
        <w:t>的违约金，违约金不足以弥补甲方损失的，以甲方损失为准；</w:t>
      </w:r>
    </w:p>
    <w:p w14:paraId="1710CA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10、除非依照法律规定或者对方当事人的书面同意，任何一方均应保证不向任何第三方提供或披露有关合同的或者履行合同过程中知悉的对方当事人任何未公开的信息和资料，包括但不限于</w:t>
      </w:r>
      <w:r>
        <w:rPr>
          <w:rFonts w:hint="eastAsia" w:asciiTheme="minorEastAsia" w:hAnsiTheme="minorEastAsia" w:eastAsiaTheme="minorEastAsia" w:cstheme="minorEastAsia"/>
          <w:sz w:val="28"/>
          <w:szCs w:val="28"/>
          <w:highlight w:val="none"/>
          <w:lang w:val="en-US" w:eastAsia="zh-CN"/>
        </w:rPr>
        <w:t>项目软件、技术参数信息、企业数据</w:t>
      </w:r>
      <w:r>
        <w:rPr>
          <w:rFonts w:hint="eastAsia" w:asciiTheme="minorEastAsia" w:hAnsiTheme="minorEastAsia" w:eastAsiaTheme="minorEastAsia" w:cstheme="minorEastAsia"/>
          <w:sz w:val="28"/>
          <w:szCs w:val="28"/>
          <w:highlight w:val="none"/>
        </w:rPr>
        <w:t>等，并采取一切合理和必要措施和方式防止任何第三方接触到对方当事人的上述保密信息和资料；</w:t>
      </w:r>
    </w:p>
    <w:p w14:paraId="58138C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11、乙方应当保证所提供项目成果的专业性、客观性、合法性。</w:t>
      </w:r>
    </w:p>
    <w:p w14:paraId="706EA77F">
      <w:pPr>
        <w:pStyle w:val="7"/>
        <w:rPr>
          <w:rFonts w:hint="eastAsia" w:asciiTheme="minorEastAsia" w:hAnsiTheme="minorEastAsia" w:eastAsiaTheme="minorEastAsia" w:cstheme="minorEastAsia"/>
          <w:color w:val="000000"/>
          <w:spacing w:val="0"/>
          <w:w w:val="100"/>
          <w:position w:val="0"/>
          <w:sz w:val="28"/>
          <w:szCs w:val="28"/>
          <w:highlight w:val="none"/>
          <w:shd w:val="clear" w:color="auto" w:fill="auto"/>
          <w:lang w:val="en-US" w:eastAsia="en-US" w:bidi="en-US"/>
        </w:rPr>
      </w:pPr>
      <w:r>
        <w:rPr>
          <w:rFonts w:hint="eastAsia" w:asciiTheme="minorEastAsia" w:hAnsiTheme="minorEastAsia" w:eastAsiaTheme="minorEastAsia" w:cstheme="minorEastAsia"/>
          <w:color w:val="000000"/>
          <w:spacing w:val="0"/>
          <w:w w:val="100"/>
          <w:position w:val="0"/>
          <w:sz w:val="28"/>
          <w:szCs w:val="28"/>
          <w:highlight w:val="none"/>
          <w:shd w:val="clear" w:color="auto" w:fill="auto"/>
          <w:lang w:val="en-US" w:eastAsia="en-US" w:bidi="en-US"/>
        </w:rPr>
        <w:t>1.</w:t>
      </w:r>
      <w:r>
        <w:rPr>
          <w:rFonts w:hint="eastAsia" w:asciiTheme="minorEastAsia" w:hAnsiTheme="minorEastAsia" w:eastAsiaTheme="minorEastAsia" w:cstheme="minorEastAsia"/>
          <w:color w:val="000000"/>
          <w:spacing w:val="0"/>
          <w:w w:val="100"/>
          <w:position w:val="0"/>
          <w:sz w:val="28"/>
          <w:szCs w:val="28"/>
          <w:highlight w:val="none"/>
          <w:shd w:val="clear" w:color="auto" w:fill="auto"/>
          <w:lang w:val="en-US" w:eastAsia="zh-CN" w:bidi="en-US"/>
        </w:rPr>
        <w:t>9</w:t>
      </w:r>
      <w:r>
        <w:rPr>
          <w:rFonts w:hint="eastAsia" w:asciiTheme="minorEastAsia" w:hAnsiTheme="minorEastAsia" w:eastAsiaTheme="minorEastAsia" w:cstheme="minorEastAsia"/>
          <w:color w:val="000000"/>
          <w:spacing w:val="0"/>
          <w:w w:val="100"/>
          <w:position w:val="0"/>
          <w:sz w:val="28"/>
          <w:szCs w:val="28"/>
          <w:highlight w:val="none"/>
          <w:shd w:val="clear" w:color="auto" w:fill="auto"/>
          <w:lang w:val="en-US" w:eastAsia="en-US" w:bidi="en-US"/>
        </w:rPr>
        <w:t>知识产权</w:t>
      </w:r>
    </w:p>
    <w:p w14:paraId="49EC11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3FF8F3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b w:val="0"/>
          <w:bCs/>
          <w:kern w:val="0"/>
          <w:sz w:val="28"/>
          <w:szCs w:val="28"/>
          <w:highlight w:val="none"/>
          <w:lang w:val="en-US" w:eastAsia="zh-CN" w:bidi="ar-SA"/>
        </w:rPr>
        <w:t>本合同履行过程中乙方为甲方编制的服务方案、整改方案等全部技术成果的知识产权均归甲方所有；由此产生的全部收益均归甲方所有，乙方不得主张任何权利。乙方原有知识产权归乙方所有，但乙方不得在本合同外使用前款所述甲方所有的技术成果</w:t>
      </w:r>
      <w:r>
        <w:rPr>
          <w:rFonts w:hint="eastAsia" w:asciiTheme="minorEastAsia" w:hAnsiTheme="minorEastAsia" w:eastAsiaTheme="minorEastAsia" w:cstheme="minorEastAsia"/>
          <w:sz w:val="28"/>
          <w:szCs w:val="28"/>
          <w:highlight w:val="none"/>
          <w:lang w:val="en-US" w:eastAsia="zh-CN"/>
        </w:rPr>
        <w:t>。</w:t>
      </w:r>
    </w:p>
    <w:p w14:paraId="5997A4C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w:t>
      </w:r>
      <w:r>
        <w:rPr>
          <w:rFonts w:hint="eastAsia" w:asciiTheme="minorEastAsia" w:hAnsiTheme="minorEastAsia" w:eastAsiaTheme="minorEastAsia" w:cstheme="minorEastAsia"/>
          <w:sz w:val="28"/>
          <w:szCs w:val="28"/>
          <w:highlight w:val="none"/>
          <w:lang w:val="en-US" w:eastAsia="zh-CN"/>
        </w:rPr>
        <w:t>0</w:t>
      </w:r>
      <w:r>
        <w:rPr>
          <w:rFonts w:hint="eastAsia" w:asciiTheme="minorEastAsia" w:hAnsiTheme="minorEastAsia" w:eastAsiaTheme="minorEastAsia" w:cstheme="minorEastAsia"/>
          <w:sz w:val="28"/>
          <w:szCs w:val="28"/>
          <w:highlight w:val="none"/>
        </w:rPr>
        <w:t>不可抗力</w:t>
      </w:r>
    </w:p>
    <w:p w14:paraId="1E40E5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1、如果任何一方遭遇法律规定的不可抗力，致使合同履行受阻时，履行合同的期限应予延长，延长的期限应相当于不可抗力所影响的时间；</w:t>
      </w:r>
    </w:p>
    <w:p w14:paraId="336B9E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2、因不可抗力致使不能实现合同目的的，当事人可以解除合同；</w:t>
      </w:r>
    </w:p>
    <w:p w14:paraId="1DA03FD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3、因不可抗力致使合同有变更必要的，双方当事人应在</w:t>
      </w:r>
      <w:r>
        <w:rPr>
          <w:rFonts w:hint="eastAsia" w:asciiTheme="minorEastAsia" w:hAnsiTheme="minorEastAsia" w:eastAsiaTheme="minorEastAsia" w:cstheme="minorEastAsia"/>
          <w:sz w:val="28"/>
          <w:szCs w:val="28"/>
          <w:highlight w:val="none"/>
          <w:u w:val="single"/>
        </w:rPr>
        <w:t>7</w:t>
      </w:r>
      <w:r>
        <w:rPr>
          <w:rFonts w:hint="eastAsia" w:asciiTheme="minorEastAsia" w:hAnsiTheme="minorEastAsia" w:eastAsiaTheme="minorEastAsia" w:cstheme="minorEastAsia"/>
          <w:sz w:val="28"/>
          <w:szCs w:val="28"/>
          <w:highlight w:val="none"/>
        </w:rPr>
        <w:t>日内以书面形式变更合同；</w:t>
      </w:r>
    </w:p>
    <w:p w14:paraId="50C653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4、受不可抗力影响的一方在不可抗力发生后，应在</w:t>
      </w:r>
      <w:r>
        <w:rPr>
          <w:rFonts w:hint="eastAsia" w:asciiTheme="minorEastAsia" w:hAnsiTheme="minorEastAsia" w:eastAsiaTheme="minorEastAsia" w:cstheme="minorEastAsia"/>
          <w:sz w:val="28"/>
          <w:szCs w:val="28"/>
          <w:highlight w:val="none"/>
          <w:u w:val="single"/>
        </w:rPr>
        <w:t>24</w:t>
      </w:r>
      <w:r>
        <w:rPr>
          <w:rFonts w:hint="eastAsia" w:asciiTheme="minorEastAsia" w:hAnsiTheme="minorEastAsia" w:eastAsiaTheme="minorEastAsia" w:cstheme="minorEastAsia"/>
          <w:sz w:val="28"/>
          <w:szCs w:val="28"/>
          <w:highlight w:val="none"/>
        </w:rPr>
        <w:t>小时内以书面形式通知对方当事人，并在</w:t>
      </w:r>
      <w:r>
        <w:rPr>
          <w:rFonts w:hint="eastAsia" w:asciiTheme="minorEastAsia" w:hAnsiTheme="minorEastAsia" w:eastAsiaTheme="minorEastAsia" w:cstheme="minorEastAsia"/>
          <w:sz w:val="28"/>
          <w:szCs w:val="28"/>
          <w:highlight w:val="none"/>
          <w:u w:val="single"/>
        </w:rPr>
        <w:t>3</w:t>
      </w:r>
      <w:r>
        <w:rPr>
          <w:rFonts w:hint="eastAsia" w:asciiTheme="minorEastAsia" w:hAnsiTheme="minorEastAsia" w:eastAsiaTheme="minorEastAsia" w:cstheme="minorEastAsia"/>
          <w:sz w:val="28"/>
          <w:szCs w:val="28"/>
          <w:highlight w:val="none"/>
        </w:rPr>
        <w:t>日内，将有关部门出具的证明文件送达对方当事人。</w:t>
      </w:r>
    </w:p>
    <w:p w14:paraId="16E9ED3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违约责任</w:t>
      </w:r>
    </w:p>
    <w:p w14:paraId="72F3C3B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1、除不可抗力外，如果乙方没有按照本合同约定的期限、地点和方式履行，那么甲方可要求乙方支付违约金，每迟延履行一日违约金按</w:t>
      </w:r>
      <w:r>
        <w:rPr>
          <w:rFonts w:hint="eastAsia" w:asciiTheme="minorEastAsia" w:hAnsiTheme="minorEastAsia" w:eastAsiaTheme="minorEastAsia" w:cstheme="minorEastAsia"/>
          <w:sz w:val="28"/>
          <w:szCs w:val="28"/>
          <w:highlight w:val="none"/>
          <w:lang w:val="en-US" w:eastAsia="zh-CN"/>
        </w:rPr>
        <w:t>合同总价</w:t>
      </w:r>
      <w:r>
        <w:rPr>
          <w:rFonts w:hint="eastAsia" w:asciiTheme="minorEastAsia" w:hAnsiTheme="minorEastAsia" w:eastAsiaTheme="minorEastAsia" w:cstheme="minorEastAsia"/>
          <w:sz w:val="28"/>
          <w:szCs w:val="28"/>
          <w:highlight w:val="none"/>
        </w:rPr>
        <w:t>的</w:t>
      </w:r>
      <w:r>
        <w:rPr>
          <w:rFonts w:hint="eastAsia" w:asciiTheme="minorEastAsia" w:hAnsiTheme="minorEastAsia" w:eastAsiaTheme="minorEastAsia" w:cstheme="minorEastAsia"/>
          <w:sz w:val="28"/>
          <w:szCs w:val="28"/>
          <w:highlight w:val="none"/>
          <w:u w:val="single"/>
        </w:rPr>
        <w:t>0.1‰</w:t>
      </w:r>
      <w:r>
        <w:rPr>
          <w:rFonts w:hint="eastAsia" w:asciiTheme="minorEastAsia" w:hAnsiTheme="minorEastAsia" w:eastAsiaTheme="minorEastAsia" w:cstheme="minorEastAsia"/>
          <w:sz w:val="28"/>
          <w:szCs w:val="28"/>
          <w:highlight w:val="none"/>
        </w:rPr>
        <w:t>计算，</w:t>
      </w:r>
      <w:r>
        <w:rPr>
          <w:rFonts w:hint="eastAsia" w:asciiTheme="minorEastAsia" w:hAnsiTheme="minorEastAsia" w:eastAsiaTheme="minorEastAsia" w:cstheme="minorEastAsia"/>
          <w:sz w:val="28"/>
          <w:szCs w:val="28"/>
          <w:highlight w:val="none"/>
          <w:lang w:val="en-US" w:eastAsia="zh-CN"/>
        </w:rPr>
        <w:t>逾期超过</w:t>
      </w:r>
      <w:r>
        <w:rPr>
          <w:rFonts w:hint="eastAsia" w:asciiTheme="minorEastAsia" w:hAnsiTheme="minorEastAsia" w:eastAsiaTheme="minorEastAsia" w:cstheme="minorEastAsia"/>
          <w:sz w:val="28"/>
          <w:szCs w:val="28"/>
          <w:highlight w:val="none"/>
          <w:u w:val="single"/>
          <w:lang w:val="en-US" w:eastAsia="zh-CN"/>
        </w:rPr>
        <w:t>15</w:t>
      </w:r>
      <w:r>
        <w:rPr>
          <w:rFonts w:hint="eastAsia" w:asciiTheme="minorEastAsia" w:hAnsiTheme="minorEastAsia" w:eastAsiaTheme="minorEastAsia" w:cstheme="minorEastAsia"/>
          <w:sz w:val="28"/>
          <w:szCs w:val="28"/>
          <w:highlight w:val="none"/>
          <w:lang w:val="en-US" w:eastAsia="zh-CN"/>
        </w:rPr>
        <w:t>日，甲方有权书面通知乙方解除本合同，乙方需退还已收取的全部费用，并向甲方支付合同总价</w:t>
      </w:r>
      <w:r>
        <w:rPr>
          <w:rFonts w:hint="eastAsia" w:asciiTheme="minorEastAsia" w:hAnsiTheme="minorEastAsia" w:eastAsiaTheme="minorEastAsia" w:cstheme="minorEastAsia"/>
          <w:sz w:val="28"/>
          <w:szCs w:val="28"/>
          <w:highlight w:val="none"/>
          <w:u w:val="single"/>
          <w:lang w:val="en-US" w:eastAsia="zh-CN"/>
        </w:rPr>
        <w:t>5%</w:t>
      </w:r>
      <w:r>
        <w:rPr>
          <w:rFonts w:hint="eastAsia" w:asciiTheme="minorEastAsia" w:hAnsiTheme="minorEastAsia" w:eastAsiaTheme="minorEastAsia" w:cstheme="minorEastAsia"/>
          <w:sz w:val="28"/>
          <w:szCs w:val="28"/>
          <w:highlight w:val="none"/>
          <w:lang w:val="en-US" w:eastAsia="zh-CN"/>
        </w:rPr>
        <w:t>的违约金，违约金不足以弥补甲方损失的额，以甲方损失为准。</w:t>
      </w:r>
    </w:p>
    <w:p w14:paraId="5A6B58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F8B60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3、任何一方按照前述约定要求违约方支付违约金的同时，仍有权要求违约方继续履行合同、采取补救措施，并有权按照另一方实际损失情况要求违约方赔偿损失任何一方按照前述约定要求解除本合同的同时，仍有权要求违约方支付违约金和按照另一方实际损失情况要求违约方赔偿损失且守约方行使的任何权利救济方式均不视为其放弃了其他法定或者约定的权利救济方式；</w:t>
      </w:r>
    </w:p>
    <w:p w14:paraId="099884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5F22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5、如果出现政府采购监督管理部门在处理投诉事项期间，书面通知甲方暂停采购活动的情形或者询问或质疑事项可能影响</w:t>
      </w:r>
      <w:r>
        <w:rPr>
          <w:rFonts w:hint="eastAsia" w:asciiTheme="minorEastAsia" w:hAnsiTheme="minorEastAsia" w:eastAsiaTheme="minorEastAsia" w:cstheme="minorEastAsia"/>
          <w:sz w:val="28"/>
          <w:szCs w:val="28"/>
          <w:highlight w:val="none"/>
          <w:lang w:val="en-US" w:eastAsia="zh-CN"/>
        </w:rPr>
        <w:t>合同约定</w:t>
      </w:r>
      <w:r>
        <w:rPr>
          <w:rFonts w:hint="eastAsia" w:asciiTheme="minorEastAsia" w:hAnsiTheme="minorEastAsia" w:eastAsiaTheme="minorEastAsia" w:cstheme="minorEastAsia"/>
          <w:sz w:val="28"/>
          <w:szCs w:val="28"/>
          <w:highlight w:val="none"/>
        </w:rPr>
        <w:t>，导致甲方中止履行合同的情形，均不视为甲方违约。</w:t>
      </w:r>
    </w:p>
    <w:p w14:paraId="73FB4D5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除不可抗力因素或乙方违约或履行本地财务支付程序正常时间外，甲方未在合同约定时间内付款，应事先告知乙方，并征得乙方同意，否则甲方应向乙方支付违约金，每迟延付款一日，违约金就应付未付款按全国银行间同业拆借中心公布的贷款市场报价利率计算，违约金数额不得超过应付未付金额的</w:t>
      </w:r>
      <w:r>
        <w:rPr>
          <w:rFonts w:hint="eastAsia" w:asciiTheme="minorEastAsia" w:hAnsiTheme="minorEastAsia" w:eastAsiaTheme="minorEastAsia" w:cstheme="minorEastAsia"/>
          <w:sz w:val="28"/>
          <w:szCs w:val="28"/>
          <w:highlight w:val="none"/>
          <w:u w:val="single"/>
          <w:lang w:val="en-US" w:eastAsia="zh-CN"/>
        </w:rPr>
        <w:t>5%</w:t>
      </w:r>
      <w:r>
        <w:rPr>
          <w:rFonts w:hint="eastAsia" w:asciiTheme="minorEastAsia" w:hAnsiTheme="minorEastAsia" w:eastAsiaTheme="minorEastAsia" w:cstheme="minorEastAsia"/>
          <w:sz w:val="28"/>
          <w:szCs w:val="28"/>
          <w:highlight w:val="none"/>
          <w:lang w:val="en-US" w:eastAsia="zh-CN"/>
        </w:rPr>
        <w:t>。</w:t>
      </w:r>
    </w:p>
    <w:p w14:paraId="77D4539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7、乙方若违反本合同中相关义务条款，甲方有权选择通知乙方在甲方规定期限内完成整改，甲方也有权选择解除合同；若甲方选择解除合同，乙方需退还已收取的全部费用，并向甲方支付合同总价</w:t>
      </w:r>
      <w:r>
        <w:rPr>
          <w:rFonts w:hint="eastAsia" w:asciiTheme="minorEastAsia" w:hAnsiTheme="minorEastAsia" w:eastAsiaTheme="minorEastAsia" w:cstheme="minorEastAsia"/>
          <w:sz w:val="28"/>
          <w:szCs w:val="28"/>
          <w:highlight w:val="none"/>
          <w:u w:val="single"/>
          <w:lang w:val="en-US" w:eastAsia="zh-CN"/>
        </w:rPr>
        <w:t>5%</w:t>
      </w:r>
      <w:r>
        <w:rPr>
          <w:rFonts w:hint="eastAsia" w:asciiTheme="minorEastAsia" w:hAnsiTheme="minorEastAsia" w:eastAsiaTheme="minorEastAsia" w:cstheme="minorEastAsia"/>
          <w:sz w:val="28"/>
          <w:szCs w:val="28"/>
          <w:highlight w:val="none"/>
          <w:lang w:val="en-US" w:eastAsia="zh-CN"/>
        </w:rPr>
        <w:t>的违约金，违约金不足以弥补甲方损失的，以甲方损失为准。</w:t>
      </w:r>
    </w:p>
    <w:p w14:paraId="63B845B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2.1合同变更</w:t>
      </w:r>
    </w:p>
    <w:p w14:paraId="4A70CE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1、双方当事人协商一致，可以签订书面补充合同的形式变更合同，但不得违背</w:t>
      </w:r>
      <w:r>
        <w:rPr>
          <w:rFonts w:hint="eastAsia" w:asciiTheme="minorEastAsia" w:hAnsiTheme="minorEastAsia" w:eastAsiaTheme="minorEastAsia" w:cstheme="minorEastAsia"/>
          <w:sz w:val="28"/>
          <w:szCs w:val="28"/>
          <w:highlight w:val="none"/>
          <w:lang w:val="en-US" w:eastAsia="zh-CN"/>
        </w:rPr>
        <w:t>合同约定</w:t>
      </w:r>
      <w:r>
        <w:rPr>
          <w:rFonts w:hint="eastAsia" w:asciiTheme="minorEastAsia" w:hAnsiTheme="minorEastAsia" w:eastAsiaTheme="minorEastAsia" w:cstheme="minorEastAsia"/>
          <w:sz w:val="28"/>
          <w:szCs w:val="28"/>
          <w:highlight w:val="none"/>
        </w:rPr>
        <w:t>的事项，且如果系追加与合同标的相同的服务的,那么所有补充合同的采购金额不得超过原合同价的</w:t>
      </w:r>
      <w:r>
        <w:rPr>
          <w:rFonts w:hint="eastAsia" w:asciiTheme="minorEastAsia" w:hAnsiTheme="minorEastAsia" w:eastAsiaTheme="minorEastAsia" w:cstheme="minorEastAsia"/>
          <w:sz w:val="28"/>
          <w:szCs w:val="28"/>
          <w:highlight w:val="none"/>
          <w:u w:val="single"/>
        </w:rPr>
        <w:t>10%</w:t>
      </w:r>
      <w:r>
        <w:rPr>
          <w:rFonts w:hint="eastAsia" w:asciiTheme="minorEastAsia" w:hAnsiTheme="minorEastAsia" w:eastAsiaTheme="minorEastAsia" w:cstheme="minorEastAsia"/>
          <w:sz w:val="28"/>
          <w:szCs w:val="28"/>
          <w:highlight w:val="none"/>
        </w:rPr>
        <w:t>；</w:t>
      </w:r>
    </w:p>
    <w:p w14:paraId="2111FD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2、合同继续履行将损害国家利益和社会公共利益的，双方当事人应当以书面形式变更合同。有过错的一方应当承担赔偿责任，双方当事人都有过错的，各自承担相应的责任。</w:t>
      </w:r>
    </w:p>
    <w:p w14:paraId="1D477E4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2.2合同中止、终止</w:t>
      </w:r>
    </w:p>
    <w:p w14:paraId="348315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1、双方当事人不得擅自中止或终止合同；</w:t>
      </w:r>
    </w:p>
    <w:p w14:paraId="647D1D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、乙方服务能力丧失,使服务无法正常进行的；</w:t>
      </w:r>
    </w:p>
    <w:p w14:paraId="46B4A4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7B89A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、在履行过程中，发现乙方不符合服务供应方所具备的条件，造成合同无法履行的；</w:t>
      </w:r>
    </w:p>
    <w:p w14:paraId="639B5D1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、合同继续履行将损害国家利益和社会公共利益的，双方当事人应当中止或者终止合同。有过错的一方应当承担赔偿责任，双方当事人都有过错的，各自承担相应的责任。</w:t>
      </w:r>
    </w:p>
    <w:p w14:paraId="71A7B95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2.3通知和送达</w:t>
      </w:r>
    </w:p>
    <w:p w14:paraId="691DCC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1、任何一方因履行合同而以合同中所列明的合同履行地发出的所有通知、文件、材料，均视为已向对方当事人送达；任何一方变更上述送达方式或者地址的应于</w:t>
      </w:r>
      <w:r>
        <w:rPr>
          <w:rFonts w:hint="eastAsia" w:asciiTheme="minorEastAsia" w:hAnsiTheme="minorEastAsia" w:eastAsiaTheme="minorEastAsia" w:cstheme="minorEastAsia"/>
          <w:sz w:val="28"/>
          <w:szCs w:val="28"/>
          <w:highlight w:val="none"/>
          <w:u w:val="single"/>
        </w:rPr>
        <w:t>7</w:t>
      </w:r>
      <w:r>
        <w:rPr>
          <w:rFonts w:hint="eastAsia" w:asciiTheme="minorEastAsia" w:hAnsiTheme="minorEastAsia" w:eastAsiaTheme="minorEastAsia" w:cstheme="minorEastAsia"/>
          <w:sz w:val="28"/>
          <w:szCs w:val="28"/>
          <w:highlight w:val="none"/>
        </w:rPr>
        <w:t>个工作日内书面通知对方当事人，在对方当事人收到有关变更通知之前，变更前的约定送达方式或者地址仍视为有效。</w:t>
      </w:r>
    </w:p>
    <w:p w14:paraId="0DD3CF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2、以当面交付方式送达的，交付之时视为送达；以电子邮件方式送达的，发出电子邮件之时视为送达；以传真方式送达的，发出传真之时视为送达；以邮寄方式送达的，邮件挂号寄出或者交邮</w:t>
      </w:r>
      <w:r>
        <w:rPr>
          <w:rFonts w:hint="eastAsia" w:asciiTheme="minorEastAsia" w:hAnsiTheme="minorEastAsia" w:eastAsiaTheme="minorEastAsia" w:cstheme="minorEastAsia"/>
          <w:sz w:val="28"/>
          <w:szCs w:val="28"/>
          <w:highlight w:val="none"/>
          <w:lang w:val="en-US" w:eastAsia="zh-CN"/>
        </w:rPr>
        <w:t>之日</w:t>
      </w:r>
      <w:r>
        <w:rPr>
          <w:rFonts w:hint="eastAsia" w:asciiTheme="minorEastAsia" w:hAnsiTheme="minorEastAsia" w:eastAsiaTheme="minorEastAsia" w:cstheme="minorEastAsia"/>
          <w:sz w:val="28"/>
          <w:szCs w:val="28"/>
          <w:highlight w:val="none"/>
        </w:rPr>
        <w:t>视为送达。</w:t>
      </w:r>
    </w:p>
    <w:p w14:paraId="6744CC8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2.4合同争议的解决</w:t>
      </w:r>
    </w:p>
    <w:p w14:paraId="3F2F71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8"/>
          <w:szCs w:val="28"/>
          <w:highlight w:val="none"/>
          <w:u w:val="single"/>
        </w:rPr>
        <w:t>②</w:t>
      </w:r>
      <w:r>
        <w:rPr>
          <w:rFonts w:hint="eastAsia" w:asciiTheme="minorEastAsia" w:hAnsiTheme="minorEastAsia" w:eastAsiaTheme="minorEastAsia" w:cstheme="minorEastAsia"/>
          <w:sz w:val="28"/>
          <w:szCs w:val="28"/>
          <w:highlight w:val="none"/>
        </w:rPr>
        <w:t>种方式解决：</w:t>
      </w:r>
    </w:p>
    <w:p w14:paraId="365E47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①</w:t>
      </w:r>
      <w:r>
        <w:rPr>
          <w:rFonts w:hint="eastAsia" w:asciiTheme="minorEastAsia" w:hAnsiTheme="minorEastAsia" w:eastAsiaTheme="minorEastAsia" w:cstheme="minorEastAsia"/>
          <w:sz w:val="28"/>
          <w:szCs w:val="28"/>
          <w:highlight w:val="none"/>
          <w:u w:val="single"/>
        </w:rPr>
        <w:t>将争议提交仲裁委员会依申请仲裁时其现行有效的仲裁规则裁决</w:t>
      </w:r>
      <w:r>
        <w:rPr>
          <w:rFonts w:hint="eastAsia" w:asciiTheme="minorEastAsia" w:hAnsiTheme="minorEastAsia" w:eastAsiaTheme="minorEastAsia" w:cstheme="minorEastAsia"/>
          <w:sz w:val="28"/>
          <w:szCs w:val="28"/>
          <w:highlight w:val="none"/>
        </w:rPr>
        <w:t>；</w:t>
      </w:r>
    </w:p>
    <w:p w14:paraId="059BBC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②</w:t>
      </w:r>
      <w:r>
        <w:rPr>
          <w:rFonts w:hint="eastAsia" w:asciiTheme="minorEastAsia" w:hAnsiTheme="minorEastAsia" w:eastAsiaTheme="minorEastAsia" w:cstheme="minorEastAsia"/>
          <w:b w:val="0"/>
          <w:bCs/>
          <w:kern w:val="0"/>
          <w:sz w:val="28"/>
          <w:szCs w:val="28"/>
          <w:highlight w:val="none"/>
          <w:u w:val="single"/>
          <w:lang w:val="en-US" w:eastAsia="zh-CN" w:bidi="ar-SA"/>
        </w:rPr>
        <w:t>向甲方所在地人民法院起诉,由此产生的诉讼费、律师费、担保费、保全费、鉴定费、公证费等各项费用等费用由败诉方承担</w:t>
      </w:r>
      <w:r>
        <w:rPr>
          <w:rFonts w:hint="eastAsia" w:asciiTheme="minorEastAsia" w:hAnsiTheme="minorEastAsia" w:eastAsiaTheme="minorEastAsia" w:cstheme="minorEastAsia"/>
          <w:sz w:val="28"/>
          <w:szCs w:val="28"/>
          <w:highlight w:val="none"/>
        </w:rPr>
        <w:t>；</w:t>
      </w:r>
    </w:p>
    <w:p w14:paraId="73F49A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2、在发生争议时，甲乙双方在该合同中所提供的地址视为法律文书的送达地址。</w:t>
      </w:r>
    </w:p>
    <w:p w14:paraId="0CE21E2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2.5合同生效</w:t>
      </w:r>
    </w:p>
    <w:p w14:paraId="3ECDC5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本合同自双方当事人盖章或者签字时生效。</w:t>
      </w:r>
    </w:p>
    <w:p w14:paraId="041CB2C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2.6无效合同</w:t>
      </w:r>
    </w:p>
    <w:p w14:paraId="6B704F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甲乙双方因</w:t>
      </w:r>
      <w:r>
        <w:rPr>
          <w:rFonts w:hint="eastAsia" w:asciiTheme="minorEastAsia" w:hAnsiTheme="minorEastAsia" w:eastAsiaTheme="minorEastAsia" w:cstheme="minorEastAsia"/>
          <w:sz w:val="28"/>
          <w:szCs w:val="28"/>
          <w:highlight w:val="none"/>
          <w:lang w:eastAsia="zh-CN"/>
        </w:rPr>
        <w:t>违反</w:t>
      </w:r>
      <w:r>
        <w:rPr>
          <w:rFonts w:hint="eastAsia" w:asciiTheme="minorEastAsia" w:hAnsiTheme="minorEastAsia" w:eastAsiaTheme="minorEastAsia" w:cstheme="minorEastAsia"/>
          <w:sz w:val="28"/>
          <w:szCs w:val="28"/>
          <w:highlight w:val="none"/>
        </w:rPr>
        <w:t>政府采购法及相关法律法规的规定被宣告合同无效的，一切责任由过错方自行承担。</w:t>
      </w:r>
    </w:p>
    <w:p w14:paraId="6417149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2.7合同份数</w:t>
      </w:r>
    </w:p>
    <w:p w14:paraId="33AA70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合同共计</w:t>
      </w:r>
      <w:r>
        <w:rPr>
          <w:rFonts w:hint="eastAsia" w:asciiTheme="minorEastAsia" w:hAnsiTheme="minorEastAsia" w:eastAsiaTheme="minorEastAsia" w:cstheme="minorEastAsia"/>
          <w:sz w:val="28"/>
          <w:szCs w:val="28"/>
          <w:highlight w:val="none"/>
          <w:u w:val="single"/>
        </w:rPr>
        <w:t>陆</w:t>
      </w:r>
      <w:r>
        <w:rPr>
          <w:rFonts w:hint="eastAsia" w:asciiTheme="minorEastAsia" w:hAnsiTheme="minorEastAsia" w:eastAsiaTheme="minorEastAsia" w:cstheme="minorEastAsia"/>
          <w:sz w:val="28"/>
          <w:szCs w:val="28"/>
          <w:highlight w:val="none"/>
        </w:rPr>
        <w:t>份，</w:t>
      </w:r>
      <w:r>
        <w:rPr>
          <w:rFonts w:hint="eastAsia" w:asciiTheme="minorEastAsia" w:hAnsiTheme="minorEastAsia" w:eastAsiaTheme="minorEastAsia" w:cstheme="minorEastAsia"/>
          <w:sz w:val="28"/>
          <w:szCs w:val="28"/>
          <w:highlight w:val="none"/>
          <w:lang w:val="en-US" w:eastAsia="zh-CN"/>
        </w:rPr>
        <w:t>甲乙双方各执</w:t>
      </w:r>
      <w:r>
        <w:rPr>
          <w:rFonts w:hint="eastAsia" w:asciiTheme="minorEastAsia" w:hAnsiTheme="minorEastAsia" w:eastAsiaTheme="minorEastAsia" w:cstheme="minorEastAsia"/>
          <w:sz w:val="28"/>
          <w:szCs w:val="28"/>
          <w:highlight w:val="none"/>
          <w:u w:val="single"/>
          <w:lang w:val="en-US" w:eastAsia="zh-CN"/>
        </w:rPr>
        <w:t>叁</w:t>
      </w:r>
      <w:r>
        <w:rPr>
          <w:rFonts w:hint="eastAsia" w:asciiTheme="minorEastAsia" w:hAnsiTheme="minorEastAsia" w:eastAsiaTheme="minorEastAsia" w:cstheme="minorEastAsia"/>
          <w:sz w:val="28"/>
          <w:szCs w:val="28"/>
          <w:highlight w:val="none"/>
          <w:lang w:val="en-US" w:eastAsia="zh-CN"/>
        </w:rPr>
        <w:t>份，</w:t>
      </w:r>
      <w:r>
        <w:rPr>
          <w:rFonts w:hint="eastAsia" w:asciiTheme="minorEastAsia" w:hAnsiTheme="minorEastAsia" w:eastAsiaTheme="minorEastAsia" w:cstheme="minorEastAsia"/>
          <w:sz w:val="28"/>
          <w:szCs w:val="28"/>
          <w:highlight w:val="none"/>
        </w:rPr>
        <w:t>每份合同具有同等法律效力。</w:t>
      </w:r>
    </w:p>
    <w:p w14:paraId="048D211A">
      <w:pPr>
        <w:jc w:val="both"/>
        <w:rPr>
          <w:rFonts w:hint="eastAsia" w:asciiTheme="minorEastAsia" w:hAnsiTheme="minorEastAsia" w:eastAsiaTheme="minorEastAsia" w:cstheme="minorEastAsia"/>
          <w:sz w:val="28"/>
          <w:szCs w:val="28"/>
          <w:highlight w:val="none"/>
          <w:lang w:val="en-US" w:eastAsia="zh-CN"/>
        </w:rPr>
      </w:pPr>
    </w:p>
    <w:p w14:paraId="30469CC9">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br w:type="page"/>
      </w:r>
    </w:p>
    <w:p w14:paraId="23B12BAE">
      <w:pPr>
        <w:jc w:val="center"/>
        <w:rPr>
          <w:rFonts w:hint="default" w:ascii="Times New Roman" w:hAnsi="Times New Roman" w:eastAsia="方正黑体_GBK" w:cs="Times New Roman"/>
          <w:sz w:val="44"/>
          <w:szCs w:val="44"/>
          <w:highlight w:val="none"/>
          <w:lang w:val="en-US" w:eastAsia="zh-CN"/>
        </w:rPr>
      </w:pPr>
      <w:r>
        <w:rPr>
          <w:rFonts w:hint="default" w:ascii="Times New Roman" w:hAnsi="Times New Roman" w:eastAsia="方正黑体_GBK" w:cs="Times New Roman"/>
          <w:sz w:val="44"/>
          <w:szCs w:val="44"/>
          <w:highlight w:val="none"/>
          <w:lang w:val="en-US" w:eastAsia="zh-CN"/>
        </w:rPr>
        <w:t>合同签署页</w:t>
      </w:r>
    </w:p>
    <w:p w14:paraId="0B4D0F2A">
      <w:pPr>
        <w:pStyle w:val="7"/>
        <w:rPr>
          <w:rFonts w:hint="default" w:ascii="Times New Roman" w:hAnsi="Times New Roman" w:eastAsia="方正仿宋_GBK" w:cs="Times New Roman"/>
          <w:highlight w:val="none"/>
          <w:lang w:val="en-US" w:eastAsia="zh-CN"/>
        </w:rPr>
      </w:pPr>
    </w:p>
    <w:p w14:paraId="13BE50F4">
      <w:pPr>
        <w:pStyle w:val="8"/>
        <w:rPr>
          <w:rFonts w:hint="default" w:ascii="Times New Roman" w:hAnsi="Times New Roman" w:eastAsia="方正仿宋_GBK" w:cs="Times New Roman"/>
          <w:highlight w:val="none"/>
          <w:lang w:val="en-US" w:eastAsia="zh-CN"/>
        </w:rPr>
      </w:pPr>
    </w:p>
    <w:tbl>
      <w:tblPr>
        <w:tblStyle w:val="30"/>
        <w:tblpPr w:leftFromText="180" w:rightFromText="180" w:vertAnchor="text" w:horzAnchor="page" w:tblpX="1043" w:tblpY="235"/>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9"/>
        <w:gridCol w:w="1318"/>
        <w:gridCol w:w="5620"/>
        <w:gridCol w:w="1970"/>
      </w:tblGrid>
      <w:tr w14:paraId="0F8E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restart"/>
            <w:noWrap w:val="0"/>
            <w:vAlign w:val="center"/>
          </w:tcPr>
          <w:p w14:paraId="2DF6F062">
            <w:pPr>
              <w:jc w:val="center"/>
              <w:rPr>
                <w:rFonts w:hint="default" w:ascii="Times New Roman" w:hAnsi="Times New Roman" w:eastAsia="宋体" w:cs="Times New Roman"/>
                <w:highlight w:val="none"/>
                <w:lang w:val="en-US" w:eastAsia="zh-CN"/>
              </w:rPr>
            </w:pPr>
          </w:p>
          <w:p w14:paraId="7F9B0FA9">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甲方</w:t>
            </w:r>
          </w:p>
        </w:tc>
        <w:tc>
          <w:tcPr>
            <w:tcW w:w="1318" w:type="dxa"/>
            <w:noWrap w:val="0"/>
            <w:vAlign w:val="center"/>
          </w:tcPr>
          <w:p w14:paraId="63AC207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单位名称</w:t>
            </w:r>
          </w:p>
        </w:tc>
        <w:tc>
          <w:tcPr>
            <w:tcW w:w="5620" w:type="dxa"/>
            <w:noWrap w:val="0"/>
            <w:vAlign w:val="center"/>
          </w:tcPr>
          <w:p w14:paraId="2C05E4A1">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乌鲁木齐甘泉堡经济技术开发区（工业区）应急管理局</w:t>
            </w:r>
          </w:p>
        </w:tc>
        <w:tc>
          <w:tcPr>
            <w:tcW w:w="1970" w:type="dxa"/>
            <w:vMerge w:val="restart"/>
            <w:noWrap w:val="0"/>
            <w:vAlign w:val="center"/>
          </w:tcPr>
          <w:p w14:paraId="28D009E5">
            <w:pPr>
              <w:rPr>
                <w:rFonts w:hint="default" w:ascii="Times New Roman" w:hAnsi="Times New Roman" w:eastAsia="方正仿宋_GBK" w:cs="Times New Roman"/>
                <w:highlight w:val="none"/>
                <w:lang w:val="en-US" w:eastAsia="zh-CN"/>
              </w:rPr>
            </w:pPr>
          </w:p>
          <w:p w14:paraId="2A27E225">
            <w:pPr>
              <w:rPr>
                <w:rFonts w:hint="default" w:ascii="Times New Roman" w:hAnsi="Times New Roman" w:eastAsia="方正仿宋_GBK" w:cs="Times New Roman"/>
                <w:highlight w:val="none"/>
                <w:lang w:val="en-US" w:eastAsia="zh-CN"/>
              </w:rPr>
            </w:pPr>
          </w:p>
          <w:p w14:paraId="7F8A4480">
            <w:pPr>
              <w:rPr>
                <w:rFonts w:hint="default" w:ascii="Times New Roman" w:hAnsi="Times New Roman" w:eastAsia="方正仿宋_GBK" w:cs="Times New Roman"/>
                <w:highlight w:val="none"/>
                <w:lang w:val="en-US" w:eastAsia="zh-CN"/>
              </w:rPr>
            </w:pPr>
          </w:p>
          <w:p w14:paraId="301AAE06">
            <w:pPr>
              <w:rPr>
                <w:rFonts w:hint="default" w:ascii="Times New Roman" w:hAnsi="Times New Roman" w:eastAsia="方正仿宋_GBK" w:cs="Times New Roman"/>
                <w:highlight w:val="none"/>
                <w:lang w:val="en-US" w:eastAsia="zh-CN"/>
              </w:rPr>
            </w:pPr>
          </w:p>
          <w:p w14:paraId="1C458847">
            <w:pPr>
              <w:rPr>
                <w:rFonts w:hint="default" w:ascii="Times New Roman" w:hAnsi="Times New Roman" w:eastAsia="方正仿宋_GBK" w:cs="Times New Roman"/>
                <w:highlight w:val="none"/>
                <w:lang w:val="en-US" w:eastAsia="zh-CN"/>
              </w:rPr>
            </w:pPr>
          </w:p>
          <w:p w14:paraId="2A78A4D6">
            <w:pPr>
              <w:rPr>
                <w:rFonts w:hint="default" w:ascii="Times New Roman" w:hAnsi="Times New Roman" w:eastAsia="方正仿宋_GBK" w:cs="Times New Roman"/>
                <w:highlight w:val="none"/>
                <w:lang w:val="en-US" w:eastAsia="zh-CN"/>
              </w:rPr>
            </w:pPr>
          </w:p>
          <w:p w14:paraId="7335FB32">
            <w:pPr>
              <w:rPr>
                <w:rFonts w:hint="default" w:ascii="Times New Roman" w:hAnsi="Times New Roman" w:eastAsia="方正仿宋_GBK" w:cs="Times New Roman"/>
                <w:highlight w:val="none"/>
                <w:lang w:val="en-US" w:eastAsia="zh-CN"/>
              </w:rPr>
            </w:pPr>
          </w:p>
          <w:p w14:paraId="2743C0FB">
            <w:pPr>
              <w:rPr>
                <w:rFonts w:hint="default" w:ascii="Times New Roman" w:hAnsi="Times New Roman" w:eastAsia="方正仿宋_GBK" w:cs="Times New Roman"/>
                <w:highlight w:val="none"/>
                <w:lang w:val="en-US" w:eastAsia="zh-CN"/>
              </w:rPr>
            </w:pPr>
          </w:p>
          <w:p w14:paraId="74DF452E">
            <w:pPr>
              <w:shd w:val="clear" w:color="auto" w:fil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（签章）</w:t>
            </w:r>
          </w:p>
          <w:p w14:paraId="38CF0BC9">
            <w:pPr>
              <w:rPr>
                <w:rFonts w:hint="default" w:ascii="Times New Roman" w:hAnsi="Times New Roman" w:eastAsia="方正仿宋_GBK" w:cs="Times New Roman"/>
                <w:highlight w:val="none"/>
                <w:lang w:val="en-US" w:eastAsia="zh-CN"/>
              </w:rPr>
            </w:pPr>
          </w:p>
          <w:p w14:paraId="61965D9A">
            <w:pPr>
              <w:rPr>
                <w:rFonts w:hint="default" w:ascii="Times New Roman" w:hAnsi="Times New Roman" w:eastAsia="方正仿宋_GBK" w:cs="Times New Roman"/>
                <w:highlight w:val="none"/>
                <w:lang w:val="en-US" w:eastAsia="zh-CN"/>
              </w:rPr>
            </w:pPr>
          </w:p>
          <w:p w14:paraId="58CDE903">
            <w:pPr>
              <w:rPr>
                <w:rFonts w:hint="default" w:ascii="Times New Roman" w:hAnsi="Times New Roman" w:eastAsia="方正仿宋_GBK" w:cs="Times New Roman"/>
                <w:highlight w:val="none"/>
                <w:lang w:val="en-US" w:eastAsia="zh-CN"/>
              </w:rPr>
            </w:pPr>
          </w:p>
          <w:p w14:paraId="16B20649">
            <w:pPr>
              <w:rPr>
                <w:rFonts w:hint="default" w:ascii="Times New Roman" w:hAnsi="Times New Roman" w:eastAsia="方正仿宋_GBK" w:cs="Times New Roman"/>
                <w:highlight w:val="none"/>
                <w:lang w:val="en-US" w:eastAsia="zh-CN"/>
              </w:rPr>
            </w:pPr>
          </w:p>
          <w:p w14:paraId="1BF37B66">
            <w:pPr>
              <w:rPr>
                <w:rFonts w:hint="default" w:ascii="Times New Roman" w:hAnsi="Times New Roman" w:eastAsia="方正仿宋_GBK" w:cs="Times New Roman"/>
                <w:highlight w:val="none"/>
                <w:lang w:val="en-US" w:eastAsia="zh-CN"/>
              </w:rPr>
            </w:pPr>
          </w:p>
          <w:p w14:paraId="34B9AC72">
            <w:pPr>
              <w:rPr>
                <w:rFonts w:hint="default" w:ascii="Times New Roman" w:hAnsi="Times New Roman" w:eastAsia="方正仿宋_GBK" w:cs="Times New Roman"/>
                <w:highlight w:val="none"/>
                <w:lang w:val="en-US" w:eastAsia="zh-CN"/>
              </w:rPr>
            </w:pPr>
          </w:p>
          <w:p w14:paraId="65BB2354">
            <w:pPr>
              <w:rPr>
                <w:rFonts w:hint="default" w:ascii="Times New Roman" w:hAnsi="Times New Roman" w:eastAsia="方正仿宋_GBK" w:cs="Times New Roman"/>
                <w:highlight w:val="none"/>
                <w:lang w:val="en-US" w:eastAsia="zh-CN"/>
              </w:rPr>
            </w:pPr>
          </w:p>
          <w:p w14:paraId="4505C6D4">
            <w:pPr>
              <w:rPr>
                <w:rFonts w:hint="default" w:ascii="Times New Roman" w:hAnsi="Times New Roman" w:eastAsia="方正仿宋_GBK" w:cs="Times New Roman"/>
                <w:highlight w:val="none"/>
                <w:lang w:val="en-US" w:eastAsia="zh-CN"/>
              </w:rPr>
            </w:pPr>
          </w:p>
        </w:tc>
      </w:tr>
      <w:tr w14:paraId="29D1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1E8BAD40">
            <w:pPr>
              <w:jc w:val="center"/>
              <w:rPr>
                <w:rFonts w:hint="default" w:ascii="Times New Roman" w:hAnsi="Times New Roman" w:eastAsia="宋体" w:cs="Times New Roman"/>
                <w:highlight w:val="none"/>
                <w:lang w:val="en-US" w:eastAsia="zh-CN"/>
              </w:rPr>
            </w:pPr>
          </w:p>
        </w:tc>
        <w:tc>
          <w:tcPr>
            <w:tcW w:w="1318" w:type="dxa"/>
            <w:noWrap w:val="0"/>
            <w:vAlign w:val="center"/>
          </w:tcPr>
          <w:p w14:paraId="437196E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w:t>
            </w:r>
            <w:r>
              <w:rPr>
                <w:rFonts w:hint="default" w:ascii="Times New Roman" w:hAnsi="Times New Roman" w:eastAsia="宋体" w:cs="Times New Roman"/>
                <w:highlight w:val="none"/>
                <w:lang w:val="en-US" w:eastAsia="zh-CN"/>
              </w:rPr>
              <w:tab/>
            </w:r>
            <w:r>
              <w:rPr>
                <w:rFonts w:hint="default" w:ascii="Times New Roman" w:hAnsi="Times New Roman" w:eastAsia="宋体" w:cs="Times New Roman"/>
                <w:highlight w:val="none"/>
                <w:lang w:val="en-US" w:eastAsia="zh-CN"/>
              </w:rPr>
              <w:t>址</w:t>
            </w:r>
          </w:p>
        </w:tc>
        <w:tc>
          <w:tcPr>
            <w:tcW w:w="5620" w:type="dxa"/>
            <w:noWrap w:val="0"/>
            <w:vAlign w:val="center"/>
          </w:tcPr>
          <w:p w14:paraId="3E2B7DAA">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乌鲁木齐甘泉堡经济技术开发区（工业区）瀚海东街2345号</w:t>
            </w:r>
          </w:p>
        </w:tc>
        <w:tc>
          <w:tcPr>
            <w:tcW w:w="1970" w:type="dxa"/>
            <w:vMerge w:val="continue"/>
            <w:tcBorders>
              <w:top w:val="nil"/>
            </w:tcBorders>
            <w:noWrap w:val="0"/>
            <w:vAlign w:val="center"/>
          </w:tcPr>
          <w:p w14:paraId="47589899">
            <w:pPr>
              <w:rPr>
                <w:rFonts w:hint="default" w:ascii="Times New Roman" w:hAnsi="Times New Roman" w:eastAsia="方正仿宋_GBK" w:cs="Times New Roman"/>
                <w:highlight w:val="none"/>
                <w:lang w:val="en-US" w:eastAsia="zh-CN"/>
              </w:rPr>
            </w:pPr>
          </w:p>
        </w:tc>
      </w:tr>
      <w:tr w14:paraId="108A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1562A4F0">
            <w:pPr>
              <w:jc w:val="center"/>
              <w:rPr>
                <w:rFonts w:hint="default" w:ascii="Times New Roman" w:hAnsi="Times New Roman" w:eastAsia="宋体" w:cs="Times New Roman"/>
                <w:highlight w:val="none"/>
                <w:lang w:val="en-US" w:eastAsia="zh-CN"/>
              </w:rPr>
            </w:pPr>
          </w:p>
        </w:tc>
        <w:tc>
          <w:tcPr>
            <w:tcW w:w="1318" w:type="dxa"/>
            <w:noWrap w:val="0"/>
            <w:vAlign w:val="center"/>
          </w:tcPr>
          <w:p w14:paraId="31798F3F">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法定代表人</w:t>
            </w:r>
          </w:p>
        </w:tc>
        <w:tc>
          <w:tcPr>
            <w:tcW w:w="5620" w:type="dxa"/>
            <w:noWrap w:val="0"/>
            <w:vAlign w:val="center"/>
          </w:tcPr>
          <w:p w14:paraId="56D0BC13">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5569699E">
            <w:pPr>
              <w:rPr>
                <w:rFonts w:hint="default" w:ascii="Times New Roman" w:hAnsi="Times New Roman" w:eastAsia="方正仿宋_GBK" w:cs="Times New Roman"/>
                <w:highlight w:val="none"/>
                <w:lang w:val="en-US" w:eastAsia="zh-CN"/>
              </w:rPr>
            </w:pPr>
          </w:p>
        </w:tc>
      </w:tr>
      <w:tr w14:paraId="7C1C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1CECCFC3">
            <w:pPr>
              <w:jc w:val="center"/>
              <w:rPr>
                <w:rFonts w:hint="default" w:ascii="Times New Roman" w:hAnsi="Times New Roman" w:eastAsia="宋体" w:cs="Times New Roman"/>
                <w:highlight w:val="none"/>
                <w:lang w:val="en-US" w:eastAsia="zh-CN"/>
              </w:rPr>
            </w:pPr>
          </w:p>
        </w:tc>
        <w:tc>
          <w:tcPr>
            <w:tcW w:w="1318" w:type="dxa"/>
            <w:noWrap w:val="0"/>
            <w:vAlign w:val="center"/>
          </w:tcPr>
          <w:p w14:paraId="163F47C9">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项目负责人</w:t>
            </w:r>
          </w:p>
        </w:tc>
        <w:tc>
          <w:tcPr>
            <w:tcW w:w="5620" w:type="dxa"/>
            <w:noWrap w:val="0"/>
            <w:vAlign w:val="center"/>
          </w:tcPr>
          <w:p w14:paraId="7B5AA710">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48415D06">
            <w:pPr>
              <w:rPr>
                <w:rFonts w:hint="default" w:ascii="Times New Roman" w:hAnsi="Times New Roman" w:eastAsia="方正仿宋_GBK" w:cs="Times New Roman"/>
                <w:highlight w:val="none"/>
                <w:lang w:val="en-US" w:eastAsia="zh-CN"/>
              </w:rPr>
            </w:pPr>
          </w:p>
        </w:tc>
      </w:tr>
      <w:tr w14:paraId="0641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7E344815">
            <w:pPr>
              <w:jc w:val="center"/>
              <w:rPr>
                <w:rFonts w:hint="default" w:ascii="Times New Roman" w:hAnsi="Times New Roman" w:eastAsia="宋体" w:cs="Times New Roman"/>
                <w:highlight w:val="none"/>
                <w:lang w:val="en-US" w:eastAsia="zh-CN"/>
              </w:rPr>
            </w:pPr>
          </w:p>
        </w:tc>
        <w:tc>
          <w:tcPr>
            <w:tcW w:w="1318" w:type="dxa"/>
            <w:noWrap w:val="0"/>
            <w:vAlign w:val="center"/>
          </w:tcPr>
          <w:p w14:paraId="0C4BCAA3">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手机电话</w:t>
            </w:r>
          </w:p>
        </w:tc>
        <w:tc>
          <w:tcPr>
            <w:tcW w:w="5620" w:type="dxa"/>
            <w:noWrap w:val="0"/>
            <w:vAlign w:val="center"/>
          </w:tcPr>
          <w:p w14:paraId="7FB82B44">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79053B98">
            <w:pPr>
              <w:rPr>
                <w:rFonts w:hint="default" w:ascii="Times New Roman" w:hAnsi="Times New Roman" w:eastAsia="方正仿宋_GBK" w:cs="Times New Roman"/>
                <w:highlight w:val="none"/>
                <w:lang w:val="en-US" w:eastAsia="zh-CN"/>
              </w:rPr>
            </w:pPr>
          </w:p>
        </w:tc>
      </w:tr>
      <w:tr w14:paraId="3AB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5C22691E">
            <w:pPr>
              <w:jc w:val="center"/>
              <w:rPr>
                <w:rFonts w:hint="default" w:ascii="Times New Roman" w:hAnsi="Times New Roman" w:eastAsia="宋体" w:cs="Times New Roman"/>
                <w:highlight w:val="none"/>
                <w:lang w:val="en-US" w:eastAsia="zh-CN"/>
              </w:rPr>
            </w:pPr>
          </w:p>
        </w:tc>
        <w:tc>
          <w:tcPr>
            <w:tcW w:w="1318" w:type="dxa"/>
            <w:noWrap w:val="0"/>
            <w:vAlign w:val="center"/>
          </w:tcPr>
          <w:p w14:paraId="692C1FB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电子信箱</w:t>
            </w:r>
          </w:p>
        </w:tc>
        <w:tc>
          <w:tcPr>
            <w:tcW w:w="5620" w:type="dxa"/>
            <w:noWrap w:val="0"/>
            <w:vAlign w:val="center"/>
          </w:tcPr>
          <w:p w14:paraId="638466C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t>
            </w:r>
          </w:p>
        </w:tc>
        <w:tc>
          <w:tcPr>
            <w:tcW w:w="1970" w:type="dxa"/>
            <w:vMerge w:val="continue"/>
            <w:tcBorders>
              <w:top w:val="nil"/>
            </w:tcBorders>
            <w:noWrap w:val="0"/>
            <w:vAlign w:val="center"/>
          </w:tcPr>
          <w:p w14:paraId="5B374F63">
            <w:pPr>
              <w:rPr>
                <w:rFonts w:hint="default" w:ascii="Times New Roman" w:hAnsi="Times New Roman" w:eastAsia="方正仿宋_GBK" w:cs="Times New Roman"/>
                <w:highlight w:val="none"/>
                <w:lang w:val="en-US" w:eastAsia="zh-CN"/>
              </w:rPr>
            </w:pPr>
          </w:p>
        </w:tc>
      </w:tr>
      <w:tr w14:paraId="027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5E4E82F7">
            <w:pPr>
              <w:jc w:val="center"/>
              <w:rPr>
                <w:rFonts w:hint="default" w:ascii="Times New Roman" w:hAnsi="Times New Roman" w:eastAsia="宋体" w:cs="Times New Roman"/>
                <w:highlight w:val="none"/>
                <w:lang w:val="en-US" w:eastAsia="zh-CN"/>
              </w:rPr>
            </w:pPr>
          </w:p>
        </w:tc>
        <w:tc>
          <w:tcPr>
            <w:tcW w:w="1318" w:type="dxa"/>
            <w:noWrap w:val="0"/>
            <w:vAlign w:val="center"/>
          </w:tcPr>
          <w:p w14:paraId="1BABAD2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开户银行</w:t>
            </w:r>
          </w:p>
        </w:tc>
        <w:tc>
          <w:tcPr>
            <w:tcW w:w="5620" w:type="dxa"/>
            <w:noWrap w:val="0"/>
            <w:vAlign w:val="center"/>
          </w:tcPr>
          <w:p w14:paraId="479F5CD7">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新疆天山农村商业银行股份有限公司甘泉堡支行</w:t>
            </w:r>
          </w:p>
        </w:tc>
        <w:tc>
          <w:tcPr>
            <w:tcW w:w="1970" w:type="dxa"/>
            <w:vMerge w:val="continue"/>
            <w:tcBorders>
              <w:top w:val="nil"/>
            </w:tcBorders>
            <w:noWrap w:val="0"/>
            <w:vAlign w:val="center"/>
          </w:tcPr>
          <w:p w14:paraId="58DAEFB4">
            <w:pPr>
              <w:rPr>
                <w:rFonts w:hint="default" w:ascii="Times New Roman" w:hAnsi="Times New Roman" w:eastAsia="方正仿宋_GBK" w:cs="Times New Roman"/>
                <w:highlight w:val="none"/>
                <w:lang w:val="en-US" w:eastAsia="zh-CN"/>
              </w:rPr>
            </w:pPr>
          </w:p>
        </w:tc>
      </w:tr>
      <w:tr w14:paraId="6D60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7E68F3EF">
            <w:pPr>
              <w:jc w:val="center"/>
              <w:rPr>
                <w:rFonts w:hint="default" w:ascii="Times New Roman" w:hAnsi="Times New Roman" w:eastAsia="宋体" w:cs="Times New Roman"/>
                <w:highlight w:val="none"/>
                <w:lang w:val="en-US" w:eastAsia="zh-CN"/>
              </w:rPr>
            </w:pPr>
          </w:p>
        </w:tc>
        <w:tc>
          <w:tcPr>
            <w:tcW w:w="1318" w:type="dxa"/>
            <w:noWrap w:val="0"/>
            <w:vAlign w:val="center"/>
          </w:tcPr>
          <w:p w14:paraId="11BDEEC8">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银行账号</w:t>
            </w:r>
          </w:p>
        </w:tc>
        <w:tc>
          <w:tcPr>
            <w:tcW w:w="5620" w:type="dxa"/>
            <w:noWrap w:val="0"/>
            <w:vAlign w:val="center"/>
          </w:tcPr>
          <w:p w14:paraId="2C1A3883">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807080112010100052558</w:t>
            </w:r>
          </w:p>
        </w:tc>
        <w:tc>
          <w:tcPr>
            <w:tcW w:w="1970" w:type="dxa"/>
            <w:vMerge w:val="continue"/>
            <w:tcBorders>
              <w:top w:val="nil"/>
            </w:tcBorders>
            <w:noWrap w:val="0"/>
            <w:vAlign w:val="center"/>
          </w:tcPr>
          <w:p w14:paraId="1BEA2485">
            <w:pPr>
              <w:rPr>
                <w:rFonts w:hint="default" w:ascii="Times New Roman" w:hAnsi="Times New Roman" w:eastAsia="方正仿宋_GBK" w:cs="Times New Roman"/>
                <w:highlight w:val="none"/>
                <w:lang w:val="en-US" w:eastAsia="zh-CN"/>
              </w:rPr>
            </w:pPr>
          </w:p>
        </w:tc>
      </w:tr>
      <w:tr w14:paraId="75C5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589C62E5">
            <w:pPr>
              <w:jc w:val="center"/>
              <w:rPr>
                <w:rFonts w:hint="default" w:ascii="Times New Roman" w:hAnsi="Times New Roman" w:eastAsia="宋体" w:cs="Times New Roman"/>
                <w:highlight w:val="none"/>
                <w:lang w:val="en-US" w:eastAsia="zh-CN"/>
              </w:rPr>
            </w:pPr>
          </w:p>
        </w:tc>
        <w:tc>
          <w:tcPr>
            <w:tcW w:w="1318" w:type="dxa"/>
            <w:noWrap w:val="0"/>
            <w:vAlign w:val="center"/>
          </w:tcPr>
          <w:p w14:paraId="00543866">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税   号</w:t>
            </w:r>
          </w:p>
        </w:tc>
        <w:tc>
          <w:tcPr>
            <w:tcW w:w="5620" w:type="dxa"/>
            <w:noWrap w:val="0"/>
            <w:vAlign w:val="center"/>
          </w:tcPr>
          <w:p w14:paraId="661AD499">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11650100MB108121XL</w:t>
            </w:r>
          </w:p>
        </w:tc>
        <w:tc>
          <w:tcPr>
            <w:tcW w:w="1970" w:type="dxa"/>
            <w:vMerge w:val="continue"/>
            <w:tcBorders>
              <w:top w:val="nil"/>
            </w:tcBorders>
            <w:noWrap w:val="0"/>
            <w:vAlign w:val="center"/>
          </w:tcPr>
          <w:p w14:paraId="0B833491">
            <w:pPr>
              <w:rPr>
                <w:rFonts w:hint="default" w:ascii="Times New Roman" w:hAnsi="Times New Roman" w:eastAsia="方正仿宋_GBK" w:cs="Times New Roman"/>
                <w:highlight w:val="none"/>
                <w:lang w:val="en-US" w:eastAsia="zh-CN"/>
              </w:rPr>
            </w:pPr>
          </w:p>
        </w:tc>
      </w:tr>
      <w:tr w14:paraId="777A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restart"/>
            <w:noWrap w:val="0"/>
            <w:vAlign w:val="center"/>
          </w:tcPr>
          <w:p w14:paraId="5B4048ED">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乙方</w:t>
            </w:r>
          </w:p>
        </w:tc>
        <w:tc>
          <w:tcPr>
            <w:tcW w:w="1318" w:type="dxa"/>
            <w:noWrap w:val="0"/>
            <w:vAlign w:val="center"/>
          </w:tcPr>
          <w:p w14:paraId="06BB38BE">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单位名称</w:t>
            </w:r>
          </w:p>
        </w:tc>
        <w:tc>
          <w:tcPr>
            <w:tcW w:w="5620" w:type="dxa"/>
            <w:noWrap w:val="0"/>
            <w:vAlign w:val="center"/>
          </w:tcPr>
          <w:p w14:paraId="32E2C503">
            <w:pPr>
              <w:rPr>
                <w:rFonts w:hint="default" w:ascii="Times New Roman" w:hAnsi="Times New Roman" w:eastAsia="宋体" w:cs="Times New Roman"/>
                <w:highlight w:val="none"/>
                <w:lang w:val="en-US" w:eastAsia="zh-CN"/>
              </w:rPr>
            </w:pPr>
            <w:r>
              <w:rPr>
                <w:rFonts w:hint="eastAsia" w:eastAsia="宋体" w:cs="Times New Roman"/>
                <w:highlight w:val="none"/>
                <w:lang w:val="en-US" w:eastAsia="zh-CN"/>
              </w:rPr>
              <w:t xml:space="preserve"> </w:t>
            </w:r>
          </w:p>
        </w:tc>
        <w:tc>
          <w:tcPr>
            <w:tcW w:w="1970" w:type="dxa"/>
            <w:vMerge w:val="restart"/>
            <w:noWrap w:val="0"/>
            <w:vAlign w:val="center"/>
          </w:tcPr>
          <w:p w14:paraId="5F335B10">
            <w:pPr>
              <w:rPr>
                <w:rFonts w:hint="default" w:ascii="Times New Roman" w:hAnsi="Times New Roman" w:eastAsia="方正仿宋_GBK" w:cs="Times New Roman"/>
                <w:highlight w:val="none"/>
                <w:lang w:val="en-US" w:eastAsia="zh-CN"/>
              </w:rPr>
            </w:pPr>
          </w:p>
          <w:p w14:paraId="1E5599C5">
            <w:pPr>
              <w:rPr>
                <w:rFonts w:hint="default" w:ascii="Times New Roman" w:hAnsi="Times New Roman" w:eastAsia="方正仿宋_GBK" w:cs="Times New Roman"/>
                <w:highlight w:val="none"/>
                <w:lang w:val="en-US" w:eastAsia="zh-CN"/>
              </w:rPr>
            </w:pPr>
          </w:p>
          <w:p w14:paraId="10D79399">
            <w:pPr>
              <w:rPr>
                <w:rFonts w:hint="default" w:ascii="Times New Roman" w:hAnsi="Times New Roman" w:eastAsia="方正仿宋_GBK" w:cs="Times New Roman"/>
                <w:highlight w:val="none"/>
                <w:lang w:val="en-US" w:eastAsia="zh-CN"/>
              </w:rPr>
            </w:pPr>
          </w:p>
          <w:p w14:paraId="4D008F77">
            <w:pPr>
              <w:rPr>
                <w:rFonts w:hint="default" w:ascii="Times New Roman" w:hAnsi="Times New Roman" w:eastAsia="方正仿宋_GBK" w:cs="Times New Roman"/>
                <w:highlight w:val="none"/>
                <w:lang w:val="en-US" w:eastAsia="zh-CN"/>
              </w:rPr>
            </w:pPr>
          </w:p>
          <w:p w14:paraId="461746FE">
            <w:pPr>
              <w:rPr>
                <w:rFonts w:hint="default" w:ascii="Times New Roman" w:hAnsi="Times New Roman" w:eastAsia="方正仿宋_GBK" w:cs="Times New Roman"/>
                <w:highlight w:val="none"/>
                <w:lang w:val="en-US" w:eastAsia="zh-CN"/>
              </w:rPr>
            </w:pPr>
          </w:p>
          <w:p w14:paraId="5E1CDB03">
            <w:pPr>
              <w:rPr>
                <w:rFonts w:hint="default" w:ascii="Times New Roman" w:hAnsi="Times New Roman" w:eastAsia="方正仿宋_GBK" w:cs="Times New Roman"/>
                <w:highlight w:val="none"/>
                <w:lang w:val="en-US" w:eastAsia="zh-CN"/>
              </w:rPr>
            </w:pPr>
          </w:p>
          <w:p w14:paraId="418159C1">
            <w:pPr>
              <w:shd w:val="clear" w:color="auto" w:fil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（签章）</w:t>
            </w:r>
          </w:p>
          <w:p w14:paraId="62B38992">
            <w:pPr>
              <w:rPr>
                <w:rFonts w:hint="default" w:ascii="Times New Roman" w:hAnsi="Times New Roman" w:eastAsia="方正仿宋_GBK" w:cs="Times New Roman"/>
                <w:highlight w:val="none"/>
                <w:lang w:val="en-US" w:eastAsia="zh-CN"/>
              </w:rPr>
            </w:pPr>
          </w:p>
          <w:p w14:paraId="4E2AAF78">
            <w:pPr>
              <w:rPr>
                <w:rFonts w:hint="default" w:ascii="Times New Roman" w:hAnsi="Times New Roman" w:eastAsia="方正仿宋_GBK" w:cs="Times New Roman"/>
                <w:highlight w:val="none"/>
                <w:lang w:val="en-US" w:eastAsia="zh-CN"/>
              </w:rPr>
            </w:pPr>
          </w:p>
          <w:p w14:paraId="1B6AFA00">
            <w:pPr>
              <w:rPr>
                <w:rFonts w:hint="default" w:ascii="Times New Roman" w:hAnsi="Times New Roman" w:eastAsia="方正仿宋_GBK" w:cs="Times New Roman"/>
                <w:highlight w:val="none"/>
                <w:lang w:val="en-US" w:eastAsia="zh-CN"/>
              </w:rPr>
            </w:pPr>
          </w:p>
          <w:p w14:paraId="2F0E2B92">
            <w:pPr>
              <w:rPr>
                <w:rFonts w:hint="default" w:ascii="Times New Roman" w:hAnsi="Times New Roman" w:eastAsia="方正仿宋_GBK" w:cs="Times New Roman"/>
                <w:highlight w:val="none"/>
                <w:lang w:val="en-US" w:eastAsia="zh-CN"/>
              </w:rPr>
            </w:pPr>
          </w:p>
          <w:p w14:paraId="5D7B7795">
            <w:pPr>
              <w:rPr>
                <w:rFonts w:hint="default" w:ascii="Times New Roman" w:hAnsi="Times New Roman" w:eastAsia="方正仿宋_GBK" w:cs="Times New Roman"/>
                <w:highlight w:val="none"/>
                <w:lang w:val="en-US" w:eastAsia="zh-CN"/>
              </w:rPr>
            </w:pPr>
          </w:p>
        </w:tc>
      </w:tr>
      <w:tr w14:paraId="4F38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21198651">
            <w:pPr>
              <w:rPr>
                <w:rFonts w:hint="default" w:ascii="Times New Roman" w:hAnsi="Times New Roman" w:eastAsia="宋体" w:cs="Times New Roman"/>
                <w:highlight w:val="none"/>
                <w:lang w:val="en-US" w:eastAsia="zh-CN"/>
              </w:rPr>
            </w:pPr>
          </w:p>
        </w:tc>
        <w:tc>
          <w:tcPr>
            <w:tcW w:w="1318" w:type="dxa"/>
            <w:noWrap w:val="0"/>
            <w:vAlign w:val="center"/>
          </w:tcPr>
          <w:p w14:paraId="14A4E95D">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w:t>
            </w:r>
            <w:r>
              <w:rPr>
                <w:rFonts w:hint="default" w:ascii="Times New Roman" w:hAnsi="Times New Roman" w:eastAsia="宋体" w:cs="Times New Roman"/>
                <w:highlight w:val="none"/>
                <w:lang w:val="en-US" w:eastAsia="zh-CN"/>
              </w:rPr>
              <w:tab/>
            </w:r>
            <w:r>
              <w:rPr>
                <w:rFonts w:hint="default" w:ascii="Times New Roman" w:hAnsi="Times New Roman" w:eastAsia="宋体" w:cs="Times New Roman"/>
                <w:highlight w:val="none"/>
                <w:lang w:val="en-US" w:eastAsia="zh-CN"/>
              </w:rPr>
              <w:t>址</w:t>
            </w:r>
          </w:p>
        </w:tc>
        <w:tc>
          <w:tcPr>
            <w:tcW w:w="5620" w:type="dxa"/>
            <w:noWrap w:val="0"/>
            <w:vAlign w:val="center"/>
          </w:tcPr>
          <w:p w14:paraId="6AE0C1C1">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09582EF1">
            <w:pPr>
              <w:rPr>
                <w:rFonts w:hint="default" w:ascii="Times New Roman" w:hAnsi="Times New Roman" w:eastAsia="方正仿宋_GBK" w:cs="Times New Roman"/>
                <w:highlight w:val="none"/>
                <w:lang w:val="en-US" w:eastAsia="zh-CN"/>
              </w:rPr>
            </w:pPr>
          </w:p>
        </w:tc>
      </w:tr>
      <w:tr w14:paraId="547F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5F47E909">
            <w:pPr>
              <w:rPr>
                <w:rFonts w:hint="default" w:ascii="Times New Roman" w:hAnsi="Times New Roman" w:eastAsia="宋体" w:cs="Times New Roman"/>
                <w:highlight w:val="none"/>
                <w:lang w:val="en-US" w:eastAsia="zh-CN"/>
              </w:rPr>
            </w:pPr>
          </w:p>
        </w:tc>
        <w:tc>
          <w:tcPr>
            <w:tcW w:w="1318" w:type="dxa"/>
            <w:noWrap w:val="0"/>
            <w:vAlign w:val="center"/>
          </w:tcPr>
          <w:p w14:paraId="0067272E">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法定代表人</w:t>
            </w:r>
          </w:p>
        </w:tc>
        <w:tc>
          <w:tcPr>
            <w:tcW w:w="5620" w:type="dxa"/>
            <w:noWrap w:val="0"/>
            <w:vAlign w:val="center"/>
          </w:tcPr>
          <w:p w14:paraId="370ECD45">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64E42543">
            <w:pPr>
              <w:rPr>
                <w:rFonts w:hint="default" w:ascii="Times New Roman" w:hAnsi="Times New Roman" w:eastAsia="方正仿宋_GBK" w:cs="Times New Roman"/>
                <w:highlight w:val="none"/>
                <w:lang w:val="en-US" w:eastAsia="zh-CN"/>
              </w:rPr>
            </w:pPr>
          </w:p>
        </w:tc>
      </w:tr>
      <w:tr w14:paraId="6F76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4BD624A0">
            <w:pPr>
              <w:rPr>
                <w:rFonts w:hint="default" w:ascii="Times New Roman" w:hAnsi="Times New Roman" w:eastAsia="宋体" w:cs="Times New Roman"/>
                <w:highlight w:val="none"/>
                <w:lang w:val="en-US" w:eastAsia="zh-CN"/>
              </w:rPr>
            </w:pPr>
          </w:p>
        </w:tc>
        <w:tc>
          <w:tcPr>
            <w:tcW w:w="1318" w:type="dxa"/>
            <w:noWrap w:val="0"/>
            <w:vAlign w:val="center"/>
          </w:tcPr>
          <w:p w14:paraId="3AE7F3D8">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项目负责人</w:t>
            </w:r>
          </w:p>
        </w:tc>
        <w:tc>
          <w:tcPr>
            <w:tcW w:w="5620" w:type="dxa"/>
            <w:noWrap w:val="0"/>
            <w:vAlign w:val="center"/>
          </w:tcPr>
          <w:p w14:paraId="06EEDD22">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04E4AED1">
            <w:pPr>
              <w:rPr>
                <w:rFonts w:hint="default" w:ascii="Times New Roman" w:hAnsi="Times New Roman" w:eastAsia="方正仿宋_GBK" w:cs="Times New Roman"/>
                <w:highlight w:val="none"/>
                <w:lang w:val="en-US" w:eastAsia="zh-CN"/>
              </w:rPr>
            </w:pPr>
          </w:p>
        </w:tc>
      </w:tr>
      <w:tr w14:paraId="0D4C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039EF05E">
            <w:pPr>
              <w:rPr>
                <w:rFonts w:hint="default" w:ascii="Times New Roman" w:hAnsi="Times New Roman" w:eastAsia="宋体" w:cs="Times New Roman"/>
                <w:highlight w:val="none"/>
                <w:lang w:val="en-US" w:eastAsia="zh-CN"/>
              </w:rPr>
            </w:pPr>
          </w:p>
        </w:tc>
        <w:tc>
          <w:tcPr>
            <w:tcW w:w="1318" w:type="dxa"/>
            <w:noWrap w:val="0"/>
            <w:vAlign w:val="center"/>
          </w:tcPr>
          <w:p w14:paraId="07834287">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手机电话</w:t>
            </w:r>
          </w:p>
        </w:tc>
        <w:tc>
          <w:tcPr>
            <w:tcW w:w="5620" w:type="dxa"/>
            <w:noWrap w:val="0"/>
            <w:vAlign w:val="center"/>
          </w:tcPr>
          <w:p w14:paraId="66271184">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4F64409F">
            <w:pPr>
              <w:rPr>
                <w:rFonts w:hint="default" w:ascii="Times New Roman" w:hAnsi="Times New Roman" w:eastAsia="方正仿宋_GBK" w:cs="Times New Roman"/>
                <w:highlight w:val="none"/>
                <w:lang w:val="en-US" w:eastAsia="zh-CN"/>
              </w:rPr>
            </w:pPr>
          </w:p>
        </w:tc>
      </w:tr>
      <w:tr w14:paraId="22B7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5017ADF9">
            <w:pPr>
              <w:rPr>
                <w:rFonts w:hint="default" w:ascii="Times New Roman" w:hAnsi="Times New Roman" w:eastAsia="宋体" w:cs="Times New Roman"/>
                <w:highlight w:val="none"/>
                <w:lang w:val="en-US" w:eastAsia="zh-CN"/>
              </w:rPr>
            </w:pPr>
          </w:p>
        </w:tc>
        <w:tc>
          <w:tcPr>
            <w:tcW w:w="1318" w:type="dxa"/>
            <w:noWrap w:val="0"/>
            <w:vAlign w:val="center"/>
          </w:tcPr>
          <w:p w14:paraId="103A36F2">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电子信箱</w:t>
            </w:r>
          </w:p>
        </w:tc>
        <w:tc>
          <w:tcPr>
            <w:tcW w:w="5620" w:type="dxa"/>
            <w:noWrap w:val="0"/>
            <w:vAlign w:val="center"/>
          </w:tcPr>
          <w:p w14:paraId="6C514962">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0F53745A">
            <w:pPr>
              <w:rPr>
                <w:rFonts w:hint="default" w:ascii="Times New Roman" w:hAnsi="Times New Roman" w:eastAsia="方正仿宋_GBK" w:cs="Times New Roman"/>
                <w:highlight w:val="none"/>
                <w:lang w:val="en-US" w:eastAsia="zh-CN"/>
              </w:rPr>
            </w:pPr>
          </w:p>
        </w:tc>
      </w:tr>
      <w:tr w14:paraId="38E8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606D917C">
            <w:pPr>
              <w:rPr>
                <w:rFonts w:hint="default" w:ascii="Times New Roman" w:hAnsi="Times New Roman" w:eastAsia="宋体" w:cs="Times New Roman"/>
                <w:highlight w:val="none"/>
                <w:lang w:val="en-US" w:eastAsia="zh-CN"/>
              </w:rPr>
            </w:pPr>
          </w:p>
        </w:tc>
        <w:tc>
          <w:tcPr>
            <w:tcW w:w="1318" w:type="dxa"/>
            <w:noWrap w:val="0"/>
            <w:vAlign w:val="center"/>
          </w:tcPr>
          <w:p w14:paraId="04F20B29">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开户银行</w:t>
            </w:r>
          </w:p>
        </w:tc>
        <w:tc>
          <w:tcPr>
            <w:tcW w:w="5620" w:type="dxa"/>
            <w:noWrap w:val="0"/>
            <w:vAlign w:val="center"/>
          </w:tcPr>
          <w:p w14:paraId="75ECFC4D">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2319DB2B">
            <w:pPr>
              <w:rPr>
                <w:rFonts w:hint="default" w:ascii="Times New Roman" w:hAnsi="Times New Roman" w:eastAsia="方正仿宋_GBK" w:cs="Times New Roman"/>
                <w:highlight w:val="none"/>
                <w:lang w:val="en-US" w:eastAsia="zh-CN"/>
              </w:rPr>
            </w:pPr>
          </w:p>
        </w:tc>
      </w:tr>
      <w:tr w14:paraId="228F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555BBA5D">
            <w:pPr>
              <w:rPr>
                <w:rFonts w:hint="default" w:ascii="Times New Roman" w:hAnsi="Times New Roman" w:eastAsia="宋体" w:cs="Times New Roman"/>
                <w:highlight w:val="none"/>
                <w:lang w:val="en-US" w:eastAsia="zh-CN"/>
              </w:rPr>
            </w:pPr>
          </w:p>
        </w:tc>
        <w:tc>
          <w:tcPr>
            <w:tcW w:w="1318" w:type="dxa"/>
            <w:noWrap w:val="0"/>
            <w:vAlign w:val="center"/>
          </w:tcPr>
          <w:p w14:paraId="1C91755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银行账号</w:t>
            </w:r>
          </w:p>
        </w:tc>
        <w:tc>
          <w:tcPr>
            <w:tcW w:w="5620" w:type="dxa"/>
            <w:noWrap w:val="0"/>
            <w:vAlign w:val="center"/>
          </w:tcPr>
          <w:p w14:paraId="37269EF9">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27B9F665">
            <w:pPr>
              <w:rPr>
                <w:rFonts w:hint="default" w:ascii="Times New Roman" w:hAnsi="Times New Roman" w:eastAsia="方正仿宋_GBK" w:cs="Times New Roman"/>
                <w:highlight w:val="none"/>
                <w:lang w:val="en-US" w:eastAsia="zh-CN"/>
              </w:rPr>
            </w:pPr>
          </w:p>
        </w:tc>
      </w:tr>
      <w:tr w14:paraId="688C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noWrap w:val="0"/>
            <w:vAlign w:val="center"/>
          </w:tcPr>
          <w:p w14:paraId="70622494">
            <w:pPr>
              <w:rPr>
                <w:rFonts w:hint="default" w:ascii="Times New Roman" w:hAnsi="Times New Roman" w:eastAsia="宋体" w:cs="Times New Roman"/>
                <w:highlight w:val="none"/>
                <w:lang w:val="en-US" w:eastAsia="zh-CN"/>
              </w:rPr>
            </w:pPr>
          </w:p>
        </w:tc>
        <w:tc>
          <w:tcPr>
            <w:tcW w:w="1318" w:type="dxa"/>
            <w:noWrap w:val="0"/>
            <w:vAlign w:val="center"/>
          </w:tcPr>
          <w:p w14:paraId="10F05967">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税   号</w:t>
            </w:r>
          </w:p>
        </w:tc>
        <w:tc>
          <w:tcPr>
            <w:tcW w:w="5620" w:type="dxa"/>
            <w:noWrap w:val="0"/>
            <w:vAlign w:val="center"/>
          </w:tcPr>
          <w:p w14:paraId="34483669">
            <w:pPr>
              <w:rPr>
                <w:rFonts w:hint="default" w:ascii="Times New Roman" w:hAnsi="Times New Roman" w:eastAsia="宋体" w:cs="Times New Roman"/>
                <w:highlight w:val="none"/>
                <w:lang w:val="en-US" w:eastAsia="zh-CN"/>
              </w:rPr>
            </w:pPr>
          </w:p>
        </w:tc>
        <w:tc>
          <w:tcPr>
            <w:tcW w:w="1970" w:type="dxa"/>
            <w:vMerge w:val="continue"/>
            <w:tcBorders>
              <w:top w:val="nil"/>
            </w:tcBorders>
            <w:noWrap w:val="0"/>
            <w:vAlign w:val="center"/>
          </w:tcPr>
          <w:p w14:paraId="417E7BF9">
            <w:pPr>
              <w:rPr>
                <w:rFonts w:hint="default" w:ascii="Times New Roman" w:hAnsi="Times New Roman" w:eastAsia="方正仿宋_GBK" w:cs="Times New Roman"/>
                <w:highlight w:val="none"/>
                <w:lang w:val="en-US" w:eastAsia="zh-CN"/>
              </w:rPr>
            </w:pPr>
          </w:p>
        </w:tc>
      </w:tr>
    </w:tbl>
    <w:p w14:paraId="74EB3FA8">
      <w:pPr>
        <w:pStyle w:val="7"/>
        <w:rPr>
          <w:rFonts w:hint="default" w:ascii="Times New Roman" w:hAnsi="Times New Roman" w:eastAsia="方正仿宋_GBK" w:cs="Times New Roman"/>
          <w:highlight w:val="none"/>
        </w:rPr>
      </w:pPr>
    </w:p>
    <w:p w14:paraId="17521591">
      <w:pPr>
        <w:pStyle w:val="14"/>
        <w:ind w:left="0" w:leftChars="0" w:firstLine="0" w:firstLineChars="0"/>
        <w:rPr>
          <w:rFonts w:hint="default" w:ascii="Times New Roman" w:hAnsi="Times New Roman" w:eastAsia="方正仿宋_GBK" w:cs="Times New Roman"/>
          <w:sz w:val="28"/>
          <w:szCs w:val="22"/>
          <w:highlight w:val="none"/>
          <w:lang w:val="en-US" w:eastAsia="zh-CN"/>
        </w:rPr>
      </w:pPr>
    </w:p>
    <w:p w14:paraId="7E4C7EE4">
      <w:pPr>
        <w:rPr>
          <w:rFonts w:hint="default" w:ascii="Times New Roman" w:hAnsi="Times New Roman" w:eastAsia="方正楷体_GBK" w:cs="Times New Roman"/>
          <w:color w:val="000000"/>
          <w:spacing w:val="0"/>
          <w:w w:val="100"/>
          <w:position w:val="0"/>
          <w:sz w:val="32"/>
          <w:szCs w:val="32"/>
          <w:highlight w:val="none"/>
          <w:shd w:val="clear" w:color="auto" w:fill="auto"/>
          <w:lang w:val="en-US" w:eastAsia="zh-CN" w:bidi="en-US"/>
        </w:rPr>
      </w:pPr>
      <w:r>
        <w:rPr>
          <w:rFonts w:hint="default" w:ascii="Times New Roman" w:hAnsi="Times New Roman" w:eastAsia="方正楷体_GBK" w:cs="Times New Roman"/>
          <w:color w:val="000000"/>
          <w:spacing w:val="0"/>
          <w:w w:val="100"/>
          <w:position w:val="0"/>
          <w:sz w:val="32"/>
          <w:szCs w:val="32"/>
          <w:highlight w:val="none"/>
          <w:shd w:val="clear" w:color="auto" w:fill="auto"/>
          <w:lang w:val="en-US" w:eastAsia="zh-CN" w:bidi="en-US"/>
        </w:rPr>
        <w:br w:type="page"/>
      </w:r>
    </w:p>
    <w:p w14:paraId="51D6F973">
      <w:pPr>
        <w:pStyle w:val="14"/>
        <w:ind w:left="0" w:leftChars="0" w:firstLine="0" w:firstLineChars="0"/>
        <w:rPr>
          <w:rFonts w:hint="default" w:ascii="Times New Roman" w:hAnsi="Times New Roman" w:eastAsia="方正楷体_GBK" w:cs="Times New Roman"/>
          <w:color w:val="000000"/>
          <w:spacing w:val="0"/>
          <w:w w:val="100"/>
          <w:position w:val="0"/>
          <w:sz w:val="32"/>
          <w:szCs w:val="32"/>
          <w:highlight w:val="none"/>
          <w:shd w:val="clear" w:color="auto" w:fill="auto"/>
          <w:lang w:val="en-US" w:eastAsia="zh-CN" w:bidi="en-US"/>
        </w:rPr>
      </w:pPr>
      <w:r>
        <w:rPr>
          <w:rFonts w:hint="default" w:ascii="Times New Roman" w:hAnsi="Times New Roman" w:eastAsia="方正楷体_GBK" w:cs="Times New Roman"/>
          <w:color w:val="000000"/>
          <w:spacing w:val="0"/>
          <w:w w:val="100"/>
          <w:position w:val="0"/>
          <w:sz w:val="32"/>
          <w:szCs w:val="32"/>
          <w:highlight w:val="none"/>
          <w:shd w:val="clear" w:color="auto" w:fill="auto"/>
          <w:lang w:val="en-US" w:eastAsia="zh-CN" w:bidi="en-US"/>
        </w:rPr>
        <w:t>附件一：</w:t>
      </w:r>
    </w:p>
    <w:p w14:paraId="3729340C">
      <w:pPr>
        <w:pStyle w:val="14"/>
        <w:keepNext w:val="0"/>
        <w:keepLines w:val="0"/>
        <w:pageBreakBefore w:val="0"/>
        <w:widowControl w:val="0"/>
        <w:tabs>
          <w:tab w:val="left" w:pos="0"/>
        </w:tabs>
        <w:kinsoku/>
        <w:wordWrap/>
        <w:overflowPunct/>
        <w:topLinePunct w:val="0"/>
        <w:autoSpaceDE/>
        <w:autoSpaceDN/>
        <w:bidi w:val="0"/>
        <w:adjustRightInd/>
        <w:snapToGrid/>
        <w:spacing w:line="520" w:lineRule="exact"/>
        <w:ind w:left="0" w:leftChars="0" w:firstLine="0" w:firstLineChars="0"/>
        <w:jc w:val="both"/>
        <w:textAlignment w:val="auto"/>
        <w:outlineLvl w:val="0"/>
        <w:rPr>
          <w:rFonts w:hint="default" w:ascii="Times New Roman" w:hAnsi="Times New Roman" w:eastAsia="方正仿宋_GBK" w:cs="Times New Roman"/>
          <w:sz w:val="28"/>
          <w:szCs w:val="28"/>
          <w:highlight w:val="none"/>
          <w:lang w:val="en-US" w:eastAsia="zh-CN"/>
        </w:rPr>
      </w:pPr>
    </w:p>
    <w:p w14:paraId="31C3F6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44"/>
          <w:szCs w:val="52"/>
          <w:highlight w:val="none"/>
          <w:lang w:val="en-US" w:eastAsia="zh-CN"/>
        </w:rPr>
      </w:pPr>
    </w:p>
    <w:p w14:paraId="4AF447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52"/>
          <w:highlight w:val="none"/>
          <w:lang w:val="en-US" w:eastAsia="zh-CN"/>
        </w:rPr>
      </w:pPr>
      <w:r>
        <w:rPr>
          <w:rFonts w:hint="default" w:ascii="Times New Roman" w:hAnsi="Times New Roman" w:eastAsia="方正小标宋_GBK" w:cs="Times New Roman"/>
          <w:sz w:val="44"/>
          <w:szCs w:val="52"/>
          <w:highlight w:val="none"/>
          <w:lang w:val="en-US" w:eastAsia="zh-CN"/>
        </w:rPr>
        <w:t>乌鲁木齐甘泉堡经济技术开发区（工业区）</w:t>
      </w:r>
    </w:p>
    <w:p w14:paraId="4F34CC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52"/>
          <w:highlight w:val="none"/>
          <w:lang w:val="en-US" w:eastAsia="zh-CN"/>
        </w:rPr>
      </w:pPr>
      <w:r>
        <w:rPr>
          <w:rFonts w:hint="default" w:ascii="Times New Roman" w:hAnsi="Times New Roman" w:eastAsia="方正小标宋_GBK" w:cs="Times New Roman"/>
          <w:sz w:val="44"/>
          <w:szCs w:val="52"/>
          <w:highlight w:val="none"/>
          <w:lang w:val="en-US" w:eastAsia="zh-CN"/>
        </w:rPr>
        <w:t>项目验收单</w:t>
      </w:r>
    </w:p>
    <w:p w14:paraId="17EA32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44"/>
          <w:szCs w:val="52"/>
          <w:highlight w:val="none"/>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2032"/>
        <w:gridCol w:w="4261"/>
      </w:tblGrid>
      <w:tr w14:paraId="6611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229" w:type="dxa"/>
            <w:vAlign w:val="center"/>
          </w:tcPr>
          <w:p w14:paraId="7EC0CD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项目名称</w:t>
            </w:r>
          </w:p>
        </w:tc>
        <w:tc>
          <w:tcPr>
            <w:tcW w:w="6293" w:type="dxa"/>
            <w:gridSpan w:val="2"/>
            <w:vAlign w:val="center"/>
          </w:tcPr>
          <w:p w14:paraId="2EFF5A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0402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229" w:type="dxa"/>
            <w:vAlign w:val="center"/>
          </w:tcPr>
          <w:p w14:paraId="1AADB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项目地点</w:t>
            </w:r>
          </w:p>
        </w:tc>
        <w:tc>
          <w:tcPr>
            <w:tcW w:w="6293" w:type="dxa"/>
            <w:gridSpan w:val="2"/>
            <w:vAlign w:val="center"/>
          </w:tcPr>
          <w:p w14:paraId="12F61B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2206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229" w:type="dxa"/>
            <w:vAlign w:val="center"/>
          </w:tcPr>
          <w:p w14:paraId="6E6211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完成时间</w:t>
            </w:r>
          </w:p>
        </w:tc>
        <w:tc>
          <w:tcPr>
            <w:tcW w:w="6293" w:type="dxa"/>
            <w:gridSpan w:val="2"/>
            <w:vAlign w:val="center"/>
          </w:tcPr>
          <w:p w14:paraId="27C920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3CD9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8522" w:type="dxa"/>
            <w:gridSpan w:val="3"/>
            <w:vAlign w:val="top"/>
          </w:tcPr>
          <w:p w14:paraId="72ABC21C">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完成项目内容</w:t>
            </w:r>
          </w:p>
          <w:p w14:paraId="75262CDD">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完成项目情况</w:t>
            </w:r>
          </w:p>
        </w:tc>
      </w:tr>
      <w:tr w14:paraId="6BB3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gridSpan w:val="2"/>
            <w:vAlign w:val="top"/>
          </w:tcPr>
          <w:p w14:paraId="77039A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项目负责人签字：</w:t>
            </w:r>
          </w:p>
          <w:p w14:paraId="050815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4"/>
                <w:szCs w:val="24"/>
                <w:highlight w:val="none"/>
                <w:vertAlign w:val="baseline"/>
                <w:lang w:val="en-US" w:eastAsia="zh-CN"/>
              </w:rPr>
            </w:pPr>
          </w:p>
          <w:p w14:paraId="4EFCED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日期：</w:t>
            </w:r>
          </w:p>
        </w:tc>
        <w:tc>
          <w:tcPr>
            <w:tcW w:w="4261" w:type="dxa"/>
            <w:vAlign w:val="top"/>
          </w:tcPr>
          <w:p w14:paraId="5F54BF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实施单位：</w:t>
            </w:r>
          </w:p>
          <w:p w14:paraId="732ACA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项目负责人：</w:t>
            </w:r>
          </w:p>
          <w:p w14:paraId="26B403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日期：</w:t>
            </w:r>
          </w:p>
        </w:tc>
      </w:tr>
    </w:tbl>
    <w:p w14:paraId="65955B1B">
      <w:pPr>
        <w:pStyle w:val="29"/>
        <w:rPr>
          <w:rFonts w:hint="eastAsia" w:ascii="宋体" w:hAnsi="宋体" w:eastAsia="宋体" w:cs="宋体"/>
          <w:color w:val="auto"/>
          <w:sz w:val="24"/>
          <w:szCs w:val="24"/>
          <w:highlight w:val="none"/>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9BC7A5-396F-4935-A9AE-23E4A3DCB3A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6C2CF9A-18D8-413F-B116-A346DE31D883}"/>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3" w:fontKey="{ABE1AADB-1064-4B66-BB11-9E53035516CE}"/>
  </w:font>
  <w:font w:name="方正黑体_GBK">
    <w:altName w:val="微软雅黑"/>
    <w:panose1 w:val="03000509000000000000"/>
    <w:charset w:val="86"/>
    <w:family w:val="auto"/>
    <w:pitch w:val="default"/>
    <w:sig w:usb0="00000000" w:usb1="00000000" w:usb2="00000000" w:usb3="00000000" w:csb0="00040000" w:csb1="00000000"/>
    <w:embedRegular r:id="rId4" w:fontKey="{7B957D7E-ED71-45C0-A77B-858B71BDFEBD}"/>
  </w:font>
  <w:font w:name="方正楷体_GBK">
    <w:altName w:val="微软雅黑"/>
    <w:panose1 w:val="03000509000000000000"/>
    <w:charset w:val="86"/>
    <w:family w:val="auto"/>
    <w:pitch w:val="default"/>
    <w:sig w:usb0="00000000" w:usb1="00000000" w:usb2="00000000" w:usb3="00000000" w:csb0="00040000" w:csb1="00000000"/>
    <w:embedRegular r:id="rId5" w:fontKey="{14D4CD67-D1A7-42D8-B9BB-08CF19CABC27}"/>
  </w:font>
  <w:font w:name="方正小标宋_GBK">
    <w:altName w:val="微软雅黑"/>
    <w:panose1 w:val="03000509000000000000"/>
    <w:charset w:val="86"/>
    <w:family w:val="auto"/>
    <w:pitch w:val="default"/>
    <w:sig w:usb0="00000000" w:usb1="00000000" w:usb2="00000000" w:usb3="00000000" w:csb0="00040000" w:csb1="00000000"/>
    <w:embedRegular r:id="rId6" w:fontKey="{44E36B56-9A17-42E2-8D5A-DFD65090CFE7}"/>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7407">
    <w:pPr>
      <w:pStyle w:val="18"/>
    </w:pPr>
    <w:r>
      <w:rPr>
        <w:rStyle w:val="42"/>
        <w:rFonts w:hint="eastAsia" w:ascii="宋体" w:hAnsi="宋体"/>
        <w:bCs/>
        <w:sz w:val="24"/>
      </w:rPr>
      <w:t>地址：乌鲁木齐市</w:t>
    </w:r>
    <w:r>
      <w:rPr>
        <w:rStyle w:val="42"/>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BD9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7B0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AADC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4AADC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4E778">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FE6F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5FE6F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6118">
    <w:pPr>
      <w:autoSpaceDE w:val="0"/>
      <w:autoSpaceDN w:val="0"/>
      <w:adjustRightInd w:val="0"/>
      <w:spacing w:line="200" w:lineRule="exact"/>
      <w:jc w:val="left"/>
      <w:rPr>
        <w:rFonts w:hint="default" w:ascii="Times New Roman" w:eastAsia="Times New Roman"/>
        <w:kern w:val="0"/>
        <w:sz w:val="20"/>
      </w:rPr>
    </w:pPr>
    <w:r>
      <w:rPr>
        <w:rFonts w:hint="default"/>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4F845">
                          <w:pPr>
                            <w:pStyle w:val="18"/>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E64F845">
                    <w:pPr>
                      <w:pStyle w:val="18"/>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9202B">
    <w:pPr>
      <w:pStyle w:val="20"/>
      <w:pBdr>
        <w:bottom w:val="none" w:color="000000" w:sz="0" w:space="1"/>
      </w:pBdr>
      <w:rPr>
        <w:rStyle w:val="42"/>
        <w:sz w:val="24"/>
      </w:rPr>
    </w:pPr>
    <w:r>
      <w:rPr>
        <w:rStyle w:val="42"/>
        <w:rFonts w:hint="eastAsia"/>
        <w:sz w:val="24"/>
      </w:rPr>
      <w:t xml:space="preserve"> </w:t>
    </w:r>
    <w:r>
      <w:rPr>
        <w:rStyle w:val="42"/>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2"/>
        <w:rFonts w:hint="eastAsia"/>
        <w:sz w:val="24"/>
      </w:rPr>
      <w:t xml:space="preserve">                                         新疆拓源工程管理咨询有限公司</w:t>
    </w:r>
  </w:p>
  <w:p w14:paraId="7251985A">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AA162">
    <w:pPr>
      <w:pStyle w:val="20"/>
    </w:pPr>
    <w:r>
      <w:rPr>
        <w:rStyle w:val="42"/>
        <w:rFonts w:hint="eastAsia"/>
        <w:sz w:val="24"/>
      </w:rPr>
      <w:t xml:space="preserve">  </w:t>
    </w:r>
    <w:r>
      <w:rPr>
        <w:rStyle w:val="42"/>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2"/>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A145CCAE"/>
    <w:multiLevelType w:val="singleLevel"/>
    <w:tmpl w:val="A145CCAE"/>
    <w:lvl w:ilvl="0" w:tentative="0">
      <w:start w:val="1"/>
      <w:numFmt w:val="decimal"/>
      <w:suff w:val="nothing"/>
      <w:lvlText w:val="%1、"/>
      <w:lvlJc w:val="left"/>
    </w:lvl>
  </w:abstractNum>
  <w:abstractNum w:abstractNumId="2">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4"/>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C39B3B32"/>
    <w:multiLevelType w:val="singleLevel"/>
    <w:tmpl w:val="C39B3B32"/>
    <w:lvl w:ilvl="0" w:tentative="0">
      <w:start w:val="1"/>
      <w:numFmt w:val="chineseCounting"/>
      <w:suff w:val="nothing"/>
      <w:lvlText w:val="%1、"/>
      <w:lvlJc w:val="left"/>
      <w:rPr>
        <w:rFonts w:hint="eastAsia"/>
      </w:rPr>
    </w:lvl>
  </w:abstractNum>
  <w:abstractNum w:abstractNumId="4">
    <w:nsid w:val="C40890D7"/>
    <w:multiLevelType w:val="singleLevel"/>
    <w:tmpl w:val="C40890D7"/>
    <w:lvl w:ilvl="0" w:tentative="0">
      <w:start w:val="1"/>
      <w:numFmt w:val="decimal"/>
      <w:suff w:val="nothing"/>
      <w:lvlText w:val="%1、"/>
      <w:lvlJc w:val="left"/>
    </w:lvl>
  </w:abstractNum>
  <w:abstractNum w:abstractNumId="5">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6">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3"/>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YmU5N2NiNzlmNmMxYzlmYTViY2E4OTg2ZTNhMDM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F58DE"/>
    <w:rsid w:val="006351B6"/>
    <w:rsid w:val="006D6F44"/>
    <w:rsid w:val="00754BD2"/>
    <w:rsid w:val="00A21929"/>
    <w:rsid w:val="00AD511E"/>
    <w:rsid w:val="00BD6145"/>
    <w:rsid w:val="00CC135F"/>
    <w:rsid w:val="00D651EE"/>
    <w:rsid w:val="00DF7C4C"/>
    <w:rsid w:val="00F846DC"/>
    <w:rsid w:val="011A058D"/>
    <w:rsid w:val="02563B57"/>
    <w:rsid w:val="04E17B09"/>
    <w:rsid w:val="057C2119"/>
    <w:rsid w:val="06815A00"/>
    <w:rsid w:val="07235BE6"/>
    <w:rsid w:val="0734173C"/>
    <w:rsid w:val="082F62F4"/>
    <w:rsid w:val="08D12630"/>
    <w:rsid w:val="090174E5"/>
    <w:rsid w:val="097B3DA2"/>
    <w:rsid w:val="0A951569"/>
    <w:rsid w:val="0B0D4C33"/>
    <w:rsid w:val="0B1229A8"/>
    <w:rsid w:val="0BEE3129"/>
    <w:rsid w:val="0C653200"/>
    <w:rsid w:val="0D850FBB"/>
    <w:rsid w:val="0DB8731C"/>
    <w:rsid w:val="0DC0221D"/>
    <w:rsid w:val="0DD87DE8"/>
    <w:rsid w:val="0DE40111"/>
    <w:rsid w:val="0E5F3020"/>
    <w:rsid w:val="0F2310FF"/>
    <w:rsid w:val="0F5D5F52"/>
    <w:rsid w:val="0F887012"/>
    <w:rsid w:val="116A4DD1"/>
    <w:rsid w:val="12BE7F9E"/>
    <w:rsid w:val="12C33AC5"/>
    <w:rsid w:val="1415056B"/>
    <w:rsid w:val="14F00AA2"/>
    <w:rsid w:val="15802E15"/>
    <w:rsid w:val="15C91877"/>
    <w:rsid w:val="16161E94"/>
    <w:rsid w:val="16B65467"/>
    <w:rsid w:val="16D52CED"/>
    <w:rsid w:val="16F42B35"/>
    <w:rsid w:val="170E618E"/>
    <w:rsid w:val="174B010F"/>
    <w:rsid w:val="183C1D65"/>
    <w:rsid w:val="18893D8F"/>
    <w:rsid w:val="18A04871"/>
    <w:rsid w:val="18E831AB"/>
    <w:rsid w:val="1934019F"/>
    <w:rsid w:val="196A1E12"/>
    <w:rsid w:val="199265F0"/>
    <w:rsid w:val="1A044015"/>
    <w:rsid w:val="1A8A3E9A"/>
    <w:rsid w:val="1BB750B7"/>
    <w:rsid w:val="1BD46B05"/>
    <w:rsid w:val="1C111736"/>
    <w:rsid w:val="1C37598E"/>
    <w:rsid w:val="1C806499"/>
    <w:rsid w:val="1C8E3164"/>
    <w:rsid w:val="1D17550E"/>
    <w:rsid w:val="1D5252D9"/>
    <w:rsid w:val="1DC57731"/>
    <w:rsid w:val="1DD957B9"/>
    <w:rsid w:val="1DE226F6"/>
    <w:rsid w:val="1E395337"/>
    <w:rsid w:val="1EEE29A8"/>
    <w:rsid w:val="20001D6A"/>
    <w:rsid w:val="206A5E42"/>
    <w:rsid w:val="2139587A"/>
    <w:rsid w:val="21847A00"/>
    <w:rsid w:val="21E94156"/>
    <w:rsid w:val="22E67C91"/>
    <w:rsid w:val="23174A0A"/>
    <w:rsid w:val="23A61B51"/>
    <w:rsid w:val="23B95F8F"/>
    <w:rsid w:val="24613E12"/>
    <w:rsid w:val="246C62EA"/>
    <w:rsid w:val="24AE1898"/>
    <w:rsid w:val="256F4866"/>
    <w:rsid w:val="26592325"/>
    <w:rsid w:val="267C3185"/>
    <w:rsid w:val="27602ECD"/>
    <w:rsid w:val="27BC2A5B"/>
    <w:rsid w:val="2863070C"/>
    <w:rsid w:val="28817483"/>
    <w:rsid w:val="28D601EB"/>
    <w:rsid w:val="293E33FE"/>
    <w:rsid w:val="29DE5D3A"/>
    <w:rsid w:val="2A104310"/>
    <w:rsid w:val="2AEC5A97"/>
    <w:rsid w:val="2BDE46D5"/>
    <w:rsid w:val="2ED718A0"/>
    <w:rsid w:val="2EF42085"/>
    <w:rsid w:val="2FB971F8"/>
    <w:rsid w:val="30015D28"/>
    <w:rsid w:val="301A2DFD"/>
    <w:rsid w:val="310F3486"/>
    <w:rsid w:val="31AB69D8"/>
    <w:rsid w:val="31D609DB"/>
    <w:rsid w:val="31E01A47"/>
    <w:rsid w:val="32144BB9"/>
    <w:rsid w:val="32221084"/>
    <w:rsid w:val="32382833"/>
    <w:rsid w:val="329E236C"/>
    <w:rsid w:val="330E1609"/>
    <w:rsid w:val="333C296D"/>
    <w:rsid w:val="33A8356F"/>
    <w:rsid w:val="33FF6CC7"/>
    <w:rsid w:val="3492329A"/>
    <w:rsid w:val="349E19EE"/>
    <w:rsid w:val="351A6043"/>
    <w:rsid w:val="352F2BEC"/>
    <w:rsid w:val="35FE656D"/>
    <w:rsid w:val="36995D3F"/>
    <w:rsid w:val="372E04CB"/>
    <w:rsid w:val="374271D8"/>
    <w:rsid w:val="37D739CE"/>
    <w:rsid w:val="37F1439F"/>
    <w:rsid w:val="38E01351"/>
    <w:rsid w:val="3ADE2D8C"/>
    <w:rsid w:val="3B756F45"/>
    <w:rsid w:val="3D6D513E"/>
    <w:rsid w:val="3E581DBA"/>
    <w:rsid w:val="3EA76402"/>
    <w:rsid w:val="3EBC7034"/>
    <w:rsid w:val="3F143436"/>
    <w:rsid w:val="3F221C54"/>
    <w:rsid w:val="3F8D40B6"/>
    <w:rsid w:val="3FF35E0E"/>
    <w:rsid w:val="402B4847"/>
    <w:rsid w:val="40A50767"/>
    <w:rsid w:val="41087697"/>
    <w:rsid w:val="419E4294"/>
    <w:rsid w:val="428C078D"/>
    <w:rsid w:val="44BB02A4"/>
    <w:rsid w:val="44CA2F7C"/>
    <w:rsid w:val="44EA292A"/>
    <w:rsid w:val="44EB0B98"/>
    <w:rsid w:val="44F71EFD"/>
    <w:rsid w:val="45482758"/>
    <w:rsid w:val="45D523D2"/>
    <w:rsid w:val="45DC4237"/>
    <w:rsid w:val="45F14B9E"/>
    <w:rsid w:val="46FF32EA"/>
    <w:rsid w:val="480908C5"/>
    <w:rsid w:val="480A1F47"/>
    <w:rsid w:val="4825684B"/>
    <w:rsid w:val="483572AD"/>
    <w:rsid w:val="486A6177"/>
    <w:rsid w:val="48B00A3D"/>
    <w:rsid w:val="48DF5D79"/>
    <w:rsid w:val="49153B3D"/>
    <w:rsid w:val="49396F4D"/>
    <w:rsid w:val="49AB391A"/>
    <w:rsid w:val="4A2B33AE"/>
    <w:rsid w:val="4BA615AB"/>
    <w:rsid w:val="4C07205E"/>
    <w:rsid w:val="4C0B634F"/>
    <w:rsid w:val="4C993E74"/>
    <w:rsid w:val="4CC27294"/>
    <w:rsid w:val="4CC63226"/>
    <w:rsid w:val="4DDD1F01"/>
    <w:rsid w:val="4E265601"/>
    <w:rsid w:val="4E2C0B7D"/>
    <w:rsid w:val="4F125BBD"/>
    <w:rsid w:val="4F166C4D"/>
    <w:rsid w:val="4FC155E1"/>
    <w:rsid w:val="50141CC1"/>
    <w:rsid w:val="5042188F"/>
    <w:rsid w:val="50A90C8B"/>
    <w:rsid w:val="515B2E61"/>
    <w:rsid w:val="5223325C"/>
    <w:rsid w:val="537A6108"/>
    <w:rsid w:val="540519ED"/>
    <w:rsid w:val="55435F41"/>
    <w:rsid w:val="55A7171D"/>
    <w:rsid w:val="55EE546C"/>
    <w:rsid w:val="56015FA8"/>
    <w:rsid w:val="56607C45"/>
    <w:rsid w:val="567E11E9"/>
    <w:rsid w:val="56933C1B"/>
    <w:rsid w:val="56A63FEE"/>
    <w:rsid w:val="56A76F6F"/>
    <w:rsid w:val="56EA3D5C"/>
    <w:rsid w:val="57883566"/>
    <w:rsid w:val="58D00F8B"/>
    <w:rsid w:val="5A517EA9"/>
    <w:rsid w:val="5A6C083F"/>
    <w:rsid w:val="5AEB1782"/>
    <w:rsid w:val="5AFA22EF"/>
    <w:rsid w:val="5B266F2F"/>
    <w:rsid w:val="5B746EFC"/>
    <w:rsid w:val="5BD72DBD"/>
    <w:rsid w:val="5C317F92"/>
    <w:rsid w:val="5CFE4C15"/>
    <w:rsid w:val="5DA82076"/>
    <w:rsid w:val="5DBD1BFF"/>
    <w:rsid w:val="5DBF3AD3"/>
    <w:rsid w:val="5E1B460E"/>
    <w:rsid w:val="5E7919F9"/>
    <w:rsid w:val="5E7976A3"/>
    <w:rsid w:val="5E9B5E7E"/>
    <w:rsid w:val="60077FCA"/>
    <w:rsid w:val="611D1FCC"/>
    <w:rsid w:val="616427FD"/>
    <w:rsid w:val="61A13E84"/>
    <w:rsid w:val="62031A89"/>
    <w:rsid w:val="641451FA"/>
    <w:rsid w:val="64300B2F"/>
    <w:rsid w:val="643C6AED"/>
    <w:rsid w:val="64B928D3"/>
    <w:rsid w:val="64E8140A"/>
    <w:rsid w:val="659737D4"/>
    <w:rsid w:val="65A232BE"/>
    <w:rsid w:val="65CA28DF"/>
    <w:rsid w:val="66BE7860"/>
    <w:rsid w:val="67C55A9C"/>
    <w:rsid w:val="693A0825"/>
    <w:rsid w:val="6C183D6E"/>
    <w:rsid w:val="6C5A7C87"/>
    <w:rsid w:val="7065389B"/>
    <w:rsid w:val="70D95DDC"/>
    <w:rsid w:val="724512B9"/>
    <w:rsid w:val="724E21E5"/>
    <w:rsid w:val="72EC047A"/>
    <w:rsid w:val="72FB7C35"/>
    <w:rsid w:val="730E242F"/>
    <w:rsid w:val="75461F61"/>
    <w:rsid w:val="757B4FC6"/>
    <w:rsid w:val="757B6040"/>
    <w:rsid w:val="757C5983"/>
    <w:rsid w:val="7654306E"/>
    <w:rsid w:val="76F31C74"/>
    <w:rsid w:val="77352363"/>
    <w:rsid w:val="778F6F79"/>
    <w:rsid w:val="779B7F76"/>
    <w:rsid w:val="79040139"/>
    <w:rsid w:val="795641A9"/>
    <w:rsid w:val="7D860A21"/>
    <w:rsid w:val="7D9F0FBC"/>
    <w:rsid w:val="7DBD7E2C"/>
    <w:rsid w:val="7EE27891"/>
    <w:rsid w:val="7EF47444"/>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pPr>
    <w:rPr>
      <w:rFonts w:ascii="Calibri" w:hAnsi="Calibri"/>
      <w:kern w:val="44"/>
      <w:sz w:val="44"/>
      <w:szCs w:val="44"/>
    </w:rPr>
  </w:style>
  <w:style w:type="paragraph" w:styleId="3">
    <w:name w:val="heading 2"/>
    <w:basedOn w:val="1"/>
    <w:next w:val="1"/>
    <w:qFormat/>
    <w:uiPriority w:val="0"/>
    <w:pPr>
      <w:keepLines/>
      <w:spacing w:before="260" w:after="260" w:line="416" w:lineRule="auto"/>
      <w:outlineLvl w:val="1"/>
    </w:pPr>
    <w:rPr>
      <w:rFonts w:ascii="Arial" w:hAnsi="Arial" w:eastAsia="黑体"/>
      <w:bCs/>
      <w:szCs w:val="32"/>
    </w:rPr>
  </w:style>
  <w:style w:type="paragraph" w:styleId="4">
    <w:name w:val="heading 3"/>
    <w:basedOn w:val="1"/>
    <w:next w:val="1"/>
    <w:unhideWhenUsed/>
    <w:qFormat/>
    <w:uiPriority w:val="0"/>
    <w:pPr>
      <w:keepNext/>
      <w:keepLines/>
      <w:numPr>
        <w:ilvl w:val="2"/>
        <w:numId w:val="1"/>
      </w:numPr>
      <w:spacing w:before="100" w:after="100" w:line="560" w:lineRule="exact"/>
      <w:outlineLvl w:val="2"/>
    </w:pPr>
    <w:rPr>
      <w:rFonts w:ascii="Times New Roman" w:hAnsi="Times New Roman" w:eastAsia="楷体" w:cs="Times New Roman"/>
      <w:b/>
      <w:bCs/>
      <w:kern w:val="0"/>
      <w:sz w:val="32"/>
      <w:szCs w:val="32"/>
      <w:lang w:val="zh-CN"/>
    </w:rPr>
  </w:style>
  <w:style w:type="paragraph" w:styleId="5">
    <w:name w:val="heading 4"/>
    <w:basedOn w:val="1"/>
    <w:next w:val="1"/>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paragraph" w:styleId="6">
    <w:name w:val="heading 5"/>
    <w:basedOn w:val="1"/>
    <w:next w:val="1"/>
    <w:qFormat/>
    <w:uiPriority w:val="0"/>
    <w:pPr>
      <w:keepNext/>
      <w:keepLines/>
      <w:tabs>
        <w:tab w:val="left" w:pos="1440"/>
      </w:tabs>
      <w:spacing w:before="280" w:after="290" w:line="372" w:lineRule="auto"/>
      <w:ind w:left="1440" w:hanging="900"/>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style>
  <w:style w:type="paragraph" w:styleId="8">
    <w:name w:val="toc 4"/>
    <w:basedOn w:val="1"/>
    <w:next w:val="1"/>
    <w:qFormat/>
    <w:uiPriority w:val="0"/>
    <w:pPr>
      <w:ind w:left="1260" w:leftChars="600"/>
    </w:p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58"/>
    <w:qFormat/>
    <w:uiPriority w:val="0"/>
    <w:pPr>
      <w:jc w:val="left"/>
    </w:pPr>
  </w:style>
  <w:style w:type="paragraph" w:styleId="12">
    <w:name w:val="Body Text"/>
    <w:basedOn w:val="1"/>
    <w:next w:val="13"/>
    <w:qFormat/>
    <w:uiPriority w:val="0"/>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Body Text Indent"/>
    <w:basedOn w:val="1"/>
    <w:qFormat/>
    <w:uiPriority w:val="0"/>
    <w:pPr>
      <w:ind w:firstLine="630"/>
    </w:pPr>
    <w:rPr>
      <w:sz w:val="32"/>
      <w:szCs w:val="20"/>
    </w:rPr>
  </w:style>
  <w:style w:type="paragraph" w:styleId="15">
    <w:name w:val="Plain Text"/>
    <w:basedOn w:val="1"/>
    <w:next w:val="1"/>
    <w:qFormat/>
    <w:uiPriority w:val="0"/>
    <w:rPr>
      <w:rFonts w:ascii="宋体" w:hAnsi="Courier New"/>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spacing w:line="480" w:lineRule="auto"/>
    </w:pPr>
    <w:rPr>
      <w:rFonts w:ascii="Times New Roman" w:hAnsi="Times New Roman"/>
      <w:sz w:val="30"/>
    </w:rPr>
  </w:style>
  <w:style w:type="paragraph" w:styleId="22">
    <w:name w:val="index heading"/>
    <w:basedOn w:val="1"/>
    <w:next w:val="23"/>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unhideWhenUsed/>
    <w:qFormat/>
    <w:uiPriority w:val="0"/>
  </w:style>
  <w:style w:type="paragraph" w:styleId="24">
    <w:name w:val="List 5"/>
    <w:basedOn w:val="1"/>
    <w:qFormat/>
    <w:uiPriority w:val="0"/>
    <w:pPr>
      <w:ind w:left="2100" w:hanging="420"/>
    </w:pPr>
    <w:rPr>
      <w:rFonts w:eastAsia="楷体_GB2312"/>
      <w:sz w:val="32"/>
      <w:szCs w:val="20"/>
    </w:rPr>
  </w:style>
  <w:style w:type="paragraph" w:styleId="2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6">
    <w:name w:val="Title"/>
    <w:basedOn w:val="1"/>
    <w:next w:val="1"/>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59"/>
    <w:qFormat/>
    <w:uiPriority w:val="0"/>
    <w:rPr>
      <w:b/>
      <w:bCs/>
    </w:rPr>
  </w:style>
  <w:style w:type="paragraph" w:styleId="28">
    <w:name w:val="Body Text First Indent"/>
    <w:basedOn w:val="12"/>
    <w:qFormat/>
    <w:uiPriority w:val="0"/>
    <w:pPr>
      <w:ind w:firstLine="420" w:firstLineChars="100"/>
    </w:pPr>
  </w:style>
  <w:style w:type="paragraph" w:styleId="29">
    <w:name w:val="Body Text First Indent 2"/>
    <w:basedOn w:val="14"/>
    <w:next w:val="1"/>
    <w:qFormat/>
    <w:uiPriority w:val="0"/>
    <w:pPr>
      <w:ind w:firstLine="42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Hyperlink"/>
    <w:basedOn w:val="32"/>
    <w:qFormat/>
    <w:uiPriority w:val="0"/>
    <w:rPr>
      <w:rFonts w:ascii="Times New Roman" w:hAnsi="Times New Roman" w:eastAsia="微软雅黑" w:cs="Times New Roman"/>
      <w:color w:val="0000FF"/>
      <w:u w:val="single"/>
    </w:rPr>
  </w:style>
  <w:style w:type="character" w:styleId="35">
    <w:name w:val="annotation reference"/>
    <w:basedOn w:val="32"/>
    <w:qFormat/>
    <w:uiPriority w:val="0"/>
    <w:rPr>
      <w:sz w:val="21"/>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样式1"/>
    <w:basedOn w:val="12"/>
    <w:next w:val="38"/>
    <w:qFormat/>
    <w:uiPriority w:val="0"/>
    <w:pPr>
      <w:spacing w:before="120" w:beforeLines="0" w:after="120" w:afterLines="0"/>
    </w:pPr>
  </w:style>
  <w:style w:type="paragraph" w:customStyle="1" w:styleId="38">
    <w:name w:val="样式2"/>
    <w:basedOn w:val="1"/>
    <w:qFormat/>
    <w:uiPriority w:val="0"/>
    <w:pPr>
      <w:spacing w:before="120" w:beforeLines="0" w:after="120" w:afterLines="0"/>
    </w:pPr>
  </w:style>
  <w:style w:type="paragraph" w:customStyle="1" w:styleId="39">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styleId="40">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1">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42">
    <w:name w:val="NormalCharacter"/>
    <w:link w:val="43"/>
    <w:qFormat/>
    <w:uiPriority w:val="0"/>
  </w:style>
  <w:style w:type="paragraph" w:customStyle="1" w:styleId="43">
    <w:name w:val="UserStyle_5"/>
    <w:basedOn w:val="1"/>
    <w:link w:val="42"/>
    <w:qFormat/>
    <w:uiPriority w:val="0"/>
    <w:pPr>
      <w:widowControl/>
      <w:spacing w:after="160" w:line="240" w:lineRule="exact"/>
      <w:jc w:val="left"/>
      <w:textAlignment w:val="baseline"/>
    </w:pPr>
  </w:style>
  <w:style w:type="character" w:customStyle="1" w:styleId="44">
    <w:name w:val="UserStyle_3"/>
    <w:qFormat/>
    <w:uiPriority w:val="0"/>
    <w:rPr>
      <w:rFonts w:ascii="宋体" w:hAnsi="宋体" w:eastAsia="宋体"/>
      <w:b/>
      <w:sz w:val="32"/>
      <w:szCs w:val="32"/>
    </w:rPr>
  </w:style>
  <w:style w:type="paragraph" w:customStyle="1" w:styleId="4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4正文"/>
    <w:basedOn w:val="1"/>
    <w:qFormat/>
    <w:uiPriority w:val="0"/>
    <w:pPr>
      <w:snapToGrid w:val="0"/>
      <w:spacing w:line="360" w:lineRule="auto"/>
      <w:ind w:firstLine="480" w:firstLineChars="200"/>
    </w:pPr>
    <w:rPr>
      <w:rFonts w:eastAsia="仿宋"/>
      <w:sz w:val="24"/>
    </w:rPr>
  </w:style>
  <w:style w:type="paragraph" w:customStyle="1" w:styleId="47">
    <w:name w:val="首行缩进:  0.85 厘米"/>
    <w:basedOn w:val="1"/>
    <w:qFormat/>
    <w:uiPriority w:val="0"/>
    <w:pPr>
      <w:widowControl/>
      <w:spacing w:after="100" w:line="360" w:lineRule="auto"/>
      <w:ind w:firstLine="482"/>
      <w:jc w:val="left"/>
    </w:pPr>
    <w:rPr>
      <w:kern w:val="0"/>
      <w:sz w:val="24"/>
      <w:lang w:eastAsia="en-US"/>
    </w:rPr>
  </w:style>
  <w:style w:type="character" w:customStyle="1" w:styleId="48">
    <w:name w:val="标题 1 Char"/>
    <w:link w:val="2"/>
    <w:qFormat/>
    <w:uiPriority w:val="0"/>
    <w:rPr>
      <w:rFonts w:ascii="Calibri" w:hAnsi="Calibri" w:eastAsia="宋体" w:cs="Times New Roman"/>
      <w:kern w:val="44"/>
      <w:sz w:val="44"/>
      <w:szCs w:val="44"/>
    </w:rPr>
  </w:style>
  <w:style w:type="paragraph" w:customStyle="1" w:styleId="49">
    <w:name w:val="Table Paragraph"/>
    <w:basedOn w:val="1"/>
    <w:unhideWhenUsed/>
    <w:qFormat/>
    <w:uiPriority w:val="1"/>
    <w:rPr>
      <w:sz w:val="24"/>
    </w:rPr>
  </w:style>
  <w:style w:type="paragraph" w:customStyle="1" w:styleId="50">
    <w:name w:val="列出段落1"/>
    <w:basedOn w:val="1"/>
    <w:qFormat/>
    <w:uiPriority w:val="0"/>
    <w:pPr>
      <w:spacing w:line="360" w:lineRule="auto"/>
      <w:ind w:firstLine="420" w:firstLineChars="200"/>
    </w:pPr>
    <w:rPr>
      <w:rFonts w:ascii="等线" w:hAnsi="等线"/>
      <w:szCs w:val="22"/>
    </w:rPr>
  </w:style>
  <w:style w:type="paragraph" w:customStyle="1" w:styleId="51">
    <w:name w:val="样式 正文缩进 + 首行缩进:  2 字符"/>
    <w:basedOn w:val="7"/>
    <w:qFormat/>
    <w:uiPriority w:val="0"/>
    <w:pPr>
      <w:spacing w:line="360" w:lineRule="auto"/>
      <w:ind w:firstLine="200"/>
    </w:pPr>
    <w:rPr>
      <w:rFonts w:cs="宋体"/>
      <w:sz w:val="24"/>
      <w:szCs w:val="20"/>
    </w:rPr>
  </w:style>
  <w:style w:type="paragraph" w:customStyle="1" w:styleId="52">
    <w:name w:val="WPS Plain"/>
    <w:basedOn w:val="1"/>
    <w:qFormat/>
    <w:uiPriority w:val="0"/>
    <w:pPr>
      <w:widowControl/>
      <w:jc w:val="left"/>
    </w:pPr>
    <w:rPr>
      <w:rFonts w:ascii="Times New Roman"/>
      <w:sz w:val="24"/>
    </w:rPr>
  </w:style>
  <w:style w:type="paragraph" w:customStyle="1" w:styleId="53">
    <w:name w:val="普通(网站)1"/>
    <w:basedOn w:val="1"/>
    <w:qFormat/>
    <w:uiPriority w:val="0"/>
    <w:pPr>
      <w:jc w:val="left"/>
    </w:pPr>
    <w:rPr>
      <w:kern w:val="0"/>
      <w:sz w:val="24"/>
    </w:rPr>
  </w:style>
  <w:style w:type="paragraph" w:customStyle="1" w:styleId="54">
    <w:name w:val="Body text|1"/>
    <w:basedOn w:val="1"/>
    <w:qFormat/>
    <w:uiPriority w:val="0"/>
    <w:pPr>
      <w:spacing w:line="290" w:lineRule="auto"/>
      <w:ind w:firstLine="400"/>
    </w:pPr>
    <w:rPr>
      <w:rFonts w:ascii="宋体" w:hAnsi="宋体" w:cs="宋体"/>
      <w:sz w:val="22"/>
      <w:szCs w:val="22"/>
      <w:lang w:val="zh-CN" w:bidi="zh-CN"/>
    </w:rPr>
  </w:style>
  <w:style w:type="paragraph" w:customStyle="1" w:styleId="55">
    <w:name w:val="纯文本1"/>
    <w:basedOn w:val="1"/>
    <w:qFormat/>
    <w:uiPriority w:val="0"/>
    <w:rPr>
      <w:rFonts w:ascii="宋体" w:hAnsi="Courier New"/>
      <w:szCs w:val="22"/>
    </w:rPr>
  </w:style>
  <w:style w:type="paragraph" w:styleId="56">
    <w:name w:val="List Paragraph"/>
    <w:basedOn w:val="1"/>
    <w:qFormat/>
    <w:uiPriority w:val="99"/>
    <w:pPr>
      <w:ind w:firstLine="420" w:firstLineChars="200"/>
    </w:pPr>
  </w:style>
  <w:style w:type="character" w:customStyle="1" w:styleId="57">
    <w:name w:val="批注框文本 Char"/>
    <w:basedOn w:val="32"/>
    <w:link w:val="17"/>
    <w:qFormat/>
    <w:uiPriority w:val="0"/>
    <w:rPr>
      <w:rFonts w:ascii="Calibri" w:hAnsi="Calibri"/>
      <w:kern w:val="2"/>
      <w:sz w:val="18"/>
      <w:szCs w:val="18"/>
    </w:rPr>
  </w:style>
  <w:style w:type="character" w:customStyle="1" w:styleId="58">
    <w:name w:val="批注文字 Char"/>
    <w:basedOn w:val="32"/>
    <w:link w:val="11"/>
    <w:qFormat/>
    <w:uiPriority w:val="0"/>
    <w:rPr>
      <w:rFonts w:ascii="Calibri" w:hAnsi="Calibri"/>
      <w:kern w:val="2"/>
      <w:sz w:val="21"/>
      <w:szCs w:val="24"/>
    </w:rPr>
  </w:style>
  <w:style w:type="character" w:customStyle="1" w:styleId="59">
    <w:name w:val="批注主题 Char"/>
    <w:basedOn w:val="58"/>
    <w:link w:val="27"/>
    <w:qFormat/>
    <w:uiPriority w:val="0"/>
    <w:rPr>
      <w:rFonts w:ascii="Calibri" w:hAnsi="Calibri"/>
      <w:b/>
      <w:bCs/>
      <w:kern w:val="2"/>
      <w:sz w:val="21"/>
      <w:szCs w:val="24"/>
    </w:rPr>
  </w:style>
  <w:style w:type="paragraph" w:customStyle="1" w:styleId="60">
    <w:name w:val="普通(网站)2"/>
    <w:basedOn w:val="1"/>
    <w:qFormat/>
    <w:uiPriority w:val="0"/>
    <w:pPr>
      <w:jc w:val="left"/>
    </w:pPr>
    <w:rPr>
      <w:rFonts w:ascii="Times New Roman" w:hAnsi="Times New Roman"/>
      <w:kern w:val="0"/>
      <w:sz w:val="24"/>
    </w:rPr>
  </w:style>
  <w:style w:type="paragraph" w:customStyle="1" w:styleId="61">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题注5"/>
    <w:basedOn w:val="1"/>
    <w:next w:val="9"/>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5">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列表段落1"/>
    <w:basedOn w:val="1"/>
    <w:qFormat/>
    <w:uiPriority w:val="0"/>
    <w:pPr>
      <w:ind w:firstLine="420" w:firstLineChars="200"/>
    </w:pPr>
    <w:rPr>
      <w:rFonts w:ascii="Calibri" w:hAnsi="Calibri" w:cs="黑体"/>
      <w:szCs w:val="22"/>
    </w:rPr>
  </w:style>
  <w:style w:type="character" w:customStyle="1" w:styleId="67">
    <w:name w:val="font41"/>
    <w:basedOn w:val="32"/>
    <w:qFormat/>
    <w:uiPriority w:val="0"/>
    <w:rPr>
      <w:rFonts w:ascii="Arial" w:hAnsi="Arial" w:cs="Arial"/>
      <w:color w:val="000000"/>
      <w:sz w:val="20"/>
      <w:szCs w:val="20"/>
      <w:u w:val="none"/>
    </w:rPr>
  </w:style>
  <w:style w:type="paragraph" w:customStyle="1" w:styleId="68">
    <w:name w:val="Normal Indent1"/>
    <w:basedOn w:val="69"/>
    <w:next w:val="15"/>
    <w:qFormat/>
    <w:uiPriority w:val="0"/>
    <w:pPr>
      <w:ind w:firstLine="420" w:firstLineChars="200"/>
    </w:pPr>
  </w:style>
  <w:style w:type="paragraph" w:customStyle="1" w:styleId="69">
    <w:name w:val="正文 New New New"/>
    <w:basedOn w:val="12"/>
    <w:next w:val="68"/>
    <w:qFormat/>
    <w:uiPriority w:val="0"/>
    <w:rPr>
      <w:rFonts w:ascii="Times New Roman" w:hAnsi="Times New Roman"/>
      <w:szCs w:val="24"/>
    </w:rPr>
  </w:style>
  <w:style w:type="paragraph" w:customStyle="1" w:styleId="7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71">
    <w:name w:val="正文文本1"/>
    <w:basedOn w:val="1"/>
    <w:qFormat/>
    <w:uiPriority w:val="0"/>
    <w:pPr>
      <w:spacing w:after="480" w:line="444" w:lineRule="auto"/>
      <w:ind w:firstLine="400"/>
    </w:pPr>
    <w:rPr>
      <w:rFonts w:ascii="宋体" w:hAnsi="宋体"/>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6ECC-EA8F-4E41-BC32-F0EDF5BE185C}">
  <ds:schemaRefs/>
</ds:datastoreItem>
</file>

<file path=docProps/app.xml><?xml version="1.0" encoding="utf-8"?>
<Properties xmlns="http://schemas.openxmlformats.org/officeDocument/2006/extended-properties" xmlns:vt="http://schemas.openxmlformats.org/officeDocument/2006/docPropsVTypes">
  <Template>Normal</Template>
  <Pages>82</Pages>
  <Words>4725</Words>
  <Characters>5306</Characters>
  <Lines>214</Lines>
  <Paragraphs>60</Paragraphs>
  <TotalTime>24</TotalTime>
  <ScaleCrop>false</ScaleCrop>
  <LinksUpToDate>false</LinksUpToDate>
  <CharactersWithSpaces>5530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lenovo</cp:lastModifiedBy>
  <cp:lastPrinted>2025-09-08T01:59:00Z</cp:lastPrinted>
  <dcterms:modified xsi:type="dcterms:W3CDTF">2026-04-09T09:24:28Z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30B21248FF6A411F84F2FDFF7AFF249F_13</vt:lpwstr>
  </property>
  <property fmtid="{D5CDD505-2E9C-101B-9397-08002B2CF9AE}" pid="4" name="KSOTemplateDocerSaveRecord">
    <vt:lpwstr>eyJoZGlkIjoiZjY4Njc5NjM2OThhMThlZGQ5ZTllODU0OWJhOTg5ZWUiLCJ1c2VySWQiOiIyODc4OTE5NzUifQ==</vt:lpwstr>
  </property>
</Properties>
</file>