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12C3">
      <w:pPr>
        <w:jc w:val="center"/>
        <w:outlineLvl w:val="9"/>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eastAsia="宋体" w:cs="宋体"/>
          <w:b/>
          <w:bCs/>
          <w:color w:val="000000" w:themeColor="text1"/>
          <w:sz w:val="44"/>
          <w:szCs w:val="44"/>
          <w:highlight w:val="none"/>
          <w:lang w:val="en-US" w:eastAsia="zh-CN"/>
          <w14:textFill>
            <w14:solidFill>
              <w14:schemeClr w14:val="tx1"/>
            </w14:solidFill>
          </w14:textFill>
        </w:rPr>
        <w:t>2026年度天山区某单位网络运维服务项目</w:t>
      </w:r>
    </w:p>
    <w:p w14:paraId="32952710">
      <w:pPr>
        <w:jc w:val="center"/>
        <w:outlineLvl w:val="9"/>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招 标 文 件</w:t>
      </w:r>
    </w:p>
    <w:p w14:paraId="64AFAAAC">
      <w:pPr>
        <w:outlineLvl w:val="9"/>
        <w:rPr>
          <w:rFonts w:hint="eastAsia" w:ascii="宋体" w:hAnsi="宋体" w:eastAsia="宋体" w:cs="宋体"/>
          <w:color w:val="000000" w:themeColor="text1"/>
          <w:sz w:val="36"/>
          <w:szCs w:val="36"/>
          <w:highlight w:val="none"/>
          <w14:textFill>
            <w14:solidFill>
              <w14:schemeClr w14:val="tx1"/>
            </w14:solidFill>
          </w14:textFill>
        </w:rPr>
      </w:pPr>
    </w:p>
    <w:p w14:paraId="130F1C89">
      <w:pPr>
        <w:pStyle w:val="10"/>
        <w:jc w:val="center"/>
        <w:outlineLvl w:val="9"/>
        <w:rPr>
          <w:rFonts w:hint="eastAsia" w:eastAsia="宋体" w:cs="宋体"/>
          <w:b/>
          <w:bCs/>
          <w:color w:val="000000" w:themeColor="text1"/>
          <w:sz w:val="32"/>
          <w:szCs w:val="32"/>
          <w:highlight w:val="none"/>
          <w:lang w:val="en-US" w:eastAsia="zh-CN"/>
          <w14:textFill>
            <w14:solidFill>
              <w14:schemeClr w14:val="tx1"/>
            </w14:solidFill>
          </w14:textFill>
        </w:rPr>
      </w:pPr>
      <w:bookmarkStart w:id="0" w:name="_Toc32146"/>
      <w:r>
        <w:rPr>
          <w:rFonts w:hint="eastAsia" w:ascii="宋体" w:hAnsi="宋体" w:eastAsia="宋体" w:cs="宋体"/>
          <w:b/>
          <w:bCs/>
          <w:color w:val="000000" w:themeColor="text1"/>
          <w:sz w:val="32"/>
          <w:szCs w:val="32"/>
          <w:highlight w:val="none"/>
          <w14:textFill>
            <w14:solidFill>
              <w14:schemeClr w14:val="tx1"/>
            </w14:solidFill>
          </w14:textFill>
        </w:rPr>
        <w:t>项目编号：</w:t>
      </w:r>
      <w:bookmarkEnd w:id="0"/>
      <w:r>
        <w:rPr>
          <w:rFonts w:hint="eastAsia" w:ascii="宋体" w:hAnsi="宋体" w:eastAsia="宋体" w:cs="宋体"/>
          <w:b/>
          <w:bCs/>
          <w:color w:val="000000" w:themeColor="text1"/>
          <w:sz w:val="32"/>
          <w:szCs w:val="32"/>
          <w:highlight w:val="none"/>
          <w14:textFill>
            <w14:solidFill>
              <w14:schemeClr w14:val="tx1"/>
            </w14:solidFill>
          </w14:textFill>
        </w:rPr>
        <w:t>0722-26FE1742XJF</w:t>
      </w:r>
    </w:p>
    <w:p w14:paraId="640EE265">
      <w:pPr>
        <w:pStyle w:val="10"/>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1" w:name="_Toc10653"/>
      <w:r>
        <w:rPr>
          <w:rFonts w:hint="eastAsia" w:ascii="宋体" w:hAnsi="宋体" w:eastAsia="宋体" w:cs="宋体"/>
          <w:b/>
          <w:bCs/>
          <w:color w:val="000000" w:themeColor="text1"/>
          <w:sz w:val="28"/>
          <w:szCs w:val="28"/>
          <w:highlight w:val="none"/>
          <w14:textFill>
            <w14:solidFill>
              <w14:schemeClr w14:val="tx1"/>
            </w14:solidFill>
          </w14:textFill>
        </w:rPr>
        <w:t>招标人（盖章）：</w:t>
      </w:r>
      <w:bookmarkEnd w:id="1"/>
      <w:r>
        <w:rPr>
          <w:rFonts w:hint="eastAsia" w:eastAsia="宋体" w:cs="宋体"/>
          <w:b/>
          <w:bCs/>
          <w:color w:val="000000" w:themeColor="text1"/>
          <w:sz w:val="28"/>
          <w:szCs w:val="28"/>
          <w:highlight w:val="none"/>
          <w:lang w:eastAsia="zh-CN"/>
          <w14:textFill>
            <w14:solidFill>
              <w14:schemeClr w14:val="tx1"/>
            </w14:solidFill>
          </w14:textFill>
        </w:rPr>
        <w:t>乌鲁木齐市公安局天山区分局</w:t>
      </w:r>
    </w:p>
    <w:p w14:paraId="0FAF1673">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法定代表人（签章）：</w:t>
      </w:r>
    </w:p>
    <w:p w14:paraId="7AC3A5F0">
      <w:pPr>
        <w:pStyle w:val="10"/>
        <w:outlineLvl w:val="9"/>
        <w:rPr>
          <w:rFonts w:hint="eastAsia"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联系人：</w:t>
      </w:r>
      <w:r>
        <w:rPr>
          <w:rFonts w:hint="eastAsia" w:eastAsia="宋体" w:cs="宋体"/>
          <w:b/>
          <w:bCs/>
          <w:color w:val="000000" w:themeColor="text1"/>
          <w:sz w:val="28"/>
          <w:szCs w:val="28"/>
          <w:highlight w:val="none"/>
          <w:lang w:val="en-US" w:eastAsia="zh-CN"/>
          <w14:textFill>
            <w14:solidFill>
              <w14:schemeClr w14:val="tx1"/>
            </w14:solidFill>
          </w14:textFill>
        </w:rPr>
        <w:t>王先生</w:t>
      </w:r>
    </w:p>
    <w:p w14:paraId="4ABC4532">
      <w:pPr>
        <w:pStyle w:val="10"/>
        <w:outlineLvl w:val="9"/>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联系电话：</w:t>
      </w:r>
      <w:r>
        <w:rPr>
          <w:rFonts w:hint="eastAsia" w:ascii="宋体" w:hAnsi="宋体" w:eastAsia="宋体" w:cs="宋体"/>
          <w:b/>
          <w:bCs/>
          <w:sz w:val="28"/>
          <w:szCs w:val="28"/>
          <w:lang w:eastAsia="zh-CN"/>
        </w:rPr>
        <w:t>0991-216004</w:t>
      </w:r>
      <w:r>
        <w:rPr>
          <w:rFonts w:hint="eastAsia" w:eastAsia="宋体" w:cs="宋体"/>
          <w:b/>
          <w:bCs/>
          <w:sz w:val="28"/>
          <w:szCs w:val="28"/>
          <w:lang w:val="en-US" w:eastAsia="zh-CN"/>
        </w:rPr>
        <w:t>1</w:t>
      </w:r>
    </w:p>
    <w:p w14:paraId="19194CAE">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p>
    <w:p w14:paraId="17897000">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招标代理机构：</w:t>
      </w:r>
      <w:r>
        <w:rPr>
          <w:rFonts w:hint="eastAsia" w:ascii="宋体" w:hAnsi="宋体" w:eastAsia="宋体" w:cs="宋体"/>
          <w:b/>
          <w:bCs/>
          <w:color w:val="000000" w:themeColor="text1"/>
          <w:sz w:val="28"/>
          <w:szCs w:val="28"/>
          <w:highlight w:val="none"/>
          <w:lang w:eastAsia="zh-CN"/>
          <w14:textFill>
            <w14:solidFill>
              <w14:schemeClr w14:val="tx1"/>
            </w14:solidFill>
          </w14:textFill>
        </w:rPr>
        <w:t>中国远东国际招标有限公司</w:t>
      </w:r>
      <w:r>
        <w:rPr>
          <w:rFonts w:hint="eastAsia" w:ascii="宋体" w:hAnsi="宋体" w:eastAsia="宋体" w:cs="宋体"/>
          <w:b/>
          <w:bCs/>
          <w:color w:val="000000" w:themeColor="text1"/>
          <w:sz w:val="28"/>
          <w:szCs w:val="28"/>
          <w:highlight w:val="none"/>
          <w14:textFill>
            <w14:solidFill>
              <w14:schemeClr w14:val="tx1"/>
            </w14:solidFill>
          </w14:textFill>
        </w:rPr>
        <w:t>（盖章）</w:t>
      </w:r>
    </w:p>
    <w:p w14:paraId="17E32262">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法定代表人（签章）：</w:t>
      </w:r>
    </w:p>
    <w:p w14:paraId="2FCF8026">
      <w:pPr>
        <w:pStyle w:val="10"/>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联系人：</w:t>
      </w:r>
      <w:r>
        <w:rPr>
          <w:rFonts w:hint="eastAsia" w:eastAsia="宋体" w:cs="宋体"/>
          <w:b/>
          <w:bCs/>
          <w:color w:val="000000" w:themeColor="text1"/>
          <w:sz w:val="28"/>
          <w:szCs w:val="28"/>
          <w:highlight w:val="none"/>
          <w:lang w:val="en-US" w:eastAsia="zh-CN"/>
          <w14:textFill>
            <w14:solidFill>
              <w14:schemeClr w14:val="tx1"/>
            </w14:solidFill>
          </w14:textFill>
        </w:rPr>
        <w:t>李沙沙、王梦姣、於震翱、王欢</w:t>
      </w:r>
    </w:p>
    <w:p w14:paraId="58C1BF23">
      <w:pPr>
        <w:pStyle w:val="10"/>
        <w:outlineLvl w:val="9"/>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联系电话：</w:t>
      </w:r>
      <w:r>
        <w:rPr>
          <w:rFonts w:hint="eastAsia" w:eastAsia="宋体" w:cs="宋体"/>
          <w:b/>
          <w:bCs/>
          <w:color w:val="000000" w:themeColor="text1"/>
          <w:sz w:val="28"/>
          <w:szCs w:val="28"/>
          <w:highlight w:val="none"/>
          <w:lang w:val="en-US" w:eastAsia="zh-CN"/>
          <w14:textFill>
            <w14:solidFill>
              <w14:schemeClr w14:val="tx1"/>
            </w14:solidFill>
          </w14:textFill>
        </w:rPr>
        <w:t>15276657611</w:t>
      </w:r>
    </w:p>
    <w:p w14:paraId="3ADDE39B">
      <w:pPr>
        <w:rPr>
          <w:rFonts w:hint="eastAsia" w:ascii="宋体" w:hAnsi="宋体" w:eastAsia="宋体" w:cs="宋体"/>
          <w:b/>
          <w:bCs/>
          <w:color w:val="000000" w:themeColor="text1"/>
          <w:sz w:val="52"/>
          <w:highlight w:val="none"/>
          <w14:textFill>
            <w14:solidFill>
              <w14:schemeClr w14:val="tx1"/>
            </w14:solidFill>
          </w14:textFill>
        </w:rPr>
      </w:pPr>
    </w:p>
    <w:p w14:paraId="5AA788A2">
      <w:pPr>
        <w:jc w:val="center"/>
        <w:outlineLvl w:val="9"/>
        <w:rPr>
          <w:rFonts w:hint="eastAsia" w:ascii="宋体" w:hAnsi="宋体" w:eastAsia="宋体" w:cs="宋体"/>
          <w:b/>
          <w:bCs/>
          <w:color w:val="000000" w:themeColor="text1"/>
          <w:sz w:val="40"/>
          <w:szCs w:val="40"/>
          <w:highlight w:val="none"/>
          <w:lang w:eastAsia="zh-CN"/>
          <w14:textFill>
            <w14:solidFill>
              <w14:schemeClr w14:val="tx1"/>
            </w14:solidFill>
          </w14:textFill>
        </w:rPr>
      </w:pPr>
      <w:bookmarkStart w:id="2" w:name="_Toc12118"/>
      <w:r>
        <w:rPr>
          <w:rFonts w:hint="eastAsia" w:ascii="宋体" w:hAnsi="宋体" w:eastAsia="宋体" w:cs="宋体"/>
          <w:b/>
          <w:bCs/>
          <w:color w:val="000000" w:themeColor="text1"/>
          <w:sz w:val="40"/>
          <w:szCs w:val="40"/>
          <w:highlight w:val="none"/>
          <w:lang w:eastAsia="zh-CN"/>
          <w14:textFill>
            <w14:solidFill>
              <w14:schemeClr w14:val="tx1"/>
            </w14:solidFill>
          </w14:textFill>
        </w:rPr>
        <w:t>中国远东国际招标有限公司</w:t>
      </w:r>
      <w:bookmarkEnd w:id="2"/>
    </w:p>
    <w:p w14:paraId="3EE38EF3">
      <w:pPr>
        <w:jc w:val="center"/>
        <w:rPr>
          <w:rFonts w:hint="eastAsia" w:ascii="宋体" w:hAnsi="宋体" w:eastAsia="宋体" w:cs="宋体"/>
          <w:b/>
          <w:bCs/>
          <w:color w:val="000000" w:themeColor="text1"/>
          <w:sz w:val="32"/>
          <w:szCs w:val="32"/>
          <w:highlight w:val="none"/>
          <w14:textFill>
            <w14:solidFill>
              <w14:schemeClr w14:val="tx1"/>
            </w14:solidFill>
          </w14:textFill>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eastAsia="宋体" w:cs="宋体"/>
          <w:b/>
          <w:bCs/>
          <w:color w:val="000000" w:themeColor="text1"/>
          <w:sz w:val="32"/>
          <w:szCs w:val="32"/>
          <w:highlight w:val="none"/>
          <w14:textFill>
            <w14:solidFill>
              <w14:schemeClr w14:val="tx1"/>
            </w14:solidFill>
          </w14:textFill>
        </w:rPr>
        <w:t>202</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14:textFill>
            <w14:solidFill>
              <w14:schemeClr w14:val="tx1"/>
            </w14:solidFill>
          </w14:textFill>
        </w:rPr>
        <w:t>月</w:t>
      </w:r>
    </w:p>
    <w:sdt>
      <w:sdt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id w:val="147475108"/>
        <w15:color w:val="DBDBDB"/>
        <w:docPartObj>
          <w:docPartGallery w:val="Table of Contents"/>
          <w:docPartUnique/>
        </w:docPartObj>
      </w:sdtPr>
      <w:sdtEndP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sdtEndPr>
      <w:sdtContent>
        <w:p w14:paraId="66C7C9EE">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目录</w:t>
          </w:r>
        </w:p>
        <w:p w14:paraId="44727A02">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"1-2" \h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_Toc25547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第一章　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2351B1E">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_Toc26394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FA058D3">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_Toc4472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第三章　评标办法及标准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75F56E">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_Toc32708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4821AB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_Toc19688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第五章　投标文件组成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A1E8C52">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  投标书（格式）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744513A">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_Toc10452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  投标一览表（格式）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0DA4348">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_Toc9348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附件3  投标分项报价表（格式）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9A95FE1">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_Toc22887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技术规格偏离表（格式）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A7921C0">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_Toc22872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商务条款偏离表（格式）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580108E">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_Toc31342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资格证明文件（格式）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238942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_Toc32351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法人或者其他组织的营业执照副本复印件或自然人的身份证明复印件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004076A">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_Toc7970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附件6-2  具有良好的商业信誉和健全的财务会计制度；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5BB6D24">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_Toc20611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具有依法缴纳税收和社会保障资金的良好记录（需提供投标截止日前六个月内任一个月的企业纳税证明和社保缴费记录证明）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93A948">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_Toc29972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D83CC6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_Toc16948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28"/>
              <w:szCs w:val="21"/>
              <w:highlight w:val="none"/>
              <w14:textFill>
                <w14:solidFill>
                  <w14:schemeClr w14:val="tx1"/>
                </w14:solidFill>
              </w14:textFill>
            </w:rPr>
            <w:t xml:space="preserve">  具有履行合同所必需的设备及专业技术能力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6148263">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_Toc15243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附件6-6 无不良信用记录承诺函(投标人自行查询适用)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5BC978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法定代表人授权书（格式）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E89DED3">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_Toc6877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 xml:space="preserve">  投标人的资格声明（格式）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38BEF34">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_Toc21521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-9  投标人近</w:t>
          </w:r>
          <w:r>
            <w:rPr>
              <w:rFonts w:hint="eastAsia" w:ascii="宋体" w:hAnsi="宋体" w:eastAsia="宋体" w:cs="宋体"/>
              <w:color w:val="000000" w:themeColor="text1"/>
              <w:szCs w:val="21"/>
              <w:highlight w:val="none"/>
              <w:lang w:val="en-US" w:eastAsia="zh-CN"/>
              <w14:textFill>
                <w14:solidFill>
                  <w14:schemeClr w14:val="tx1"/>
                </w14:solidFill>
              </w14:textFill>
            </w:rPr>
            <w:t>三</w:t>
          </w:r>
          <w:r>
            <w:rPr>
              <w:rFonts w:hint="eastAsia" w:ascii="宋体" w:hAnsi="宋体" w:eastAsia="宋体" w:cs="宋体"/>
              <w:color w:val="000000" w:themeColor="text1"/>
              <w:szCs w:val="21"/>
              <w:highlight w:val="none"/>
              <w14:textFill>
                <w14:solidFill>
                  <w14:schemeClr w14:val="tx1"/>
                </w14:solidFill>
              </w14:textFill>
            </w:rPr>
            <w:t>年的同类项目情况表（格式）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5F0B154">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color w:val="000000" w:themeColor="text1"/>
              <w:szCs w:val="21"/>
              <w:highlight w:val="none"/>
              <w14:textFill>
                <w14:solidFill>
                  <w14:schemeClr w14:val="tx1"/>
                </w14:solidFill>
              </w14:textFill>
            </w:rPr>
            <w:t>(查询日期自招标公告发布之日后，提供网页打印件加盖公章)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39021EF">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_Toc21329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D6424B">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_Toc15130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附件6-1</w:t>
          </w:r>
          <w:r>
            <w:rPr>
              <w:rFonts w:hint="eastAsia" w:ascii="宋体" w:hAnsi="宋体" w:cs="宋体"/>
              <w:bCs/>
              <w:color w:val="000000" w:themeColor="text1"/>
              <w:kern w:val="28"/>
              <w:szCs w:val="21"/>
              <w:highlight w:val="none"/>
              <w:lang w:val="en-US" w:eastAsia="zh-CN" w:bidi="ar-SA"/>
              <w14:textFill>
                <w14:solidFill>
                  <w14:schemeClr w14:val="tx1"/>
                </w14:solidFill>
              </w14:textFill>
            </w:rPr>
            <w:t xml:space="preserve">2  </w:t>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反商业贿赂承诺书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55B6815">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_Toc26964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en-US" w:eastAsia="zh-CN"/>
              <w14:textFill>
                <w14:solidFill>
                  <w14:schemeClr w14:val="tx1"/>
                </w14:solidFill>
              </w14:textFill>
            </w:rPr>
            <w:t>附件6-13 招标文件要求的其他资格证明文件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16BEDB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_Toc11541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-1   拟投入本项目人员情况表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EBCC5B1">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_Toc14585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-2   项目实施方案（格式自拟）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1864F5C">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_Toc2186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保密管理方案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0D0E756">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_Toc5648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附件7-</w:t>
          </w:r>
          <w:r>
            <w:rPr>
              <w:rFonts w:hint="eastAsia" w:eastAsia="宋体" w:cs="宋体"/>
              <w:bCs/>
              <w:color w:val="000000" w:themeColor="text1"/>
              <w:kern w:val="28"/>
              <w:szCs w:val="21"/>
              <w:highlight w:val="none"/>
              <w:lang w:val="en-US" w:eastAsia="zh-CN" w:bidi="ar-SA"/>
              <w14:textFill>
                <w14:solidFill>
                  <w14:schemeClr w14:val="tx1"/>
                </w14:solidFill>
              </w14:textFill>
            </w:rPr>
            <w:t>4</w:t>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 xml:space="preserve">  售后服务方案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6AD6DC6">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_Toc14081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投标保证金缴纳凭证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8C1128F">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_Toc32022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-1  中标服务费承诺书（格式）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33B49F5">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_Toc24525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-2 关于投标保证金的声明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E0240E">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_Toc18866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-3 开票账户信息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9AB3681">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2"/>
              <w:highlight w:val="none"/>
              <w14:textFill>
                <w14:solidFill>
                  <w14:schemeClr w14:val="tx1"/>
                </w14:solidFill>
              </w14:textFill>
            </w:rPr>
            <w:t>附件</w:t>
          </w:r>
          <w:r>
            <w:rPr>
              <w:rFonts w:hint="eastAsia" w:ascii="宋体" w:hAnsi="宋体" w:eastAsia="宋体" w:cs="宋体"/>
              <w:bCs/>
              <w:color w:val="000000" w:themeColor="text1"/>
              <w:szCs w:val="22"/>
              <w:highlight w:val="none"/>
              <w:lang w:val="en-US" w:eastAsia="zh-CN"/>
              <w14:textFill>
                <w14:solidFill>
                  <w14:schemeClr w14:val="tx1"/>
                </w14:solidFill>
              </w14:textFill>
            </w:rPr>
            <w:t>9</w:t>
          </w:r>
          <w:r>
            <w:rPr>
              <w:rFonts w:hint="eastAsia" w:ascii="宋体" w:hAnsi="宋体" w:eastAsia="宋体" w:cs="宋体"/>
              <w:bCs/>
              <w:color w:val="000000" w:themeColor="text1"/>
              <w:szCs w:val="22"/>
              <w:highlight w:val="none"/>
              <w14:textFill>
                <w14:solidFill>
                  <w14:schemeClr w14:val="tx1"/>
                </w14:solidFill>
              </w14:textFill>
            </w:rPr>
            <w:t xml:space="preserve"> </w:t>
          </w:r>
          <w:r>
            <w:rPr>
              <w:rFonts w:hint="eastAsia" w:ascii="宋体" w:hAnsi="宋体" w:eastAsia="宋体" w:cs="宋体"/>
              <w:bCs/>
              <w:color w:val="000000" w:themeColor="text1"/>
              <w:szCs w:val="22"/>
              <w:highlight w:val="none"/>
              <w:lang w:val="en-US" w:eastAsia="zh-CN"/>
              <w14:textFill>
                <w14:solidFill>
                  <w14:schemeClr w14:val="tx1"/>
                </w14:solidFill>
              </w14:textFill>
            </w:rPr>
            <w:t>中小微企业声明函（服务类，如有）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36AC2A">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_Toc10780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监狱企业声明函（格式）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935EDF5">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_Toc21019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附件11 残疾人福利性单位声明函（残疾人福利性企业参加的，不属于的无须提供）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B422F77">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_Toc32484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附件13 </w:t>
          </w:r>
          <w:r>
            <w:rPr>
              <w:rFonts w:hint="eastAsia" w:ascii="宋体" w:hAnsi="宋体" w:eastAsia="宋体" w:cs="宋体"/>
              <w:color w:val="000000" w:themeColor="text1"/>
              <w:szCs w:val="21"/>
              <w:highlight w:val="none"/>
              <w14:textFill>
                <w14:solidFill>
                  <w14:schemeClr w14:val="tx1"/>
                </w14:solidFill>
              </w14:textFill>
            </w:rPr>
            <w:t>其他有利于投标的资料（包括但不仅限于相关证书、相关获奖情况等资料）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8DBE30">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_Toc22123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 xml:space="preserve">第六章 </w:t>
          </w:r>
          <w:r>
            <w:rPr>
              <w:rFonts w:hint="eastAsia" w:ascii="宋体" w:hAnsi="宋体" w:eastAsia="宋体" w:cs="宋体"/>
              <w:color w:val="000000" w:themeColor="text1"/>
              <w:highlight w:val="none"/>
              <w14:textFill>
                <w14:solidFill>
                  <w14:schemeClr w14:val="tx1"/>
                </w14:solidFill>
              </w14:textFill>
            </w:rPr>
            <w:t>项目采购需求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AC6D5D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14:paraId="4A754F9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F058E26">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 w:name="_Toc25547"/>
      <w:r>
        <w:rPr>
          <w:rFonts w:hint="eastAsia" w:ascii="宋体" w:hAnsi="宋体" w:eastAsia="宋体" w:cs="宋体"/>
          <w:color w:val="000000" w:themeColor="text1"/>
          <w:highlight w:val="none"/>
          <w14:textFill>
            <w14:solidFill>
              <w14:schemeClr w14:val="tx1"/>
            </w14:solidFill>
          </w14:textFill>
        </w:rPr>
        <w:t>第一章　投标邀请</w:t>
      </w:r>
      <w:bookmarkEnd w:id="3"/>
    </w:p>
    <w:p w14:paraId="63627BE1">
      <w:pPr>
        <w:keepNext w:val="0"/>
        <w:keepLines w:val="0"/>
        <w:widowControl/>
        <w:spacing w:line="360" w:lineRule="atLeast"/>
        <w:jc w:val="center"/>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2026年度天山区某单位网络运维服务项目</w:t>
      </w:r>
      <w:r>
        <w:rPr>
          <w:rFonts w:hint="eastAsia" w:ascii="宋体" w:hAnsi="宋体" w:eastAsia="宋体" w:cs="宋体"/>
          <w:color w:val="000000" w:themeColor="text1"/>
          <w:sz w:val="28"/>
          <w:szCs w:val="28"/>
          <w:highlight w:val="none"/>
          <w14:textFill>
            <w14:solidFill>
              <w14:schemeClr w14:val="tx1"/>
            </w14:solidFill>
          </w14:textFill>
        </w:rPr>
        <w:t>的公开招标公告</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FE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14:paraId="6F0D92A5">
            <w:pPr>
              <w:pStyle w:val="22"/>
              <w:widowControl/>
              <w:spacing w:after="150" w:afterAutospacing="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项目概况</w:t>
            </w:r>
          </w:p>
          <w:p w14:paraId="13FB7A0B">
            <w:pPr>
              <w:pStyle w:val="22"/>
              <w:widowControl/>
              <w:spacing w:line="24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eastAsia="宋体" w:cs="宋体"/>
                <w:color w:val="000000" w:themeColor="text1"/>
                <w:highlight w:val="none"/>
                <w:lang w:val="en-US" w:eastAsia="zh-CN"/>
                <w14:textFill>
                  <w14:solidFill>
                    <w14:schemeClr w14:val="tx1"/>
                  </w14:solidFill>
                </w14:textFill>
              </w:rPr>
              <w:t>2026年度天山区某单位网络运维服务项目</w:t>
            </w:r>
            <w:r>
              <w:rPr>
                <w:rFonts w:hint="eastAsia" w:ascii="宋体" w:hAnsi="宋体" w:eastAsia="宋体" w:cs="宋体"/>
                <w:color w:val="000000" w:themeColor="text1"/>
                <w:highlight w:val="none"/>
                <w:lang w:val="en-US" w:eastAsia="zh-CN"/>
                <w14:textFill>
                  <w14:solidFill>
                    <w14:schemeClr w14:val="tx1"/>
                  </w14:solidFill>
                </w14:textFill>
              </w:rPr>
              <w:t>的潜在供应商应在新疆政府采购网-政采云平台（https://www.zcygov.cn）获取采购文件，并于202</w:t>
            </w:r>
            <w:r>
              <w:rPr>
                <w:rFonts w:hint="eastAsia"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年</w:t>
            </w:r>
            <w:r>
              <w:rPr>
                <w:rFonts w:hint="eastAsia" w:eastAsia="宋体" w:cs="宋体"/>
                <w:color w:val="000000" w:themeColor="text1"/>
                <w:highlight w:val="none"/>
                <w:lang w:val="en-US" w:eastAsia="zh-CN"/>
                <w14:textFill>
                  <w14:solidFill>
                    <w14:schemeClr w14:val="tx1"/>
                  </w14:solidFill>
                </w14:textFill>
              </w:rPr>
              <w:t>05</w:t>
            </w:r>
            <w:r>
              <w:rPr>
                <w:rFonts w:hint="eastAsia" w:ascii="宋体" w:hAnsi="宋体" w:eastAsia="宋体" w:cs="宋体"/>
                <w:color w:val="000000" w:themeColor="text1"/>
                <w:highlight w:val="none"/>
                <w:lang w:val="en-US" w:eastAsia="zh-CN"/>
                <w14:textFill>
                  <w14:solidFill>
                    <w14:schemeClr w14:val="tx1"/>
                  </w14:solidFill>
                </w14:textFill>
              </w:rPr>
              <w:t>月</w:t>
            </w:r>
            <w:r>
              <w:rPr>
                <w:rFonts w:hint="eastAsia" w:eastAsia="宋体" w:cs="宋体"/>
                <w:color w:val="000000" w:themeColor="text1"/>
                <w:highlight w:val="none"/>
                <w:lang w:val="en-US" w:eastAsia="zh-CN"/>
                <w14:textFill>
                  <w14:solidFill>
                    <w14:schemeClr w14:val="tx1"/>
                  </w14:solidFill>
                </w14:textFill>
              </w:rPr>
              <w:t>21日11</w:t>
            </w:r>
            <w:r>
              <w:rPr>
                <w:rFonts w:hint="eastAsia" w:ascii="宋体" w:hAnsi="宋体" w:eastAsia="宋体" w:cs="宋体"/>
                <w:color w:val="000000" w:themeColor="text1"/>
                <w:highlight w:val="none"/>
                <w:lang w:val="en-US" w:eastAsia="zh-CN"/>
                <w14:textFill>
                  <w14:solidFill>
                    <w14:schemeClr w14:val="tx1"/>
                  </w14:solidFill>
                </w14:textFill>
              </w:rPr>
              <w:t>:00（北京时间）前提交投标文件。</w:t>
            </w:r>
          </w:p>
        </w:tc>
      </w:tr>
    </w:tbl>
    <w:p w14:paraId="01E1D977">
      <w:pPr>
        <w:pStyle w:val="22"/>
        <w:spacing w:before="60" w:beforeAutospacing="0" w:after="60" w:afterAutospacing="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6F3468B4">
      <w:pPr>
        <w:pStyle w:val="22"/>
        <w:spacing w:before="204" w:beforeAutospacing="0" w:after="204" w:afterAutospacing="0" w:line="240" w:lineRule="atLeast"/>
        <w:jc w:val="both"/>
        <w:rPr>
          <w:rFonts w:hint="eastAsia" w:ascii="宋体" w:hAnsi="宋体" w:eastAsia="宋体" w:cs="宋体"/>
          <w:color w:val="000000" w:themeColor="text1"/>
          <w:sz w:val="21"/>
          <w:szCs w:val="21"/>
          <w:highlight w:val="none"/>
          <w14:textFill>
            <w14:solidFill>
              <w14:schemeClr w14:val="tx1"/>
            </w14:solidFill>
          </w14:textFill>
        </w:rPr>
      </w:pPr>
      <w:r>
        <w:rPr>
          <w:rStyle w:val="28"/>
          <w:rFonts w:hint="eastAsia" w:ascii="宋体" w:hAnsi="宋体" w:eastAsia="宋体" w:cs="宋体"/>
          <w:color w:val="000000" w:themeColor="text1"/>
          <w:sz w:val="21"/>
          <w:szCs w:val="21"/>
          <w:highlight w:val="none"/>
          <w14:textFill>
            <w14:solidFill>
              <w14:schemeClr w14:val="tx1"/>
            </w14:solidFill>
          </w14:textFill>
        </w:rPr>
        <w:t>一、项目基本情况</w:t>
      </w:r>
    </w:p>
    <w:p w14:paraId="047F16A6">
      <w:pPr>
        <w:pStyle w:val="22"/>
        <w:spacing w:before="60" w:beforeAutospacing="0" w:after="60" w:afterAutospacing="0" w:line="240" w:lineRule="atLeas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项目编号：0722-26FE1742XJF</w:t>
      </w:r>
    </w:p>
    <w:p w14:paraId="429AA1F1">
      <w:pPr>
        <w:pStyle w:val="22"/>
        <w:spacing w:before="60" w:beforeAutospacing="0" w:after="60" w:afterAutospacing="0" w:line="240" w:lineRule="atLeast"/>
        <w:ind w:firstLine="420"/>
        <w:rPr>
          <w:rFonts w:hint="eastAsia"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eastAsia="宋体" w:cs="宋体"/>
          <w:color w:val="000000" w:themeColor="text1"/>
          <w:sz w:val="21"/>
          <w:szCs w:val="21"/>
          <w:highlight w:val="none"/>
          <w:lang w:eastAsia="zh-CN"/>
          <w14:textFill>
            <w14:solidFill>
              <w14:schemeClr w14:val="tx1"/>
            </w14:solidFill>
          </w14:textFill>
        </w:rPr>
        <w:t>2026年度天山区某单位网络运维服务项目</w:t>
      </w:r>
    </w:p>
    <w:p w14:paraId="69B602C0">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采购方式：公开招标</w:t>
      </w:r>
    </w:p>
    <w:p w14:paraId="21254AC4">
      <w:pPr>
        <w:pStyle w:val="22"/>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eastAsia="宋体" w:cs="宋体"/>
          <w:color w:val="000000" w:themeColor="text1"/>
          <w:sz w:val="21"/>
          <w:szCs w:val="21"/>
          <w:highlight w:val="none"/>
          <w:lang w:val="en-US" w:eastAsia="zh-CN"/>
          <w14:textFill>
            <w14:solidFill>
              <w14:schemeClr w14:val="tx1"/>
            </w14:solidFill>
          </w14:textFill>
        </w:rPr>
        <w:t>2744772.00</w:t>
      </w:r>
    </w:p>
    <w:p w14:paraId="01F2A58C">
      <w:pPr>
        <w:pStyle w:val="22"/>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最高限价（元）：</w:t>
      </w:r>
      <w:r>
        <w:rPr>
          <w:rFonts w:hint="eastAsia" w:ascii="宋体" w:hAnsi="宋体" w:eastAsia="宋体" w:cs="宋体"/>
          <w:color w:val="000000" w:themeColor="text1"/>
          <w:sz w:val="21"/>
          <w:szCs w:val="21"/>
          <w:highlight w:val="none"/>
          <w:lang w:val="en-US" w:eastAsia="zh-CN"/>
          <w14:textFill>
            <w14:solidFill>
              <w14:schemeClr w14:val="tx1"/>
            </w14:solidFill>
          </w14:textFill>
        </w:rPr>
        <w:t>2744772.00</w:t>
      </w:r>
    </w:p>
    <w:p w14:paraId="23945D6F">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采购需求：</w:t>
      </w:r>
    </w:p>
    <w:p w14:paraId="5F5B1284">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一</w:t>
      </w:r>
    </w:p>
    <w:p w14:paraId="22CE3D99">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标项名称:2026年度社区警务专线链路服务招标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4C93663">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数量:不限</w:t>
      </w:r>
    </w:p>
    <w:p w14:paraId="0F6C5C5E">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预算金额（元）:403920</w:t>
      </w:r>
    </w:p>
    <w:p w14:paraId="7E72758D">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单位：批</w:t>
      </w:r>
    </w:p>
    <w:p w14:paraId="60E959F1">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2026年某单位链路服务采购，详见</w:t>
      </w:r>
      <w:r>
        <w:rPr>
          <w:rFonts w:hint="eastAsia"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2F0EC4F">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二</w:t>
      </w:r>
    </w:p>
    <w:p w14:paraId="4AA5E7B7">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标项名称:2026年度公安网链路服务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26D0D7F">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数量:不限</w:t>
      </w:r>
    </w:p>
    <w:p w14:paraId="75B36140">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预算金额（元）:384000</w:t>
      </w:r>
    </w:p>
    <w:p w14:paraId="7A070A8D">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单位：批</w:t>
      </w:r>
    </w:p>
    <w:p w14:paraId="46F56403">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2026年某单位链路服务采购</w:t>
      </w:r>
      <w:r>
        <w:rPr>
          <w:rFonts w:hint="eastAsia" w:eastAsia="宋体" w:cs="宋体"/>
          <w:color w:val="000000" w:themeColor="text1"/>
          <w:sz w:val="21"/>
          <w:szCs w:val="21"/>
          <w:highlight w:val="none"/>
          <w:lang w:eastAsia="zh-CN"/>
          <w14:textFill>
            <w14:solidFill>
              <w14:schemeClr w14:val="tx1"/>
            </w14:solidFill>
          </w14:textFill>
        </w:rPr>
        <w:t>，详见</w:t>
      </w:r>
      <w:r>
        <w:rPr>
          <w:rFonts w:hint="eastAsia" w:eastAsia="宋体" w:cs="宋体"/>
          <w:color w:val="000000" w:themeColor="text1"/>
          <w:sz w:val="21"/>
          <w:szCs w:val="21"/>
          <w:highlight w:val="none"/>
          <w:lang w:val="en-US" w:eastAsia="zh-CN"/>
          <w14:textFill>
            <w14:solidFill>
              <w14:schemeClr w14:val="tx1"/>
            </w14:solidFill>
          </w14:textFill>
        </w:rPr>
        <w:t>招标</w:t>
      </w:r>
      <w:r>
        <w:rPr>
          <w:rFonts w:hint="eastAsia"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D34DF73">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三</w:t>
      </w:r>
    </w:p>
    <w:p w14:paraId="211F8904">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2026年度移动警务终端链路服务(</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4003AB6">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数量:不限</w:t>
      </w:r>
    </w:p>
    <w:p w14:paraId="525AAD59">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预算金额（元）:1</w:t>
      </w:r>
      <w:r>
        <w:rPr>
          <w:rFonts w:hint="eastAsia" w:eastAsia="宋体" w:cs="宋体"/>
          <w:color w:val="000000" w:themeColor="text1"/>
          <w:sz w:val="21"/>
          <w:szCs w:val="21"/>
          <w:highlight w:val="none"/>
          <w:lang w:val="en-US" w:eastAsia="zh-CN"/>
          <w14:textFill>
            <w14:solidFill>
              <w14:schemeClr w14:val="tx1"/>
            </w14:solidFill>
          </w14:textFill>
        </w:rPr>
        <w:t>701</w:t>
      </w:r>
      <w:r>
        <w:rPr>
          <w:rFonts w:hint="eastAsia" w:ascii="宋体" w:hAnsi="宋体" w:eastAsia="宋体" w:cs="宋体"/>
          <w:color w:val="000000" w:themeColor="text1"/>
          <w:sz w:val="21"/>
          <w:szCs w:val="21"/>
          <w:highlight w:val="none"/>
          <w14:textFill>
            <w14:solidFill>
              <w14:schemeClr w14:val="tx1"/>
            </w14:solidFill>
          </w14:textFill>
        </w:rPr>
        <w:t>00</w:t>
      </w:r>
    </w:p>
    <w:p w14:paraId="44867D5B">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单位：批</w:t>
      </w:r>
    </w:p>
    <w:p w14:paraId="46EDCC60">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2026年某单位链路服务采购</w:t>
      </w:r>
      <w:r>
        <w:rPr>
          <w:rFonts w:hint="eastAsia" w:eastAsia="宋体" w:cs="宋体"/>
          <w:color w:val="000000" w:themeColor="text1"/>
          <w:sz w:val="21"/>
          <w:szCs w:val="21"/>
          <w:highlight w:val="none"/>
          <w:lang w:eastAsia="zh-CN"/>
          <w14:textFill>
            <w14:solidFill>
              <w14:schemeClr w14:val="tx1"/>
            </w14:solidFill>
          </w14:textFill>
        </w:rPr>
        <w:t>，详见</w:t>
      </w:r>
      <w:r>
        <w:rPr>
          <w:rFonts w:hint="eastAsia" w:eastAsia="宋体" w:cs="宋体"/>
          <w:color w:val="000000" w:themeColor="text1"/>
          <w:sz w:val="21"/>
          <w:szCs w:val="21"/>
          <w:highlight w:val="none"/>
          <w:lang w:val="en-US" w:eastAsia="zh-CN"/>
          <w14:textFill>
            <w14:solidFill>
              <w14:schemeClr w14:val="tx1"/>
            </w14:solidFill>
          </w14:textFill>
        </w:rPr>
        <w:t>招标</w:t>
      </w:r>
      <w:r>
        <w:rPr>
          <w:rFonts w:hint="eastAsia"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093C26C">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四</w:t>
      </w:r>
    </w:p>
    <w:p w14:paraId="4359B0D6">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标项名称:2026年度智能 110 接处警系统网络链路及运维服务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532205B">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数量:不限</w:t>
      </w:r>
    </w:p>
    <w:p w14:paraId="458762F5">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预算金额（元）:510000</w:t>
      </w:r>
    </w:p>
    <w:p w14:paraId="21EE8FC3">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单位：批</w:t>
      </w:r>
    </w:p>
    <w:p w14:paraId="07799D01">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2026年某单位链路服务采购</w:t>
      </w:r>
      <w:r>
        <w:rPr>
          <w:rFonts w:hint="eastAsia" w:eastAsia="宋体" w:cs="宋体"/>
          <w:color w:val="000000" w:themeColor="text1"/>
          <w:sz w:val="21"/>
          <w:szCs w:val="21"/>
          <w:highlight w:val="none"/>
          <w:lang w:eastAsia="zh-CN"/>
          <w14:textFill>
            <w14:solidFill>
              <w14:schemeClr w14:val="tx1"/>
            </w14:solidFill>
          </w14:textFill>
        </w:rPr>
        <w:t>，详见</w:t>
      </w:r>
      <w:r>
        <w:rPr>
          <w:rFonts w:hint="eastAsia" w:eastAsia="宋体" w:cs="宋体"/>
          <w:color w:val="000000" w:themeColor="text1"/>
          <w:sz w:val="21"/>
          <w:szCs w:val="21"/>
          <w:highlight w:val="none"/>
          <w:lang w:val="en-US" w:eastAsia="zh-CN"/>
          <w14:textFill>
            <w14:solidFill>
              <w14:schemeClr w14:val="tx1"/>
            </w14:solidFill>
          </w14:textFill>
        </w:rPr>
        <w:t>招标</w:t>
      </w:r>
      <w:r>
        <w:rPr>
          <w:rFonts w:hint="eastAsia"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F6327B1">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五</w:t>
      </w:r>
    </w:p>
    <w:p w14:paraId="003F57CC">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标项名称:2026 年度无感知三期设备链路及运维</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6689738">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数量:不限</w:t>
      </w:r>
    </w:p>
    <w:p w14:paraId="1CEC8EFE">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预算金额（元）:1071900</w:t>
      </w:r>
    </w:p>
    <w:p w14:paraId="45E43B39">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单位：批</w:t>
      </w:r>
    </w:p>
    <w:p w14:paraId="0AB35ECF">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2026年某单位链路服务采购</w:t>
      </w:r>
      <w:r>
        <w:rPr>
          <w:rFonts w:hint="eastAsia" w:eastAsia="宋体" w:cs="宋体"/>
          <w:color w:val="000000" w:themeColor="text1"/>
          <w:sz w:val="21"/>
          <w:szCs w:val="21"/>
          <w:highlight w:val="none"/>
          <w:lang w:eastAsia="zh-CN"/>
          <w14:textFill>
            <w14:solidFill>
              <w14:schemeClr w14:val="tx1"/>
            </w14:solidFill>
          </w14:textFill>
        </w:rPr>
        <w:t>，详见</w:t>
      </w:r>
      <w:r>
        <w:rPr>
          <w:rFonts w:hint="eastAsia" w:eastAsia="宋体" w:cs="宋体"/>
          <w:color w:val="000000" w:themeColor="text1"/>
          <w:sz w:val="21"/>
          <w:szCs w:val="21"/>
          <w:highlight w:val="none"/>
          <w:lang w:val="en-US" w:eastAsia="zh-CN"/>
          <w14:textFill>
            <w14:solidFill>
              <w14:schemeClr w14:val="tx1"/>
            </w14:solidFill>
          </w14:textFill>
        </w:rPr>
        <w:t>招标</w:t>
      </w:r>
      <w:r>
        <w:rPr>
          <w:rFonts w:hint="eastAsia"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17160D0">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六</w:t>
      </w:r>
    </w:p>
    <w:p w14:paraId="6AE245E5">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标项名称:2026 年度 “大数据平台、宁夏湾周边及中欧班列设备” 链路及运维</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1D76E79">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数量:不限</w:t>
      </w:r>
    </w:p>
    <w:p w14:paraId="7E8A992A">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预算金额（元）:204852</w:t>
      </w:r>
    </w:p>
    <w:p w14:paraId="4305FCE6">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单位：批</w:t>
      </w:r>
    </w:p>
    <w:p w14:paraId="2D44F46C">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2026年某单位链路服务采购，详见</w:t>
      </w:r>
      <w:r>
        <w:rPr>
          <w:rFonts w:hint="eastAsia"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5F4C317">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合同履约期限：1年</w:t>
      </w:r>
      <w:r>
        <w:rPr>
          <w:rFonts w:hint="eastAsia" w:ascii="宋体" w:hAnsi="宋体" w:eastAsia="宋体" w:cs="宋体"/>
          <w:color w:val="000000" w:themeColor="text1"/>
          <w:sz w:val="21"/>
          <w:szCs w:val="21"/>
          <w:highlight w:val="none"/>
          <w:lang w:eastAsia="zh-CN"/>
          <w14:textFill>
            <w14:solidFill>
              <w14:schemeClr w14:val="tx1"/>
            </w14:solidFill>
          </w14:textFill>
        </w:rPr>
        <w:t>（具体以合同签订时间为准）。</w:t>
      </w:r>
    </w:p>
    <w:p w14:paraId="67AAA5E5">
      <w:pPr>
        <w:pStyle w:val="22"/>
        <w:spacing w:before="60" w:beforeAutospacing="0" w:after="60" w:afterAutospacing="0" w:line="240" w:lineRule="atLeas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本项目（否）接受联合体投标。</w:t>
      </w:r>
    </w:p>
    <w:p w14:paraId="489938B8">
      <w:pPr>
        <w:pStyle w:val="22"/>
        <w:spacing w:before="204" w:beforeAutospacing="0" w:after="204" w:afterAutospacing="0" w:line="240" w:lineRule="atLeast"/>
        <w:jc w:val="both"/>
        <w:rPr>
          <w:rStyle w:val="28"/>
          <w:rFonts w:hint="eastAsia" w:ascii="宋体" w:hAnsi="宋体" w:eastAsia="宋体" w:cs="宋体"/>
          <w:color w:val="000000" w:themeColor="text1"/>
          <w:sz w:val="21"/>
          <w:szCs w:val="21"/>
          <w:highlight w:val="none"/>
          <w14:textFill>
            <w14:solidFill>
              <w14:schemeClr w14:val="tx1"/>
            </w14:solidFill>
          </w14:textFill>
        </w:rPr>
      </w:pPr>
      <w:r>
        <w:rPr>
          <w:rStyle w:val="28"/>
          <w:rFonts w:hint="eastAsia" w:ascii="宋体" w:hAnsi="宋体" w:eastAsia="宋体" w:cs="宋体"/>
          <w:color w:val="000000" w:themeColor="text1"/>
          <w:sz w:val="21"/>
          <w:szCs w:val="21"/>
          <w:highlight w:val="none"/>
          <w14:textFill>
            <w14:solidFill>
              <w14:schemeClr w14:val="tx1"/>
            </w14:solidFill>
          </w14:textFill>
        </w:rPr>
        <w:t>二、申请人的资格要求：</w:t>
      </w:r>
    </w:p>
    <w:p w14:paraId="2D5F05C1">
      <w:pPr>
        <w:pStyle w:val="22"/>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4A2DD073">
      <w:pPr>
        <w:pStyle w:val="22"/>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w:t>
      </w:r>
      <w:r>
        <w:rPr>
          <w:rFonts w:hint="eastAsia" w:eastAsia="宋体" w:cs="宋体"/>
          <w:color w:val="000000" w:themeColor="text1"/>
          <w:sz w:val="21"/>
          <w:szCs w:val="21"/>
          <w:highlight w:val="none"/>
          <w:lang w:val="en-US" w:eastAsia="zh-CN"/>
          <w14:textFill>
            <w14:solidFill>
              <w14:schemeClr w14:val="tx1"/>
            </w14:solidFill>
          </w14:textFill>
        </w:rPr>
        <w:t>/</w:t>
      </w:r>
    </w:p>
    <w:p w14:paraId="14F2EB85">
      <w:pPr>
        <w:pStyle w:val="22"/>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3.本项目的特定资格要求:具有有效的《中华人民共和国基础电信业务经营许可证》</w:t>
      </w:r>
      <w:r>
        <w:rPr>
          <w:rFonts w:hint="eastAsia" w:eastAsia="宋体" w:cs="宋体"/>
          <w:color w:val="000000" w:themeColor="text1"/>
          <w:sz w:val="21"/>
          <w:szCs w:val="21"/>
          <w:highlight w:val="none"/>
          <w:lang w:eastAsia="zh-CN"/>
          <w14:textFill>
            <w14:solidFill>
              <w14:schemeClr w14:val="tx1"/>
            </w14:solidFill>
          </w14:textFill>
        </w:rPr>
        <w:t>。</w:t>
      </w:r>
    </w:p>
    <w:p w14:paraId="7756ED43">
      <w:pPr>
        <w:pStyle w:val="22"/>
        <w:spacing w:before="204" w:beforeAutospacing="0" w:after="204" w:afterAutospacing="0" w:line="240" w:lineRule="atLeast"/>
        <w:jc w:val="both"/>
        <w:rPr>
          <w:rStyle w:val="28"/>
          <w:rFonts w:hint="eastAsia" w:ascii="宋体" w:hAnsi="宋体" w:eastAsia="宋体" w:cs="宋体"/>
          <w:color w:val="000000" w:themeColor="text1"/>
          <w:sz w:val="21"/>
          <w:szCs w:val="21"/>
          <w:highlight w:val="none"/>
          <w14:textFill>
            <w14:solidFill>
              <w14:schemeClr w14:val="tx1"/>
            </w14:solidFill>
          </w14:textFill>
        </w:rPr>
      </w:pPr>
      <w:r>
        <w:rPr>
          <w:rStyle w:val="28"/>
          <w:rFonts w:hint="eastAsia" w:ascii="宋体" w:hAnsi="宋体" w:eastAsia="宋体" w:cs="宋体"/>
          <w:color w:val="000000" w:themeColor="text1"/>
          <w:sz w:val="21"/>
          <w:szCs w:val="21"/>
          <w:highlight w:val="none"/>
          <w14:textFill>
            <w14:solidFill>
              <w14:schemeClr w14:val="tx1"/>
            </w14:solidFill>
          </w14:textFill>
        </w:rPr>
        <w:t>三、获取招标文件</w:t>
      </w:r>
    </w:p>
    <w:p w14:paraId="29A1602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时间：2026年04月30日至2026年05月11日，每天上午00:00至14:00，下午14:00至23:59（北京时间，法定节假日除外）</w:t>
      </w:r>
    </w:p>
    <w:p w14:paraId="7239EB5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地点：政采云平台线上获取采购文件</w:t>
      </w:r>
    </w:p>
    <w:p w14:paraId="32732B0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方式：免费获取，供应商登陆政采云账户（网址：https://www.zcygov.cn/）,在线申请获取招标文件（登录政府采购云平台→采购项目→获取采购文件→申请，审核通过后可下载招标文件，如有操作性问题，可与政采云在线客服进行咨询，咨询电话：95763 </w:t>
      </w:r>
    </w:p>
    <w:p w14:paraId="27B77FE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售价（元）：0</w:t>
      </w:r>
    </w:p>
    <w:p w14:paraId="100DBECF">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8"/>
          <w:rFonts w:hint="eastAsia" w:ascii="宋体" w:hAnsi="宋体" w:eastAsia="宋体" w:cs="宋体"/>
          <w:color w:val="000000" w:themeColor="text1"/>
          <w:highlight w:val="none"/>
          <w14:textFill>
            <w14:solidFill>
              <w14:schemeClr w14:val="tx1"/>
            </w14:solidFill>
          </w14:textFill>
        </w:rPr>
        <w:t>四、</w:t>
      </w:r>
      <w:r>
        <w:rPr>
          <w:rStyle w:val="28"/>
          <w:rFonts w:hint="eastAsia" w:ascii="宋体" w:hAnsi="宋体" w:eastAsia="宋体" w:cs="宋体"/>
          <w:color w:val="000000" w:themeColor="text1"/>
          <w:highlight w:val="none"/>
          <w:lang w:eastAsia="zh-CN"/>
          <w14:textFill>
            <w14:solidFill>
              <w14:schemeClr w14:val="tx1"/>
            </w14:solidFill>
          </w14:textFill>
        </w:rPr>
        <w:t>投标文件</w:t>
      </w:r>
      <w:r>
        <w:rPr>
          <w:rStyle w:val="28"/>
          <w:rFonts w:hint="eastAsia" w:ascii="宋体" w:hAnsi="宋体" w:eastAsia="宋体" w:cs="宋体"/>
          <w:color w:val="000000" w:themeColor="text1"/>
          <w:highlight w:val="none"/>
          <w14:textFill>
            <w14:solidFill>
              <w14:schemeClr w14:val="tx1"/>
            </w14:solidFill>
          </w14:textFill>
        </w:rPr>
        <w:t>提交</w:t>
      </w:r>
      <w:r>
        <w:rPr>
          <w:rFonts w:hint="eastAsia" w:ascii="宋体" w:hAnsi="宋体" w:eastAsia="宋体" w:cs="宋体"/>
          <w:color w:val="000000" w:themeColor="text1"/>
          <w:highlight w:val="none"/>
          <w14:textFill>
            <w14:solidFill>
              <w14:schemeClr w14:val="tx1"/>
            </w14:solidFill>
          </w14:textFill>
        </w:rPr>
        <w:t> </w:t>
      </w:r>
    </w:p>
    <w:p w14:paraId="517630E3">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截止时间：2026年0</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月</w:t>
      </w:r>
      <w:r>
        <w:rPr>
          <w:rFonts w:hint="eastAsia" w:eastAsia="宋体" w:cs="宋体"/>
          <w:color w:val="000000" w:themeColor="text1"/>
          <w:sz w:val="21"/>
          <w:szCs w:val="21"/>
          <w:highlight w:val="none"/>
          <w:lang w:val="en-US" w:eastAsia="zh-CN"/>
          <w14:textFill>
            <w14:solidFill>
              <w14:schemeClr w14:val="tx1"/>
            </w14:solidFill>
          </w14:textFill>
        </w:rPr>
        <w:t>21日</w:t>
      </w:r>
      <w:r>
        <w:rPr>
          <w:rFonts w:hint="eastAsia" w:eastAsia="宋体" w:cs="宋体"/>
          <w:color w:val="000000" w:themeColor="text1"/>
          <w:sz w:val="21"/>
          <w:szCs w:val="21"/>
          <w:highlight w:val="none"/>
          <w:lang w:eastAsia="zh-CN"/>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6E1F5E0C">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地点：将投标文件上传至政采云平台https：//www.zcygov.cn/对应位置（逾期未上传的或不符合规定的投标文件将被拒绝接收。 </w:t>
      </w:r>
    </w:p>
    <w:p w14:paraId="0160D52D">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8"/>
          <w:rFonts w:hint="eastAsia" w:ascii="宋体" w:hAnsi="宋体" w:eastAsia="宋体" w:cs="宋体"/>
          <w:color w:val="000000" w:themeColor="text1"/>
          <w:highlight w:val="none"/>
          <w14:textFill>
            <w14:solidFill>
              <w14:schemeClr w14:val="tx1"/>
            </w14:solidFill>
          </w14:textFill>
        </w:rPr>
        <w:t>五、</w:t>
      </w:r>
      <w:r>
        <w:rPr>
          <w:rStyle w:val="28"/>
          <w:rFonts w:hint="eastAsia" w:ascii="宋体" w:hAnsi="宋体" w:eastAsia="宋体" w:cs="宋体"/>
          <w:color w:val="000000" w:themeColor="text1"/>
          <w:highlight w:val="none"/>
          <w:lang w:eastAsia="zh-CN"/>
          <w14:textFill>
            <w14:solidFill>
              <w14:schemeClr w14:val="tx1"/>
            </w14:solidFill>
          </w14:textFill>
        </w:rPr>
        <w:t>投标文件</w:t>
      </w:r>
      <w:r>
        <w:rPr>
          <w:rStyle w:val="28"/>
          <w:rFonts w:hint="eastAsia" w:ascii="宋体" w:hAnsi="宋体" w:eastAsia="宋体" w:cs="宋体"/>
          <w:color w:val="000000" w:themeColor="text1"/>
          <w:highlight w:val="none"/>
          <w14:textFill>
            <w14:solidFill>
              <w14:schemeClr w14:val="tx1"/>
            </w14:solidFill>
          </w14:textFill>
        </w:rPr>
        <w:t>开启</w:t>
      </w:r>
      <w:r>
        <w:rPr>
          <w:rFonts w:hint="eastAsia" w:ascii="宋体" w:hAnsi="宋体" w:eastAsia="宋体" w:cs="宋体"/>
          <w:color w:val="000000" w:themeColor="text1"/>
          <w:highlight w:val="none"/>
          <w14:textFill>
            <w14:solidFill>
              <w14:schemeClr w14:val="tx1"/>
            </w14:solidFill>
          </w14:textFill>
        </w:rPr>
        <w:t> </w:t>
      </w:r>
    </w:p>
    <w:p w14:paraId="535DD88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开启时间：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2026年05月21日11:0</w:t>
      </w:r>
      <w:r>
        <w:rPr>
          <w:rFonts w:hint="eastAsia" w:ascii="宋体" w:hAnsi="宋体" w:eastAsia="宋体" w:cs="宋体"/>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0D8739E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地点：政采云平台https：//www.zcygov.cn/政采云不见面开标大厅 </w:t>
      </w:r>
    </w:p>
    <w:p w14:paraId="16BB69C3">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8"/>
          <w:rFonts w:hint="eastAsia" w:ascii="宋体" w:hAnsi="宋体" w:eastAsia="宋体" w:cs="宋体"/>
          <w:color w:val="000000" w:themeColor="text1"/>
          <w:highlight w:val="none"/>
          <w14:textFill>
            <w14:solidFill>
              <w14:schemeClr w14:val="tx1"/>
            </w14:solidFill>
          </w14:textFill>
        </w:rPr>
        <w:t>六、公告期限</w:t>
      </w:r>
    </w:p>
    <w:p w14:paraId="1717001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自本公告发布之日起5个工作日。</w:t>
      </w:r>
    </w:p>
    <w:p w14:paraId="2B5F6172">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8"/>
          <w:rFonts w:hint="eastAsia" w:ascii="宋体" w:hAnsi="宋体" w:eastAsia="宋体" w:cs="宋体"/>
          <w:color w:val="000000" w:themeColor="text1"/>
          <w:highlight w:val="none"/>
          <w14:textFill>
            <w14:solidFill>
              <w14:schemeClr w14:val="tx1"/>
            </w14:solidFill>
          </w14:textFill>
        </w:rPr>
        <w:t>七、其他补充事宜</w:t>
      </w:r>
      <w:r>
        <w:rPr>
          <w:rFonts w:hint="eastAsia" w:ascii="宋体" w:hAnsi="宋体" w:eastAsia="宋体" w:cs="宋体"/>
          <w:color w:val="000000" w:themeColor="text1"/>
          <w:highlight w:val="none"/>
          <w14:textFill>
            <w14:solidFill>
              <w14:schemeClr w14:val="tx1"/>
            </w14:solidFill>
          </w14:textFill>
        </w:rPr>
        <w:t> </w:t>
      </w:r>
    </w:p>
    <w:p w14:paraId="2084A20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1、本项目实行网上投标，采用电子投标文件；</w:t>
      </w:r>
    </w:p>
    <w:p w14:paraId="263DD1B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C10617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D23E23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0B7DD46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5、供应商在投标截止前须提前配置好电脑浏览器（建议使用360 浏览器或谷歌浏览器）, 投标时请使用制作加密电子投标文件的CA锁进行解密及报价确认。本项目投标文件解密时间定为30分钟内,如因自身原因导致无法正常解密,后果由供应商自行承担。</w:t>
      </w:r>
    </w:p>
    <w:p w14:paraId="08ADF45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6、供应商登录政采云平台，在投标时间后30分钟内用“项目采购-开标评标”功能进行解密投标文件。若供应商在规定时间内（未按时解密的，视为无效投标。解密与加密投标文件须使用同一个 CA。</w:t>
      </w:r>
    </w:p>
    <w:p w14:paraId="4748F294">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28"/>
          <w:rFonts w:hint="eastAsia" w:ascii="宋体" w:hAnsi="宋体" w:eastAsia="宋体" w:cs="宋体"/>
          <w:color w:val="000000" w:themeColor="text1"/>
          <w:sz w:val="24"/>
          <w:szCs w:val="24"/>
          <w:highlight w:val="none"/>
          <w14:textFill>
            <w14:solidFill>
              <w14:schemeClr w14:val="tx1"/>
            </w14:solidFill>
          </w14:textFill>
        </w:rPr>
        <w:t>八、凡对本次招标提出询问，请按以下方式联系</w:t>
      </w:r>
    </w:p>
    <w:p w14:paraId="0E00C00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1.采购人信息</w:t>
      </w:r>
    </w:p>
    <w:p w14:paraId="180807C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名 称：乌鲁木齐市公安局天山区分局</w:t>
      </w:r>
    </w:p>
    <w:p w14:paraId="119EBDF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地 址：乌鲁木齐市天山区团结路966号</w:t>
      </w:r>
    </w:p>
    <w:p w14:paraId="272F81B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联系方式：0991-2160041</w:t>
      </w:r>
    </w:p>
    <w:p w14:paraId="6A7D819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2.采购代理机构信息</w:t>
      </w:r>
    </w:p>
    <w:p w14:paraId="50B0AEC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名 称：中国远东国际招标有限公司</w:t>
      </w:r>
    </w:p>
    <w:p w14:paraId="03E294E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地 址：乌鲁木齐经济技术开发区喀纳斯湖北路455号新疆软件园E3办公楼九楼9-1/9-2</w:t>
      </w:r>
    </w:p>
    <w:p w14:paraId="6E49D0D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联系方式：0991-3708098</w:t>
      </w:r>
    </w:p>
    <w:p w14:paraId="69386E9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3.项目联系方式</w:t>
      </w:r>
    </w:p>
    <w:p w14:paraId="19B2D5D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项目联系人：王梦姣、李沙沙、於震翱、王欢</w:t>
      </w:r>
    </w:p>
    <w:p w14:paraId="113C514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电 话：15276657611、0991-3708098</w:t>
      </w:r>
    </w:p>
    <w:p w14:paraId="2934C989">
      <w:pPr>
        <w:pStyle w:val="22"/>
        <w:spacing w:before="60" w:beforeAutospacing="0" w:after="60" w:afterAutospacing="0"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34783B46">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p>
    <w:p w14:paraId="7D1D7210">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921EE39">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4" w:name="_Toc26394"/>
      <w:r>
        <w:rPr>
          <w:rFonts w:hint="eastAsia" w:ascii="宋体" w:hAnsi="宋体" w:eastAsia="宋体" w:cs="宋体"/>
          <w:color w:val="000000" w:themeColor="text1"/>
          <w:highlight w:val="none"/>
          <w14:textFill>
            <w14:solidFill>
              <w14:schemeClr w14:val="tx1"/>
            </w14:solidFill>
          </w14:textFill>
        </w:rPr>
        <w:t>第二章　投标人须知</w:t>
      </w:r>
      <w:bookmarkEnd w:id="4"/>
    </w:p>
    <w:p w14:paraId="7F3821D7">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投标人须知前附表</w:t>
      </w:r>
    </w:p>
    <w:p w14:paraId="383EB05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注：编列内容填写或选择。</w:t>
      </w:r>
    </w:p>
    <w:tbl>
      <w:tblPr>
        <w:tblStyle w:val="25"/>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
        <w:gridCol w:w="2409"/>
        <w:gridCol w:w="5105"/>
        <w:gridCol w:w="1"/>
      </w:tblGrid>
      <w:tr w14:paraId="046D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Align w:val="center"/>
          </w:tcPr>
          <w:p w14:paraId="023C7BD2">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409" w:type="dxa"/>
            <w:vAlign w:val="center"/>
          </w:tcPr>
          <w:p w14:paraId="3AF4565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条款名称</w:t>
            </w:r>
          </w:p>
        </w:tc>
        <w:tc>
          <w:tcPr>
            <w:tcW w:w="5106" w:type="dxa"/>
            <w:gridSpan w:val="2"/>
            <w:vAlign w:val="center"/>
          </w:tcPr>
          <w:p w14:paraId="3C4246DE">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编列内容规定</w:t>
            </w:r>
          </w:p>
        </w:tc>
      </w:tr>
      <w:tr w14:paraId="5BE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02" w:type="dxa"/>
            <w:gridSpan w:val="2"/>
            <w:vMerge w:val="restart"/>
            <w:vAlign w:val="center"/>
          </w:tcPr>
          <w:p w14:paraId="2B524E6A">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409" w:type="dxa"/>
            <w:vAlign w:val="center"/>
          </w:tcPr>
          <w:p w14:paraId="5D36BB7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w:t>
            </w:r>
          </w:p>
        </w:tc>
        <w:tc>
          <w:tcPr>
            <w:tcW w:w="5106" w:type="dxa"/>
            <w:gridSpan w:val="2"/>
            <w:vAlign w:val="center"/>
          </w:tcPr>
          <w:p w14:paraId="602A4C44">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2026年度天山区某单位网络运维服务项目</w:t>
            </w:r>
          </w:p>
        </w:tc>
      </w:tr>
      <w:tr w14:paraId="14F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02" w:type="dxa"/>
            <w:gridSpan w:val="2"/>
            <w:vMerge w:val="continue"/>
            <w:vAlign w:val="center"/>
          </w:tcPr>
          <w:p w14:paraId="5A2955DB">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1A14427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采购预算</w:t>
            </w:r>
          </w:p>
        </w:tc>
        <w:tc>
          <w:tcPr>
            <w:tcW w:w="5106" w:type="dxa"/>
            <w:gridSpan w:val="2"/>
            <w:vAlign w:val="center"/>
          </w:tcPr>
          <w:p w14:paraId="0D15FF51">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2744772.00</w:t>
            </w:r>
            <w:r>
              <w:rPr>
                <w:rFonts w:hint="eastAsia" w:ascii="宋体" w:hAnsi="宋体" w:eastAsia="宋体" w:cs="宋体"/>
                <w:color w:val="000000" w:themeColor="text1"/>
                <w:highlight w:val="none"/>
                <w:lang w:val="en-US" w:eastAsia="zh-CN"/>
                <w14:textFill>
                  <w14:solidFill>
                    <w14:schemeClr w14:val="tx1"/>
                  </w14:solidFill>
                </w14:textFill>
              </w:rPr>
              <w:t>元</w:t>
            </w:r>
          </w:p>
        </w:tc>
      </w:tr>
      <w:tr w14:paraId="4E57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02" w:type="dxa"/>
            <w:gridSpan w:val="2"/>
            <w:vMerge w:val="continue"/>
            <w:vAlign w:val="center"/>
          </w:tcPr>
          <w:p w14:paraId="015F6797">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24D322F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本项目设定的最高限价</w:t>
            </w:r>
          </w:p>
        </w:tc>
        <w:tc>
          <w:tcPr>
            <w:tcW w:w="5106" w:type="dxa"/>
            <w:gridSpan w:val="2"/>
            <w:vAlign w:val="center"/>
          </w:tcPr>
          <w:p w14:paraId="69960AD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w:t>
            </w:r>
          </w:p>
          <w:p w14:paraId="429989B9">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有，金额：</w:t>
            </w:r>
            <w:r>
              <w:rPr>
                <w:rFonts w:hint="eastAsia" w:hAnsi="宋体" w:eastAsia="宋体" w:cs="宋体"/>
                <w:color w:val="000000" w:themeColor="text1"/>
                <w:highlight w:val="none"/>
                <w:lang w:val="en-US" w:eastAsia="zh-CN"/>
                <w14:textFill>
                  <w14:solidFill>
                    <w14:schemeClr w14:val="tx1"/>
                  </w14:solidFill>
                </w14:textFill>
              </w:rPr>
              <w:t>2744772.00</w:t>
            </w:r>
            <w:r>
              <w:rPr>
                <w:rFonts w:hint="eastAsia" w:ascii="宋体" w:hAnsi="宋体" w:eastAsia="宋体" w:cs="宋体"/>
                <w:color w:val="000000" w:themeColor="text1"/>
                <w:highlight w:val="none"/>
                <w:lang w:val="en-US" w:eastAsia="zh-CN"/>
                <w14:textFill>
                  <w14:solidFill>
                    <w14:schemeClr w14:val="tx1"/>
                  </w14:solidFill>
                </w14:textFill>
              </w:rPr>
              <w:t>元</w:t>
            </w:r>
          </w:p>
        </w:tc>
      </w:tr>
      <w:tr w14:paraId="556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02" w:type="dxa"/>
            <w:gridSpan w:val="2"/>
            <w:vMerge w:val="continue"/>
            <w:vAlign w:val="center"/>
          </w:tcPr>
          <w:p w14:paraId="22FB8FD9">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25669D6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公告媒体</w:t>
            </w:r>
          </w:p>
        </w:tc>
        <w:tc>
          <w:tcPr>
            <w:tcW w:w="5106" w:type="dxa"/>
            <w:gridSpan w:val="2"/>
            <w:vAlign w:val="center"/>
          </w:tcPr>
          <w:p w14:paraId="42F0E13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新疆</w:t>
            </w:r>
            <w:r>
              <w:rPr>
                <w:rFonts w:hint="eastAsia" w:ascii="宋体" w:hAnsi="宋体" w:eastAsia="宋体" w:cs="宋体"/>
                <w:color w:val="000000" w:themeColor="text1"/>
                <w:highlight w:val="none"/>
                <w14:textFill>
                  <w14:solidFill>
                    <w14:schemeClr w14:val="tx1"/>
                  </w14:solidFill>
                </w14:textFill>
              </w:rPr>
              <w:t>政府采购网</w:t>
            </w:r>
          </w:p>
        </w:tc>
      </w:tr>
      <w:tr w14:paraId="034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102" w:type="dxa"/>
            <w:gridSpan w:val="2"/>
            <w:vAlign w:val="center"/>
          </w:tcPr>
          <w:p w14:paraId="1CCC2E1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409" w:type="dxa"/>
            <w:vAlign w:val="center"/>
          </w:tcPr>
          <w:p w14:paraId="00C73E8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w:t>
            </w:r>
          </w:p>
        </w:tc>
        <w:tc>
          <w:tcPr>
            <w:tcW w:w="5106" w:type="dxa"/>
            <w:gridSpan w:val="2"/>
            <w:vAlign w:val="center"/>
          </w:tcPr>
          <w:p w14:paraId="30A2403C">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采购单位：乌鲁木齐市公安局天山区分局 </w:t>
            </w:r>
          </w:p>
          <w:p w14:paraId="0153A06A">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地址：乌鲁木齐市天山区团结路966号 </w:t>
            </w:r>
          </w:p>
          <w:p w14:paraId="0FBD83D3">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联系人：</w:t>
            </w:r>
            <w:r>
              <w:rPr>
                <w:rFonts w:hint="eastAsia" w:ascii="宋体" w:hAnsi="宋体" w:eastAsia="宋体" w:cs="宋体"/>
                <w:color w:val="000000" w:themeColor="text1"/>
                <w:highlight w:val="none"/>
                <w:lang w:val="en-US" w:eastAsia="zh-CN"/>
                <w14:textFill>
                  <w14:solidFill>
                    <w14:schemeClr w14:val="tx1"/>
                  </w14:solidFill>
                </w14:textFill>
              </w:rPr>
              <w:t>王伟东</w:t>
            </w:r>
          </w:p>
          <w:p w14:paraId="3037CFF6">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联系电话：</w:t>
            </w:r>
            <w:r>
              <w:rPr>
                <w:rFonts w:hint="eastAsia" w:hAnsi="宋体" w:eastAsia="宋体" w:cs="宋体"/>
                <w:color w:val="000000" w:themeColor="text1"/>
                <w:highlight w:val="none"/>
                <w:lang w:eastAsia="zh-CN"/>
                <w14:textFill>
                  <w14:solidFill>
                    <w14:schemeClr w14:val="tx1"/>
                  </w14:solidFill>
                </w14:textFill>
              </w:rPr>
              <w:t>0991-2160041</w:t>
            </w:r>
          </w:p>
        </w:tc>
      </w:tr>
      <w:tr w14:paraId="5197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14:paraId="386A945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409" w:type="dxa"/>
            <w:vAlign w:val="center"/>
          </w:tcPr>
          <w:p w14:paraId="20A7419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w:t>
            </w:r>
          </w:p>
        </w:tc>
        <w:tc>
          <w:tcPr>
            <w:tcW w:w="5106" w:type="dxa"/>
            <w:gridSpan w:val="2"/>
            <w:vAlign w:val="center"/>
          </w:tcPr>
          <w:p w14:paraId="258C3593">
            <w:pPr>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招标代理机构：</w:t>
            </w:r>
            <w:r>
              <w:rPr>
                <w:rFonts w:hint="eastAsia" w:ascii="宋体" w:hAnsi="宋体" w:eastAsia="宋体" w:cs="宋体"/>
                <w:color w:val="000000" w:themeColor="text1"/>
                <w:szCs w:val="21"/>
                <w:highlight w:val="none"/>
                <w:lang w:eastAsia="zh-CN"/>
                <w14:textFill>
                  <w14:solidFill>
                    <w14:schemeClr w14:val="tx1"/>
                  </w14:solidFill>
                </w14:textFill>
              </w:rPr>
              <w:t>中国远东国际招标有限公司</w:t>
            </w:r>
          </w:p>
          <w:p w14:paraId="344D2D86">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地址：新疆乌鲁木齐经济技术开发区（头屯河区）喀纳斯湖北路455号新疆软件园创智大厦B座</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层</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室</w:t>
            </w:r>
          </w:p>
          <w:p w14:paraId="20AF360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项目联系人：</w:t>
            </w:r>
            <w:r>
              <w:rPr>
                <w:rFonts w:hint="eastAsia" w:hAnsi="宋体" w:eastAsia="宋体" w:cs="宋体"/>
                <w:color w:val="000000" w:themeColor="text1"/>
                <w:highlight w:val="none"/>
                <w:lang w:val="en-US" w:eastAsia="zh-CN"/>
                <w14:textFill>
                  <w14:solidFill>
                    <w14:schemeClr w14:val="tx1"/>
                  </w14:solidFill>
                </w14:textFill>
              </w:rPr>
              <w:t>王梦姣、李沙沙、於震翱、王欢</w:t>
            </w:r>
          </w:p>
          <w:p w14:paraId="68254FC4">
            <w:pPr>
              <w:pStyle w:val="12"/>
              <w:jc w:val="left"/>
              <w:rPr>
                <w:rFonts w:hint="default"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w:t>
            </w:r>
            <w:r>
              <w:rPr>
                <w:rFonts w:hint="eastAsia" w:hAnsi="宋体" w:eastAsia="宋体" w:cs="宋体"/>
                <w:color w:val="000000" w:themeColor="text1"/>
                <w:highlight w:val="none"/>
                <w:lang w:val="en-US" w:eastAsia="zh-CN"/>
                <w14:textFill>
                  <w14:solidFill>
                    <w14:schemeClr w14:val="tx1"/>
                  </w14:solidFill>
                </w14:textFill>
              </w:rPr>
              <w:t>15276657611</w:t>
            </w:r>
          </w:p>
        </w:tc>
      </w:tr>
      <w:tr w14:paraId="018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102" w:type="dxa"/>
            <w:gridSpan w:val="2"/>
            <w:vAlign w:val="center"/>
          </w:tcPr>
          <w:p w14:paraId="355C978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409" w:type="dxa"/>
            <w:vAlign w:val="center"/>
          </w:tcPr>
          <w:p w14:paraId="4745401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投标人资格条件</w:t>
            </w:r>
          </w:p>
        </w:tc>
        <w:tc>
          <w:tcPr>
            <w:tcW w:w="5106" w:type="dxa"/>
            <w:gridSpan w:val="2"/>
            <w:vAlign w:val="center"/>
          </w:tcPr>
          <w:p w14:paraId="4372EB4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1.满足《中华人民共和国政府采购法》第二十二条规定；</w:t>
            </w:r>
          </w:p>
          <w:p w14:paraId="4478E646">
            <w:pPr>
              <w:pStyle w:val="12"/>
              <w:jc w:val="left"/>
              <w:rPr>
                <w:rFonts w:hint="eastAsia" w:ascii="宋体" w:hAnsi="宋体" w:eastAsia="宋体" w:cs="宋体"/>
                <w:color w:val="000000" w:themeColor="text1"/>
                <w:highlight w:val="none"/>
                <w:shd w:val="clear" w:fill="FFFF00"/>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2.落实政府采购政策需满足的资格要求：</w:t>
            </w:r>
            <w:r>
              <w:rPr>
                <w:rFonts w:hint="eastAsia" w:hAnsi="宋体" w:eastAsia="宋体" w:cs="宋体"/>
                <w:color w:val="000000" w:themeColor="text1"/>
                <w:highlight w:val="none"/>
                <w:lang w:val="en-US" w:eastAsia="zh-CN"/>
                <w14:textFill>
                  <w14:solidFill>
                    <w14:schemeClr w14:val="tx1"/>
                  </w14:solidFill>
                </w14:textFill>
              </w:rPr>
              <w:t>/</w:t>
            </w:r>
          </w:p>
          <w:p w14:paraId="4C9E04C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3.本项目的特定资格要求:具有有效的《中华人民共和国基础电信业务经营许可证》。</w:t>
            </w:r>
          </w:p>
        </w:tc>
      </w:tr>
      <w:tr w14:paraId="51D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2" w:type="dxa"/>
            <w:gridSpan w:val="2"/>
            <w:vAlign w:val="center"/>
          </w:tcPr>
          <w:p w14:paraId="2F4EC03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409" w:type="dxa"/>
            <w:vAlign w:val="center"/>
          </w:tcPr>
          <w:p w14:paraId="0CA156D8">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项目现场勘察</w:t>
            </w:r>
          </w:p>
        </w:tc>
        <w:tc>
          <w:tcPr>
            <w:tcW w:w="5106" w:type="dxa"/>
            <w:gridSpan w:val="2"/>
            <w:vAlign w:val="center"/>
          </w:tcPr>
          <w:p w14:paraId="3375BC0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不组织</w:t>
            </w:r>
          </w:p>
        </w:tc>
      </w:tr>
      <w:tr w14:paraId="7976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2" w:type="dxa"/>
            <w:gridSpan w:val="2"/>
            <w:vAlign w:val="center"/>
          </w:tcPr>
          <w:p w14:paraId="0471CD0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409" w:type="dxa"/>
            <w:vAlign w:val="center"/>
          </w:tcPr>
          <w:p w14:paraId="3C5AA0F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样品</w:t>
            </w:r>
          </w:p>
        </w:tc>
        <w:tc>
          <w:tcPr>
            <w:tcW w:w="5106" w:type="dxa"/>
            <w:gridSpan w:val="2"/>
            <w:vAlign w:val="center"/>
          </w:tcPr>
          <w:p w14:paraId="4DED6BE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不要求提供</w:t>
            </w:r>
          </w:p>
        </w:tc>
      </w:tr>
      <w:tr w14:paraId="172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restart"/>
            <w:vAlign w:val="center"/>
          </w:tcPr>
          <w:p w14:paraId="661F49D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409" w:type="dxa"/>
            <w:vAlign w:val="center"/>
          </w:tcPr>
          <w:p w14:paraId="2475357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联合体投标</w:t>
            </w:r>
          </w:p>
        </w:tc>
        <w:tc>
          <w:tcPr>
            <w:tcW w:w="5106" w:type="dxa"/>
            <w:gridSpan w:val="2"/>
            <w:vAlign w:val="center"/>
          </w:tcPr>
          <w:p w14:paraId="10E51D8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不接受</w:t>
            </w:r>
          </w:p>
          <w:p w14:paraId="288C201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□接受</w:t>
            </w:r>
          </w:p>
        </w:tc>
      </w:tr>
      <w:tr w14:paraId="7626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continue"/>
            <w:vAlign w:val="center"/>
          </w:tcPr>
          <w:p w14:paraId="00813B7E">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0348C58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分包</w:t>
            </w:r>
          </w:p>
        </w:tc>
        <w:tc>
          <w:tcPr>
            <w:tcW w:w="5106" w:type="dxa"/>
            <w:gridSpan w:val="2"/>
            <w:vAlign w:val="center"/>
          </w:tcPr>
          <w:p w14:paraId="12A6AFC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不接受</w:t>
            </w:r>
          </w:p>
          <w:p w14:paraId="374A23D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□接受：分包要求详见第六章项目采购需求</w:t>
            </w:r>
          </w:p>
        </w:tc>
      </w:tr>
      <w:tr w14:paraId="676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2F62695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2409" w:type="dxa"/>
            <w:vMerge w:val="restart"/>
            <w:vAlign w:val="center"/>
          </w:tcPr>
          <w:p w14:paraId="1C9A0FBF">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采购进口产品</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不涉及</w:t>
            </w:r>
            <w:r>
              <w:rPr>
                <w:rFonts w:hint="eastAsia" w:ascii="宋体" w:hAnsi="宋体" w:eastAsia="宋体" w:cs="宋体"/>
                <w:color w:val="000000" w:themeColor="text1"/>
                <w:highlight w:val="none"/>
                <w:lang w:eastAsia="zh-CN"/>
                <w14:textFill>
                  <w14:solidFill>
                    <w14:schemeClr w14:val="tx1"/>
                  </w14:solidFill>
                </w14:textFill>
              </w:rPr>
              <w:t>）</w:t>
            </w:r>
          </w:p>
        </w:tc>
        <w:tc>
          <w:tcPr>
            <w:tcW w:w="5106" w:type="dxa"/>
            <w:gridSpan w:val="2"/>
            <w:vAlign w:val="center"/>
          </w:tcPr>
          <w:p w14:paraId="0C83C75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□本采购项目拒绝进口产品参加投标</w:t>
            </w:r>
          </w:p>
        </w:tc>
      </w:tr>
      <w:tr w14:paraId="58CF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9EABEF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7FDE10AC">
            <w:pPr>
              <w:pStyle w:val="12"/>
              <w:jc w:val="left"/>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13E9D30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□本采购项目已经财政部审核同意购买的进口产品为：______________</w:t>
            </w:r>
          </w:p>
        </w:tc>
      </w:tr>
      <w:tr w14:paraId="223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588FC51E">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2409" w:type="dxa"/>
            <w:vMerge w:val="restart"/>
            <w:vAlign w:val="center"/>
          </w:tcPr>
          <w:p w14:paraId="7F3E4AD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政府采购强制采购：节能产品</w:t>
            </w:r>
          </w:p>
        </w:tc>
        <w:tc>
          <w:tcPr>
            <w:tcW w:w="5106" w:type="dxa"/>
            <w:gridSpan w:val="2"/>
            <w:vAlign w:val="center"/>
          </w:tcPr>
          <w:p w14:paraId="7B86BC5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否</w:t>
            </w:r>
          </w:p>
        </w:tc>
      </w:tr>
      <w:tr w14:paraId="748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023167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33D47E28">
            <w:pPr>
              <w:pStyle w:val="12"/>
              <w:jc w:val="left"/>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42BD057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□是，采购《节能产品政府采购清单》(第____期)内的产品</w:t>
            </w:r>
          </w:p>
        </w:tc>
      </w:tr>
      <w:tr w14:paraId="04DE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4F80D1A3">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restart"/>
            <w:vAlign w:val="center"/>
          </w:tcPr>
          <w:p w14:paraId="7294914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政府采购强制采购：信息安全认证</w:t>
            </w:r>
          </w:p>
        </w:tc>
        <w:tc>
          <w:tcPr>
            <w:tcW w:w="5106" w:type="dxa"/>
            <w:gridSpan w:val="2"/>
            <w:vAlign w:val="center"/>
          </w:tcPr>
          <w:p w14:paraId="2CA7862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否</w:t>
            </w:r>
          </w:p>
        </w:tc>
      </w:tr>
      <w:tr w14:paraId="553E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ACA4E3E">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5792C3FE">
            <w:pPr>
              <w:pStyle w:val="12"/>
              <w:jc w:val="center"/>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7627536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w:t>
            </w:r>
          </w:p>
        </w:tc>
      </w:tr>
      <w:tr w14:paraId="538B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32" w:hRule="atLeast"/>
          <w:jc w:val="center"/>
        </w:trPr>
        <w:tc>
          <w:tcPr>
            <w:tcW w:w="1101" w:type="dxa"/>
            <w:vMerge w:val="restart"/>
            <w:vAlign w:val="center"/>
          </w:tcPr>
          <w:p w14:paraId="394FD6F1">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2410" w:type="dxa"/>
            <w:gridSpan w:val="2"/>
            <w:vAlign w:val="center"/>
          </w:tcPr>
          <w:p w14:paraId="547181B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政府采购优先采购：节能产品(非强制类)</w:t>
            </w:r>
          </w:p>
        </w:tc>
        <w:tc>
          <w:tcPr>
            <w:tcW w:w="5105" w:type="dxa"/>
            <w:vAlign w:val="center"/>
          </w:tcPr>
          <w:p w14:paraId="4E024C82">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w:t>
            </w:r>
          </w:p>
          <w:p w14:paraId="416A0A71">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□对列入最新一期节能清单(非强制类)的产品在评审时予以加分，每项加</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分(最低评标价法不适用)</w:t>
            </w:r>
          </w:p>
          <w:p w14:paraId="7B27D8F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□对列入最新一期节能清单(非强制类)的产品在评审时予以价格扣除，用扣除后的价格参与评审，本项目的扣除比例为：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75464F13">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☑本次项目不适用</w:t>
            </w:r>
          </w:p>
        </w:tc>
      </w:tr>
      <w:tr w14:paraId="7296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45" w:hRule="atLeast"/>
          <w:jc w:val="center"/>
        </w:trPr>
        <w:tc>
          <w:tcPr>
            <w:tcW w:w="1101" w:type="dxa"/>
            <w:vMerge w:val="continue"/>
            <w:vAlign w:val="center"/>
          </w:tcPr>
          <w:p w14:paraId="3E76F29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1A136D6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政府采购优先采购：环境标志产品</w:t>
            </w:r>
          </w:p>
        </w:tc>
        <w:tc>
          <w:tcPr>
            <w:tcW w:w="5105" w:type="dxa"/>
            <w:vAlign w:val="center"/>
          </w:tcPr>
          <w:p w14:paraId="0E60ADFB">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w:t>
            </w:r>
          </w:p>
          <w:p w14:paraId="54D4E070">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□对列入最新一期环境标志产品清单(非强制类)的产品在评审时予以加分，每项加</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分(最低评标价法不适用)</w:t>
            </w:r>
          </w:p>
          <w:p w14:paraId="42258E8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□对列入最新一期环境标志产品清单(非强制类)的产品在评审时予以价格扣除，用扣除后的价格参与评审，本项目的扣除比例为：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08169FA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☑本次项目不适用</w:t>
            </w:r>
          </w:p>
        </w:tc>
      </w:tr>
      <w:tr w14:paraId="209C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16" w:hRule="atLeast"/>
          <w:jc w:val="center"/>
        </w:trPr>
        <w:tc>
          <w:tcPr>
            <w:tcW w:w="1101" w:type="dxa"/>
            <w:vMerge w:val="restart"/>
            <w:vAlign w:val="center"/>
          </w:tcPr>
          <w:p w14:paraId="3946C76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2410" w:type="dxa"/>
            <w:gridSpan w:val="2"/>
            <w:vAlign w:val="center"/>
          </w:tcPr>
          <w:p w14:paraId="5C95D0E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支持中小企业发展</w:t>
            </w:r>
          </w:p>
        </w:tc>
        <w:tc>
          <w:tcPr>
            <w:tcW w:w="5105" w:type="dxa"/>
            <w:vAlign w:val="center"/>
          </w:tcPr>
          <w:p w14:paraId="1757CF6F">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A3"/>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专门面向中小企业采购项目</w:t>
            </w:r>
          </w:p>
          <w:p w14:paraId="05FAADF8">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非专门面向中小企业采购项目(价格扣除)：</w:t>
            </w:r>
          </w:p>
          <w:p w14:paraId="1D264409">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①对小型和微型企业产品的价格给予</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%的扣除，用扣除后的价格参与评审。本项目的扣除比例为：小型企业扣除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%，微型企业扣除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4EC6F3C8">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②本项目接受联合体投标的，若小型和微型企业的协议合同金额占到联合体协议合同总金额30%以上的，可给予联合体</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7A67B96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□非专门面向中小企业采购项目(其他优惠)：</w:t>
            </w:r>
          </w:p>
        </w:tc>
      </w:tr>
      <w:tr w14:paraId="3C3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14:paraId="17E80AA1">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2B10FFC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支持监狱企业发展</w:t>
            </w:r>
          </w:p>
        </w:tc>
        <w:tc>
          <w:tcPr>
            <w:tcW w:w="5105" w:type="dxa"/>
            <w:vAlign w:val="center"/>
          </w:tcPr>
          <w:p w14:paraId="622E86F9">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□专门面向监狱企业采购项目</w:t>
            </w:r>
          </w:p>
          <w:p w14:paraId="0609C547">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非专门面向监狱采购项目(价格扣除)：监狱企业可视同小微企业在价格评审时给予</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1D844FF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□非专门面向监狱采购项目(其他优惠)：</w:t>
            </w:r>
          </w:p>
        </w:tc>
      </w:tr>
      <w:tr w14:paraId="4A3D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Merge w:val="continue"/>
            <w:vAlign w:val="center"/>
          </w:tcPr>
          <w:p w14:paraId="1169EE6B">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0B10AF4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残疾人就业企业</w:t>
            </w:r>
          </w:p>
        </w:tc>
        <w:tc>
          <w:tcPr>
            <w:tcW w:w="5105" w:type="dxa"/>
            <w:vAlign w:val="center"/>
          </w:tcPr>
          <w:p w14:paraId="6FB24C40">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□专门面向残疾人就业采购项目</w:t>
            </w:r>
          </w:p>
          <w:p w14:paraId="064D559D">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A3"/>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099358CA">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残疾人福利性单位属于小型、微型企业的，不重复享受政策。</w:t>
            </w:r>
          </w:p>
          <w:p w14:paraId="2A9A0D7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非专门面向残疾人就业采购项目(其他优惠)：</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_残疾人福利性单位视同小型、微型企业__</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___</w:t>
            </w:r>
          </w:p>
        </w:tc>
      </w:tr>
      <w:tr w14:paraId="0F1A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A5CD33A">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2410" w:type="dxa"/>
            <w:gridSpan w:val="2"/>
            <w:vAlign w:val="center"/>
          </w:tcPr>
          <w:p w14:paraId="15157E26">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其他法律法规强制性规定或扶持政策</w:t>
            </w:r>
          </w:p>
        </w:tc>
        <w:tc>
          <w:tcPr>
            <w:tcW w:w="5105" w:type="dxa"/>
            <w:vAlign w:val="center"/>
          </w:tcPr>
          <w:p w14:paraId="35F46B3E">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47D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6E461B1">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w:t>
            </w:r>
          </w:p>
        </w:tc>
        <w:tc>
          <w:tcPr>
            <w:tcW w:w="2410" w:type="dxa"/>
            <w:gridSpan w:val="2"/>
            <w:vAlign w:val="center"/>
          </w:tcPr>
          <w:p w14:paraId="73E6BD2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本项目采购标的对应的中小企业划分标准所属行业大类为</w:t>
            </w:r>
          </w:p>
        </w:tc>
        <w:tc>
          <w:tcPr>
            <w:tcW w:w="5105" w:type="dxa"/>
            <w:vAlign w:val="center"/>
          </w:tcPr>
          <w:p w14:paraId="2B65708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信息传输业</w:t>
            </w:r>
          </w:p>
        </w:tc>
      </w:tr>
      <w:tr w14:paraId="709A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457A69B9">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w:t>
            </w:r>
          </w:p>
        </w:tc>
        <w:tc>
          <w:tcPr>
            <w:tcW w:w="2410" w:type="dxa"/>
            <w:gridSpan w:val="2"/>
            <w:vAlign w:val="center"/>
          </w:tcPr>
          <w:p w14:paraId="098D58A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投标人须提供的其他资料</w:t>
            </w:r>
          </w:p>
        </w:tc>
        <w:tc>
          <w:tcPr>
            <w:tcW w:w="5105" w:type="dxa"/>
            <w:vAlign w:val="center"/>
          </w:tcPr>
          <w:p w14:paraId="260138A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256F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57BBFD20">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410" w:type="dxa"/>
            <w:gridSpan w:val="2"/>
            <w:vAlign w:val="center"/>
          </w:tcPr>
          <w:p w14:paraId="70E948ED">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澄清或者修改时间</w:t>
            </w:r>
          </w:p>
        </w:tc>
        <w:tc>
          <w:tcPr>
            <w:tcW w:w="5105" w:type="dxa"/>
            <w:vAlign w:val="center"/>
          </w:tcPr>
          <w:p w14:paraId="131765A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提交响应文件截止时间</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日前。</w:t>
            </w:r>
          </w:p>
        </w:tc>
      </w:tr>
      <w:tr w14:paraId="1B45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473A247F">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410" w:type="dxa"/>
            <w:gridSpan w:val="2"/>
            <w:vAlign w:val="center"/>
          </w:tcPr>
          <w:p w14:paraId="26B89988">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提交投标文件的截止时间、地点</w:t>
            </w:r>
          </w:p>
        </w:tc>
        <w:tc>
          <w:tcPr>
            <w:tcW w:w="5105" w:type="dxa"/>
            <w:vAlign w:val="center"/>
          </w:tcPr>
          <w:p w14:paraId="7AC51611">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时间</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2026年05月21日11</w:t>
            </w:r>
            <w:r>
              <w:rPr>
                <w:rFonts w:hint="eastAsia" w:ascii="宋体" w:hAnsi="宋体" w:eastAsia="宋体" w:cs="宋体"/>
                <w:color w:val="000000" w:themeColor="text1"/>
                <w:sz w:val="21"/>
                <w:szCs w:val="21"/>
                <w:highlight w:val="none"/>
                <w:lang w:eastAsia="zh-CN"/>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6FA7BD9D">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地点：</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p>
        </w:tc>
      </w:tr>
      <w:tr w14:paraId="06C3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61E63571">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410" w:type="dxa"/>
            <w:gridSpan w:val="2"/>
            <w:vAlign w:val="center"/>
          </w:tcPr>
          <w:p w14:paraId="0940E92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开标时间、地点</w:t>
            </w:r>
          </w:p>
        </w:tc>
        <w:tc>
          <w:tcPr>
            <w:tcW w:w="5105" w:type="dxa"/>
            <w:vAlign w:val="center"/>
          </w:tcPr>
          <w:p w14:paraId="74948B9C">
            <w:pPr>
              <w:pStyle w:val="30"/>
              <w:widowControl/>
              <w:spacing w:line="32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w:t>
            </w:r>
            <w:r>
              <w:rPr>
                <w:rFonts w:hint="eastAsia" w:ascii="宋体" w:hAnsi="宋体" w:eastAsia="宋体" w:cs="宋体"/>
                <w:b/>
                <w:color w:val="000000" w:themeColor="text1"/>
                <w:sz w:val="21"/>
                <w:szCs w:val="21"/>
                <w:highlight w:val="none"/>
                <w14:textFill>
                  <w14:solidFill>
                    <w14:schemeClr w14:val="tx1"/>
                  </w14:solidFill>
                </w14:textFill>
              </w:rPr>
              <w:t>不见面开标：</w:t>
            </w:r>
          </w:p>
          <w:p w14:paraId="36A08528">
            <w:pPr>
              <w:pStyle w:val="30"/>
              <w:spacing w:line="360" w:lineRule="auto"/>
              <w:ind w:leftChars="-1" w:hanging="2" w:hangingChars="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响应文件提交时间：</w:t>
            </w:r>
            <w:r>
              <w:rPr>
                <w:rFonts w:hint="eastAsia" w:ascii="宋体" w:hAnsi="宋体" w:eastAsia="宋体" w:cs="宋体"/>
                <w:color w:val="000000" w:themeColor="text1"/>
                <w:kern w:val="2"/>
                <w:sz w:val="21"/>
                <w:szCs w:val="21"/>
                <w:highlight w:val="none"/>
                <w14:textFill>
                  <w14:solidFill>
                    <w14:schemeClr w14:val="tx1"/>
                  </w14:solidFill>
                </w14:textFill>
              </w:rPr>
              <w:t>响应文件提交时间：同投标截止时间</w:t>
            </w:r>
          </w:p>
          <w:p w14:paraId="233E4B4F">
            <w:pPr>
              <w:pStyle w:val="3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开标地点：远程不见面开标大厅</w:t>
            </w:r>
          </w:p>
          <w:p w14:paraId="2CBCFBF0">
            <w:pPr>
              <w:pStyle w:val="30"/>
              <w:spacing w:line="36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不见面开标默认解密时长：</w:t>
            </w:r>
            <w:r>
              <w:rPr>
                <w:rFonts w:hint="eastAsia" w:ascii="宋体" w:hAnsi="宋体" w:eastAsia="宋体" w:cs="宋体"/>
                <w:bCs/>
                <w:color w:val="000000" w:themeColor="text1"/>
                <w:kern w:val="2"/>
                <w:sz w:val="21"/>
                <w:szCs w:val="21"/>
                <w:highlight w:val="none"/>
                <w:u w:val="single"/>
                <w14:textFill>
                  <w14:solidFill>
                    <w14:schemeClr w14:val="tx1"/>
                  </w14:solidFill>
                </w14:textFill>
              </w:rPr>
              <w:t>30分钟</w:t>
            </w:r>
          </w:p>
          <w:p w14:paraId="4AF7A827">
            <w:pPr>
              <w:pStyle w:val="30"/>
              <w:spacing w:line="360" w:lineRule="auto"/>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关于能否延长解密时间的约定：</w:t>
            </w:r>
            <w:r>
              <w:rPr>
                <w:rFonts w:hint="eastAsia" w:ascii="宋体" w:hAnsi="宋体" w:eastAsia="宋体" w:cs="宋体"/>
                <w:color w:val="000000" w:themeColor="text1"/>
                <w:kern w:val="2"/>
                <w:sz w:val="21"/>
                <w:szCs w:val="21"/>
                <w:highlight w:val="none"/>
                <w:u w:val="single"/>
                <w14:textFill>
                  <w14:solidFill>
                    <w14:schemeClr w14:val="tx1"/>
                  </w14:solidFill>
                </w14:textFill>
              </w:rPr>
              <w:t>开标现场若发现默认解密时长不足，由采购人决定是否延长解密时长。</w:t>
            </w:r>
          </w:p>
          <w:p w14:paraId="21EED691">
            <w:pPr>
              <w:pStyle w:val="3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w:t>
            </w:r>
            <w:r>
              <w:rPr>
                <w:rFonts w:hint="eastAsia" w:ascii="宋体" w:hAnsi="宋体" w:eastAsia="宋体" w:cs="宋体"/>
                <w:b/>
                <w:color w:val="000000" w:themeColor="text1"/>
                <w:sz w:val="21"/>
                <w:szCs w:val="21"/>
                <w:highlight w:val="none"/>
                <w14:textFill>
                  <w14:solidFill>
                    <w14:schemeClr w14:val="tx1"/>
                  </w14:solidFill>
                </w14:textFill>
              </w:rPr>
              <w:t>见面开标</w:t>
            </w:r>
          </w:p>
          <w:p w14:paraId="515BF70A">
            <w:pPr>
              <w:pStyle w:val="3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响应文件提交及开启时间：</w:t>
            </w:r>
          </w:p>
          <w:p w14:paraId="539A88C2">
            <w:pP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响应文件开启地点：</w:t>
            </w:r>
          </w:p>
        </w:tc>
      </w:tr>
      <w:tr w14:paraId="73E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Align w:val="center"/>
          </w:tcPr>
          <w:p w14:paraId="465155F8">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410" w:type="dxa"/>
            <w:gridSpan w:val="2"/>
            <w:vAlign w:val="center"/>
          </w:tcPr>
          <w:p w14:paraId="20E9297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其他唱标内容</w:t>
            </w:r>
          </w:p>
        </w:tc>
        <w:tc>
          <w:tcPr>
            <w:tcW w:w="5105" w:type="dxa"/>
            <w:vAlign w:val="center"/>
          </w:tcPr>
          <w:p w14:paraId="3ADF26E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0B67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39" w:hRule="atLeast"/>
          <w:jc w:val="center"/>
        </w:trPr>
        <w:tc>
          <w:tcPr>
            <w:tcW w:w="1101" w:type="dxa"/>
            <w:vAlign w:val="center"/>
          </w:tcPr>
          <w:p w14:paraId="037BC50A">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410" w:type="dxa"/>
            <w:gridSpan w:val="2"/>
            <w:vAlign w:val="center"/>
          </w:tcPr>
          <w:p w14:paraId="3F74D4A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w:t>
            </w:r>
          </w:p>
        </w:tc>
        <w:tc>
          <w:tcPr>
            <w:tcW w:w="5105" w:type="dxa"/>
            <w:vAlign w:val="center"/>
          </w:tcPr>
          <w:p w14:paraId="787CB7A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□不要求提供</w:t>
            </w:r>
          </w:p>
          <w:p w14:paraId="12DA0875">
            <w:pPr>
              <w:pStyle w:val="12"/>
              <w:jc w:val="left"/>
              <w:rPr>
                <w:rFonts w:hint="eastAsia"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sym w:font="Wingdings 2" w:char="0052"/>
            </w:r>
            <w:r>
              <w:rPr>
                <w:rFonts w:hint="eastAsia" w:ascii="宋体" w:hAnsi="宋体" w:eastAsia="宋体" w:cs="宋体"/>
                <w:b/>
                <w:bCs/>
                <w:color w:val="000000" w:themeColor="text1"/>
                <w:highlight w:val="none"/>
                <w14:textFill>
                  <w14:solidFill>
                    <w14:schemeClr w14:val="tx1"/>
                  </w14:solidFill>
                </w14:textFill>
              </w:rPr>
              <w:t>要求提供，数额不得超过采购项目预算金额的</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%，本项目的投标保证金为</w:t>
            </w:r>
            <w:r>
              <w:rPr>
                <w:rFonts w:hint="eastAsia" w:hAnsi="宋体" w:eastAsia="宋体" w:cs="宋体"/>
                <w:b/>
                <w:bCs/>
                <w:color w:val="000000" w:themeColor="text1"/>
                <w:highlight w:val="none"/>
                <w:lang w:eastAsia="zh-CN"/>
                <w14:textFill>
                  <w14:solidFill>
                    <w14:schemeClr w14:val="tx1"/>
                  </w14:solidFill>
                </w14:textFill>
              </w:rPr>
              <w:t>：</w:t>
            </w:r>
          </w:p>
          <w:p w14:paraId="00D6F4ED">
            <w:pPr>
              <w:pStyle w:val="12"/>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hAnsi="宋体" w:eastAsia="宋体" w:cs="宋体"/>
                <w:b/>
                <w:bCs/>
                <w:color w:val="000000" w:themeColor="text1"/>
                <w:highlight w:val="none"/>
                <w:lang w:val="en-US" w:eastAsia="zh-CN"/>
                <w14:textFill>
                  <w14:solidFill>
                    <w14:schemeClr w14:val="tx1"/>
                  </w14:solidFill>
                </w14:textFill>
              </w:rPr>
              <w:t>标包1：</w:t>
            </w:r>
            <w:r>
              <w:rPr>
                <w:rFonts w:hint="eastAsia" w:ascii="宋体" w:hAnsi="宋体" w:eastAsia="宋体" w:cs="宋体"/>
                <w:b/>
                <w:bCs/>
                <w:color w:val="000000" w:themeColor="text1"/>
                <w:highlight w:val="none"/>
                <w14:textFill>
                  <w14:solidFill>
                    <w14:schemeClr w14:val="tx1"/>
                  </w14:solidFill>
                </w14:textFill>
              </w:rPr>
              <w:t>人民币</w:t>
            </w:r>
            <w:r>
              <w:rPr>
                <w:rFonts w:hint="eastAsia"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00</w:t>
            </w:r>
            <w:r>
              <w:rPr>
                <w:rFonts w:hint="eastAsia"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元</w:t>
            </w:r>
            <w:r>
              <w:rPr>
                <w:rFonts w:hint="eastAsia" w:ascii="宋体" w:hAnsi="宋体" w:eastAsia="宋体" w:cs="宋体"/>
                <w:b/>
                <w:bCs/>
                <w:color w:val="000000" w:themeColor="text1"/>
                <w:highlight w:val="none"/>
                <w:lang w:eastAsia="zh-CN"/>
                <w14:textFill>
                  <w14:solidFill>
                    <w14:schemeClr w14:val="tx1"/>
                  </w14:solidFill>
                </w14:textFill>
              </w:rPr>
              <w:t>；</w:t>
            </w:r>
          </w:p>
          <w:p w14:paraId="438D43BC">
            <w:pPr>
              <w:pStyle w:val="12"/>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hAnsi="宋体" w:eastAsia="宋体" w:cs="宋体"/>
                <w:b/>
                <w:bCs/>
                <w:color w:val="000000" w:themeColor="text1"/>
                <w:highlight w:val="none"/>
                <w:lang w:val="en-US" w:eastAsia="zh-CN"/>
                <w14:textFill>
                  <w14:solidFill>
                    <w14:schemeClr w14:val="tx1"/>
                  </w14:solidFill>
                </w14:textFill>
              </w:rPr>
              <w:t>标包2：</w:t>
            </w:r>
            <w:r>
              <w:rPr>
                <w:rFonts w:hint="eastAsia" w:ascii="宋体" w:hAnsi="宋体" w:eastAsia="宋体" w:cs="宋体"/>
                <w:b/>
                <w:bCs/>
                <w:color w:val="000000" w:themeColor="text1"/>
                <w:highlight w:val="none"/>
                <w14:textFill>
                  <w14:solidFill>
                    <w14:schemeClr w14:val="tx1"/>
                  </w14:solidFill>
                </w14:textFill>
              </w:rPr>
              <w:t>人民币</w:t>
            </w:r>
            <w:r>
              <w:rPr>
                <w:rFonts w:hint="eastAsia"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lang w:val="en-US" w:eastAsia="zh-CN"/>
                <w14:textFill>
                  <w14:solidFill>
                    <w14:schemeClr w14:val="tx1"/>
                  </w14:solidFill>
                </w14:textFill>
              </w:rPr>
              <w:t>50</w:t>
            </w:r>
            <w:r>
              <w:rPr>
                <w:rFonts w:hint="eastAsia"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元</w:t>
            </w:r>
            <w:r>
              <w:rPr>
                <w:rFonts w:hint="eastAsia" w:ascii="宋体" w:hAnsi="宋体" w:eastAsia="宋体" w:cs="宋体"/>
                <w:b/>
                <w:bCs/>
                <w:color w:val="000000" w:themeColor="text1"/>
                <w:highlight w:val="none"/>
                <w:lang w:eastAsia="zh-CN"/>
                <w14:textFill>
                  <w14:solidFill>
                    <w14:schemeClr w14:val="tx1"/>
                  </w14:solidFill>
                </w14:textFill>
              </w:rPr>
              <w:t>；</w:t>
            </w:r>
          </w:p>
          <w:p w14:paraId="24510BC4">
            <w:pPr>
              <w:pStyle w:val="12"/>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hAnsi="宋体" w:eastAsia="宋体" w:cs="宋体"/>
                <w:b/>
                <w:bCs/>
                <w:color w:val="000000" w:themeColor="text1"/>
                <w:highlight w:val="none"/>
                <w:lang w:val="en-US" w:eastAsia="zh-CN"/>
                <w14:textFill>
                  <w14:solidFill>
                    <w14:schemeClr w14:val="tx1"/>
                  </w14:solidFill>
                </w14:textFill>
              </w:rPr>
              <w:t>标包3：</w:t>
            </w:r>
            <w:r>
              <w:rPr>
                <w:rFonts w:hint="eastAsia" w:ascii="宋体" w:hAnsi="宋体" w:eastAsia="宋体" w:cs="宋体"/>
                <w:b/>
                <w:bCs/>
                <w:color w:val="000000" w:themeColor="text1"/>
                <w:highlight w:val="none"/>
                <w14:textFill>
                  <w14:solidFill>
                    <w14:schemeClr w14:val="tx1"/>
                  </w14:solidFill>
                </w14:textFill>
              </w:rPr>
              <w:t>人民币</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hAnsi="宋体" w:eastAsia="宋体" w:cs="宋体"/>
                <w:b/>
                <w:bCs/>
                <w:color w:val="000000" w:themeColor="text1"/>
                <w:highlight w:val="none"/>
                <w:lang w:val="en-US" w:eastAsia="zh-CN"/>
                <w14:textFill>
                  <w14:solidFill>
                    <w14:schemeClr w14:val="tx1"/>
                  </w14:solidFill>
                </w14:textFill>
              </w:rPr>
              <w:t>6</w:t>
            </w:r>
            <w:r>
              <w:rPr>
                <w:rFonts w:hint="eastAsia" w:ascii="宋体" w:hAnsi="宋体" w:eastAsia="宋体" w:cs="宋体"/>
                <w:b/>
                <w:bCs/>
                <w:color w:val="000000" w:themeColor="text1"/>
                <w:highlight w:val="none"/>
                <w:lang w:val="en-US" w:eastAsia="zh-CN"/>
                <w14:textFill>
                  <w14:solidFill>
                    <w14:schemeClr w14:val="tx1"/>
                  </w14:solidFill>
                </w14:textFill>
              </w:rPr>
              <w:t>0</w:t>
            </w:r>
            <w:r>
              <w:rPr>
                <w:rFonts w:hint="eastAsia"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14:textFill>
                  <w14:solidFill>
                    <w14:schemeClr w14:val="tx1"/>
                  </w14:solidFill>
                </w14:textFill>
              </w:rPr>
              <w:t>元</w:t>
            </w:r>
            <w:r>
              <w:rPr>
                <w:rFonts w:hint="eastAsia" w:ascii="宋体" w:hAnsi="宋体" w:eastAsia="宋体" w:cs="宋体"/>
                <w:b/>
                <w:bCs/>
                <w:color w:val="000000" w:themeColor="text1"/>
                <w:highlight w:val="none"/>
                <w:lang w:eastAsia="zh-CN"/>
                <w14:textFill>
                  <w14:solidFill>
                    <w14:schemeClr w14:val="tx1"/>
                  </w14:solidFill>
                </w14:textFill>
              </w:rPr>
              <w:t>；</w:t>
            </w:r>
          </w:p>
          <w:p w14:paraId="052D2486">
            <w:pPr>
              <w:pStyle w:val="12"/>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hAnsi="宋体" w:eastAsia="宋体" w:cs="宋体"/>
                <w:b/>
                <w:bCs/>
                <w:color w:val="000000" w:themeColor="text1"/>
                <w:highlight w:val="none"/>
                <w:lang w:val="en-US" w:eastAsia="zh-CN"/>
                <w14:textFill>
                  <w14:solidFill>
                    <w14:schemeClr w14:val="tx1"/>
                  </w14:solidFill>
                </w14:textFill>
              </w:rPr>
              <w:t>标包4：</w:t>
            </w:r>
            <w:r>
              <w:rPr>
                <w:rFonts w:hint="eastAsia" w:ascii="宋体" w:hAnsi="宋体" w:eastAsia="宋体" w:cs="宋体"/>
                <w:b/>
                <w:bCs/>
                <w:color w:val="000000" w:themeColor="text1"/>
                <w:highlight w:val="none"/>
                <w14:textFill>
                  <w14:solidFill>
                    <w14:schemeClr w14:val="tx1"/>
                  </w14:solidFill>
                </w14:textFill>
              </w:rPr>
              <w:t>人民币</w:t>
            </w:r>
            <w:r>
              <w:rPr>
                <w:rFonts w:hint="eastAsia"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b/>
                <w:bCs/>
                <w:color w:val="000000" w:themeColor="text1"/>
                <w:highlight w:val="none"/>
                <w:lang w:val="en-US" w:eastAsia="zh-CN"/>
                <w14:textFill>
                  <w14:solidFill>
                    <w14:schemeClr w14:val="tx1"/>
                  </w14:solidFill>
                </w14:textFill>
              </w:rPr>
              <w:t>0</w:t>
            </w:r>
            <w:r>
              <w:rPr>
                <w:rFonts w:hint="eastAsia" w:hAnsi="宋体" w:eastAsia="宋体" w:cs="宋体"/>
                <w:b/>
                <w:bCs/>
                <w:color w:val="000000" w:themeColor="text1"/>
                <w:highlight w:val="none"/>
                <w:lang w:val="en-US" w:eastAsia="zh-CN"/>
                <w14:textFill>
                  <w14:solidFill>
                    <w14:schemeClr w14:val="tx1"/>
                  </w14:solidFill>
                </w14:textFill>
              </w:rPr>
              <w:t>04</w:t>
            </w:r>
            <w:r>
              <w:rPr>
                <w:rFonts w:hint="eastAsia" w:ascii="宋体" w:hAnsi="宋体" w:eastAsia="宋体" w:cs="宋体"/>
                <w:b/>
                <w:bCs/>
                <w:color w:val="000000" w:themeColor="text1"/>
                <w:highlight w:val="none"/>
                <w14:textFill>
                  <w14:solidFill>
                    <w14:schemeClr w14:val="tx1"/>
                  </w14:solidFill>
                </w14:textFill>
              </w:rPr>
              <w:t>元</w:t>
            </w:r>
            <w:r>
              <w:rPr>
                <w:rFonts w:hint="eastAsia" w:ascii="宋体" w:hAnsi="宋体" w:eastAsia="宋体" w:cs="宋体"/>
                <w:b/>
                <w:bCs/>
                <w:color w:val="000000" w:themeColor="text1"/>
                <w:highlight w:val="none"/>
                <w:lang w:eastAsia="zh-CN"/>
                <w14:textFill>
                  <w14:solidFill>
                    <w14:schemeClr w14:val="tx1"/>
                  </w14:solidFill>
                </w14:textFill>
              </w:rPr>
              <w:t>；</w:t>
            </w:r>
          </w:p>
          <w:p w14:paraId="6DC1E013">
            <w:pPr>
              <w:pStyle w:val="12"/>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hAnsi="宋体" w:eastAsia="宋体" w:cs="宋体"/>
                <w:b/>
                <w:bCs/>
                <w:color w:val="000000" w:themeColor="text1"/>
                <w:highlight w:val="none"/>
                <w:lang w:val="en-US" w:eastAsia="zh-CN"/>
                <w14:textFill>
                  <w14:solidFill>
                    <w14:schemeClr w14:val="tx1"/>
                  </w14:solidFill>
                </w14:textFill>
              </w:rPr>
              <w:t>标包5：</w:t>
            </w:r>
            <w:r>
              <w:rPr>
                <w:rFonts w:hint="eastAsia" w:ascii="宋体" w:hAnsi="宋体" w:eastAsia="宋体" w:cs="宋体"/>
                <w:b/>
                <w:bCs/>
                <w:color w:val="000000" w:themeColor="text1"/>
                <w:highlight w:val="none"/>
                <w14:textFill>
                  <w14:solidFill>
                    <w14:schemeClr w14:val="tx1"/>
                  </w14:solidFill>
                </w14:textFill>
              </w:rPr>
              <w:t>人民币</w:t>
            </w:r>
            <w:r>
              <w:rPr>
                <w:rFonts w:hint="eastAsia"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val="en-US" w:eastAsia="zh-CN"/>
                <w14:textFill>
                  <w14:solidFill>
                    <w14:schemeClr w14:val="tx1"/>
                  </w14:solidFill>
                </w14:textFill>
              </w:rPr>
              <w:t>000</w:t>
            </w:r>
            <w:r>
              <w:rPr>
                <w:rFonts w:hint="eastAsia"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b/>
                <w:bCs/>
                <w:color w:val="000000" w:themeColor="text1"/>
                <w:highlight w:val="none"/>
                <w14:textFill>
                  <w14:solidFill>
                    <w14:schemeClr w14:val="tx1"/>
                  </w14:solidFill>
                </w14:textFill>
              </w:rPr>
              <w:t>元</w:t>
            </w:r>
            <w:r>
              <w:rPr>
                <w:rFonts w:hint="eastAsia" w:ascii="宋体" w:hAnsi="宋体" w:eastAsia="宋体" w:cs="宋体"/>
                <w:b/>
                <w:bCs/>
                <w:color w:val="000000" w:themeColor="text1"/>
                <w:highlight w:val="none"/>
                <w:lang w:eastAsia="zh-CN"/>
                <w14:textFill>
                  <w14:solidFill>
                    <w14:schemeClr w14:val="tx1"/>
                  </w14:solidFill>
                </w14:textFill>
              </w:rPr>
              <w:t>；</w:t>
            </w:r>
          </w:p>
          <w:p w14:paraId="73371768">
            <w:pPr>
              <w:pStyle w:val="12"/>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hAnsi="宋体" w:eastAsia="宋体" w:cs="宋体"/>
                <w:b/>
                <w:bCs/>
                <w:color w:val="000000" w:themeColor="text1"/>
                <w:highlight w:val="none"/>
                <w:lang w:val="en-US" w:eastAsia="zh-CN"/>
                <w14:textFill>
                  <w14:solidFill>
                    <w14:schemeClr w14:val="tx1"/>
                  </w14:solidFill>
                </w14:textFill>
              </w:rPr>
              <w:t>标包6：</w:t>
            </w:r>
            <w:r>
              <w:rPr>
                <w:rFonts w:hint="eastAsia" w:ascii="宋体" w:hAnsi="宋体" w:eastAsia="宋体" w:cs="宋体"/>
                <w:b/>
                <w:bCs/>
                <w:color w:val="000000" w:themeColor="text1"/>
                <w:highlight w:val="none"/>
                <w14:textFill>
                  <w14:solidFill>
                    <w14:schemeClr w14:val="tx1"/>
                  </w14:solidFill>
                </w14:textFill>
              </w:rPr>
              <w:t>人民币</w:t>
            </w:r>
            <w:r>
              <w:rPr>
                <w:rFonts w:hint="eastAsia"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val="en-US" w:eastAsia="zh-CN"/>
                <w14:textFill>
                  <w14:solidFill>
                    <w14:schemeClr w14:val="tx1"/>
                  </w14:solidFill>
                </w14:textFill>
              </w:rPr>
              <w:t>00</w:t>
            </w:r>
            <w:r>
              <w:rPr>
                <w:rFonts w:hint="eastAsia" w:hAnsi="宋体" w:eastAsia="宋体" w:cs="宋体"/>
                <w:b/>
                <w:bCs/>
                <w:color w:val="000000" w:themeColor="text1"/>
                <w:highlight w:val="none"/>
                <w:lang w:val="en-US" w:eastAsia="zh-CN"/>
                <w14:textFill>
                  <w14:solidFill>
                    <w14:schemeClr w14:val="tx1"/>
                  </w14:solidFill>
                </w14:textFill>
              </w:rPr>
              <w:t>6</w:t>
            </w:r>
            <w:r>
              <w:rPr>
                <w:rFonts w:hint="eastAsia" w:ascii="宋体" w:hAnsi="宋体" w:eastAsia="宋体" w:cs="宋体"/>
                <w:b/>
                <w:bCs/>
                <w:color w:val="000000" w:themeColor="text1"/>
                <w:highlight w:val="none"/>
                <w14:textFill>
                  <w14:solidFill>
                    <w14:schemeClr w14:val="tx1"/>
                  </w14:solidFill>
                </w14:textFill>
              </w:rPr>
              <w:t>元</w:t>
            </w:r>
          </w:p>
          <w:p w14:paraId="6AFAE576">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提交方式为从供应商基本账户以支票、汇票、本票、网上银行</w:t>
            </w:r>
            <w:r>
              <w:rPr>
                <w:rFonts w:hint="eastAsia" w:ascii="宋体" w:hAnsi="宋体" w:eastAsia="宋体" w:cs="宋体"/>
                <w:color w:val="000000" w:themeColor="text1"/>
                <w:highlight w:val="none"/>
                <w:lang w:eastAsia="zh-CN"/>
                <w14:textFill>
                  <w14:solidFill>
                    <w14:schemeClr w14:val="tx1"/>
                  </w14:solidFill>
                </w14:textFill>
              </w:rPr>
              <w:t>、政采云电子保函</w:t>
            </w:r>
            <w:r>
              <w:rPr>
                <w:rFonts w:hint="eastAsia" w:ascii="宋体" w:hAnsi="宋体" w:eastAsia="宋体" w:cs="宋体"/>
                <w:color w:val="000000" w:themeColor="text1"/>
                <w:highlight w:val="none"/>
                <w14:textFill>
                  <w14:solidFill>
                    <w14:schemeClr w14:val="tx1"/>
                  </w14:solidFill>
                </w14:textFill>
              </w:rPr>
              <w:t>形式汇至投标保证金账户</w:t>
            </w:r>
            <w:r>
              <w:rPr>
                <w:rFonts w:hint="eastAsia" w:ascii="宋体" w:hAnsi="宋体" w:eastAsia="宋体" w:cs="宋体"/>
                <w:color w:val="000000" w:themeColor="text1"/>
                <w:highlight w:val="none"/>
                <w:lang w:eastAsia="zh-CN"/>
                <w14:textFill>
                  <w14:solidFill>
                    <w14:schemeClr w14:val="tx1"/>
                  </w14:solidFill>
                </w14:textFill>
              </w:rPr>
              <w:t>。投标保证金有效期：投标截止时间后90日历日。</w:t>
            </w:r>
          </w:p>
          <w:p w14:paraId="6535BB10">
            <w:pPr>
              <w:pStyle w:val="12"/>
              <w:jc w:val="left"/>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 xml:space="preserve">收款单位：中国远东国际招标有限公司  </w:t>
            </w:r>
          </w:p>
          <w:p w14:paraId="7E211651">
            <w:pPr>
              <w:pStyle w:val="12"/>
              <w:jc w:val="left"/>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开户银行：招商银行北京分行营业部</w:t>
            </w:r>
          </w:p>
          <w:p w14:paraId="3D7CB2A2">
            <w:pPr>
              <w:pStyle w:val="12"/>
              <w:jc w:val="left"/>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账</w:t>
            </w:r>
            <w:r>
              <w:rPr>
                <w:rFonts w:hint="eastAsia" w:ascii="Times New Roman" w:hAnsi="Times New Roman" w:cs="Times New Roman"/>
                <w:b/>
                <w:bCs/>
                <w:color w:val="000000" w:themeColor="text1"/>
                <w:highlight w:val="none"/>
                <w14:textFill>
                  <w14:solidFill>
                    <w14:schemeClr w14:val="tx1"/>
                  </w14:solidFill>
                </w14:textFill>
              </w:rPr>
              <w:tab/>
            </w:r>
            <w:r>
              <w:rPr>
                <w:rFonts w:hint="eastAsia" w:ascii="Times New Roman" w:hAnsi="Times New Roman" w:cs="Times New Roman"/>
                <w:b/>
                <w:bCs/>
                <w:color w:val="000000" w:themeColor="text1"/>
                <w:highlight w:val="none"/>
                <w14:textFill>
                  <w14:solidFill>
                    <w14:schemeClr w14:val="tx1"/>
                  </w14:solidFill>
                </w14:textFill>
              </w:rPr>
              <w:t xml:space="preserve">   号：1109060237109081753113237</w:t>
            </w:r>
          </w:p>
          <w:p w14:paraId="59781B8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以电汇方式递交投标保证金须在电汇凭据附言栏中写明采购编号、包号及用途(投标保证金)。</w:t>
            </w:r>
          </w:p>
          <w:p w14:paraId="71A9FE44">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（2）投标保证金必须在投标截止时间（响应文件提交时间）前缴纳至招标公司账户。</w:t>
            </w:r>
          </w:p>
          <w:p w14:paraId="694F7BF0">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（3）政采云电子保函须知</w:t>
            </w:r>
          </w:p>
          <w:p w14:paraId="76B25B34">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①本项目推荐使用政采云电子保函形式缴纳投标保证金，在线完成保函的申请、审核、开票、出函等环节；</w:t>
            </w:r>
          </w:p>
          <w:p w14:paraId="52658372">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②如采用政采云电子保函形式，可按照以下形式进行在线申请，电子保函申请链接（https://jinrong.zcygov.cn/finance/letter/product/detail?id=30&amp;source=41），如遇问题可拨打客服电话：4009039583；</w:t>
            </w:r>
          </w:p>
          <w:p w14:paraId="3971940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③将保函制作到电子投标文件即可。</w:t>
            </w:r>
          </w:p>
        </w:tc>
      </w:tr>
      <w:tr w14:paraId="4AF6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8461E2C">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p>
        </w:tc>
        <w:tc>
          <w:tcPr>
            <w:tcW w:w="2410" w:type="dxa"/>
            <w:gridSpan w:val="2"/>
            <w:vAlign w:val="center"/>
          </w:tcPr>
          <w:p w14:paraId="04320C2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投标有效期</w:t>
            </w:r>
          </w:p>
        </w:tc>
        <w:tc>
          <w:tcPr>
            <w:tcW w:w="5105" w:type="dxa"/>
            <w:vAlign w:val="center"/>
          </w:tcPr>
          <w:p w14:paraId="2A03AD9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自投标文件截止时间起</w:t>
            </w:r>
            <w:r>
              <w:rPr>
                <w:rFonts w:hint="eastAsia" w:ascii="宋体" w:hAnsi="宋体" w:eastAsia="宋体" w:cs="宋体"/>
                <w:color w:val="000000" w:themeColor="text1"/>
                <w:highlight w:val="none"/>
                <w:lang w:val="en-US" w:eastAsia="zh-CN"/>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t>日(日历日)</w:t>
            </w:r>
          </w:p>
        </w:tc>
      </w:tr>
      <w:tr w14:paraId="7C2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56" w:hRule="atLeast"/>
          <w:jc w:val="center"/>
        </w:trPr>
        <w:tc>
          <w:tcPr>
            <w:tcW w:w="1101" w:type="dxa"/>
            <w:vAlign w:val="center"/>
          </w:tcPr>
          <w:p w14:paraId="0BED80D3">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21</w:t>
            </w:r>
          </w:p>
        </w:tc>
        <w:tc>
          <w:tcPr>
            <w:tcW w:w="2410" w:type="dxa"/>
            <w:gridSpan w:val="2"/>
            <w:vAlign w:val="center"/>
          </w:tcPr>
          <w:p w14:paraId="219CE23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投标文件份数</w:t>
            </w:r>
          </w:p>
        </w:tc>
        <w:tc>
          <w:tcPr>
            <w:tcW w:w="5105" w:type="dxa"/>
            <w:vAlign w:val="center"/>
          </w:tcPr>
          <w:p w14:paraId="729FD3AB">
            <w:pPr>
              <w:pStyle w:val="30"/>
              <w:widowControl/>
              <w:autoSpaceDE w:val="0"/>
              <w:autoSpaceDN w:val="0"/>
              <w:spacing w:line="24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采用不见面开标：</w:t>
            </w:r>
          </w:p>
          <w:p w14:paraId="206644B5">
            <w:pPr>
              <w:pStyle w:val="31"/>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1．本项目采用不见面开标、投标人需要递交电子响应文件，</w:t>
            </w:r>
            <w:r>
              <w:rPr>
                <w:rFonts w:hint="eastAsia" w:ascii="宋体" w:hAnsi="宋体" w:eastAsia="宋体" w:cs="宋体"/>
                <w:color w:val="000000" w:themeColor="text1"/>
                <w:sz w:val="21"/>
                <w:szCs w:val="21"/>
                <w:highlight w:val="none"/>
                <w14:textFill>
                  <w14:solidFill>
                    <w14:schemeClr w14:val="tx1"/>
                  </w14:solidFill>
                </w14:textFill>
              </w:rPr>
              <w:t>加密的电子响应文件，在投标截止时间前通过政采云平台（https://www.zcygov.cn/）上传到指定位置。</w:t>
            </w:r>
            <w:r>
              <w:rPr>
                <w:rFonts w:hint="eastAsia" w:ascii="宋体" w:hAnsi="宋体" w:eastAsia="宋体" w:cs="宋体"/>
                <w:color w:val="000000" w:themeColor="text1"/>
                <w:kern w:val="2"/>
                <w:sz w:val="21"/>
                <w:szCs w:val="21"/>
                <w:highlight w:val="none"/>
                <w14:textFill>
                  <w14:solidFill>
                    <w14:schemeClr w14:val="tx1"/>
                  </w14:solidFill>
                </w14:textFill>
              </w:rPr>
              <w:t>无需递交纸质文件。</w:t>
            </w:r>
          </w:p>
          <w:p w14:paraId="1420303E">
            <w:pPr>
              <w:pStyle w:val="30"/>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2.本项目采用远程不见面交易的模式。开标当日，投标人无需到达开标现场，仅需在任意地点通过</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r>
              <w:rPr>
                <w:rFonts w:hint="eastAsia" w:ascii="宋体" w:hAnsi="宋体" w:eastAsia="宋体" w:cs="宋体"/>
                <w:color w:val="000000" w:themeColor="text1"/>
                <w:kern w:val="2"/>
                <w:sz w:val="21"/>
                <w:szCs w:val="21"/>
                <w:highlight w:val="none"/>
                <w14:textFill>
                  <w14:solidFill>
                    <w14:schemeClr w14:val="tx1"/>
                  </w14:solidFill>
                </w14:textFill>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文件解密或开、评标工作无法进行的，可根据实际情况相应延迟解密时间或调整开、评标时间（友情提示：若投标人已领取副锁（含多把副锁）请注意正副锁的使用差别，务必使用生成响应文件的那把锁解密）。</w:t>
            </w:r>
          </w:p>
          <w:p w14:paraId="79C8A7BF">
            <w:pPr>
              <w:pStyle w:val="31"/>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3.远程开标前，投标人务必在</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r>
              <w:rPr>
                <w:rFonts w:hint="eastAsia" w:ascii="宋体" w:hAnsi="宋体" w:eastAsia="宋体" w:cs="宋体"/>
                <w:color w:val="000000" w:themeColor="text1"/>
                <w:kern w:val="2"/>
                <w:sz w:val="21"/>
                <w:szCs w:val="21"/>
                <w:highlight w:val="none"/>
                <w14:textFill>
                  <w14:solidFill>
                    <w14:schemeClr w14:val="tx1"/>
                  </w14:solidFill>
                </w14:textFill>
              </w:rPr>
              <w:t>响应文件上传模块中使用“模拟解密”功能，验证本机远程自助解密环境</w:t>
            </w:r>
          </w:p>
          <w:p w14:paraId="2E410A47">
            <w:pPr>
              <w:pStyle w:val="32"/>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 w:name="_Toc2011"/>
            <w:bookmarkStart w:id="6" w:name="_Toc8983"/>
            <w:bookmarkStart w:id="7" w:name="_Toc24466"/>
            <w:bookmarkStart w:id="8" w:name="_Toc32392"/>
            <w:bookmarkStart w:id="9" w:name="_Toc32198"/>
            <w:bookmarkStart w:id="10" w:name="_Toc29318"/>
            <w:bookmarkStart w:id="11" w:name="_Toc3977"/>
            <w:bookmarkStart w:id="12" w:name="_Toc25874"/>
            <w:bookmarkStart w:id="13" w:name="_Toc23858"/>
            <w:bookmarkStart w:id="14" w:name="_Toc11781"/>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应当在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截止时间前,将生成的“电子加密响应文件”上传递交至“政府采购云平台”,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截止时间以后上传递交的响应文件将被“政府采购云平台”拒收。</w:t>
            </w:r>
            <w:bookmarkEnd w:id="5"/>
            <w:bookmarkEnd w:id="6"/>
            <w:bookmarkEnd w:id="7"/>
            <w:bookmarkEnd w:id="8"/>
            <w:bookmarkEnd w:id="9"/>
            <w:bookmarkEnd w:id="10"/>
            <w:bookmarkEnd w:id="11"/>
            <w:bookmarkEnd w:id="12"/>
            <w:bookmarkEnd w:id="13"/>
            <w:bookmarkEnd w:id="14"/>
          </w:p>
          <w:p w14:paraId="76AB0AB0">
            <w:pPr>
              <w:pStyle w:val="32"/>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5" w:name="_Toc20205"/>
            <w:bookmarkStart w:id="16" w:name="_Toc22753"/>
            <w:bookmarkStart w:id="17" w:name="_Toc29786"/>
            <w:bookmarkStart w:id="18" w:name="_Toc21980"/>
            <w:bookmarkStart w:id="19" w:name="_Toc22211"/>
            <w:bookmarkStart w:id="20" w:name="_Toc8787"/>
            <w:bookmarkStart w:id="21" w:name="_Toc651"/>
            <w:bookmarkStart w:id="22" w:name="_Toc11732"/>
            <w:bookmarkStart w:id="23" w:name="_Toc30695"/>
            <w:bookmarkStart w:id="24" w:name="_Toc11104"/>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前须提前配置好电脑浏览器（建议使用360 浏览器或谷歌浏览器）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时请使用制作加密电子响应文件的 CA 锁进行解密及报价确认。本项目响应文件解密时间定为 30 分钟内,如因自身原因导致无法正常解密,后果由供应商自行承担。</w:t>
            </w:r>
            <w:bookmarkEnd w:id="15"/>
            <w:bookmarkEnd w:id="16"/>
            <w:bookmarkEnd w:id="17"/>
            <w:bookmarkEnd w:id="18"/>
            <w:bookmarkEnd w:id="19"/>
            <w:bookmarkEnd w:id="20"/>
            <w:bookmarkEnd w:id="21"/>
            <w:bookmarkEnd w:id="22"/>
            <w:bookmarkEnd w:id="23"/>
            <w:bookmarkEnd w:id="24"/>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1D42B58">
            <w:pPr>
              <w:pStyle w:val="32"/>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5" w:name="_Toc12710"/>
            <w:bookmarkStart w:id="26" w:name="_Toc21997"/>
            <w:bookmarkStart w:id="27" w:name="_Toc24307"/>
            <w:bookmarkStart w:id="28" w:name="_Toc3071"/>
            <w:bookmarkStart w:id="29" w:name="_Toc23412"/>
            <w:bookmarkStart w:id="30" w:name="_Toc13970"/>
            <w:bookmarkStart w:id="31" w:name="_Toc21673"/>
            <w:bookmarkStart w:id="32" w:name="_Toc1634"/>
            <w:bookmarkStart w:id="33" w:name="_Toc696"/>
            <w:bookmarkStart w:id="34" w:name="_Toc28157"/>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登录政采云平台，在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时间后 30 分钟内用“项目采购-开标评标”功能进行解密响应文件。若供应商在规定时间内未按时解密的，视为无效</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。解密与加密响应文件须使用同一个 CA。</w:t>
            </w:r>
            <w:bookmarkEnd w:id="25"/>
            <w:bookmarkEnd w:id="26"/>
            <w:bookmarkEnd w:id="27"/>
            <w:bookmarkEnd w:id="28"/>
            <w:bookmarkEnd w:id="29"/>
            <w:bookmarkEnd w:id="30"/>
            <w:bookmarkEnd w:id="31"/>
            <w:bookmarkEnd w:id="32"/>
            <w:bookmarkEnd w:id="33"/>
            <w:bookmarkEnd w:id="34"/>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96B0CB2">
            <w:pPr>
              <w:pStyle w:val="31"/>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□采用见面开标：</w:t>
            </w:r>
          </w:p>
          <w:p w14:paraId="039B0A0C">
            <w:pPr>
              <w:pStyle w:val="31"/>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本项目采用见面开标、投标人需要递交纸质版响应文件</w:t>
            </w:r>
            <w:r>
              <w:rPr>
                <w:rFonts w:hint="eastAsia" w:ascii="宋体" w:hAnsi="宋体" w:eastAsia="宋体" w:cs="宋体"/>
                <w:color w:val="000000" w:themeColor="text1"/>
                <w:sz w:val="21"/>
                <w:szCs w:val="21"/>
                <w:highlight w:val="none"/>
                <w14:textFill>
                  <w14:solidFill>
                    <w14:schemeClr w14:val="tx1"/>
                  </w14:solidFill>
                </w14:textFill>
              </w:rPr>
              <w:t>以及电子响应文件，在投标截止时间前递交至响应文件开启地点。</w:t>
            </w:r>
          </w:p>
          <w:p w14:paraId="62C53E7F">
            <w:pPr>
              <w:spacing w:line="24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正本1份</w:t>
            </w:r>
          </w:p>
          <w:p w14:paraId="7D040D86">
            <w:pPr>
              <w:spacing w:line="24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副本</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份</w:t>
            </w:r>
          </w:p>
          <w:p w14:paraId="42853D13">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电子文件1份(</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扫描件PDF，</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A3"/>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Word)</w:t>
            </w:r>
          </w:p>
        </w:tc>
      </w:tr>
      <w:tr w14:paraId="402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00" w:hRule="atLeast"/>
          <w:jc w:val="center"/>
        </w:trPr>
        <w:tc>
          <w:tcPr>
            <w:tcW w:w="1101" w:type="dxa"/>
            <w:vAlign w:val="center"/>
          </w:tcPr>
          <w:p w14:paraId="68C11AAA">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2</w:t>
            </w:r>
          </w:p>
        </w:tc>
        <w:tc>
          <w:tcPr>
            <w:tcW w:w="2410" w:type="dxa"/>
            <w:gridSpan w:val="2"/>
            <w:vAlign w:val="center"/>
          </w:tcPr>
          <w:p w14:paraId="633D997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封套上应载明的信息</w:t>
            </w:r>
          </w:p>
        </w:tc>
        <w:tc>
          <w:tcPr>
            <w:tcW w:w="5105" w:type="dxa"/>
            <w:vAlign w:val="center"/>
          </w:tcPr>
          <w:p w14:paraId="3229BD89">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2"/>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采用不见面开标：</w:t>
            </w:r>
          </w:p>
          <w:p w14:paraId="7803625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2"/>
                <w:highlight w:val="none"/>
                <w14:textFill>
                  <w14:solidFill>
                    <w14:schemeClr w14:val="tx1"/>
                  </w14:solidFill>
                </w14:textFill>
              </w:rPr>
              <w:sym w:font="Wingdings 2" w:char="00A3"/>
            </w:r>
            <w:r>
              <w:rPr>
                <w:rFonts w:hint="eastAsia" w:ascii="宋体" w:hAnsi="宋体" w:eastAsia="宋体" w:cs="宋体"/>
                <w:color w:val="000000" w:themeColor="text1"/>
                <w:highlight w:val="none"/>
                <w14:textFill>
                  <w14:solidFill>
                    <w14:schemeClr w14:val="tx1"/>
                  </w14:solidFill>
                </w14:textFill>
              </w:rPr>
              <w:t>采用见面开标：不涉及</w:t>
            </w:r>
          </w:p>
          <w:p w14:paraId="14D4BB1A">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7A2FF46D">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10D172F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20</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26</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年</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月</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日</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前不得拆封</w:t>
            </w:r>
          </w:p>
          <w:p w14:paraId="22A7222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投标人名称：____________________</w:t>
            </w:r>
          </w:p>
        </w:tc>
      </w:tr>
      <w:tr w14:paraId="5D6C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11BAD796">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410" w:type="dxa"/>
            <w:gridSpan w:val="2"/>
            <w:vAlign w:val="center"/>
          </w:tcPr>
          <w:p w14:paraId="2E15AA2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信用查询</w:t>
            </w:r>
          </w:p>
        </w:tc>
        <w:tc>
          <w:tcPr>
            <w:tcW w:w="5105" w:type="dxa"/>
            <w:vAlign w:val="center"/>
          </w:tcPr>
          <w:p w14:paraId="1655BEF0">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A3"/>
            </w:r>
            <w:r>
              <w:rPr>
                <w:rFonts w:hint="eastAsia" w:ascii="宋体" w:hAnsi="宋体" w:eastAsia="宋体" w:cs="宋体"/>
                <w:color w:val="000000" w:themeColor="text1"/>
                <w:highlight w:val="none"/>
                <w14:textFill>
                  <w14:solidFill>
                    <w14:schemeClr w14:val="tx1"/>
                  </w14:solidFill>
                </w14:textFill>
              </w:rPr>
              <w:t>采购人或采购代理机构将通过“信用中国”网站(www. creditchina. gov.cn)、中国政府采购网(www.ccgp.gov.cn)查询相关主体信用记录。本次查询的信用记录打印的网页版将留存在评标报告中。本项目信用记录查询截止时点为查询截止时点为投标截止当日</w:t>
            </w:r>
            <w:r>
              <w:rPr>
                <w:rFonts w:hint="eastAsia" w:ascii="宋体" w:hAnsi="宋体" w:eastAsia="宋体" w:cs="宋体"/>
                <w:color w:val="000000" w:themeColor="text1"/>
                <w:highlight w:val="none"/>
                <w:lang w:eastAsia="zh-CN"/>
                <w14:textFill>
                  <w14:solidFill>
                    <w14:schemeClr w14:val="tx1"/>
                  </w14:solidFill>
                </w14:textFill>
              </w:rPr>
              <w:t>。</w:t>
            </w:r>
          </w:p>
          <w:p w14:paraId="695F94E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投标人自行查询信用记录，如实提供《无不良信用记录承诺》并加盖供应商公章。联合体参加投标的，所有联合体成员均须加盖公章。</w:t>
            </w:r>
          </w:p>
        </w:tc>
      </w:tr>
      <w:tr w14:paraId="7D6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10" w:hRule="atLeast"/>
          <w:jc w:val="center"/>
        </w:trPr>
        <w:tc>
          <w:tcPr>
            <w:tcW w:w="1101" w:type="dxa"/>
            <w:vAlign w:val="center"/>
          </w:tcPr>
          <w:p w14:paraId="460B0F25">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410" w:type="dxa"/>
            <w:gridSpan w:val="2"/>
            <w:vAlign w:val="center"/>
          </w:tcPr>
          <w:p w14:paraId="144A517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同品牌多家投标人处理原则</w:t>
            </w:r>
          </w:p>
        </w:tc>
        <w:tc>
          <w:tcPr>
            <w:tcW w:w="5105" w:type="dxa"/>
            <w:vAlign w:val="center"/>
          </w:tcPr>
          <w:p w14:paraId="637CD0D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7DC6EED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随机抽取</w:t>
            </w:r>
          </w:p>
          <w:p w14:paraId="4791F4B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□其他________</w:t>
            </w:r>
          </w:p>
        </w:tc>
      </w:tr>
      <w:tr w14:paraId="367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47" w:hRule="atLeast"/>
          <w:jc w:val="center"/>
        </w:trPr>
        <w:tc>
          <w:tcPr>
            <w:tcW w:w="1101" w:type="dxa"/>
            <w:vAlign w:val="center"/>
          </w:tcPr>
          <w:p w14:paraId="421A6AD8">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410" w:type="dxa"/>
            <w:gridSpan w:val="2"/>
            <w:vAlign w:val="center"/>
          </w:tcPr>
          <w:p w14:paraId="6B90B02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定标原则</w:t>
            </w:r>
          </w:p>
        </w:tc>
        <w:tc>
          <w:tcPr>
            <w:tcW w:w="5105" w:type="dxa"/>
            <w:vAlign w:val="center"/>
          </w:tcPr>
          <w:p w14:paraId="74638B4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1.采购人在评标报告确定的中标候选人名单中按顺序确定中标人。</w:t>
            </w:r>
          </w:p>
          <w:p w14:paraId="72B4B4EE">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2.中标候选人并列的</w:t>
            </w:r>
            <w:r>
              <w:rPr>
                <w:rFonts w:hint="eastAsia" w:ascii="宋体" w:hAnsi="宋体" w:eastAsia="宋体" w:cs="宋体"/>
                <w:color w:val="000000" w:themeColor="text1"/>
                <w:highlight w:val="none"/>
                <w:lang w:eastAsia="zh-CN"/>
                <w14:textFill>
                  <w14:solidFill>
                    <w14:schemeClr w14:val="tx1"/>
                  </w14:solidFill>
                </w14:textFill>
              </w:rPr>
              <w:t>，按投标报价由低到高顺序排列，得分与投标报价均相同的，按技术指标优劣排列。</w:t>
            </w:r>
          </w:p>
        </w:tc>
      </w:tr>
      <w:tr w14:paraId="15EE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9" w:hRule="atLeast"/>
          <w:jc w:val="center"/>
        </w:trPr>
        <w:tc>
          <w:tcPr>
            <w:tcW w:w="1101" w:type="dxa"/>
            <w:vAlign w:val="center"/>
          </w:tcPr>
          <w:p w14:paraId="5B598111">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410" w:type="dxa"/>
            <w:gridSpan w:val="2"/>
            <w:vAlign w:val="center"/>
          </w:tcPr>
          <w:p w14:paraId="20719370">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lang w:val="en-US" w:eastAsia="zh-CN"/>
                <w14:textFill>
                  <w14:solidFill>
                    <w14:schemeClr w14:val="tx1"/>
                  </w14:solidFill>
                </w14:textFill>
              </w:rPr>
              <w:t>期、</w:t>
            </w: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lang w:val="en-US" w:eastAsia="zh-CN"/>
                <w14:textFill>
                  <w14:solidFill>
                    <w14:schemeClr w14:val="tx1"/>
                  </w14:solidFill>
                </w14:textFill>
              </w:rPr>
              <w:t>地点</w:t>
            </w:r>
          </w:p>
        </w:tc>
        <w:tc>
          <w:tcPr>
            <w:tcW w:w="5105" w:type="dxa"/>
            <w:vAlign w:val="center"/>
          </w:tcPr>
          <w:p w14:paraId="1B0B491F">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lang w:val="en-US" w:eastAsia="zh-CN"/>
                <w14:textFill>
                  <w14:solidFill>
                    <w14:schemeClr w14:val="tx1"/>
                  </w14:solidFill>
                </w14:textFill>
              </w:rPr>
              <w:t>期</w:t>
            </w:r>
            <w:r>
              <w:rPr>
                <w:rFonts w:hint="eastAsia" w:ascii="宋体" w:hAnsi="宋体" w:eastAsia="宋体" w:cs="宋体"/>
                <w:color w:val="000000" w:themeColor="text1"/>
                <w:highlight w:val="none"/>
                <w14:textFill>
                  <w14:solidFill>
                    <w14:schemeClr w14:val="tx1"/>
                  </w14:solidFill>
                </w14:textFill>
              </w:rPr>
              <w:t>：</w:t>
            </w:r>
            <w:r>
              <w:rPr>
                <w:rFonts w:hint="eastAsia" w:hAnsi="宋体" w:eastAsia="宋体" w:cs="宋体"/>
                <w:color w:val="000000" w:themeColor="text1"/>
                <w:highlight w:val="none"/>
                <w:lang w:val="en-US" w:eastAsia="zh-CN"/>
                <w14:textFill>
                  <w14:solidFill>
                    <w14:schemeClr w14:val="tx1"/>
                  </w14:solidFill>
                </w14:textFill>
              </w:rPr>
              <w:t>合同签订后三个工作日内完成交付。（具体以甲方要求为准）。</w:t>
            </w:r>
          </w:p>
          <w:p w14:paraId="0E4BEFFE">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14:textFill>
                  <w14:solidFill>
                    <w14:schemeClr w14:val="tx1"/>
                  </w14:solidFill>
                </w14:textFill>
              </w:rPr>
              <w:t>地点：</w:t>
            </w: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hAnsi="宋体" w:eastAsia="宋体" w:cs="宋体"/>
                <w:color w:val="000000" w:themeColor="text1"/>
                <w:highlight w:val="none"/>
                <w:lang w:val="en-US" w:eastAsia="zh-CN"/>
                <w14:textFill>
                  <w14:solidFill>
                    <w14:schemeClr w14:val="tx1"/>
                  </w14:solidFill>
                </w14:textFill>
              </w:rPr>
              <w:t>。</w:t>
            </w:r>
          </w:p>
        </w:tc>
      </w:tr>
      <w:tr w14:paraId="3D4C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2" w:hRule="atLeast"/>
          <w:jc w:val="center"/>
        </w:trPr>
        <w:tc>
          <w:tcPr>
            <w:tcW w:w="1101" w:type="dxa"/>
            <w:vAlign w:val="center"/>
          </w:tcPr>
          <w:p w14:paraId="41CA571D">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27</w:t>
            </w:r>
          </w:p>
        </w:tc>
        <w:tc>
          <w:tcPr>
            <w:tcW w:w="2410" w:type="dxa"/>
            <w:gridSpan w:val="2"/>
            <w:vAlign w:val="center"/>
          </w:tcPr>
          <w:p w14:paraId="5370F61A">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lang w:val="en-US" w:eastAsia="zh-CN"/>
                <w14:textFill>
                  <w14:solidFill>
                    <w14:schemeClr w14:val="tx1"/>
                  </w14:solidFill>
                </w14:textFill>
              </w:rPr>
              <w:t>期</w:t>
            </w:r>
          </w:p>
        </w:tc>
        <w:tc>
          <w:tcPr>
            <w:tcW w:w="5105" w:type="dxa"/>
            <w:vAlign w:val="center"/>
          </w:tcPr>
          <w:p w14:paraId="1697DF2E">
            <w:pPr>
              <w:pStyle w:val="12"/>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1年</w:t>
            </w:r>
          </w:p>
        </w:tc>
      </w:tr>
      <w:tr w14:paraId="2C43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0" w:hRule="atLeast"/>
          <w:jc w:val="center"/>
        </w:trPr>
        <w:tc>
          <w:tcPr>
            <w:tcW w:w="1101" w:type="dxa"/>
            <w:vAlign w:val="center"/>
          </w:tcPr>
          <w:p w14:paraId="51121B8C">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410" w:type="dxa"/>
            <w:gridSpan w:val="2"/>
            <w:vAlign w:val="center"/>
          </w:tcPr>
          <w:p w14:paraId="03C43A3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采购资金的支付方式及时间</w:t>
            </w:r>
          </w:p>
        </w:tc>
        <w:tc>
          <w:tcPr>
            <w:tcW w:w="5105" w:type="dxa"/>
            <w:vAlign w:val="center"/>
          </w:tcPr>
          <w:p w14:paraId="237C3D8B">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分期支付</w:t>
            </w:r>
          </w:p>
          <w:p w14:paraId="70A6771B">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备注：最终付款方式以和甲方单位签订合同为主。</w:t>
            </w:r>
          </w:p>
        </w:tc>
      </w:tr>
      <w:tr w14:paraId="23E2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576D9BF2">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29</w:t>
            </w:r>
          </w:p>
        </w:tc>
        <w:tc>
          <w:tcPr>
            <w:tcW w:w="2410" w:type="dxa"/>
            <w:gridSpan w:val="2"/>
            <w:vAlign w:val="center"/>
          </w:tcPr>
          <w:p w14:paraId="5640CB3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w:t>
            </w:r>
          </w:p>
        </w:tc>
        <w:tc>
          <w:tcPr>
            <w:tcW w:w="5105" w:type="dxa"/>
            <w:vAlign w:val="center"/>
          </w:tcPr>
          <w:p w14:paraId="5680271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不要求提供</w:t>
            </w:r>
          </w:p>
          <w:p w14:paraId="01D3BA0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□要求提供，履约保证金的数额不得超过政府采购合同金额的10%，本采购项目履约保证金为合同金额的____%，提交方式为____</w:t>
            </w:r>
          </w:p>
          <w:p w14:paraId="7846D71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收款人户名：</w:t>
            </w:r>
          </w:p>
          <w:p w14:paraId="6AA399E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w:t>
            </w:r>
          </w:p>
          <w:p w14:paraId="1522C40D">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银行账号：</w:t>
            </w:r>
          </w:p>
          <w:p w14:paraId="752BF8B6">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注：以电汇方式递交履约保证金须在电汇凭据附言栏中写明采购编号、包号及用途(履约保证金)。</w:t>
            </w:r>
          </w:p>
        </w:tc>
      </w:tr>
      <w:tr w14:paraId="12F4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467A860">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w:t>
            </w:r>
          </w:p>
        </w:tc>
        <w:tc>
          <w:tcPr>
            <w:tcW w:w="2410" w:type="dxa"/>
            <w:gridSpan w:val="2"/>
            <w:vAlign w:val="center"/>
          </w:tcPr>
          <w:p w14:paraId="794DD03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招标代理服务费</w:t>
            </w:r>
          </w:p>
        </w:tc>
        <w:tc>
          <w:tcPr>
            <w:tcW w:w="5105" w:type="dxa"/>
            <w:vAlign w:val="center"/>
          </w:tcPr>
          <w:p w14:paraId="330B51E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服务费为：按照国家计委印发的《招标代理服务收费管理暂行办法》（计价格[2002]1980号）和国家发展改革委员会印发的《国家发展改革委办公厅关于招标代理服务收费有关问题的通知》（发改办[2003]857号）的标准取费</w:t>
            </w:r>
            <w:r>
              <w:rPr>
                <w:rFonts w:hint="eastAsia"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val="en-US"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支付。</w:t>
            </w:r>
          </w:p>
          <w:p w14:paraId="7D77E827">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中标</w:t>
            </w:r>
            <w:r>
              <w:rPr>
                <w:rFonts w:hint="eastAsia" w:ascii="宋体" w:hAnsi="宋体" w:eastAsia="宋体" w:cs="宋体"/>
                <w:b/>
                <w:bCs/>
                <w:color w:val="000000" w:themeColor="text1"/>
                <w:highlight w:val="none"/>
                <w14:textFill>
                  <w14:solidFill>
                    <w14:schemeClr w14:val="tx1"/>
                  </w14:solidFill>
                </w14:textFill>
              </w:rPr>
              <w:t>服务费银行账号：</w:t>
            </w:r>
          </w:p>
          <w:p w14:paraId="25AE93A8">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收款单位：中国远东国际招标有限公司新疆分公司  </w:t>
            </w:r>
          </w:p>
          <w:p w14:paraId="3491CED2">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开户行：招商银行北京分行营业部</w:t>
            </w:r>
          </w:p>
          <w:p w14:paraId="176EEEA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账号：110964105110001</w:t>
            </w:r>
          </w:p>
        </w:tc>
      </w:tr>
      <w:tr w14:paraId="541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2B4B3B0">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31</w:t>
            </w:r>
          </w:p>
        </w:tc>
        <w:tc>
          <w:tcPr>
            <w:tcW w:w="2410" w:type="dxa"/>
            <w:gridSpan w:val="2"/>
            <w:vAlign w:val="center"/>
          </w:tcPr>
          <w:p w14:paraId="2728A47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其他规定</w:t>
            </w:r>
          </w:p>
        </w:tc>
        <w:tc>
          <w:tcPr>
            <w:tcW w:w="5105" w:type="dxa"/>
            <w:vAlign w:val="center"/>
          </w:tcPr>
          <w:p w14:paraId="7A3E9A1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人：</w:t>
            </w:r>
          </w:p>
          <w:p w14:paraId="44896EC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1、本次项目</w:t>
            </w:r>
            <w:r>
              <w:rPr>
                <w:rFonts w:hint="eastAsia" w:hAnsi="宋体" w:eastAsia="宋体" w:cs="宋体"/>
                <w:color w:val="000000" w:themeColor="text1"/>
                <w:highlight w:val="none"/>
                <w:lang w:val="en-US" w:eastAsia="zh-CN"/>
                <w14:textFill>
                  <w14:solidFill>
                    <w14:schemeClr w14:val="tx1"/>
                  </w14:solidFill>
                </w14:textFill>
              </w:rPr>
              <w:t>各标包</w:t>
            </w:r>
            <w:r>
              <w:rPr>
                <w:rFonts w:hint="eastAsia" w:ascii="宋体" w:hAnsi="宋体" w:eastAsia="宋体" w:cs="宋体"/>
                <w:color w:val="000000" w:themeColor="text1"/>
                <w:highlight w:val="none"/>
                <w14:textFill>
                  <w14:solidFill>
                    <w14:schemeClr w14:val="tx1"/>
                  </w14:solidFill>
                </w14:textFill>
              </w:rPr>
              <w:t>选1家中标单位。</w:t>
            </w:r>
          </w:p>
          <w:p w14:paraId="3C3C778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2、合同价：按照中标单位的中标价作为执行合同的价格。</w:t>
            </w:r>
          </w:p>
          <w:p w14:paraId="19E4B4B9">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5737F04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8F52026">
      <w:pPr>
        <w:pStyle w:val="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投标人须知正文</w:t>
      </w:r>
    </w:p>
    <w:p w14:paraId="7605FED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一、总则</w:t>
      </w:r>
    </w:p>
    <w:p w14:paraId="1A3B69A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1.定义</w:t>
      </w:r>
    </w:p>
    <w:p w14:paraId="1089882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　“采购人”是指依法进行政府采购的国家机关、事业单位、团体组织。本次政府采购的采购人名称、地址、电话、联系人见投标人须知前附表。</w:t>
      </w:r>
    </w:p>
    <w:p w14:paraId="571AF2E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　“采购代理机构”是指集中采购机构和集中采购机构以外的采购代理机构。本次政府采购的采购代理机构名称、地址、电话、联系人见投标人须知前附表。</w:t>
      </w:r>
    </w:p>
    <w:p w14:paraId="793F532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　“投标人”是响应招标文件并且符合招标文件规定资格条件和参加投标竞争的法人、其他组织或者自然人。</w:t>
      </w:r>
    </w:p>
    <w:p w14:paraId="6195912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　“供应商”是指向采购人提供货物、工程或者服务的法人、其他组织或者自然人。</w:t>
      </w:r>
    </w:p>
    <w:p w14:paraId="682529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　“评标委员会”是依据《政府采购货物和服务招标投标管理办法》有关规定组建，依法履行评审采购活动职责的评审成员。</w:t>
      </w:r>
    </w:p>
    <w:p w14:paraId="16D2B3F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　“货物”是指各种形态和种类的物品，包括原材料、燃料、设备、产品等。</w:t>
      </w:r>
    </w:p>
    <w:p w14:paraId="1D5FF3E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　“服务”是指除货物和工程以外的其他政府采购对象。</w:t>
      </w:r>
    </w:p>
    <w:p w14:paraId="3183836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　“节能产品”或者“环保产品”是指国务院有关部门发布的最新一期《节能产品政府采购清单》或者《环境标志产品政府采购清单》内的产品。</w:t>
      </w:r>
    </w:p>
    <w:p w14:paraId="74071B0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　“进口产品”是指通过中国海关报关验放进入中国境内且产自关境外的产品。</w:t>
      </w:r>
    </w:p>
    <w:p w14:paraId="7CF0E41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2.采购项目预算及最高限价</w:t>
      </w:r>
    </w:p>
    <w:p w14:paraId="4AEE99C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　本项目采购资金已列入政府采购预算，预算金额见投标人须知前附表。</w:t>
      </w:r>
    </w:p>
    <w:p w14:paraId="51AC284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　本项目最高限价要求见投标人须知前附表。</w:t>
      </w:r>
    </w:p>
    <w:p w14:paraId="75E8806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★3.供应商的资格要求</w:t>
      </w:r>
    </w:p>
    <w:p w14:paraId="5144056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　供应商应当符合投标人须知前附表中规定的下列资格条件要求：</w:t>
      </w:r>
    </w:p>
    <w:p w14:paraId="69F0881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　符合《政府采购法》第二十二条规定的供应商条件：</w:t>
      </w:r>
    </w:p>
    <w:p w14:paraId="6AC7D65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w:t>
      </w:r>
    </w:p>
    <w:p w14:paraId="44E8B19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(2)具有良好的商业信誉和健全的财务会计制度；</w:t>
      </w:r>
    </w:p>
    <w:p w14:paraId="3B32D84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(3)具有履行合同所必需的设备和专业技术能力；</w:t>
      </w:r>
    </w:p>
    <w:p w14:paraId="105D6C4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(4)有依法缴纳税收和社会保障资金的良好记录；</w:t>
      </w:r>
    </w:p>
    <w:p w14:paraId="0DE815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(5)参加政府采购活动前三年内，在经营活动中没有重大违法记录；</w:t>
      </w:r>
    </w:p>
    <w:p w14:paraId="113D6D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(6)政府采购法律法规相关规定的其他条件。</w:t>
      </w:r>
    </w:p>
    <w:p w14:paraId="07FAD2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　其他特定资格条件。(详见投标人须知前附表)</w:t>
      </w:r>
    </w:p>
    <w:p w14:paraId="535BB78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　供应商存在下列情形之一的不得参加投标：</w:t>
      </w:r>
    </w:p>
    <w:p w14:paraId="142CA78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589326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3.2.2因违法经营受到刑事处罚或者责令停产停业、吊销许可证或者执照、较大数额罚款等行政处罚，或者存在财政部门认定的其他重大违法记录，以及在财政部门禁止参加政府采购活动期限以内的。</w:t>
      </w:r>
    </w:p>
    <w:p w14:paraId="1B8CC20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4.投标费用</w:t>
      </w:r>
    </w:p>
    <w:p w14:paraId="13AD0C2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　投标人应自行承担所有参与投标的相关费用，不论投标的结果如何，采购人或者采购代理机构均无义务和责任承担这些费用。</w:t>
      </w:r>
    </w:p>
    <w:p w14:paraId="4DB725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★5.授权委托</w:t>
      </w:r>
    </w:p>
    <w:p w14:paraId="6540EB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供应商代表为供应商法定代表人的，应提供法定代表人身份证明。供应商代表不是供应商法定代表人的，应提供法定代表人授权书，并附授权代表的身份证明。</w:t>
      </w:r>
    </w:p>
    <w:p w14:paraId="2485ED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6.联合体投标</w:t>
      </w:r>
    </w:p>
    <w:p w14:paraId="29DD53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　本项目是否接受联合体形式参与详见投标人须知前附表。</w:t>
      </w:r>
    </w:p>
    <w:p w14:paraId="50598BA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　供应商为联合体形式的，应遵守以下规定：</w:t>
      </w:r>
    </w:p>
    <w:p w14:paraId="4585BA2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(1)联合体各方必须签订联合体协议书，明确联合体牵头人和各方权利、义务及分工、合同工作量比例；</w:t>
      </w:r>
    </w:p>
    <w:p w14:paraId="6CA32D2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(2)联合体各方均应当符合投标人须知前附表规定的供应商基本资格条件；</w:t>
      </w:r>
    </w:p>
    <w:p w14:paraId="70279D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(3)除另有规定外，联合体各方中至少有一方应当符合投标须知前附表规定的供应商特定资格条件；</w:t>
      </w:r>
    </w:p>
    <w:p w14:paraId="1F7366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(4)联合体中有同类资质的供应商按照联合体分工承担相同工作的，应当按照资质等级较低的供应商确定资质等级；</w:t>
      </w:r>
    </w:p>
    <w:p w14:paraId="75AB0D9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(5)联合体各方不得再单独或与其他供应商组成新的联合体参加同一项目的采购活动。</w:t>
      </w:r>
    </w:p>
    <w:p w14:paraId="21A84A8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7.项目现场考察</w:t>
      </w:r>
    </w:p>
    <w:p w14:paraId="1DE48E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　本项目是否组织现场考察详见投标人须知前附表。</w:t>
      </w:r>
    </w:p>
    <w:p w14:paraId="11F1DF7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　供应商应按投标人须知前附表中规定的时间及地点，对采购项目现场和周围环境进行考察。供应商未在指定时间进行考察的，采购人不再另行组织。</w:t>
      </w:r>
    </w:p>
    <w:p w14:paraId="502FFCF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　考察现场的费用由供应商自己承担，考察期间所发生的人身伤害及财产损失由供应商自己负责。</w:t>
      </w:r>
    </w:p>
    <w:p w14:paraId="22B8C55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　采购人不对供应商据此而做出的推论、理解和结论负责。一旦中标，供应商不得以任何借口，提出额外补偿，或延长合同期限的要求。</w:t>
      </w:r>
    </w:p>
    <w:p w14:paraId="34F51A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8.采购进口产品</w:t>
      </w:r>
    </w:p>
    <w:p w14:paraId="55AEBD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　本项目是否采购进口产品及相关要求见投标人须知前附表。</w:t>
      </w:r>
    </w:p>
    <w:p w14:paraId="600DBD4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9.政策与其他规定</w:t>
      </w:r>
    </w:p>
    <w:p w14:paraId="2EC5DD7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　对列入最新一期节能清单(非强制类)、环保清单内的产品，分别予以相应的加分或价格扣除；对于同时列入“两个清单”的产品，优先于只获得其中一项认证的产品。本项目的详细要求见投标人须知前附表。</w:t>
      </w:r>
    </w:p>
    <w:p w14:paraId="03CA255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供应商享受支持中小企业发展政策优惠的，可用扣除后的最后报价参与价格比较。本项目价格扣除比例及相关要求见投标人须知前附表。</w:t>
      </w:r>
    </w:p>
    <w:p w14:paraId="46D071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监狱企业、残疾人就业企业视同小型、微型企业，享受促进中小企业发展政策优惠，可用扣除后的最后报价参与价格比较。本项目价格扣除比例及相关要求见</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须知前附表。</w:t>
      </w:r>
    </w:p>
    <w:p w14:paraId="5EB63BD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其他法律法规强制性规定或扶持政策。本项目的详细要求见投标人须知前附表。</w:t>
      </w:r>
    </w:p>
    <w:p w14:paraId="5E7463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二、招标文件</w:t>
      </w:r>
    </w:p>
    <w:p w14:paraId="62B33F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10.招标文件的构成</w:t>
      </w:r>
    </w:p>
    <w:p w14:paraId="0F44308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10.1　招标文件各章节的内容如下：</w:t>
      </w:r>
    </w:p>
    <w:p w14:paraId="3670563E">
      <w:pPr>
        <w:pStyle w:val="12"/>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第一章　</w:t>
      </w:r>
      <w:r>
        <w:rPr>
          <w:rFonts w:hint="eastAsia" w:ascii="宋体" w:hAnsi="宋体" w:eastAsia="宋体" w:cs="宋体"/>
          <w:color w:val="000000" w:themeColor="text1"/>
          <w:highlight w:val="none"/>
          <w:lang w:val="en-US" w:eastAsia="zh-CN"/>
          <w14:textFill>
            <w14:solidFill>
              <w14:schemeClr w14:val="tx1"/>
            </w14:solidFill>
          </w14:textFill>
        </w:rPr>
        <w:t>招标公告</w:t>
      </w:r>
    </w:p>
    <w:p w14:paraId="1FF0E2F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第二章　投标人须知</w:t>
      </w:r>
    </w:p>
    <w:p w14:paraId="2E0A374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第三章　评标方法及标准</w:t>
      </w:r>
    </w:p>
    <w:p w14:paraId="2252EFD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拟签订的合同文本</w:t>
      </w:r>
    </w:p>
    <w:p w14:paraId="017BB6B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第五章　投标文件格式</w:t>
      </w:r>
    </w:p>
    <w:p w14:paraId="6F02F24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第六章　项目需求</w:t>
      </w:r>
    </w:p>
    <w:p w14:paraId="709915FD">
      <w:pPr>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10.2　投标须知前附表规定的提交投标文件截止时间前，对投标文件进行澄清或者修改的内容，为招标文件的组成部分。</w:t>
      </w:r>
    </w:p>
    <w:p w14:paraId="4AB6F587">
      <w:pPr>
        <w:pStyle w:val="12"/>
        <w:spacing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投标人应仔细阅读招标文件的全部内容，按照招标文件要求编制投标文件。任何对招标文件的忽略或误解，不能作为投标文件存在缺陷或瑕疵的理由，其风险由投标人承担。</w:t>
      </w:r>
    </w:p>
    <w:p w14:paraId="0C3254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11.招标文件的澄清与修改</w:t>
      </w:r>
    </w:p>
    <w:p w14:paraId="3390A40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2CEBD0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　如果澄清或者修改时间距本章投标人须知前附表规定的投标截止时间不足15日，将相应顺延提交投标文件的截止时间，澄清或者修改时间具体见投标人须知前附表。</w:t>
      </w:r>
    </w:p>
    <w:p w14:paraId="506DF25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　澄清或者修改内容为招标文件的组成部分，对所有领取了招标文件的潜在投标人均具有约束力。</w:t>
      </w:r>
    </w:p>
    <w:p w14:paraId="7B2348B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12.偏离</w:t>
      </w:r>
    </w:p>
    <w:p w14:paraId="1436E6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　本条所称偏离为投标文件对招标文件的偏离，即不满足或不响应招标文件的要求。</w:t>
      </w:r>
    </w:p>
    <w:p w14:paraId="7502D38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　除法律、法规和规章规定外，招标文件中用“拒绝”“不接受”“无效”“不得”“必须”“应当”等文字规定或标注“★”符号的条款为实质性要求条款(即重要条款)，对其中任何一条的偏离，在评标时将其视为无效投标。</w:t>
      </w:r>
    </w:p>
    <w:p w14:paraId="3CF1A0C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三、投标文件</w:t>
      </w:r>
    </w:p>
    <w:p w14:paraId="070DBB1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　一般要求</w:t>
      </w:r>
    </w:p>
    <w:p w14:paraId="063C00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　投标人应仔细阅读招标文件的所有内容，按招标文件的要求编制投标文件，并保证所提供的全部资料的真实性，以使其投标文件对招标文件做出实质性的响应。</w:t>
      </w:r>
    </w:p>
    <w:p w14:paraId="30AEBF7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　投标人提交的投标文件及投标人与采购人或采购代理机构、评标委员会就有关投标的所有来往函电必须使用中文。投标人可以提交其他语言的资料，但应附有中文注释，有差异时以中文为准。</w:t>
      </w:r>
    </w:p>
    <w:p w14:paraId="6D69999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13.3　除技术要求另有规定外，本文件所要求使用的计量单位均采用国家法定的度、量、衡标准单位计量。未列明时亦默认为我国法定计量单位。</w:t>
      </w:r>
    </w:p>
    <w:p w14:paraId="4A0A91B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13.4　供应商应按招标文件中提供的投标文件格式填写。</w:t>
      </w:r>
    </w:p>
    <w:p w14:paraId="08A8D8D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13.5　投标文件应采用书面形式，招标文件中要求提供电子版的，必须按要求提供。</w:t>
      </w:r>
    </w:p>
    <w:p w14:paraId="3EE4554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14.投标文件的组成(采购人可根据项目实际情况增加★条款)</w:t>
      </w:r>
    </w:p>
    <w:p w14:paraId="56428DC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　投标文件包括但不限于下列内容</w:t>
      </w:r>
    </w:p>
    <w:p w14:paraId="0C989B6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14.1.1　价格及商务部分：</w:t>
      </w:r>
    </w:p>
    <w:p w14:paraId="52FF2531">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_Toc11810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  投标书</w:t>
      </w:r>
      <w:r>
        <w:rPr>
          <w:rFonts w:hint="eastAsia" w:ascii="宋体" w:hAnsi="宋体" w:eastAsia="宋体" w:cs="宋体"/>
          <w:color w:val="000000" w:themeColor="text1"/>
          <w:highlight w:val="none"/>
          <w14:textFill>
            <w14:solidFill>
              <w14:schemeClr w14:val="tx1"/>
            </w14:solidFill>
          </w14:textFill>
        </w:rPr>
        <w:fldChar w:fldCharType="end"/>
      </w:r>
    </w:p>
    <w:p w14:paraId="5B680B2A">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_Toc23858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  投标一览表</w:t>
      </w:r>
      <w:r>
        <w:rPr>
          <w:rFonts w:hint="eastAsia" w:ascii="宋体" w:hAnsi="宋体" w:eastAsia="宋体" w:cs="宋体"/>
          <w:color w:val="000000" w:themeColor="text1"/>
          <w:highlight w:val="none"/>
          <w14:textFill>
            <w14:solidFill>
              <w14:schemeClr w14:val="tx1"/>
            </w14:solidFill>
          </w14:textFill>
        </w:rPr>
        <w:fldChar w:fldCharType="end"/>
      </w:r>
    </w:p>
    <w:p w14:paraId="557EE750">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附件3  投标分项报价表</w:t>
      </w:r>
      <w:r>
        <w:rPr>
          <w:rFonts w:hint="eastAsia" w:ascii="宋体" w:hAnsi="宋体" w:eastAsia="宋体" w:cs="宋体"/>
          <w:color w:val="000000" w:themeColor="text1"/>
          <w:highlight w:val="none"/>
          <w14:textFill>
            <w14:solidFill>
              <w14:schemeClr w14:val="tx1"/>
            </w14:solidFill>
          </w14:textFill>
        </w:rPr>
        <w:fldChar w:fldCharType="end"/>
      </w:r>
    </w:p>
    <w:p w14:paraId="2FB906FF">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_Toc23147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技术</w:t>
      </w:r>
      <w:r>
        <w:rPr>
          <w:rFonts w:hint="eastAsia" w:ascii="宋体" w:hAnsi="宋体" w:eastAsia="宋体" w:cs="宋体"/>
          <w:color w:val="000000" w:themeColor="text1"/>
          <w:szCs w:val="21"/>
          <w:highlight w:val="none"/>
          <w:lang w:val="en-US" w:eastAsia="zh-CN"/>
          <w14:textFill>
            <w14:solidFill>
              <w14:schemeClr w14:val="tx1"/>
            </w14:solidFill>
          </w14:textFill>
        </w:rPr>
        <w:t>条款</w:t>
      </w:r>
      <w:r>
        <w:rPr>
          <w:rFonts w:hint="eastAsia" w:ascii="宋体" w:hAnsi="宋体" w:eastAsia="宋体" w:cs="宋体"/>
          <w:color w:val="000000" w:themeColor="text1"/>
          <w:szCs w:val="21"/>
          <w:highlight w:val="none"/>
          <w14:textFill>
            <w14:solidFill>
              <w14:schemeClr w14:val="tx1"/>
            </w14:solidFill>
          </w14:textFill>
        </w:rPr>
        <w:t>偏离表（格式）</w:t>
      </w:r>
      <w:r>
        <w:rPr>
          <w:rFonts w:hint="eastAsia" w:ascii="宋体" w:hAnsi="宋体" w:eastAsia="宋体" w:cs="宋体"/>
          <w:color w:val="000000" w:themeColor="text1"/>
          <w:highlight w:val="none"/>
          <w14:textFill>
            <w14:solidFill>
              <w14:schemeClr w14:val="tx1"/>
            </w14:solidFill>
          </w14:textFill>
        </w:rPr>
        <w:fldChar w:fldCharType="end"/>
      </w:r>
    </w:p>
    <w:p w14:paraId="6143289F">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_Toc12825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商务条款偏离表（格式）</w:t>
      </w:r>
      <w:r>
        <w:rPr>
          <w:rFonts w:hint="eastAsia" w:ascii="宋体" w:hAnsi="宋体" w:eastAsia="宋体" w:cs="宋体"/>
          <w:color w:val="000000" w:themeColor="text1"/>
          <w:highlight w:val="none"/>
          <w14:textFill>
            <w14:solidFill>
              <w14:schemeClr w14:val="tx1"/>
            </w14:solidFill>
          </w14:textFill>
        </w:rPr>
        <w:fldChar w:fldCharType="end"/>
      </w:r>
    </w:p>
    <w:p w14:paraId="3B931D44">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_Toc17374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资格证明文件（格式）</w:t>
      </w:r>
      <w:r>
        <w:rPr>
          <w:rFonts w:hint="eastAsia" w:ascii="宋体" w:hAnsi="宋体" w:eastAsia="宋体" w:cs="宋体"/>
          <w:color w:val="000000" w:themeColor="text1"/>
          <w:highlight w:val="none"/>
          <w14:textFill>
            <w14:solidFill>
              <w14:schemeClr w14:val="tx1"/>
            </w14:solidFill>
          </w14:textFill>
        </w:rPr>
        <w:fldChar w:fldCharType="end"/>
      </w:r>
    </w:p>
    <w:p w14:paraId="1DBAE4B8">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_Toc29081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法人或者其他组织的营业执照副本复印件或自然人的身份证明复印件</w:t>
      </w:r>
      <w:r>
        <w:rPr>
          <w:rFonts w:hint="eastAsia" w:ascii="宋体" w:hAnsi="宋体" w:eastAsia="宋体" w:cs="宋体"/>
          <w:color w:val="000000" w:themeColor="text1"/>
          <w:highlight w:val="none"/>
          <w14:textFill>
            <w14:solidFill>
              <w14:schemeClr w14:val="tx1"/>
            </w14:solidFill>
          </w14:textFill>
        </w:rPr>
        <w:fldChar w:fldCharType="end"/>
      </w:r>
    </w:p>
    <w:p w14:paraId="53C3EB90">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_Toc30457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附件6-2  具有良好的商业信誉和健全的财务会计制度</w:t>
      </w:r>
      <w:r>
        <w:rPr>
          <w:rFonts w:hint="eastAsia" w:ascii="宋体" w:hAnsi="宋体" w:eastAsia="宋体" w:cs="宋体"/>
          <w:color w:val="000000" w:themeColor="text1"/>
          <w:highlight w:val="none"/>
          <w14:textFill>
            <w14:solidFill>
              <w14:schemeClr w14:val="tx1"/>
            </w14:solidFill>
          </w14:textFill>
        </w:rPr>
        <w:fldChar w:fldCharType="end"/>
      </w:r>
    </w:p>
    <w:p w14:paraId="22886259">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_Toc21524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具有依法缴纳税收和社会保障资金的良好记录（需提供投标截止日前六个月内任一个月的企业纳税证明和社保缴费记录证明）</w:t>
      </w:r>
      <w:r>
        <w:rPr>
          <w:rFonts w:hint="eastAsia" w:ascii="宋体" w:hAnsi="宋体" w:eastAsia="宋体" w:cs="宋体"/>
          <w:color w:val="000000" w:themeColor="text1"/>
          <w:highlight w:val="none"/>
          <w14:textFill>
            <w14:solidFill>
              <w14:schemeClr w14:val="tx1"/>
            </w14:solidFill>
          </w14:textFill>
        </w:rPr>
        <w:fldChar w:fldCharType="end"/>
      </w:r>
    </w:p>
    <w:p w14:paraId="57BEB83A">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_Toc27200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r>
        <w:rPr>
          <w:rFonts w:hint="eastAsia" w:ascii="宋体" w:hAnsi="宋体" w:eastAsia="宋体" w:cs="宋体"/>
          <w:color w:val="000000" w:themeColor="text1"/>
          <w:highlight w:val="none"/>
          <w14:textFill>
            <w14:solidFill>
              <w14:schemeClr w14:val="tx1"/>
            </w14:solidFill>
          </w14:textFill>
        </w:rPr>
        <w:fldChar w:fldCharType="end"/>
      </w:r>
    </w:p>
    <w:p w14:paraId="0758F7E5">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_Toc32692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28"/>
          <w:szCs w:val="21"/>
          <w:highlight w:val="none"/>
          <w14:textFill>
            <w14:solidFill>
              <w14:schemeClr w14:val="tx1"/>
            </w14:solidFill>
          </w14:textFill>
        </w:rPr>
        <w:t xml:space="preserve">  具有履行合同所必需的设备及专业技术能力</w:t>
      </w:r>
      <w:r>
        <w:rPr>
          <w:rFonts w:hint="eastAsia" w:ascii="宋体" w:hAnsi="宋体" w:eastAsia="宋体" w:cs="宋体"/>
          <w:color w:val="000000" w:themeColor="text1"/>
          <w:highlight w:val="none"/>
          <w14:textFill>
            <w14:solidFill>
              <w14:schemeClr w14:val="tx1"/>
            </w14:solidFill>
          </w14:textFill>
        </w:rPr>
        <w:fldChar w:fldCharType="end"/>
      </w:r>
    </w:p>
    <w:p w14:paraId="11FEBD22">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_Toc22048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附件6-6 无不良信用记录承诺函(投标人自行查询适用)</w:t>
      </w:r>
      <w:r>
        <w:rPr>
          <w:rFonts w:hint="eastAsia" w:ascii="宋体" w:hAnsi="宋体" w:eastAsia="宋体" w:cs="宋体"/>
          <w:color w:val="000000" w:themeColor="text1"/>
          <w:highlight w:val="none"/>
          <w14:textFill>
            <w14:solidFill>
              <w14:schemeClr w14:val="tx1"/>
            </w14:solidFill>
          </w14:textFill>
        </w:rPr>
        <w:fldChar w:fldCharType="end"/>
      </w:r>
    </w:p>
    <w:p w14:paraId="5B3804C0">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_Toc29300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法定代表人授权书</w:t>
      </w:r>
      <w:r>
        <w:rPr>
          <w:rFonts w:hint="eastAsia" w:ascii="宋体" w:hAnsi="宋体" w:eastAsia="宋体" w:cs="宋体"/>
          <w:color w:val="000000" w:themeColor="text1"/>
          <w:highlight w:val="none"/>
          <w14:textFill>
            <w14:solidFill>
              <w14:schemeClr w14:val="tx1"/>
            </w14:solidFill>
          </w14:textFill>
        </w:rPr>
        <w:fldChar w:fldCharType="end"/>
      </w:r>
    </w:p>
    <w:p w14:paraId="325F6826">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_Toc21216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 xml:space="preserve">  投标人的资格声明</w:t>
      </w:r>
      <w:r>
        <w:rPr>
          <w:rFonts w:hint="eastAsia" w:ascii="宋体" w:hAnsi="宋体" w:eastAsia="宋体" w:cs="宋体"/>
          <w:color w:val="000000" w:themeColor="text1"/>
          <w:highlight w:val="none"/>
          <w14:textFill>
            <w14:solidFill>
              <w14:schemeClr w14:val="tx1"/>
            </w14:solidFill>
          </w14:textFill>
        </w:rPr>
        <w:fldChar w:fldCharType="end"/>
      </w:r>
    </w:p>
    <w:p w14:paraId="2F4A245E">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_Toc5326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-9  投标人近三年的同类项目情况表</w:t>
      </w:r>
      <w:r>
        <w:rPr>
          <w:rFonts w:hint="eastAsia" w:ascii="宋体" w:hAnsi="宋体" w:eastAsia="宋体" w:cs="宋体"/>
          <w:color w:val="000000" w:themeColor="text1"/>
          <w:highlight w:val="none"/>
          <w14:textFill>
            <w14:solidFill>
              <w14:schemeClr w14:val="tx1"/>
            </w14:solidFill>
          </w14:textFill>
        </w:rPr>
        <w:fldChar w:fldCharType="end"/>
      </w:r>
    </w:p>
    <w:p w14:paraId="73507F04">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_Toc23327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color w:val="000000" w:themeColor="text1"/>
          <w:szCs w:val="21"/>
          <w:highlight w:val="none"/>
          <w14:textFill>
            <w14:solidFill>
              <w14:schemeClr w14:val="tx1"/>
            </w14:solidFill>
          </w14:textFill>
        </w:rPr>
        <w:t>(查询日期自招标公告发布之日后，提供网页打印件加盖公章)</w:t>
      </w:r>
      <w:r>
        <w:rPr>
          <w:rFonts w:hint="eastAsia" w:ascii="宋体" w:hAnsi="宋体" w:eastAsia="宋体" w:cs="宋体"/>
          <w:color w:val="000000" w:themeColor="text1"/>
          <w:highlight w:val="none"/>
          <w14:textFill>
            <w14:solidFill>
              <w14:schemeClr w14:val="tx1"/>
            </w14:solidFill>
          </w14:textFill>
        </w:rPr>
        <w:fldChar w:fldCharType="end"/>
      </w:r>
    </w:p>
    <w:p w14:paraId="4A4E6793">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14:textFill>
            <w14:solidFill>
              <w14:schemeClr w14:val="tx1"/>
            </w14:solidFill>
          </w14:textFill>
        </w:rPr>
        <w:fldChar w:fldCharType="end"/>
      </w:r>
    </w:p>
    <w:p w14:paraId="1BD063E6">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2反商业贿赂承诺书</w:t>
      </w:r>
    </w:p>
    <w:p w14:paraId="1264AED0">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3 </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招标文件要求的其他资格证明文件</w:t>
      </w:r>
      <w:r>
        <w:rPr>
          <w:rFonts w:hint="eastAsia" w:ascii="宋体" w:hAnsi="宋体" w:eastAsia="宋体" w:cs="宋体"/>
          <w:color w:val="000000" w:themeColor="text1"/>
          <w:highlight w:val="none"/>
          <w14:textFill>
            <w14:solidFill>
              <w14:schemeClr w14:val="tx1"/>
            </w14:solidFill>
          </w14:textFill>
        </w:rPr>
        <w:fldChar w:fldCharType="end"/>
      </w:r>
    </w:p>
    <w:p w14:paraId="5C774B6B">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_Toc8379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-1 拟投入本项目人员情况表</w:t>
      </w:r>
      <w:r>
        <w:rPr>
          <w:rFonts w:hint="eastAsia" w:ascii="宋体" w:hAnsi="宋体" w:eastAsia="宋体" w:cs="宋体"/>
          <w:color w:val="000000" w:themeColor="text1"/>
          <w:highlight w:val="none"/>
          <w14:textFill>
            <w14:solidFill>
              <w14:schemeClr w14:val="tx1"/>
            </w14:solidFill>
          </w14:textFill>
        </w:rPr>
        <w:fldChar w:fldCharType="end"/>
      </w:r>
    </w:p>
    <w:p w14:paraId="64DD0E3E">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-2 项目实施方案</w:t>
      </w:r>
      <w:r>
        <w:rPr>
          <w:rFonts w:hint="eastAsia" w:ascii="宋体" w:hAnsi="宋体" w:eastAsia="宋体" w:cs="宋体"/>
          <w:color w:val="000000" w:themeColor="text1"/>
          <w:highlight w:val="none"/>
          <w14:textFill>
            <w14:solidFill>
              <w14:schemeClr w14:val="tx1"/>
            </w14:solidFill>
          </w14:textFill>
        </w:rPr>
        <w:fldChar w:fldCharType="end"/>
      </w:r>
    </w:p>
    <w:p w14:paraId="3FF97E0D">
      <w:pPr>
        <w:pStyle w:val="20"/>
        <w:tabs>
          <w:tab w:val="right" w:leader="dot" w:pos="8306"/>
        </w:tabs>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 xml:space="preserve">-3  </w:t>
      </w:r>
      <w:r>
        <w:rPr>
          <w:rFonts w:hint="eastAsia" w:ascii="宋体" w:hAnsi="宋体" w:eastAsia="宋体" w:cs="宋体"/>
          <w:bCs/>
          <w:color w:val="000000" w:themeColor="text1"/>
          <w:szCs w:val="21"/>
          <w:highlight w:val="none"/>
          <w:lang w:val="en-US" w:eastAsia="zh-CN"/>
          <w14:textFill>
            <w14:solidFill>
              <w14:schemeClr w14:val="tx1"/>
            </w14:solidFill>
          </w14:textFill>
        </w:rPr>
        <w:t>保密管理方案</w:t>
      </w:r>
    </w:p>
    <w:p w14:paraId="7DAE42BD">
      <w:pPr>
        <w:pStyle w:val="20"/>
        <w:tabs>
          <w:tab w:val="right" w:leader="dot" w:pos="8306"/>
        </w:tabs>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bCs/>
          <w:color w:val="000000" w:themeColor="text1"/>
          <w:szCs w:val="21"/>
          <w:highlight w:val="none"/>
          <w:lang w:val="en-US" w:eastAsia="zh-CN"/>
          <w14:textFill>
            <w14:solidFill>
              <w14:schemeClr w14:val="tx1"/>
            </w14:solidFill>
          </w14:textFill>
        </w:rPr>
        <w:t>售后服务方案</w:t>
      </w:r>
    </w:p>
    <w:p w14:paraId="17E04F3C">
      <w:pPr>
        <w:pStyle w:val="20"/>
        <w:tabs>
          <w:tab w:val="right" w:leader="dot" w:pos="8306"/>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 xml:space="preserve">  投标保证金缴纳凭证</w:t>
      </w:r>
    </w:p>
    <w:p w14:paraId="61C0FC8B">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_Toc32309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-1 中标服务费承诺书</w:t>
      </w:r>
      <w:r>
        <w:rPr>
          <w:rFonts w:hint="eastAsia" w:ascii="宋体" w:hAnsi="宋体" w:eastAsia="宋体" w:cs="宋体"/>
          <w:color w:val="000000" w:themeColor="text1"/>
          <w:highlight w:val="none"/>
          <w14:textFill>
            <w14:solidFill>
              <w14:schemeClr w14:val="tx1"/>
            </w14:solidFill>
          </w14:textFill>
        </w:rPr>
        <w:fldChar w:fldCharType="end"/>
      </w:r>
    </w:p>
    <w:p w14:paraId="0D577E73">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-2 关于投标保证金的声明</w:t>
      </w:r>
      <w:r>
        <w:rPr>
          <w:rFonts w:hint="eastAsia" w:ascii="宋体" w:hAnsi="宋体" w:eastAsia="宋体" w:cs="宋体"/>
          <w:color w:val="000000" w:themeColor="text1"/>
          <w:highlight w:val="none"/>
          <w14:textFill>
            <w14:solidFill>
              <w14:schemeClr w14:val="tx1"/>
            </w14:solidFill>
          </w14:textFill>
        </w:rPr>
        <w:fldChar w:fldCharType="end"/>
      </w:r>
    </w:p>
    <w:p w14:paraId="4D701DF5">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_Toc26222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-3 开票账户信息</w:t>
      </w:r>
      <w:r>
        <w:rPr>
          <w:rFonts w:hint="eastAsia" w:ascii="宋体" w:hAnsi="宋体" w:eastAsia="宋体" w:cs="宋体"/>
          <w:color w:val="000000" w:themeColor="text1"/>
          <w:highlight w:val="none"/>
          <w14:textFill>
            <w14:solidFill>
              <w14:schemeClr w14:val="tx1"/>
            </w14:solidFill>
          </w14:textFill>
        </w:rPr>
        <w:fldChar w:fldCharType="end"/>
      </w:r>
    </w:p>
    <w:p w14:paraId="10EF72DB">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_Toc29704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 中小企业声明函</w:t>
      </w:r>
      <w:r>
        <w:rPr>
          <w:rFonts w:hint="eastAsia" w:ascii="宋体" w:hAnsi="宋体" w:eastAsia="宋体" w:cs="宋体"/>
          <w:color w:val="000000" w:themeColor="text1"/>
          <w:highlight w:val="none"/>
          <w14:textFill>
            <w14:solidFill>
              <w14:schemeClr w14:val="tx1"/>
            </w14:solidFill>
          </w14:textFill>
        </w:rPr>
        <w:fldChar w:fldCharType="end"/>
      </w:r>
    </w:p>
    <w:p w14:paraId="23FF71B6">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监狱企业声明函</w:t>
      </w:r>
      <w:r>
        <w:rPr>
          <w:rFonts w:hint="eastAsia" w:ascii="宋体" w:hAnsi="宋体" w:eastAsia="宋体" w:cs="宋体"/>
          <w:color w:val="000000" w:themeColor="text1"/>
          <w:highlight w:val="none"/>
          <w14:textFill>
            <w14:solidFill>
              <w14:schemeClr w14:val="tx1"/>
            </w14:solidFill>
          </w14:textFill>
        </w:rPr>
        <w:fldChar w:fldCharType="end"/>
      </w:r>
    </w:p>
    <w:p w14:paraId="20F4D537">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_Toc17654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附件11 残疾人福利性单位声明函（残疾人福利性企业参加的）</w:t>
      </w:r>
      <w:r>
        <w:rPr>
          <w:rFonts w:hint="eastAsia" w:ascii="宋体" w:hAnsi="宋体" w:eastAsia="宋体" w:cs="宋体"/>
          <w:color w:val="000000" w:themeColor="text1"/>
          <w:highlight w:val="none"/>
          <w14:textFill>
            <w14:solidFill>
              <w14:schemeClr w14:val="tx1"/>
            </w14:solidFill>
          </w14:textFill>
        </w:rPr>
        <w:fldChar w:fldCharType="end"/>
      </w:r>
    </w:p>
    <w:p w14:paraId="403D82D7">
      <w:pPr>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附件12 </w:t>
      </w:r>
      <w:r>
        <w:rPr>
          <w:rFonts w:hint="eastAsia" w:ascii="宋体" w:hAnsi="宋体" w:eastAsia="宋体" w:cs="宋体"/>
          <w:color w:val="000000" w:themeColor="text1"/>
          <w:sz w:val="21"/>
          <w:szCs w:val="21"/>
          <w:highlight w:val="none"/>
          <w14:textFill>
            <w14:solidFill>
              <w14:schemeClr w14:val="tx1"/>
            </w14:solidFill>
          </w14:textFill>
        </w:rPr>
        <w:t>其他有利于投标的资料</w:t>
      </w:r>
    </w:p>
    <w:p w14:paraId="379997C6">
      <w:pPr>
        <w:pStyle w:val="12"/>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　投标人须知前附表规定供应商在投标时提供样品的，供应商有以下情形之一的，在投标时将其视为无效响应文件。</w:t>
      </w:r>
    </w:p>
    <w:p w14:paraId="3D6E971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(1)未在投标人须知前附表规定的提交时间、地点提交的；</w:t>
      </w:r>
    </w:p>
    <w:p w14:paraId="22D1A68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(2)供应商提供的样品与投标文件中型号、规格不一致的。</w:t>
      </w:r>
    </w:p>
    <w:p w14:paraId="499FCC3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　在投标过程中，投标人根据评标委员会书面形式要求提供的澄清文件是投标文件的有效组成部分。</w:t>
      </w:r>
    </w:p>
    <w:p w14:paraId="59648AF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　供应商无论中标与否，其投标文件不予退还。</w:t>
      </w:r>
    </w:p>
    <w:p w14:paraId="27D8FD7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15.投标报价</w:t>
      </w:r>
    </w:p>
    <w:p w14:paraId="6F3AD5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15.1　投标人应按招标文件规定的供货及服务要求、责任范围和合同条件以人民币形式进行报价。投标报价应为完税价。</w:t>
      </w:r>
    </w:p>
    <w:p w14:paraId="455124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15.2　投标人必须按开标一览表和分项价格表的内容和格式要求填写各项货物及服务的分项价格和总价。投标人在投标人须知前附表规定的投标文件截止之日前修改开标一览表中的报价的，应同时修改其分项价格表中的报价。</w:t>
      </w:r>
    </w:p>
    <w:p w14:paraId="26652A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　投标人对每种货物及服务只允许有一个报价，不接受可变动性报价、赠送及“零”报价，否则，在评标时将其视为无效投标。</w:t>
      </w:r>
    </w:p>
    <w:p w14:paraId="68DCCF3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　项目有特殊要求的见投标人须知前附表。</w:t>
      </w:r>
    </w:p>
    <w:p w14:paraId="737485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16.投标保证金</w:t>
      </w:r>
    </w:p>
    <w:p w14:paraId="491659C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　本项目是否交纳投标保证金见投标人须知前附表。</w:t>
      </w:r>
    </w:p>
    <w:p w14:paraId="3870F8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16.2　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不超过采购项目预算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为无效投标。</w:t>
      </w:r>
    </w:p>
    <w:p w14:paraId="160A57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16.3　联合体投标的，可以由联合体中的一方或者共同提交投标保证金。以一方名义提交投标保证金的，对联合体各方均具有约束力。</w:t>
      </w:r>
    </w:p>
    <w:p w14:paraId="27DB64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16.4　未中标的投标人的投标保证金，将在中标通知书发出后5个工作日内退还，但因投标人自身原因导致无法及时退还的除外。</w:t>
      </w:r>
    </w:p>
    <w:p w14:paraId="02A6A6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16.5　中标的投标人的投标保证金，将在政府采购合同签订后5个工作日内退还。</w:t>
      </w:r>
    </w:p>
    <w:p w14:paraId="12D6922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16.6　投标人有以下情形之一的，投标保证金可以不予退还：</w:t>
      </w:r>
    </w:p>
    <w:p w14:paraId="596652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在</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须知前附表规定的提交</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文件截止时间后撤回响应文件的；</w:t>
      </w:r>
    </w:p>
    <w:p w14:paraId="5D25D36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在</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文件中提供虚假材料的；</w:t>
      </w:r>
    </w:p>
    <w:p w14:paraId="1B39049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(3)除因不可抗力或</w:t>
      </w:r>
      <w:r>
        <w:rPr>
          <w:rFonts w:hint="eastAsia" w:ascii="宋体" w:hAnsi="宋体" w:eastAsia="宋体" w:cs="宋体"/>
          <w:color w:val="000000" w:themeColor="text1"/>
          <w:highlight w:val="none"/>
          <w:lang w:val="en-US"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文件认可的情形以外，</w:t>
      </w:r>
      <w:r>
        <w:rPr>
          <w:rFonts w:hint="eastAsia" w:ascii="宋体" w:hAnsi="宋体" w:eastAsia="宋体" w:cs="宋体"/>
          <w:color w:val="000000" w:themeColor="text1"/>
          <w:highlight w:val="none"/>
          <w:lang w:val="en-US"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不与采购人签订合同的；</w:t>
      </w:r>
    </w:p>
    <w:p w14:paraId="4B0A2A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与采购人、其他</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或者采购代理机构恶意串通的；</w:t>
      </w:r>
    </w:p>
    <w:p w14:paraId="0421616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件规定的其他情形。</w:t>
      </w:r>
    </w:p>
    <w:p w14:paraId="27E9B30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17.投标有效期</w:t>
      </w:r>
    </w:p>
    <w:p w14:paraId="7297AE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3B8C39C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1CCACBA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18.投标文件的签署和规定</w:t>
      </w:r>
    </w:p>
    <w:p w14:paraId="02A32344">
      <w:pPr>
        <w:pStyle w:val="33"/>
        <w:spacing w:line="240" w:lineRule="auto"/>
        <w:ind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（电子标，本项目适用）</w:t>
      </w:r>
    </w:p>
    <w:p w14:paraId="1CD6842E">
      <w:pPr>
        <w:pStyle w:val="33"/>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18.1电子投标文件使用政采云平台提供的投标文件制作工具以及招标文件要求进行制作编制。投标文件制作时，不同内容按标签提示制作导入，按照招标文件中明确的响应文件目录和格式进行编制，保证目录清晰、内容完整。</w:t>
      </w:r>
    </w:p>
    <w:p w14:paraId="69352394">
      <w:pPr>
        <w:pStyle w:val="33"/>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18.2电子投标文件须使用投标人公章的电子签章以及法定代表人的电子签章。若无电子签章，则视为无效投标。</w:t>
      </w:r>
    </w:p>
    <w:p w14:paraId="523F9CB4">
      <w:pPr>
        <w:pStyle w:val="33"/>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18.3电子招投标文件具有法律效力，与其他形式的招投标文件在内容和格式上等同，若投标文件与招标文件要求不一致，其内容影响中标结果时，责任由投标人自行承担。投标人递交的电子响应文件因投标人自身原因而导致无法导入电子辅助评标系统，该响应文件视为无效投标文件，将导致其投标被拒绝。</w:t>
      </w:r>
    </w:p>
    <w:p w14:paraId="2FBD91D3">
      <w:pPr>
        <w:pStyle w:val="12"/>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18.4电子投标文件制作工具在生成加密响应文件时，同时生成非加密响应文件一份。未加密的电子投标文件由投标人使用光盘制作（投标人须保证启用光盘时能正常读取）。</w:t>
      </w:r>
    </w:p>
    <w:p w14:paraId="57AF9F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19.投标文件的密封和标记</w:t>
      </w:r>
    </w:p>
    <w:p w14:paraId="16E27C52">
      <w:pPr>
        <w:pStyle w:val="12"/>
        <w:ind w:firstLine="422" w:firstLineChars="20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电子标，本项目适用）</w:t>
      </w:r>
    </w:p>
    <w:p w14:paraId="65273A5D">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14:textFill>
            <w14:solidFill>
              <w14:schemeClr w14:val="tx1"/>
            </w14:solidFill>
          </w14:textFill>
        </w:rPr>
        <w:t>应通过电子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文件制作工具严格按</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kern w:val="2"/>
          <w:sz w:val="21"/>
          <w:szCs w:val="21"/>
          <w:highlight w:val="none"/>
          <w14:textFill>
            <w14:solidFill>
              <w14:schemeClr w14:val="tx1"/>
            </w14:solidFill>
          </w14:textFill>
        </w:rPr>
        <w:t>文件要求制作</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文件，在投标截止时间前完成上传经过数字证书电子签章并加密的响应文件（加密和解密须用同一把数字证书）。</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在投标截止时间前，可以对其所递交的响应文件进行修改并重新上传，但以投标截止时间前最后一次上传的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文件为有效响应文件。</w:t>
      </w:r>
    </w:p>
    <w:p w14:paraId="78D84C52">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投标截止时间以政采云中心交易平台显示的时间为准，逾期系统将自动关闭，未完成上传的响应文件视为逾期送达，将被拒绝。</w:t>
      </w:r>
    </w:p>
    <w:p w14:paraId="4D6A396E">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.2未加密的电子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文件光盘应封装在信封中。封口处加盖</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公章，封皮上注明项目编号、包号、项目名称、</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名称，并注明“未加密的电子响应文件”字样。</w:t>
      </w:r>
    </w:p>
    <w:p w14:paraId="5EB80084">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认为有必要提交的其他资料请于投标截止时间前一并提交。</w:t>
      </w:r>
    </w:p>
    <w:p w14:paraId="1681E53E">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.3如果</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未按上述要求密封及加写标记，采购代理机构对响应文件的误投和提前启封概不负责。对由此造成提前开封的响应文件，采购代理机构有权予以拒绝，并退回投标人。</w:t>
      </w:r>
    </w:p>
    <w:p w14:paraId="286B5EE3">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.4是否采用不见面开标方式详见</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投标标</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须知前附表</w:t>
      </w:r>
      <w:r>
        <w:rPr>
          <w:rFonts w:hint="eastAsia" w:ascii="宋体" w:hAnsi="宋体" w:eastAsia="宋体" w:cs="宋体"/>
          <w:color w:val="000000" w:themeColor="text1"/>
          <w:kern w:val="2"/>
          <w:sz w:val="21"/>
          <w:szCs w:val="21"/>
          <w:highlight w:val="none"/>
          <w14:textFill>
            <w14:solidFill>
              <w14:schemeClr w14:val="tx1"/>
            </w14:solidFill>
          </w14:textFill>
        </w:rPr>
        <w:t>，若本项目采用不见面开标，无需提供电子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文件U盘、纸质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w:t>
      </w:r>
    </w:p>
    <w:p w14:paraId="7D2033B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20.投标文件的递交</w:t>
      </w:r>
    </w:p>
    <w:p w14:paraId="0290E14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　投标文件应在本章投标人须知前附表规定的投标截止时间之前密封送到投标人须知前附表指定的地点。</w:t>
      </w:r>
    </w:p>
    <w:p w14:paraId="4F2C77B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采购人或者采购代理机构收到投标文件后，应当如实记载投标文件的送达时间和密封情况，签收保存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电子标采用系统方式）</w:t>
      </w:r>
      <w:r>
        <w:rPr>
          <w:rFonts w:hint="eastAsia" w:ascii="宋体" w:hAnsi="宋体" w:eastAsia="宋体" w:cs="宋体"/>
          <w:color w:val="000000" w:themeColor="text1"/>
          <w:highlight w:val="none"/>
          <w14:textFill>
            <w14:solidFill>
              <w14:schemeClr w14:val="tx1"/>
            </w14:solidFill>
          </w14:textFill>
        </w:rPr>
        <w:t>。任何单位和个人不得在开标前开启投标文件。</w:t>
      </w:r>
    </w:p>
    <w:p w14:paraId="60F42B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　逾期送达或者未按照招标文件要求密封的投标文件，采购人、采购代理机构应当拒收。</w:t>
      </w:r>
    </w:p>
    <w:p w14:paraId="152976A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21.投标文件的修改和撤回</w:t>
      </w:r>
    </w:p>
    <w:p w14:paraId="517D7B0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　在投标人须知前附表规定的投标截止时间前，投标人可以书面形式修改、补充或撤回已递交的投标文件，但应以书面形式通知采购人或采购代理机构。</w:t>
      </w:r>
    </w:p>
    <w:p w14:paraId="3A3E496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　修改、补充的内容为投标文件的组成部分。修改、补充的投标文件应按本章第18、19、20项规定编制、签署、密封、标记和递交，并标明“修改、补充”字样。</w:t>
      </w:r>
    </w:p>
    <w:p w14:paraId="3398B49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　投标人按本章21.1款撤回投标文件的，采购人或采购代理机构自收到投标人书面撤回通知之日起5个工作日内，退还已收取的投标保证金，但因投标人自身原因导致无法及时退还的除外。</w:t>
      </w:r>
    </w:p>
    <w:p w14:paraId="776D5DA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21.4　投标人在投标有效期内不得修改、撤销其投标文件。</w:t>
      </w:r>
    </w:p>
    <w:p w14:paraId="2BA5CA0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四、开标和评标</w:t>
      </w:r>
    </w:p>
    <w:p w14:paraId="2D3273A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22.开标</w:t>
      </w:r>
    </w:p>
    <w:p w14:paraId="5EC7EA5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　采购人或采购代理机构在投标人须知前附表规定的开标时间和开标地点组织公开开标，邀请投标人参加。评标委员会成员不得参加开标活动。投标人不足3家的，不得开标。</w:t>
      </w:r>
    </w:p>
    <w:p w14:paraId="0EDA346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0FFEBB6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　未宣读的投标价格等实质性内容，评标时不予承认。</w:t>
      </w:r>
    </w:p>
    <w:p w14:paraId="628664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　投标人代表及有关人员在开标记录上签字确认。</w:t>
      </w:r>
    </w:p>
    <w:p w14:paraId="4ECAA7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7831AC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★23.资格审查</w:t>
      </w:r>
    </w:p>
    <w:p w14:paraId="24716A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23.1　公开招标采购项目开标结束后，采购人或者采购代理机构应当依法对投标人的资格进行审查。合格投标人不足3家的，不得评标。</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858"/>
      </w:tblGrid>
      <w:tr w14:paraId="27F8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4" w:type="dxa"/>
            <w:vAlign w:val="center"/>
          </w:tcPr>
          <w:p w14:paraId="1F7A5DE4">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7858" w:type="dxa"/>
            <w:vAlign w:val="center"/>
          </w:tcPr>
          <w:p w14:paraId="0BC3D40E">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审查内容</w:t>
            </w:r>
          </w:p>
        </w:tc>
      </w:tr>
      <w:tr w14:paraId="426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4" w:type="dxa"/>
            <w:vAlign w:val="center"/>
          </w:tcPr>
          <w:p w14:paraId="75BE08E2">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p>
        </w:tc>
        <w:tc>
          <w:tcPr>
            <w:tcW w:w="7858" w:type="dxa"/>
            <w:vAlign w:val="center"/>
          </w:tcPr>
          <w:p w14:paraId="186D62AD">
            <w:pPr>
              <w:pStyle w:val="29"/>
              <w:spacing w:line="24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《中华人民共和国政府采购法》第二十二条应当具备的条件；并在</w:t>
            </w:r>
            <w:r>
              <w:rPr>
                <w:rFonts w:hint="eastAsia"/>
                <w:color w:val="000000" w:themeColor="text1"/>
                <w:sz w:val="21"/>
                <w:szCs w:val="21"/>
                <w:highlight w:val="none"/>
                <w:lang w:val="en-US" w:eastAsia="zh-CN"/>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文件中提供下列材料：</w:t>
            </w:r>
          </w:p>
          <w:p w14:paraId="1E19880F">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（1）具有独立承担民事责任的能力；</w:t>
            </w:r>
          </w:p>
          <w:p w14:paraId="0D3A6203">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企业法人、事业法人、其他组织或者自然人，企业法人应提供统一社会信用代码的营业执照；事业法人应提供事业单位法人证、组织机构代码证等证明文件；其他组织应提供合法证明文件；自然人提供身份证明文件。） </w:t>
            </w:r>
          </w:p>
          <w:p w14:paraId="7180123E">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（2）具有良好的商业信誉和健全的财务会计制度；</w:t>
            </w:r>
          </w:p>
          <w:p w14:paraId="62913E7D">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（需提供2024年度或2025年度经会计师事务所出具的财务审计报告或近3个月其基本开户银行出具的资信证明）</w:t>
            </w:r>
          </w:p>
          <w:p w14:paraId="61D1886D">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（3）具有依法缴纳税收和社会保障资金的良好记录；</w:t>
            </w:r>
          </w:p>
          <w:p w14:paraId="208D0DBA">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（需提供投标截止日前六个月内任一个月的企业纳税证明和社保缴费记录证明，无需纳税或免税的需提供相应证明材料，依法不需要交纳社会保障资金的投标人，应提供相应证明材料）</w:t>
            </w:r>
          </w:p>
          <w:p w14:paraId="4EFA22F5">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（4）参加政府采购活动前三年内（成立不足三年的从成立之日起算），在经营活动中没有重大违法记录（需提供加盖公章的声明书）； </w:t>
            </w:r>
          </w:p>
          <w:p w14:paraId="35100743">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（5）具有履行合同所必需的设备及专业技术能力；</w:t>
            </w:r>
          </w:p>
          <w:p w14:paraId="48E9C92B">
            <w:pPr>
              <w:spacing w:line="260" w:lineRule="exac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（提供具有履行合同所必需的设备及专业技术能力相关证明材料或承诺书）</w:t>
            </w:r>
          </w:p>
        </w:tc>
      </w:tr>
      <w:tr w14:paraId="694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4" w:type="dxa"/>
            <w:vAlign w:val="center"/>
          </w:tcPr>
          <w:p w14:paraId="14165525">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w:t>
            </w:r>
          </w:p>
        </w:tc>
        <w:tc>
          <w:tcPr>
            <w:tcW w:w="7858" w:type="dxa"/>
            <w:vAlign w:val="center"/>
          </w:tcPr>
          <w:p w14:paraId="100C8CAC">
            <w:pPr>
              <w:spacing w:line="260" w:lineRule="exac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法定代表人身份证明及授权委托书</w:t>
            </w:r>
            <w:r>
              <w:rPr>
                <w:rFonts w:hint="eastAsia" w:ascii="宋体" w:hAnsi="宋体" w:eastAsia="宋体" w:cs="宋体"/>
                <w:bCs/>
                <w:color w:val="000000" w:themeColor="text1"/>
                <w:sz w:val="21"/>
                <w:szCs w:val="21"/>
                <w:highlight w:val="none"/>
                <w14:textFill>
                  <w14:solidFill>
                    <w14:schemeClr w14:val="tx1"/>
                  </w14:solidFill>
                </w14:textFill>
              </w:rPr>
              <w:t>（法人组织提供授权委托书、其他组织提供负责人授权书、自然人提供身份证明文件）</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tc>
      </w:tr>
      <w:tr w14:paraId="3FB4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4" w:type="dxa"/>
            <w:vAlign w:val="center"/>
          </w:tcPr>
          <w:p w14:paraId="2DC91B7B">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3</w:t>
            </w:r>
          </w:p>
        </w:tc>
        <w:tc>
          <w:tcPr>
            <w:tcW w:w="7858" w:type="dxa"/>
            <w:vAlign w:val="center"/>
          </w:tcPr>
          <w:p w14:paraId="378E5A2B">
            <w:pPr>
              <w:tabs>
                <w:tab w:val="left" w:pos="5309"/>
              </w:tabs>
              <w:adjustRightInd w:val="0"/>
              <w:snapToGrid w:val="0"/>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（投标人自行查询信用记录，如实提供《无不良信用记录承诺》并加盖供应商公章。联合体参加投标的，所有联合体成员均须加盖公章。）</w:t>
            </w:r>
          </w:p>
        </w:tc>
      </w:tr>
      <w:tr w14:paraId="2CB9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4" w:type="dxa"/>
            <w:vAlign w:val="center"/>
          </w:tcPr>
          <w:p w14:paraId="09B13330">
            <w:pPr>
              <w:spacing w:line="260" w:lineRule="exact"/>
              <w:jc w:val="cente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p>
        </w:tc>
        <w:tc>
          <w:tcPr>
            <w:tcW w:w="7858" w:type="dxa"/>
            <w:vAlign w:val="center"/>
          </w:tcPr>
          <w:p w14:paraId="2B2AE299">
            <w:pPr>
              <w:tabs>
                <w:tab w:val="left" w:pos="5309"/>
              </w:tabs>
              <w:adjustRightInd w:val="0"/>
              <w:snapToGrid w:val="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具有有效的《中华人民共和国基础电信业务经营许可证》。</w:t>
            </w:r>
          </w:p>
        </w:tc>
      </w:tr>
      <w:tr w14:paraId="1094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64" w:type="dxa"/>
            <w:vAlign w:val="center"/>
          </w:tcPr>
          <w:p w14:paraId="2E017F26">
            <w:pPr>
              <w:spacing w:line="260" w:lineRule="exact"/>
              <w:jc w:val="cente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5</w:t>
            </w:r>
          </w:p>
        </w:tc>
        <w:tc>
          <w:tcPr>
            <w:tcW w:w="7858" w:type="dxa"/>
            <w:shd w:val="clear" w:color="auto" w:fill="auto"/>
            <w:vAlign w:val="center"/>
          </w:tcPr>
          <w:p w14:paraId="69CF1C81">
            <w:pPr>
              <w:spacing w:line="240" w:lineRule="auto"/>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6F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 w:type="dxa"/>
            <w:vAlign w:val="center"/>
          </w:tcPr>
          <w:p w14:paraId="6E8B4B41">
            <w:pPr>
              <w:spacing w:line="260" w:lineRule="exact"/>
              <w:jc w:val="center"/>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w:t>
            </w:r>
          </w:p>
        </w:tc>
        <w:tc>
          <w:tcPr>
            <w:tcW w:w="7858" w:type="dxa"/>
            <w:shd w:val="clear" w:color="auto" w:fill="auto"/>
            <w:vAlign w:val="center"/>
          </w:tcPr>
          <w:p w14:paraId="3B44B3DD">
            <w:pPr>
              <w:spacing w:line="260" w:lineRule="exact"/>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规定要求交</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6127722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1.资格审查合格的打“√”，不合格的打“×”。</w:t>
      </w:r>
    </w:p>
    <w:p w14:paraId="638B8C6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2.资格审查结果，通过打“√”，不通过的打“×”。</w:t>
      </w:r>
    </w:p>
    <w:p w14:paraId="0841122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3.请填写不通过资格审查的供应商的原因。</w:t>
      </w:r>
    </w:p>
    <w:p w14:paraId="1CAF8772">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D77FC6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23.2　已经进行资格预审的，可以不再对供应商资格进行审查，资格预审合格的供应商在评审阶段资格发生变化的，应当通知采购人和采购代理机构。</w:t>
      </w:r>
    </w:p>
    <w:p w14:paraId="66B968F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24.评标委员会</w:t>
      </w:r>
    </w:p>
    <w:p w14:paraId="7B4FC00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评标由采购人或采购代理机构依法组建的评标委员会负责。评标委员会由政府采购评审专家和采购人代表组成。</w:t>
      </w:r>
    </w:p>
    <w:p w14:paraId="172A0FF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25.评标方法和标准</w:t>
      </w:r>
    </w:p>
    <w:p w14:paraId="78713B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本项目评标方法和标准见招标文件第三章。</w:t>
      </w:r>
    </w:p>
    <w:p w14:paraId="3C56C44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26.评标程序</w:t>
      </w:r>
    </w:p>
    <w:p w14:paraId="14DEE6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　投标文件的符合性审查。</w:t>
      </w:r>
    </w:p>
    <w:p w14:paraId="1EF7E79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26.1.1评标委员会应当对符合资格的投标人的投标文件进行符合性审查，以确定其是否满足招标文件的实质性要求。</w:t>
      </w:r>
    </w:p>
    <w:p w14:paraId="2A187E5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26.1.2　有</w:t>
      </w:r>
      <w:r>
        <w:rPr>
          <w:rFonts w:hint="eastAsia" w:ascii="宋体" w:hAnsi="宋体" w:eastAsia="宋体" w:cs="宋体"/>
          <w:color w:val="000000" w:themeColor="text1"/>
          <w:highlight w:val="none"/>
          <w:lang w:val="en-US" w:eastAsia="zh-CN"/>
          <w14:textFill>
            <w14:solidFill>
              <w14:schemeClr w14:val="tx1"/>
            </w14:solidFill>
          </w14:textFill>
        </w:rPr>
        <w:t>不符合</w:t>
      </w:r>
      <w:r>
        <w:rPr>
          <w:rFonts w:hint="eastAsia" w:ascii="宋体" w:hAnsi="宋体" w:eastAsia="宋体" w:cs="宋体"/>
          <w:color w:val="000000" w:themeColor="text1"/>
          <w:highlight w:val="none"/>
          <w14:textFill>
            <w14:solidFill>
              <w14:schemeClr w14:val="tx1"/>
            </w14:solidFill>
          </w14:textFill>
        </w:rPr>
        <w:t>下列情形之一的，应在符合性审查时按照无效投标处理：</w:t>
      </w:r>
    </w:p>
    <w:tbl>
      <w:tblPr>
        <w:tblStyle w:val="2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22"/>
        <w:gridCol w:w="8511"/>
      </w:tblGrid>
      <w:tr w14:paraId="5AAF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C3873B3">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序号</w:t>
            </w:r>
          </w:p>
        </w:tc>
        <w:tc>
          <w:tcPr>
            <w:tcW w:w="4608" w:type="pct"/>
            <w:tcBorders>
              <w:top w:val="single" w:color="auto" w:sz="4" w:space="0"/>
              <w:left w:val="single" w:color="auto" w:sz="4" w:space="0"/>
              <w:bottom w:val="single" w:color="auto" w:sz="4" w:space="0"/>
            </w:tcBorders>
            <w:noWrap w:val="0"/>
            <w:vAlign w:val="center"/>
          </w:tcPr>
          <w:p w14:paraId="28D66DB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审查内容</w:t>
            </w:r>
          </w:p>
        </w:tc>
      </w:tr>
      <w:tr w14:paraId="54DE7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A471C7D">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w:t>
            </w:r>
          </w:p>
        </w:tc>
        <w:tc>
          <w:tcPr>
            <w:tcW w:w="7705" w:type="dxa"/>
            <w:tcBorders>
              <w:top w:val="single" w:color="auto" w:sz="4" w:space="0"/>
              <w:left w:val="single" w:color="auto" w:sz="4" w:space="0"/>
              <w:bottom w:val="single" w:color="auto" w:sz="4" w:space="0"/>
            </w:tcBorders>
            <w:noWrap w:val="0"/>
            <w:vAlign w:val="center"/>
          </w:tcPr>
          <w:p w14:paraId="65A461AD">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按照</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文件规定要求密封、签署、盖章的；</w:t>
            </w:r>
          </w:p>
        </w:tc>
      </w:tr>
      <w:tr w14:paraId="3D55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D95F0B4">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2</w:t>
            </w:r>
          </w:p>
        </w:tc>
        <w:tc>
          <w:tcPr>
            <w:tcW w:w="7705" w:type="dxa"/>
            <w:tcBorders>
              <w:top w:val="single" w:color="auto" w:sz="4" w:space="0"/>
              <w:left w:val="single" w:color="auto" w:sz="4" w:space="0"/>
              <w:bottom w:val="single" w:color="auto" w:sz="4" w:space="0"/>
            </w:tcBorders>
            <w:noWrap w:val="0"/>
            <w:vAlign w:val="center"/>
          </w:tcPr>
          <w:p w14:paraId="64426F9C">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按照</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文件要求递交完整的响应文件</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ACED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9E3444B">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3</w:t>
            </w:r>
          </w:p>
        </w:tc>
        <w:tc>
          <w:tcPr>
            <w:tcW w:w="7705" w:type="dxa"/>
            <w:tcBorders>
              <w:top w:val="single" w:color="auto" w:sz="4" w:space="0"/>
              <w:left w:val="single" w:color="auto" w:sz="4" w:space="0"/>
              <w:bottom w:val="single" w:color="auto" w:sz="4" w:space="0"/>
            </w:tcBorders>
            <w:noWrap w:val="0"/>
            <w:vAlign w:val="center"/>
          </w:tcPr>
          <w:p w14:paraId="06CA6DCA">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有法定代表人(负责人)签字或盖章或签字人已有法定代表人(负责人)有效授权</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6116E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9B70E36">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4</w:t>
            </w:r>
          </w:p>
        </w:tc>
        <w:tc>
          <w:tcPr>
            <w:tcW w:w="7705" w:type="dxa"/>
            <w:tcBorders>
              <w:top w:val="single" w:color="auto" w:sz="4" w:space="0"/>
              <w:left w:val="single" w:color="auto" w:sz="4" w:space="0"/>
              <w:bottom w:val="single" w:color="auto" w:sz="4" w:space="0"/>
            </w:tcBorders>
            <w:noWrap w:val="0"/>
            <w:vAlign w:val="center"/>
          </w:tcPr>
          <w:p w14:paraId="7BB87EE0">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没有出现串通投标的情况</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37152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21AA6043">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5</w:t>
            </w:r>
          </w:p>
        </w:tc>
        <w:tc>
          <w:tcPr>
            <w:tcW w:w="7705" w:type="dxa"/>
            <w:tcBorders>
              <w:top w:val="single" w:color="auto" w:sz="4" w:space="0"/>
              <w:left w:val="single" w:color="auto" w:sz="4" w:space="0"/>
              <w:bottom w:val="single" w:color="auto" w:sz="4" w:space="0"/>
            </w:tcBorders>
            <w:noWrap w:val="0"/>
            <w:vAlign w:val="center"/>
          </w:tcPr>
          <w:p w14:paraId="01A8F54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实质性响应</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文件标示“★”符号的条款</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38B7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0802C2A">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6</w:t>
            </w:r>
          </w:p>
        </w:tc>
        <w:tc>
          <w:tcPr>
            <w:tcW w:w="7705" w:type="dxa"/>
            <w:tcBorders>
              <w:top w:val="single" w:color="auto" w:sz="4" w:space="0"/>
              <w:left w:val="single" w:color="auto" w:sz="4" w:space="0"/>
              <w:bottom w:val="single" w:color="auto" w:sz="4" w:space="0"/>
            </w:tcBorders>
            <w:noWrap w:val="0"/>
            <w:vAlign w:val="center"/>
          </w:tcPr>
          <w:p w14:paraId="31F6919E">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报价没有缺漏项目</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4C77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6769E101">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7</w:t>
            </w:r>
          </w:p>
        </w:tc>
        <w:tc>
          <w:tcPr>
            <w:tcW w:w="7705" w:type="dxa"/>
            <w:tcBorders>
              <w:top w:val="single" w:color="auto" w:sz="4" w:space="0"/>
              <w:left w:val="single" w:color="auto" w:sz="4" w:space="0"/>
              <w:bottom w:val="single" w:color="auto" w:sz="4" w:space="0"/>
            </w:tcBorders>
            <w:noWrap w:val="0"/>
            <w:vAlign w:val="center"/>
          </w:tcPr>
          <w:p w14:paraId="6494B563">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报价未超过预算价或最高限价；</w:t>
            </w:r>
          </w:p>
        </w:tc>
      </w:tr>
      <w:tr w14:paraId="57782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328D6A2">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8</w:t>
            </w:r>
          </w:p>
        </w:tc>
        <w:tc>
          <w:tcPr>
            <w:tcW w:w="7705" w:type="dxa"/>
            <w:tcBorders>
              <w:top w:val="single" w:color="auto" w:sz="4" w:space="0"/>
              <w:left w:val="single" w:color="auto" w:sz="4" w:space="0"/>
              <w:bottom w:val="single" w:color="auto" w:sz="4" w:space="0"/>
            </w:tcBorders>
            <w:noWrap w:val="0"/>
            <w:vAlign w:val="center"/>
          </w:tcPr>
          <w:p w14:paraId="69EDE33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无</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明显不符合</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文件关于对</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招标货物服务</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技术规格和标准的要求</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B65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456B2D3">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9</w:t>
            </w:r>
          </w:p>
        </w:tc>
        <w:tc>
          <w:tcPr>
            <w:tcW w:w="7705" w:type="dxa"/>
            <w:tcBorders>
              <w:top w:val="single" w:color="auto" w:sz="4" w:space="0"/>
              <w:left w:val="single" w:color="auto" w:sz="4" w:space="0"/>
              <w:bottom w:val="single" w:color="auto" w:sz="4" w:space="0"/>
            </w:tcBorders>
            <w:noWrap w:val="0"/>
            <w:vAlign w:val="center"/>
          </w:tcPr>
          <w:p w14:paraId="014E771A">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投标有效期为90个日历日</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6557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90505FA">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10</w:t>
            </w:r>
          </w:p>
        </w:tc>
        <w:tc>
          <w:tcPr>
            <w:tcW w:w="7705" w:type="dxa"/>
            <w:tcBorders>
              <w:top w:val="single" w:color="auto" w:sz="4" w:space="0"/>
              <w:left w:val="single" w:color="auto" w:sz="4" w:space="0"/>
              <w:bottom w:val="single" w:color="auto" w:sz="4" w:space="0"/>
            </w:tcBorders>
            <w:noWrap w:val="0"/>
            <w:vAlign w:val="center"/>
          </w:tcPr>
          <w:p w14:paraId="395815FB">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技术商务条款上没有存在重大偏离</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2ED8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A05C4D5">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11</w:t>
            </w:r>
          </w:p>
        </w:tc>
        <w:tc>
          <w:tcPr>
            <w:tcW w:w="7705" w:type="dxa"/>
            <w:tcBorders>
              <w:top w:val="single" w:color="auto" w:sz="4" w:space="0"/>
              <w:left w:val="single" w:color="auto" w:sz="4" w:space="0"/>
              <w:bottom w:val="single" w:color="auto" w:sz="4" w:space="0"/>
            </w:tcBorders>
            <w:noWrap w:val="0"/>
            <w:vAlign w:val="center"/>
          </w:tcPr>
          <w:p w14:paraId="531C6379">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符合法律、法规和</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文件中规定的其他实质性要求，</w:t>
            </w:r>
            <w:r>
              <w:rPr>
                <w:rFonts w:hint="eastAsia" w:ascii="Times New Roman" w:hAnsi="Times New Roman" w:cs="Times New Roman"/>
                <w:color w:val="000000" w:themeColor="text1"/>
                <w:highlight w:val="none"/>
                <w14:textFill>
                  <w14:solidFill>
                    <w14:schemeClr w14:val="tx1"/>
                  </w14:solidFill>
                </w14:textFill>
              </w:rPr>
              <w:t>投标文件</w:t>
            </w:r>
            <w:r>
              <w:rPr>
                <w:rFonts w:hint="eastAsia" w:ascii="Times New Roman" w:hAnsi="Times New Roman" w:cs="Times New Roman"/>
                <w:color w:val="000000" w:themeColor="text1"/>
                <w:highlight w:val="none"/>
                <w:lang w:val="en-US" w:eastAsia="zh-CN"/>
                <w14:textFill>
                  <w14:solidFill>
                    <w14:schemeClr w14:val="tx1"/>
                  </w14:solidFill>
                </w14:textFill>
              </w:rPr>
              <w:t>无</w:t>
            </w:r>
            <w:r>
              <w:rPr>
                <w:rFonts w:hint="eastAsia" w:ascii="Times New Roman" w:hAnsi="Times New Roman" w:cs="Times New Roman"/>
                <w:color w:val="000000" w:themeColor="text1"/>
                <w:highlight w:val="none"/>
                <w14:textFill>
                  <w14:solidFill>
                    <w14:schemeClr w14:val="tx1"/>
                  </w14:solidFill>
                </w14:textFill>
              </w:rPr>
              <w:t>采购人不能接受的附加条件的；</w:t>
            </w:r>
          </w:p>
        </w:tc>
      </w:tr>
    </w:tbl>
    <w:p w14:paraId="6E4452D5">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1.符合性审查合格的打“√”，不合格的打“×”。</w:t>
      </w:r>
    </w:p>
    <w:p w14:paraId="775BE639">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2.符合性审查结果，通过打“√”，不通过的打“×”。</w:t>
      </w:r>
    </w:p>
    <w:p w14:paraId="5670B678">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3.请填写不通过审查的供应商的原因。</w:t>
      </w:r>
    </w:p>
    <w:p w14:paraId="6D240EF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26.2　核价原则</w:t>
      </w:r>
    </w:p>
    <w:p w14:paraId="529FC43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投标文件报价出现前后不一致的，除招标文件另有规定外，按照下列规定修正：</w:t>
      </w:r>
    </w:p>
    <w:p w14:paraId="0D03C17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(1)投标文件中开标一览表(报价表)内容与投标文件中相应内容不一致的，以开标一览表(报价表)为准；</w:t>
      </w:r>
    </w:p>
    <w:p w14:paraId="394E7C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(2)大写金额和小写金额不一致的，以大写金额为准；</w:t>
      </w:r>
    </w:p>
    <w:p w14:paraId="172034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(3)单价金额小数点或者百分比有明显错位的，以开标一览表的总价为准，并修改单价；</w:t>
      </w:r>
    </w:p>
    <w:p w14:paraId="707BEE8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(4)总价金额与按单价汇总金额不一致的，以单价金额计算结果为准。</w:t>
      </w:r>
    </w:p>
    <w:p w14:paraId="28A651F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同时出现两种以上不一致的，按照前款规定的顺序修正。修正后的报价按照上述规定经投标人确认后产生约束力，投标人不确认的，其投标无效。</w:t>
      </w:r>
    </w:p>
    <w:p w14:paraId="42123EC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　投标文件澄清</w:t>
      </w:r>
    </w:p>
    <w:p w14:paraId="61A21D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26.3.1　对于投标文件中含义不明确、同类问题表述不一致或者有明显文字和计算错误的内容，评标委员会应当以书面形式要求投标人作出必要的澄清、说明或者补正。</w:t>
      </w:r>
    </w:p>
    <w:p w14:paraId="4484A1A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26.3.2　投标人的澄清、说明或者补正应当采用书面形式，并加盖公章，或者由法定代表人或其授权的代表签字。投标人的澄清、说明或者补正不得超出投标文件的范围或者改变投标文件的实质性内容。</w:t>
      </w:r>
    </w:p>
    <w:p w14:paraId="0B37D6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26.3.3　评标委员会不接受投标人主动提出的澄清、说明。</w:t>
      </w:r>
    </w:p>
    <w:p w14:paraId="0667E3E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26.3.4　有效的书面澄清材料，是投标文件的补充材料，成为投标文件的组成部分。</w:t>
      </w:r>
    </w:p>
    <w:p w14:paraId="57E69BE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　同品牌多家投标人处理原则</w:t>
      </w:r>
    </w:p>
    <w:p w14:paraId="5AE2E88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1861D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29DBB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26.4.3　非单一产品采购项目，根据采购项目技术构成、产品价格比重等合理确定核心产品，核心产品见投标人须知前附表。多家投标人提供的核心产品品牌相同的，按前两款规定处理。</w:t>
      </w:r>
    </w:p>
    <w:p w14:paraId="34FC8C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　比较与评价</w:t>
      </w:r>
    </w:p>
    <w:p w14:paraId="0857A15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26.5.1　评标委员会应当按照招标文件中规定的评标方法和标准，对符合性审查合格的投标文件进行商务和技术评估，综合比较与评价。</w:t>
      </w:r>
    </w:p>
    <w:p w14:paraId="0781956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5AD2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　推荐中标候选人名单</w:t>
      </w:r>
    </w:p>
    <w:p w14:paraId="4D64155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26.6.1　采用最低评标价法的，评标结果按投标报价由低到高顺序排列。投标报价相同的并列。投标文件满足招标文件全部实质性要求且投标报价最低的投标人为排名第一的中标候选人。</w:t>
      </w:r>
    </w:p>
    <w:p w14:paraId="5B4241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32FF58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27.确定中标供应商</w:t>
      </w:r>
    </w:p>
    <w:p w14:paraId="0E80BF8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27.1　采购代理机构应当在评标结束之日起2个工作日内将评标报告送采购人。</w:t>
      </w:r>
    </w:p>
    <w:p w14:paraId="64A0B96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14:paraId="34CFA81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27.3　采购人自行组织招标的，应当在评标结束后5个工作日内确定中标人。中标候选人并列的，由采购人或者采购人委托评标委员会按照投标人须知前附表规定的方式确定中标人。</w:t>
      </w:r>
    </w:p>
    <w:p w14:paraId="5D1C16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28.废标</w:t>
      </w:r>
    </w:p>
    <w:p w14:paraId="7FE168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有下列情形之一时，招标采购单位应予废标，并将废标理由通知所有投标人：</w:t>
      </w:r>
    </w:p>
    <w:p w14:paraId="78EA06D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(1)符合专业条件的投标人或者对招标文件作实质性响应的投标人不足三家的；</w:t>
      </w:r>
    </w:p>
    <w:p w14:paraId="5F044D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(2)出现影响采购公正的违法、违规行为的；</w:t>
      </w:r>
    </w:p>
    <w:p w14:paraId="51277E6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(3)投标人的报价均超过了采购预算，采购人不能支付的；</w:t>
      </w:r>
    </w:p>
    <w:p w14:paraId="1A0F86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(4)因重大变故，采购任务取消的。</w:t>
      </w:r>
    </w:p>
    <w:p w14:paraId="0B5E983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29.保密</w:t>
      </w:r>
    </w:p>
    <w:p w14:paraId="722A3A4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评标委员会成员以及与评标工作有关的人员不得泄露评标情况以及评标过程中获悉的国家秘密、商业秘密。</w:t>
      </w:r>
    </w:p>
    <w:p w14:paraId="7C0303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30.禁止行为</w:t>
      </w:r>
    </w:p>
    <w:p w14:paraId="7AF784F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2D17552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30.2　投标人应当遵循公平竞争的原则，不得恶意串通，不得妨碍其他投标人的竞争行为，不得损害采购人或者其他投标人的合法权益。</w:t>
      </w:r>
    </w:p>
    <w:p w14:paraId="08495C3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有下列情形之一的，视为投标人串通投标，其投标无效：</w:t>
      </w:r>
    </w:p>
    <w:p w14:paraId="08E4731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30.2</w:t>
      </w:r>
      <w:r>
        <w:rPr>
          <w:rFonts w:hint="eastAsia" w:ascii="宋体" w:hAnsi="宋体" w:eastAsia="宋体" w:cs="宋体"/>
          <w:color w:val="000000" w:themeColor="text1"/>
          <w:highlight w:val="none"/>
          <w14:textFill>
            <w14:solidFill>
              <w14:schemeClr w14:val="tx1"/>
            </w14:solidFill>
          </w14:textFill>
        </w:rPr>
        <w:t>.1有下列情形之一的，属于投标人相互串通投标：</w:t>
      </w:r>
    </w:p>
    <w:p w14:paraId="45F31BF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(1)投标人之间协商投标报价等响应文件的实质性内容；</w:t>
      </w:r>
    </w:p>
    <w:p w14:paraId="57A9500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(2)投标人之间约定中标人；</w:t>
      </w:r>
    </w:p>
    <w:p w14:paraId="6D3588D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(3)投标人之间约定部分投标人放弃投标或者中标；</w:t>
      </w:r>
    </w:p>
    <w:p w14:paraId="0FCF32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(4)属于同一集团、协会、商会等组织成员的投标人按照该组织要求协同投标；</w:t>
      </w:r>
    </w:p>
    <w:p w14:paraId="2C16FA0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(5)投标人之间为谋取中标或者排斥特定投标人而采取的其他联合行动。</w:t>
      </w:r>
    </w:p>
    <w:p w14:paraId="0188597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30.2</w:t>
      </w:r>
      <w:r>
        <w:rPr>
          <w:rFonts w:hint="eastAsia" w:ascii="宋体" w:hAnsi="宋体" w:eastAsia="宋体" w:cs="宋体"/>
          <w:color w:val="000000" w:themeColor="text1"/>
          <w:highlight w:val="none"/>
          <w14:textFill>
            <w14:solidFill>
              <w14:schemeClr w14:val="tx1"/>
            </w14:solidFill>
          </w14:textFill>
        </w:rPr>
        <w:t>.2有下列情形之一的，视为投标人相互串通投标：</w:t>
      </w:r>
    </w:p>
    <w:p w14:paraId="3B1401D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(1)不同投标人的响应文件由同一单位或者个人编制；</w:t>
      </w:r>
    </w:p>
    <w:p w14:paraId="013641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(2)不同投标人委托同一单位或者个人办理投标事宜，或制作电子响应文件的文件制作机器码（mac地址）一致，或制作电子响应文件的文件创建标识码一致；</w:t>
      </w:r>
    </w:p>
    <w:p w14:paraId="055E921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(3)不同投标人的响应文件载明的项目管理成员为同一人；</w:t>
      </w:r>
    </w:p>
    <w:p w14:paraId="0372EB9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(4)不同投标人的响应文件异常一致或者投标报价呈规律性差异；</w:t>
      </w:r>
    </w:p>
    <w:p w14:paraId="0A2D00F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(5)不同投标人的响应文件相互混装；</w:t>
      </w:r>
    </w:p>
    <w:p w14:paraId="2E785D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(6)不同投标人的投标保证金从同一单位或者个人的账户转出。</w:t>
      </w:r>
    </w:p>
    <w:p w14:paraId="386EE3A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五、中标信息公告与签订合同</w:t>
      </w:r>
    </w:p>
    <w:p w14:paraId="4E87B30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31.中标信息公告</w:t>
      </w:r>
    </w:p>
    <w:p w14:paraId="71DB4FD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　中标人确定之日起2个工作日内，采购人或者采购代理机构应将中标结果在投标人须知前附表中规定的公告媒体上公布。</w:t>
      </w:r>
    </w:p>
    <w:p w14:paraId="28E2F0B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　招标文件随中标结果同时公告。但中标结果公告前招标文件已公告的，不再重复公告。</w:t>
      </w:r>
    </w:p>
    <w:p w14:paraId="1085875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32.中标通知</w:t>
      </w:r>
    </w:p>
    <w:p w14:paraId="539D236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采购人或者采购代理机构应当自发布中标公告的同时，发出中标通知书，中标通知书对采购人和中标人具有同等法律效力。</w:t>
      </w:r>
    </w:p>
    <w:p w14:paraId="427B340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中标通知书发出后，中标人无正当理由不得放弃中标。</w:t>
      </w:r>
    </w:p>
    <w:p w14:paraId="6F2FF90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33.履约保证金</w:t>
      </w:r>
    </w:p>
    <w:p w14:paraId="056B163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　本项目是否缴纳履约保证金见投标人须知前附表。</w:t>
      </w:r>
    </w:p>
    <w:p w14:paraId="5C78C01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33.2投标人须知前附表规定交纳履约保证金的，中标人在签订采购合同前，向采购人提交履约保证金。联合体成交的，履约保证金以联合体各方或联合体中牵头人的名义提交。</w:t>
      </w:r>
    </w:p>
    <w:p w14:paraId="11BF2AA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33.3　中标人没有按照投标人须知前附表的规定提交履约保证金的，视为放弃中标，其投标保证金不予退还。</w:t>
      </w:r>
    </w:p>
    <w:p w14:paraId="298344D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34.签订合同</w:t>
      </w:r>
    </w:p>
    <w:p w14:paraId="6224FD0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34.1　招标文件和中标供应商的投标文件均为签订政府采购合同的依据。</w:t>
      </w:r>
    </w:p>
    <w:p w14:paraId="0363809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34.2　中标供应商应当在中标通知书发出之日起30日内，与采购人签订政府采购合同。</w:t>
      </w:r>
    </w:p>
    <w:p w14:paraId="7D01268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09CFA6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34.4　自政府采购合同签订之日起2个工作日内，本项目政府采购合同在投标人须知前附表规定的媒体上公告，但政府采购合同中涉及国家秘密、商业秘密的内容除外。</w:t>
      </w:r>
    </w:p>
    <w:p w14:paraId="04D9EE4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六、其他规定</w:t>
      </w:r>
    </w:p>
    <w:p w14:paraId="7B030C6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35.招标代理服务费。</w:t>
      </w:r>
    </w:p>
    <w:p w14:paraId="388880A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35.1　中标人是否交纳投招标代理服务费及相关要求见投标人须知前附表。</w:t>
      </w:r>
    </w:p>
    <w:p w14:paraId="0D2AE50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36.询问、质疑、投诉</w:t>
      </w:r>
    </w:p>
    <w:p w14:paraId="3D12356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36.1　供应商对政府采购活动事项有疑问的，可以向采购人或采购代理机构提出询问</w:t>
      </w:r>
    </w:p>
    <w:p w14:paraId="55726E0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36.2　供应商认为招标文件、招标过程和中标结果使自己的权益受到损害的，可以在知道或者应知其权益受到损害之日起7个工作日内，以书面形式向采购人或采购代理机构提出质疑。</w:t>
      </w:r>
    </w:p>
    <w:p w14:paraId="2D8EF3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36.3　供应商提出质疑的，应提供质疑书原件。</w:t>
      </w:r>
    </w:p>
    <w:p w14:paraId="55F797A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36.4　质疑书应当由投标人法定代表人或其授权的投标代表签字并加盖投标人单位章，质疑书由授权的投标代表签字的应附投标人法定代表人委托授权书。</w:t>
      </w:r>
    </w:p>
    <w:p w14:paraId="1639E20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36.5　投标人对采购人或采购代理机构的答复不满意，或采购人或采购代理机构未在规定的期限作出答复的，可在答复期满后15个工作日内，按政府采购法律法规规定及程序，向财政部提出投诉。</w:t>
      </w:r>
    </w:p>
    <w:p w14:paraId="7EA8825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37.发生下列情况之一，投标人将被列入不良记录名单，在1～3年内禁止参加政府采购活动，并予以公告：</w:t>
      </w:r>
    </w:p>
    <w:p w14:paraId="552403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(1)开标后在投标有效期内，投标人撤回其投标；</w:t>
      </w:r>
    </w:p>
    <w:p w14:paraId="2BE647D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(2)中标后无正当理由不与采购人签订政府采购合同；</w:t>
      </w:r>
    </w:p>
    <w:p w14:paraId="3BE60A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(3)中标后未按照招标文件和中标供应商的投标文件订立政府采购合同，或者与采购人另行订立背离合同实质性内容的协议的；</w:t>
      </w:r>
    </w:p>
    <w:p w14:paraId="6709F34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(4)将中标项目转让给他人，或者在投标文件中未说明，且未经采购招标机构同意，将中标项目分包给他人；</w:t>
      </w:r>
    </w:p>
    <w:p w14:paraId="5147E19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(5)拒绝履行合同义务的；</w:t>
      </w:r>
    </w:p>
    <w:p w14:paraId="63AD9D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(6)《政府采购法》第七十七条和《政府采购法实施条例》第七十二条规定的其他情形；</w:t>
      </w:r>
    </w:p>
    <w:p w14:paraId="681ECD4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(7)其他违反法律法规相关规定的情形。</w:t>
      </w:r>
    </w:p>
    <w:p w14:paraId="1CEAE79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38.其他规定。</w:t>
      </w:r>
    </w:p>
    <w:p w14:paraId="1F0A09F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38.1　投标文件的其他规定见投标人须知前附表。</w:t>
      </w:r>
    </w:p>
    <w:p w14:paraId="6B331A7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39.未尽事宜</w:t>
      </w:r>
    </w:p>
    <w:p w14:paraId="1B80C7A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39.1　其他未尽事宜按政府采购法律法规的规定执行。</w:t>
      </w:r>
    </w:p>
    <w:p w14:paraId="6D1DF8C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40.文件解释权</w:t>
      </w:r>
    </w:p>
    <w:p w14:paraId="258612C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40.1　本招标文件的解释权归采购人(或采购代理机构)所有。</w:t>
      </w:r>
    </w:p>
    <w:p w14:paraId="134C3F9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4F4046A">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5" w:name="_Toc4472"/>
      <w:r>
        <w:rPr>
          <w:rFonts w:hint="eastAsia" w:ascii="宋体" w:hAnsi="宋体" w:eastAsia="宋体" w:cs="宋体"/>
          <w:color w:val="000000" w:themeColor="text1"/>
          <w:highlight w:val="none"/>
          <w14:textFill>
            <w14:solidFill>
              <w14:schemeClr w14:val="tx1"/>
            </w14:solidFill>
          </w14:textFill>
        </w:rPr>
        <w:t>第三章　评标办法及标准</w:t>
      </w:r>
      <w:bookmarkEnd w:id="35"/>
    </w:p>
    <w:p w14:paraId="035F2D7E">
      <w:p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bookmarkStart w:id="36" w:name="_Toc9615"/>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一、评审方法</w:t>
      </w:r>
      <w:bookmarkEnd w:id="36"/>
    </w:p>
    <w:tbl>
      <w:tblPr>
        <w:tblStyle w:val="25"/>
        <w:tblpPr w:leftFromText="180" w:rightFromText="180" w:vertAnchor="text" w:horzAnchor="page" w:tblpX="1573" w:tblpY="10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1CD3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14:paraId="6609AB94">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bookmarkStart w:id="37" w:name="_Toc20854"/>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评分因素</w:t>
            </w:r>
          </w:p>
        </w:tc>
        <w:tc>
          <w:tcPr>
            <w:tcW w:w="4502" w:type="dxa"/>
            <w:noWrap w:val="0"/>
            <w:vAlign w:val="center"/>
          </w:tcPr>
          <w:p w14:paraId="5E6CD2B7">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分值分配</w:t>
            </w:r>
          </w:p>
        </w:tc>
      </w:tr>
      <w:tr w14:paraId="2887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14:paraId="118DF5D1">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商务</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技术</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部分</w:t>
            </w:r>
          </w:p>
        </w:tc>
        <w:tc>
          <w:tcPr>
            <w:tcW w:w="4502" w:type="dxa"/>
            <w:noWrap w:val="0"/>
            <w:vAlign w:val="center"/>
          </w:tcPr>
          <w:p w14:paraId="2C6CFA8D">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w:t>
            </w:r>
          </w:p>
        </w:tc>
      </w:tr>
      <w:tr w14:paraId="2904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14:paraId="627188BA">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价格部分</w:t>
            </w:r>
          </w:p>
        </w:tc>
        <w:tc>
          <w:tcPr>
            <w:tcW w:w="4502" w:type="dxa"/>
            <w:noWrap w:val="0"/>
            <w:vAlign w:val="center"/>
          </w:tcPr>
          <w:p w14:paraId="370EE299">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w:t>
            </w:r>
          </w:p>
        </w:tc>
      </w:tr>
      <w:tr w14:paraId="5AA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01" w:type="dxa"/>
            <w:noWrap w:val="0"/>
            <w:vAlign w:val="center"/>
          </w:tcPr>
          <w:p w14:paraId="2FC9CA8D">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合   计</w:t>
            </w:r>
          </w:p>
        </w:tc>
        <w:tc>
          <w:tcPr>
            <w:tcW w:w="4502" w:type="dxa"/>
            <w:noWrap w:val="0"/>
            <w:vAlign w:val="center"/>
          </w:tcPr>
          <w:p w14:paraId="6F9D28C5">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100分</w:t>
            </w:r>
          </w:p>
        </w:tc>
      </w:tr>
      <w:bookmarkEnd w:id="37"/>
    </w:tbl>
    <w:p w14:paraId="4B28BA8F">
      <w:p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　评审方法：综合评分法，是指</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文件满足</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文件全部实质性要求且按评审因素的量化指标评审得分最高的供应商为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候选供</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的评审方法。</w:t>
      </w:r>
    </w:p>
    <w:p w14:paraId="4157F9C1">
      <w:pPr>
        <w:bidi w:val="0"/>
        <w:rPr>
          <w:rFonts w:hint="eastAsia" w:asciiTheme="minorHAnsi" w:hAnsiTheme="minorHAnsi" w:eastAsiaTheme="minorEastAsia" w:cstheme="minorBidi"/>
          <w:kern w:val="2"/>
          <w:sz w:val="21"/>
          <w:szCs w:val="24"/>
          <w:lang w:val="en-US" w:eastAsia="zh-CN" w:bidi="ar-SA"/>
        </w:rPr>
      </w:pPr>
    </w:p>
    <w:p w14:paraId="54DA94F0">
      <w:pPr>
        <w:numPr>
          <w:ilvl w:val="0"/>
          <w:numId w:val="2"/>
        </w:num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lang w:val="en-US" w:eastAsia="zh-CN"/>
        </w:rPr>
        <w:tab/>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评分标准</w:t>
      </w:r>
    </w:p>
    <w:p w14:paraId="09027FBF">
      <w:pPr>
        <w:numPr>
          <w:ilvl w:val="0"/>
          <w:numId w:val="0"/>
        </w:numPr>
        <w:spacing w:line="240" w:lineRule="auto"/>
        <w:rPr>
          <w:rFonts w:hint="default"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标包3：</w:t>
      </w:r>
    </w:p>
    <w:tbl>
      <w:tblPr>
        <w:tblStyle w:val="25"/>
        <w:tblpPr w:leftFromText="180" w:rightFromText="180" w:vertAnchor="text" w:horzAnchor="page" w:tblpX="990" w:tblpY="3253"/>
        <w:tblOverlap w:val="never"/>
        <w:tblW w:w="10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966"/>
        <w:gridCol w:w="7550"/>
        <w:gridCol w:w="649"/>
      </w:tblGrid>
      <w:tr w14:paraId="3B20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65712835">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序号</w:t>
            </w:r>
          </w:p>
        </w:tc>
        <w:tc>
          <w:tcPr>
            <w:tcW w:w="966" w:type="dxa"/>
            <w:tcBorders>
              <w:top w:val="single" w:color="auto" w:sz="4" w:space="0"/>
              <w:left w:val="nil"/>
              <w:bottom w:val="single" w:color="auto" w:sz="4" w:space="0"/>
              <w:right w:val="single" w:color="auto" w:sz="4" w:space="0"/>
            </w:tcBorders>
            <w:vAlign w:val="center"/>
          </w:tcPr>
          <w:p w14:paraId="16888E6F">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评审项目</w:t>
            </w:r>
          </w:p>
        </w:tc>
        <w:tc>
          <w:tcPr>
            <w:tcW w:w="7550" w:type="dxa"/>
            <w:tcBorders>
              <w:top w:val="single" w:color="auto" w:sz="4" w:space="0"/>
              <w:left w:val="nil"/>
              <w:bottom w:val="single" w:color="auto" w:sz="4" w:space="0"/>
              <w:right w:val="single" w:color="auto" w:sz="4" w:space="0"/>
            </w:tcBorders>
            <w:vAlign w:val="center"/>
          </w:tcPr>
          <w:p w14:paraId="42D7A794">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评审标准</w:t>
            </w:r>
          </w:p>
        </w:tc>
        <w:tc>
          <w:tcPr>
            <w:tcW w:w="649" w:type="dxa"/>
            <w:tcBorders>
              <w:top w:val="single" w:color="auto" w:sz="4" w:space="0"/>
              <w:left w:val="nil"/>
              <w:bottom w:val="single" w:color="auto" w:sz="4" w:space="0"/>
              <w:right w:val="single" w:color="auto" w:sz="4" w:space="0"/>
            </w:tcBorders>
            <w:vAlign w:val="center"/>
          </w:tcPr>
          <w:p w14:paraId="0A3B1EC0">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标准分</w:t>
            </w:r>
          </w:p>
        </w:tc>
      </w:tr>
      <w:tr w14:paraId="649B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2297AEF0">
            <w:pPr>
              <w:autoSpaceDE w:val="0"/>
              <w:autoSpaceDN w:val="0"/>
              <w:adjustRightInd w:val="0"/>
              <w:jc w:val="center"/>
              <w:rPr>
                <w:rFonts w:cs="宋体" w:asciiTheme="minorEastAsia" w:hAnsiTheme="minorEastAsia"/>
                <w:kern w:val="0"/>
                <w:szCs w:val="21"/>
              </w:rPr>
            </w:pPr>
            <w:r>
              <w:rPr>
                <w:rFonts w:hint="eastAsia" w:cs="宋体" w:asciiTheme="minorEastAsia" w:hAnsiTheme="minorEastAsia"/>
                <w:kern w:val="0"/>
                <w:szCs w:val="21"/>
              </w:rPr>
              <w:t>1</w:t>
            </w:r>
          </w:p>
        </w:tc>
        <w:tc>
          <w:tcPr>
            <w:tcW w:w="966" w:type="dxa"/>
            <w:tcBorders>
              <w:top w:val="single" w:color="auto" w:sz="4" w:space="0"/>
              <w:left w:val="nil"/>
              <w:bottom w:val="single" w:color="auto" w:sz="4" w:space="0"/>
              <w:right w:val="single" w:color="auto" w:sz="4" w:space="0"/>
            </w:tcBorders>
            <w:vAlign w:val="center"/>
          </w:tcPr>
          <w:p w14:paraId="3F422EEF">
            <w:pPr>
              <w:widowControl/>
              <w:jc w:val="left"/>
              <w:rPr>
                <w:rFonts w:cs="宋体" w:asciiTheme="minorEastAsia" w:hAnsiTheme="minorEastAsia"/>
                <w:kern w:val="0"/>
                <w:szCs w:val="21"/>
              </w:rPr>
            </w:pPr>
            <w:r>
              <w:rPr>
                <w:rFonts w:cs="宋体" w:asciiTheme="minorEastAsia" w:hAnsiTheme="minorEastAsia"/>
                <w:kern w:val="0"/>
                <w:szCs w:val="21"/>
              </w:rPr>
              <w:t>类似业绩</w:t>
            </w:r>
          </w:p>
        </w:tc>
        <w:tc>
          <w:tcPr>
            <w:tcW w:w="7550" w:type="dxa"/>
            <w:tcBorders>
              <w:top w:val="single" w:color="auto" w:sz="4" w:space="0"/>
              <w:left w:val="nil"/>
              <w:bottom w:val="single" w:color="auto" w:sz="4" w:space="0"/>
              <w:right w:val="single" w:color="auto" w:sz="4" w:space="0"/>
            </w:tcBorders>
            <w:vAlign w:val="center"/>
          </w:tcPr>
          <w:p w14:paraId="5049306C">
            <w:pPr>
              <w:widowControl/>
              <w:jc w:val="left"/>
              <w:rPr>
                <w:rFonts w:hint="eastAsia" w:cs="宋体" w:asciiTheme="minorEastAsia" w:hAnsiTheme="minorEastAsia" w:eastAsiaTheme="minorEastAsia"/>
                <w:kern w:val="0"/>
                <w:szCs w:val="21"/>
                <w:lang w:eastAsia="zh-CN"/>
              </w:rPr>
            </w:pPr>
            <w:r>
              <w:rPr>
                <w:rFonts w:hint="eastAsia" w:cs="宋体" w:asciiTheme="minorEastAsia" w:hAnsiTheme="minorEastAsia"/>
                <w:color w:val="000000" w:themeColor="text1"/>
                <w:kern w:val="0"/>
                <w:szCs w:val="21"/>
                <w:lang w:eastAsia="zh-CN"/>
                <w14:textFill>
                  <w14:solidFill>
                    <w14:schemeClr w14:val="tx1"/>
                  </w14:solidFill>
                </w14:textFill>
              </w:rPr>
              <w:t>投标人</w:t>
            </w:r>
            <w:r>
              <w:rPr>
                <w:rFonts w:cs="宋体" w:asciiTheme="minorEastAsia" w:hAnsiTheme="minorEastAsia"/>
                <w:color w:val="000000" w:themeColor="text1"/>
                <w:kern w:val="0"/>
                <w:szCs w:val="21"/>
                <w14:textFill>
                  <w14:solidFill>
                    <w14:schemeClr w14:val="tx1"/>
                  </w14:solidFill>
                </w14:textFill>
              </w:rPr>
              <w:t>在</w:t>
            </w:r>
            <w:r>
              <w:rPr>
                <w:rFonts w:hint="eastAsia" w:cs="宋体" w:asciiTheme="minorEastAsia" w:hAnsiTheme="minorEastAsia"/>
                <w:color w:val="000000" w:themeColor="text1"/>
                <w:kern w:val="0"/>
                <w:szCs w:val="21"/>
                <w:lang w:eastAsia="zh-CN"/>
                <w14:textFill>
                  <w14:solidFill>
                    <w14:schemeClr w14:val="tx1"/>
                  </w14:solidFill>
                </w14:textFill>
              </w:rPr>
              <w:t>投标</w:t>
            </w:r>
            <w:r>
              <w:rPr>
                <w:rFonts w:cs="宋体" w:asciiTheme="minorEastAsia" w:hAnsiTheme="minorEastAsia"/>
                <w:color w:val="000000" w:themeColor="text1"/>
                <w:kern w:val="0"/>
                <w:szCs w:val="21"/>
                <w14:textFill>
                  <w14:solidFill>
                    <w14:schemeClr w14:val="tx1"/>
                  </w14:solidFill>
                </w14:textFill>
              </w:rPr>
              <w:t>文件中提供202</w:t>
            </w:r>
            <w:r>
              <w:rPr>
                <w:rFonts w:hint="eastAsia" w:cs="宋体" w:asciiTheme="minorEastAsia" w:hAnsiTheme="minorEastAsia"/>
                <w:color w:val="000000" w:themeColor="text1"/>
                <w:kern w:val="0"/>
                <w:szCs w:val="21"/>
                <w:lang w:val="en-US" w:eastAsia="zh-CN"/>
                <w14:textFill>
                  <w14:solidFill>
                    <w14:schemeClr w14:val="tx1"/>
                  </w14:solidFill>
                </w14:textFill>
              </w:rPr>
              <w:t>3</w:t>
            </w:r>
            <w:r>
              <w:rPr>
                <w:rFonts w:cs="宋体" w:asciiTheme="minorEastAsia" w:hAnsiTheme="minorEastAsia"/>
                <w:color w:val="000000" w:themeColor="text1"/>
                <w:kern w:val="0"/>
                <w:szCs w:val="21"/>
                <w14:textFill>
                  <w14:solidFill>
                    <w14:schemeClr w14:val="tx1"/>
                  </w14:solidFill>
                </w14:textFill>
              </w:rPr>
              <w:t>年1月1日</w:t>
            </w:r>
            <w:r>
              <w:rPr>
                <w:rFonts w:hint="eastAsia" w:cs="宋体" w:asciiTheme="minorEastAsia" w:hAnsiTheme="minorEastAsia"/>
                <w:color w:val="000000" w:themeColor="text1"/>
                <w:kern w:val="0"/>
                <w:szCs w:val="21"/>
                <w14:textFill>
                  <w14:solidFill>
                    <w14:schemeClr w14:val="tx1"/>
                  </w14:solidFill>
                </w14:textFill>
              </w:rPr>
              <w:t>至今</w:t>
            </w:r>
            <w:r>
              <w:rPr>
                <w:rFonts w:cs="宋体" w:asciiTheme="minorEastAsia" w:hAnsiTheme="minorEastAsia"/>
                <w:kern w:val="0"/>
                <w:szCs w:val="21"/>
              </w:rPr>
              <w:t>的类似</w:t>
            </w:r>
            <w:r>
              <w:rPr>
                <w:rFonts w:hint="eastAsia" w:cs="宋体" w:asciiTheme="minorEastAsia" w:hAnsiTheme="minorEastAsia"/>
                <w:kern w:val="0"/>
                <w:szCs w:val="21"/>
              </w:rPr>
              <w:t>业绩</w:t>
            </w:r>
            <w:r>
              <w:rPr>
                <w:rFonts w:cs="宋体" w:asciiTheme="minorEastAsia" w:hAnsiTheme="minorEastAsia"/>
                <w:kern w:val="0"/>
                <w:szCs w:val="21"/>
              </w:rPr>
              <w:t>合同扫描件，每一份有效业绩得1分，此项满分</w:t>
            </w:r>
            <w:r>
              <w:rPr>
                <w:rFonts w:hint="eastAsia" w:cs="宋体" w:asciiTheme="minorEastAsia" w:hAnsiTheme="minorEastAsia"/>
                <w:kern w:val="0"/>
                <w:szCs w:val="21"/>
              </w:rPr>
              <w:t>5</w:t>
            </w:r>
            <w:r>
              <w:rPr>
                <w:rFonts w:cs="宋体" w:asciiTheme="minorEastAsia" w:hAnsiTheme="minorEastAsia"/>
                <w:kern w:val="0"/>
                <w:szCs w:val="21"/>
              </w:rPr>
              <w:t>分。</w:t>
            </w:r>
          </w:p>
          <w:p w14:paraId="43B778A4">
            <w:pPr>
              <w:widowControl/>
              <w:jc w:val="left"/>
              <w:rPr>
                <w:rFonts w:cs="宋体" w:asciiTheme="minorEastAsia" w:hAnsiTheme="minorEastAsia"/>
                <w:kern w:val="0"/>
                <w:szCs w:val="21"/>
              </w:rPr>
            </w:pPr>
            <w:r>
              <w:rPr>
                <w:rFonts w:cs="宋体" w:asciiTheme="minorEastAsia" w:hAnsiTheme="minorEastAsia"/>
                <w:kern w:val="0"/>
                <w:szCs w:val="21"/>
              </w:rPr>
              <w:t>注：若合同页数过多，则可只上传主要页（包括采</w:t>
            </w:r>
            <w:r>
              <w:rPr>
                <w:rFonts w:cs="宋体" w:asciiTheme="minorEastAsia" w:hAnsiTheme="minorEastAsia"/>
                <w:color w:val="000000" w:themeColor="text1"/>
                <w:kern w:val="0"/>
                <w:szCs w:val="21"/>
                <w14:textFill>
                  <w14:solidFill>
                    <w14:schemeClr w14:val="tx1"/>
                  </w14:solidFill>
                </w14:textFill>
              </w:rPr>
              <w:t>购内容、签约日期、双方盖章等内容）。业绩证明材料需清晰可辨认，否则视为无效业绩。</w:t>
            </w:r>
          </w:p>
        </w:tc>
        <w:tc>
          <w:tcPr>
            <w:tcW w:w="649" w:type="dxa"/>
            <w:tcBorders>
              <w:top w:val="single" w:color="auto" w:sz="4" w:space="0"/>
              <w:left w:val="nil"/>
              <w:bottom w:val="single" w:color="auto" w:sz="4" w:space="0"/>
              <w:right w:val="single" w:color="auto" w:sz="4" w:space="0"/>
            </w:tcBorders>
            <w:vAlign w:val="center"/>
          </w:tcPr>
          <w:p w14:paraId="0B71D244">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5</w:t>
            </w:r>
          </w:p>
        </w:tc>
      </w:tr>
      <w:tr w14:paraId="79A3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531CC520">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2</w:t>
            </w:r>
          </w:p>
        </w:tc>
        <w:tc>
          <w:tcPr>
            <w:tcW w:w="966" w:type="dxa"/>
            <w:tcBorders>
              <w:top w:val="single" w:color="auto" w:sz="4" w:space="0"/>
              <w:left w:val="nil"/>
              <w:bottom w:val="single" w:color="auto" w:sz="4" w:space="0"/>
              <w:right w:val="single" w:color="auto" w:sz="4" w:space="0"/>
            </w:tcBorders>
            <w:vAlign w:val="center"/>
          </w:tcPr>
          <w:p w14:paraId="19557E43">
            <w:pPr>
              <w:widowControl/>
              <w:jc w:val="left"/>
              <w:rPr>
                <w:rFonts w:cs="宋体" w:asciiTheme="minorEastAsia" w:hAnsiTheme="minorEastAsia"/>
                <w:kern w:val="0"/>
                <w:szCs w:val="21"/>
              </w:rPr>
            </w:pPr>
            <w:r>
              <w:rPr>
                <w:rFonts w:hint="eastAsia" w:cs="宋体" w:asciiTheme="minorEastAsia" w:hAnsiTheme="minorEastAsia"/>
                <w:kern w:val="0"/>
                <w:szCs w:val="21"/>
              </w:rPr>
              <w:t>人员配备</w:t>
            </w:r>
          </w:p>
        </w:tc>
        <w:tc>
          <w:tcPr>
            <w:tcW w:w="7550" w:type="dxa"/>
            <w:tcBorders>
              <w:top w:val="single" w:color="auto" w:sz="4" w:space="0"/>
              <w:left w:val="nil"/>
              <w:bottom w:val="single" w:color="auto" w:sz="4" w:space="0"/>
              <w:right w:val="single" w:color="auto" w:sz="4" w:space="0"/>
            </w:tcBorders>
            <w:vAlign w:val="center"/>
          </w:tcPr>
          <w:p w14:paraId="0A11B4CB">
            <w:pPr>
              <w:widowControl/>
              <w:jc w:val="left"/>
              <w:rPr>
                <w:rFonts w:cs="宋体" w:asciiTheme="minorEastAsia" w:hAnsiTheme="minorEastAsia"/>
                <w:kern w:val="0"/>
                <w:szCs w:val="21"/>
              </w:rPr>
            </w:pPr>
            <w:r>
              <w:rPr>
                <w:rFonts w:hint="eastAsia" w:cs="宋体" w:asciiTheme="minorEastAsia" w:hAnsiTheme="minorEastAsia"/>
                <w:kern w:val="0"/>
                <w:szCs w:val="21"/>
              </w:rPr>
              <w:t>1)本项目负责人具有（通信或网络或信息化）职称证书，高级工程师职称证书得 2 分，中级证书得 1 分。（需提供职称证书扫描件、本单位社保缴纳证明、劳动合同）</w:t>
            </w:r>
          </w:p>
          <w:p w14:paraId="3C44017C">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2）提供满足本项目需求的专业服务团队，人数不少于 6 人（不含项目负责人），人员结构及分工明确，人员信息齐全，得 6 分，出现一项不满足或缺失的扣 1 分，扣完为止； </w:t>
            </w:r>
          </w:p>
          <w:p w14:paraId="5CC86CC0">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3）团队中（不含项目负责人）有通信工程中级及以上职称或网络工程师或运维 IT 服务人员资质证书的，每具备一个得 1 分，满分 6 分； </w:t>
            </w:r>
          </w:p>
          <w:p w14:paraId="37CF4D8C">
            <w:pPr>
              <w:widowControl/>
              <w:jc w:val="left"/>
              <w:rPr>
                <w:rFonts w:cs="宋体" w:asciiTheme="minorEastAsia" w:hAnsiTheme="minorEastAsia"/>
                <w:kern w:val="0"/>
                <w:szCs w:val="21"/>
              </w:rPr>
            </w:pPr>
            <w:r>
              <w:rPr>
                <w:rFonts w:hint="eastAsia" w:cs="宋体" w:asciiTheme="minorEastAsia" w:hAnsiTheme="minorEastAsia"/>
                <w:kern w:val="0"/>
                <w:szCs w:val="21"/>
              </w:rPr>
              <w:t>注：以上人员需提供相关证书扫描件、本单位社保缴纳证明、劳动合同等相关证明资料。</w:t>
            </w:r>
          </w:p>
        </w:tc>
        <w:tc>
          <w:tcPr>
            <w:tcW w:w="649" w:type="dxa"/>
            <w:tcBorders>
              <w:top w:val="single" w:color="auto" w:sz="4" w:space="0"/>
              <w:left w:val="nil"/>
              <w:bottom w:val="single" w:color="auto" w:sz="4" w:space="0"/>
              <w:right w:val="single" w:color="auto" w:sz="4" w:space="0"/>
            </w:tcBorders>
            <w:vAlign w:val="center"/>
          </w:tcPr>
          <w:p w14:paraId="2ED5BDF5">
            <w:pPr>
              <w:autoSpaceDE w:val="0"/>
              <w:autoSpaceDN w:val="0"/>
              <w:adjustRightInd w:val="0"/>
              <w:jc w:val="center"/>
              <w:rPr>
                <w:rFonts w:hint="default"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14</w:t>
            </w:r>
          </w:p>
        </w:tc>
      </w:tr>
      <w:tr w14:paraId="1638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62FC4134">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3</w:t>
            </w:r>
          </w:p>
        </w:tc>
        <w:tc>
          <w:tcPr>
            <w:tcW w:w="966" w:type="dxa"/>
            <w:tcBorders>
              <w:top w:val="single" w:color="auto" w:sz="4" w:space="0"/>
              <w:left w:val="nil"/>
              <w:bottom w:val="single" w:color="auto" w:sz="4" w:space="0"/>
              <w:right w:val="single" w:color="auto" w:sz="4" w:space="0"/>
            </w:tcBorders>
            <w:vAlign w:val="center"/>
          </w:tcPr>
          <w:p w14:paraId="4D7CFE33">
            <w:pPr>
              <w:widowControl/>
              <w:jc w:val="left"/>
              <w:rPr>
                <w:rFonts w:asciiTheme="minorEastAsia" w:hAnsiTheme="minorEastAsia"/>
                <w:kern w:val="0"/>
                <w:szCs w:val="21"/>
              </w:rPr>
            </w:pPr>
            <w:r>
              <w:rPr>
                <w:rFonts w:hint="eastAsia" w:cs="宋体" w:asciiTheme="minorEastAsia" w:hAnsiTheme="minorEastAsia"/>
                <w:kern w:val="0"/>
                <w:szCs w:val="21"/>
              </w:rPr>
              <w:t>服务要求的符合程度</w:t>
            </w:r>
          </w:p>
        </w:tc>
        <w:tc>
          <w:tcPr>
            <w:tcW w:w="7550" w:type="dxa"/>
            <w:tcBorders>
              <w:top w:val="single" w:color="auto" w:sz="4" w:space="0"/>
              <w:left w:val="nil"/>
              <w:bottom w:val="single" w:color="auto" w:sz="4" w:space="0"/>
              <w:right w:val="single" w:color="auto" w:sz="4" w:space="0"/>
            </w:tcBorders>
            <w:vAlign w:val="center"/>
          </w:tcPr>
          <w:p w14:paraId="7EB41531">
            <w:pPr>
              <w:widowControl/>
              <w:jc w:val="left"/>
              <w:rPr>
                <w:rFonts w:asciiTheme="minorEastAsia" w:hAnsiTheme="minorEastAsia"/>
                <w:kern w:val="0"/>
                <w:szCs w:val="21"/>
              </w:rPr>
            </w:pPr>
            <w:r>
              <w:rPr>
                <w:rFonts w:hint="eastAsia" w:asciiTheme="minorEastAsia" w:hAnsiTheme="minorEastAsia"/>
                <w:kern w:val="0"/>
                <w:szCs w:val="21"/>
              </w:rPr>
              <w:t>供应商须对照第</w:t>
            </w:r>
            <w:r>
              <w:rPr>
                <w:rFonts w:hint="eastAsia" w:asciiTheme="minorEastAsia" w:hAnsiTheme="minorEastAsia"/>
                <w:kern w:val="0"/>
                <w:szCs w:val="21"/>
                <w:lang w:val="en-US" w:eastAsia="zh-CN"/>
              </w:rPr>
              <w:t>六</w:t>
            </w:r>
            <w:r>
              <w:rPr>
                <w:rFonts w:hint="eastAsia" w:asciiTheme="minorEastAsia" w:hAnsiTheme="minorEastAsia"/>
                <w:kern w:val="0"/>
                <w:szCs w:val="21"/>
              </w:rPr>
              <w:t>章</w:t>
            </w:r>
            <w:r>
              <w:rPr>
                <w:rFonts w:hint="eastAsia" w:asciiTheme="minorEastAsia" w:hAnsiTheme="minorEastAsia"/>
                <w:kern w:val="0"/>
                <w:szCs w:val="21"/>
                <w:lang w:val="en-US" w:eastAsia="zh-CN"/>
              </w:rPr>
              <w:t>项目采购需求</w:t>
            </w:r>
            <w:r>
              <w:rPr>
                <w:rFonts w:hint="eastAsia" w:asciiTheme="minorEastAsia" w:hAnsiTheme="minorEastAsia"/>
                <w:kern w:val="0"/>
                <w:szCs w:val="21"/>
              </w:rPr>
              <w:t>全部内容逐条在《商务技术偏离表》中列明响应内容及是否偏离等情况，要求提供相关证明资料，须在“</w:t>
            </w:r>
            <w:r>
              <w:rPr>
                <w:rFonts w:hint="eastAsia" w:asciiTheme="minorEastAsia" w:hAnsiTheme="minorEastAsia"/>
                <w:kern w:val="0"/>
                <w:szCs w:val="21"/>
                <w:lang w:eastAsia="zh-CN"/>
              </w:rPr>
              <w:t>说明</w:t>
            </w:r>
            <w:r>
              <w:rPr>
                <w:rFonts w:hint="eastAsia" w:asciiTheme="minorEastAsia" w:hAnsiTheme="minorEastAsia"/>
                <w:kern w:val="0"/>
                <w:szCs w:val="21"/>
              </w:rPr>
              <w:t xml:space="preserve">”栏说明证明资料在《响应文件》的具体位置或页码），无法提供相关证明材料的供应商自行承诺相关内容并保证承诺内容真实有效： </w:t>
            </w:r>
          </w:p>
          <w:p w14:paraId="7CB026AD">
            <w:pPr>
              <w:widowControl/>
              <w:jc w:val="left"/>
              <w:rPr>
                <w:rFonts w:asciiTheme="minorEastAsia" w:hAnsiTheme="minorEastAsia"/>
                <w:kern w:val="0"/>
                <w:szCs w:val="21"/>
              </w:rPr>
            </w:pPr>
            <w:r>
              <w:rPr>
                <w:rFonts w:hint="eastAsia" w:asciiTheme="minorEastAsia" w:hAnsiTheme="minorEastAsia"/>
                <w:kern w:val="0"/>
                <w:szCs w:val="21"/>
              </w:rPr>
              <w:t>根据响应文件对采购文件采购需求的响应程度：优于或完全符合采购文件要求的得 32 分。其中标注“☆”号项为重要技术指标：全部满足得 12 分，每有一项负偏离扣 3 分，扣完为止。未标注“☆”号项为一般技术指标：全部满足得 20 分, 每有一项负偏离扣 1 分，扣完为止。</w:t>
            </w:r>
          </w:p>
        </w:tc>
        <w:tc>
          <w:tcPr>
            <w:tcW w:w="649" w:type="dxa"/>
            <w:tcBorders>
              <w:top w:val="single" w:color="auto" w:sz="4" w:space="0"/>
              <w:left w:val="nil"/>
              <w:bottom w:val="single" w:color="auto" w:sz="4" w:space="0"/>
              <w:right w:val="single" w:color="auto" w:sz="4" w:space="0"/>
            </w:tcBorders>
            <w:vAlign w:val="center"/>
          </w:tcPr>
          <w:p w14:paraId="79CB4F35">
            <w:pPr>
              <w:autoSpaceDE w:val="0"/>
              <w:autoSpaceDN w:val="0"/>
              <w:adjustRightInd w:val="0"/>
              <w:jc w:val="center"/>
              <w:rPr>
                <w:rFonts w:hint="default"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32</w:t>
            </w:r>
          </w:p>
        </w:tc>
      </w:tr>
      <w:tr w14:paraId="3522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4FE48CF0">
            <w:pPr>
              <w:autoSpaceDE w:val="0"/>
              <w:autoSpaceDN w:val="0"/>
              <w:adjustRightInd w:val="0"/>
              <w:jc w:val="center"/>
              <w:rPr>
                <w:rFonts w:hint="eastAsia" w:asciiTheme="minorEastAsia" w:hAnsiTheme="minorEastAsia" w:eastAsiaTheme="minorEastAsia"/>
                <w:kern w:val="0"/>
                <w:szCs w:val="21"/>
                <w:lang w:eastAsia="zh-CN"/>
              </w:rPr>
            </w:pPr>
            <w:r>
              <w:rPr>
                <w:rFonts w:hint="eastAsia" w:asciiTheme="minorEastAsia" w:hAnsiTheme="minorEastAsia"/>
                <w:kern w:val="0"/>
                <w:szCs w:val="21"/>
                <w:lang w:val="en-US" w:eastAsia="zh-CN"/>
              </w:rPr>
              <w:t>4</w:t>
            </w:r>
          </w:p>
        </w:tc>
        <w:tc>
          <w:tcPr>
            <w:tcW w:w="966" w:type="dxa"/>
            <w:tcBorders>
              <w:top w:val="single" w:color="auto" w:sz="4" w:space="0"/>
              <w:left w:val="nil"/>
              <w:bottom w:val="single" w:color="auto" w:sz="4" w:space="0"/>
              <w:right w:val="single" w:color="auto" w:sz="4" w:space="0"/>
            </w:tcBorders>
            <w:vAlign w:val="center"/>
          </w:tcPr>
          <w:p w14:paraId="00E3F155">
            <w:pPr>
              <w:widowControl/>
              <w:jc w:val="left"/>
              <w:rPr>
                <w:rFonts w:asciiTheme="minorEastAsia" w:hAnsiTheme="minorEastAsia"/>
                <w:kern w:val="0"/>
                <w:szCs w:val="21"/>
              </w:rPr>
            </w:pPr>
            <w:r>
              <w:rPr>
                <w:rFonts w:hint="eastAsia" w:cs="宋体" w:asciiTheme="minorEastAsia" w:hAnsiTheme="minorEastAsia"/>
                <w:color w:val="000000"/>
                <w:kern w:val="0"/>
                <w:szCs w:val="21"/>
              </w:rPr>
              <w:t>项目实施方案</w:t>
            </w:r>
          </w:p>
        </w:tc>
        <w:tc>
          <w:tcPr>
            <w:tcW w:w="7550" w:type="dxa"/>
            <w:tcBorders>
              <w:top w:val="single" w:color="auto" w:sz="4" w:space="0"/>
              <w:left w:val="nil"/>
              <w:bottom w:val="single" w:color="auto" w:sz="4" w:space="0"/>
              <w:right w:val="single" w:color="auto" w:sz="4" w:space="0"/>
            </w:tcBorders>
            <w:vAlign w:val="center"/>
          </w:tcPr>
          <w:p w14:paraId="1413F7FF">
            <w:pPr>
              <w:widowControl/>
              <w:jc w:val="left"/>
              <w:rPr>
                <w:rFonts w:asciiTheme="minorEastAsia" w:hAnsiTheme="minorEastAsia"/>
                <w:szCs w:val="21"/>
              </w:rPr>
            </w:pPr>
            <w:r>
              <w:rPr>
                <w:rFonts w:hint="eastAsia" w:asciiTheme="minorEastAsia" w:hAnsiTheme="minorEastAsia"/>
                <w:szCs w:val="21"/>
              </w:rPr>
              <w:t xml:space="preserve">供应商提供的项目实施方案，内容包含项目实施计划、服务目标及范围理解、管理组织架构、安全保障措施、专线开通方案、维护方案、服务保障等，根据方案的合理性、科学性和服务能力及条件综合评定打分。 </w:t>
            </w:r>
          </w:p>
          <w:p w14:paraId="32AFC933">
            <w:pPr>
              <w:widowControl/>
              <w:jc w:val="left"/>
              <w:rPr>
                <w:rFonts w:asciiTheme="minorEastAsia" w:hAnsiTheme="minorEastAsia"/>
                <w:szCs w:val="21"/>
              </w:rPr>
            </w:pPr>
            <w:r>
              <w:rPr>
                <w:rFonts w:hint="eastAsia" w:asciiTheme="minorEastAsia" w:hAnsiTheme="minorEastAsia"/>
                <w:szCs w:val="21"/>
              </w:rPr>
              <w:t>内容完整且无缺陷的得 28 分，缺少一项扣 4 分。每出现一处缺陷（缺陷是指：存在内容响应不完整、不适用项目实际情况的情形、凭空编造、前后不一致、前后逻辑错误等）扣 1 分，扣完为止。未提供或不满足需求的不得分。</w:t>
            </w:r>
          </w:p>
        </w:tc>
        <w:tc>
          <w:tcPr>
            <w:tcW w:w="649" w:type="dxa"/>
            <w:tcBorders>
              <w:top w:val="single" w:color="auto" w:sz="4" w:space="0"/>
              <w:left w:val="nil"/>
              <w:bottom w:val="single" w:color="auto" w:sz="4" w:space="0"/>
              <w:right w:val="single" w:color="auto" w:sz="4" w:space="0"/>
            </w:tcBorders>
            <w:vAlign w:val="center"/>
          </w:tcPr>
          <w:p w14:paraId="732ED47B">
            <w:pPr>
              <w:autoSpaceDE w:val="0"/>
              <w:autoSpaceDN w:val="0"/>
              <w:adjustRightInd w:val="0"/>
              <w:jc w:val="center"/>
              <w:rPr>
                <w:rFonts w:hint="eastAsia" w:asciiTheme="minorEastAsia" w:hAnsiTheme="minorEastAsia" w:eastAsiaTheme="minorEastAsia"/>
                <w:kern w:val="0"/>
                <w:szCs w:val="21"/>
                <w:lang w:eastAsia="zh-CN"/>
              </w:rPr>
            </w:pPr>
            <w:r>
              <w:rPr>
                <w:rFonts w:hint="eastAsia" w:asciiTheme="minorEastAsia" w:hAnsiTheme="minorEastAsia"/>
                <w:kern w:val="0"/>
                <w:szCs w:val="21"/>
              </w:rPr>
              <w:t>2</w:t>
            </w:r>
            <w:r>
              <w:rPr>
                <w:rFonts w:hint="eastAsia" w:asciiTheme="minorEastAsia" w:hAnsiTheme="minorEastAsia"/>
                <w:kern w:val="0"/>
                <w:szCs w:val="21"/>
                <w:lang w:val="en-US" w:eastAsia="zh-CN"/>
              </w:rPr>
              <w:t>8</w:t>
            </w:r>
          </w:p>
        </w:tc>
      </w:tr>
      <w:tr w14:paraId="5926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21B347B1">
            <w:pPr>
              <w:autoSpaceDE w:val="0"/>
              <w:autoSpaceDN w:val="0"/>
              <w:adjustRightInd w:val="0"/>
              <w:jc w:val="center"/>
              <w:rPr>
                <w:rFonts w:hint="eastAsia" w:asciiTheme="minorEastAsia" w:hAnsiTheme="minorEastAsia" w:eastAsiaTheme="minorEastAsia"/>
                <w:kern w:val="0"/>
                <w:szCs w:val="21"/>
                <w:lang w:eastAsia="zh-CN"/>
              </w:rPr>
            </w:pPr>
            <w:r>
              <w:rPr>
                <w:rFonts w:hint="eastAsia" w:asciiTheme="minorEastAsia" w:hAnsiTheme="minorEastAsia"/>
                <w:kern w:val="0"/>
                <w:szCs w:val="21"/>
                <w:lang w:val="en-US" w:eastAsia="zh-CN"/>
              </w:rPr>
              <w:t>5</w:t>
            </w:r>
          </w:p>
        </w:tc>
        <w:tc>
          <w:tcPr>
            <w:tcW w:w="966" w:type="dxa"/>
            <w:tcBorders>
              <w:top w:val="single" w:color="auto" w:sz="4" w:space="0"/>
              <w:left w:val="nil"/>
              <w:bottom w:val="single" w:color="auto" w:sz="4" w:space="0"/>
              <w:right w:val="single" w:color="auto" w:sz="4" w:space="0"/>
            </w:tcBorders>
            <w:vAlign w:val="center"/>
          </w:tcPr>
          <w:p w14:paraId="342DC8CE">
            <w:pPr>
              <w:widowControl/>
              <w:jc w:val="left"/>
              <w:rPr>
                <w:rFonts w:hint="eastAsia" w:cs="宋体" w:asciiTheme="minorEastAsia" w:hAnsiTheme="minorEastAsia"/>
                <w:kern w:val="0"/>
                <w:szCs w:val="21"/>
              </w:rPr>
            </w:pPr>
            <w:r>
              <w:rPr>
                <w:rFonts w:hint="eastAsia" w:cs="宋体" w:asciiTheme="minorEastAsia" w:hAnsiTheme="minorEastAsia"/>
                <w:kern w:val="0"/>
                <w:szCs w:val="21"/>
                <w:lang w:val="en-US" w:eastAsia="zh-CN"/>
              </w:rPr>
              <w:t>售后服务</w:t>
            </w:r>
          </w:p>
        </w:tc>
        <w:tc>
          <w:tcPr>
            <w:tcW w:w="7550" w:type="dxa"/>
            <w:tcBorders>
              <w:top w:val="single" w:color="auto" w:sz="4" w:space="0"/>
              <w:left w:val="nil"/>
              <w:bottom w:val="single" w:color="auto" w:sz="4" w:space="0"/>
              <w:right w:val="single" w:color="auto" w:sz="4" w:space="0"/>
            </w:tcBorders>
            <w:vAlign w:val="center"/>
          </w:tcPr>
          <w:p w14:paraId="3B8D24CD">
            <w:pPr>
              <w:widowControl/>
              <w:jc w:val="left"/>
              <w:rPr>
                <w:rFonts w:hint="eastAsia" w:cs="宋体" w:asciiTheme="minorEastAsia" w:hAnsiTheme="minorEastAsia"/>
                <w:kern w:val="0"/>
                <w:szCs w:val="21"/>
              </w:rPr>
            </w:pPr>
            <w:r>
              <w:rPr>
                <w:rFonts w:hint="eastAsia" w:cs="宋体" w:asciiTheme="minorEastAsia" w:hAnsiTheme="minorEastAsia"/>
                <w:kern w:val="0"/>
                <w:szCs w:val="21"/>
              </w:rPr>
              <w:t xml:space="preserve">供应商提供的售后服务方案，内容包括售后服务承诺、服务流程、巡检时间、紧急维护、重大保障措施等；根据方案内容充分，详细具体可行，合理性、科学性等条件综合评定打分。 </w:t>
            </w:r>
          </w:p>
          <w:p w14:paraId="6B419806">
            <w:pPr>
              <w:widowControl/>
              <w:jc w:val="left"/>
              <w:rPr>
                <w:rFonts w:hint="eastAsia" w:cs="宋体" w:asciiTheme="minorEastAsia" w:hAnsiTheme="minorEastAsia"/>
                <w:kern w:val="0"/>
                <w:szCs w:val="21"/>
              </w:rPr>
            </w:pPr>
            <w:r>
              <w:rPr>
                <w:rFonts w:hint="eastAsia" w:cs="宋体" w:asciiTheme="minorEastAsia" w:hAnsiTheme="minorEastAsia"/>
                <w:kern w:val="0"/>
                <w:szCs w:val="21"/>
              </w:rPr>
              <w:t xml:space="preserve">内容完整且无缺陷的得 5 分，缺少一项扣 1 分。每出现一处缺陷（缺陷是指：存在内容响应不完整、不适用项目实际情况的情形、凭空编造、前后不一致、前后逻辑错误等）扣 0.5 分，扣完为止。 </w:t>
            </w:r>
          </w:p>
          <w:p w14:paraId="33727844">
            <w:pPr>
              <w:widowControl/>
              <w:jc w:val="left"/>
              <w:rPr>
                <w:rFonts w:hint="eastAsia" w:cs="宋体" w:asciiTheme="minorEastAsia" w:hAnsiTheme="minorEastAsia"/>
                <w:kern w:val="0"/>
                <w:szCs w:val="21"/>
              </w:rPr>
            </w:pPr>
            <w:r>
              <w:rPr>
                <w:rFonts w:hint="eastAsia" w:cs="宋体" w:asciiTheme="minorEastAsia" w:hAnsiTheme="minorEastAsia"/>
                <w:kern w:val="0"/>
                <w:szCs w:val="21"/>
              </w:rPr>
              <w:t>未提供或不满足需求的不得分。</w:t>
            </w:r>
          </w:p>
        </w:tc>
        <w:tc>
          <w:tcPr>
            <w:tcW w:w="649" w:type="dxa"/>
            <w:tcBorders>
              <w:top w:val="single" w:color="auto" w:sz="4" w:space="0"/>
              <w:left w:val="nil"/>
              <w:bottom w:val="single" w:color="auto" w:sz="4" w:space="0"/>
              <w:right w:val="single" w:color="auto" w:sz="4" w:space="0"/>
            </w:tcBorders>
            <w:vAlign w:val="center"/>
          </w:tcPr>
          <w:p w14:paraId="41A841D5">
            <w:pPr>
              <w:autoSpaceDE w:val="0"/>
              <w:autoSpaceDN w:val="0"/>
              <w:adjustRightInd w:val="0"/>
              <w:jc w:val="center"/>
              <w:rPr>
                <w:rFonts w:hint="default"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5</w:t>
            </w:r>
          </w:p>
        </w:tc>
      </w:tr>
      <w:tr w14:paraId="2E1B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089E11D5">
            <w:pPr>
              <w:autoSpaceDE w:val="0"/>
              <w:autoSpaceDN w:val="0"/>
              <w:adjustRightInd w:val="0"/>
              <w:jc w:val="center"/>
              <w:rPr>
                <w:rFonts w:hint="eastAsia" w:asciiTheme="minorEastAsia" w:hAnsiTheme="minorEastAsia" w:eastAsiaTheme="minorEastAsia"/>
                <w:kern w:val="0"/>
                <w:szCs w:val="21"/>
                <w:lang w:eastAsia="zh-CN"/>
              </w:rPr>
            </w:pPr>
            <w:r>
              <w:rPr>
                <w:rFonts w:hint="eastAsia" w:asciiTheme="minorEastAsia" w:hAnsiTheme="minorEastAsia"/>
                <w:kern w:val="0"/>
                <w:szCs w:val="21"/>
                <w:lang w:val="en-US" w:eastAsia="zh-CN"/>
              </w:rPr>
              <w:t>6</w:t>
            </w:r>
          </w:p>
        </w:tc>
        <w:tc>
          <w:tcPr>
            <w:tcW w:w="966" w:type="dxa"/>
            <w:tcBorders>
              <w:top w:val="single" w:color="auto" w:sz="4" w:space="0"/>
              <w:left w:val="nil"/>
              <w:bottom w:val="single" w:color="auto" w:sz="4" w:space="0"/>
              <w:right w:val="single" w:color="auto" w:sz="4" w:space="0"/>
            </w:tcBorders>
            <w:vAlign w:val="center"/>
          </w:tcPr>
          <w:p w14:paraId="50F58236">
            <w:pPr>
              <w:widowControl/>
              <w:jc w:val="left"/>
              <w:rPr>
                <w:rFonts w:hint="eastAsia" w:cs="宋体" w:asciiTheme="minorEastAsia" w:hAnsiTheme="minorEastAsia"/>
                <w:kern w:val="0"/>
                <w:szCs w:val="21"/>
                <w:lang w:val="en-US" w:eastAsia="zh-CN"/>
              </w:rPr>
            </w:pPr>
            <w:r>
              <w:rPr>
                <w:rFonts w:cs="宋体" w:asciiTheme="minorEastAsia" w:hAnsiTheme="minorEastAsia"/>
                <w:color w:val="000000"/>
                <w:kern w:val="0"/>
                <w:szCs w:val="21"/>
              </w:rPr>
              <w:t>应急预案</w:t>
            </w:r>
          </w:p>
        </w:tc>
        <w:tc>
          <w:tcPr>
            <w:tcW w:w="7550" w:type="dxa"/>
            <w:tcBorders>
              <w:top w:val="single" w:color="auto" w:sz="4" w:space="0"/>
              <w:left w:val="nil"/>
              <w:bottom w:val="single" w:color="auto" w:sz="4" w:space="0"/>
              <w:right w:val="single" w:color="auto" w:sz="4" w:space="0"/>
            </w:tcBorders>
            <w:vAlign w:val="center"/>
          </w:tcPr>
          <w:p w14:paraId="58ED0D92">
            <w:pPr>
              <w:widowControl/>
              <w:jc w:val="left"/>
              <w:rPr>
                <w:rFonts w:cs="宋体" w:asciiTheme="minorEastAsia" w:hAnsiTheme="minorEastAsia"/>
                <w:kern w:val="0"/>
                <w:szCs w:val="21"/>
              </w:rPr>
            </w:pPr>
            <w:r>
              <w:rPr>
                <w:rFonts w:cs="宋体" w:asciiTheme="minorEastAsia" w:hAnsiTheme="minorEastAsia"/>
                <w:color w:val="000000"/>
                <w:kern w:val="0"/>
                <w:szCs w:val="21"/>
              </w:rPr>
              <w:t>供应商根据本项目的采购内容和需求编制应急预案，包含①应急准备②应急响应③应急处置④应急恢复等内容。应急预案详尽、细致、全面，满足采购人的需求，</w:t>
            </w:r>
            <w:r>
              <w:rPr>
                <w:rFonts w:hint="eastAsia" w:cs="宋体" w:asciiTheme="minorEastAsia" w:hAnsiTheme="minorEastAsia"/>
                <w:color w:val="000000"/>
                <w:kern w:val="0"/>
                <w:szCs w:val="21"/>
              </w:rPr>
              <w:t xml:space="preserve">内容完整且无缺陷的得 6 分，缺少一项扣 1.5 分。每出现一处缺陷（缺陷是指：存在内容响应不完整、不适用项目实际情况的情形、凭空编造、前后不一致、前后逻辑错误等）扣 0.5 分，扣完为止。 </w:t>
            </w:r>
          </w:p>
          <w:p w14:paraId="3702D9BB">
            <w:pPr>
              <w:widowControl/>
              <w:jc w:val="left"/>
              <w:rPr>
                <w:rFonts w:hint="eastAsia" w:cs="宋体" w:asciiTheme="minorEastAsia" w:hAnsiTheme="minorEastAsia"/>
                <w:kern w:val="0"/>
                <w:szCs w:val="21"/>
                <w:lang w:val="en-US" w:eastAsia="zh-CN"/>
              </w:rPr>
            </w:pPr>
            <w:r>
              <w:rPr>
                <w:rFonts w:hint="eastAsia" w:cs="宋体" w:asciiTheme="minorEastAsia" w:hAnsiTheme="minorEastAsia"/>
                <w:color w:val="000000"/>
                <w:kern w:val="0"/>
                <w:szCs w:val="21"/>
              </w:rPr>
              <w:t>未提供或不满足需求的不得分。</w:t>
            </w:r>
          </w:p>
        </w:tc>
        <w:tc>
          <w:tcPr>
            <w:tcW w:w="649" w:type="dxa"/>
            <w:tcBorders>
              <w:top w:val="single" w:color="auto" w:sz="4" w:space="0"/>
              <w:left w:val="nil"/>
              <w:bottom w:val="single" w:color="auto" w:sz="4" w:space="0"/>
              <w:right w:val="single" w:color="auto" w:sz="4" w:space="0"/>
            </w:tcBorders>
            <w:vAlign w:val="center"/>
          </w:tcPr>
          <w:p w14:paraId="4223D120">
            <w:pPr>
              <w:autoSpaceDE w:val="0"/>
              <w:autoSpaceDN w:val="0"/>
              <w:adjustRightInd w:val="0"/>
              <w:jc w:val="center"/>
              <w:rPr>
                <w:rFonts w:hint="default"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6</w:t>
            </w:r>
          </w:p>
        </w:tc>
      </w:tr>
      <w:tr w14:paraId="03C2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91" w:type="dxa"/>
            <w:tcBorders>
              <w:top w:val="single" w:color="auto" w:sz="4" w:space="0"/>
              <w:left w:val="single" w:color="auto" w:sz="4" w:space="0"/>
              <w:bottom w:val="single" w:color="auto" w:sz="4" w:space="0"/>
              <w:right w:val="single" w:color="auto" w:sz="4" w:space="0"/>
            </w:tcBorders>
            <w:vAlign w:val="center"/>
          </w:tcPr>
          <w:p w14:paraId="39B5CD99">
            <w:pPr>
              <w:autoSpaceDE w:val="0"/>
              <w:autoSpaceDN w:val="0"/>
              <w:adjustRightInd w:val="0"/>
              <w:jc w:val="center"/>
              <w:rPr>
                <w:rFonts w:hint="eastAsia"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7</w:t>
            </w:r>
          </w:p>
        </w:tc>
        <w:tc>
          <w:tcPr>
            <w:tcW w:w="8516" w:type="dxa"/>
            <w:gridSpan w:val="2"/>
            <w:tcBorders>
              <w:top w:val="single" w:color="auto" w:sz="4" w:space="0"/>
              <w:left w:val="nil"/>
              <w:bottom w:val="single" w:color="auto" w:sz="4" w:space="0"/>
              <w:right w:val="single" w:color="auto" w:sz="4" w:space="0"/>
            </w:tcBorders>
            <w:vAlign w:val="center"/>
          </w:tcPr>
          <w:p w14:paraId="307668DF">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合计</w:t>
            </w:r>
          </w:p>
        </w:tc>
        <w:tc>
          <w:tcPr>
            <w:tcW w:w="649" w:type="dxa"/>
            <w:tcBorders>
              <w:top w:val="single" w:color="auto" w:sz="4" w:space="0"/>
              <w:left w:val="nil"/>
              <w:bottom w:val="single" w:color="auto" w:sz="4" w:space="0"/>
              <w:right w:val="single" w:color="auto" w:sz="4" w:space="0"/>
            </w:tcBorders>
            <w:vAlign w:val="center"/>
          </w:tcPr>
          <w:p w14:paraId="5C262F27">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90</w:t>
            </w:r>
          </w:p>
        </w:tc>
      </w:tr>
    </w:tbl>
    <w:p w14:paraId="009E6161">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205FBFC3">
      <w:pP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标包1、标包2、标包4、标包5、标包6：</w:t>
      </w:r>
    </w:p>
    <w:tbl>
      <w:tblPr>
        <w:tblStyle w:val="25"/>
        <w:tblW w:w="10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007"/>
        <w:gridCol w:w="7714"/>
        <w:gridCol w:w="1020"/>
      </w:tblGrid>
      <w:tr w14:paraId="780F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71F4C2D8">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序号</w:t>
            </w:r>
          </w:p>
        </w:tc>
        <w:tc>
          <w:tcPr>
            <w:tcW w:w="1007" w:type="dxa"/>
            <w:tcBorders>
              <w:top w:val="single" w:color="auto" w:sz="4" w:space="0"/>
              <w:left w:val="nil"/>
              <w:bottom w:val="single" w:color="auto" w:sz="4" w:space="0"/>
              <w:right w:val="single" w:color="auto" w:sz="4" w:space="0"/>
            </w:tcBorders>
            <w:vAlign w:val="center"/>
          </w:tcPr>
          <w:p w14:paraId="4DB41600">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评审项目</w:t>
            </w:r>
          </w:p>
        </w:tc>
        <w:tc>
          <w:tcPr>
            <w:tcW w:w="7714" w:type="dxa"/>
            <w:tcBorders>
              <w:top w:val="single" w:color="auto" w:sz="4" w:space="0"/>
              <w:left w:val="nil"/>
              <w:bottom w:val="single" w:color="auto" w:sz="4" w:space="0"/>
              <w:right w:val="single" w:color="auto" w:sz="4" w:space="0"/>
            </w:tcBorders>
            <w:vAlign w:val="center"/>
          </w:tcPr>
          <w:p w14:paraId="1B366908">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评审标准</w:t>
            </w:r>
          </w:p>
        </w:tc>
        <w:tc>
          <w:tcPr>
            <w:tcW w:w="1020" w:type="dxa"/>
            <w:tcBorders>
              <w:top w:val="single" w:color="auto" w:sz="4" w:space="0"/>
              <w:left w:val="nil"/>
              <w:bottom w:val="single" w:color="auto" w:sz="4" w:space="0"/>
              <w:right w:val="single" w:color="auto" w:sz="4" w:space="0"/>
            </w:tcBorders>
            <w:vAlign w:val="center"/>
          </w:tcPr>
          <w:p w14:paraId="3A77CDBB">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标准分</w:t>
            </w:r>
          </w:p>
        </w:tc>
      </w:tr>
      <w:tr w14:paraId="55FD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4A4A1E5F">
            <w:pPr>
              <w:autoSpaceDE w:val="0"/>
              <w:autoSpaceDN w:val="0"/>
              <w:adjustRightInd w:val="0"/>
              <w:jc w:val="center"/>
              <w:rPr>
                <w:rFonts w:cs="宋体" w:asciiTheme="minorEastAsia" w:hAnsiTheme="minorEastAsia"/>
                <w:kern w:val="0"/>
                <w:szCs w:val="21"/>
              </w:rPr>
            </w:pPr>
            <w:r>
              <w:rPr>
                <w:rFonts w:hint="eastAsia" w:cs="宋体" w:asciiTheme="minorEastAsia" w:hAnsiTheme="minorEastAsia"/>
                <w:kern w:val="0"/>
                <w:szCs w:val="21"/>
              </w:rPr>
              <w:t>1</w:t>
            </w:r>
          </w:p>
        </w:tc>
        <w:tc>
          <w:tcPr>
            <w:tcW w:w="1007" w:type="dxa"/>
            <w:tcBorders>
              <w:top w:val="single" w:color="auto" w:sz="4" w:space="0"/>
              <w:left w:val="nil"/>
              <w:bottom w:val="single" w:color="auto" w:sz="4" w:space="0"/>
              <w:right w:val="single" w:color="auto" w:sz="4" w:space="0"/>
            </w:tcBorders>
            <w:vAlign w:val="center"/>
          </w:tcPr>
          <w:p w14:paraId="5F547053">
            <w:pPr>
              <w:widowControl/>
              <w:jc w:val="left"/>
              <w:rPr>
                <w:rFonts w:cs="宋体" w:asciiTheme="minorEastAsia" w:hAnsiTheme="minorEastAsia"/>
                <w:kern w:val="0"/>
                <w:szCs w:val="21"/>
              </w:rPr>
            </w:pPr>
            <w:r>
              <w:rPr>
                <w:rFonts w:cs="宋体" w:asciiTheme="minorEastAsia" w:hAnsiTheme="minorEastAsia"/>
                <w:kern w:val="0"/>
                <w:szCs w:val="21"/>
              </w:rPr>
              <w:t>类似业绩</w:t>
            </w:r>
          </w:p>
        </w:tc>
        <w:tc>
          <w:tcPr>
            <w:tcW w:w="7714" w:type="dxa"/>
            <w:tcBorders>
              <w:top w:val="single" w:color="auto" w:sz="4" w:space="0"/>
              <w:left w:val="nil"/>
              <w:bottom w:val="single" w:color="auto" w:sz="4" w:space="0"/>
              <w:right w:val="single" w:color="auto" w:sz="4" w:space="0"/>
            </w:tcBorders>
            <w:vAlign w:val="center"/>
          </w:tcPr>
          <w:p w14:paraId="3CD56C44">
            <w:pPr>
              <w:widowControl/>
              <w:jc w:val="left"/>
              <w:rPr>
                <w:rFonts w:cs="宋体" w:asciiTheme="minorEastAsia" w:hAnsiTheme="minorEastAsia"/>
                <w:color w:val="auto"/>
                <w:kern w:val="0"/>
                <w:szCs w:val="21"/>
              </w:rPr>
            </w:pPr>
            <w:r>
              <w:rPr>
                <w:rFonts w:hint="eastAsia" w:cs="宋体" w:asciiTheme="minorEastAsia" w:hAnsiTheme="minorEastAsia"/>
                <w:color w:val="000000" w:themeColor="text1"/>
                <w:kern w:val="0"/>
                <w:szCs w:val="21"/>
                <w14:textFill>
                  <w14:solidFill>
                    <w14:schemeClr w14:val="tx1"/>
                  </w14:solidFill>
                </w14:textFill>
              </w:rPr>
              <w:t>供应商</w:t>
            </w:r>
            <w:r>
              <w:rPr>
                <w:rFonts w:cs="宋体" w:asciiTheme="minorEastAsia" w:hAnsiTheme="minorEastAsia"/>
                <w:color w:val="000000" w:themeColor="text1"/>
                <w:kern w:val="0"/>
                <w:szCs w:val="21"/>
                <w14:textFill>
                  <w14:solidFill>
                    <w14:schemeClr w14:val="tx1"/>
                  </w14:solidFill>
                </w14:textFill>
              </w:rPr>
              <w:t>在</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文件中提</w:t>
            </w:r>
            <w:r>
              <w:rPr>
                <w:rFonts w:cs="宋体" w:asciiTheme="minorEastAsia" w:hAnsiTheme="minorEastAsia"/>
                <w:color w:val="auto"/>
                <w:kern w:val="0"/>
                <w:szCs w:val="21"/>
              </w:rPr>
              <w:t>供202</w:t>
            </w:r>
            <w:r>
              <w:rPr>
                <w:rFonts w:hint="eastAsia" w:cs="宋体" w:asciiTheme="minorEastAsia" w:hAnsiTheme="minorEastAsia"/>
                <w:color w:val="auto"/>
                <w:kern w:val="0"/>
                <w:szCs w:val="21"/>
                <w:lang w:val="en-US" w:eastAsia="zh-CN"/>
              </w:rPr>
              <w:t>3</w:t>
            </w:r>
            <w:r>
              <w:rPr>
                <w:rFonts w:cs="宋体" w:asciiTheme="minorEastAsia" w:hAnsiTheme="minorEastAsia"/>
                <w:color w:val="auto"/>
                <w:kern w:val="0"/>
                <w:szCs w:val="21"/>
              </w:rPr>
              <w:t>年1月1日</w:t>
            </w:r>
            <w:r>
              <w:rPr>
                <w:rFonts w:hint="eastAsia" w:cs="宋体" w:asciiTheme="minorEastAsia" w:hAnsiTheme="minorEastAsia"/>
                <w:color w:val="auto"/>
                <w:kern w:val="0"/>
                <w:szCs w:val="21"/>
              </w:rPr>
              <w:t>至今</w:t>
            </w:r>
            <w:r>
              <w:rPr>
                <w:rFonts w:cs="宋体" w:asciiTheme="minorEastAsia" w:hAnsiTheme="minorEastAsia"/>
                <w:color w:val="auto"/>
                <w:kern w:val="0"/>
                <w:szCs w:val="21"/>
              </w:rPr>
              <w:t>的类似</w:t>
            </w:r>
            <w:r>
              <w:rPr>
                <w:rFonts w:hint="eastAsia" w:cs="宋体" w:asciiTheme="minorEastAsia" w:hAnsiTheme="minorEastAsia"/>
                <w:color w:val="auto"/>
                <w:kern w:val="0"/>
                <w:szCs w:val="21"/>
              </w:rPr>
              <w:t>业绩</w:t>
            </w:r>
            <w:r>
              <w:rPr>
                <w:rFonts w:cs="宋体" w:asciiTheme="minorEastAsia" w:hAnsiTheme="minorEastAsia"/>
                <w:color w:val="auto"/>
                <w:kern w:val="0"/>
                <w:szCs w:val="21"/>
              </w:rPr>
              <w:t>合同扫描件，每一份有效业绩得1分，此项满分</w:t>
            </w:r>
            <w:r>
              <w:rPr>
                <w:rFonts w:hint="eastAsia" w:cs="宋体" w:asciiTheme="minorEastAsia" w:hAnsiTheme="minorEastAsia"/>
                <w:color w:val="auto"/>
                <w:kern w:val="0"/>
                <w:szCs w:val="21"/>
              </w:rPr>
              <w:t>5</w:t>
            </w:r>
            <w:r>
              <w:rPr>
                <w:rFonts w:cs="宋体" w:asciiTheme="minorEastAsia" w:hAnsiTheme="minorEastAsia"/>
                <w:color w:val="auto"/>
                <w:kern w:val="0"/>
                <w:szCs w:val="21"/>
              </w:rPr>
              <w:t xml:space="preserve">分。 </w:t>
            </w:r>
          </w:p>
          <w:p w14:paraId="29AC9935">
            <w:pPr>
              <w:widowControl/>
              <w:jc w:val="left"/>
              <w:rPr>
                <w:rFonts w:cs="宋体" w:asciiTheme="minorEastAsia" w:hAnsiTheme="minorEastAsia"/>
                <w:kern w:val="0"/>
                <w:szCs w:val="21"/>
              </w:rPr>
            </w:pPr>
            <w:r>
              <w:rPr>
                <w:rFonts w:cs="宋体" w:asciiTheme="minorEastAsia" w:hAnsiTheme="minorEastAsia"/>
                <w:kern w:val="0"/>
                <w:szCs w:val="21"/>
              </w:rPr>
              <w:t>注：若合同页数过多，则可只上传主要页（包括采</w:t>
            </w:r>
            <w:r>
              <w:rPr>
                <w:rFonts w:cs="宋体" w:asciiTheme="minorEastAsia" w:hAnsiTheme="minorEastAsia"/>
                <w:color w:val="000000" w:themeColor="text1"/>
                <w:kern w:val="0"/>
                <w:szCs w:val="21"/>
                <w14:textFill>
                  <w14:solidFill>
                    <w14:schemeClr w14:val="tx1"/>
                  </w14:solidFill>
                </w14:textFill>
              </w:rPr>
              <w:t>购内容、签约日期、双方盖章等内容）。业绩证明材料需清晰可辨认，否则视为无效业绩。</w:t>
            </w:r>
          </w:p>
        </w:tc>
        <w:tc>
          <w:tcPr>
            <w:tcW w:w="1020" w:type="dxa"/>
            <w:tcBorders>
              <w:top w:val="single" w:color="auto" w:sz="4" w:space="0"/>
              <w:left w:val="nil"/>
              <w:bottom w:val="single" w:color="auto" w:sz="4" w:space="0"/>
              <w:right w:val="single" w:color="auto" w:sz="4" w:space="0"/>
            </w:tcBorders>
            <w:vAlign w:val="center"/>
          </w:tcPr>
          <w:p w14:paraId="2BD50DC3">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5</w:t>
            </w:r>
          </w:p>
        </w:tc>
      </w:tr>
      <w:tr w14:paraId="1BAD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37A18187">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2</w:t>
            </w:r>
          </w:p>
        </w:tc>
        <w:tc>
          <w:tcPr>
            <w:tcW w:w="1007" w:type="dxa"/>
            <w:tcBorders>
              <w:top w:val="single" w:color="auto" w:sz="4" w:space="0"/>
              <w:left w:val="nil"/>
              <w:bottom w:val="single" w:color="auto" w:sz="4" w:space="0"/>
              <w:right w:val="single" w:color="auto" w:sz="4" w:space="0"/>
            </w:tcBorders>
            <w:vAlign w:val="center"/>
          </w:tcPr>
          <w:p w14:paraId="0EEB4714">
            <w:pPr>
              <w:widowControl/>
              <w:jc w:val="left"/>
              <w:rPr>
                <w:rFonts w:cs="宋体" w:asciiTheme="minorEastAsia" w:hAnsiTheme="minorEastAsia"/>
                <w:kern w:val="0"/>
                <w:szCs w:val="21"/>
              </w:rPr>
            </w:pPr>
            <w:r>
              <w:rPr>
                <w:rFonts w:hint="eastAsia" w:cs="宋体" w:asciiTheme="minorEastAsia" w:hAnsiTheme="minorEastAsia"/>
                <w:kern w:val="0"/>
                <w:szCs w:val="21"/>
              </w:rPr>
              <w:t>人员配备</w:t>
            </w:r>
          </w:p>
        </w:tc>
        <w:tc>
          <w:tcPr>
            <w:tcW w:w="7714" w:type="dxa"/>
            <w:tcBorders>
              <w:top w:val="single" w:color="auto" w:sz="4" w:space="0"/>
              <w:left w:val="nil"/>
              <w:bottom w:val="single" w:color="auto" w:sz="4" w:space="0"/>
              <w:right w:val="single" w:color="auto" w:sz="4" w:space="0"/>
            </w:tcBorders>
            <w:vAlign w:val="center"/>
          </w:tcPr>
          <w:p w14:paraId="122C5863">
            <w:pPr>
              <w:widowControl/>
              <w:jc w:val="left"/>
              <w:rPr>
                <w:rFonts w:cs="宋体" w:asciiTheme="minorEastAsia" w:hAnsiTheme="minorEastAsia"/>
                <w:kern w:val="0"/>
                <w:szCs w:val="21"/>
              </w:rPr>
            </w:pPr>
            <w:r>
              <w:rPr>
                <w:rFonts w:hint="eastAsia" w:cs="宋体" w:asciiTheme="minorEastAsia" w:hAnsiTheme="minorEastAsia"/>
                <w:color w:val="000000" w:themeColor="text1"/>
                <w:kern w:val="0"/>
                <w:szCs w:val="21"/>
                <w14:textFill>
                  <w14:solidFill>
                    <w14:schemeClr w14:val="tx1"/>
                  </w14:solidFill>
                </w14:textFill>
              </w:rPr>
              <w:t>1)本项目负责人具有（通信或网络或信息化）职称证书，高级工程师职称证书得 2 分，中级证书得 1 分。（需提供职称证书扫描件、本单位社保缴纳证明、劳动合同）</w:t>
            </w:r>
          </w:p>
          <w:p w14:paraId="1A3290B7">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2）提供满足本项目需求的专业服务团队，人数不少于 6 人（不含项目负责人），人员结构及分工明确，人员信息齐全，得 6 分，出现一项不满足或缺失的扣 1 分，扣完为止； </w:t>
            </w:r>
          </w:p>
          <w:p w14:paraId="07F4248D">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3）团队中（不含项目负责人）有通信工程中级及以上职称或网络工程师或运维 IT 服务人员资质证书的，每具备一个得 1 分，满分 6 分； </w:t>
            </w:r>
          </w:p>
          <w:p w14:paraId="50F60726">
            <w:pPr>
              <w:widowControl/>
              <w:jc w:val="left"/>
              <w:rPr>
                <w:rFonts w:cs="宋体" w:asciiTheme="minorEastAsia" w:hAnsiTheme="minorEastAsia"/>
                <w:kern w:val="0"/>
                <w:szCs w:val="21"/>
              </w:rPr>
            </w:pPr>
            <w:r>
              <w:rPr>
                <w:rFonts w:hint="eastAsia" w:cs="宋体" w:asciiTheme="minorEastAsia" w:hAnsiTheme="minorEastAsia"/>
                <w:kern w:val="0"/>
                <w:szCs w:val="21"/>
              </w:rPr>
              <w:t>注：以上人员需提供相关证书扫描件、本单位社保缴纳证明、劳动合同等相关证明资料。</w:t>
            </w:r>
          </w:p>
        </w:tc>
        <w:tc>
          <w:tcPr>
            <w:tcW w:w="1020" w:type="dxa"/>
            <w:tcBorders>
              <w:top w:val="single" w:color="auto" w:sz="4" w:space="0"/>
              <w:left w:val="nil"/>
              <w:bottom w:val="single" w:color="auto" w:sz="4" w:space="0"/>
              <w:right w:val="single" w:color="auto" w:sz="4" w:space="0"/>
            </w:tcBorders>
            <w:vAlign w:val="center"/>
          </w:tcPr>
          <w:p w14:paraId="45F26ECA">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14</w:t>
            </w:r>
          </w:p>
        </w:tc>
      </w:tr>
      <w:tr w14:paraId="5183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0C5AB76E">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3</w:t>
            </w:r>
          </w:p>
        </w:tc>
        <w:tc>
          <w:tcPr>
            <w:tcW w:w="1007" w:type="dxa"/>
            <w:tcBorders>
              <w:top w:val="single" w:color="auto" w:sz="4" w:space="0"/>
              <w:left w:val="nil"/>
              <w:bottom w:val="single" w:color="auto" w:sz="4" w:space="0"/>
              <w:right w:val="single" w:color="auto" w:sz="4" w:space="0"/>
            </w:tcBorders>
            <w:vAlign w:val="center"/>
          </w:tcPr>
          <w:p w14:paraId="2BD3481F">
            <w:pPr>
              <w:widowControl/>
              <w:jc w:val="left"/>
              <w:rPr>
                <w:rFonts w:asciiTheme="minorEastAsia" w:hAnsiTheme="minorEastAsia"/>
                <w:kern w:val="0"/>
                <w:szCs w:val="21"/>
              </w:rPr>
            </w:pPr>
            <w:r>
              <w:rPr>
                <w:rFonts w:hint="eastAsia" w:cs="宋体" w:asciiTheme="minorEastAsia" w:hAnsiTheme="minorEastAsia"/>
                <w:kern w:val="0"/>
                <w:szCs w:val="21"/>
              </w:rPr>
              <w:t>服务要求的符合程度</w:t>
            </w:r>
          </w:p>
        </w:tc>
        <w:tc>
          <w:tcPr>
            <w:tcW w:w="7714" w:type="dxa"/>
            <w:tcBorders>
              <w:top w:val="single" w:color="auto" w:sz="4" w:space="0"/>
              <w:left w:val="nil"/>
              <w:bottom w:val="single" w:color="auto" w:sz="4" w:space="0"/>
              <w:right w:val="single" w:color="auto" w:sz="4" w:space="0"/>
            </w:tcBorders>
            <w:vAlign w:val="center"/>
          </w:tcPr>
          <w:p w14:paraId="02EBB1B9">
            <w:pPr>
              <w:widowControl/>
              <w:jc w:val="left"/>
              <w:rPr>
                <w:rFonts w:cs="宋体" w:asciiTheme="minorEastAsia" w:hAnsiTheme="minorEastAsia"/>
                <w:kern w:val="0"/>
                <w:szCs w:val="21"/>
              </w:rPr>
            </w:pPr>
            <w:r>
              <w:rPr>
                <w:rFonts w:hint="eastAsia" w:cs="宋体" w:asciiTheme="minorEastAsia" w:hAnsiTheme="minorEastAsia"/>
                <w:kern w:val="0"/>
                <w:szCs w:val="21"/>
              </w:rPr>
              <w:t>供应商须对照第</w:t>
            </w:r>
            <w:r>
              <w:rPr>
                <w:rFonts w:hint="eastAsia" w:cs="宋体" w:asciiTheme="minorEastAsia" w:hAnsiTheme="minorEastAsia"/>
                <w:kern w:val="0"/>
                <w:szCs w:val="21"/>
                <w:lang w:val="en-US" w:eastAsia="zh-CN"/>
              </w:rPr>
              <w:t>六</w:t>
            </w:r>
            <w:r>
              <w:rPr>
                <w:rFonts w:hint="eastAsia" w:cs="宋体" w:asciiTheme="minorEastAsia" w:hAnsiTheme="minorEastAsia"/>
                <w:kern w:val="0"/>
                <w:szCs w:val="21"/>
              </w:rPr>
              <w:t>章</w:t>
            </w:r>
            <w:r>
              <w:rPr>
                <w:rFonts w:hint="eastAsia" w:cs="宋体" w:asciiTheme="minorEastAsia" w:hAnsiTheme="minorEastAsia"/>
                <w:kern w:val="0"/>
                <w:szCs w:val="21"/>
                <w:lang w:val="en-US" w:eastAsia="zh-CN"/>
              </w:rPr>
              <w:t>项目采购需求</w:t>
            </w:r>
            <w:r>
              <w:rPr>
                <w:rFonts w:hint="eastAsia" w:cs="宋体" w:asciiTheme="minorEastAsia" w:hAnsiTheme="minorEastAsia"/>
                <w:kern w:val="0"/>
                <w:szCs w:val="21"/>
              </w:rPr>
              <w:t>全部内容逐条在《商务技术偏离表》中列明响应内容及是否偏离等情况，要求提供相关证明资料，须在“</w:t>
            </w:r>
            <w:r>
              <w:rPr>
                <w:rFonts w:hint="eastAsia" w:cs="宋体" w:asciiTheme="minorEastAsia" w:hAnsiTheme="minorEastAsia"/>
                <w:kern w:val="0"/>
                <w:szCs w:val="21"/>
                <w:lang w:eastAsia="zh-CN"/>
              </w:rPr>
              <w:t>说明</w:t>
            </w:r>
            <w:r>
              <w:rPr>
                <w:rFonts w:hint="eastAsia" w:cs="宋体" w:asciiTheme="minorEastAsia" w:hAnsiTheme="minorEastAsia"/>
                <w:kern w:val="0"/>
                <w:szCs w:val="21"/>
              </w:rPr>
              <w:t xml:space="preserve">”栏说明证明资料在《响应文件》的具体位置或页码），无法提供相关证明材料的供应商自行承诺相关内容并保证承诺内容真实有效： </w:t>
            </w:r>
          </w:p>
          <w:p w14:paraId="39EEDFA5">
            <w:pPr>
              <w:widowControl/>
              <w:jc w:val="left"/>
              <w:rPr>
                <w:rFonts w:asciiTheme="minorEastAsia" w:hAnsiTheme="minorEastAsia"/>
                <w:kern w:val="0"/>
                <w:szCs w:val="21"/>
              </w:rPr>
            </w:pPr>
            <w:r>
              <w:rPr>
                <w:rFonts w:hint="eastAsia" w:cs="宋体" w:asciiTheme="minorEastAsia" w:hAnsiTheme="minorEastAsia"/>
                <w:kern w:val="0"/>
                <w:szCs w:val="21"/>
              </w:rPr>
              <w:t>根据响应文件对采购文件采购需求的响应程度：优于或完全符合采购文件要求的得 14 分。每有一项负偏离扣 2 分，扣完为止。</w:t>
            </w:r>
          </w:p>
        </w:tc>
        <w:tc>
          <w:tcPr>
            <w:tcW w:w="1020" w:type="dxa"/>
            <w:tcBorders>
              <w:top w:val="single" w:color="auto" w:sz="4" w:space="0"/>
              <w:left w:val="nil"/>
              <w:bottom w:val="single" w:color="auto" w:sz="4" w:space="0"/>
              <w:right w:val="single" w:color="auto" w:sz="4" w:space="0"/>
            </w:tcBorders>
            <w:vAlign w:val="center"/>
          </w:tcPr>
          <w:p w14:paraId="444F0A55">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14</w:t>
            </w:r>
          </w:p>
        </w:tc>
      </w:tr>
      <w:tr w14:paraId="7A8B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7364E5DF">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4</w:t>
            </w:r>
          </w:p>
        </w:tc>
        <w:tc>
          <w:tcPr>
            <w:tcW w:w="1007" w:type="dxa"/>
            <w:tcBorders>
              <w:top w:val="single" w:color="auto" w:sz="4" w:space="0"/>
              <w:left w:val="nil"/>
              <w:bottom w:val="single" w:color="auto" w:sz="4" w:space="0"/>
              <w:right w:val="single" w:color="auto" w:sz="4" w:space="0"/>
            </w:tcBorders>
            <w:vAlign w:val="center"/>
          </w:tcPr>
          <w:p w14:paraId="42CA265C">
            <w:pPr>
              <w:widowControl/>
              <w:jc w:val="left"/>
              <w:rPr>
                <w:rFonts w:cs="宋体" w:asciiTheme="minorEastAsia" w:hAnsiTheme="minorEastAsia"/>
                <w:kern w:val="0"/>
                <w:szCs w:val="21"/>
              </w:rPr>
            </w:pPr>
            <w:r>
              <w:rPr>
                <w:rFonts w:hint="eastAsia" w:cs="宋体" w:asciiTheme="minorEastAsia" w:hAnsiTheme="minorEastAsia"/>
                <w:kern w:val="0"/>
                <w:szCs w:val="21"/>
              </w:rPr>
              <w:t>割接服务要求方案</w:t>
            </w:r>
          </w:p>
        </w:tc>
        <w:tc>
          <w:tcPr>
            <w:tcW w:w="7714" w:type="dxa"/>
            <w:tcBorders>
              <w:top w:val="single" w:color="auto" w:sz="4" w:space="0"/>
              <w:left w:val="nil"/>
              <w:bottom w:val="single" w:color="auto" w:sz="4" w:space="0"/>
              <w:right w:val="single" w:color="auto" w:sz="4" w:space="0"/>
            </w:tcBorders>
            <w:vAlign w:val="center"/>
          </w:tcPr>
          <w:p w14:paraId="26B443E8">
            <w:pPr>
              <w:widowControl/>
              <w:jc w:val="left"/>
              <w:rPr>
                <w:rFonts w:cs="宋体" w:asciiTheme="minorEastAsia" w:hAnsiTheme="minorEastAsia"/>
                <w:kern w:val="0"/>
                <w:szCs w:val="21"/>
              </w:rPr>
            </w:pPr>
            <w:r>
              <w:rPr>
                <w:rFonts w:hint="eastAsia" w:cs="宋体" w:asciiTheme="minorEastAsia" w:hAnsiTheme="minorEastAsia"/>
                <w:kern w:val="0"/>
                <w:szCs w:val="21"/>
              </w:rPr>
              <w:t>为最大可能减少割接工程对业务工作的影响为主要目标，需提供①完整割接方案②割接时限的承诺书③方案中需明确中断或不中断时间计算方式及相应措施以保障采购现有业务网络的正常。每项得 3 分，此项最高得分 9 分。内容每出现一处缺陷（缺陷是指：只提供评分标准标题、内容不适用项目实际情况的情形及项目的采购需求、凭空编造、内容前后不一致、前后逻辑错误、涉及的规范及标准错误、地点区域错误、内容缺失不完整）的扣 1 分,若未提供不得分。</w:t>
            </w:r>
          </w:p>
        </w:tc>
        <w:tc>
          <w:tcPr>
            <w:tcW w:w="1020" w:type="dxa"/>
            <w:tcBorders>
              <w:top w:val="single" w:color="auto" w:sz="4" w:space="0"/>
              <w:left w:val="nil"/>
              <w:bottom w:val="single" w:color="auto" w:sz="4" w:space="0"/>
              <w:right w:val="single" w:color="auto" w:sz="4" w:space="0"/>
            </w:tcBorders>
            <w:vAlign w:val="center"/>
          </w:tcPr>
          <w:p w14:paraId="3101E792">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9</w:t>
            </w:r>
          </w:p>
        </w:tc>
      </w:tr>
      <w:tr w14:paraId="6B01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6374B7E3">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5</w:t>
            </w:r>
          </w:p>
        </w:tc>
        <w:tc>
          <w:tcPr>
            <w:tcW w:w="1007" w:type="dxa"/>
            <w:tcBorders>
              <w:top w:val="single" w:color="auto" w:sz="4" w:space="0"/>
              <w:left w:val="nil"/>
              <w:bottom w:val="single" w:color="auto" w:sz="4" w:space="0"/>
              <w:right w:val="single" w:color="auto" w:sz="4" w:space="0"/>
            </w:tcBorders>
            <w:vAlign w:val="center"/>
          </w:tcPr>
          <w:p w14:paraId="0DFE489F">
            <w:pPr>
              <w:widowControl/>
              <w:jc w:val="left"/>
              <w:rPr>
                <w:rFonts w:asciiTheme="minorEastAsia" w:hAnsiTheme="minorEastAsia"/>
                <w:kern w:val="0"/>
                <w:szCs w:val="21"/>
              </w:rPr>
            </w:pPr>
            <w:r>
              <w:rPr>
                <w:rFonts w:hint="eastAsia" w:cs="宋体" w:asciiTheme="minorEastAsia" w:hAnsiTheme="minorEastAsia"/>
                <w:color w:val="000000"/>
                <w:kern w:val="0"/>
                <w:szCs w:val="21"/>
              </w:rPr>
              <w:t>链路覆盖范围</w:t>
            </w:r>
          </w:p>
        </w:tc>
        <w:tc>
          <w:tcPr>
            <w:tcW w:w="7714" w:type="dxa"/>
            <w:tcBorders>
              <w:top w:val="single" w:color="auto" w:sz="4" w:space="0"/>
              <w:left w:val="nil"/>
              <w:bottom w:val="single" w:color="auto" w:sz="4" w:space="0"/>
              <w:right w:val="single" w:color="auto" w:sz="4" w:space="0"/>
            </w:tcBorders>
            <w:vAlign w:val="center"/>
          </w:tcPr>
          <w:p w14:paraId="54FC9161">
            <w:pPr>
              <w:widowControl/>
              <w:jc w:val="left"/>
              <w:rPr>
                <w:rFonts w:cs="宋体" w:asciiTheme="minorEastAsia" w:hAnsiTheme="minorEastAsia"/>
                <w:kern w:val="0"/>
                <w:szCs w:val="21"/>
              </w:rPr>
            </w:pPr>
            <w:r>
              <w:rPr>
                <w:rFonts w:hint="eastAsia" w:cs="宋体" w:asciiTheme="minorEastAsia" w:hAnsiTheme="minorEastAsia"/>
                <w:color w:val="000000"/>
                <w:kern w:val="0"/>
                <w:szCs w:val="21"/>
              </w:rPr>
              <w:t xml:space="preserve">要求供应商在服务所在区域内具有覆盖到社区的链路资源，可以满足本次项目所涉及的接入及后续扩容的要求，光纤链路到达各点位设备箱位置的资源完全到位，根据资源到位率进行评分。 </w:t>
            </w:r>
          </w:p>
          <w:p w14:paraId="69B03CB2">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覆盖率100%的得 14分；覆盖率 </w:t>
            </w:r>
            <w:r>
              <w:rPr>
                <w:rFonts w:hint="eastAsia" w:cs="宋体" w:asciiTheme="minorEastAsia" w:hAnsiTheme="minorEastAsia"/>
                <w:kern w:val="0"/>
                <w:szCs w:val="21"/>
                <w:lang w:val="en-US" w:eastAsia="zh-CN"/>
              </w:rPr>
              <w:t>91</w:t>
            </w:r>
            <w:r>
              <w:rPr>
                <w:rFonts w:hint="eastAsia" w:cs="宋体" w:asciiTheme="minorEastAsia" w:hAnsiTheme="minorEastAsia"/>
                <w:kern w:val="0"/>
                <w:szCs w:val="21"/>
              </w:rPr>
              <w:t>%-9</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%的得 8 分；覆盖率</w:t>
            </w:r>
            <w:r>
              <w:rPr>
                <w:rFonts w:hint="eastAsia" w:cs="宋体" w:asciiTheme="minorEastAsia" w:hAnsiTheme="minorEastAsia"/>
                <w:kern w:val="0"/>
                <w:szCs w:val="21"/>
                <w:lang w:val="en-US" w:eastAsia="zh-CN"/>
              </w:rPr>
              <w:t>51</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0%的得 4 分；覆盖率 1%-</w:t>
            </w:r>
            <w:r>
              <w:rPr>
                <w:rFonts w:hint="eastAsia" w:cs="宋体" w:asciiTheme="minorEastAsia" w:hAnsiTheme="minorEastAsia"/>
                <w:kern w:val="0"/>
                <w:szCs w:val="21"/>
                <w:lang w:val="en-US" w:eastAsia="zh-CN"/>
              </w:rPr>
              <w:t>50</w:t>
            </w:r>
            <w:r>
              <w:rPr>
                <w:rFonts w:hint="eastAsia" w:cs="宋体" w:asciiTheme="minorEastAsia" w:hAnsiTheme="minorEastAsia"/>
                <w:kern w:val="0"/>
                <w:szCs w:val="21"/>
              </w:rPr>
              <w:t>%的得 1 分；资源到位率为 0 的不得分。</w:t>
            </w:r>
          </w:p>
          <w:p w14:paraId="45D9273E">
            <w:pPr>
              <w:widowControl/>
              <w:jc w:val="left"/>
              <w:rPr>
                <w:rFonts w:asciiTheme="minorEastAsia" w:hAnsiTheme="minorEastAsia"/>
                <w:szCs w:val="21"/>
              </w:rPr>
            </w:pPr>
            <w:bookmarkStart w:id="38" w:name="OLE_LINK8"/>
            <w:r>
              <w:rPr>
                <w:rFonts w:hint="eastAsia" w:cs="宋体" w:asciiTheme="minorEastAsia" w:hAnsiTheme="minorEastAsia"/>
                <w:kern w:val="0"/>
                <w:szCs w:val="21"/>
              </w:rPr>
              <w:t>提供点位光分箱（到每个点位办公楼）位置资源的照片和承诺函等相关资料。</w:t>
            </w:r>
            <w:bookmarkEnd w:id="38"/>
          </w:p>
        </w:tc>
        <w:tc>
          <w:tcPr>
            <w:tcW w:w="1020" w:type="dxa"/>
            <w:tcBorders>
              <w:top w:val="single" w:color="auto" w:sz="4" w:space="0"/>
              <w:left w:val="nil"/>
              <w:bottom w:val="single" w:color="auto" w:sz="4" w:space="0"/>
              <w:right w:val="single" w:color="auto" w:sz="4" w:space="0"/>
            </w:tcBorders>
            <w:vAlign w:val="center"/>
          </w:tcPr>
          <w:p w14:paraId="5E4C58F9">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14</w:t>
            </w:r>
          </w:p>
        </w:tc>
      </w:tr>
      <w:tr w14:paraId="5E95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381C2B34">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6</w:t>
            </w:r>
          </w:p>
        </w:tc>
        <w:tc>
          <w:tcPr>
            <w:tcW w:w="1007" w:type="dxa"/>
            <w:tcBorders>
              <w:top w:val="single" w:color="auto" w:sz="4" w:space="0"/>
              <w:left w:val="nil"/>
              <w:bottom w:val="single" w:color="auto" w:sz="4" w:space="0"/>
              <w:right w:val="single" w:color="auto" w:sz="4" w:space="0"/>
            </w:tcBorders>
            <w:vAlign w:val="center"/>
          </w:tcPr>
          <w:p w14:paraId="7635175D">
            <w:pPr>
              <w:widowControl/>
              <w:jc w:val="left"/>
              <w:rPr>
                <w:rFonts w:asciiTheme="minorEastAsia" w:hAnsiTheme="minorEastAsia"/>
                <w:kern w:val="0"/>
                <w:szCs w:val="21"/>
              </w:rPr>
            </w:pPr>
            <w:r>
              <w:rPr>
                <w:rFonts w:hint="eastAsia" w:cs="宋体" w:asciiTheme="minorEastAsia" w:hAnsiTheme="minorEastAsia"/>
                <w:color w:val="000000"/>
                <w:kern w:val="0"/>
                <w:szCs w:val="21"/>
              </w:rPr>
              <w:t>项目实施方案</w:t>
            </w:r>
          </w:p>
        </w:tc>
        <w:tc>
          <w:tcPr>
            <w:tcW w:w="7714" w:type="dxa"/>
            <w:tcBorders>
              <w:top w:val="single" w:color="auto" w:sz="4" w:space="0"/>
              <w:left w:val="nil"/>
              <w:bottom w:val="single" w:color="auto" w:sz="4" w:space="0"/>
              <w:right w:val="single" w:color="auto" w:sz="4" w:space="0"/>
            </w:tcBorders>
            <w:vAlign w:val="center"/>
          </w:tcPr>
          <w:p w14:paraId="298A91DC">
            <w:pPr>
              <w:widowControl/>
              <w:jc w:val="left"/>
              <w:rPr>
                <w:rFonts w:cs="宋体" w:asciiTheme="minorEastAsia" w:hAnsiTheme="minorEastAsia"/>
                <w:kern w:val="0"/>
                <w:szCs w:val="21"/>
              </w:rPr>
            </w:pPr>
            <w:r>
              <w:rPr>
                <w:rFonts w:hint="eastAsia" w:cs="宋体" w:asciiTheme="minorEastAsia" w:hAnsiTheme="minorEastAsia"/>
                <w:color w:val="000000"/>
                <w:kern w:val="0"/>
                <w:szCs w:val="21"/>
              </w:rPr>
              <w:t xml:space="preserve">供应商提供的项目实施方案，内容包含项目实施计划、服务目标及范围理解、管理组织架构、安全保障措施、专线开通方案、维护方案、服务保障等，根据方案的合理性、科学性和服务能力及条件综合评定打分。 </w:t>
            </w:r>
          </w:p>
          <w:p w14:paraId="32DC4207">
            <w:pPr>
              <w:widowControl/>
              <w:jc w:val="left"/>
              <w:rPr>
                <w:rFonts w:asciiTheme="minorEastAsia" w:hAnsiTheme="minorEastAsia"/>
                <w:szCs w:val="21"/>
              </w:rPr>
            </w:pPr>
            <w:r>
              <w:rPr>
                <w:rFonts w:hint="eastAsia" w:cs="宋体" w:asciiTheme="minorEastAsia" w:hAnsiTheme="minorEastAsia"/>
                <w:color w:val="000000"/>
                <w:kern w:val="0"/>
                <w:szCs w:val="21"/>
              </w:rPr>
              <w:t>内容完整且无缺陷的得 21 分，缺少一项扣 3 分。每出现一处缺陷（缺陷是指：存在内容响应不完整、不适用项目实际情况的情形、凭空编造、前后不一致、前后逻辑错误等）扣 1 分，扣完为止。未提供或不满足需求的不得分。</w:t>
            </w:r>
          </w:p>
        </w:tc>
        <w:tc>
          <w:tcPr>
            <w:tcW w:w="1020" w:type="dxa"/>
            <w:tcBorders>
              <w:top w:val="single" w:color="auto" w:sz="4" w:space="0"/>
              <w:left w:val="nil"/>
              <w:bottom w:val="single" w:color="auto" w:sz="4" w:space="0"/>
              <w:right w:val="single" w:color="auto" w:sz="4" w:space="0"/>
            </w:tcBorders>
            <w:vAlign w:val="center"/>
          </w:tcPr>
          <w:p w14:paraId="1E85BE7D">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21</w:t>
            </w:r>
          </w:p>
        </w:tc>
      </w:tr>
      <w:tr w14:paraId="7498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7BFE3B8C">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7</w:t>
            </w:r>
          </w:p>
        </w:tc>
        <w:tc>
          <w:tcPr>
            <w:tcW w:w="1007" w:type="dxa"/>
            <w:tcBorders>
              <w:top w:val="single" w:color="auto" w:sz="4" w:space="0"/>
              <w:left w:val="nil"/>
              <w:bottom w:val="single" w:color="auto" w:sz="4" w:space="0"/>
              <w:right w:val="single" w:color="auto" w:sz="4" w:space="0"/>
            </w:tcBorders>
            <w:vAlign w:val="center"/>
          </w:tcPr>
          <w:p w14:paraId="09A6F351">
            <w:pPr>
              <w:widowControl/>
              <w:jc w:val="left"/>
              <w:rPr>
                <w:rFonts w:asciiTheme="minorEastAsia" w:hAnsiTheme="minorEastAsia"/>
                <w:kern w:val="0"/>
                <w:szCs w:val="21"/>
              </w:rPr>
            </w:pPr>
            <w:r>
              <w:rPr>
                <w:rFonts w:hint="eastAsia" w:asciiTheme="minorEastAsia" w:hAnsiTheme="minorEastAsia"/>
                <w:color w:val="000000"/>
                <w:szCs w:val="21"/>
              </w:rPr>
              <w:t>售后服务</w:t>
            </w:r>
          </w:p>
        </w:tc>
        <w:tc>
          <w:tcPr>
            <w:tcW w:w="7714" w:type="dxa"/>
            <w:tcBorders>
              <w:top w:val="single" w:color="auto" w:sz="4" w:space="0"/>
              <w:left w:val="nil"/>
              <w:bottom w:val="single" w:color="auto" w:sz="4" w:space="0"/>
              <w:right w:val="single" w:color="auto" w:sz="4" w:space="0"/>
            </w:tcBorders>
            <w:vAlign w:val="center"/>
          </w:tcPr>
          <w:p w14:paraId="56B39720">
            <w:pPr>
              <w:widowControl/>
              <w:jc w:val="left"/>
              <w:rPr>
                <w:rFonts w:cs="宋体" w:asciiTheme="minorEastAsia" w:hAnsiTheme="minorEastAsia"/>
                <w:kern w:val="0"/>
                <w:szCs w:val="21"/>
              </w:rPr>
            </w:pPr>
            <w:r>
              <w:rPr>
                <w:rFonts w:hint="eastAsia" w:cs="宋体" w:asciiTheme="minorEastAsia" w:hAnsiTheme="minorEastAsia"/>
                <w:color w:val="000000"/>
                <w:kern w:val="0"/>
                <w:szCs w:val="21"/>
              </w:rPr>
              <w:t xml:space="preserve">供应商提供的售后服务方案，内容包括售后服务承诺、服务流程、巡检时间、紧急维护、重大保障措施等；根据方案内容充分，详细具体可行，合理性、科学性等条件综合评定打分。 </w:t>
            </w:r>
          </w:p>
          <w:p w14:paraId="20BF9893">
            <w:pPr>
              <w:widowControl/>
              <w:jc w:val="left"/>
              <w:rPr>
                <w:rFonts w:cs="宋体" w:asciiTheme="minorEastAsia" w:hAnsiTheme="minorEastAsia"/>
                <w:kern w:val="0"/>
                <w:szCs w:val="21"/>
              </w:rPr>
            </w:pPr>
            <w:r>
              <w:rPr>
                <w:rFonts w:hint="eastAsia" w:cs="宋体" w:asciiTheme="minorEastAsia" w:hAnsiTheme="minorEastAsia"/>
                <w:color w:val="000000"/>
                <w:kern w:val="0"/>
                <w:szCs w:val="21"/>
              </w:rPr>
              <w:t xml:space="preserve">内容完整且无缺陷的得 5 分，缺少一项扣 1 分。每出现一处缺陷（缺陷是指：存在内容响应不完整、不适用项目实际情况的情形、凭空编造、前后不一致、前后逻辑错误等）扣 0.5 分，扣完为止。 </w:t>
            </w:r>
          </w:p>
          <w:p w14:paraId="7750816F">
            <w:pPr>
              <w:autoSpaceDE w:val="0"/>
              <w:autoSpaceDN w:val="0"/>
              <w:adjustRightInd w:val="0"/>
              <w:jc w:val="left"/>
              <w:rPr>
                <w:rFonts w:asciiTheme="minorEastAsia" w:hAnsiTheme="minorEastAsia"/>
                <w:szCs w:val="21"/>
              </w:rPr>
            </w:pPr>
            <w:r>
              <w:rPr>
                <w:rFonts w:hint="eastAsia" w:cs="宋体" w:asciiTheme="minorEastAsia" w:hAnsiTheme="minorEastAsia"/>
                <w:color w:val="000000"/>
                <w:kern w:val="0"/>
                <w:szCs w:val="21"/>
              </w:rPr>
              <w:t>未提供或不满足需求的不得分。</w:t>
            </w:r>
          </w:p>
        </w:tc>
        <w:tc>
          <w:tcPr>
            <w:tcW w:w="1020" w:type="dxa"/>
            <w:tcBorders>
              <w:top w:val="single" w:color="auto" w:sz="4" w:space="0"/>
              <w:left w:val="nil"/>
              <w:bottom w:val="single" w:color="auto" w:sz="4" w:space="0"/>
              <w:right w:val="single" w:color="auto" w:sz="4" w:space="0"/>
            </w:tcBorders>
            <w:vAlign w:val="center"/>
          </w:tcPr>
          <w:p w14:paraId="7A0E1FD9">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5</w:t>
            </w:r>
          </w:p>
        </w:tc>
      </w:tr>
      <w:tr w14:paraId="3A31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14:paraId="66042EA1">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8</w:t>
            </w:r>
          </w:p>
        </w:tc>
        <w:tc>
          <w:tcPr>
            <w:tcW w:w="1007" w:type="dxa"/>
            <w:tcBorders>
              <w:top w:val="single" w:color="auto" w:sz="4" w:space="0"/>
              <w:left w:val="nil"/>
              <w:bottom w:val="single" w:color="auto" w:sz="4" w:space="0"/>
              <w:right w:val="single" w:color="auto" w:sz="4" w:space="0"/>
            </w:tcBorders>
            <w:vAlign w:val="center"/>
          </w:tcPr>
          <w:p w14:paraId="24F1919B">
            <w:pPr>
              <w:widowControl/>
              <w:jc w:val="left"/>
              <w:rPr>
                <w:rFonts w:asciiTheme="minorEastAsia" w:hAnsiTheme="minorEastAsia"/>
                <w:kern w:val="0"/>
                <w:szCs w:val="21"/>
              </w:rPr>
            </w:pPr>
            <w:r>
              <w:rPr>
                <w:rFonts w:cs="宋体" w:asciiTheme="minorEastAsia" w:hAnsiTheme="minorEastAsia"/>
                <w:color w:val="000000"/>
                <w:kern w:val="0"/>
                <w:szCs w:val="21"/>
              </w:rPr>
              <w:t>应急预案</w:t>
            </w:r>
          </w:p>
        </w:tc>
        <w:tc>
          <w:tcPr>
            <w:tcW w:w="7714" w:type="dxa"/>
            <w:tcBorders>
              <w:top w:val="single" w:color="auto" w:sz="4" w:space="0"/>
              <w:left w:val="nil"/>
              <w:bottom w:val="single" w:color="auto" w:sz="4" w:space="0"/>
              <w:right w:val="single" w:color="auto" w:sz="4" w:space="0"/>
            </w:tcBorders>
            <w:vAlign w:val="center"/>
          </w:tcPr>
          <w:p w14:paraId="452A2F9E">
            <w:pPr>
              <w:widowControl/>
              <w:jc w:val="left"/>
              <w:rPr>
                <w:rFonts w:cs="宋体" w:asciiTheme="minorEastAsia" w:hAnsiTheme="minorEastAsia"/>
                <w:kern w:val="0"/>
                <w:szCs w:val="21"/>
              </w:rPr>
            </w:pPr>
            <w:r>
              <w:rPr>
                <w:rFonts w:cs="宋体" w:asciiTheme="minorEastAsia" w:hAnsiTheme="minorEastAsia"/>
                <w:color w:val="000000"/>
                <w:kern w:val="0"/>
                <w:szCs w:val="21"/>
              </w:rPr>
              <w:t>供应商根据本项目的采购内容和需求编制应急预案，包含①应急准备②应急响应③应急处置④应急恢复等内容。应急预案详尽、细致、全面，满足采购人的需求</w:t>
            </w:r>
            <w:r>
              <w:rPr>
                <w:rFonts w:hint="eastAsia" w:cs="宋体" w:asciiTheme="minorEastAsia" w:hAnsiTheme="minorEastAsia"/>
                <w:color w:val="000000"/>
                <w:kern w:val="0"/>
                <w:szCs w:val="21"/>
              </w:rPr>
              <w:t xml:space="preserve">，内容完整且无缺陷,缺少一项扣 2 分。每出现一处缺陷（缺陷是指：存在内容响应不完整、不适用项目实际情况的情形、凭空编造、前后不一致、前后逻辑错误等）扣 1 分，扣完为止。 </w:t>
            </w:r>
          </w:p>
          <w:p w14:paraId="0ABCD517">
            <w:pPr>
              <w:widowControl/>
              <w:jc w:val="left"/>
              <w:rPr>
                <w:rFonts w:asciiTheme="minorEastAsia" w:hAnsiTheme="minorEastAsia"/>
                <w:szCs w:val="21"/>
              </w:rPr>
            </w:pPr>
            <w:r>
              <w:rPr>
                <w:rFonts w:hint="eastAsia" w:cs="宋体" w:asciiTheme="minorEastAsia" w:hAnsiTheme="minorEastAsia"/>
                <w:color w:val="000000"/>
                <w:kern w:val="0"/>
                <w:szCs w:val="21"/>
              </w:rPr>
              <w:t>未提供或不满足需求的不得分。</w:t>
            </w:r>
          </w:p>
        </w:tc>
        <w:tc>
          <w:tcPr>
            <w:tcW w:w="1020" w:type="dxa"/>
            <w:tcBorders>
              <w:top w:val="single" w:color="auto" w:sz="4" w:space="0"/>
              <w:left w:val="nil"/>
              <w:bottom w:val="single" w:color="auto" w:sz="4" w:space="0"/>
              <w:right w:val="single" w:color="auto" w:sz="4" w:space="0"/>
            </w:tcBorders>
            <w:vAlign w:val="center"/>
          </w:tcPr>
          <w:p w14:paraId="2D66C396">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8</w:t>
            </w:r>
          </w:p>
        </w:tc>
      </w:tr>
      <w:tr w14:paraId="6B34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65" w:type="dxa"/>
            <w:tcBorders>
              <w:top w:val="single" w:color="auto" w:sz="4" w:space="0"/>
              <w:left w:val="single" w:color="auto" w:sz="4" w:space="0"/>
              <w:bottom w:val="single" w:color="auto" w:sz="4" w:space="0"/>
              <w:right w:val="single" w:color="auto" w:sz="4" w:space="0"/>
            </w:tcBorders>
            <w:vAlign w:val="center"/>
          </w:tcPr>
          <w:p w14:paraId="6B43AED9">
            <w:pPr>
              <w:autoSpaceDE w:val="0"/>
              <w:autoSpaceDN w:val="0"/>
              <w:adjustRightInd w:val="0"/>
              <w:jc w:val="center"/>
              <w:rPr>
                <w:rFonts w:asciiTheme="minorEastAsia" w:hAnsiTheme="minorEastAsia"/>
                <w:kern w:val="0"/>
                <w:szCs w:val="21"/>
              </w:rPr>
            </w:pPr>
          </w:p>
        </w:tc>
        <w:tc>
          <w:tcPr>
            <w:tcW w:w="8721" w:type="dxa"/>
            <w:gridSpan w:val="2"/>
            <w:tcBorders>
              <w:top w:val="single" w:color="auto" w:sz="4" w:space="0"/>
              <w:left w:val="nil"/>
              <w:bottom w:val="single" w:color="auto" w:sz="4" w:space="0"/>
              <w:right w:val="single" w:color="auto" w:sz="4" w:space="0"/>
            </w:tcBorders>
            <w:vAlign w:val="center"/>
          </w:tcPr>
          <w:p w14:paraId="372EB124">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合</w:t>
            </w:r>
            <w:r>
              <w:rPr>
                <w:rFonts w:hint="eastAsia" w:asciiTheme="minorEastAsia" w:hAnsiTheme="minorEastAsia"/>
                <w:kern w:val="0"/>
                <w:szCs w:val="21"/>
                <w:lang w:val="en-US" w:eastAsia="zh-CN"/>
              </w:rPr>
              <w:t xml:space="preserve">  </w:t>
            </w:r>
            <w:r>
              <w:rPr>
                <w:rFonts w:hint="eastAsia" w:asciiTheme="minorEastAsia" w:hAnsiTheme="minorEastAsia"/>
                <w:kern w:val="0"/>
                <w:szCs w:val="21"/>
              </w:rPr>
              <w:t>计</w:t>
            </w:r>
          </w:p>
        </w:tc>
        <w:tc>
          <w:tcPr>
            <w:tcW w:w="1020" w:type="dxa"/>
            <w:tcBorders>
              <w:top w:val="single" w:color="auto" w:sz="4" w:space="0"/>
              <w:left w:val="nil"/>
              <w:bottom w:val="single" w:color="auto" w:sz="4" w:space="0"/>
              <w:right w:val="single" w:color="auto" w:sz="4" w:space="0"/>
            </w:tcBorders>
            <w:vAlign w:val="center"/>
          </w:tcPr>
          <w:p w14:paraId="6947AD07">
            <w:pPr>
              <w:autoSpaceDE w:val="0"/>
              <w:autoSpaceDN w:val="0"/>
              <w:adjustRightInd w:val="0"/>
              <w:jc w:val="center"/>
              <w:rPr>
                <w:rFonts w:asciiTheme="minorEastAsia" w:hAnsiTheme="minorEastAsia"/>
                <w:kern w:val="0"/>
                <w:szCs w:val="21"/>
              </w:rPr>
            </w:pPr>
            <w:r>
              <w:rPr>
                <w:rFonts w:hint="eastAsia" w:asciiTheme="minorEastAsia" w:hAnsiTheme="minorEastAsia"/>
                <w:kern w:val="0"/>
                <w:szCs w:val="21"/>
              </w:rPr>
              <w:t>90</w:t>
            </w:r>
          </w:p>
        </w:tc>
      </w:tr>
    </w:tbl>
    <w:p w14:paraId="419A9370">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br w:type="page"/>
      </w:r>
    </w:p>
    <w:p w14:paraId="48768FD8">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价格扣除原则：</w:t>
      </w:r>
    </w:p>
    <w:p w14:paraId="0E4EE83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节能产品(视具体项目适用)：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3738BB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环境标志产品(视具体项目适用)：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08127BC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③对小型或微型企业以及监狱企业，在评审时按投标人须知前附表的规定对其投标价格给予价格扣除。供应商须在投标文件中</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《中小企业声明函》或残疾人福利性单位声明函或监狱企业声明函，否则在评审时将不给予价格扣除。</w:t>
      </w:r>
    </w:p>
    <w:p w14:paraId="0E2A2B2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14:paraId="4D5CA8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小型或微型企业应当符合以下条件：符合小型或微型企业划型标准，提供本企业制造的货物或者提供其他小型或微型企业制造的货物；</w:t>
      </w:r>
    </w:p>
    <w:p w14:paraId="2B8CA46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组成联合体的大中型企业和其他自然人、法人或者其他组织，与小型、微型企业之间不得存在投资关系。</w:t>
      </w:r>
    </w:p>
    <w:p w14:paraId="52AB22A6">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2CB4117">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政府采购政策执行标准</w:t>
      </w:r>
    </w:p>
    <w:p w14:paraId="39D6DA97">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根据中华人民共和国财政部、中华人民共和国工业和信息化部《政府采购促进中小企业发展管理办法》（新财购〔2022〕22号）文件的规定，属于中小企业评审优惠内容及幅度如下：</w:t>
      </w:r>
    </w:p>
    <w:p w14:paraId="48E02932">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（一）小微企业（小型、微型企业）应当同时符合以下条件：</w:t>
      </w:r>
    </w:p>
    <w:p w14:paraId="193598D9">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①符合中小企业划分标准（按《关于印发中小企业划型标准规定的通知》（工信部联企业〔2011〕300号）执行）；</w:t>
      </w:r>
    </w:p>
    <w:p w14:paraId="056DBEA3">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14:paraId="5B056EEA">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③小型、微型企业提供中型企业制造的货物的，视同为中型企业。</w:t>
      </w:r>
    </w:p>
    <w:p w14:paraId="60F68A1D">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（二）价格扣除办法：</w:t>
      </w:r>
    </w:p>
    <w:p w14:paraId="1EB444A5">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①对于非专门面向中小企业的项目，对小型和微型企业（或联合体各方均为小型、微型企业的）产品的价格给予10%的扣除，用扣除后的价格参与价格分的评审。</w:t>
      </w:r>
    </w:p>
    <w:p w14:paraId="09B4099E">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（三）小型和微型企业适用价格扣除办法时应提供的相关资料：供应商《中小企业声明函》或残疾人福利性单位声明函或监狱企业声明函；</w:t>
      </w:r>
    </w:p>
    <w:p w14:paraId="4834AC34">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进口产品不享受中小企业评审优惠。</w:t>
      </w:r>
    </w:p>
    <w:p w14:paraId="58D41D8D">
      <w:pPr>
        <w:pStyle w:val="12"/>
        <w:rPr>
          <w:rFonts w:hint="eastAsia" w:ascii="宋体" w:hAnsi="宋体" w:eastAsia="宋体" w:cs="宋体"/>
          <w:color w:val="000000" w:themeColor="text1"/>
          <w:highlight w:val="none"/>
          <w14:textFill>
            <w14:solidFill>
              <w14:schemeClr w14:val="tx1"/>
            </w14:solidFill>
          </w14:textFill>
        </w:rPr>
      </w:pPr>
    </w:p>
    <w:p w14:paraId="0FB3EED7">
      <w:pPr>
        <w:pStyle w:val="12"/>
        <w:numPr>
          <w:ilvl w:val="0"/>
          <w:numId w:val="0"/>
        </w:numPr>
        <w:ind w:leftChars="0"/>
        <w:rPr>
          <w:rFonts w:hint="eastAsia"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4、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F3C70E3">
      <w:pPr>
        <w:pStyle w:val="12"/>
        <w:numPr>
          <w:ilvl w:val="0"/>
          <w:numId w:val="0"/>
        </w:numPr>
        <w:ind w:leftChars="0" w:firstLine="422" w:firstLineChars="200"/>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低于成本价不正当竞争预防措施（实质性要求）：</w:t>
      </w:r>
    </w:p>
    <w:p w14:paraId="3626E565">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（一）采购评审中出现下列情形之一的，评审委员会应当启动异常低价投标（响应）审查程序：</w:t>
      </w:r>
    </w:p>
    <w:p w14:paraId="167B47D2">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E36FCA4">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32B82204">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3.投标（响应）报价低于采购项目最高限价45%的，即投标（响应）报价&lt;采购项目最高限价×45%；</w:t>
      </w:r>
    </w:p>
    <w:p w14:paraId="43131E3E">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4.评审委员会基于专业判断，认为供应商报价过低，有可能影响产品质量或者不能诚信履约的其他情形。</w:t>
      </w:r>
    </w:p>
    <w:p w14:paraId="0144DE75">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采购人可以结合具体项目实际情况，提高上述第1项至第3项中启动异常低价投标（响应）审查的数值标准，但是最高不得超过65%。</w:t>
      </w:r>
    </w:p>
    <w:p w14:paraId="2A897DAF">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相关法律法规对供应商报价有规定的，从其规定。</w:t>
      </w:r>
    </w:p>
    <w:p w14:paraId="55336346">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C527E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color w:val="000000" w:themeColor="text1"/>
          <w:highlight w:val="none"/>
          <w14:textFill>
            <w14:solidFill>
              <w14:schemeClr w14:val="tx1"/>
            </w14:solidFill>
          </w14:textFill>
        </w:rPr>
        <w:br w:type="page"/>
      </w:r>
    </w:p>
    <w:p w14:paraId="5C26E1DE">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9" w:name="_Toc32708"/>
      <w:r>
        <w:rPr>
          <w:rFonts w:hint="eastAsia" w:ascii="宋体" w:hAnsi="宋体" w:eastAsia="宋体" w:cs="宋体"/>
          <w:color w:val="000000" w:themeColor="text1"/>
          <w:highlight w:val="none"/>
          <w14:textFill>
            <w14:solidFill>
              <w14:schemeClr w14:val="tx1"/>
            </w14:solidFill>
          </w14:textFill>
        </w:rPr>
        <w:t>第四章　拟签订的合同文本</w:t>
      </w:r>
      <w:bookmarkEnd w:id="39"/>
    </w:p>
    <w:p w14:paraId="5DA2E14E">
      <w:pPr>
        <w:spacing w:line="360" w:lineRule="auto"/>
        <w:jc w:val="center"/>
        <w:outlineLvl w:val="0"/>
        <w:rPr>
          <w:rFonts w:ascii="宋体" w:hAnsi="宋体" w:eastAsia="宋体" w:cs="宋体"/>
          <w:b/>
          <w:sz w:val="24"/>
          <w:szCs w:val="24"/>
        </w:rPr>
      </w:pPr>
      <w:bookmarkStart w:id="40" w:name="_Toc10262"/>
      <w:bookmarkStart w:id="41" w:name="_Toc135922792"/>
      <w:bookmarkStart w:id="42" w:name="_Toc31960"/>
      <w:r>
        <w:rPr>
          <w:rFonts w:hint="eastAsia" w:ascii="宋体" w:hAnsi="宋体" w:eastAsia="宋体" w:cs="宋体"/>
          <w:b/>
          <w:sz w:val="24"/>
          <w:szCs w:val="24"/>
        </w:rPr>
        <w:t>（仅供参考，以</w:t>
      </w:r>
      <w:r>
        <w:rPr>
          <w:rFonts w:hint="eastAsia" w:ascii="宋体" w:hAnsi="宋体" w:eastAsia="宋体" w:cs="宋体"/>
          <w:b/>
          <w:sz w:val="24"/>
          <w:szCs w:val="24"/>
          <w:lang w:eastAsia="zh-CN"/>
        </w:rPr>
        <w:t>招标人</w:t>
      </w:r>
      <w:r>
        <w:rPr>
          <w:rFonts w:hint="eastAsia" w:ascii="宋体" w:hAnsi="宋体" w:eastAsia="宋体" w:cs="宋体"/>
          <w:b/>
          <w:sz w:val="24"/>
          <w:szCs w:val="24"/>
        </w:rPr>
        <w:t>实际签订为准）</w:t>
      </w:r>
      <w:bookmarkEnd w:id="40"/>
      <w:bookmarkEnd w:id="41"/>
      <w:bookmarkEnd w:id="42"/>
    </w:p>
    <w:p w14:paraId="6F775092">
      <w:pPr>
        <w:spacing w:line="360" w:lineRule="exact"/>
        <w:jc w:val="center"/>
        <w:rPr>
          <w:rFonts w:ascii="宋体" w:hAnsi="宋体"/>
          <w:b/>
          <w:sz w:val="24"/>
          <w:szCs w:val="24"/>
        </w:rPr>
      </w:pPr>
      <w:r>
        <w:rPr>
          <w:rFonts w:hint="eastAsia" w:ascii="宋体" w:hAnsi="宋体"/>
          <w:b/>
          <w:sz w:val="24"/>
          <w:szCs w:val="24"/>
        </w:rPr>
        <w:t>[]电路服务业务合同</w:t>
      </w:r>
    </w:p>
    <w:p w14:paraId="6BEC38A6">
      <w:pPr>
        <w:spacing w:line="360" w:lineRule="exact"/>
        <w:rPr>
          <w:rFonts w:hint="default" w:ascii="宋体" w:hAnsi="宋体" w:eastAsiaTheme="minorEastAsia"/>
          <w:sz w:val="24"/>
          <w:szCs w:val="24"/>
          <w:lang w:val="en-US" w:eastAsia="zh-CN"/>
        </w:rPr>
      </w:pPr>
      <w:r>
        <w:rPr>
          <w:rFonts w:hint="eastAsia" w:ascii="宋体" w:hAnsi="宋体"/>
          <w:sz w:val="24"/>
          <w:szCs w:val="24"/>
        </w:rPr>
        <w:t>合同签订地：</w:t>
      </w:r>
    </w:p>
    <w:p w14:paraId="6360DC85">
      <w:pPr>
        <w:spacing w:line="360" w:lineRule="exact"/>
        <w:rPr>
          <w:rFonts w:hint="eastAsia" w:ascii="宋体" w:hAnsi="宋体" w:eastAsiaTheme="minorEastAsia"/>
          <w:sz w:val="24"/>
          <w:szCs w:val="24"/>
          <w:lang w:eastAsia="zh-CN"/>
        </w:rPr>
      </w:pPr>
    </w:p>
    <w:p w14:paraId="68015B9F">
      <w:pPr>
        <w:spacing w:line="360" w:lineRule="exact"/>
        <w:rPr>
          <w:rFonts w:hint="default" w:ascii="宋体" w:hAnsi="宋体" w:eastAsiaTheme="minorEastAsia"/>
          <w:sz w:val="24"/>
          <w:szCs w:val="24"/>
          <w:lang w:val="en-US" w:eastAsia="zh-CN"/>
        </w:rPr>
      </w:pPr>
      <w:r>
        <w:rPr>
          <w:rFonts w:hint="eastAsia" w:ascii="宋体" w:hAnsi="宋体"/>
          <w:sz w:val="24"/>
          <w:szCs w:val="24"/>
        </w:rPr>
        <w:t>甲方：</w:t>
      </w:r>
    </w:p>
    <w:p w14:paraId="7B135DA7">
      <w:pPr>
        <w:spacing w:line="360" w:lineRule="exact"/>
        <w:rPr>
          <w:rFonts w:ascii="宋体" w:hAnsi="宋体"/>
          <w:sz w:val="24"/>
          <w:szCs w:val="24"/>
        </w:rPr>
      </w:pPr>
      <w:r>
        <w:rPr>
          <w:rFonts w:hint="eastAsia" w:ascii="宋体" w:hAnsi="宋体"/>
          <w:sz w:val="24"/>
          <w:szCs w:val="24"/>
        </w:rPr>
        <w:t>地址：</w:t>
      </w:r>
    </w:p>
    <w:p w14:paraId="735C0504">
      <w:pPr>
        <w:spacing w:line="360" w:lineRule="exact"/>
        <w:rPr>
          <w:rFonts w:ascii="宋体" w:hAnsi="宋体"/>
          <w:sz w:val="24"/>
          <w:szCs w:val="24"/>
        </w:rPr>
      </w:pPr>
      <w:r>
        <w:rPr>
          <w:rFonts w:hint="eastAsia" w:ascii="宋体" w:hAnsi="宋体"/>
          <w:sz w:val="24"/>
          <w:szCs w:val="24"/>
        </w:rPr>
        <w:t>法定代表人/负责人：</w:t>
      </w:r>
    </w:p>
    <w:p w14:paraId="5AEEFDE4">
      <w:pPr>
        <w:spacing w:line="360" w:lineRule="exact"/>
        <w:rPr>
          <w:rFonts w:hint="eastAsia" w:ascii="宋体" w:hAnsi="宋体" w:eastAsiaTheme="minorEastAsia"/>
          <w:sz w:val="24"/>
          <w:szCs w:val="24"/>
          <w:lang w:eastAsia="zh-CN"/>
        </w:rPr>
      </w:pPr>
    </w:p>
    <w:p w14:paraId="2F6A71DB">
      <w:pPr>
        <w:spacing w:line="360" w:lineRule="exact"/>
        <w:rPr>
          <w:rFonts w:ascii="宋体" w:hAnsi="宋体"/>
          <w:sz w:val="24"/>
          <w:szCs w:val="24"/>
        </w:rPr>
      </w:pPr>
      <w:r>
        <w:rPr>
          <w:rFonts w:hint="eastAsia" w:ascii="宋体" w:hAnsi="宋体"/>
          <w:sz w:val="24"/>
          <w:szCs w:val="24"/>
        </w:rPr>
        <w:t>乙方：</w:t>
      </w:r>
    </w:p>
    <w:p w14:paraId="1BD728B6">
      <w:pPr>
        <w:spacing w:line="360" w:lineRule="exact"/>
        <w:rPr>
          <w:rFonts w:ascii="宋体" w:hAnsi="宋体"/>
          <w:sz w:val="24"/>
          <w:szCs w:val="24"/>
        </w:rPr>
      </w:pPr>
      <w:r>
        <w:rPr>
          <w:rFonts w:hint="eastAsia" w:ascii="宋体" w:hAnsi="宋体"/>
          <w:sz w:val="24"/>
          <w:szCs w:val="24"/>
        </w:rPr>
        <w:t>地址：</w:t>
      </w:r>
    </w:p>
    <w:p w14:paraId="54131DC6">
      <w:pPr>
        <w:spacing w:line="360" w:lineRule="exact"/>
        <w:rPr>
          <w:rFonts w:ascii="宋体" w:hAnsi="宋体"/>
          <w:b/>
          <w:sz w:val="24"/>
          <w:szCs w:val="24"/>
        </w:rPr>
      </w:pPr>
      <w:r>
        <w:rPr>
          <w:rFonts w:hint="eastAsia" w:ascii="宋体" w:hAnsi="宋体"/>
          <w:sz w:val="24"/>
          <w:szCs w:val="24"/>
        </w:rPr>
        <w:t>法定代表人/负责人：</w:t>
      </w:r>
    </w:p>
    <w:p w14:paraId="3BA1D25A">
      <w:pPr>
        <w:spacing w:line="360" w:lineRule="exact"/>
        <w:ind w:firstLine="480" w:firstLineChars="200"/>
        <w:rPr>
          <w:rFonts w:ascii="宋体" w:hAnsi="宋体"/>
          <w:sz w:val="24"/>
          <w:szCs w:val="24"/>
        </w:rPr>
      </w:pPr>
      <w:r>
        <w:rPr>
          <w:rFonts w:hint="eastAsia" w:ascii="宋体" w:hAnsi="宋体"/>
          <w:sz w:val="24"/>
          <w:szCs w:val="24"/>
        </w:rPr>
        <w:t>根据甲方通信业务使用的需要，由乙方按照本合同约定的条款和条件向甲方提供电路通信服务业务（以下简称“电路服务”）。甲乙双方本着平等互利，互相信赖，有偿使用，共同发展的原则，经友好协商达成本合同。</w:t>
      </w:r>
    </w:p>
    <w:p w14:paraId="01475C54">
      <w:pPr>
        <w:spacing w:line="360" w:lineRule="exact"/>
        <w:ind w:firstLine="480" w:firstLineChars="200"/>
        <w:rPr>
          <w:rFonts w:ascii="宋体" w:hAnsi="宋体"/>
          <w:sz w:val="24"/>
          <w:szCs w:val="24"/>
        </w:rPr>
      </w:pPr>
      <w:r>
        <w:rPr>
          <w:rFonts w:hint="eastAsia" w:ascii="宋体" w:hAnsi="宋体"/>
          <w:sz w:val="24"/>
          <w:szCs w:val="24"/>
        </w:rPr>
        <w:t>第一条定义</w:t>
      </w:r>
    </w:p>
    <w:p w14:paraId="782F1977">
      <w:pPr>
        <w:spacing w:line="360" w:lineRule="exact"/>
        <w:ind w:firstLine="480" w:firstLineChars="200"/>
        <w:rPr>
          <w:rStyle w:val="53"/>
          <w:rFonts w:ascii="宋体" w:hAnsi="宋体"/>
        </w:rPr>
      </w:pPr>
      <w:r>
        <w:rPr>
          <w:rFonts w:hint="eastAsia" w:ascii="宋体" w:hAnsi="宋体"/>
          <w:sz w:val="24"/>
          <w:szCs w:val="24"/>
        </w:rPr>
        <w:t>1.1</w:t>
      </w:r>
      <w:r>
        <w:rPr>
          <w:rStyle w:val="53"/>
          <w:rFonts w:hint="eastAsia" w:ascii="宋体" w:hAnsi="宋体"/>
          <w:sz w:val="24"/>
          <w:szCs w:val="24"/>
        </w:rPr>
        <w:t>“电路”：乙方利用自身传输线路，通过在终端设备之间的连接媒介，建立信号和信息的传输通道，电路是本合同项下“电路服务”的承载体。</w:t>
      </w:r>
    </w:p>
    <w:p w14:paraId="2C84F299">
      <w:pPr>
        <w:spacing w:line="360" w:lineRule="exact"/>
        <w:ind w:firstLine="480" w:firstLineChars="200"/>
        <w:rPr>
          <w:rStyle w:val="53"/>
          <w:rFonts w:ascii="宋体" w:hAnsi="宋体"/>
          <w:sz w:val="24"/>
          <w:szCs w:val="24"/>
        </w:rPr>
      </w:pPr>
      <w:r>
        <w:rPr>
          <w:rFonts w:hint="eastAsia" w:ascii="宋体" w:hAnsi="宋体"/>
          <w:sz w:val="24"/>
          <w:szCs w:val="24"/>
        </w:rPr>
        <w:t>1.2“电路服务”：通过在</w:t>
      </w:r>
      <w:r>
        <w:rPr>
          <w:rStyle w:val="53"/>
          <w:rFonts w:hint="eastAsia" w:ascii="宋体" w:hAnsi="宋体"/>
          <w:sz w:val="24"/>
          <w:szCs w:val="24"/>
        </w:rPr>
        <w:t>终端设备之间利用电路，提供各等级的数据传输服务，并提供电路运行维护服务。</w:t>
      </w:r>
    </w:p>
    <w:p w14:paraId="5D4707BE">
      <w:pPr>
        <w:spacing w:line="360" w:lineRule="exact"/>
        <w:ind w:firstLine="480" w:firstLineChars="200"/>
      </w:pPr>
      <w:r>
        <w:rPr>
          <w:rFonts w:hint="eastAsia" w:ascii="宋体" w:hAnsi="宋体"/>
          <w:sz w:val="24"/>
          <w:szCs w:val="24"/>
        </w:rPr>
        <w:t>1.3“一站式服务”：</w:t>
      </w:r>
      <w:r>
        <w:rPr>
          <w:rStyle w:val="53"/>
          <w:rFonts w:hint="eastAsia" w:ascii="宋体" w:hAnsi="宋体"/>
          <w:sz w:val="24"/>
          <w:szCs w:val="24"/>
        </w:rPr>
        <w:t>通过一个受理点完成业务涉及的电路服务业务办理，如：业务咨询，受理，开通，收费以及故障受理等。</w:t>
      </w:r>
    </w:p>
    <w:p w14:paraId="08CC0802">
      <w:pPr>
        <w:spacing w:line="360" w:lineRule="exact"/>
        <w:ind w:firstLine="480" w:firstLineChars="200"/>
        <w:rPr>
          <w:rFonts w:ascii="宋体" w:hAnsi="宋体"/>
          <w:sz w:val="24"/>
          <w:szCs w:val="24"/>
        </w:rPr>
      </w:pPr>
      <w:r>
        <w:rPr>
          <w:rFonts w:hint="eastAsia" w:ascii="宋体" w:hAnsi="宋体"/>
          <w:sz w:val="24"/>
          <w:szCs w:val="24"/>
        </w:rPr>
        <w:t>1.4“端到端”</w:t>
      </w:r>
      <w:r>
        <w:rPr>
          <w:rStyle w:val="53"/>
          <w:rFonts w:hint="eastAsia" w:ascii="宋体" w:hAnsi="宋体"/>
          <w:sz w:val="24"/>
          <w:szCs w:val="24"/>
        </w:rPr>
        <w:t>：由乙方提供的经电信网络的骨干层、接入层到甲方端设备的网络集成。</w:t>
      </w:r>
    </w:p>
    <w:p w14:paraId="5C3D5EC5">
      <w:pPr>
        <w:spacing w:line="360" w:lineRule="exact"/>
        <w:ind w:firstLine="480" w:firstLineChars="200"/>
        <w:rPr>
          <w:rFonts w:ascii="宋体" w:hAnsi="宋体"/>
          <w:sz w:val="24"/>
          <w:szCs w:val="24"/>
        </w:rPr>
      </w:pPr>
      <w:r>
        <w:rPr>
          <w:rFonts w:hint="eastAsia" w:ascii="宋体" w:hAnsi="宋体"/>
          <w:sz w:val="24"/>
          <w:szCs w:val="24"/>
        </w:rPr>
        <w:t>1.5“一次性费用”：</w:t>
      </w:r>
      <w:r>
        <w:rPr>
          <w:rStyle w:val="53"/>
          <w:rFonts w:hint="eastAsia" w:ascii="宋体" w:hAnsi="宋体"/>
          <w:sz w:val="24"/>
          <w:szCs w:val="24"/>
        </w:rPr>
        <w:t>电路服务开通过程中需要的相关费用，如：手续费，测试费等。</w:t>
      </w:r>
    </w:p>
    <w:p w14:paraId="679A4BAF">
      <w:pPr>
        <w:spacing w:line="360" w:lineRule="exact"/>
        <w:ind w:firstLine="480" w:firstLineChars="200"/>
        <w:rPr>
          <w:rFonts w:ascii="宋体" w:hAnsi="宋体"/>
          <w:sz w:val="24"/>
          <w:szCs w:val="24"/>
        </w:rPr>
      </w:pPr>
      <w:r>
        <w:rPr>
          <w:rFonts w:hint="eastAsia" w:ascii="宋体" w:hAnsi="宋体"/>
          <w:sz w:val="24"/>
          <w:szCs w:val="24"/>
        </w:rPr>
        <w:t>1.6“</w:t>
      </w:r>
      <w:r>
        <w:rPr>
          <w:rStyle w:val="53"/>
          <w:rFonts w:hint="eastAsia" w:ascii="宋体" w:hAnsi="宋体"/>
          <w:sz w:val="24"/>
          <w:szCs w:val="24"/>
        </w:rPr>
        <w:t>月服务费”：按月收取的电路服务费。</w:t>
      </w:r>
    </w:p>
    <w:p w14:paraId="51EBA853">
      <w:pPr>
        <w:spacing w:line="360" w:lineRule="exact"/>
        <w:ind w:firstLine="480" w:firstLineChars="200"/>
        <w:rPr>
          <w:rStyle w:val="53"/>
          <w:rFonts w:ascii="宋体" w:hAnsi="宋体"/>
        </w:rPr>
      </w:pPr>
      <w:r>
        <w:rPr>
          <w:rFonts w:hint="eastAsia" w:ascii="宋体" w:hAnsi="宋体"/>
          <w:sz w:val="24"/>
          <w:szCs w:val="24"/>
        </w:rPr>
        <w:t>1.7“网络割接”：</w:t>
      </w:r>
      <w:r>
        <w:rPr>
          <w:rStyle w:val="53"/>
          <w:rFonts w:hint="eastAsia" w:ascii="宋体" w:hAnsi="宋体"/>
          <w:sz w:val="24"/>
          <w:szCs w:val="24"/>
        </w:rPr>
        <w:t>因工程施工、网络建设等原因，对现有的传输干线及相关系统进行必要的修改、调整、搬迁和改造等活动。</w:t>
      </w:r>
    </w:p>
    <w:p w14:paraId="329B8B67">
      <w:pPr>
        <w:spacing w:line="360" w:lineRule="exact"/>
        <w:ind w:firstLine="480" w:firstLineChars="200"/>
      </w:pPr>
      <w:r>
        <w:rPr>
          <w:rFonts w:hint="eastAsia" w:ascii="宋体" w:hAnsi="宋体"/>
          <w:sz w:val="24"/>
          <w:szCs w:val="24"/>
        </w:rPr>
        <w:t>1.8“速率”：甲方终端(不含)到数字集线器或园区交换机之间的线路和设备能支持的最大信息传送能力，是在理想网络条件下，可能达到的最高速率。甲方实际使用的网络带宽是动态变化的，实际速率取决于骨干带宽、接入带宽和甲方所访问的内容提供商的带宽，乙方对达到最高速率的时间段和时间比例不做承诺。</w:t>
      </w:r>
    </w:p>
    <w:p w14:paraId="65ED80CD">
      <w:pPr>
        <w:spacing w:line="360" w:lineRule="exact"/>
        <w:ind w:firstLine="480" w:firstLineChars="200"/>
        <w:rPr>
          <w:rFonts w:ascii="宋体" w:hAnsi="宋体"/>
          <w:sz w:val="24"/>
          <w:szCs w:val="24"/>
        </w:rPr>
      </w:pPr>
      <w:r>
        <w:rPr>
          <w:rFonts w:hint="eastAsia" w:ascii="宋体" w:hAnsi="宋体"/>
          <w:sz w:val="24"/>
          <w:szCs w:val="24"/>
        </w:rPr>
        <w:t>1.9“工作日”：除周六、周日及法定节假日以外的日历日。</w:t>
      </w:r>
    </w:p>
    <w:p w14:paraId="759FF425">
      <w:pPr>
        <w:spacing w:line="360" w:lineRule="exact"/>
        <w:ind w:firstLine="480" w:firstLineChars="200"/>
        <w:rPr>
          <w:rFonts w:ascii="宋体" w:hAnsi="宋体"/>
          <w:sz w:val="24"/>
          <w:szCs w:val="24"/>
        </w:rPr>
      </w:pPr>
      <w:r>
        <w:rPr>
          <w:rFonts w:hint="eastAsia" w:ascii="宋体" w:hAnsi="宋体"/>
          <w:sz w:val="24"/>
          <w:szCs w:val="24"/>
        </w:rPr>
        <w:t>1.10“日”：日历日，包括工作日、法定节假日和休息日。</w:t>
      </w:r>
    </w:p>
    <w:p w14:paraId="3FAB6816">
      <w:pPr>
        <w:spacing w:line="360" w:lineRule="exact"/>
        <w:ind w:firstLine="480" w:firstLineChars="200"/>
        <w:rPr>
          <w:rFonts w:ascii="宋体" w:hAnsi="宋体"/>
          <w:sz w:val="24"/>
          <w:szCs w:val="24"/>
        </w:rPr>
      </w:pPr>
      <w:r>
        <w:rPr>
          <w:rFonts w:hint="eastAsia" w:ascii="宋体" w:hAnsi="宋体"/>
          <w:sz w:val="24"/>
          <w:szCs w:val="24"/>
        </w:rPr>
        <w:t>第二条服务内容</w:t>
      </w:r>
    </w:p>
    <w:p w14:paraId="36391C96">
      <w:pPr>
        <w:pStyle w:val="12"/>
        <w:spacing w:line="360" w:lineRule="exact"/>
        <w:ind w:firstLine="480" w:firstLineChars="200"/>
        <w:rPr>
          <w:rFonts w:hAnsi="宋体"/>
          <w:sz w:val="24"/>
          <w:szCs w:val="24"/>
        </w:rPr>
      </w:pPr>
      <w:r>
        <w:rPr>
          <w:rFonts w:hint="eastAsia" w:hAnsi="宋体"/>
          <w:sz w:val="24"/>
          <w:szCs w:val="24"/>
        </w:rPr>
        <w:t>2.1乙方提供[]电路（数字电路SDH/MSTP专线/精品专线/DDN数字数据网/FR帧中继/ATM电路/IP-VPN/云专网等）服务，用于[]。具体电路服务的内容以盖有甲方公章或授权部门章（部门章名为：[]，部门章印鉴样本见附件）的电路服务需求单为准（附件一）。</w:t>
      </w:r>
    </w:p>
    <w:p w14:paraId="781F8651">
      <w:pPr>
        <w:pStyle w:val="12"/>
        <w:spacing w:line="360" w:lineRule="exact"/>
        <w:ind w:firstLine="480" w:firstLineChars="200"/>
        <w:rPr>
          <w:rFonts w:hAnsi="宋体"/>
          <w:sz w:val="24"/>
          <w:szCs w:val="24"/>
        </w:rPr>
      </w:pPr>
      <w:r>
        <w:rPr>
          <w:rFonts w:hint="eastAsia" w:hAnsi="宋体"/>
          <w:sz w:val="24"/>
          <w:szCs w:val="24"/>
        </w:rPr>
        <w:t>2.2甲方有新的电路服务业务需求时，应当另行向乙方提出。在甲、乙双方就一次性费用达成一致的前提下，甲方根据本合同的条款和条件，向乙方书面提交新的盖有甲方公章或授权部门章的电路服务需求单。经乙方审核无误后向甲方提供新的电路服务。</w:t>
      </w:r>
    </w:p>
    <w:p w14:paraId="7B670C4A">
      <w:pPr>
        <w:spacing w:line="360" w:lineRule="exact"/>
        <w:ind w:firstLine="480" w:firstLineChars="200"/>
        <w:rPr>
          <w:rFonts w:ascii="宋体" w:hAnsi="宋体"/>
          <w:b/>
          <w:sz w:val="24"/>
          <w:szCs w:val="24"/>
        </w:rPr>
      </w:pPr>
      <w:r>
        <w:rPr>
          <w:rFonts w:hint="eastAsia" w:ascii="宋体" w:hAnsi="宋体"/>
          <w:sz w:val="24"/>
          <w:szCs w:val="24"/>
        </w:rPr>
        <w:t>2.3电路服务需求单作为本合同的附件，受本合同的条款和条件约束。</w:t>
      </w:r>
    </w:p>
    <w:p w14:paraId="743B7332">
      <w:pPr>
        <w:spacing w:line="360" w:lineRule="exact"/>
        <w:ind w:firstLine="480" w:firstLineChars="200"/>
        <w:rPr>
          <w:rFonts w:ascii="宋体" w:hAnsi="宋体"/>
          <w:sz w:val="24"/>
          <w:szCs w:val="24"/>
        </w:rPr>
      </w:pPr>
      <w:r>
        <w:rPr>
          <w:rFonts w:hint="eastAsia" w:ascii="宋体" w:hAnsi="宋体"/>
          <w:sz w:val="24"/>
          <w:szCs w:val="24"/>
        </w:rPr>
        <w:t>第三条双方权利和义务</w:t>
      </w:r>
    </w:p>
    <w:p w14:paraId="2F85DF64">
      <w:pPr>
        <w:pStyle w:val="12"/>
        <w:spacing w:line="360" w:lineRule="exact"/>
        <w:ind w:firstLine="480" w:firstLineChars="200"/>
        <w:rPr>
          <w:rFonts w:hAnsi="宋体"/>
          <w:sz w:val="24"/>
          <w:szCs w:val="24"/>
        </w:rPr>
      </w:pPr>
      <w:r>
        <w:rPr>
          <w:rFonts w:hint="eastAsia" w:hAnsi="宋体"/>
          <w:sz w:val="24"/>
          <w:szCs w:val="24"/>
        </w:rPr>
        <w:t>3.1甲方权利和义务</w:t>
      </w:r>
    </w:p>
    <w:p w14:paraId="60218CDE">
      <w:pPr>
        <w:pStyle w:val="13"/>
        <w:spacing w:line="360" w:lineRule="exact"/>
        <w:ind w:firstLine="480" w:firstLineChars="200"/>
        <w:rPr>
          <w:rFonts w:hAnsi="宋体"/>
          <w:sz w:val="24"/>
          <w:szCs w:val="24"/>
        </w:rPr>
      </w:pPr>
      <w:r>
        <w:rPr>
          <w:rFonts w:hint="eastAsia" w:hAnsi="宋体"/>
          <w:sz w:val="24"/>
          <w:szCs w:val="24"/>
        </w:rPr>
        <w:t>3.1.1作为乙方的集团客户，享受乙方为集团客户提供的一站式服务。</w:t>
      </w:r>
    </w:p>
    <w:p w14:paraId="3DF72098">
      <w:pPr>
        <w:pStyle w:val="13"/>
        <w:spacing w:line="360" w:lineRule="exact"/>
        <w:ind w:firstLine="480" w:firstLineChars="200"/>
        <w:rPr>
          <w:rFonts w:hAnsi="宋体"/>
          <w:sz w:val="24"/>
          <w:szCs w:val="24"/>
        </w:rPr>
      </w:pPr>
      <w:r>
        <w:rPr>
          <w:rFonts w:hint="eastAsia" w:hAnsi="宋体"/>
          <w:sz w:val="24"/>
          <w:szCs w:val="24"/>
        </w:rPr>
        <w:t>3.1.2在开通和使用电路服务业务过程中出现的技术性问题，均可就近向乙方或乙方当地下属机构及项目负责人员进行申告。</w:t>
      </w:r>
    </w:p>
    <w:p w14:paraId="6BB8E0A0">
      <w:pPr>
        <w:pStyle w:val="12"/>
        <w:spacing w:line="360" w:lineRule="exact"/>
        <w:ind w:left="105" w:leftChars="50" w:firstLine="360" w:firstLineChars="150"/>
        <w:rPr>
          <w:rFonts w:hAnsi="宋体"/>
          <w:sz w:val="24"/>
          <w:szCs w:val="24"/>
        </w:rPr>
      </w:pPr>
      <w:r>
        <w:rPr>
          <w:rFonts w:hint="eastAsia" w:hAnsi="宋体"/>
          <w:sz w:val="24"/>
          <w:szCs w:val="24"/>
        </w:rPr>
        <w:t>3.1.3按照国家法律法规的规定及本合同的约定合理使用电路服务，不得用于从事损害乙方及他人合法权益的活动。未经乙方事先书面同意，不得将本合同项下的电路服务以任何方式给其他第三方（不包括本合同项下甲方下属机构）使用，也不得用于本合同约定用途以外的其他用途，并提供《租用资源用途承诺书》（见附件三）和《网络及信息安全承诺书》（附件四）。</w:t>
      </w:r>
    </w:p>
    <w:p w14:paraId="5AF10336">
      <w:pPr>
        <w:pStyle w:val="12"/>
        <w:spacing w:line="360" w:lineRule="exact"/>
        <w:ind w:firstLine="480" w:firstLineChars="200"/>
        <w:rPr>
          <w:rFonts w:hAnsi="宋体"/>
          <w:sz w:val="24"/>
          <w:szCs w:val="24"/>
        </w:rPr>
      </w:pPr>
      <w:r>
        <w:rPr>
          <w:rFonts w:hint="eastAsia" w:hAnsi="宋体"/>
          <w:sz w:val="24"/>
          <w:szCs w:val="24"/>
        </w:rPr>
        <w:t>3.1.4保证连接到电路上的有关通信设备全部符合国家主管部门规定的质量标准和技术要求，并取得进网许可证。</w:t>
      </w:r>
    </w:p>
    <w:p w14:paraId="53E85138">
      <w:pPr>
        <w:pStyle w:val="12"/>
        <w:spacing w:line="360" w:lineRule="exact"/>
        <w:ind w:firstLine="480" w:firstLineChars="200"/>
        <w:rPr>
          <w:rFonts w:hAnsi="宋体"/>
          <w:sz w:val="24"/>
          <w:szCs w:val="24"/>
        </w:rPr>
      </w:pPr>
      <w:r>
        <w:rPr>
          <w:rFonts w:hint="eastAsia" w:hAnsi="宋体"/>
          <w:sz w:val="24"/>
          <w:szCs w:val="24"/>
        </w:rPr>
        <w:t>3.1.5按时足额缴纳电路服务的一次性费用和电路月服务费。</w:t>
      </w:r>
    </w:p>
    <w:p w14:paraId="2D53309D">
      <w:pPr>
        <w:pStyle w:val="12"/>
        <w:spacing w:line="360" w:lineRule="exact"/>
        <w:ind w:firstLine="480" w:firstLineChars="200"/>
        <w:rPr>
          <w:rFonts w:hAnsi="宋体"/>
          <w:sz w:val="24"/>
          <w:szCs w:val="24"/>
        </w:rPr>
      </w:pPr>
      <w:r>
        <w:rPr>
          <w:rFonts w:hint="eastAsia" w:hAnsi="宋体"/>
          <w:sz w:val="24"/>
          <w:szCs w:val="24"/>
        </w:rPr>
        <w:t>3.1.6应以书面形式向乙方提供本合同项下电路服务所涉电路的类型、通达方向、速率、数量、技术要求、准确的终端起止接入地点、用途、要求开通时间、服务期限、联系人、联系电话等信息。</w:t>
      </w:r>
    </w:p>
    <w:p w14:paraId="4C6450F6">
      <w:pPr>
        <w:pStyle w:val="12"/>
        <w:spacing w:line="360" w:lineRule="exact"/>
        <w:ind w:firstLine="480" w:firstLineChars="200"/>
        <w:rPr>
          <w:rFonts w:hAnsi="宋体"/>
          <w:sz w:val="24"/>
          <w:szCs w:val="24"/>
        </w:rPr>
      </w:pPr>
      <w:r>
        <w:rPr>
          <w:rFonts w:hint="eastAsia" w:hAnsi="宋体"/>
          <w:sz w:val="24"/>
          <w:szCs w:val="24"/>
        </w:rPr>
        <w:t>3.1.7应派专人负责做好入网的各项准备和配合工作，包括但不限于：</w:t>
      </w:r>
    </w:p>
    <w:p w14:paraId="02EB30F5">
      <w:pPr>
        <w:pStyle w:val="12"/>
        <w:spacing w:line="360" w:lineRule="exact"/>
        <w:ind w:firstLine="480" w:firstLineChars="200"/>
        <w:rPr>
          <w:rFonts w:hAnsi="宋体"/>
          <w:sz w:val="24"/>
          <w:szCs w:val="24"/>
        </w:rPr>
      </w:pPr>
      <w:r>
        <w:rPr>
          <w:rFonts w:hint="eastAsia" w:hAnsi="宋体"/>
          <w:sz w:val="24"/>
          <w:szCs w:val="24"/>
        </w:rPr>
        <w:t>（1）入网前期的组织、协调工作。</w:t>
      </w:r>
    </w:p>
    <w:p w14:paraId="3226C391">
      <w:pPr>
        <w:pStyle w:val="12"/>
        <w:spacing w:line="360" w:lineRule="exact"/>
        <w:ind w:firstLine="480" w:firstLineChars="200"/>
        <w:rPr>
          <w:rFonts w:hAnsi="宋体"/>
          <w:sz w:val="24"/>
          <w:szCs w:val="24"/>
        </w:rPr>
      </w:pPr>
      <w:r>
        <w:rPr>
          <w:rFonts w:hint="eastAsia" w:hAnsi="宋体"/>
          <w:sz w:val="24"/>
          <w:szCs w:val="24"/>
        </w:rPr>
        <w:t>（2）无偿提供机房，并做好接入设备及机房内安装场地的准备。</w:t>
      </w:r>
    </w:p>
    <w:p w14:paraId="4AD5B239">
      <w:pPr>
        <w:pStyle w:val="12"/>
        <w:spacing w:line="360" w:lineRule="exact"/>
        <w:ind w:firstLine="480" w:firstLineChars="200"/>
        <w:rPr>
          <w:rFonts w:hAnsi="宋体"/>
          <w:sz w:val="24"/>
          <w:szCs w:val="24"/>
        </w:rPr>
      </w:pPr>
      <w:r>
        <w:rPr>
          <w:rFonts w:hint="eastAsia" w:hAnsi="宋体"/>
          <w:sz w:val="24"/>
          <w:szCs w:val="24"/>
        </w:rPr>
        <w:t>（3）负责协调所在楼宇的物业使其允许乙方进楼实施或提供线路接入，并承担协调物业涉及的相关费用。</w:t>
      </w:r>
    </w:p>
    <w:p w14:paraId="3572B971">
      <w:pPr>
        <w:spacing w:line="360" w:lineRule="exact"/>
        <w:ind w:firstLine="480" w:firstLineChars="200"/>
        <w:rPr>
          <w:rFonts w:ascii="宋体" w:hAnsi="宋体"/>
          <w:sz w:val="24"/>
          <w:szCs w:val="24"/>
        </w:rPr>
      </w:pPr>
      <w:r>
        <w:rPr>
          <w:rFonts w:hint="eastAsia" w:ascii="宋体" w:hAnsi="宋体"/>
          <w:sz w:val="24"/>
          <w:szCs w:val="24"/>
        </w:rPr>
        <w:t>（4）保证相关机构、人员、物业等入网各方配合乙方的进网调测工作。</w:t>
      </w:r>
    </w:p>
    <w:p w14:paraId="11D90C75">
      <w:pPr>
        <w:spacing w:line="360" w:lineRule="exact"/>
        <w:ind w:firstLine="480" w:firstLineChars="200"/>
        <w:rPr>
          <w:rFonts w:ascii="宋体" w:hAnsi="宋体"/>
          <w:sz w:val="24"/>
          <w:szCs w:val="24"/>
        </w:rPr>
      </w:pPr>
      <w:r>
        <w:rPr>
          <w:rFonts w:hint="eastAsia" w:ascii="宋体" w:hAnsi="宋体"/>
          <w:sz w:val="24"/>
          <w:szCs w:val="24"/>
        </w:rPr>
        <w:t>（5）调配和预留所在建筑物内配线室至机房的通信线路。</w:t>
      </w:r>
    </w:p>
    <w:p w14:paraId="77F22BCC">
      <w:pPr>
        <w:spacing w:line="360" w:lineRule="exact"/>
        <w:ind w:firstLine="480" w:firstLineChars="200"/>
        <w:rPr>
          <w:rFonts w:ascii="宋体" w:hAnsi="宋体"/>
          <w:sz w:val="24"/>
          <w:szCs w:val="24"/>
        </w:rPr>
      </w:pPr>
      <w:r>
        <w:rPr>
          <w:rFonts w:hint="eastAsia" w:ascii="宋体" w:hAnsi="宋体"/>
          <w:sz w:val="24"/>
          <w:szCs w:val="24"/>
        </w:rPr>
        <w:t>（6）提供有UPS保障的220V稳定电源，供乙方设备使用，并承担设备的用电费用。</w:t>
      </w:r>
    </w:p>
    <w:p w14:paraId="18B9A5F1">
      <w:pPr>
        <w:spacing w:line="360" w:lineRule="exact"/>
        <w:ind w:firstLine="480" w:firstLineChars="200"/>
        <w:rPr>
          <w:rFonts w:ascii="宋体" w:hAnsi="宋体"/>
          <w:sz w:val="24"/>
          <w:szCs w:val="24"/>
        </w:rPr>
      </w:pPr>
      <w:r>
        <w:rPr>
          <w:rFonts w:hint="eastAsia" w:ascii="宋体" w:hAnsi="宋体"/>
          <w:sz w:val="24"/>
          <w:szCs w:val="24"/>
        </w:rPr>
        <w:t>3.1.8承担因甲方原因造成的电路服务迟延提供的责任。如出现该情况的，双方视为电路服务按时提供。甲方及其下属机构应当积极配合乙方对电路各端和全程的开通调测工作，对开通调测结果无异议时，应在调测现场签字验收。</w:t>
      </w:r>
    </w:p>
    <w:p w14:paraId="5297FB42">
      <w:pPr>
        <w:spacing w:line="360" w:lineRule="exact"/>
        <w:ind w:firstLine="480" w:firstLineChars="200"/>
        <w:rPr>
          <w:rFonts w:ascii="宋体" w:hAnsi="宋体"/>
          <w:sz w:val="24"/>
          <w:szCs w:val="24"/>
        </w:rPr>
      </w:pPr>
      <w:r>
        <w:rPr>
          <w:rFonts w:hint="eastAsia" w:ascii="宋体" w:hAnsi="宋体"/>
          <w:sz w:val="24"/>
          <w:szCs w:val="24"/>
        </w:rPr>
        <w:t>3.1.9未经乙方同意，不得在电路及设备上加装其他各种设备及装置。</w:t>
      </w:r>
    </w:p>
    <w:p w14:paraId="73FACCD0">
      <w:pPr>
        <w:spacing w:line="360" w:lineRule="exact"/>
        <w:ind w:firstLine="480" w:firstLineChars="200"/>
        <w:rPr>
          <w:rFonts w:ascii="宋体" w:hAnsi="宋体"/>
          <w:sz w:val="24"/>
          <w:szCs w:val="24"/>
        </w:rPr>
      </w:pPr>
      <w:r>
        <w:rPr>
          <w:rFonts w:hint="eastAsia" w:ascii="宋体" w:hAnsi="宋体"/>
          <w:sz w:val="24"/>
          <w:szCs w:val="24"/>
        </w:rPr>
        <w:t>3.1.10积极配合乙方对电路的日常维护、检测等工作，并负责其机房线路设备侧电路的维护管理。</w:t>
      </w:r>
    </w:p>
    <w:p w14:paraId="4A23E1A8">
      <w:pPr>
        <w:spacing w:line="360" w:lineRule="exact"/>
        <w:ind w:firstLine="480" w:firstLineChars="200"/>
        <w:rPr>
          <w:rFonts w:ascii="宋体" w:hAnsi="宋体"/>
          <w:sz w:val="24"/>
          <w:szCs w:val="24"/>
        </w:rPr>
      </w:pPr>
      <w:r>
        <w:rPr>
          <w:rFonts w:hint="eastAsia" w:ascii="宋体" w:hAnsi="宋体"/>
          <w:sz w:val="24"/>
          <w:szCs w:val="24"/>
        </w:rPr>
        <w:t>3.1.11甲方下属机构使用电路服务的（甲方下属机构的名称、账号、地址见本合同附件[]），甲方应当保证甲方下属机构依据本合同约定使用电路服务，并就甲方下属机构使用电路服务的行为（包括但不限于对电路服务的使用及付费等行为）向乙方承担全部责任。</w:t>
      </w:r>
    </w:p>
    <w:p w14:paraId="7B6F9C1E">
      <w:pPr>
        <w:spacing w:line="360" w:lineRule="exact"/>
        <w:ind w:firstLine="480" w:firstLineChars="200"/>
        <w:rPr>
          <w:rFonts w:ascii="宋体" w:hAnsi="宋体"/>
          <w:b/>
          <w:sz w:val="24"/>
          <w:szCs w:val="24"/>
        </w:rPr>
      </w:pPr>
      <w:r>
        <w:rPr>
          <w:rFonts w:hint="eastAsia" w:ascii="宋体" w:hAnsi="宋体"/>
          <w:sz w:val="24"/>
          <w:szCs w:val="24"/>
        </w:rPr>
        <w:t>3.1.12</w:t>
      </w:r>
      <w:r>
        <w:rPr>
          <w:rStyle w:val="53"/>
          <w:rFonts w:hint="eastAsia" w:ascii="宋体" w:hAnsi="宋体"/>
          <w:sz w:val="24"/>
          <w:szCs w:val="24"/>
        </w:rPr>
        <w:t>甲方按照本合同约定享受电路服务，并对所涉电路负有保管责任；若由于甲方原因造成电路损坏的，应当按价赔偿。</w:t>
      </w:r>
      <w:r>
        <w:rPr>
          <w:rFonts w:hint="eastAsia" w:ascii="宋体" w:hAnsi="宋体"/>
          <w:sz w:val="24"/>
          <w:szCs w:val="24"/>
        </w:rPr>
        <w:t>本合同终止或双方协商一致变更具体业务类型的，乙方有权要求甲方归还相应设备、终端，甲方无法归还或设备、终端损坏的，应当按价赔偿。</w:t>
      </w:r>
    </w:p>
    <w:p w14:paraId="549361EE">
      <w:pPr>
        <w:spacing w:line="360" w:lineRule="exact"/>
        <w:ind w:firstLine="480" w:firstLineChars="200"/>
        <w:rPr>
          <w:rFonts w:ascii="宋体" w:hAnsi="宋体"/>
          <w:sz w:val="24"/>
          <w:szCs w:val="24"/>
        </w:rPr>
      </w:pPr>
      <w:r>
        <w:rPr>
          <w:rFonts w:hint="eastAsia" w:ascii="宋体" w:hAnsi="宋体"/>
          <w:sz w:val="24"/>
          <w:szCs w:val="24"/>
        </w:rPr>
        <w:t>3.2乙方权利和义务</w:t>
      </w:r>
    </w:p>
    <w:p w14:paraId="71885FE8">
      <w:pPr>
        <w:spacing w:line="360" w:lineRule="exact"/>
        <w:ind w:firstLine="480" w:firstLineChars="200"/>
        <w:rPr>
          <w:rFonts w:ascii="宋体" w:hAnsi="宋体"/>
          <w:sz w:val="24"/>
          <w:szCs w:val="24"/>
        </w:rPr>
      </w:pPr>
      <w:r>
        <w:rPr>
          <w:rFonts w:hint="eastAsia" w:ascii="宋体" w:hAnsi="宋体"/>
          <w:sz w:val="24"/>
          <w:szCs w:val="24"/>
        </w:rPr>
        <w:t>3.2.1视甲方为乙方的集团客户，提供端到端的综合性信息服务，并为甲方提供电路服务业务的咨询、组网建议等服务。</w:t>
      </w:r>
    </w:p>
    <w:p w14:paraId="253940A8">
      <w:pPr>
        <w:spacing w:line="360" w:lineRule="exact"/>
        <w:ind w:firstLine="480" w:firstLineChars="200"/>
        <w:rPr>
          <w:rFonts w:ascii="宋体" w:hAnsi="宋体"/>
          <w:sz w:val="24"/>
          <w:szCs w:val="24"/>
        </w:rPr>
      </w:pPr>
      <w:r>
        <w:rPr>
          <w:rFonts w:hint="eastAsia" w:ascii="宋体" w:hAnsi="宋体"/>
          <w:sz w:val="24"/>
          <w:szCs w:val="24"/>
        </w:rPr>
        <w:t>3.2.2负责依据甲方开通通知进行电路服务的开通。</w:t>
      </w:r>
    </w:p>
    <w:p w14:paraId="3FB80722">
      <w:pPr>
        <w:spacing w:line="360" w:lineRule="exact"/>
        <w:ind w:firstLine="480" w:firstLineChars="200"/>
        <w:rPr>
          <w:rFonts w:ascii="宋体" w:hAnsi="宋体"/>
          <w:sz w:val="24"/>
          <w:szCs w:val="24"/>
        </w:rPr>
      </w:pPr>
      <w:r>
        <w:rPr>
          <w:rFonts w:hint="eastAsia" w:ascii="宋体" w:hAnsi="宋体"/>
          <w:sz w:val="24"/>
          <w:szCs w:val="24"/>
        </w:rPr>
        <w:t>3.2.3在资源具备，且甲方办理完毕相关业务受理手续并支付一次性费用后[三十]个工作日内，向甲方提供电路服务业务。</w:t>
      </w:r>
    </w:p>
    <w:p w14:paraId="3C590014">
      <w:pPr>
        <w:spacing w:line="360" w:lineRule="exact"/>
        <w:ind w:firstLine="480" w:firstLineChars="200"/>
        <w:rPr>
          <w:rFonts w:ascii="宋体" w:hAnsi="宋体"/>
          <w:sz w:val="24"/>
          <w:szCs w:val="24"/>
        </w:rPr>
      </w:pPr>
      <w:r>
        <w:rPr>
          <w:rFonts w:hint="eastAsia" w:ascii="宋体" w:hAnsi="宋体"/>
          <w:sz w:val="24"/>
          <w:szCs w:val="24"/>
        </w:rPr>
        <w:t>3.2.4由于乙方端口、线路资源暂未具备等原因而未及时开通电路服务的，乙方有责任协调相关部门尽快开通电路服务。</w:t>
      </w:r>
    </w:p>
    <w:p w14:paraId="691D98DC">
      <w:pPr>
        <w:spacing w:line="360" w:lineRule="exact"/>
        <w:ind w:firstLine="480" w:firstLineChars="200"/>
        <w:rPr>
          <w:rFonts w:ascii="宋体" w:hAnsi="宋体"/>
          <w:sz w:val="24"/>
          <w:szCs w:val="24"/>
        </w:rPr>
      </w:pPr>
      <w:r>
        <w:rPr>
          <w:rFonts w:hint="eastAsia" w:ascii="宋体" w:hAnsi="宋体"/>
          <w:sz w:val="24"/>
          <w:szCs w:val="24"/>
        </w:rPr>
        <w:t>3.2.5在甲方给予必要的协助和配合下，依据相关规程和规范以及本合同约定提供电路维护服务，并及时修复通信障碍，保证通信畅通。</w:t>
      </w:r>
    </w:p>
    <w:p w14:paraId="07E32560">
      <w:pPr>
        <w:spacing w:line="360" w:lineRule="exact"/>
        <w:ind w:firstLine="480" w:firstLineChars="200"/>
        <w:rPr>
          <w:rFonts w:ascii="宋体" w:hAnsi="宋体"/>
          <w:sz w:val="24"/>
          <w:szCs w:val="24"/>
        </w:rPr>
      </w:pPr>
      <w:r>
        <w:rPr>
          <w:rFonts w:hint="eastAsia" w:ascii="宋体" w:hAnsi="宋体"/>
          <w:sz w:val="24"/>
          <w:szCs w:val="24"/>
        </w:rPr>
        <w:t>3.2.6乙方所提供电路维护服务的责任界面按照国家法律法规公布的维护规程明确。具体以甲方机房的设备为界，设备以外线路侧由乙方提供维护管理服务，另一侧（设备侧）由甲方负责维护管理。</w:t>
      </w:r>
    </w:p>
    <w:p w14:paraId="4F8DA103">
      <w:pPr>
        <w:spacing w:line="360" w:lineRule="exact"/>
        <w:ind w:firstLine="480" w:firstLineChars="200"/>
        <w:rPr>
          <w:rFonts w:ascii="宋体" w:hAnsi="宋体"/>
          <w:sz w:val="24"/>
          <w:szCs w:val="24"/>
        </w:rPr>
      </w:pPr>
      <w:r>
        <w:rPr>
          <w:rFonts w:hint="eastAsia" w:ascii="宋体" w:hAnsi="宋体"/>
          <w:sz w:val="24"/>
          <w:szCs w:val="24"/>
        </w:rPr>
        <w:t>3.2.7因技术、设备或国家政策因素等原因有权对电信业务的服务功能、操作方法、计费方式、计费模式、业务号码等作出修改、调整。</w:t>
      </w:r>
    </w:p>
    <w:p w14:paraId="08A1D6F3">
      <w:pPr>
        <w:spacing w:line="360" w:lineRule="exact"/>
        <w:ind w:firstLine="480" w:firstLineChars="200"/>
        <w:rPr>
          <w:rFonts w:ascii="宋体" w:hAnsi="宋体"/>
          <w:sz w:val="24"/>
          <w:szCs w:val="24"/>
        </w:rPr>
      </w:pPr>
      <w:r>
        <w:rPr>
          <w:rFonts w:hint="eastAsia" w:ascii="宋体" w:hAnsi="宋体"/>
          <w:sz w:val="24"/>
          <w:szCs w:val="24"/>
        </w:rPr>
        <w:t>3.2.8对所投资的电路和设备拥有所有权。</w:t>
      </w:r>
    </w:p>
    <w:p w14:paraId="5835C553">
      <w:pPr>
        <w:spacing w:line="360" w:lineRule="exact"/>
        <w:ind w:firstLine="480" w:firstLineChars="200"/>
        <w:rPr>
          <w:rFonts w:ascii="宋体" w:hAnsi="宋体"/>
          <w:sz w:val="24"/>
          <w:szCs w:val="24"/>
        </w:rPr>
      </w:pPr>
      <w:r>
        <w:rPr>
          <w:rFonts w:hint="eastAsia" w:ascii="宋体" w:hAnsi="宋体"/>
          <w:sz w:val="24"/>
          <w:szCs w:val="24"/>
        </w:rPr>
        <w:t>第四条电路服务的开通</w:t>
      </w:r>
    </w:p>
    <w:p w14:paraId="63833D49">
      <w:pPr>
        <w:spacing w:line="360" w:lineRule="exact"/>
        <w:ind w:firstLine="480" w:firstLineChars="200"/>
        <w:rPr>
          <w:rFonts w:ascii="宋体" w:hAnsi="宋体"/>
          <w:sz w:val="24"/>
          <w:szCs w:val="24"/>
        </w:rPr>
      </w:pPr>
      <w:r>
        <w:rPr>
          <w:rFonts w:hint="eastAsia" w:ascii="宋体" w:hAnsi="宋体"/>
          <w:sz w:val="24"/>
          <w:szCs w:val="24"/>
        </w:rPr>
        <w:t>4.1电路服务开通是指甲乙双方商定的接口点外侧间的电路全程测通，并以最晚一端开通为准。</w:t>
      </w:r>
      <w:r>
        <w:rPr>
          <w:rFonts w:hint="eastAsia" w:ascii="宋体" w:hAnsi="宋体"/>
          <w:kern w:val="0"/>
          <w:sz w:val="24"/>
          <w:szCs w:val="24"/>
        </w:rPr>
        <w:t>乙方不负责甲方客户端网络设备的调测。</w:t>
      </w:r>
    </w:p>
    <w:p w14:paraId="6A20EDDA">
      <w:pPr>
        <w:spacing w:line="360" w:lineRule="exact"/>
        <w:ind w:firstLine="480" w:firstLineChars="200"/>
        <w:rPr>
          <w:rFonts w:ascii="宋体" w:hAnsi="宋体"/>
          <w:sz w:val="24"/>
          <w:szCs w:val="24"/>
        </w:rPr>
      </w:pPr>
      <w:r>
        <w:rPr>
          <w:rFonts w:hint="eastAsia" w:ascii="宋体" w:hAnsi="宋体"/>
          <w:kern w:val="0"/>
          <w:sz w:val="24"/>
          <w:szCs w:val="24"/>
        </w:rPr>
        <w:t>4.2电路服务开通后，乙方或乙方下属机构向甲方提供</w:t>
      </w:r>
      <w:r>
        <w:rPr>
          <w:rFonts w:hint="eastAsia" w:ascii="宋体" w:hAnsi="宋体"/>
          <w:sz w:val="24"/>
          <w:szCs w:val="24"/>
        </w:rPr>
        <w:t>业</w:t>
      </w:r>
      <w:r>
        <w:rPr>
          <w:rFonts w:hint="eastAsia" w:ascii="宋体" w:hAnsi="宋体"/>
          <w:kern w:val="0"/>
          <w:sz w:val="24"/>
          <w:szCs w:val="24"/>
        </w:rPr>
        <w:t>务竣工单。甲方应当在收到业务竣工单后的</w:t>
      </w:r>
      <w:r>
        <w:rPr>
          <w:rFonts w:hint="eastAsia" w:ascii="宋体" w:hAnsi="宋体"/>
          <w:sz w:val="24"/>
          <w:szCs w:val="24"/>
        </w:rPr>
        <w:t>五日</w:t>
      </w:r>
      <w:r>
        <w:rPr>
          <w:rFonts w:hint="eastAsia" w:ascii="宋体" w:hAnsi="宋体"/>
          <w:kern w:val="0"/>
          <w:sz w:val="24"/>
          <w:szCs w:val="24"/>
        </w:rPr>
        <w:t>内验收核实，电路服务确已根据本合同约定和国家有关电信业务规定开通的，甲方应签字或盖章确认。电路服务</w:t>
      </w:r>
      <w:r>
        <w:rPr>
          <w:rFonts w:hint="eastAsia" w:ascii="宋体" w:hAnsi="宋体"/>
          <w:sz w:val="24"/>
          <w:szCs w:val="24"/>
        </w:rPr>
        <w:t>实际开通日，以乙方或乙方当地下属机构与开通地点的甲方代表签字或盖章确认的日期为准。</w:t>
      </w:r>
    </w:p>
    <w:p w14:paraId="4545A93C">
      <w:pPr>
        <w:spacing w:line="360" w:lineRule="exact"/>
        <w:ind w:firstLine="480" w:firstLineChars="200"/>
        <w:rPr>
          <w:rFonts w:ascii="宋体" w:hAnsi="宋体"/>
          <w:kern w:val="0"/>
          <w:sz w:val="24"/>
          <w:szCs w:val="24"/>
        </w:rPr>
      </w:pPr>
      <w:r>
        <w:rPr>
          <w:rFonts w:hint="eastAsia" w:ascii="宋体" w:hAnsi="宋体"/>
          <w:sz w:val="24"/>
          <w:szCs w:val="24"/>
        </w:rPr>
        <w:t>4.2.1</w:t>
      </w:r>
      <w:r>
        <w:rPr>
          <w:rFonts w:hint="eastAsia" w:ascii="宋体" w:hAnsi="宋体"/>
          <w:kern w:val="0"/>
          <w:sz w:val="24"/>
          <w:szCs w:val="24"/>
        </w:rPr>
        <w:t>如甲方在收到业务竣工单后</w:t>
      </w:r>
      <w:r>
        <w:rPr>
          <w:rFonts w:hint="eastAsia" w:ascii="宋体" w:hAnsi="宋体"/>
          <w:sz w:val="24"/>
          <w:szCs w:val="24"/>
        </w:rPr>
        <w:t>五日内</w:t>
      </w:r>
      <w:r>
        <w:rPr>
          <w:rFonts w:hint="eastAsia" w:ascii="宋体" w:hAnsi="宋体"/>
          <w:kern w:val="0"/>
          <w:sz w:val="24"/>
          <w:szCs w:val="24"/>
        </w:rPr>
        <w:t>未签字或盖章确认、也未书面提出异议的，视为乙方</w:t>
      </w:r>
      <w:r>
        <w:rPr>
          <w:rFonts w:hint="eastAsia" w:ascii="宋体" w:hAnsi="宋体"/>
          <w:sz w:val="24"/>
          <w:szCs w:val="24"/>
        </w:rPr>
        <w:t>已按照</w:t>
      </w:r>
      <w:r>
        <w:rPr>
          <w:rFonts w:hint="eastAsia" w:ascii="宋体" w:hAnsi="宋体"/>
          <w:kern w:val="0"/>
          <w:sz w:val="24"/>
          <w:szCs w:val="24"/>
        </w:rPr>
        <w:t>合同约定</w:t>
      </w:r>
      <w:r>
        <w:rPr>
          <w:rFonts w:hint="eastAsia" w:ascii="宋体" w:hAnsi="宋体"/>
          <w:sz w:val="24"/>
          <w:szCs w:val="24"/>
        </w:rPr>
        <w:t>和国家有关电信业务规定开通电路服务</w:t>
      </w:r>
      <w:r>
        <w:rPr>
          <w:rFonts w:hint="eastAsia" w:ascii="宋体" w:hAnsi="宋体"/>
          <w:kern w:val="0"/>
          <w:sz w:val="24"/>
          <w:szCs w:val="24"/>
        </w:rPr>
        <w:t>，业务竣工单载明的实际开通日期为电路服务的实际开通日。</w:t>
      </w:r>
    </w:p>
    <w:p w14:paraId="2E4CDAFE">
      <w:pPr>
        <w:spacing w:line="360" w:lineRule="exact"/>
        <w:ind w:firstLine="480" w:firstLineChars="200"/>
        <w:rPr>
          <w:rFonts w:ascii="宋体" w:hAnsi="宋体"/>
          <w:kern w:val="0"/>
          <w:sz w:val="24"/>
          <w:szCs w:val="24"/>
        </w:rPr>
      </w:pPr>
      <w:r>
        <w:rPr>
          <w:rFonts w:hint="eastAsia" w:ascii="宋体" w:hAnsi="宋体"/>
          <w:kern w:val="0"/>
          <w:sz w:val="24"/>
          <w:szCs w:val="24"/>
        </w:rPr>
        <w:t>4.2.2如甲方在收到业务竣工单后未验收并在五日内提出不使用电路服务的，则视为甲方提前终止服务，此时，甲方应承担本合同约定的一次性费用，并按照本合同第6.5.3条约定承担相应月服务费。</w:t>
      </w:r>
    </w:p>
    <w:p w14:paraId="2AA14A29">
      <w:pPr>
        <w:spacing w:line="360" w:lineRule="exact"/>
        <w:ind w:firstLine="480" w:firstLineChars="200"/>
        <w:rPr>
          <w:rFonts w:ascii="宋体" w:hAnsi="宋体"/>
          <w:sz w:val="24"/>
          <w:szCs w:val="24"/>
        </w:rPr>
      </w:pPr>
      <w:r>
        <w:rPr>
          <w:rFonts w:hint="eastAsia" w:ascii="宋体" w:hAnsi="宋体"/>
          <w:kern w:val="0"/>
          <w:sz w:val="24"/>
          <w:szCs w:val="24"/>
        </w:rPr>
        <w:t>4.3乙方自实际开通日起开始计收电路月服务费。</w:t>
      </w:r>
    </w:p>
    <w:p w14:paraId="3837DC99">
      <w:pPr>
        <w:spacing w:line="360" w:lineRule="exact"/>
        <w:ind w:firstLine="480" w:firstLineChars="200"/>
        <w:rPr>
          <w:rFonts w:ascii="宋体" w:hAnsi="宋体"/>
          <w:sz w:val="24"/>
          <w:szCs w:val="24"/>
        </w:rPr>
      </w:pPr>
      <w:r>
        <w:rPr>
          <w:rFonts w:hint="eastAsia" w:ascii="宋体" w:hAnsi="宋体"/>
          <w:sz w:val="24"/>
          <w:szCs w:val="24"/>
        </w:rPr>
        <w:t>第五条终止服务</w:t>
      </w:r>
    </w:p>
    <w:p w14:paraId="438D512B">
      <w:pPr>
        <w:spacing w:line="360" w:lineRule="exact"/>
        <w:ind w:firstLine="480" w:firstLineChars="200"/>
        <w:rPr>
          <w:rFonts w:ascii="宋体" w:hAnsi="宋体"/>
          <w:sz w:val="24"/>
          <w:szCs w:val="24"/>
        </w:rPr>
      </w:pPr>
      <w:r>
        <w:rPr>
          <w:rFonts w:hint="eastAsia" w:ascii="宋体" w:hAnsi="宋体"/>
          <w:sz w:val="24"/>
          <w:szCs w:val="24"/>
        </w:rPr>
        <w:t>5.1甲方在服务期限到期前终止本业务，应当至少提前三十日以书面形式通知乙方，本业务终止时间以乙方收到甲方的终止服务通知中载明的终止时间为准，但不得早于乙方收到甲方终止服务通知后的第三十日。如果甲方间的终止服务通知中载明的终止时间早于上述时限，则本业务终止时为乙方收到甲方终止服务通知后的第三十一日。</w:t>
      </w:r>
    </w:p>
    <w:p w14:paraId="7962AD52">
      <w:pPr>
        <w:spacing w:line="360" w:lineRule="exact"/>
        <w:ind w:firstLine="480" w:firstLineChars="200"/>
        <w:rPr>
          <w:rFonts w:ascii="宋体" w:hAnsi="宋体"/>
          <w:sz w:val="24"/>
          <w:szCs w:val="24"/>
        </w:rPr>
      </w:pPr>
      <w:r>
        <w:rPr>
          <w:rFonts w:hint="eastAsia" w:ascii="宋体" w:hAnsi="宋体"/>
          <w:sz w:val="24"/>
          <w:szCs w:val="24"/>
        </w:rPr>
        <w:t>5.2甲方终止服务时，应当按照本合同第6.5条约定支付终止服务当月月服务费。</w:t>
      </w:r>
    </w:p>
    <w:p w14:paraId="09C93009">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5.3如甲方提前终止服务的，甲方应当在终止服务前向乙方补交剩余服务期对应服务费用的[]%作为违约金。</w:t>
      </w:r>
    </w:p>
    <w:p w14:paraId="4928A337">
      <w:pPr>
        <w:spacing w:line="360" w:lineRule="exact"/>
        <w:ind w:firstLine="480" w:firstLineChars="200"/>
        <w:rPr>
          <w:rFonts w:ascii="宋体" w:hAnsi="宋体"/>
          <w:sz w:val="24"/>
          <w:szCs w:val="24"/>
        </w:rPr>
      </w:pPr>
      <w:r>
        <w:rPr>
          <w:rFonts w:hint="eastAsia" w:ascii="宋体" w:hAnsi="宋体"/>
          <w:sz w:val="24"/>
          <w:szCs w:val="24"/>
        </w:rPr>
        <w:t>第六条费用及支付</w:t>
      </w:r>
    </w:p>
    <w:p w14:paraId="5B49AD92">
      <w:pPr>
        <w:spacing w:line="360" w:lineRule="exact"/>
        <w:ind w:firstLine="480" w:firstLineChars="200"/>
        <w:rPr>
          <w:rFonts w:ascii="宋体" w:hAnsi="宋体"/>
          <w:sz w:val="24"/>
          <w:szCs w:val="24"/>
        </w:rPr>
      </w:pPr>
      <w:r>
        <w:rPr>
          <w:rFonts w:hint="eastAsia" w:ascii="宋体" w:hAnsi="宋体"/>
          <w:sz w:val="24"/>
          <w:szCs w:val="24"/>
        </w:rPr>
        <w:t>6.1电路服务费包括一次性费用和月服务费两部分（一次性费用和月服务费相关价格及估算单见附件二）。</w:t>
      </w:r>
    </w:p>
    <w:p w14:paraId="3002B96E">
      <w:pPr>
        <w:spacing w:line="360" w:lineRule="exact"/>
        <w:ind w:firstLine="480" w:firstLineChars="200"/>
        <w:rPr>
          <w:rFonts w:ascii="宋体" w:hAnsi="宋体"/>
          <w:sz w:val="24"/>
          <w:szCs w:val="24"/>
        </w:rPr>
      </w:pPr>
      <w:r>
        <w:rPr>
          <w:rFonts w:hint="eastAsia" w:ascii="宋体" w:hAnsi="宋体"/>
          <w:sz w:val="24"/>
          <w:szCs w:val="24"/>
        </w:rPr>
        <w:t>6.2甲方和/或甲方下属机构使用电路服务产生的一次性费用和月服务费，按照下述第（）种方式支付:</w:t>
      </w:r>
    </w:p>
    <w:p w14:paraId="30DC04D5">
      <w:pPr>
        <w:spacing w:line="360" w:lineRule="exact"/>
        <w:ind w:firstLine="480" w:firstLineChars="200"/>
        <w:rPr>
          <w:rFonts w:ascii="宋体" w:hAnsi="宋体"/>
          <w:sz w:val="24"/>
          <w:szCs w:val="24"/>
        </w:rPr>
      </w:pPr>
      <w:r>
        <w:rPr>
          <w:rFonts w:hint="eastAsia" w:ascii="宋体" w:hAnsi="宋体"/>
          <w:sz w:val="24"/>
          <w:szCs w:val="24"/>
        </w:rPr>
        <w:t>（1）甲方直接向乙方支付。</w:t>
      </w:r>
    </w:p>
    <w:p w14:paraId="3FEF25AE">
      <w:pPr>
        <w:spacing w:line="360" w:lineRule="exact"/>
        <w:ind w:firstLine="480" w:firstLineChars="200"/>
        <w:rPr>
          <w:rFonts w:ascii="宋体" w:hAnsi="宋体"/>
          <w:sz w:val="24"/>
          <w:szCs w:val="24"/>
        </w:rPr>
      </w:pPr>
      <w:r>
        <w:rPr>
          <w:rFonts w:hint="eastAsia" w:ascii="宋体" w:hAnsi="宋体"/>
          <w:sz w:val="24"/>
          <w:szCs w:val="24"/>
        </w:rPr>
        <w:t>甲乙双方银行账户信息和纳税人信息：</w:t>
      </w:r>
    </w:p>
    <w:p w14:paraId="2040ADF5">
      <w:pPr>
        <w:spacing w:line="360" w:lineRule="exact"/>
        <w:ind w:firstLine="480" w:firstLineChars="200"/>
        <w:rPr>
          <w:rFonts w:ascii="宋体" w:hAnsi="宋体"/>
          <w:sz w:val="24"/>
          <w:szCs w:val="24"/>
        </w:rPr>
      </w:pPr>
      <w:r>
        <w:rPr>
          <w:rFonts w:hint="eastAsia" w:ascii="宋体" w:hAnsi="宋体"/>
          <w:sz w:val="24"/>
          <w:szCs w:val="24"/>
        </w:rPr>
        <w:t>甲方信息如下：</w:t>
      </w:r>
    </w:p>
    <w:p w14:paraId="387E4FBA">
      <w:pPr>
        <w:spacing w:line="360" w:lineRule="exact"/>
        <w:ind w:firstLine="480" w:firstLineChars="200"/>
        <w:rPr>
          <w:rFonts w:ascii="宋体" w:hAnsi="宋体"/>
          <w:sz w:val="24"/>
          <w:szCs w:val="24"/>
        </w:rPr>
      </w:pPr>
      <w:r>
        <w:rPr>
          <w:rFonts w:hint="eastAsia" w:ascii="宋体" w:hAnsi="宋体"/>
          <w:sz w:val="24"/>
          <w:szCs w:val="24"/>
        </w:rPr>
        <w:t>开户行：[]</w:t>
      </w:r>
    </w:p>
    <w:p w14:paraId="073E36B6">
      <w:pPr>
        <w:spacing w:line="360" w:lineRule="exact"/>
        <w:ind w:firstLine="480" w:firstLineChars="200"/>
        <w:rPr>
          <w:rFonts w:ascii="宋体" w:hAnsi="宋体"/>
          <w:sz w:val="24"/>
          <w:szCs w:val="24"/>
        </w:rPr>
      </w:pPr>
      <w:r>
        <w:rPr>
          <w:rFonts w:hint="eastAsia" w:ascii="宋体" w:hAnsi="宋体"/>
          <w:sz w:val="24"/>
          <w:szCs w:val="24"/>
        </w:rPr>
        <w:t>银行地址：[]</w:t>
      </w:r>
    </w:p>
    <w:p w14:paraId="0A52A972">
      <w:pPr>
        <w:spacing w:line="360" w:lineRule="exact"/>
        <w:ind w:firstLine="480" w:firstLineChars="200"/>
        <w:rPr>
          <w:rFonts w:ascii="宋体" w:hAnsi="宋体"/>
          <w:sz w:val="24"/>
          <w:szCs w:val="24"/>
        </w:rPr>
      </w:pPr>
      <w:r>
        <w:rPr>
          <w:rFonts w:hint="eastAsia" w:ascii="宋体" w:hAnsi="宋体"/>
          <w:sz w:val="24"/>
          <w:szCs w:val="24"/>
        </w:rPr>
        <w:t>户名：[]</w:t>
      </w:r>
    </w:p>
    <w:p w14:paraId="7309F62A">
      <w:pPr>
        <w:spacing w:line="360" w:lineRule="exact"/>
        <w:ind w:firstLine="480" w:firstLineChars="200"/>
        <w:rPr>
          <w:rFonts w:ascii="宋体" w:hAnsi="宋体"/>
          <w:sz w:val="24"/>
          <w:szCs w:val="24"/>
        </w:rPr>
      </w:pPr>
      <w:r>
        <w:rPr>
          <w:rFonts w:hint="eastAsia" w:ascii="宋体" w:hAnsi="宋体"/>
          <w:sz w:val="24"/>
          <w:szCs w:val="24"/>
        </w:rPr>
        <w:t>账号：[]</w:t>
      </w:r>
    </w:p>
    <w:p w14:paraId="29AE0ECD">
      <w:pPr>
        <w:spacing w:line="360" w:lineRule="exact"/>
        <w:ind w:firstLine="480" w:firstLineChars="200"/>
        <w:rPr>
          <w:rFonts w:ascii="宋体" w:hAnsi="宋体"/>
          <w:sz w:val="24"/>
          <w:szCs w:val="24"/>
        </w:rPr>
      </w:pPr>
      <w:r>
        <w:rPr>
          <w:rFonts w:hint="eastAsia" w:ascii="宋体" w:hAnsi="宋体"/>
          <w:sz w:val="24"/>
          <w:szCs w:val="24"/>
        </w:rPr>
        <w:t>统一社会信用代码：[]</w:t>
      </w:r>
    </w:p>
    <w:p w14:paraId="4EC1B8EE">
      <w:pPr>
        <w:spacing w:line="360" w:lineRule="exact"/>
        <w:ind w:firstLine="480" w:firstLineChars="200"/>
        <w:rPr>
          <w:rFonts w:ascii="宋体" w:hAnsi="宋体"/>
          <w:sz w:val="24"/>
          <w:szCs w:val="24"/>
        </w:rPr>
      </w:pPr>
      <w:r>
        <w:rPr>
          <w:rFonts w:hint="eastAsia" w:ascii="宋体" w:hAnsi="宋体"/>
          <w:sz w:val="24"/>
          <w:szCs w:val="24"/>
        </w:rPr>
        <w:t>地址：[]</w:t>
      </w:r>
    </w:p>
    <w:p w14:paraId="2DB64EEF">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电话：[]</w:t>
      </w:r>
    </w:p>
    <w:p w14:paraId="03D689B2">
      <w:pPr>
        <w:spacing w:line="360" w:lineRule="exact"/>
        <w:ind w:firstLine="480" w:firstLineChars="200"/>
        <w:rPr>
          <w:rFonts w:ascii="宋体" w:hAnsi="宋体"/>
          <w:sz w:val="24"/>
          <w:szCs w:val="24"/>
        </w:rPr>
      </w:pPr>
      <w:r>
        <w:rPr>
          <w:rFonts w:hint="eastAsia" w:ascii="宋体" w:hAnsi="宋体"/>
          <w:sz w:val="24"/>
          <w:szCs w:val="24"/>
        </w:rPr>
        <w:t>乙方信息如下：</w:t>
      </w:r>
    </w:p>
    <w:p w14:paraId="653C65F3">
      <w:pPr>
        <w:spacing w:line="360" w:lineRule="exact"/>
        <w:ind w:firstLine="480" w:firstLineChars="200"/>
        <w:rPr>
          <w:rFonts w:ascii="宋体" w:hAnsi="宋体"/>
          <w:sz w:val="24"/>
          <w:szCs w:val="24"/>
        </w:rPr>
      </w:pPr>
      <w:r>
        <w:rPr>
          <w:rFonts w:hint="eastAsia" w:ascii="宋体" w:hAnsi="宋体"/>
          <w:sz w:val="24"/>
          <w:szCs w:val="24"/>
        </w:rPr>
        <w:t>开户行：[]</w:t>
      </w:r>
    </w:p>
    <w:p w14:paraId="5D4B94E3">
      <w:pPr>
        <w:spacing w:line="360" w:lineRule="exact"/>
        <w:ind w:firstLine="480" w:firstLineChars="200"/>
        <w:rPr>
          <w:rFonts w:ascii="宋体" w:hAnsi="宋体"/>
          <w:sz w:val="24"/>
          <w:szCs w:val="24"/>
        </w:rPr>
      </w:pPr>
      <w:r>
        <w:rPr>
          <w:rFonts w:hint="eastAsia" w:ascii="宋体" w:hAnsi="宋体"/>
          <w:sz w:val="24"/>
          <w:szCs w:val="24"/>
        </w:rPr>
        <w:t>银行地址：[]</w:t>
      </w:r>
    </w:p>
    <w:p w14:paraId="56377865">
      <w:pPr>
        <w:spacing w:line="360" w:lineRule="exact"/>
        <w:ind w:firstLine="480" w:firstLineChars="200"/>
        <w:rPr>
          <w:rFonts w:ascii="宋体" w:hAnsi="宋体"/>
          <w:sz w:val="24"/>
          <w:szCs w:val="24"/>
        </w:rPr>
      </w:pPr>
      <w:r>
        <w:rPr>
          <w:rFonts w:hint="eastAsia" w:ascii="宋体" w:hAnsi="宋体"/>
          <w:sz w:val="24"/>
          <w:szCs w:val="24"/>
        </w:rPr>
        <w:t>户名：[]</w:t>
      </w:r>
    </w:p>
    <w:p w14:paraId="0E7C7010">
      <w:pPr>
        <w:spacing w:line="360" w:lineRule="exact"/>
        <w:ind w:firstLine="480" w:firstLineChars="200"/>
        <w:rPr>
          <w:rFonts w:ascii="宋体" w:hAnsi="宋体"/>
          <w:sz w:val="24"/>
          <w:szCs w:val="24"/>
        </w:rPr>
      </w:pPr>
      <w:r>
        <w:rPr>
          <w:rFonts w:hint="eastAsia" w:ascii="宋体" w:hAnsi="宋体"/>
          <w:sz w:val="24"/>
          <w:szCs w:val="24"/>
        </w:rPr>
        <w:t>账号：[]</w:t>
      </w:r>
    </w:p>
    <w:p w14:paraId="44E0D68C">
      <w:pPr>
        <w:spacing w:line="360" w:lineRule="exact"/>
        <w:ind w:firstLine="480" w:firstLineChars="200"/>
        <w:rPr>
          <w:rFonts w:ascii="宋体" w:hAnsi="宋体"/>
          <w:sz w:val="24"/>
          <w:szCs w:val="24"/>
        </w:rPr>
      </w:pPr>
      <w:r>
        <w:rPr>
          <w:rFonts w:hint="eastAsia" w:ascii="宋体" w:hAnsi="宋体"/>
          <w:sz w:val="24"/>
          <w:szCs w:val="24"/>
        </w:rPr>
        <w:t>统一社会信用代码：[]</w:t>
      </w:r>
    </w:p>
    <w:p w14:paraId="35F6044E">
      <w:pPr>
        <w:spacing w:line="360" w:lineRule="exact"/>
        <w:ind w:firstLine="480" w:firstLineChars="200"/>
        <w:rPr>
          <w:rFonts w:ascii="宋体" w:hAnsi="宋体"/>
          <w:sz w:val="24"/>
          <w:szCs w:val="24"/>
        </w:rPr>
      </w:pPr>
      <w:r>
        <w:rPr>
          <w:rFonts w:hint="eastAsia" w:ascii="宋体" w:hAnsi="宋体"/>
          <w:sz w:val="24"/>
          <w:szCs w:val="24"/>
        </w:rPr>
        <w:t>地址：[]</w:t>
      </w:r>
    </w:p>
    <w:p w14:paraId="28C6F8A8">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电话：[]</w:t>
      </w:r>
    </w:p>
    <w:p w14:paraId="2EE93781">
      <w:pPr>
        <w:spacing w:line="360" w:lineRule="exact"/>
        <w:ind w:firstLine="480" w:firstLineChars="200"/>
        <w:rPr>
          <w:rFonts w:ascii="宋体" w:hAnsi="宋体"/>
          <w:sz w:val="24"/>
          <w:szCs w:val="24"/>
        </w:rPr>
      </w:pPr>
      <w:r>
        <w:rPr>
          <w:rFonts w:hint="eastAsia" w:ascii="宋体" w:hAnsi="宋体"/>
          <w:sz w:val="24"/>
          <w:szCs w:val="24"/>
        </w:rPr>
        <w:t>（2）由甲方下属机构向乙方分散付费。甲方下属机构及乙方的银行账户信息和纳税人信息见本合同附件[]。此时，甲方在电路服务开通前以书面形式告知甲方下属机构缴费事宜，督促、协调下属机构依据本合同约定按时、足额缴费，并就甲方下属机构的迟延付费向乙方承担补缴费用、支付违约金等责任。</w:t>
      </w:r>
    </w:p>
    <w:p w14:paraId="343DC9AC">
      <w:pPr>
        <w:spacing w:line="360" w:lineRule="exact"/>
        <w:ind w:firstLine="480" w:firstLineChars="200"/>
        <w:rPr>
          <w:rFonts w:ascii="宋体" w:hAnsi="宋体"/>
          <w:sz w:val="24"/>
          <w:szCs w:val="24"/>
        </w:rPr>
      </w:pPr>
      <w:r>
        <w:rPr>
          <w:rFonts w:hint="eastAsia" w:ascii="宋体" w:hAnsi="宋体"/>
          <w:sz w:val="24"/>
          <w:szCs w:val="24"/>
        </w:rPr>
        <w:t>（3）甲方向乙方指定下属机构付费，甲方及乙方指定下属机构的银行账户信息和纳税人信息见本合同附件[]。</w:t>
      </w:r>
    </w:p>
    <w:p w14:paraId="4A32F4D5">
      <w:pPr>
        <w:spacing w:line="360" w:lineRule="exact"/>
        <w:ind w:firstLine="480" w:firstLineChars="200"/>
        <w:rPr>
          <w:rFonts w:ascii="宋体" w:hAnsi="宋体"/>
          <w:kern w:val="0"/>
          <w:sz w:val="24"/>
          <w:szCs w:val="24"/>
        </w:rPr>
      </w:pPr>
      <w:r>
        <w:rPr>
          <w:rFonts w:hint="eastAsia" w:ascii="宋体" w:hAnsi="宋体"/>
          <w:sz w:val="24"/>
          <w:szCs w:val="24"/>
        </w:rPr>
        <w:t>（4）由甲方下属机构向乙方指定下属机构分散付费。甲方下属机构及乙方指定下属机构的银行账户信息和纳税人信息见本合同附件[]。此时，甲方应当在电路服务开通前以书面形式告知甲方下属机构缴费事宜，督促、协调下属机构依据本合同约定按时、足额缴费，并就甲方下属机构的迟延付费向乙方和/或乙方指定下属机构承担补缴费用、支付违约金等责任。</w:t>
      </w:r>
    </w:p>
    <w:p w14:paraId="64F4CDB9">
      <w:pPr>
        <w:spacing w:line="360" w:lineRule="exact"/>
        <w:ind w:firstLine="480" w:firstLineChars="200"/>
        <w:rPr>
          <w:rFonts w:ascii="宋体" w:hAnsi="宋体"/>
          <w:sz w:val="24"/>
          <w:szCs w:val="24"/>
        </w:rPr>
      </w:pPr>
      <w:r>
        <w:rPr>
          <w:rFonts w:hint="eastAsia" w:ascii="宋体" w:hAnsi="宋体"/>
          <w:sz w:val="24"/>
          <w:szCs w:val="24"/>
        </w:rPr>
        <w:t>6.3本合同费用的所有支付由甲方和/或甲方下属机构</w:t>
      </w:r>
      <w:r>
        <w:rPr>
          <w:rFonts w:hint="eastAsia" w:ascii="宋体" w:hAnsi="宋体"/>
          <w:kern w:val="0"/>
          <w:sz w:val="24"/>
          <w:szCs w:val="24"/>
        </w:rPr>
        <w:t>以[]（银行转账、银行托收、电汇、</w:t>
      </w:r>
      <w:r>
        <w:rPr>
          <w:rFonts w:hint="eastAsia" w:ascii="宋体" w:hAnsi="宋体"/>
          <w:sz w:val="24"/>
          <w:szCs w:val="24"/>
        </w:rPr>
        <w:t>支票</w:t>
      </w:r>
      <w:r>
        <w:rPr>
          <w:rFonts w:hint="eastAsia" w:ascii="宋体" w:hAnsi="宋体"/>
          <w:kern w:val="0"/>
          <w:sz w:val="24"/>
          <w:szCs w:val="24"/>
        </w:rPr>
        <w:t>等方式）</w:t>
      </w:r>
      <w:r>
        <w:rPr>
          <w:rFonts w:hint="eastAsia" w:ascii="宋体" w:hAnsi="宋体"/>
          <w:sz w:val="24"/>
          <w:szCs w:val="24"/>
        </w:rPr>
        <w:t>付至乙方和/或乙方指定下属机构。</w:t>
      </w:r>
    </w:p>
    <w:p w14:paraId="260F9755">
      <w:pPr>
        <w:spacing w:line="360" w:lineRule="exact"/>
        <w:ind w:firstLine="480" w:firstLineChars="200"/>
        <w:rPr>
          <w:rFonts w:ascii="宋体" w:hAnsi="宋体"/>
          <w:sz w:val="24"/>
          <w:szCs w:val="24"/>
        </w:rPr>
      </w:pPr>
      <w:r>
        <w:rPr>
          <w:rFonts w:hint="eastAsia" w:ascii="宋体" w:hAnsi="宋体"/>
          <w:sz w:val="24"/>
          <w:szCs w:val="24"/>
        </w:rPr>
        <w:t>6.4一次性费用：甲方和/或甲方下属机构根据乙方和/或乙方指定下属机构的一次性费用预收费通知单向乙方和/或乙方指定下属机构缴纳一次性费用。前述费用为预收费用。待电路服务开通后，以实际发生的费用为准进行结算。若结算费用与预收费用有差异，则根据结算通知单进行调整。</w:t>
      </w:r>
    </w:p>
    <w:p w14:paraId="5D7E0B6F">
      <w:pPr>
        <w:spacing w:line="360" w:lineRule="exact"/>
        <w:ind w:firstLine="480" w:firstLineChars="200"/>
        <w:rPr>
          <w:rFonts w:ascii="宋体" w:hAnsi="宋体"/>
          <w:sz w:val="24"/>
          <w:szCs w:val="24"/>
        </w:rPr>
      </w:pPr>
      <w:r>
        <w:rPr>
          <w:rFonts w:hint="eastAsia" w:ascii="宋体" w:hAnsi="宋体"/>
          <w:sz w:val="24"/>
          <w:szCs w:val="24"/>
        </w:rPr>
        <w:t>6.5月服务费：甲方和/或甲方下属机构按照下述第（）种方式支付:</w:t>
      </w:r>
    </w:p>
    <w:p w14:paraId="4FF3A899">
      <w:pPr>
        <w:spacing w:line="360" w:lineRule="exact"/>
        <w:ind w:firstLine="480" w:firstLineChars="200"/>
        <w:rPr>
          <w:rFonts w:ascii="宋体" w:hAnsi="宋体"/>
          <w:sz w:val="24"/>
          <w:szCs w:val="24"/>
        </w:rPr>
      </w:pPr>
      <w:r>
        <w:rPr>
          <w:rFonts w:hint="eastAsia" w:ascii="宋体" w:hAnsi="宋体"/>
          <w:sz w:val="24"/>
          <w:szCs w:val="24"/>
        </w:rPr>
        <w:t>（1）按月支付</w:t>
      </w:r>
    </w:p>
    <w:p w14:paraId="1A2761C5">
      <w:pPr>
        <w:spacing w:line="360" w:lineRule="exact"/>
        <w:ind w:firstLine="480" w:firstLineChars="200"/>
        <w:rPr>
          <w:rFonts w:ascii="宋体" w:hAnsi="宋体"/>
          <w:sz w:val="24"/>
          <w:szCs w:val="24"/>
        </w:rPr>
      </w:pPr>
      <w:r>
        <w:rPr>
          <w:rFonts w:hint="eastAsia" w:ascii="宋体" w:hAnsi="宋体"/>
          <w:sz w:val="24"/>
          <w:szCs w:val="24"/>
        </w:rPr>
        <w:t>应当在每月[]日之前，根据乙方和/或乙方指定下属机构的收费通知单缴纳当期月服务费。缴纳费用后，收款方向付款方开具相应金额的符合国家规定的发票。</w:t>
      </w:r>
    </w:p>
    <w:p w14:paraId="0D028DF6">
      <w:pPr>
        <w:spacing w:line="360" w:lineRule="exact"/>
        <w:ind w:firstLine="480" w:firstLineChars="200"/>
        <w:rPr>
          <w:rFonts w:ascii="宋体" w:hAnsi="宋体"/>
          <w:sz w:val="24"/>
          <w:szCs w:val="24"/>
        </w:rPr>
      </w:pPr>
      <w:r>
        <w:rPr>
          <w:rFonts w:hint="eastAsia" w:ascii="宋体" w:hAnsi="宋体"/>
          <w:sz w:val="24"/>
          <w:szCs w:val="24"/>
        </w:rPr>
        <w:t>（2）其他方式</w:t>
      </w:r>
    </w:p>
    <w:p w14:paraId="7882CE89">
      <w:pPr>
        <w:spacing w:line="360" w:lineRule="exact"/>
        <w:ind w:firstLine="480" w:firstLineChars="200"/>
        <w:rPr>
          <w:rFonts w:ascii="宋体" w:hAnsi="宋体"/>
          <w:sz w:val="24"/>
          <w:szCs w:val="24"/>
        </w:rPr>
      </w:pPr>
      <w:r>
        <w:rPr>
          <w:rFonts w:hint="eastAsia" w:ascii="宋体" w:hAnsi="宋体"/>
          <w:sz w:val="24"/>
          <w:szCs w:val="24"/>
        </w:rPr>
        <w:t>[]。</w:t>
      </w:r>
    </w:p>
    <w:p w14:paraId="0E9AA507">
      <w:pPr>
        <w:spacing w:line="360" w:lineRule="exact"/>
        <w:ind w:firstLine="480" w:firstLineChars="200"/>
        <w:rPr>
          <w:rFonts w:ascii="宋体" w:hAnsi="宋体"/>
          <w:sz w:val="24"/>
          <w:szCs w:val="24"/>
        </w:rPr>
      </w:pPr>
      <w:r>
        <w:rPr>
          <w:rFonts w:hint="eastAsia" w:ascii="宋体" w:hAnsi="宋体"/>
          <w:sz w:val="24"/>
          <w:szCs w:val="24"/>
        </w:rPr>
        <w:t>6.5.1电路开通首月月服务费：开通当月按实际使用天数进行收费。</w:t>
      </w:r>
    </w:p>
    <w:p w14:paraId="21C09CFD">
      <w:pPr>
        <w:spacing w:line="360" w:lineRule="exact"/>
        <w:ind w:firstLine="480" w:firstLineChars="200"/>
        <w:rPr>
          <w:rFonts w:ascii="宋体" w:hAnsi="宋体"/>
          <w:sz w:val="24"/>
          <w:szCs w:val="24"/>
        </w:rPr>
      </w:pPr>
      <w:r>
        <w:rPr>
          <w:rFonts w:hint="eastAsia" w:ascii="宋体" w:hAnsi="宋体"/>
          <w:sz w:val="24"/>
          <w:szCs w:val="24"/>
        </w:rPr>
        <w:t>6.5.2甲方如对月服务费有异议而经双方确认核对确有错误的，在次月调整。</w:t>
      </w:r>
    </w:p>
    <w:p w14:paraId="43FA7BA9">
      <w:pPr>
        <w:spacing w:line="360" w:lineRule="exact"/>
        <w:ind w:firstLine="480" w:firstLineChars="200"/>
        <w:rPr>
          <w:rFonts w:ascii="宋体" w:hAnsi="宋体"/>
          <w:sz w:val="24"/>
          <w:szCs w:val="24"/>
        </w:rPr>
      </w:pPr>
      <w:r>
        <w:rPr>
          <w:rFonts w:hint="eastAsia" w:ascii="宋体" w:hAnsi="宋体"/>
          <w:sz w:val="24"/>
          <w:szCs w:val="24"/>
        </w:rPr>
        <w:t>6.5.3甲方在本合同确定的服务期未满时提前终止服务，甲方和/或甲方下属机构应按服务费标准和实际使用天数缴纳提前终止服务当月实际使用的服务费。</w:t>
      </w:r>
    </w:p>
    <w:p w14:paraId="1A3BA3E8">
      <w:pPr>
        <w:spacing w:line="360" w:lineRule="exact"/>
        <w:ind w:firstLine="480" w:firstLineChars="200"/>
        <w:rPr>
          <w:rFonts w:ascii="宋体" w:hAnsi="宋体"/>
          <w:sz w:val="24"/>
          <w:szCs w:val="24"/>
        </w:rPr>
      </w:pPr>
      <w:r>
        <w:rPr>
          <w:rFonts w:hint="eastAsia" w:ascii="宋体" w:hAnsi="宋体"/>
          <w:sz w:val="24"/>
          <w:szCs w:val="24"/>
        </w:rPr>
        <w:t>6.6若甲方和/或甲方下属机构存在欠费情况的，不论乙方和/或乙方指定下属机构开具发票和收费通知单的具体时间，乙方和/或乙方指定下属机构每次收到甲方和/或甲方下属机构付款按照甲方和/或甲方下属机构欠费的先后顺序自动抵充先到期的欠费，直至抵缴完毕。</w:t>
      </w:r>
    </w:p>
    <w:p w14:paraId="303E5D3B">
      <w:pPr>
        <w:pStyle w:val="12"/>
        <w:spacing w:line="360" w:lineRule="exact"/>
        <w:ind w:firstLine="480" w:firstLineChars="200"/>
        <w:rPr>
          <w:rFonts w:hAnsi="宋体"/>
          <w:sz w:val="24"/>
          <w:szCs w:val="24"/>
        </w:rPr>
      </w:pPr>
      <w:r>
        <w:rPr>
          <w:rFonts w:hint="eastAsia" w:hAnsi="宋体"/>
          <w:sz w:val="24"/>
          <w:szCs w:val="24"/>
        </w:rPr>
        <w:t>第七条服务质量</w:t>
      </w:r>
    </w:p>
    <w:p w14:paraId="1AD445F1">
      <w:pPr>
        <w:pStyle w:val="12"/>
        <w:spacing w:line="360" w:lineRule="exact"/>
        <w:ind w:firstLine="480" w:firstLineChars="200"/>
        <w:rPr>
          <w:rFonts w:hAnsi="宋体"/>
          <w:sz w:val="24"/>
          <w:szCs w:val="24"/>
        </w:rPr>
      </w:pPr>
      <w:r>
        <w:rPr>
          <w:rFonts w:hint="eastAsia" w:hAnsi="宋体"/>
          <w:sz w:val="24"/>
          <w:szCs w:val="24"/>
        </w:rPr>
        <w:t>7.1双方承诺严格遵守《中华人民共和国电信条例》等国家有关法律法规履行本合同，维护双方权益。</w:t>
      </w:r>
    </w:p>
    <w:p w14:paraId="5FC07BEC">
      <w:pPr>
        <w:pStyle w:val="12"/>
        <w:spacing w:line="360" w:lineRule="exact"/>
        <w:ind w:firstLine="480" w:firstLineChars="200"/>
        <w:rPr>
          <w:rFonts w:hAnsi="宋体"/>
          <w:sz w:val="24"/>
          <w:szCs w:val="24"/>
        </w:rPr>
      </w:pPr>
      <w:r>
        <w:rPr>
          <w:rFonts w:hint="eastAsia" w:hAnsi="宋体"/>
          <w:sz w:val="24"/>
          <w:szCs w:val="24"/>
        </w:rPr>
        <w:t>7.2乙方按国家电信主管部门颁布的电信服务标准和电路质量要求，保证电路服务畅通。</w:t>
      </w:r>
    </w:p>
    <w:p w14:paraId="1A01A0F1">
      <w:pPr>
        <w:pStyle w:val="12"/>
        <w:spacing w:line="360" w:lineRule="exact"/>
        <w:ind w:firstLine="480" w:firstLineChars="200"/>
        <w:rPr>
          <w:rFonts w:hAnsi="宋体"/>
          <w:sz w:val="24"/>
          <w:szCs w:val="24"/>
        </w:rPr>
      </w:pPr>
      <w:r>
        <w:rPr>
          <w:rFonts w:hint="eastAsia" w:hAnsi="宋体"/>
          <w:sz w:val="24"/>
          <w:szCs w:val="24"/>
        </w:rPr>
        <w:t>7.3若本合同履行期间，国家颁布新的法律法规和服务标准，则自新的法律法规和服务标准生效之日起按照新的法律法规和服务标准执行。</w:t>
      </w:r>
    </w:p>
    <w:p w14:paraId="1B8D6BB6">
      <w:pPr>
        <w:pStyle w:val="12"/>
        <w:spacing w:line="360" w:lineRule="exact"/>
        <w:ind w:firstLine="480" w:firstLineChars="200"/>
        <w:rPr>
          <w:rFonts w:hAnsi="宋体"/>
          <w:sz w:val="24"/>
          <w:szCs w:val="24"/>
        </w:rPr>
      </w:pPr>
      <w:r>
        <w:rPr>
          <w:rFonts w:hint="eastAsia" w:hAnsi="宋体"/>
          <w:sz w:val="24"/>
          <w:szCs w:val="24"/>
        </w:rPr>
        <w:t>7.4乙方向甲方提供本合同约定的服务，负责故障处理。</w:t>
      </w:r>
    </w:p>
    <w:p w14:paraId="7EF624F6">
      <w:pPr>
        <w:pStyle w:val="12"/>
        <w:spacing w:line="360" w:lineRule="exact"/>
        <w:ind w:firstLine="480" w:firstLineChars="200"/>
        <w:rPr>
          <w:rFonts w:hAnsi="宋体"/>
          <w:sz w:val="24"/>
          <w:szCs w:val="24"/>
        </w:rPr>
      </w:pPr>
      <w:r>
        <w:rPr>
          <w:rFonts w:hint="eastAsia" w:hAnsi="宋体"/>
          <w:sz w:val="24"/>
          <w:szCs w:val="24"/>
        </w:rPr>
        <w:t>7.4.1乙方为甲方提供大客户故障受理热线服务，即，受理并处理甲方全程端到端的故障申告。</w:t>
      </w:r>
    </w:p>
    <w:p w14:paraId="7A561688">
      <w:pPr>
        <w:pStyle w:val="12"/>
        <w:spacing w:line="360" w:lineRule="exact"/>
        <w:ind w:firstLine="480" w:firstLineChars="200"/>
        <w:rPr>
          <w:rFonts w:hAnsi="宋体"/>
          <w:sz w:val="24"/>
          <w:szCs w:val="24"/>
        </w:rPr>
      </w:pPr>
      <w:r>
        <w:rPr>
          <w:rFonts w:hint="eastAsia" w:hAnsi="宋体"/>
          <w:sz w:val="24"/>
          <w:szCs w:val="24"/>
        </w:rPr>
        <w:t>7.4.2故障申告采取“就近申告、首问负责”的原则。甲方向乙方下属机构就近申告，乙方下属机构实行“首问负责制”，向甲方提供及时的服务，负责故障的处理。</w:t>
      </w:r>
    </w:p>
    <w:p w14:paraId="45DDC45F">
      <w:pPr>
        <w:spacing w:line="360" w:lineRule="exact"/>
        <w:ind w:firstLine="480" w:firstLineChars="200"/>
        <w:rPr>
          <w:rFonts w:ascii="宋体" w:hAnsi="宋体"/>
          <w:kern w:val="0"/>
          <w:sz w:val="24"/>
          <w:szCs w:val="24"/>
        </w:rPr>
      </w:pPr>
      <w:r>
        <w:rPr>
          <w:rFonts w:hint="eastAsia" w:ascii="宋体" w:hAnsi="宋体"/>
          <w:sz w:val="24"/>
          <w:szCs w:val="24"/>
        </w:rPr>
        <w:t>7.5由于甲方自备设备故障或甲方操作不当造成的电路故障，甲</w:t>
      </w:r>
      <w:r>
        <w:rPr>
          <w:rFonts w:hint="eastAsia" w:ascii="宋体" w:hAnsi="宋体"/>
          <w:kern w:val="0"/>
          <w:sz w:val="24"/>
          <w:szCs w:val="24"/>
        </w:rPr>
        <w:t>方自行承担责任，并赔偿乙方由此遭受的损失。</w:t>
      </w:r>
    </w:p>
    <w:p w14:paraId="6D051BF2">
      <w:pPr>
        <w:spacing w:line="360" w:lineRule="exact"/>
        <w:ind w:firstLine="480" w:firstLineChars="200"/>
        <w:rPr>
          <w:rFonts w:ascii="宋体" w:hAnsi="宋体"/>
          <w:sz w:val="24"/>
          <w:szCs w:val="24"/>
        </w:rPr>
      </w:pPr>
      <w:r>
        <w:rPr>
          <w:rFonts w:hint="eastAsia" w:ascii="宋体" w:hAnsi="宋体"/>
          <w:sz w:val="24"/>
          <w:szCs w:val="24"/>
        </w:rPr>
        <w:t>7.6因乙方施工、网络割接等原因影响电路服务的正常使用的，乙方应当提前通知甲方，并且尽快消除故障、恢复通信线路，甲方要给予协助和配合。</w:t>
      </w:r>
    </w:p>
    <w:p w14:paraId="494ED2A2">
      <w:pPr>
        <w:pStyle w:val="12"/>
        <w:spacing w:line="360" w:lineRule="exact"/>
        <w:ind w:firstLine="480" w:firstLineChars="200"/>
        <w:rPr>
          <w:rFonts w:hAnsi="宋体"/>
          <w:sz w:val="24"/>
          <w:szCs w:val="24"/>
        </w:rPr>
      </w:pPr>
      <w:r>
        <w:rPr>
          <w:rFonts w:hint="eastAsia" w:hAnsi="宋体"/>
          <w:sz w:val="24"/>
          <w:szCs w:val="24"/>
        </w:rPr>
        <w:t>7.7如乙方因国防需要、政府指令、网络维护、网络调整、网络安全等因素在网络上对服务进行更改或变动，乙方应当提前通知甲方，甲方应予配合。</w:t>
      </w:r>
    </w:p>
    <w:p w14:paraId="48A2E687">
      <w:pPr>
        <w:pStyle w:val="12"/>
        <w:spacing w:line="360" w:lineRule="exact"/>
        <w:ind w:firstLine="480" w:firstLineChars="200"/>
        <w:rPr>
          <w:rFonts w:hAnsi="宋体"/>
          <w:b/>
          <w:sz w:val="24"/>
          <w:szCs w:val="24"/>
        </w:rPr>
      </w:pPr>
      <w:r>
        <w:rPr>
          <w:rFonts w:hint="eastAsia" w:hAnsi="宋体"/>
          <w:sz w:val="24"/>
          <w:szCs w:val="24"/>
        </w:rPr>
        <w:t>7.8双方同意建立联系制度，加强日常情况沟通，及时处理影响通信质量的问题。</w:t>
      </w:r>
    </w:p>
    <w:p w14:paraId="3531AD7B">
      <w:pPr>
        <w:pStyle w:val="12"/>
        <w:spacing w:line="360" w:lineRule="exact"/>
        <w:ind w:firstLine="480" w:firstLineChars="200"/>
        <w:rPr>
          <w:rFonts w:hAnsi="宋体"/>
          <w:sz w:val="24"/>
          <w:szCs w:val="24"/>
        </w:rPr>
      </w:pPr>
      <w:r>
        <w:rPr>
          <w:rFonts w:hint="eastAsia" w:hAnsi="宋体"/>
          <w:sz w:val="24"/>
          <w:szCs w:val="24"/>
        </w:rPr>
        <w:t>第八条保密</w:t>
      </w:r>
    </w:p>
    <w:p w14:paraId="53AB4DF1">
      <w:pPr>
        <w:pStyle w:val="12"/>
        <w:spacing w:line="360" w:lineRule="exact"/>
        <w:ind w:firstLine="480" w:firstLineChars="200"/>
        <w:rPr>
          <w:rFonts w:hAnsi="宋体"/>
          <w:sz w:val="24"/>
          <w:szCs w:val="24"/>
        </w:rPr>
      </w:pPr>
      <w:r>
        <w:rPr>
          <w:rFonts w:hint="eastAsia" w:hAnsi="宋体"/>
          <w:sz w:val="24"/>
          <w:szCs w:val="24"/>
        </w:rPr>
        <w:t>8.1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14:paraId="293FD2A2">
      <w:pPr>
        <w:pStyle w:val="12"/>
        <w:spacing w:line="360" w:lineRule="exact"/>
        <w:ind w:firstLine="480" w:firstLineChars="200"/>
        <w:rPr>
          <w:rFonts w:hAnsi="宋体"/>
          <w:color w:val="000000"/>
          <w:sz w:val="24"/>
          <w:szCs w:val="24"/>
        </w:rPr>
      </w:pPr>
      <w:r>
        <w:rPr>
          <w:rFonts w:hint="eastAsia" w:hAnsi="宋体"/>
          <w:sz w:val="24"/>
          <w:szCs w:val="24"/>
        </w:rPr>
        <w:t>8.2本保密条款在服务期限内及服务终止后</w:t>
      </w:r>
      <w:r>
        <w:rPr>
          <w:rFonts w:hint="eastAsia" w:hAnsi="宋体"/>
          <w:color w:val="000000"/>
          <w:sz w:val="24"/>
          <w:szCs w:val="24"/>
        </w:rPr>
        <w:t>二</w:t>
      </w:r>
      <w:r>
        <w:rPr>
          <w:rFonts w:hint="eastAsia" w:hAnsi="宋体"/>
          <w:sz w:val="24"/>
          <w:szCs w:val="24"/>
        </w:rPr>
        <w:t>年之内持续有效。</w:t>
      </w:r>
    </w:p>
    <w:p w14:paraId="629683F6">
      <w:pPr>
        <w:pStyle w:val="12"/>
        <w:spacing w:line="360" w:lineRule="exact"/>
        <w:ind w:firstLine="480" w:firstLineChars="200"/>
        <w:rPr>
          <w:rFonts w:hAnsi="宋体"/>
          <w:sz w:val="24"/>
          <w:szCs w:val="24"/>
        </w:rPr>
      </w:pPr>
      <w:r>
        <w:rPr>
          <w:rFonts w:hint="eastAsia" w:hAnsi="宋体"/>
          <w:sz w:val="24"/>
          <w:szCs w:val="24"/>
        </w:rPr>
        <w:t>第九条个人信息保护和数据安全</w:t>
      </w:r>
    </w:p>
    <w:p w14:paraId="6889C970">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为履行本合同，甲方委托乙方处理相关数据和个人信息的，双方同意按照本条约定执行：</w:t>
      </w:r>
    </w:p>
    <w:p w14:paraId="2DB75215">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9.1个人信息种类：[]；处理数据和个人信息的期限为：[];处理方式为：[]以及本合同约定的其他处理方式。</w:t>
      </w:r>
    </w:p>
    <w:p w14:paraId="1C612801">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9.2甲方保证，其委托乙方处理个人信息已经向个人信息主体履行了法定告知义务，并取得了其同意。甲方保证，其委托乙方处理的个人信息和数据来源合法合规，不存在违反法律法规、监管要求的情况。</w:t>
      </w:r>
    </w:p>
    <w:p w14:paraId="1851593E">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9.3双方均应当严格按照相关法律法规规定，采取措施确保个人信息处理活动符合法律、行政法规的规定，防止未经授权的访问以及个人信息和数据的泄露、篡改、丢失。</w:t>
      </w:r>
    </w:p>
    <w:p w14:paraId="59B850CC">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9.4乙方有权对甲方提供的个人信息和数据来源合法合规性情况进行检查。对于乙方检查发现甲方个人信息和数据来源违反法律法规、监管要求，或者就其向乙方提供的个人信息未依法向个人履行法定告知义务、未取得个人同意，乙方有权要求甲方在一定期限内整改。如果甲方未按照乙方要求整改或整改未达到乙方的相关要求，乙方有权解除合同，且不承担赔偿责任；由此给乙方造成损失的，甲方应当全额赔偿。</w:t>
      </w:r>
    </w:p>
    <w:p w14:paraId="76029144">
      <w:pPr>
        <w:pStyle w:val="12"/>
        <w:spacing w:line="360" w:lineRule="exact"/>
        <w:ind w:firstLine="480" w:firstLineChars="200"/>
        <w:rPr>
          <w:rFonts w:hAnsi="宋体"/>
          <w:sz w:val="24"/>
          <w:szCs w:val="24"/>
        </w:rPr>
      </w:pPr>
      <w:r>
        <w:rPr>
          <w:rFonts w:hint="eastAsia" w:hAnsi="宋体"/>
          <w:sz w:val="24"/>
          <w:szCs w:val="24"/>
        </w:rPr>
        <w:t>9.5甲方违反本合同及其附件个人信息保护和数据安全相关条款和相关法律法规、监管要求的，甲方应当承担一切民事、行政和刑事责任，如因此给个人信息主体、乙方或其他人造成任何损失的，甲方应当承担全部责任。</w:t>
      </w:r>
    </w:p>
    <w:p w14:paraId="02C3268F">
      <w:pPr>
        <w:spacing w:line="360" w:lineRule="exact"/>
        <w:ind w:firstLine="480" w:firstLineChars="200"/>
        <w:rPr>
          <w:rFonts w:ascii="宋体" w:hAnsi="宋体"/>
          <w:bCs/>
          <w:sz w:val="24"/>
          <w:szCs w:val="24"/>
        </w:rPr>
      </w:pPr>
      <w:r>
        <w:rPr>
          <w:rFonts w:hint="eastAsia" w:ascii="宋体" w:hAnsi="宋体"/>
          <w:bCs/>
          <w:sz w:val="24"/>
          <w:szCs w:val="24"/>
        </w:rPr>
        <w:t>第十条</w:t>
      </w:r>
      <w:r>
        <w:rPr>
          <w:rFonts w:hint="eastAsia" w:ascii="宋体" w:hAnsi="宋体"/>
          <w:sz w:val="24"/>
          <w:szCs w:val="24"/>
        </w:rPr>
        <w:t>违约责任</w:t>
      </w:r>
    </w:p>
    <w:p w14:paraId="25B6EB66">
      <w:pPr>
        <w:spacing w:line="360" w:lineRule="exact"/>
        <w:ind w:firstLine="480" w:firstLineChars="200"/>
        <w:rPr>
          <w:rFonts w:ascii="宋体" w:hAnsi="宋体"/>
          <w:sz w:val="24"/>
          <w:szCs w:val="24"/>
        </w:rPr>
      </w:pPr>
      <w:r>
        <w:rPr>
          <w:rFonts w:hint="eastAsia" w:ascii="宋体" w:hAnsi="宋体"/>
          <w:sz w:val="24"/>
          <w:szCs w:val="24"/>
        </w:rPr>
        <w:t>10.1如甲方使用电路违反本合同约定的，如将电路服务以转让或其他任何方式提供给第三方，或将电路服务用于本合同约定用途以外的其他用途，或在服务期限内实施了任何违反国家法律法规的行为，乙方有权立即终止本合同，甲方应向乙方支付已使用未缴纳的费用，并承担未履行部分费用总额[]%的违约金，违约金不足以弥补因此给乙方造成的损失的，甲方应当继续赔偿。</w:t>
      </w:r>
    </w:p>
    <w:p w14:paraId="143826A4">
      <w:pPr>
        <w:ind w:firstLine="480" w:firstLineChars="200"/>
        <w:rPr>
          <w:rFonts w:ascii="宋体" w:hAnsi="宋体"/>
          <w:sz w:val="24"/>
          <w:szCs w:val="24"/>
        </w:rPr>
      </w:pPr>
      <w:r>
        <w:rPr>
          <w:rFonts w:hint="eastAsia" w:ascii="宋体" w:hAnsi="宋体"/>
          <w:sz w:val="24"/>
          <w:szCs w:val="24"/>
        </w:rPr>
        <w:t>10.2如甲方逾期付费，除补交欠费之外，每逾期一日应按照所欠金额的[千分之三]支付违约金。逾期付费的，乙方有权暂停向甲方提供本服务直至终止本合同；同时，甲方还应承担乙方因追讨欠费支出的各项费用（包括但不限于律师费、诉讼费、保全费、财产保全担保费等）。在欠费期间乙方有权不向甲方提供业务新装/开、续用/开、变更等服务。</w:t>
      </w:r>
    </w:p>
    <w:p w14:paraId="3420C953">
      <w:pPr>
        <w:spacing w:line="360" w:lineRule="exact"/>
        <w:ind w:firstLine="480" w:firstLineChars="200"/>
        <w:rPr>
          <w:rFonts w:ascii="宋体" w:hAnsi="宋体"/>
          <w:sz w:val="24"/>
          <w:szCs w:val="24"/>
        </w:rPr>
      </w:pPr>
      <w:r>
        <w:rPr>
          <w:rFonts w:hint="eastAsia" w:ascii="宋体" w:hAnsi="宋体"/>
          <w:sz w:val="24"/>
          <w:szCs w:val="24"/>
        </w:rPr>
        <w:t>10.3在满足开通条件的情况下，如确因乙方原因，不能在本合同规定的开通时限内开通电路服务，则每逾期一个工作日按照所收取的相应电路服务的一次性费用的百分之一的比例作为给甲方的赔付，并在首月月服务费中直接抵扣，赔付金额最多不超过首月月服务费。如逾期[]日仍不能开通，则甲方有权终止本合同。</w:t>
      </w:r>
    </w:p>
    <w:p w14:paraId="306F9BB9">
      <w:pPr>
        <w:pStyle w:val="19"/>
        <w:spacing w:line="360" w:lineRule="exact"/>
        <w:ind w:firstLine="480"/>
        <w:rPr>
          <w:rFonts w:hAnsi="宋体"/>
          <w:color w:val="000000"/>
          <w:sz w:val="24"/>
          <w:szCs w:val="24"/>
        </w:rPr>
      </w:pPr>
      <w:r>
        <w:rPr>
          <w:rFonts w:hint="eastAsia" w:hAnsi="宋体"/>
          <w:sz w:val="24"/>
          <w:szCs w:val="24"/>
        </w:rPr>
        <w:t>10.4</w:t>
      </w:r>
      <w:r>
        <w:rPr>
          <w:rFonts w:hint="eastAsia" w:hAnsi="宋体"/>
          <w:color w:val="000000"/>
          <w:sz w:val="24"/>
          <w:szCs w:val="24"/>
        </w:rPr>
        <w:t>本合同履行过程中，如甲方发生以下任一情形的，乙方有权视情节严重程度采取中止或终止履行合同、解除合同等措施并不承担违约责任。如该情形导致第三方向乙方提出法律或行政程序，甲方应负责解决。如该情形给乙方造成损失的，甲方应全额赔偿：</w:t>
      </w:r>
    </w:p>
    <w:p w14:paraId="092A65CF">
      <w:pPr>
        <w:pStyle w:val="19"/>
        <w:spacing w:line="360" w:lineRule="exact"/>
        <w:ind w:firstLine="480"/>
        <w:rPr>
          <w:rFonts w:hAnsi="宋体"/>
          <w:color w:val="000000"/>
          <w:sz w:val="24"/>
          <w:szCs w:val="24"/>
        </w:rPr>
      </w:pPr>
      <w:r>
        <w:rPr>
          <w:rFonts w:hint="eastAsia" w:hAnsi="宋体"/>
          <w:sz w:val="24"/>
          <w:szCs w:val="24"/>
        </w:rPr>
        <w:t>（1）</w:t>
      </w:r>
      <w:r>
        <w:rPr>
          <w:rFonts w:hint="eastAsia" w:hAnsi="宋体"/>
          <w:color w:val="000000"/>
          <w:sz w:val="24"/>
          <w:szCs w:val="24"/>
        </w:rPr>
        <w:t>被行政机关纳入“严重违法失信”名单；</w:t>
      </w:r>
    </w:p>
    <w:p w14:paraId="0BC5CB20">
      <w:pPr>
        <w:pStyle w:val="19"/>
        <w:spacing w:line="360" w:lineRule="exact"/>
        <w:ind w:firstLine="480"/>
        <w:rPr>
          <w:rFonts w:hAnsi="宋体"/>
          <w:color w:val="000000"/>
          <w:sz w:val="24"/>
          <w:szCs w:val="24"/>
        </w:rPr>
      </w:pPr>
      <w:r>
        <w:rPr>
          <w:rFonts w:hint="eastAsia" w:hAnsi="宋体"/>
          <w:sz w:val="24"/>
          <w:szCs w:val="24"/>
        </w:rPr>
        <w:t>（2）</w:t>
      </w:r>
      <w:r>
        <w:rPr>
          <w:rFonts w:hint="eastAsia" w:hAnsi="宋体"/>
          <w:color w:val="000000"/>
          <w:sz w:val="24"/>
          <w:szCs w:val="24"/>
        </w:rPr>
        <w:t>被人民法院纳入“失信被执行人”名单；</w:t>
      </w:r>
    </w:p>
    <w:p w14:paraId="03A57DB6">
      <w:pPr>
        <w:pStyle w:val="19"/>
        <w:spacing w:line="360" w:lineRule="exact"/>
        <w:ind w:firstLine="480"/>
        <w:rPr>
          <w:rFonts w:hAnsi="宋体"/>
          <w:color w:val="000000"/>
          <w:sz w:val="24"/>
          <w:szCs w:val="24"/>
        </w:rPr>
      </w:pPr>
      <w:r>
        <w:rPr>
          <w:rFonts w:hint="eastAsia" w:hAnsi="宋体"/>
          <w:sz w:val="24"/>
          <w:szCs w:val="24"/>
        </w:rPr>
        <w:t>（3）</w:t>
      </w:r>
      <w:r>
        <w:rPr>
          <w:rFonts w:hint="eastAsia" w:hAnsi="宋体"/>
          <w:color w:val="000000"/>
          <w:sz w:val="24"/>
          <w:szCs w:val="24"/>
        </w:rPr>
        <w:t>被乙方（含乙方上级单位）纳入违规失信合作商名单；</w:t>
      </w:r>
    </w:p>
    <w:p w14:paraId="319178C0">
      <w:pPr>
        <w:pStyle w:val="19"/>
        <w:spacing w:line="360" w:lineRule="exact"/>
        <w:ind w:firstLine="480"/>
        <w:rPr>
          <w:rFonts w:hAnsi="宋体"/>
          <w:color w:val="000000"/>
          <w:sz w:val="24"/>
          <w:szCs w:val="24"/>
        </w:rPr>
      </w:pPr>
      <w:r>
        <w:rPr>
          <w:rFonts w:hint="eastAsia" w:hAnsi="宋体"/>
          <w:sz w:val="24"/>
          <w:szCs w:val="24"/>
        </w:rPr>
        <w:t>（4）</w:t>
      </w:r>
      <w:r>
        <w:rPr>
          <w:rFonts w:hint="eastAsia" w:hAnsi="宋体"/>
          <w:color w:val="000000"/>
          <w:sz w:val="24"/>
          <w:szCs w:val="24"/>
        </w:rPr>
        <w:t>如存在网络和信息安全违法、违规行为的，包括但不限于因网络和信息安全问题承担刑事责任或受到行政处罚，被列入各级公安机关的涉通讯信息诈骗违法犯罪高危自然人或法人名单、电信业务经营不良名单、失信名单等;</w:t>
      </w:r>
    </w:p>
    <w:p w14:paraId="59C97A29">
      <w:pPr>
        <w:pStyle w:val="12"/>
        <w:spacing w:line="360" w:lineRule="exact"/>
        <w:ind w:firstLine="480" w:firstLineChars="200"/>
        <w:rPr>
          <w:rFonts w:hAnsi="宋体"/>
          <w:sz w:val="24"/>
          <w:szCs w:val="24"/>
        </w:rPr>
      </w:pPr>
      <w:r>
        <w:rPr>
          <w:rFonts w:hint="eastAsia" w:hAnsi="宋体"/>
          <w:sz w:val="24"/>
          <w:szCs w:val="24"/>
        </w:rPr>
        <w:t>（5）</w:t>
      </w:r>
      <w:r>
        <w:rPr>
          <w:rFonts w:hint="eastAsia" w:hAnsi="宋体"/>
          <w:color w:val="000000"/>
          <w:sz w:val="24"/>
          <w:szCs w:val="24"/>
        </w:rPr>
        <w:t>其他相关法律法规规定或有权机关认定的违法失信情形，以及可能导致合同履行风险或侵害乙方合法权益或声誉的违规失信情形。</w:t>
      </w:r>
    </w:p>
    <w:p w14:paraId="69E7D82E">
      <w:pPr>
        <w:pStyle w:val="12"/>
        <w:spacing w:line="360" w:lineRule="exact"/>
        <w:ind w:firstLine="480" w:firstLineChars="200"/>
        <w:rPr>
          <w:rFonts w:hAnsi="宋体"/>
          <w:sz w:val="24"/>
          <w:szCs w:val="24"/>
        </w:rPr>
      </w:pPr>
      <w:r>
        <w:rPr>
          <w:rFonts w:hint="eastAsia" w:hAnsi="宋体"/>
          <w:sz w:val="24"/>
          <w:szCs w:val="24"/>
        </w:rPr>
        <w:t>10.5无论本合同其他条款是否有任何相反的约定，</w:t>
      </w:r>
      <w:r>
        <w:rPr>
          <w:rFonts w:hint="eastAsia" w:hAnsi="宋体"/>
          <w:color w:val="000000"/>
          <w:sz w:val="24"/>
          <w:szCs w:val="24"/>
        </w:rPr>
        <w:t>乙方和/或乙方下属机构在本合同项下应承担的责任不超过乙方和/或乙方下属机构最近[]个月已经收取费用总额的[]%；</w:t>
      </w:r>
      <w:r>
        <w:rPr>
          <w:rFonts w:hint="eastAsia" w:hAnsi="宋体"/>
          <w:sz w:val="24"/>
          <w:szCs w:val="24"/>
        </w:rPr>
        <w:t>乙方和/或乙方下属机构对因本合同项下行为而导致的甲方和/或甲方下属机构可得利益损失、商业信誉损失以及数据丢失或损坏等其他损失不承担责任。</w:t>
      </w:r>
    </w:p>
    <w:p w14:paraId="391A7184">
      <w:pPr>
        <w:pStyle w:val="12"/>
        <w:spacing w:line="360" w:lineRule="exact"/>
        <w:ind w:firstLine="480" w:firstLineChars="200"/>
        <w:rPr>
          <w:rFonts w:hAnsi="宋体"/>
          <w:sz w:val="24"/>
          <w:szCs w:val="24"/>
        </w:rPr>
      </w:pPr>
      <w:r>
        <w:rPr>
          <w:rFonts w:hint="eastAsia" w:hAnsi="宋体"/>
          <w:sz w:val="24"/>
          <w:szCs w:val="24"/>
        </w:rPr>
        <w:t>第十一条法律适用和争议解决</w:t>
      </w:r>
    </w:p>
    <w:p w14:paraId="2BE7F7DF">
      <w:pPr>
        <w:pStyle w:val="12"/>
        <w:spacing w:line="360" w:lineRule="exact"/>
        <w:ind w:firstLine="480" w:firstLineChars="200"/>
        <w:rPr>
          <w:rFonts w:hAnsi="宋体"/>
          <w:sz w:val="24"/>
          <w:szCs w:val="24"/>
        </w:rPr>
      </w:pPr>
      <w:r>
        <w:rPr>
          <w:rFonts w:hint="eastAsia" w:hAnsi="宋体"/>
          <w:sz w:val="24"/>
          <w:szCs w:val="24"/>
        </w:rPr>
        <w:t>11.1本合同适用中华人民共和国法律。</w:t>
      </w:r>
    </w:p>
    <w:p w14:paraId="75EFC368">
      <w:pPr>
        <w:pStyle w:val="12"/>
        <w:spacing w:line="360" w:lineRule="exact"/>
        <w:ind w:firstLine="480" w:firstLineChars="200"/>
        <w:rPr>
          <w:rFonts w:hAnsi="宋体"/>
          <w:sz w:val="24"/>
          <w:szCs w:val="24"/>
        </w:rPr>
      </w:pPr>
      <w:r>
        <w:rPr>
          <w:rFonts w:hint="eastAsia" w:hAnsi="宋体"/>
          <w:sz w:val="24"/>
          <w:szCs w:val="24"/>
        </w:rPr>
        <w:t>11.2所有因本合同引起的或与本合同有关的任何争议通过双方友好协商解决。如果双方不能通过友好协商解决争议，则任何一方均可向[乙方住所地]有管辖权的人民法院起诉。</w:t>
      </w:r>
    </w:p>
    <w:p w14:paraId="44410289">
      <w:pPr>
        <w:pStyle w:val="12"/>
        <w:spacing w:line="360" w:lineRule="exact"/>
        <w:ind w:firstLine="480" w:firstLineChars="200"/>
        <w:rPr>
          <w:rFonts w:hAnsi="宋体"/>
          <w:sz w:val="24"/>
          <w:szCs w:val="24"/>
        </w:rPr>
      </w:pPr>
      <w:r>
        <w:rPr>
          <w:rFonts w:hint="eastAsia" w:hAnsi="宋体"/>
          <w:sz w:val="24"/>
          <w:szCs w:val="24"/>
        </w:rPr>
        <w:t>11.3诉讼进行过程中，双方继续履行本合同未涉诉讼的其他部分。</w:t>
      </w:r>
    </w:p>
    <w:p w14:paraId="0C52738D">
      <w:pPr>
        <w:pStyle w:val="12"/>
        <w:spacing w:line="360" w:lineRule="exact"/>
        <w:ind w:firstLine="480" w:firstLineChars="200"/>
        <w:rPr>
          <w:rFonts w:hAnsi="宋体"/>
          <w:sz w:val="24"/>
          <w:szCs w:val="24"/>
        </w:rPr>
      </w:pPr>
      <w:r>
        <w:rPr>
          <w:rFonts w:hint="eastAsia" w:hAnsi="宋体"/>
          <w:sz w:val="24"/>
          <w:szCs w:val="24"/>
        </w:rPr>
        <w:t>第十二条不可抗力及免责</w:t>
      </w:r>
    </w:p>
    <w:p w14:paraId="178A36C5">
      <w:pPr>
        <w:spacing w:line="360" w:lineRule="exact"/>
        <w:ind w:firstLine="480" w:firstLineChars="200"/>
        <w:rPr>
          <w:rFonts w:ascii="宋体" w:hAnsi="宋体"/>
          <w:sz w:val="24"/>
          <w:szCs w:val="24"/>
        </w:rPr>
      </w:pPr>
      <w:r>
        <w:rPr>
          <w:rFonts w:hint="eastAsia" w:ascii="宋体" w:hAnsi="宋体"/>
          <w:sz w:val="24"/>
          <w:szCs w:val="24"/>
        </w:rPr>
        <w:t>12.1如由于战争、骚乱、恐怖主义、自然灾害、国家法律法规或规章变动、网络安全、网络无法覆盖、停电、通信线路被人为破坏、黑客攻击、计算机病毒侵入或发作、突发事件等，导致甲乙双方或一方不能履行或不能完全履行本合同项下有关义务时，受影响方不承担违约责任，但应当尽快书面通知对方。在影响消除后的合理时间内，一方或双方应当继续履行合同。如因此导致合同不能或者没有必要继续履行的，本合同可由一方解除。</w:t>
      </w:r>
    </w:p>
    <w:p w14:paraId="7DCD16C4">
      <w:pPr>
        <w:spacing w:line="360" w:lineRule="exact"/>
        <w:ind w:firstLine="480" w:firstLineChars="200"/>
        <w:rPr>
          <w:rFonts w:ascii="宋体" w:hAnsi="宋体"/>
          <w:sz w:val="24"/>
          <w:szCs w:val="24"/>
        </w:rPr>
      </w:pPr>
      <w:r>
        <w:rPr>
          <w:rFonts w:hint="eastAsia" w:ascii="宋体" w:hAnsi="宋体"/>
          <w:sz w:val="24"/>
          <w:szCs w:val="24"/>
        </w:rPr>
        <w:t>12.2如乙方根据政府管理部门要求暂停或终止提供相应服务，乙方不承担任何责任。</w:t>
      </w:r>
    </w:p>
    <w:p w14:paraId="417F5C26">
      <w:pPr>
        <w:pStyle w:val="12"/>
        <w:spacing w:line="360" w:lineRule="exact"/>
        <w:ind w:firstLine="480" w:firstLineChars="200"/>
        <w:rPr>
          <w:rFonts w:hAnsi="宋体"/>
          <w:sz w:val="24"/>
          <w:szCs w:val="24"/>
        </w:rPr>
      </w:pPr>
      <w:r>
        <w:rPr>
          <w:rFonts w:hint="eastAsia" w:hAnsi="宋体"/>
          <w:sz w:val="24"/>
          <w:szCs w:val="24"/>
        </w:rPr>
        <w:t>第十三条服务期</w:t>
      </w:r>
    </w:p>
    <w:p w14:paraId="54E781D5">
      <w:pPr>
        <w:pStyle w:val="12"/>
        <w:spacing w:line="360" w:lineRule="exact"/>
        <w:ind w:firstLine="480" w:firstLineChars="200"/>
        <w:rPr>
          <w:rFonts w:hAnsi="宋体"/>
          <w:sz w:val="24"/>
          <w:szCs w:val="24"/>
        </w:rPr>
      </w:pPr>
      <w:r>
        <w:rPr>
          <w:rFonts w:hint="eastAsia" w:hAnsi="宋体"/>
          <w:sz w:val="24"/>
          <w:szCs w:val="24"/>
        </w:rPr>
        <w:t>13.1本合同确定的服务期为[]，自电路服务实际开通之日起计算。</w:t>
      </w:r>
    </w:p>
    <w:p w14:paraId="427C971E">
      <w:pPr>
        <w:pStyle w:val="12"/>
        <w:spacing w:line="360" w:lineRule="exact"/>
        <w:ind w:firstLine="480" w:firstLineChars="200"/>
        <w:rPr>
          <w:rFonts w:hAnsi="宋体"/>
          <w:sz w:val="24"/>
          <w:szCs w:val="24"/>
        </w:rPr>
      </w:pPr>
      <w:r>
        <w:rPr>
          <w:rFonts w:hint="eastAsia" w:hAnsi="宋体"/>
          <w:sz w:val="24"/>
          <w:szCs w:val="24"/>
        </w:rPr>
        <w:t>13.2除非任何一方在服务期届满前九十日书面通知另一方不再续展，否则服务期届满后将自动续展，续展的服务期与本合同服务期相同，续展次数不受限制。除非双方另有约定，否则本合同内容对于续展期仍有约束力。</w:t>
      </w:r>
    </w:p>
    <w:p w14:paraId="0FEB709E">
      <w:pPr>
        <w:pStyle w:val="12"/>
        <w:spacing w:line="360" w:lineRule="exact"/>
        <w:ind w:firstLine="480" w:firstLineChars="200"/>
        <w:rPr>
          <w:rFonts w:hint="eastAsia" w:hAnsi="宋体" w:eastAsia="宋体"/>
          <w:sz w:val="24"/>
          <w:szCs w:val="24"/>
          <w:lang w:eastAsia="zh-CN"/>
        </w:rPr>
      </w:pPr>
      <w:r>
        <w:rPr>
          <w:rFonts w:hint="eastAsia" w:hAnsi="宋体"/>
          <w:sz w:val="24"/>
          <w:szCs w:val="24"/>
        </w:rPr>
        <w:t>第十四条合同生效及其他</w:t>
      </w:r>
    </w:p>
    <w:p w14:paraId="6982561B">
      <w:pPr>
        <w:pStyle w:val="12"/>
        <w:spacing w:line="360" w:lineRule="exact"/>
        <w:ind w:firstLine="480" w:firstLineChars="200"/>
        <w:rPr>
          <w:rFonts w:hAnsi="宋体"/>
          <w:sz w:val="24"/>
          <w:szCs w:val="24"/>
        </w:rPr>
      </w:pPr>
      <w:r>
        <w:rPr>
          <w:rFonts w:hint="eastAsia" w:hAnsi="宋体"/>
          <w:sz w:val="24"/>
          <w:szCs w:val="24"/>
        </w:rPr>
        <w:t>14.1本合同纸质文本一式四份，甲乙双方各执二份，自双方签字盖章之日起生效；若使用电子印章的，自双方盖章之日起生效。</w:t>
      </w:r>
    </w:p>
    <w:p w14:paraId="726B2820">
      <w:pPr>
        <w:pStyle w:val="12"/>
        <w:spacing w:line="360" w:lineRule="exact"/>
        <w:ind w:firstLine="480" w:firstLineChars="200"/>
        <w:rPr>
          <w:rFonts w:hAnsi="宋体"/>
          <w:sz w:val="24"/>
          <w:szCs w:val="24"/>
        </w:rPr>
      </w:pPr>
      <w:r>
        <w:rPr>
          <w:rFonts w:hint="eastAsia" w:hAnsi="宋体"/>
          <w:sz w:val="24"/>
          <w:szCs w:val="24"/>
        </w:rPr>
        <w:t>若乙方加盖电子印章的，以加盖乙方电子印章的本合同电子文档所载内容为准。</w:t>
      </w:r>
    </w:p>
    <w:p w14:paraId="7F475B81">
      <w:pPr>
        <w:pStyle w:val="12"/>
        <w:spacing w:line="360" w:lineRule="exact"/>
        <w:ind w:firstLine="480" w:firstLineChars="200"/>
        <w:rPr>
          <w:rFonts w:hAnsi="宋体"/>
          <w:sz w:val="24"/>
          <w:szCs w:val="24"/>
        </w:rPr>
      </w:pPr>
      <w:r>
        <w:rPr>
          <w:rFonts w:hint="eastAsia" w:hAnsi="宋体"/>
          <w:sz w:val="24"/>
          <w:szCs w:val="24"/>
        </w:rPr>
        <w:t>14.2如果本合同的任何条款在任何时候变成不合法、无效或不可强制执行而不从根本上影响本合同的效力时，本合同的其他条款不受影响。</w:t>
      </w:r>
    </w:p>
    <w:p w14:paraId="32EF1993">
      <w:pPr>
        <w:pStyle w:val="12"/>
        <w:spacing w:line="360" w:lineRule="exact"/>
        <w:ind w:firstLine="480" w:firstLineChars="200"/>
        <w:rPr>
          <w:rFonts w:hAnsi="宋体"/>
          <w:sz w:val="24"/>
          <w:szCs w:val="24"/>
        </w:rPr>
      </w:pPr>
      <w:r>
        <w:rPr>
          <w:rFonts w:hint="eastAsia" w:hAnsi="宋体"/>
          <w:sz w:val="24"/>
          <w:szCs w:val="24"/>
        </w:rPr>
        <w:t>14.3除本合同另有约定外，未经甲乙双方书面确认，任何一方不得自行变更或修改本合同。</w:t>
      </w:r>
    </w:p>
    <w:p w14:paraId="2266B460">
      <w:pPr>
        <w:pStyle w:val="12"/>
        <w:spacing w:line="360" w:lineRule="exact"/>
        <w:ind w:firstLine="480" w:firstLineChars="200"/>
        <w:rPr>
          <w:rFonts w:hAnsi="宋体"/>
          <w:sz w:val="24"/>
          <w:szCs w:val="24"/>
        </w:rPr>
      </w:pPr>
      <w:r>
        <w:rPr>
          <w:rFonts w:hint="eastAsia" w:hAnsi="宋体"/>
          <w:sz w:val="24"/>
          <w:szCs w:val="24"/>
        </w:rPr>
        <w:t>14.4本合同各条标题仅为提示之用，应以条文内容确定各方的权利义务。</w:t>
      </w:r>
    </w:p>
    <w:p w14:paraId="00B35569">
      <w:pPr>
        <w:pStyle w:val="12"/>
        <w:spacing w:line="360" w:lineRule="exact"/>
        <w:ind w:firstLine="480" w:firstLineChars="200"/>
        <w:rPr>
          <w:rFonts w:hAnsi="宋体"/>
          <w:sz w:val="24"/>
          <w:szCs w:val="24"/>
        </w:rPr>
      </w:pPr>
      <w:r>
        <w:rPr>
          <w:rFonts w:hint="eastAsia" w:hAnsi="宋体"/>
          <w:sz w:val="24"/>
          <w:szCs w:val="24"/>
        </w:rPr>
        <w:t>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4556D29F">
      <w:pPr>
        <w:pStyle w:val="12"/>
        <w:spacing w:line="360" w:lineRule="exact"/>
        <w:ind w:firstLine="480" w:firstLineChars="200"/>
        <w:rPr>
          <w:rFonts w:hAnsi="宋体"/>
          <w:sz w:val="24"/>
          <w:szCs w:val="24"/>
        </w:rPr>
      </w:pPr>
      <w:r>
        <w:rPr>
          <w:rFonts w:hint="eastAsia" w:hAnsi="宋体"/>
          <w:sz w:val="24"/>
          <w:szCs w:val="24"/>
        </w:rPr>
        <w:t>14.6本合同的任何内容不应被视为或解释为双方之间具有合资、合伙、代理关系。</w:t>
      </w:r>
    </w:p>
    <w:p w14:paraId="3786B6F6">
      <w:pPr>
        <w:pStyle w:val="12"/>
        <w:spacing w:line="360" w:lineRule="exact"/>
        <w:ind w:firstLine="480" w:firstLineChars="200"/>
        <w:rPr>
          <w:rFonts w:hAnsi="宋体"/>
          <w:sz w:val="24"/>
          <w:szCs w:val="24"/>
        </w:rPr>
      </w:pPr>
      <w:r>
        <w:rPr>
          <w:rFonts w:hint="eastAsia" w:hAnsi="宋体"/>
          <w:sz w:val="24"/>
          <w:szCs w:val="24"/>
        </w:rPr>
        <w:t>14.7本合同替代此前双方所有关于本合同事项的口头或书面的纪要、备忘录、协议和合同等法律文件。</w:t>
      </w:r>
    </w:p>
    <w:p w14:paraId="2908F045">
      <w:pPr>
        <w:pStyle w:val="12"/>
        <w:spacing w:line="360" w:lineRule="exact"/>
        <w:ind w:firstLine="480" w:firstLineChars="200"/>
        <w:rPr>
          <w:rFonts w:hAnsi="宋体"/>
          <w:sz w:val="24"/>
          <w:szCs w:val="24"/>
        </w:rPr>
      </w:pPr>
      <w:r>
        <w:rPr>
          <w:rFonts w:hint="eastAsia" w:hAnsi="宋体"/>
          <w:sz w:val="24"/>
          <w:szCs w:val="24"/>
        </w:rPr>
        <w:t>14.8甲乙双方因履行本合同或与本合同有关的一切通知都应当按照本合同中的地址，以书面信函或者传真或者电子邮件方式进行。其中：</w:t>
      </w:r>
    </w:p>
    <w:p w14:paraId="7399F1EB">
      <w:pPr>
        <w:spacing w:line="360" w:lineRule="exact"/>
        <w:ind w:firstLine="480" w:firstLineChars="200"/>
        <w:rPr>
          <w:rFonts w:ascii="宋体" w:hAnsi="宋体"/>
          <w:sz w:val="24"/>
          <w:szCs w:val="24"/>
        </w:rPr>
      </w:pPr>
      <w:r>
        <w:rPr>
          <w:rFonts w:hint="eastAsia" w:ascii="宋体" w:hAnsi="宋体"/>
          <w:sz w:val="24"/>
          <w:szCs w:val="24"/>
        </w:rPr>
        <w:t>14.8.1除本合同另有约定外，有关下述任一事项的通知，均应当采用书面信函形式作出，否则，该通知无效，不产生本合同项下的任何通知效力：</w:t>
      </w:r>
    </w:p>
    <w:p w14:paraId="3C8C1187">
      <w:pPr>
        <w:spacing w:line="360" w:lineRule="exact"/>
        <w:ind w:firstLine="480" w:firstLineChars="200"/>
        <w:rPr>
          <w:rFonts w:ascii="宋体" w:hAnsi="宋体"/>
          <w:sz w:val="24"/>
          <w:szCs w:val="24"/>
        </w:rPr>
      </w:pPr>
      <w:r>
        <w:rPr>
          <w:rFonts w:hint="eastAsia" w:ascii="宋体" w:hAnsi="宋体"/>
          <w:sz w:val="24"/>
          <w:szCs w:val="24"/>
        </w:rPr>
        <w:t>（1）与本合同费用及支付事宜有关的通知；</w:t>
      </w:r>
    </w:p>
    <w:p w14:paraId="3078CF4C">
      <w:pPr>
        <w:spacing w:line="360" w:lineRule="exact"/>
        <w:ind w:firstLine="480" w:firstLineChars="200"/>
        <w:rPr>
          <w:rFonts w:ascii="宋体" w:hAnsi="宋体"/>
          <w:sz w:val="24"/>
          <w:szCs w:val="24"/>
        </w:rPr>
      </w:pPr>
      <w:r>
        <w:rPr>
          <w:rFonts w:hint="eastAsia" w:ascii="宋体" w:hAnsi="宋体"/>
          <w:sz w:val="24"/>
          <w:szCs w:val="24"/>
        </w:rPr>
        <w:t>（2）与本合同违约事宜有关的通知；</w:t>
      </w:r>
    </w:p>
    <w:p w14:paraId="1EA0023F">
      <w:pPr>
        <w:spacing w:line="360" w:lineRule="exact"/>
        <w:ind w:firstLine="480" w:firstLineChars="200"/>
        <w:rPr>
          <w:rFonts w:ascii="宋体" w:hAnsi="宋体"/>
          <w:sz w:val="24"/>
          <w:szCs w:val="24"/>
        </w:rPr>
      </w:pPr>
      <w:r>
        <w:rPr>
          <w:rFonts w:hint="eastAsia" w:ascii="宋体" w:hAnsi="宋体"/>
          <w:sz w:val="24"/>
          <w:szCs w:val="24"/>
        </w:rPr>
        <w:t>（3）与本合同终止、解除或变更事宜有关的通知；</w:t>
      </w:r>
    </w:p>
    <w:p w14:paraId="05DF02A2">
      <w:pPr>
        <w:spacing w:line="360" w:lineRule="exact"/>
        <w:ind w:firstLine="480" w:firstLineChars="200"/>
        <w:rPr>
          <w:rFonts w:ascii="宋体" w:hAnsi="宋体"/>
          <w:sz w:val="24"/>
          <w:szCs w:val="24"/>
        </w:rPr>
      </w:pPr>
      <w:r>
        <w:rPr>
          <w:rFonts w:hint="eastAsia" w:ascii="宋体" w:hAnsi="宋体"/>
          <w:sz w:val="24"/>
          <w:szCs w:val="24"/>
        </w:rPr>
        <w:t>（4）与本合同延续/续展有关的通知；</w:t>
      </w:r>
    </w:p>
    <w:p w14:paraId="6BD8F7F8">
      <w:pPr>
        <w:spacing w:line="360" w:lineRule="exact"/>
        <w:ind w:firstLine="480" w:firstLineChars="200"/>
        <w:rPr>
          <w:rFonts w:ascii="宋体" w:hAnsi="宋体"/>
          <w:sz w:val="24"/>
          <w:szCs w:val="24"/>
        </w:rPr>
      </w:pPr>
      <w:r>
        <w:rPr>
          <w:rFonts w:hint="eastAsia" w:ascii="宋体" w:hAnsi="宋体"/>
          <w:sz w:val="24"/>
          <w:szCs w:val="24"/>
        </w:rPr>
        <w:t>（5）[]。</w:t>
      </w:r>
    </w:p>
    <w:p w14:paraId="1AC2F633">
      <w:pPr>
        <w:spacing w:line="360" w:lineRule="exact"/>
        <w:ind w:firstLine="480" w:firstLineChars="200"/>
        <w:rPr>
          <w:rFonts w:ascii="宋体" w:hAnsi="宋体"/>
          <w:sz w:val="24"/>
          <w:szCs w:val="24"/>
        </w:rPr>
      </w:pPr>
      <w:r>
        <w:rPr>
          <w:rFonts w:hint="eastAsia" w:ascii="宋体" w:hAnsi="宋体"/>
          <w:sz w:val="24"/>
          <w:szCs w:val="24"/>
        </w:rPr>
        <w:t>14.8.2本合同约定的各种通知方式的送达标准如下：</w:t>
      </w:r>
    </w:p>
    <w:p w14:paraId="397CAAA8">
      <w:pPr>
        <w:spacing w:line="360" w:lineRule="exact"/>
        <w:ind w:firstLine="480" w:firstLineChars="200"/>
        <w:rPr>
          <w:rFonts w:ascii="宋体" w:hAnsi="宋体"/>
          <w:sz w:val="24"/>
          <w:szCs w:val="24"/>
        </w:rPr>
      </w:pPr>
      <w:r>
        <w:rPr>
          <w:rFonts w:hint="eastAsia" w:ascii="宋体" w:hAnsi="宋体"/>
          <w:sz w:val="24"/>
          <w:szCs w:val="24"/>
        </w:rPr>
        <w:t>（1）如采用书面信函形式，应当使用挂号信或者具有良好信誉的特快专递送达，接受方签收挂号信或特快专递的时间（以邮局或快递公司系统记录为准）为通知送达时间；</w:t>
      </w:r>
    </w:p>
    <w:p w14:paraId="615F1BE7">
      <w:pPr>
        <w:spacing w:line="360" w:lineRule="exact"/>
        <w:ind w:firstLine="480" w:firstLineChars="200"/>
        <w:rPr>
          <w:rFonts w:ascii="宋体" w:hAnsi="宋体"/>
          <w:sz w:val="24"/>
          <w:szCs w:val="24"/>
        </w:rPr>
      </w:pPr>
      <w:r>
        <w:rPr>
          <w:rFonts w:hint="eastAsia" w:ascii="宋体" w:hAnsi="宋体"/>
          <w:sz w:val="24"/>
          <w:szCs w:val="24"/>
        </w:rPr>
        <w:t>（2）如采用传真方式，传真到达接受方指定传真系统的时间为通知送达时间；</w:t>
      </w:r>
    </w:p>
    <w:p w14:paraId="044BA22E">
      <w:pPr>
        <w:pStyle w:val="12"/>
        <w:spacing w:line="360" w:lineRule="exact"/>
        <w:ind w:firstLine="480" w:firstLineChars="200"/>
        <w:rPr>
          <w:rFonts w:hAnsi="宋体"/>
          <w:sz w:val="24"/>
          <w:szCs w:val="24"/>
        </w:rPr>
      </w:pPr>
      <w:r>
        <w:rPr>
          <w:rFonts w:hint="eastAsia" w:hAnsi="宋体"/>
          <w:sz w:val="24"/>
          <w:szCs w:val="24"/>
        </w:rPr>
        <w:t>（3）如采用电子邮件方式，电子邮件到达接受方指定电子邮箱的时间为通知送达时间。</w:t>
      </w:r>
    </w:p>
    <w:p w14:paraId="515A2BD0">
      <w:pPr>
        <w:pStyle w:val="12"/>
        <w:spacing w:line="360" w:lineRule="exact"/>
        <w:ind w:firstLine="480" w:firstLineChars="200"/>
        <w:rPr>
          <w:rFonts w:hAnsi="宋体"/>
          <w:sz w:val="24"/>
          <w:szCs w:val="24"/>
        </w:rPr>
      </w:pPr>
      <w:r>
        <w:rPr>
          <w:rFonts w:hint="eastAsia" w:hAnsi="宋体"/>
          <w:sz w:val="24"/>
          <w:szCs w:val="24"/>
        </w:rPr>
        <w:t>如果因接受方原因（包括但不限于接受方拒收书面信函、接受方传真机关闭或故障、接受方电子邮箱地址不存在或者电子邮箱已满或者设置拒收等）导致通知发送失败，视为通知已经送达（发送方侧载明的书面信函寄出时间或者传真发送时间或者电子邮件发送时间视为通知送达时间）。</w:t>
      </w:r>
    </w:p>
    <w:p w14:paraId="6CD3BF3A">
      <w:pPr>
        <w:spacing w:line="360" w:lineRule="exact"/>
        <w:ind w:firstLine="480" w:firstLineChars="200"/>
        <w:rPr>
          <w:rFonts w:ascii="宋体" w:hAnsi="宋体"/>
          <w:sz w:val="24"/>
          <w:szCs w:val="24"/>
        </w:rPr>
      </w:pPr>
      <w:r>
        <w:rPr>
          <w:rFonts w:hint="eastAsia" w:ascii="宋体" w:hAnsi="宋体"/>
          <w:sz w:val="24"/>
          <w:szCs w:val="24"/>
        </w:rPr>
        <w:t>14.8.3本合同双方通知地址及方式如下：</w:t>
      </w:r>
    </w:p>
    <w:p w14:paraId="640960D0">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甲方：[]</w:t>
      </w:r>
    </w:p>
    <w:p w14:paraId="33A96CC3">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地址：[]</w:t>
      </w:r>
    </w:p>
    <w:p w14:paraId="4E225EA5">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联系人：[]</w:t>
      </w:r>
    </w:p>
    <w:p w14:paraId="1C6C6450">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电话：[]</w:t>
      </w:r>
    </w:p>
    <w:p w14:paraId="19E0FA34">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传真：[]</w:t>
      </w:r>
    </w:p>
    <w:p w14:paraId="4503FE1C">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邮编：[]</w:t>
      </w:r>
    </w:p>
    <w:p w14:paraId="443270B1">
      <w:pPr>
        <w:spacing w:line="360" w:lineRule="exact"/>
        <w:ind w:firstLine="480" w:firstLineChars="200"/>
        <w:rPr>
          <w:rFonts w:ascii="宋体" w:hAnsi="宋体"/>
          <w:sz w:val="24"/>
          <w:szCs w:val="24"/>
        </w:rPr>
      </w:pPr>
      <w:r>
        <w:rPr>
          <w:rFonts w:hint="eastAsia" w:ascii="宋体" w:hAnsi="宋体"/>
          <w:sz w:val="24"/>
          <w:szCs w:val="24"/>
        </w:rPr>
        <w:t>电子邮箱：[]</w:t>
      </w:r>
    </w:p>
    <w:p w14:paraId="6CDED73C">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乙方：[]公司</w:t>
      </w:r>
    </w:p>
    <w:p w14:paraId="6A7F874F">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地址：[]</w:t>
      </w:r>
    </w:p>
    <w:p w14:paraId="0E28E6D2">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联系人：[]</w:t>
      </w:r>
    </w:p>
    <w:p w14:paraId="429863B4">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电话：[]</w:t>
      </w:r>
    </w:p>
    <w:p w14:paraId="609BBEA2">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传真：[]</w:t>
      </w:r>
    </w:p>
    <w:p w14:paraId="6ABD2DEE">
      <w:pPr>
        <w:spacing w:line="360" w:lineRule="exact"/>
        <w:ind w:firstLine="960" w:firstLineChars="400"/>
        <w:rPr>
          <w:rFonts w:hint="eastAsia" w:ascii="宋体" w:hAnsi="宋体" w:eastAsiaTheme="minorEastAsia"/>
          <w:sz w:val="24"/>
          <w:szCs w:val="24"/>
          <w:lang w:eastAsia="zh-CN"/>
        </w:rPr>
      </w:pPr>
      <w:r>
        <w:rPr>
          <w:rFonts w:hint="eastAsia" w:ascii="宋体" w:hAnsi="宋体"/>
          <w:sz w:val="24"/>
          <w:szCs w:val="24"/>
        </w:rPr>
        <w:t>邮编：[]</w:t>
      </w:r>
    </w:p>
    <w:p w14:paraId="4C9B2394">
      <w:pPr>
        <w:spacing w:line="360" w:lineRule="exact"/>
        <w:ind w:firstLine="480" w:firstLineChars="200"/>
        <w:rPr>
          <w:rFonts w:ascii="宋体" w:hAnsi="宋体"/>
          <w:sz w:val="24"/>
          <w:szCs w:val="24"/>
        </w:rPr>
      </w:pPr>
      <w:r>
        <w:rPr>
          <w:rFonts w:hint="eastAsia" w:ascii="宋体" w:hAnsi="宋体"/>
          <w:sz w:val="24"/>
          <w:szCs w:val="24"/>
        </w:rPr>
        <w:t>电子邮箱：[]</w:t>
      </w:r>
    </w:p>
    <w:p w14:paraId="28359FA4">
      <w:pPr>
        <w:spacing w:line="360" w:lineRule="exact"/>
        <w:ind w:firstLine="480" w:firstLineChars="200"/>
        <w:rPr>
          <w:rFonts w:ascii="宋体" w:hAnsi="宋体"/>
          <w:sz w:val="24"/>
          <w:szCs w:val="24"/>
        </w:rPr>
      </w:pPr>
      <w:r>
        <w:rPr>
          <w:rFonts w:hint="eastAsia" w:ascii="宋体" w:hAnsi="宋体"/>
          <w:kern w:val="0"/>
          <w:sz w:val="24"/>
          <w:szCs w:val="24"/>
        </w:rPr>
        <w:t>上述任何信息发生变更的，变更方应及时以书面形式通知另一方，未及时通知并影响本合同履行或造成损失的，应承担相应的责任。</w:t>
      </w:r>
    </w:p>
    <w:p w14:paraId="0DC1EEF0">
      <w:pPr>
        <w:pStyle w:val="12"/>
        <w:spacing w:line="360" w:lineRule="exact"/>
        <w:ind w:firstLine="480" w:firstLineChars="200"/>
        <w:rPr>
          <w:rFonts w:hAnsi="宋体"/>
          <w:sz w:val="24"/>
          <w:szCs w:val="24"/>
        </w:rPr>
      </w:pPr>
      <w:r>
        <w:rPr>
          <w:rFonts w:hint="eastAsia" w:hAnsi="宋体"/>
          <w:sz w:val="24"/>
          <w:szCs w:val="24"/>
        </w:rPr>
        <w:t>14.9双方同意，附件为本合同不可分割的部分。若附件与合同正文有任何冲突，以合同正文为准。</w:t>
      </w:r>
    </w:p>
    <w:p w14:paraId="1EC6EF48">
      <w:pPr>
        <w:spacing w:line="360" w:lineRule="exact"/>
        <w:ind w:firstLine="480" w:firstLineChars="200"/>
        <w:rPr>
          <w:rFonts w:ascii="宋体" w:hAnsi="宋体"/>
          <w:sz w:val="24"/>
          <w:szCs w:val="24"/>
        </w:rPr>
      </w:pPr>
      <w:r>
        <w:rPr>
          <w:rFonts w:hint="eastAsia" w:ascii="宋体" w:hAnsi="宋体"/>
          <w:sz w:val="24"/>
          <w:szCs w:val="24"/>
        </w:rPr>
        <w:t>本合同附件为：</w:t>
      </w:r>
    </w:p>
    <w:p w14:paraId="3328EF7E">
      <w:pPr>
        <w:pStyle w:val="12"/>
        <w:spacing w:line="360" w:lineRule="exact"/>
        <w:ind w:firstLine="420"/>
        <w:rPr>
          <w:rFonts w:hAnsi="宋体"/>
          <w:sz w:val="24"/>
          <w:szCs w:val="24"/>
        </w:rPr>
      </w:pPr>
      <w:r>
        <w:rPr>
          <w:rFonts w:hint="eastAsia" w:hAnsi="宋体"/>
          <w:sz w:val="24"/>
          <w:szCs w:val="24"/>
        </w:rPr>
        <w:t>附件一：电路服务需求单</w:t>
      </w:r>
    </w:p>
    <w:p w14:paraId="685FE0D8">
      <w:pPr>
        <w:pStyle w:val="12"/>
        <w:spacing w:line="360" w:lineRule="exact"/>
        <w:ind w:firstLine="420"/>
        <w:rPr>
          <w:rFonts w:hAnsi="宋体"/>
          <w:sz w:val="24"/>
          <w:szCs w:val="24"/>
        </w:rPr>
      </w:pPr>
      <w:r>
        <w:rPr>
          <w:rFonts w:hint="eastAsia" w:hAnsi="宋体"/>
          <w:sz w:val="24"/>
          <w:szCs w:val="24"/>
        </w:rPr>
        <w:t>附件二：一次性费用及月服务费估算单</w:t>
      </w:r>
    </w:p>
    <w:p w14:paraId="64977EE9">
      <w:pPr>
        <w:pStyle w:val="12"/>
        <w:spacing w:line="360" w:lineRule="exact"/>
        <w:ind w:firstLine="420"/>
        <w:rPr>
          <w:rFonts w:hAnsi="宋体"/>
          <w:sz w:val="24"/>
          <w:szCs w:val="24"/>
        </w:rPr>
      </w:pPr>
      <w:r>
        <w:rPr>
          <w:rFonts w:hint="eastAsia" w:hAnsi="宋体"/>
          <w:sz w:val="24"/>
          <w:szCs w:val="24"/>
        </w:rPr>
        <w:t>附件三：租用资源用途承诺书</w:t>
      </w:r>
    </w:p>
    <w:p w14:paraId="70AC2CC2">
      <w:pPr>
        <w:pStyle w:val="12"/>
        <w:spacing w:line="360" w:lineRule="exact"/>
        <w:ind w:firstLine="420"/>
        <w:rPr>
          <w:rFonts w:hAnsi="宋体"/>
          <w:sz w:val="24"/>
          <w:szCs w:val="24"/>
        </w:rPr>
      </w:pPr>
      <w:r>
        <w:rPr>
          <w:rFonts w:hint="eastAsia" w:hAnsi="宋体"/>
          <w:sz w:val="24"/>
          <w:szCs w:val="24"/>
        </w:rPr>
        <w:t>附件四：网络及信息安全承诺书</w:t>
      </w:r>
    </w:p>
    <w:p w14:paraId="5851F1DC">
      <w:pPr>
        <w:pStyle w:val="12"/>
        <w:spacing w:line="360" w:lineRule="exact"/>
        <w:rPr>
          <w:rFonts w:hint="eastAsia" w:hAnsi="宋体" w:eastAsia="宋体"/>
          <w:sz w:val="24"/>
          <w:szCs w:val="24"/>
          <w:lang w:eastAsia="zh-CN"/>
        </w:rPr>
      </w:pPr>
    </w:p>
    <w:p w14:paraId="40A7716E">
      <w:pPr>
        <w:spacing w:line="360" w:lineRule="exact"/>
        <w:ind w:firstLine="482" w:firstLineChars="200"/>
        <w:jc w:val="center"/>
        <w:rPr>
          <w:rFonts w:hint="eastAsia" w:ascii="宋体" w:hAnsi="宋体" w:eastAsiaTheme="minorEastAsia"/>
          <w:b/>
          <w:sz w:val="24"/>
          <w:szCs w:val="24"/>
          <w:lang w:eastAsia="zh-CN"/>
        </w:rPr>
      </w:pPr>
    </w:p>
    <w:p w14:paraId="12E85A82">
      <w:pPr>
        <w:spacing w:line="360" w:lineRule="exact"/>
        <w:jc w:val="center"/>
        <w:rPr>
          <w:rFonts w:ascii="宋体" w:hAnsi="宋体"/>
          <w:bCs/>
          <w:sz w:val="24"/>
          <w:szCs w:val="24"/>
        </w:rPr>
      </w:pPr>
      <w:r>
        <w:rPr>
          <w:rFonts w:hint="eastAsia" w:ascii="宋体" w:hAnsi="宋体"/>
          <w:bCs/>
          <w:sz w:val="24"/>
          <w:szCs w:val="24"/>
        </w:rPr>
        <w:t>补充附页</w:t>
      </w:r>
    </w:p>
    <w:p w14:paraId="4FA48C28">
      <w:pPr>
        <w:spacing w:line="360" w:lineRule="exact"/>
        <w:ind w:firstLine="480" w:firstLineChars="200"/>
        <w:rPr>
          <w:rFonts w:ascii="宋体" w:hAnsi="宋体"/>
          <w:sz w:val="24"/>
          <w:szCs w:val="24"/>
        </w:rPr>
      </w:pPr>
      <w:r>
        <w:rPr>
          <w:rFonts w:hint="eastAsia" w:ascii="宋体" w:hAnsi="宋体"/>
          <w:sz w:val="24"/>
          <w:szCs w:val="24"/>
        </w:rPr>
        <w:t>经友好协商，对本合同条款补充、修改如下，本补充附页为合同正文的一部分，与合同正文冲突时，以本补充附页为准：[无]</w:t>
      </w:r>
    </w:p>
    <w:p w14:paraId="5767D473">
      <w:pPr>
        <w:widowControl/>
        <w:jc w:val="left"/>
        <w:rPr>
          <w:rFonts w:ascii="宋体" w:hAnsi="宋体"/>
          <w:sz w:val="24"/>
          <w:szCs w:val="24"/>
        </w:rPr>
      </w:pPr>
      <w:r>
        <w:rPr>
          <w:rFonts w:hint="eastAsia" w:ascii="宋体" w:hAnsi="宋体"/>
          <w:sz w:val="24"/>
          <w:szCs w:val="24"/>
        </w:rPr>
        <w:br w:type="page"/>
      </w:r>
    </w:p>
    <w:p w14:paraId="1A6A9455">
      <w:pPr>
        <w:spacing w:line="360" w:lineRule="exact"/>
        <w:jc w:val="center"/>
        <w:rPr>
          <w:rFonts w:ascii="宋体" w:hAnsi="宋体"/>
          <w:sz w:val="24"/>
          <w:szCs w:val="24"/>
        </w:rPr>
      </w:pPr>
      <w:r>
        <w:rPr>
          <w:rFonts w:hint="eastAsia" w:ascii="宋体" w:hAnsi="宋体"/>
          <w:sz w:val="24"/>
          <w:szCs w:val="24"/>
        </w:rPr>
        <w:t>（此页无正文）</w:t>
      </w:r>
    </w:p>
    <w:p w14:paraId="7F05087B">
      <w:pPr>
        <w:spacing w:line="360" w:lineRule="exact"/>
        <w:rPr>
          <w:rFonts w:hint="eastAsia" w:ascii="宋体" w:hAnsi="宋体" w:eastAsiaTheme="minorEastAsia"/>
          <w:sz w:val="24"/>
          <w:szCs w:val="24"/>
          <w:lang w:eastAsia="zh-CN"/>
        </w:rPr>
      </w:pPr>
    </w:p>
    <w:p w14:paraId="7B9357E3">
      <w:pPr>
        <w:spacing w:line="360" w:lineRule="exact"/>
        <w:rPr>
          <w:rFonts w:ascii="宋体" w:hAnsi="宋体"/>
          <w:b/>
          <w:sz w:val="24"/>
          <w:szCs w:val="24"/>
        </w:rPr>
      </w:pPr>
      <w:r>
        <w:rPr>
          <w:rFonts w:hint="eastAsia" w:ascii="宋体" w:hAnsi="宋体"/>
          <w:sz w:val="24"/>
          <w:szCs w:val="24"/>
        </w:rPr>
        <w:t>甲方：</w:t>
      </w:r>
      <w:r>
        <w:rPr>
          <w:rFonts w:hint="eastAsia" w:ascii="宋体" w:hAnsi="宋体"/>
          <w:kern w:val="0"/>
          <w:sz w:val="24"/>
          <w:szCs w:val="24"/>
        </w:rPr>
        <w:t>[]</w:t>
      </w:r>
    </w:p>
    <w:p w14:paraId="7CBB1537">
      <w:pPr>
        <w:spacing w:line="360" w:lineRule="exact"/>
        <w:rPr>
          <w:rFonts w:ascii="宋体" w:hAnsi="宋体"/>
          <w:sz w:val="24"/>
          <w:szCs w:val="24"/>
        </w:rPr>
      </w:pPr>
      <w:r>
        <w:rPr>
          <w:rFonts w:hint="eastAsia" w:ascii="宋体" w:hAnsi="宋体"/>
          <w:sz w:val="24"/>
          <w:szCs w:val="24"/>
        </w:rPr>
        <w:t>法定代表人/负责人</w:t>
      </w:r>
    </w:p>
    <w:p w14:paraId="1F280B97">
      <w:pPr>
        <w:spacing w:line="360" w:lineRule="exact"/>
        <w:rPr>
          <w:rFonts w:ascii="宋体" w:hAnsi="宋体"/>
          <w:sz w:val="24"/>
          <w:szCs w:val="24"/>
        </w:rPr>
      </w:pPr>
      <w:r>
        <w:rPr>
          <w:rFonts w:hint="eastAsia" w:ascii="宋体" w:hAnsi="宋体"/>
          <w:sz w:val="24"/>
          <w:szCs w:val="24"/>
        </w:rPr>
        <w:t>或授权代表：</w:t>
      </w:r>
    </w:p>
    <w:p w14:paraId="6D42AD96">
      <w:pPr>
        <w:spacing w:line="360" w:lineRule="exact"/>
        <w:rPr>
          <w:rFonts w:hint="eastAsia" w:ascii="宋体" w:hAnsi="宋体" w:eastAsiaTheme="minorEastAsia"/>
          <w:sz w:val="24"/>
          <w:szCs w:val="24"/>
          <w:lang w:eastAsia="zh-CN"/>
        </w:rPr>
      </w:pPr>
    </w:p>
    <w:p w14:paraId="3D062564">
      <w:pPr>
        <w:spacing w:line="360" w:lineRule="exact"/>
        <w:jc w:val="left"/>
        <w:rPr>
          <w:rFonts w:hint="eastAsia" w:ascii="宋体" w:hAnsi="宋体" w:eastAsiaTheme="minorEastAsia"/>
          <w:sz w:val="24"/>
          <w:szCs w:val="24"/>
          <w:lang w:eastAsia="zh-CN"/>
        </w:rPr>
      </w:pPr>
    </w:p>
    <w:p w14:paraId="6C0F1C08">
      <w:pPr>
        <w:spacing w:line="360" w:lineRule="exact"/>
        <w:jc w:val="left"/>
        <w:rPr>
          <w:rFonts w:hint="eastAsia" w:ascii="宋体" w:hAnsi="宋体" w:eastAsiaTheme="minorEastAsia"/>
          <w:sz w:val="24"/>
          <w:szCs w:val="24"/>
          <w:lang w:eastAsia="zh-CN"/>
        </w:rPr>
      </w:pPr>
    </w:p>
    <w:p w14:paraId="0387CCB3">
      <w:pPr>
        <w:spacing w:line="360" w:lineRule="exact"/>
        <w:jc w:val="left"/>
        <w:rPr>
          <w:rFonts w:ascii="宋体" w:hAnsi="宋体"/>
          <w:sz w:val="24"/>
          <w:szCs w:val="24"/>
        </w:rPr>
      </w:pPr>
      <w:r>
        <w:rPr>
          <w:rFonts w:hint="eastAsia" w:ascii="宋体" w:hAnsi="宋体"/>
          <w:sz w:val="24"/>
          <w:szCs w:val="24"/>
        </w:rPr>
        <w:t>乙方：</w:t>
      </w:r>
      <w:r>
        <w:rPr>
          <w:rFonts w:hint="eastAsia" w:ascii="宋体" w:hAnsi="宋体"/>
          <w:kern w:val="0"/>
          <w:sz w:val="24"/>
          <w:szCs w:val="24"/>
        </w:rPr>
        <w:t>[]</w:t>
      </w:r>
      <w:r>
        <w:rPr>
          <w:rFonts w:hint="eastAsia" w:ascii="宋体" w:hAnsi="宋体"/>
          <w:sz w:val="24"/>
          <w:szCs w:val="24"/>
        </w:rPr>
        <w:t>公司</w:t>
      </w:r>
    </w:p>
    <w:p w14:paraId="01AEF309">
      <w:pPr>
        <w:spacing w:line="360" w:lineRule="exact"/>
        <w:jc w:val="left"/>
        <w:rPr>
          <w:rFonts w:hint="eastAsia" w:ascii="宋体" w:hAnsi="宋体" w:eastAsiaTheme="minorEastAsia"/>
          <w:sz w:val="24"/>
          <w:szCs w:val="24"/>
          <w:lang w:eastAsia="zh-CN"/>
        </w:rPr>
      </w:pPr>
      <w:r>
        <w:rPr>
          <w:rFonts w:hint="eastAsia" w:ascii="宋体" w:hAnsi="宋体"/>
          <w:sz w:val="24"/>
          <w:szCs w:val="24"/>
        </w:rPr>
        <w:t>法定代表人/负责人</w:t>
      </w:r>
    </w:p>
    <w:p w14:paraId="27CF73A0">
      <w:pPr>
        <w:spacing w:line="360" w:lineRule="exact"/>
        <w:jc w:val="left"/>
        <w:rPr>
          <w:rFonts w:ascii="宋体" w:hAnsi="宋体"/>
          <w:sz w:val="24"/>
          <w:szCs w:val="24"/>
        </w:rPr>
      </w:pPr>
      <w:r>
        <w:rPr>
          <w:rFonts w:hint="eastAsia" w:ascii="宋体" w:hAnsi="宋体"/>
          <w:sz w:val="24"/>
          <w:szCs w:val="24"/>
        </w:rPr>
        <w:t>或授权代表：</w:t>
      </w:r>
    </w:p>
    <w:p w14:paraId="16D126DC">
      <w:pPr>
        <w:spacing w:line="360" w:lineRule="exact"/>
        <w:jc w:val="left"/>
        <w:rPr>
          <w:rFonts w:hint="eastAsia" w:ascii="宋体" w:hAnsi="宋体" w:eastAsiaTheme="minorEastAsia"/>
          <w:sz w:val="24"/>
          <w:szCs w:val="24"/>
          <w:lang w:eastAsia="zh-CN"/>
        </w:rPr>
      </w:pPr>
    </w:p>
    <w:p w14:paraId="656CAF04">
      <w:pPr>
        <w:spacing w:line="360" w:lineRule="exact"/>
        <w:rPr>
          <w:rFonts w:ascii="宋体" w:hAnsi="宋体"/>
          <w:sz w:val="24"/>
          <w:szCs w:val="24"/>
        </w:rPr>
      </w:pPr>
      <w:r>
        <w:rPr>
          <w:rFonts w:hint="eastAsia" w:ascii="宋体" w:hAnsi="宋体"/>
          <w:kern w:val="0"/>
          <w:sz w:val="24"/>
          <w:szCs w:val="24"/>
        </w:rPr>
        <w:t>签署日期：[]</w:t>
      </w:r>
      <w:r>
        <w:rPr>
          <w:rFonts w:hint="eastAsia" w:ascii="宋体" w:hAnsi="宋体"/>
          <w:sz w:val="24"/>
          <w:szCs w:val="24"/>
        </w:rPr>
        <w:t>年</w:t>
      </w:r>
      <w:r>
        <w:rPr>
          <w:rFonts w:hint="eastAsia" w:ascii="宋体" w:hAnsi="宋体"/>
          <w:kern w:val="0"/>
          <w:sz w:val="24"/>
          <w:szCs w:val="24"/>
        </w:rPr>
        <w:t>[]</w:t>
      </w:r>
      <w:r>
        <w:rPr>
          <w:rFonts w:hint="eastAsia" w:ascii="宋体" w:hAnsi="宋体"/>
          <w:sz w:val="24"/>
          <w:szCs w:val="24"/>
        </w:rPr>
        <w:t>月</w:t>
      </w:r>
      <w:r>
        <w:rPr>
          <w:rFonts w:hint="eastAsia" w:ascii="宋体" w:hAnsi="宋体"/>
          <w:kern w:val="0"/>
          <w:sz w:val="24"/>
          <w:szCs w:val="24"/>
        </w:rPr>
        <w:t>[]</w:t>
      </w:r>
      <w:r>
        <w:rPr>
          <w:rFonts w:hint="eastAsia" w:ascii="宋体" w:hAnsi="宋体"/>
          <w:sz w:val="24"/>
          <w:szCs w:val="24"/>
        </w:rPr>
        <w:t>日</w:t>
      </w:r>
    </w:p>
    <w:p w14:paraId="012FA655">
      <w:pPr>
        <w:spacing w:line="360" w:lineRule="exact"/>
        <w:rPr>
          <w:rFonts w:ascii="宋体" w:hAnsi="宋体"/>
          <w:sz w:val="24"/>
          <w:szCs w:val="24"/>
        </w:rPr>
      </w:pPr>
      <w:r>
        <w:rPr>
          <w:rFonts w:hint="eastAsia" w:ascii="宋体" w:hAnsi="宋体"/>
          <w:sz w:val="24"/>
          <w:szCs w:val="24"/>
        </w:rPr>
        <w:br w:type="page"/>
      </w:r>
      <w:r>
        <w:rPr>
          <w:rFonts w:hint="eastAsia" w:ascii="宋体" w:hAnsi="宋体"/>
          <w:bCs/>
          <w:sz w:val="24"/>
          <w:szCs w:val="24"/>
        </w:rPr>
        <w:t>附件一</w:t>
      </w:r>
    </w:p>
    <w:p w14:paraId="1E3BC233">
      <w:pPr>
        <w:pStyle w:val="12"/>
        <w:spacing w:line="360" w:lineRule="exact"/>
        <w:jc w:val="center"/>
        <w:rPr>
          <w:rFonts w:hAnsi="宋体"/>
          <w:b/>
          <w:bCs/>
          <w:sz w:val="24"/>
          <w:szCs w:val="24"/>
        </w:rPr>
      </w:pPr>
      <w:r>
        <w:rPr>
          <w:rFonts w:hint="eastAsia" w:hAnsi="宋体"/>
          <w:b/>
          <w:bCs/>
          <w:sz w:val="24"/>
          <w:szCs w:val="24"/>
        </w:rPr>
        <w:t>电路服务需求单</w:t>
      </w:r>
    </w:p>
    <w:p w14:paraId="55E110A1">
      <w:pPr>
        <w:pStyle w:val="12"/>
        <w:spacing w:line="360" w:lineRule="exact"/>
        <w:rPr>
          <w:rFonts w:hAnsi="宋体"/>
          <w:kern w:val="0"/>
          <w:sz w:val="24"/>
          <w:szCs w:val="24"/>
        </w:rPr>
      </w:pPr>
      <w:r>
        <w:rPr>
          <w:rFonts w:hint="eastAsia" w:hAnsi="宋体"/>
          <w:sz w:val="24"/>
          <w:szCs w:val="24"/>
        </w:rPr>
        <w:t>盖章处：</w:t>
      </w:r>
    </w:p>
    <w:tbl>
      <w:tblPr>
        <w:tblStyle w:val="25"/>
        <w:tblW w:w="8472" w:type="dxa"/>
        <w:jc w:val="center"/>
        <w:tblLayout w:type="fixed"/>
        <w:tblCellMar>
          <w:top w:w="0" w:type="dxa"/>
          <w:left w:w="0" w:type="dxa"/>
          <w:bottom w:w="0" w:type="dxa"/>
          <w:right w:w="0" w:type="dxa"/>
        </w:tblCellMar>
      </w:tblPr>
      <w:tblGrid>
        <w:gridCol w:w="1236"/>
        <w:gridCol w:w="1801"/>
        <w:gridCol w:w="1080"/>
        <w:gridCol w:w="360"/>
        <w:gridCol w:w="1440"/>
        <w:gridCol w:w="2555"/>
      </w:tblGrid>
      <w:tr w14:paraId="4D639522">
        <w:tblPrEx>
          <w:tblCellMar>
            <w:top w:w="0" w:type="dxa"/>
            <w:left w:w="0" w:type="dxa"/>
            <w:bottom w:w="0" w:type="dxa"/>
            <w:right w:w="0" w:type="dxa"/>
          </w:tblCellMar>
        </w:tblPrEx>
        <w:trPr>
          <w:trHeight w:val="908" w:hRule="atLeast"/>
          <w:jc w:val="center"/>
        </w:trPr>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1BFD4E">
            <w:pPr>
              <w:pStyle w:val="12"/>
              <w:spacing w:line="360" w:lineRule="exact"/>
              <w:rPr>
                <w:rFonts w:hAnsi="宋体"/>
                <w:sz w:val="24"/>
                <w:szCs w:val="24"/>
              </w:rPr>
            </w:pPr>
            <w:r>
              <w:rPr>
                <w:rFonts w:hint="eastAsia" w:hAnsi="宋体"/>
                <w:sz w:val="24"/>
                <w:szCs w:val="24"/>
              </w:rPr>
              <w:t>客户名称</w:t>
            </w:r>
          </w:p>
        </w:tc>
        <w:tc>
          <w:tcPr>
            <w:tcW w:w="7236" w:type="dxa"/>
            <w:gridSpan w:val="5"/>
            <w:tcBorders>
              <w:top w:val="single" w:color="000000" w:sz="4" w:space="0"/>
              <w:left w:val="nil"/>
              <w:bottom w:val="nil"/>
              <w:right w:val="single" w:color="000000" w:sz="4" w:space="0"/>
            </w:tcBorders>
            <w:tcMar>
              <w:top w:w="0" w:type="dxa"/>
              <w:left w:w="108" w:type="dxa"/>
              <w:bottom w:w="0" w:type="dxa"/>
              <w:right w:w="108" w:type="dxa"/>
            </w:tcMar>
            <w:vAlign w:val="center"/>
          </w:tcPr>
          <w:p w14:paraId="62AA186F">
            <w:pPr>
              <w:pStyle w:val="12"/>
              <w:spacing w:line="360" w:lineRule="exact"/>
              <w:rPr>
                <w:rFonts w:hint="eastAsia" w:hAnsi="宋体" w:eastAsia="宋体"/>
                <w:sz w:val="24"/>
                <w:szCs w:val="24"/>
                <w:lang w:eastAsia="zh-CN"/>
              </w:rPr>
            </w:pPr>
          </w:p>
        </w:tc>
      </w:tr>
      <w:tr w14:paraId="4D0219CC">
        <w:tblPrEx>
          <w:tblCellMar>
            <w:top w:w="0" w:type="dxa"/>
            <w:left w:w="0" w:type="dxa"/>
            <w:bottom w:w="0" w:type="dxa"/>
            <w:right w:w="0" w:type="dxa"/>
          </w:tblCellMar>
        </w:tblPrEx>
        <w:trPr>
          <w:trHeight w:val="473" w:hRule="atLeast"/>
          <w:jc w:val="center"/>
        </w:trPr>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C4EDB7">
            <w:pPr>
              <w:pStyle w:val="12"/>
              <w:spacing w:line="360" w:lineRule="exact"/>
              <w:rPr>
                <w:rFonts w:hAnsi="宋体"/>
                <w:sz w:val="24"/>
                <w:szCs w:val="24"/>
              </w:rPr>
            </w:pPr>
            <w:r>
              <w:rPr>
                <w:rFonts w:hint="eastAsia" w:hAnsi="宋体"/>
                <w:sz w:val="24"/>
                <w:szCs w:val="24"/>
              </w:rPr>
              <w:t>联系人身份证</w:t>
            </w:r>
          </w:p>
        </w:tc>
        <w:tc>
          <w:tcPr>
            <w:tcW w:w="7236"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B88092D">
            <w:pPr>
              <w:pStyle w:val="12"/>
              <w:spacing w:line="360" w:lineRule="exact"/>
              <w:rPr>
                <w:rFonts w:hint="eastAsia" w:hAnsi="宋体" w:eastAsia="宋体"/>
                <w:sz w:val="24"/>
                <w:szCs w:val="24"/>
                <w:lang w:eastAsia="zh-CN"/>
              </w:rPr>
            </w:pPr>
          </w:p>
        </w:tc>
      </w:tr>
      <w:tr w14:paraId="233CEC2A">
        <w:tblPrEx>
          <w:tblCellMar>
            <w:top w:w="0" w:type="dxa"/>
            <w:left w:w="0" w:type="dxa"/>
            <w:bottom w:w="0" w:type="dxa"/>
            <w:right w:w="0" w:type="dxa"/>
          </w:tblCellMar>
        </w:tblPrEx>
        <w:trPr>
          <w:trHeight w:val="463" w:hRule="atLeast"/>
          <w:jc w:val="center"/>
        </w:trPr>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071EA8">
            <w:pPr>
              <w:pStyle w:val="12"/>
              <w:spacing w:line="360" w:lineRule="exact"/>
              <w:rPr>
                <w:rFonts w:hAnsi="宋体"/>
                <w:sz w:val="24"/>
                <w:szCs w:val="24"/>
              </w:rPr>
            </w:pPr>
            <w:r>
              <w:rPr>
                <w:rFonts w:hint="eastAsia" w:hAnsi="宋体"/>
                <w:sz w:val="24"/>
                <w:szCs w:val="24"/>
              </w:rPr>
              <w:t>联系人</w:t>
            </w:r>
          </w:p>
        </w:tc>
        <w:tc>
          <w:tcPr>
            <w:tcW w:w="7236"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0F11F4B">
            <w:pPr>
              <w:pStyle w:val="12"/>
              <w:spacing w:line="360" w:lineRule="exact"/>
              <w:rPr>
                <w:rFonts w:hint="eastAsia" w:hAnsi="宋体" w:eastAsia="宋体"/>
                <w:sz w:val="24"/>
                <w:szCs w:val="24"/>
                <w:lang w:eastAsia="zh-CN"/>
              </w:rPr>
            </w:pPr>
            <w:r>
              <w:rPr>
                <w:rFonts w:hint="eastAsia" w:hAnsi="宋体"/>
                <w:sz w:val="24"/>
                <w:szCs w:val="24"/>
              </w:rPr>
              <w:t>（必填）</w:t>
            </w:r>
          </w:p>
        </w:tc>
      </w:tr>
      <w:tr w14:paraId="61DDE16D">
        <w:tblPrEx>
          <w:tblCellMar>
            <w:top w:w="0" w:type="dxa"/>
            <w:left w:w="0" w:type="dxa"/>
            <w:bottom w:w="0" w:type="dxa"/>
            <w:right w:w="0"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C07F1E">
            <w:pPr>
              <w:pStyle w:val="12"/>
              <w:spacing w:line="360" w:lineRule="exact"/>
              <w:rPr>
                <w:rFonts w:hAnsi="宋体"/>
                <w:sz w:val="24"/>
                <w:szCs w:val="24"/>
              </w:rPr>
            </w:pPr>
            <w:r>
              <w:rPr>
                <w:rFonts w:hint="eastAsia" w:hAnsi="宋体"/>
                <w:sz w:val="24"/>
                <w:szCs w:val="24"/>
              </w:rPr>
              <w:t>联系电话</w:t>
            </w:r>
          </w:p>
        </w:tc>
        <w:tc>
          <w:tcPr>
            <w:tcW w:w="7236"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903B997">
            <w:pPr>
              <w:pStyle w:val="12"/>
              <w:spacing w:line="360" w:lineRule="exact"/>
              <w:rPr>
                <w:rFonts w:hint="eastAsia" w:hAnsi="宋体" w:eastAsia="宋体"/>
                <w:sz w:val="24"/>
                <w:szCs w:val="24"/>
                <w:lang w:eastAsia="zh-CN"/>
              </w:rPr>
            </w:pPr>
            <w:r>
              <w:rPr>
                <w:rFonts w:hint="eastAsia" w:hAnsi="宋体"/>
                <w:sz w:val="24"/>
                <w:szCs w:val="24"/>
              </w:rPr>
              <w:t>（手机号码必填）</w:t>
            </w:r>
          </w:p>
        </w:tc>
      </w:tr>
      <w:tr w14:paraId="5648CF78">
        <w:tblPrEx>
          <w:tblCellMar>
            <w:top w:w="0" w:type="dxa"/>
            <w:left w:w="0" w:type="dxa"/>
            <w:bottom w:w="0" w:type="dxa"/>
            <w:right w:w="0"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A8D436">
            <w:pPr>
              <w:pStyle w:val="12"/>
              <w:spacing w:line="360" w:lineRule="exact"/>
              <w:rPr>
                <w:rFonts w:hAnsi="宋体"/>
                <w:sz w:val="24"/>
                <w:szCs w:val="24"/>
              </w:rPr>
            </w:pPr>
            <w:r>
              <w:rPr>
                <w:rFonts w:hint="eastAsia" w:hAnsi="宋体"/>
                <w:sz w:val="24"/>
                <w:szCs w:val="24"/>
              </w:rPr>
              <w:t>装机地址</w:t>
            </w:r>
          </w:p>
        </w:tc>
        <w:tc>
          <w:tcPr>
            <w:tcW w:w="7236"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72430DD">
            <w:pPr>
              <w:pStyle w:val="12"/>
              <w:spacing w:line="360" w:lineRule="exact"/>
              <w:rPr>
                <w:rFonts w:hint="eastAsia" w:hAnsi="宋体" w:eastAsia="宋体"/>
                <w:sz w:val="24"/>
                <w:szCs w:val="24"/>
                <w:lang w:eastAsia="zh-CN"/>
              </w:rPr>
            </w:pPr>
          </w:p>
        </w:tc>
      </w:tr>
      <w:tr w14:paraId="6D22E9D7">
        <w:tblPrEx>
          <w:tblCellMar>
            <w:top w:w="0" w:type="dxa"/>
            <w:left w:w="0" w:type="dxa"/>
            <w:bottom w:w="0" w:type="dxa"/>
            <w:right w:w="0" w:type="dxa"/>
          </w:tblCellMar>
        </w:tblPrEx>
        <w:trPr>
          <w:trHeight w:val="457" w:hRule="atLeast"/>
          <w:jc w:val="center"/>
        </w:trPr>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AA4FCA">
            <w:pPr>
              <w:pStyle w:val="12"/>
              <w:spacing w:line="360" w:lineRule="exact"/>
              <w:rPr>
                <w:rFonts w:hAnsi="宋体"/>
                <w:sz w:val="24"/>
                <w:szCs w:val="24"/>
              </w:rPr>
            </w:pPr>
            <w:r>
              <w:rPr>
                <w:rFonts w:hint="eastAsia" w:hAnsi="宋体"/>
                <w:sz w:val="24"/>
                <w:szCs w:val="24"/>
              </w:rPr>
              <w:t>发票抬头</w:t>
            </w:r>
          </w:p>
        </w:tc>
        <w:tc>
          <w:tcPr>
            <w:tcW w:w="2881"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81D4785">
            <w:pPr>
              <w:pStyle w:val="12"/>
              <w:spacing w:line="360" w:lineRule="exact"/>
              <w:rPr>
                <w:rFonts w:hint="eastAsia" w:hAnsi="宋体" w:eastAsia="宋体"/>
                <w:sz w:val="24"/>
                <w:szCs w:val="24"/>
                <w:lang w:eastAsia="zh-CN"/>
              </w:rPr>
            </w:pPr>
          </w:p>
        </w:tc>
        <w:tc>
          <w:tcPr>
            <w:tcW w:w="180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DD82923">
            <w:pPr>
              <w:pStyle w:val="12"/>
              <w:spacing w:line="360" w:lineRule="exact"/>
              <w:rPr>
                <w:rFonts w:hAnsi="宋体"/>
                <w:sz w:val="24"/>
                <w:szCs w:val="24"/>
              </w:rPr>
            </w:pPr>
            <w:r>
              <w:rPr>
                <w:rFonts w:hint="eastAsia" w:hAnsi="宋体"/>
                <w:sz w:val="24"/>
                <w:szCs w:val="24"/>
              </w:rPr>
              <w:t>发票推送邮箱</w:t>
            </w:r>
          </w:p>
        </w:tc>
        <w:tc>
          <w:tcPr>
            <w:tcW w:w="25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3E248DE">
            <w:pPr>
              <w:pStyle w:val="12"/>
              <w:spacing w:line="360" w:lineRule="exact"/>
              <w:rPr>
                <w:rFonts w:hAnsi="宋体"/>
                <w:sz w:val="24"/>
                <w:szCs w:val="24"/>
              </w:rPr>
            </w:pPr>
            <w:r>
              <w:rPr>
                <w:rFonts w:hint="eastAsia" w:hAnsi="宋体"/>
                <w:sz w:val="24"/>
                <w:szCs w:val="24"/>
              </w:rPr>
              <w:t>*****@***（邮箱）</w:t>
            </w:r>
          </w:p>
        </w:tc>
      </w:tr>
      <w:tr w14:paraId="5E45C1F0">
        <w:tblPrEx>
          <w:tblCellMar>
            <w:top w:w="0" w:type="dxa"/>
            <w:left w:w="0" w:type="dxa"/>
            <w:bottom w:w="0" w:type="dxa"/>
            <w:right w:w="0" w:type="dxa"/>
          </w:tblCellMar>
        </w:tblPrEx>
        <w:trPr>
          <w:trHeight w:val="462" w:hRule="atLeast"/>
          <w:jc w:val="center"/>
        </w:trPr>
        <w:tc>
          <w:tcPr>
            <w:tcW w:w="1236"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2B6B34D">
            <w:pPr>
              <w:pStyle w:val="12"/>
              <w:spacing w:line="360" w:lineRule="exact"/>
              <w:rPr>
                <w:rFonts w:hAnsi="宋体"/>
                <w:kern w:val="0"/>
                <w:sz w:val="24"/>
                <w:szCs w:val="24"/>
              </w:rPr>
            </w:pPr>
            <w:r>
              <w:rPr>
                <w:rFonts w:hint="eastAsia" w:hAnsi="宋体"/>
                <w:sz w:val="24"/>
                <w:szCs w:val="24"/>
              </w:rPr>
              <w:t>付款资料</w:t>
            </w:r>
          </w:p>
          <w:p w14:paraId="50AF930C">
            <w:pPr>
              <w:pStyle w:val="12"/>
              <w:spacing w:line="360" w:lineRule="exact"/>
              <w:rPr>
                <w:rFonts w:hAnsi="宋体"/>
                <w:sz w:val="24"/>
                <w:szCs w:val="24"/>
              </w:rPr>
            </w:pPr>
          </w:p>
        </w:tc>
        <w:tc>
          <w:tcPr>
            <w:tcW w:w="7236"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DB9C738">
            <w:pPr>
              <w:pStyle w:val="12"/>
              <w:spacing w:line="360" w:lineRule="exact"/>
              <w:rPr>
                <w:rFonts w:hAnsi="宋体"/>
                <w:sz w:val="24"/>
                <w:szCs w:val="24"/>
              </w:rPr>
            </w:pPr>
            <w:r>
              <w:rPr>
                <w:rFonts w:hint="eastAsia" w:hAnsi="宋体"/>
                <w:sz w:val="24"/>
                <w:szCs w:val="24"/>
              </w:rPr>
              <w:t>口现金缴费（业务受理成功后，客户需自行到电信营业厅缴费）</w:t>
            </w:r>
          </w:p>
        </w:tc>
      </w:tr>
      <w:tr w14:paraId="7FFDBC67">
        <w:tblPrEx>
          <w:tblCellMar>
            <w:top w:w="0" w:type="dxa"/>
            <w:left w:w="0" w:type="dxa"/>
            <w:bottom w:w="0" w:type="dxa"/>
            <w:right w:w="0" w:type="dxa"/>
          </w:tblCellMar>
        </w:tblPrEx>
        <w:trPr>
          <w:trHeight w:val="454" w:hRule="atLeast"/>
          <w:jc w:val="center"/>
        </w:trPr>
        <w:tc>
          <w:tcPr>
            <w:tcW w:w="1236" w:type="dxa"/>
            <w:vMerge w:val="continue"/>
            <w:tcBorders>
              <w:top w:val="nil"/>
              <w:left w:val="single" w:color="000000" w:sz="4" w:space="0"/>
              <w:bottom w:val="single" w:color="000000" w:sz="4" w:space="0"/>
              <w:right w:val="single" w:color="000000" w:sz="4" w:space="0"/>
            </w:tcBorders>
            <w:vAlign w:val="center"/>
          </w:tcPr>
          <w:p w14:paraId="781BF408">
            <w:pPr>
              <w:widowControl/>
              <w:jc w:val="left"/>
              <w:rPr>
                <w:rFonts w:ascii="宋体" w:hAnsi="宋体" w:eastAsia="宋体"/>
                <w:kern w:val="0"/>
                <w:sz w:val="24"/>
                <w:szCs w:val="24"/>
              </w:rPr>
            </w:pPr>
          </w:p>
        </w:tc>
        <w:tc>
          <w:tcPr>
            <w:tcW w:w="1801"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14:paraId="28CDBCA9">
            <w:pPr>
              <w:pStyle w:val="12"/>
              <w:spacing w:line="360" w:lineRule="exact"/>
              <w:rPr>
                <w:rFonts w:hAnsi="宋体"/>
                <w:sz w:val="24"/>
                <w:szCs w:val="24"/>
              </w:rPr>
            </w:pPr>
            <w:r>
              <w:rPr>
                <w:rFonts w:hint="eastAsia" w:hAnsi="宋体"/>
                <w:sz w:val="24"/>
                <w:szCs w:val="24"/>
              </w:rPr>
              <w:t>口银行划扣</w:t>
            </w:r>
          </w:p>
        </w:tc>
        <w:tc>
          <w:tcPr>
            <w:tcW w:w="144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1001C62">
            <w:pPr>
              <w:pStyle w:val="12"/>
              <w:spacing w:line="360" w:lineRule="exact"/>
              <w:rPr>
                <w:rFonts w:hint="eastAsia" w:hAnsi="宋体" w:eastAsia="宋体"/>
                <w:sz w:val="24"/>
                <w:szCs w:val="24"/>
                <w:lang w:eastAsia="zh-CN"/>
              </w:rPr>
            </w:pPr>
            <w:r>
              <w:rPr>
                <w:rFonts w:hint="eastAsia" w:hAnsi="宋体"/>
                <w:sz w:val="24"/>
                <w:szCs w:val="24"/>
              </w:rPr>
              <w:t>户名：</w:t>
            </w:r>
          </w:p>
        </w:tc>
        <w:tc>
          <w:tcPr>
            <w:tcW w:w="3995" w:type="dxa"/>
            <w:gridSpan w:val="2"/>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3686761">
            <w:pPr>
              <w:pStyle w:val="12"/>
              <w:spacing w:line="360" w:lineRule="exact"/>
              <w:rPr>
                <w:rFonts w:hint="eastAsia" w:hAnsi="宋体" w:eastAsia="宋体"/>
                <w:sz w:val="24"/>
                <w:szCs w:val="24"/>
                <w:lang w:eastAsia="zh-CN"/>
              </w:rPr>
            </w:pPr>
          </w:p>
        </w:tc>
      </w:tr>
      <w:tr w14:paraId="3D2D76A5">
        <w:tblPrEx>
          <w:tblCellMar>
            <w:top w:w="0" w:type="dxa"/>
            <w:left w:w="0" w:type="dxa"/>
            <w:bottom w:w="0" w:type="dxa"/>
            <w:right w:w="0" w:type="dxa"/>
          </w:tblCellMar>
        </w:tblPrEx>
        <w:trPr>
          <w:trHeight w:val="454" w:hRule="atLeast"/>
          <w:jc w:val="center"/>
        </w:trPr>
        <w:tc>
          <w:tcPr>
            <w:tcW w:w="1236" w:type="dxa"/>
            <w:vMerge w:val="continue"/>
            <w:tcBorders>
              <w:top w:val="nil"/>
              <w:left w:val="single" w:color="000000" w:sz="4" w:space="0"/>
              <w:bottom w:val="single" w:color="000000" w:sz="4" w:space="0"/>
              <w:right w:val="single" w:color="000000" w:sz="4" w:space="0"/>
            </w:tcBorders>
            <w:vAlign w:val="center"/>
          </w:tcPr>
          <w:p w14:paraId="015430F3">
            <w:pPr>
              <w:widowControl/>
              <w:jc w:val="left"/>
              <w:rPr>
                <w:rFonts w:ascii="宋体" w:hAnsi="宋体" w:eastAsia="宋体"/>
                <w:kern w:val="0"/>
                <w:sz w:val="24"/>
                <w:szCs w:val="24"/>
              </w:rPr>
            </w:pPr>
          </w:p>
        </w:tc>
        <w:tc>
          <w:tcPr>
            <w:tcW w:w="7236" w:type="dxa"/>
            <w:vMerge w:val="continue"/>
            <w:tcBorders>
              <w:top w:val="nil"/>
              <w:left w:val="nil"/>
              <w:bottom w:val="single" w:color="000000" w:sz="4" w:space="0"/>
              <w:right w:val="single" w:color="000000" w:sz="4" w:space="0"/>
            </w:tcBorders>
            <w:vAlign w:val="center"/>
          </w:tcPr>
          <w:p w14:paraId="09013B98">
            <w:pPr>
              <w:widowControl/>
              <w:jc w:val="left"/>
              <w:rPr>
                <w:rFonts w:ascii="宋体" w:hAnsi="宋体" w:eastAsia="宋体"/>
                <w:kern w:val="0"/>
                <w:sz w:val="24"/>
                <w:szCs w:val="24"/>
              </w:rPr>
            </w:pPr>
          </w:p>
        </w:tc>
        <w:tc>
          <w:tcPr>
            <w:tcW w:w="144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7394B5B">
            <w:pPr>
              <w:pStyle w:val="12"/>
              <w:spacing w:line="360" w:lineRule="exact"/>
              <w:rPr>
                <w:rFonts w:hint="eastAsia" w:hAnsi="宋体" w:eastAsia="宋体"/>
                <w:sz w:val="24"/>
                <w:szCs w:val="24"/>
                <w:lang w:eastAsia="zh-CN"/>
              </w:rPr>
            </w:pPr>
            <w:r>
              <w:rPr>
                <w:rFonts w:hint="eastAsia" w:hAnsi="宋体"/>
                <w:sz w:val="24"/>
                <w:szCs w:val="24"/>
              </w:rPr>
              <w:t>开户银行：</w:t>
            </w:r>
          </w:p>
        </w:tc>
        <w:tc>
          <w:tcPr>
            <w:tcW w:w="6550" w:type="dxa"/>
            <w:gridSpan w:val="2"/>
            <w:vMerge w:val="continue"/>
            <w:tcBorders>
              <w:top w:val="single" w:color="000000" w:sz="4" w:space="0"/>
              <w:left w:val="nil"/>
              <w:bottom w:val="single" w:color="000000" w:sz="4" w:space="0"/>
              <w:right w:val="single" w:color="000000" w:sz="4" w:space="0"/>
            </w:tcBorders>
            <w:vAlign w:val="center"/>
          </w:tcPr>
          <w:p w14:paraId="15D1E0C0">
            <w:pPr>
              <w:widowControl/>
              <w:jc w:val="left"/>
              <w:rPr>
                <w:rFonts w:ascii="宋体" w:hAnsi="宋体" w:eastAsia="宋体"/>
                <w:kern w:val="0"/>
                <w:sz w:val="24"/>
                <w:szCs w:val="24"/>
              </w:rPr>
            </w:pPr>
          </w:p>
        </w:tc>
      </w:tr>
      <w:tr w14:paraId="6C2C3ECA">
        <w:tblPrEx>
          <w:tblCellMar>
            <w:top w:w="0" w:type="dxa"/>
            <w:left w:w="0" w:type="dxa"/>
            <w:bottom w:w="0" w:type="dxa"/>
            <w:right w:w="0" w:type="dxa"/>
          </w:tblCellMar>
        </w:tblPrEx>
        <w:trPr>
          <w:trHeight w:val="585" w:hRule="atLeast"/>
          <w:jc w:val="center"/>
        </w:trPr>
        <w:tc>
          <w:tcPr>
            <w:tcW w:w="1236" w:type="dxa"/>
            <w:vMerge w:val="continue"/>
            <w:tcBorders>
              <w:top w:val="nil"/>
              <w:left w:val="single" w:color="000000" w:sz="4" w:space="0"/>
              <w:bottom w:val="single" w:color="000000" w:sz="4" w:space="0"/>
              <w:right w:val="single" w:color="000000" w:sz="4" w:space="0"/>
            </w:tcBorders>
            <w:vAlign w:val="center"/>
          </w:tcPr>
          <w:p w14:paraId="34C563D5">
            <w:pPr>
              <w:widowControl/>
              <w:jc w:val="left"/>
              <w:rPr>
                <w:rFonts w:ascii="宋体" w:hAnsi="宋体" w:eastAsia="宋体"/>
                <w:kern w:val="0"/>
                <w:sz w:val="24"/>
                <w:szCs w:val="24"/>
              </w:rPr>
            </w:pPr>
          </w:p>
        </w:tc>
        <w:tc>
          <w:tcPr>
            <w:tcW w:w="7236" w:type="dxa"/>
            <w:vMerge w:val="continue"/>
            <w:tcBorders>
              <w:top w:val="nil"/>
              <w:left w:val="nil"/>
              <w:bottom w:val="single" w:color="000000" w:sz="4" w:space="0"/>
              <w:right w:val="single" w:color="000000" w:sz="4" w:space="0"/>
            </w:tcBorders>
            <w:vAlign w:val="center"/>
          </w:tcPr>
          <w:p w14:paraId="7955D2F4">
            <w:pPr>
              <w:widowControl/>
              <w:jc w:val="left"/>
              <w:rPr>
                <w:rFonts w:ascii="宋体" w:hAnsi="宋体" w:eastAsia="宋体"/>
                <w:kern w:val="0"/>
                <w:sz w:val="24"/>
                <w:szCs w:val="24"/>
              </w:rPr>
            </w:pPr>
          </w:p>
        </w:tc>
        <w:tc>
          <w:tcPr>
            <w:tcW w:w="144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089D427">
            <w:pPr>
              <w:pStyle w:val="12"/>
              <w:spacing w:line="360" w:lineRule="exact"/>
              <w:rPr>
                <w:rFonts w:hint="eastAsia" w:hAnsi="宋体" w:eastAsia="宋体"/>
                <w:sz w:val="24"/>
                <w:szCs w:val="24"/>
                <w:lang w:eastAsia="zh-CN"/>
              </w:rPr>
            </w:pPr>
            <w:r>
              <w:rPr>
                <w:rFonts w:hint="eastAsia" w:hAnsi="宋体"/>
                <w:sz w:val="24"/>
                <w:szCs w:val="24"/>
              </w:rPr>
              <w:t>银行账号：</w:t>
            </w:r>
          </w:p>
        </w:tc>
        <w:tc>
          <w:tcPr>
            <w:tcW w:w="6550" w:type="dxa"/>
            <w:gridSpan w:val="2"/>
            <w:vMerge w:val="continue"/>
            <w:tcBorders>
              <w:top w:val="single" w:color="000000" w:sz="4" w:space="0"/>
              <w:left w:val="nil"/>
              <w:bottom w:val="single" w:color="000000" w:sz="4" w:space="0"/>
              <w:right w:val="single" w:color="000000" w:sz="4" w:space="0"/>
            </w:tcBorders>
            <w:vAlign w:val="center"/>
          </w:tcPr>
          <w:p w14:paraId="3070FF8F">
            <w:pPr>
              <w:widowControl/>
              <w:jc w:val="left"/>
              <w:rPr>
                <w:rFonts w:ascii="宋体" w:hAnsi="宋体" w:eastAsia="宋体"/>
                <w:kern w:val="0"/>
                <w:sz w:val="24"/>
                <w:szCs w:val="24"/>
              </w:rPr>
            </w:pPr>
          </w:p>
        </w:tc>
      </w:tr>
      <w:tr w14:paraId="0E64B7B5">
        <w:tblPrEx>
          <w:tblCellMar>
            <w:top w:w="0" w:type="dxa"/>
            <w:left w:w="0" w:type="dxa"/>
            <w:bottom w:w="0" w:type="dxa"/>
            <w:right w:w="0" w:type="dxa"/>
          </w:tblCellMar>
        </w:tblPrEx>
        <w:trPr>
          <w:trHeight w:val="4320" w:hRule="atLeast"/>
          <w:jc w:val="center"/>
        </w:trPr>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33E5C3">
            <w:pPr>
              <w:pStyle w:val="12"/>
              <w:spacing w:line="360" w:lineRule="exact"/>
              <w:rPr>
                <w:rFonts w:hAnsi="宋体"/>
                <w:sz w:val="24"/>
                <w:szCs w:val="24"/>
              </w:rPr>
            </w:pPr>
            <w:r>
              <w:rPr>
                <w:rFonts w:hint="eastAsia" w:hAnsi="宋体"/>
                <w:sz w:val="24"/>
                <w:szCs w:val="24"/>
              </w:rPr>
              <w:t>办理项目</w:t>
            </w:r>
          </w:p>
        </w:tc>
        <w:tc>
          <w:tcPr>
            <w:tcW w:w="7236"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324B872">
            <w:pPr>
              <w:pStyle w:val="12"/>
              <w:spacing w:line="360" w:lineRule="exact"/>
              <w:rPr>
                <w:rFonts w:hint="eastAsia" w:hAnsi="宋体" w:eastAsia="宋体"/>
                <w:sz w:val="24"/>
                <w:szCs w:val="24"/>
                <w:lang w:eastAsia="zh-CN"/>
              </w:rPr>
            </w:pPr>
          </w:p>
        </w:tc>
      </w:tr>
      <w:tr w14:paraId="0D4D1518">
        <w:tblPrEx>
          <w:tblCellMar>
            <w:top w:w="0" w:type="dxa"/>
            <w:left w:w="0" w:type="dxa"/>
            <w:bottom w:w="0" w:type="dxa"/>
            <w:right w:w="0" w:type="dxa"/>
          </w:tblCellMar>
        </w:tblPrEx>
        <w:trPr>
          <w:trHeight w:val="1833" w:hRule="atLeast"/>
          <w:jc w:val="center"/>
        </w:trPr>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C34E57">
            <w:pPr>
              <w:pStyle w:val="12"/>
              <w:spacing w:line="360" w:lineRule="exact"/>
              <w:rPr>
                <w:rFonts w:hAnsi="宋体"/>
                <w:sz w:val="24"/>
                <w:szCs w:val="24"/>
              </w:rPr>
            </w:pPr>
            <w:r>
              <w:rPr>
                <w:rFonts w:hint="eastAsia" w:hAnsi="宋体"/>
                <w:sz w:val="24"/>
                <w:szCs w:val="24"/>
              </w:rPr>
              <w:t>备注</w:t>
            </w:r>
          </w:p>
        </w:tc>
        <w:tc>
          <w:tcPr>
            <w:tcW w:w="7236"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8BE840E">
            <w:pPr>
              <w:pStyle w:val="12"/>
              <w:spacing w:line="360" w:lineRule="exact"/>
              <w:rPr>
                <w:rFonts w:hint="eastAsia" w:hAnsi="宋体" w:eastAsia="宋体"/>
                <w:sz w:val="24"/>
                <w:szCs w:val="24"/>
                <w:lang w:eastAsia="zh-CN"/>
              </w:rPr>
            </w:pPr>
          </w:p>
        </w:tc>
      </w:tr>
    </w:tbl>
    <w:p w14:paraId="61B9B507">
      <w:pPr>
        <w:spacing w:line="360" w:lineRule="exact"/>
        <w:jc w:val="left"/>
        <w:rPr>
          <w:rFonts w:hint="eastAsia" w:ascii="宋体" w:hAnsi="宋体" w:cs="Times New Roman" w:eastAsiaTheme="minorEastAsia"/>
          <w:sz w:val="24"/>
          <w:szCs w:val="24"/>
          <w:lang w:eastAsia="zh-CN"/>
        </w:rPr>
      </w:pPr>
    </w:p>
    <w:p w14:paraId="1834466F">
      <w:pPr>
        <w:spacing w:line="360" w:lineRule="exact"/>
        <w:jc w:val="left"/>
        <w:rPr>
          <w:rFonts w:hint="eastAsia" w:ascii="宋体" w:hAnsi="宋体" w:eastAsiaTheme="minorEastAsia"/>
          <w:sz w:val="24"/>
          <w:szCs w:val="24"/>
          <w:lang w:eastAsia="zh-CN"/>
        </w:rPr>
      </w:pPr>
    </w:p>
    <w:p w14:paraId="7EBCE90A">
      <w:pPr>
        <w:spacing w:line="360" w:lineRule="exact"/>
        <w:jc w:val="left"/>
        <w:rPr>
          <w:rFonts w:hint="eastAsia" w:ascii="宋体" w:hAnsi="宋体" w:eastAsiaTheme="minorEastAsia"/>
          <w:sz w:val="24"/>
          <w:szCs w:val="24"/>
          <w:lang w:eastAsia="zh-CN"/>
        </w:rPr>
      </w:pPr>
    </w:p>
    <w:p w14:paraId="1D30FD84">
      <w:pPr>
        <w:pStyle w:val="12"/>
        <w:spacing w:line="360" w:lineRule="exact"/>
        <w:rPr>
          <w:rFonts w:hAnsi="宋体"/>
          <w:sz w:val="24"/>
          <w:szCs w:val="24"/>
        </w:rPr>
      </w:pPr>
      <w:r>
        <w:rPr>
          <w:rFonts w:hint="eastAsia" w:hAnsi="宋体"/>
          <w:bCs/>
          <w:sz w:val="24"/>
          <w:szCs w:val="24"/>
        </w:rPr>
        <w:t>附件二</w:t>
      </w:r>
    </w:p>
    <w:p w14:paraId="27A6C6A8">
      <w:pPr>
        <w:pStyle w:val="12"/>
        <w:spacing w:line="360" w:lineRule="exact"/>
        <w:rPr>
          <w:rFonts w:hint="eastAsia" w:hAnsi="宋体" w:eastAsia="宋体"/>
          <w:sz w:val="24"/>
          <w:szCs w:val="24"/>
          <w:lang w:eastAsia="zh-CN"/>
        </w:rPr>
      </w:pPr>
    </w:p>
    <w:p w14:paraId="6E85ED4E">
      <w:pPr>
        <w:pStyle w:val="12"/>
        <w:spacing w:line="360" w:lineRule="exact"/>
        <w:jc w:val="center"/>
        <w:rPr>
          <w:rFonts w:hAnsi="宋体"/>
          <w:b/>
          <w:bCs/>
          <w:sz w:val="24"/>
          <w:szCs w:val="24"/>
        </w:rPr>
      </w:pPr>
      <w:r>
        <w:rPr>
          <w:rFonts w:hint="eastAsia" w:hAnsi="宋体"/>
          <w:b/>
          <w:bCs/>
          <w:sz w:val="24"/>
          <w:szCs w:val="24"/>
        </w:rPr>
        <w:t>一次性费用及月服务费估算单</w:t>
      </w:r>
    </w:p>
    <w:p w14:paraId="14215A6D">
      <w:pPr>
        <w:spacing w:line="360" w:lineRule="exact"/>
        <w:jc w:val="left"/>
        <w:rPr>
          <w:rFonts w:hint="eastAsia" w:ascii="宋体" w:hAnsi="宋体" w:eastAsiaTheme="minorEastAsia"/>
          <w:sz w:val="24"/>
          <w:szCs w:val="24"/>
          <w:lang w:eastAsia="zh-CN"/>
        </w:rPr>
      </w:pPr>
    </w:p>
    <w:tbl>
      <w:tblPr>
        <w:tblStyle w:val="26"/>
        <w:tblW w:w="9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2878"/>
        <w:gridCol w:w="2016"/>
        <w:gridCol w:w="1134"/>
        <w:gridCol w:w="1378"/>
        <w:gridCol w:w="1360"/>
      </w:tblGrid>
      <w:tr w14:paraId="3616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37" w:type="dxa"/>
            <w:tcBorders>
              <w:top w:val="single" w:color="auto" w:sz="4" w:space="0"/>
              <w:left w:val="single" w:color="auto" w:sz="4" w:space="0"/>
              <w:bottom w:val="single" w:color="auto" w:sz="4" w:space="0"/>
              <w:right w:val="single" w:color="auto" w:sz="4" w:space="0"/>
            </w:tcBorders>
            <w:noWrap/>
            <w:vAlign w:val="center"/>
          </w:tcPr>
          <w:p w14:paraId="1D16F762">
            <w:pPr>
              <w:pStyle w:val="12"/>
              <w:spacing w:line="360" w:lineRule="exact"/>
              <w:rPr>
                <w:rFonts w:hAnsi="宋体"/>
                <w:sz w:val="24"/>
                <w:szCs w:val="24"/>
              </w:rPr>
            </w:pPr>
            <w:r>
              <w:rPr>
                <w:rFonts w:hint="eastAsia" w:hAnsi="宋体"/>
                <w:sz w:val="24"/>
                <w:szCs w:val="24"/>
              </w:rPr>
              <w:t>数量</w:t>
            </w:r>
          </w:p>
        </w:tc>
        <w:tc>
          <w:tcPr>
            <w:tcW w:w="2878" w:type="dxa"/>
            <w:tcBorders>
              <w:top w:val="single" w:color="auto" w:sz="4" w:space="0"/>
              <w:left w:val="single" w:color="auto" w:sz="4" w:space="0"/>
              <w:bottom w:val="single" w:color="auto" w:sz="4" w:space="0"/>
              <w:right w:val="single" w:color="auto" w:sz="4" w:space="0"/>
            </w:tcBorders>
            <w:noWrap/>
            <w:vAlign w:val="center"/>
          </w:tcPr>
          <w:p w14:paraId="22AC9971">
            <w:pPr>
              <w:pStyle w:val="12"/>
              <w:spacing w:line="360" w:lineRule="exact"/>
              <w:rPr>
                <w:rFonts w:hAnsi="宋体"/>
                <w:sz w:val="24"/>
                <w:szCs w:val="24"/>
              </w:rPr>
            </w:pPr>
            <w:r>
              <w:rPr>
                <w:rFonts w:hint="eastAsia" w:hAnsi="宋体"/>
                <w:sz w:val="24"/>
                <w:szCs w:val="24"/>
              </w:rPr>
              <w:t>电路业务（数字电路SDH/MSTP专线/精品专线/DDN数字数据网/FR帧中继/ATM电路/IP-VPN/云专网等）</w:t>
            </w:r>
          </w:p>
        </w:tc>
        <w:tc>
          <w:tcPr>
            <w:tcW w:w="2016" w:type="dxa"/>
            <w:tcBorders>
              <w:top w:val="single" w:color="auto" w:sz="4" w:space="0"/>
              <w:left w:val="single" w:color="auto" w:sz="4" w:space="0"/>
              <w:bottom w:val="single" w:color="auto" w:sz="4" w:space="0"/>
              <w:right w:val="single" w:color="auto" w:sz="4" w:space="0"/>
            </w:tcBorders>
            <w:vAlign w:val="center"/>
          </w:tcPr>
          <w:p w14:paraId="0BE11A1C">
            <w:pPr>
              <w:pStyle w:val="12"/>
              <w:spacing w:line="360" w:lineRule="exact"/>
              <w:rPr>
                <w:rFonts w:hAnsi="宋体"/>
                <w:sz w:val="24"/>
                <w:szCs w:val="24"/>
              </w:rPr>
            </w:pPr>
            <w:r>
              <w:rPr>
                <w:rFonts w:hint="eastAsia" w:hAnsi="宋体"/>
                <w:sz w:val="24"/>
                <w:szCs w:val="24"/>
              </w:rPr>
              <w:t>电路类型（区内，区间，国内长途，台港澳长途，国际长途等）</w:t>
            </w:r>
          </w:p>
        </w:tc>
        <w:tc>
          <w:tcPr>
            <w:tcW w:w="1134" w:type="dxa"/>
            <w:tcBorders>
              <w:top w:val="single" w:color="auto" w:sz="4" w:space="0"/>
              <w:left w:val="single" w:color="auto" w:sz="4" w:space="0"/>
              <w:bottom w:val="single" w:color="auto" w:sz="4" w:space="0"/>
              <w:right w:val="single" w:color="auto" w:sz="4" w:space="0"/>
            </w:tcBorders>
            <w:vAlign w:val="center"/>
          </w:tcPr>
          <w:p w14:paraId="747A8B82">
            <w:pPr>
              <w:pStyle w:val="12"/>
              <w:spacing w:line="360" w:lineRule="exact"/>
              <w:rPr>
                <w:rFonts w:hAnsi="宋体"/>
                <w:kern w:val="0"/>
                <w:sz w:val="24"/>
                <w:szCs w:val="24"/>
              </w:rPr>
            </w:pPr>
            <w:r>
              <w:rPr>
                <w:rFonts w:hint="eastAsia" w:hAnsi="宋体"/>
                <w:sz w:val="24"/>
                <w:szCs w:val="24"/>
              </w:rPr>
              <w:t>速率</w:t>
            </w:r>
          </w:p>
          <w:p w14:paraId="1A69C9DE">
            <w:pPr>
              <w:pStyle w:val="12"/>
              <w:spacing w:line="360" w:lineRule="exact"/>
              <w:rPr>
                <w:rFonts w:hAnsi="宋体"/>
                <w:sz w:val="24"/>
                <w:szCs w:val="24"/>
              </w:rPr>
            </w:pPr>
            <w:r>
              <w:rPr>
                <w:rFonts w:hint="eastAsia" w:hAnsi="宋体"/>
                <w:sz w:val="24"/>
                <w:szCs w:val="24"/>
              </w:rPr>
              <w:t>(M)</w:t>
            </w:r>
          </w:p>
        </w:tc>
        <w:tc>
          <w:tcPr>
            <w:tcW w:w="1378" w:type="dxa"/>
            <w:tcBorders>
              <w:top w:val="single" w:color="auto" w:sz="4" w:space="0"/>
              <w:left w:val="single" w:color="auto" w:sz="4" w:space="0"/>
              <w:bottom w:val="single" w:color="auto" w:sz="4" w:space="0"/>
              <w:right w:val="single" w:color="auto" w:sz="4" w:space="0"/>
            </w:tcBorders>
            <w:noWrap/>
            <w:vAlign w:val="center"/>
          </w:tcPr>
          <w:p w14:paraId="34673DA9">
            <w:pPr>
              <w:pStyle w:val="12"/>
              <w:spacing w:line="360" w:lineRule="exact"/>
              <w:rPr>
                <w:rFonts w:hAnsi="宋体"/>
                <w:sz w:val="24"/>
                <w:szCs w:val="24"/>
              </w:rPr>
            </w:pPr>
            <w:r>
              <w:rPr>
                <w:rFonts w:hint="eastAsia" w:hAnsi="宋体"/>
                <w:sz w:val="24"/>
                <w:szCs w:val="24"/>
              </w:rPr>
              <w:t>一次性调测费/条（元）</w:t>
            </w:r>
          </w:p>
        </w:tc>
        <w:tc>
          <w:tcPr>
            <w:tcW w:w="1360" w:type="dxa"/>
            <w:tcBorders>
              <w:top w:val="single" w:color="auto" w:sz="4" w:space="0"/>
              <w:left w:val="single" w:color="auto" w:sz="4" w:space="0"/>
              <w:bottom w:val="single" w:color="auto" w:sz="4" w:space="0"/>
              <w:right w:val="single" w:color="auto" w:sz="4" w:space="0"/>
            </w:tcBorders>
            <w:noWrap/>
            <w:vAlign w:val="center"/>
          </w:tcPr>
          <w:p w14:paraId="21151E3D">
            <w:pPr>
              <w:pStyle w:val="12"/>
              <w:spacing w:line="360" w:lineRule="exact"/>
              <w:rPr>
                <w:rFonts w:hAnsi="宋体"/>
                <w:sz w:val="24"/>
                <w:szCs w:val="24"/>
              </w:rPr>
            </w:pPr>
            <w:r>
              <w:rPr>
                <w:rFonts w:hint="eastAsia" w:hAnsi="宋体"/>
                <w:sz w:val="24"/>
                <w:szCs w:val="24"/>
              </w:rPr>
              <w:t>电路业务月使用费/条（元）</w:t>
            </w:r>
          </w:p>
        </w:tc>
      </w:tr>
      <w:tr w14:paraId="498EC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14:paraId="0408EBBE">
            <w:pPr>
              <w:widowControl/>
              <w:spacing w:line="360" w:lineRule="exact"/>
              <w:jc w:val="center"/>
              <w:textAlignment w:val="center"/>
              <w:rPr>
                <w:rFonts w:hint="eastAsia" w:ascii="宋体" w:hAnsi="宋体" w:eastAsiaTheme="minorEastAsia"/>
                <w:color w:val="000000"/>
                <w:sz w:val="24"/>
                <w:szCs w:val="24"/>
                <w:lang w:eastAsia="zh-CN"/>
              </w:rPr>
            </w:pPr>
          </w:p>
        </w:tc>
        <w:tc>
          <w:tcPr>
            <w:tcW w:w="2878" w:type="dxa"/>
            <w:tcBorders>
              <w:top w:val="single" w:color="auto" w:sz="4" w:space="0"/>
              <w:left w:val="single" w:color="auto" w:sz="4" w:space="0"/>
              <w:bottom w:val="single" w:color="auto" w:sz="4" w:space="0"/>
              <w:right w:val="single" w:color="auto" w:sz="4" w:space="0"/>
            </w:tcBorders>
            <w:vAlign w:val="center"/>
          </w:tcPr>
          <w:p w14:paraId="3BEFD6B2">
            <w:pPr>
              <w:widowControl/>
              <w:spacing w:line="360" w:lineRule="exact"/>
              <w:jc w:val="center"/>
              <w:textAlignment w:val="center"/>
              <w:rPr>
                <w:rFonts w:hint="eastAsia" w:ascii="宋体" w:hAnsi="宋体" w:eastAsiaTheme="minorEastAsia"/>
                <w:color w:val="000000"/>
                <w:sz w:val="24"/>
                <w:szCs w:val="24"/>
                <w:lang w:eastAsia="zh-CN"/>
              </w:rPr>
            </w:pPr>
          </w:p>
        </w:tc>
        <w:tc>
          <w:tcPr>
            <w:tcW w:w="2016" w:type="dxa"/>
            <w:tcBorders>
              <w:top w:val="single" w:color="auto" w:sz="4" w:space="0"/>
              <w:left w:val="single" w:color="auto" w:sz="4" w:space="0"/>
              <w:bottom w:val="single" w:color="auto" w:sz="4" w:space="0"/>
              <w:right w:val="single" w:color="auto" w:sz="4" w:space="0"/>
            </w:tcBorders>
            <w:vAlign w:val="center"/>
          </w:tcPr>
          <w:p w14:paraId="311B5CEE">
            <w:pPr>
              <w:widowControl/>
              <w:spacing w:line="360" w:lineRule="exact"/>
              <w:jc w:val="center"/>
              <w:textAlignment w:val="center"/>
              <w:rPr>
                <w:rFonts w:hint="eastAsia" w:ascii="宋体" w:hAnsi="宋体" w:eastAsiaTheme="minorEastAsia"/>
                <w:color w:val="00000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24A006C">
            <w:pPr>
              <w:widowControl/>
              <w:spacing w:line="360" w:lineRule="exact"/>
              <w:jc w:val="center"/>
              <w:textAlignment w:val="center"/>
              <w:rPr>
                <w:rFonts w:hint="eastAsia" w:ascii="宋体" w:hAnsi="宋体" w:eastAsiaTheme="minorEastAsia"/>
                <w:color w:val="000000"/>
                <w:sz w:val="24"/>
                <w:szCs w:val="24"/>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4BDB9B7D">
            <w:pPr>
              <w:widowControl/>
              <w:spacing w:line="360" w:lineRule="exact"/>
              <w:jc w:val="center"/>
              <w:textAlignment w:val="center"/>
              <w:rPr>
                <w:rFonts w:hint="eastAsia" w:ascii="宋体" w:hAnsi="宋体" w:eastAsiaTheme="minorEastAsia"/>
                <w:color w:val="000000"/>
                <w:sz w:val="24"/>
                <w:szCs w:val="24"/>
                <w:lang w:eastAsia="zh-CN"/>
              </w:rPr>
            </w:pPr>
          </w:p>
        </w:tc>
        <w:tc>
          <w:tcPr>
            <w:tcW w:w="1360" w:type="dxa"/>
            <w:tcBorders>
              <w:top w:val="single" w:color="auto" w:sz="4" w:space="0"/>
              <w:left w:val="single" w:color="auto" w:sz="4" w:space="0"/>
              <w:bottom w:val="single" w:color="auto" w:sz="4" w:space="0"/>
              <w:right w:val="single" w:color="auto" w:sz="4" w:space="0"/>
            </w:tcBorders>
            <w:vAlign w:val="center"/>
          </w:tcPr>
          <w:p w14:paraId="32D2483E">
            <w:pPr>
              <w:widowControl/>
              <w:spacing w:line="360" w:lineRule="exact"/>
              <w:jc w:val="center"/>
              <w:textAlignment w:val="center"/>
              <w:rPr>
                <w:rFonts w:hint="eastAsia" w:ascii="宋体" w:hAnsi="宋体" w:eastAsiaTheme="minorEastAsia"/>
                <w:color w:val="FF0000"/>
                <w:sz w:val="24"/>
                <w:szCs w:val="24"/>
                <w:lang w:eastAsia="zh-CN"/>
              </w:rPr>
            </w:pPr>
          </w:p>
        </w:tc>
      </w:tr>
      <w:tr w14:paraId="06A0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14:paraId="6CC50825">
            <w:pPr>
              <w:spacing w:line="360" w:lineRule="exact"/>
              <w:jc w:val="center"/>
              <w:textAlignment w:val="center"/>
              <w:rPr>
                <w:rFonts w:hint="eastAsia" w:ascii="宋体" w:hAnsi="宋体" w:eastAsiaTheme="minorEastAsia"/>
                <w:color w:val="000000"/>
                <w:sz w:val="24"/>
                <w:szCs w:val="24"/>
                <w:lang w:eastAsia="zh-CN"/>
              </w:rPr>
            </w:pPr>
          </w:p>
        </w:tc>
        <w:tc>
          <w:tcPr>
            <w:tcW w:w="2878" w:type="dxa"/>
            <w:tcBorders>
              <w:top w:val="single" w:color="auto" w:sz="4" w:space="0"/>
              <w:left w:val="single" w:color="auto" w:sz="4" w:space="0"/>
              <w:bottom w:val="single" w:color="auto" w:sz="4" w:space="0"/>
              <w:right w:val="single" w:color="auto" w:sz="4" w:space="0"/>
            </w:tcBorders>
            <w:vAlign w:val="center"/>
          </w:tcPr>
          <w:p w14:paraId="60930076">
            <w:pPr>
              <w:spacing w:line="360" w:lineRule="exact"/>
              <w:jc w:val="center"/>
              <w:textAlignment w:val="center"/>
              <w:rPr>
                <w:rFonts w:hint="eastAsia" w:ascii="宋体" w:hAnsi="宋体" w:eastAsiaTheme="minorEastAsia"/>
                <w:color w:val="000000"/>
                <w:sz w:val="24"/>
                <w:szCs w:val="24"/>
                <w:lang w:eastAsia="zh-CN"/>
              </w:rPr>
            </w:pPr>
          </w:p>
        </w:tc>
        <w:tc>
          <w:tcPr>
            <w:tcW w:w="2016" w:type="dxa"/>
            <w:tcBorders>
              <w:top w:val="single" w:color="auto" w:sz="4" w:space="0"/>
              <w:left w:val="single" w:color="auto" w:sz="4" w:space="0"/>
              <w:bottom w:val="single" w:color="auto" w:sz="4" w:space="0"/>
              <w:right w:val="single" w:color="auto" w:sz="4" w:space="0"/>
            </w:tcBorders>
            <w:vAlign w:val="center"/>
          </w:tcPr>
          <w:p w14:paraId="5DFCD2DE">
            <w:pPr>
              <w:spacing w:line="360" w:lineRule="exact"/>
              <w:jc w:val="center"/>
              <w:textAlignment w:val="center"/>
              <w:rPr>
                <w:rFonts w:hint="eastAsia" w:ascii="宋体" w:hAnsi="宋体" w:eastAsiaTheme="minorEastAsia"/>
                <w:color w:val="00000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611D5C05">
            <w:pPr>
              <w:spacing w:line="360" w:lineRule="exact"/>
              <w:jc w:val="center"/>
              <w:rPr>
                <w:rFonts w:hint="eastAsia" w:ascii="宋体" w:hAnsi="宋体" w:eastAsiaTheme="minorEastAsia"/>
                <w:color w:val="000000"/>
                <w:sz w:val="24"/>
                <w:szCs w:val="24"/>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0C0D7710">
            <w:pPr>
              <w:spacing w:line="360" w:lineRule="exact"/>
              <w:jc w:val="center"/>
              <w:textAlignment w:val="center"/>
              <w:rPr>
                <w:rFonts w:hint="eastAsia" w:ascii="宋体" w:hAnsi="宋体" w:eastAsiaTheme="minorEastAsia"/>
                <w:color w:val="000000"/>
                <w:sz w:val="24"/>
                <w:szCs w:val="24"/>
                <w:lang w:eastAsia="zh-CN"/>
              </w:rPr>
            </w:pPr>
          </w:p>
        </w:tc>
        <w:tc>
          <w:tcPr>
            <w:tcW w:w="1360" w:type="dxa"/>
            <w:tcBorders>
              <w:top w:val="single" w:color="auto" w:sz="4" w:space="0"/>
              <w:left w:val="single" w:color="auto" w:sz="4" w:space="0"/>
              <w:bottom w:val="single" w:color="auto" w:sz="4" w:space="0"/>
              <w:right w:val="single" w:color="auto" w:sz="4" w:space="0"/>
            </w:tcBorders>
            <w:vAlign w:val="center"/>
          </w:tcPr>
          <w:p w14:paraId="60FF2E02">
            <w:pPr>
              <w:spacing w:line="360" w:lineRule="exact"/>
              <w:jc w:val="center"/>
              <w:rPr>
                <w:rFonts w:hint="eastAsia" w:ascii="宋体" w:hAnsi="宋体" w:eastAsiaTheme="minorEastAsia"/>
                <w:color w:val="FF0000"/>
                <w:sz w:val="24"/>
                <w:szCs w:val="24"/>
                <w:lang w:eastAsia="zh-CN"/>
              </w:rPr>
            </w:pPr>
          </w:p>
        </w:tc>
      </w:tr>
      <w:tr w14:paraId="34EEB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14:paraId="53306D94">
            <w:pPr>
              <w:spacing w:line="360" w:lineRule="exact"/>
              <w:jc w:val="center"/>
              <w:rPr>
                <w:rFonts w:hint="eastAsia" w:ascii="宋体" w:hAnsi="宋体" w:eastAsiaTheme="minorEastAsia"/>
                <w:color w:val="000000"/>
                <w:sz w:val="24"/>
                <w:szCs w:val="24"/>
                <w:lang w:eastAsia="zh-CN"/>
              </w:rPr>
            </w:pPr>
          </w:p>
        </w:tc>
        <w:tc>
          <w:tcPr>
            <w:tcW w:w="2878" w:type="dxa"/>
            <w:tcBorders>
              <w:top w:val="single" w:color="auto" w:sz="4" w:space="0"/>
              <w:left w:val="single" w:color="auto" w:sz="4" w:space="0"/>
              <w:bottom w:val="single" w:color="auto" w:sz="4" w:space="0"/>
              <w:right w:val="single" w:color="auto" w:sz="4" w:space="0"/>
            </w:tcBorders>
            <w:vAlign w:val="center"/>
          </w:tcPr>
          <w:p w14:paraId="450E17BA">
            <w:pPr>
              <w:spacing w:line="360" w:lineRule="exact"/>
              <w:jc w:val="center"/>
              <w:rPr>
                <w:rFonts w:hint="eastAsia" w:ascii="宋体" w:hAnsi="宋体" w:eastAsiaTheme="minorEastAsia"/>
                <w:color w:val="000000"/>
                <w:sz w:val="24"/>
                <w:szCs w:val="24"/>
                <w:lang w:eastAsia="zh-CN"/>
              </w:rPr>
            </w:pPr>
          </w:p>
        </w:tc>
        <w:tc>
          <w:tcPr>
            <w:tcW w:w="2016" w:type="dxa"/>
            <w:tcBorders>
              <w:top w:val="single" w:color="auto" w:sz="4" w:space="0"/>
              <w:left w:val="single" w:color="auto" w:sz="4" w:space="0"/>
              <w:bottom w:val="single" w:color="auto" w:sz="4" w:space="0"/>
              <w:right w:val="single" w:color="auto" w:sz="4" w:space="0"/>
            </w:tcBorders>
            <w:vAlign w:val="center"/>
          </w:tcPr>
          <w:p w14:paraId="7E143130">
            <w:pPr>
              <w:spacing w:line="360" w:lineRule="exact"/>
              <w:jc w:val="center"/>
              <w:rPr>
                <w:rFonts w:hint="eastAsia" w:ascii="宋体" w:hAnsi="宋体" w:eastAsiaTheme="minorEastAsia"/>
                <w:color w:val="00000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4A6EE741">
            <w:pPr>
              <w:spacing w:line="360" w:lineRule="exact"/>
              <w:jc w:val="center"/>
              <w:rPr>
                <w:rFonts w:hint="eastAsia" w:ascii="宋体" w:hAnsi="宋体" w:eastAsiaTheme="minorEastAsia"/>
                <w:color w:val="000000"/>
                <w:sz w:val="24"/>
                <w:szCs w:val="24"/>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03B36055">
            <w:pPr>
              <w:spacing w:line="360" w:lineRule="exact"/>
              <w:jc w:val="center"/>
              <w:rPr>
                <w:rFonts w:hint="eastAsia" w:ascii="宋体" w:hAnsi="宋体" w:eastAsiaTheme="minorEastAsia"/>
                <w:color w:val="000000"/>
                <w:sz w:val="24"/>
                <w:szCs w:val="24"/>
                <w:lang w:eastAsia="zh-CN"/>
              </w:rPr>
            </w:pPr>
          </w:p>
        </w:tc>
        <w:tc>
          <w:tcPr>
            <w:tcW w:w="1360" w:type="dxa"/>
            <w:tcBorders>
              <w:top w:val="single" w:color="auto" w:sz="4" w:space="0"/>
              <w:left w:val="single" w:color="auto" w:sz="4" w:space="0"/>
              <w:bottom w:val="single" w:color="auto" w:sz="4" w:space="0"/>
              <w:right w:val="single" w:color="auto" w:sz="4" w:space="0"/>
            </w:tcBorders>
            <w:vAlign w:val="center"/>
          </w:tcPr>
          <w:p w14:paraId="3F2A3DDD">
            <w:pPr>
              <w:spacing w:line="360" w:lineRule="exact"/>
              <w:jc w:val="center"/>
              <w:rPr>
                <w:rFonts w:hint="eastAsia" w:ascii="宋体" w:hAnsi="宋体" w:eastAsiaTheme="minorEastAsia"/>
                <w:color w:val="FF0000"/>
                <w:sz w:val="24"/>
                <w:szCs w:val="24"/>
                <w:lang w:eastAsia="zh-CN"/>
              </w:rPr>
            </w:pPr>
          </w:p>
        </w:tc>
      </w:tr>
    </w:tbl>
    <w:p w14:paraId="6907E209">
      <w:pPr>
        <w:spacing w:line="360" w:lineRule="exact"/>
        <w:rPr>
          <w:rFonts w:hint="eastAsia" w:ascii="宋体" w:hAnsi="宋体" w:cs="Times New Roman" w:eastAsiaTheme="minorEastAsia"/>
          <w:sz w:val="24"/>
          <w:szCs w:val="24"/>
          <w:lang w:eastAsia="zh-CN"/>
        </w:rPr>
      </w:pPr>
    </w:p>
    <w:p w14:paraId="49D1F534">
      <w:pPr>
        <w:spacing w:line="360" w:lineRule="exact"/>
        <w:rPr>
          <w:rFonts w:hint="eastAsia" w:ascii="宋体" w:hAnsi="宋体" w:eastAsiaTheme="minorEastAsia"/>
          <w:sz w:val="24"/>
          <w:szCs w:val="24"/>
          <w:lang w:eastAsia="zh-CN"/>
        </w:rPr>
      </w:pPr>
    </w:p>
    <w:p w14:paraId="515BA785">
      <w:pPr>
        <w:spacing w:line="360" w:lineRule="exact"/>
        <w:rPr>
          <w:rFonts w:hint="eastAsia" w:ascii="宋体" w:hAnsi="宋体" w:eastAsiaTheme="minorEastAsia"/>
          <w:sz w:val="24"/>
          <w:szCs w:val="24"/>
          <w:lang w:eastAsia="zh-CN"/>
        </w:rPr>
      </w:pPr>
    </w:p>
    <w:p w14:paraId="7BE8AC0C">
      <w:pPr>
        <w:spacing w:line="360" w:lineRule="exact"/>
        <w:rPr>
          <w:rFonts w:hint="eastAsia" w:ascii="宋体" w:hAnsi="宋体" w:eastAsiaTheme="minorEastAsia"/>
          <w:sz w:val="24"/>
          <w:szCs w:val="24"/>
          <w:lang w:eastAsia="zh-CN"/>
        </w:rPr>
      </w:pPr>
    </w:p>
    <w:p w14:paraId="08071F6C">
      <w:pPr>
        <w:spacing w:line="360" w:lineRule="exact"/>
        <w:rPr>
          <w:rFonts w:hint="eastAsia" w:ascii="宋体" w:hAnsi="宋体" w:eastAsiaTheme="minorEastAsia"/>
          <w:sz w:val="24"/>
          <w:szCs w:val="24"/>
          <w:lang w:eastAsia="zh-CN"/>
        </w:rPr>
      </w:pPr>
    </w:p>
    <w:p w14:paraId="67CD214F">
      <w:pPr>
        <w:spacing w:line="360" w:lineRule="exact"/>
        <w:rPr>
          <w:rFonts w:hint="eastAsia" w:ascii="宋体" w:hAnsi="宋体" w:eastAsiaTheme="minorEastAsia"/>
          <w:sz w:val="24"/>
          <w:szCs w:val="24"/>
          <w:lang w:eastAsia="zh-CN"/>
        </w:rPr>
      </w:pPr>
    </w:p>
    <w:p w14:paraId="38ACA91D">
      <w:pPr>
        <w:widowControl/>
        <w:spacing w:line="360" w:lineRule="exact"/>
        <w:jc w:val="left"/>
        <w:rPr>
          <w:rFonts w:ascii="宋体" w:hAnsi="宋体"/>
          <w:sz w:val="24"/>
          <w:szCs w:val="24"/>
        </w:rPr>
      </w:pPr>
      <w:r>
        <w:rPr>
          <w:rFonts w:hint="eastAsia" w:ascii="宋体" w:hAnsi="宋体"/>
          <w:sz w:val="24"/>
          <w:szCs w:val="24"/>
        </w:rPr>
        <w:br w:type="page"/>
      </w:r>
    </w:p>
    <w:p w14:paraId="2E4775E0">
      <w:pPr>
        <w:spacing w:line="360" w:lineRule="exact"/>
        <w:rPr>
          <w:rFonts w:ascii="宋体" w:hAnsi="宋体"/>
          <w:bCs/>
          <w:kern w:val="0"/>
          <w:sz w:val="24"/>
          <w:szCs w:val="24"/>
        </w:rPr>
      </w:pPr>
      <w:r>
        <w:rPr>
          <w:rFonts w:hint="eastAsia" w:ascii="宋体" w:hAnsi="宋体"/>
          <w:bCs/>
          <w:sz w:val="24"/>
          <w:szCs w:val="24"/>
        </w:rPr>
        <w:t>附件三</w:t>
      </w:r>
    </w:p>
    <w:p w14:paraId="1181EEB1">
      <w:pPr>
        <w:spacing w:line="360" w:lineRule="exact"/>
        <w:rPr>
          <w:rFonts w:hint="eastAsia" w:ascii="宋体" w:hAnsi="宋体" w:eastAsiaTheme="minorEastAsia"/>
          <w:sz w:val="24"/>
          <w:szCs w:val="24"/>
          <w:lang w:eastAsia="zh-CN"/>
        </w:rPr>
      </w:pPr>
    </w:p>
    <w:p w14:paraId="4098D3F0">
      <w:pPr>
        <w:spacing w:line="360" w:lineRule="exact"/>
        <w:jc w:val="center"/>
        <w:rPr>
          <w:rFonts w:ascii="宋体" w:hAnsi="宋体"/>
          <w:sz w:val="24"/>
          <w:szCs w:val="24"/>
        </w:rPr>
      </w:pPr>
      <w:r>
        <w:rPr>
          <w:rFonts w:hint="eastAsia" w:ascii="宋体" w:hAnsi="宋体"/>
          <w:b/>
          <w:sz w:val="24"/>
          <w:szCs w:val="24"/>
        </w:rPr>
        <w:t>租用资源用途承诺书</w:t>
      </w:r>
    </w:p>
    <w:p w14:paraId="4373F32E">
      <w:pPr>
        <w:spacing w:line="360" w:lineRule="exact"/>
        <w:rPr>
          <w:rFonts w:ascii="宋体" w:hAnsi="宋体"/>
          <w:sz w:val="24"/>
          <w:szCs w:val="24"/>
        </w:rPr>
      </w:pPr>
      <w:r>
        <w:rPr>
          <w:rFonts w:hint="eastAsia" w:ascii="宋体" w:hAnsi="宋体"/>
          <w:sz w:val="24"/>
          <w:szCs w:val="24"/>
        </w:rPr>
        <w:t>[]公司：</w:t>
      </w:r>
    </w:p>
    <w:p w14:paraId="4C47D9B9">
      <w:pPr>
        <w:spacing w:line="360" w:lineRule="exact"/>
        <w:rPr>
          <w:rFonts w:ascii="宋体" w:hAnsi="宋体"/>
          <w:sz w:val="24"/>
          <w:szCs w:val="24"/>
        </w:rPr>
      </w:pPr>
      <w:r>
        <w:rPr>
          <w:rFonts w:hint="eastAsia" w:ascii="宋体" w:hAnsi="宋体"/>
          <w:sz w:val="24"/>
          <w:szCs w:val="24"/>
        </w:rPr>
        <w:t>我单位具备如下资质：</w:t>
      </w:r>
    </w:p>
    <w:p w14:paraId="59594F54">
      <w:pPr>
        <w:spacing w:line="360" w:lineRule="exact"/>
        <w:rPr>
          <w:rFonts w:ascii="宋体" w:hAnsi="宋体"/>
          <w:sz w:val="24"/>
          <w:szCs w:val="24"/>
        </w:rPr>
      </w:pPr>
      <w:r>
        <w:rPr>
          <w:rFonts w:hint="eastAsia" w:ascii="宋体" w:hAnsi="宋体"/>
          <w:sz w:val="24"/>
          <w:szCs w:val="24"/>
        </w:rPr>
        <w:t>持有</w:t>
      </w:r>
      <w:r>
        <w:rPr>
          <w:rFonts w:ascii="宋体" w:hAnsi="宋体"/>
          <w:sz w:val="24"/>
          <w:szCs w:val="24"/>
        </w:rPr>
        <w:t>£</w:t>
      </w:r>
      <w:r>
        <w:rPr>
          <w:rFonts w:hint="eastAsia" w:ascii="宋体" w:hAnsi="宋体"/>
          <w:sz w:val="24"/>
          <w:szCs w:val="24"/>
        </w:rPr>
        <w:t>IDC经营许可证，许可证号为[]，有效期[]。</w:t>
      </w:r>
    </w:p>
    <w:p w14:paraId="19AEEFA4">
      <w:pPr>
        <w:spacing w:line="360" w:lineRule="exact"/>
        <w:rPr>
          <w:rFonts w:ascii="宋体" w:hAnsi="宋体"/>
          <w:sz w:val="24"/>
          <w:szCs w:val="24"/>
        </w:rPr>
      </w:pPr>
      <w:r>
        <w:rPr>
          <w:rFonts w:ascii="宋体" w:hAnsi="宋体"/>
          <w:sz w:val="24"/>
          <w:szCs w:val="24"/>
        </w:rPr>
        <w:t>£</w:t>
      </w:r>
      <w:r>
        <w:rPr>
          <w:rFonts w:hint="eastAsia" w:ascii="宋体" w:hAnsi="宋体"/>
          <w:sz w:val="24"/>
          <w:szCs w:val="24"/>
        </w:rPr>
        <w:t>ISP经营许可证，许可证号为[]，有效期[]。</w:t>
      </w:r>
    </w:p>
    <w:p w14:paraId="2885C147">
      <w:pPr>
        <w:spacing w:line="360" w:lineRule="exact"/>
        <w:rPr>
          <w:rFonts w:ascii="宋体" w:hAnsi="宋体"/>
          <w:sz w:val="24"/>
          <w:szCs w:val="24"/>
        </w:rPr>
      </w:pPr>
      <w:r>
        <w:rPr>
          <w:rFonts w:ascii="宋体" w:hAnsi="宋体"/>
          <w:sz w:val="24"/>
          <w:szCs w:val="24"/>
        </w:rPr>
        <w:t>£</w:t>
      </w:r>
      <w:r>
        <w:rPr>
          <w:rFonts w:hint="eastAsia" w:ascii="宋体" w:hAnsi="宋体"/>
          <w:sz w:val="24"/>
          <w:szCs w:val="24"/>
        </w:rPr>
        <w:t>CDN经营许可证，许可证号为[]，有效期[]。</w:t>
      </w:r>
    </w:p>
    <w:p w14:paraId="5ABBE411">
      <w:pPr>
        <w:spacing w:line="360" w:lineRule="exact"/>
        <w:ind w:firstLine="1080" w:firstLineChars="450"/>
        <w:rPr>
          <w:rFonts w:ascii="宋体" w:hAnsi="宋体"/>
          <w:sz w:val="24"/>
          <w:szCs w:val="24"/>
        </w:rPr>
      </w:pPr>
      <w:r>
        <w:rPr>
          <w:rFonts w:ascii="宋体" w:hAnsi="宋体"/>
          <w:sz w:val="24"/>
          <w:szCs w:val="24"/>
        </w:rPr>
        <w:t>£</w:t>
      </w:r>
      <w:r>
        <w:rPr>
          <w:rFonts w:hint="eastAsia" w:ascii="宋体" w:hAnsi="宋体"/>
          <w:sz w:val="24"/>
          <w:szCs w:val="24"/>
        </w:rPr>
        <w:t>互联网资源协作服务经营许可证，许可证号为[]，有效期[]。</w:t>
      </w:r>
    </w:p>
    <w:p w14:paraId="4D8B3947">
      <w:pPr>
        <w:spacing w:line="360" w:lineRule="exact"/>
        <w:ind w:firstLine="1080" w:firstLineChars="450"/>
        <w:rPr>
          <w:rFonts w:ascii="宋体" w:hAnsi="宋体"/>
          <w:sz w:val="24"/>
          <w:szCs w:val="24"/>
        </w:rPr>
      </w:pPr>
      <w:r>
        <w:rPr>
          <w:rFonts w:ascii="宋体" w:hAnsi="宋体"/>
          <w:sz w:val="24"/>
          <w:szCs w:val="24"/>
        </w:rPr>
        <w:t>£</w:t>
      </w:r>
      <w:r>
        <w:rPr>
          <w:rFonts w:hint="eastAsia" w:ascii="宋体" w:hAnsi="宋体"/>
          <w:sz w:val="24"/>
          <w:szCs w:val="24"/>
        </w:rPr>
        <w:t>尚未取得任何经营许可证。</w:t>
      </w:r>
    </w:p>
    <w:p w14:paraId="2F33AB24">
      <w:pPr>
        <w:spacing w:line="360" w:lineRule="exact"/>
        <w:ind w:firstLine="480" w:firstLineChars="200"/>
        <w:rPr>
          <w:rFonts w:ascii="宋体" w:hAnsi="宋体"/>
          <w:sz w:val="24"/>
          <w:szCs w:val="24"/>
        </w:rPr>
      </w:pPr>
      <w:r>
        <w:rPr>
          <w:rFonts w:hint="eastAsia" w:ascii="宋体" w:hAnsi="宋体"/>
          <w:sz w:val="24"/>
          <w:szCs w:val="24"/>
        </w:rPr>
        <w:t>按照《工业和信息化部关于清理规范互联网网络接入服务市场的通知》（工信部信管函﹝2017﹞32号）文件要求，我单位承诺不将租用中贵公司的IP地址、带宽等网络接入资源以任何方式提供给用于经营IDC和ISP等业务的其他企业。</w:t>
      </w:r>
    </w:p>
    <w:p w14:paraId="526D78A4">
      <w:pPr>
        <w:spacing w:line="360" w:lineRule="exact"/>
        <w:ind w:firstLine="480" w:firstLineChars="200"/>
        <w:rPr>
          <w:rFonts w:ascii="宋体" w:hAnsi="宋体"/>
          <w:sz w:val="24"/>
          <w:szCs w:val="24"/>
        </w:rPr>
      </w:pPr>
      <w:r>
        <w:rPr>
          <w:rFonts w:hint="eastAsia" w:ascii="宋体" w:hAnsi="宋体"/>
          <w:sz w:val="24"/>
          <w:szCs w:val="24"/>
        </w:rPr>
        <w:t>如有违反以上承诺，我单位同意贵公司按照《工业和信息化部关于清理规范互联网网络接入服务市场的通知》（工信部信管函﹝2017﹞32号）文件要求关停相关业务。</w:t>
      </w:r>
    </w:p>
    <w:p w14:paraId="21E7C582">
      <w:pPr>
        <w:spacing w:line="360" w:lineRule="exact"/>
        <w:rPr>
          <w:rFonts w:hint="eastAsia" w:ascii="宋体" w:hAnsi="宋体" w:eastAsiaTheme="minorEastAsia"/>
          <w:sz w:val="24"/>
          <w:szCs w:val="24"/>
          <w:lang w:eastAsia="zh-CN"/>
        </w:rPr>
      </w:pPr>
    </w:p>
    <w:p w14:paraId="3ABC88D4">
      <w:pPr>
        <w:spacing w:line="360" w:lineRule="exact"/>
        <w:ind w:firstLine="3840" w:firstLineChars="1600"/>
        <w:rPr>
          <w:rFonts w:ascii="宋体" w:hAnsi="宋体"/>
          <w:sz w:val="24"/>
          <w:szCs w:val="24"/>
        </w:rPr>
      </w:pPr>
      <w:r>
        <w:rPr>
          <w:rFonts w:hint="eastAsia" w:ascii="宋体" w:hAnsi="宋体"/>
          <w:sz w:val="24"/>
          <w:szCs w:val="24"/>
        </w:rPr>
        <w:t>承诺单位（盖章）：</w:t>
      </w:r>
    </w:p>
    <w:p w14:paraId="7EFD9C75">
      <w:pPr>
        <w:spacing w:line="360" w:lineRule="exact"/>
        <w:ind w:firstLine="3840" w:firstLineChars="1600"/>
        <w:rPr>
          <w:rFonts w:ascii="宋体" w:hAnsi="宋体"/>
          <w:sz w:val="24"/>
          <w:szCs w:val="24"/>
        </w:rPr>
      </w:pPr>
      <w:r>
        <w:rPr>
          <w:rFonts w:hint="eastAsia" w:ascii="宋体" w:hAnsi="宋体"/>
          <w:sz w:val="24"/>
          <w:szCs w:val="24"/>
        </w:rPr>
        <w:t>法定代表人/负责人</w:t>
      </w:r>
    </w:p>
    <w:p w14:paraId="2415A7C6">
      <w:pPr>
        <w:spacing w:line="360" w:lineRule="exact"/>
        <w:ind w:firstLine="3840" w:firstLineChars="1600"/>
        <w:rPr>
          <w:rFonts w:ascii="宋体" w:hAnsi="宋体"/>
          <w:sz w:val="24"/>
          <w:szCs w:val="24"/>
        </w:rPr>
      </w:pPr>
      <w:r>
        <w:rPr>
          <w:rFonts w:hint="eastAsia" w:ascii="宋体" w:hAnsi="宋体"/>
          <w:sz w:val="24"/>
          <w:szCs w:val="24"/>
        </w:rPr>
        <w:t>或授权代表：</w:t>
      </w:r>
    </w:p>
    <w:p w14:paraId="586662A5">
      <w:pPr>
        <w:spacing w:line="360" w:lineRule="exact"/>
        <w:ind w:firstLine="3840" w:firstLineChars="1600"/>
        <w:rPr>
          <w:rFonts w:ascii="宋体" w:hAnsi="宋体"/>
          <w:sz w:val="24"/>
          <w:szCs w:val="24"/>
        </w:rPr>
      </w:pPr>
      <w:r>
        <w:rPr>
          <w:rFonts w:hint="eastAsia" w:ascii="宋体" w:hAnsi="宋体"/>
          <w:sz w:val="24"/>
          <w:szCs w:val="24"/>
        </w:rPr>
        <w:t>日期：</w:t>
      </w:r>
    </w:p>
    <w:p w14:paraId="271AACD5">
      <w:pPr>
        <w:spacing w:line="360" w:lineRule="exact"/>
        <w:rPr>
          <w:rFonts w:ascii="宋体" w:hAnsi="宋体"/>
          <w:sz w:val="24"/>
          <w:szCs w:val="24"/>
        </w:rPr>
      </w:pPr>
      <w:r>
        <w:rPr>
          <w:rFonts w:hint="eastAsia" w:ascii="宋体" w:hAnsi="宋体"/>
          <w:sz w:val="24"/>
          <w:szCs w:val="24"/>
        </w:rPr>
        <w:br w:type="page"/>
      </w:r>
      <w:r>
        <w:rPr>
          <w:rFonts w:hint="eastAsia" w:ascii="宋体" w:hAnsi="宋体"/>
          <w:bCs/>
          <w:sz w:val="24"/>
          <w:szCs w:val="24"/>
        </w:rPr>
        <w:t>附件四</w:t>
      </w:r>
    </w:p>
    <w:p w14:paraId="61A5FF70">
      <w:pPr>
        <w:widowControl/>
        <w:spacing w:line="360" w:lineRule="exact"/>
        <w:jc w:val="center"/>
        <w:rPr>
          <w:rFonts w:ascii="宋体" w:hAnsi="宋体"/>
          <w:b/>
          <w:bCs/>
          <w:sz w:val="24"/>
          <w:szCs w:val="24"/>
        </w:rPr>
      </w:pPr>
      <w:r>
        <w:rPr>
          <w:rFonts w:hint="eastAsia" w:ascii="宋体" w:hAnsi="宋体"/>
          <w:b/>
          <w:sz w:val="24"/>
          <w:szCs w:val="24"/>
        </w:rPr>
        <w:t>网络及信息安全承诺书</w:t>
      </w:r>
    </w:p>
    <w:p w14:paraId="5DB7590E">
      <w:pPr>
        <w:spacing w:line="360" w:lineRule="exact"/>
        <w:rPr>
          <w:rFonts w:ascii="宋体" w:hAnsi="宋体"/>
          <w:sz w:val="24"/>
          <w:szCs w:val="24"/>
        </w:rPr>
      </w:pPr>
      <w:r>
        <w:rPr>
          <w:rFonts w:hint="eastAsia" w:ascii="宋体" w:hAnsi="宋体"/>
          <w:sz w:val="24"/>
          <w:szCs w:val="24"/>
        </w:rPr>
        <w:t>[]公司：</w:t>
      </w:r>
    </w:p>
    <w:p w14:paraId="5829F992">
      <w:pPr>
        <w:spacing w:line="360" w:lineRule="exact"/>
        <w:ind w:firstLine="480" w:firstLineChars="200"/>
        <w:rPr>
          <w:rFonts w:ascii="宋体" w:hAnsi="宋体"/>
          <w:sz w:val="24"/>
          <w:szCs w:val="24"/>
        </w:rPr>
      </w:pPr>
      <w:r>
        <w:rPr>
          <w:rFonts w:hint="eastAsia" w:ascii="宋体" w:hAnsi="宋体"/>
          <w:sz w:val="24"/>
          <w:szCs w:val="24"/>
        </w:rPr>
        <w:t>本单位郑重承诺遵守本承诺书，如有违反本承诺书有关条款的行为，本单位承担由此带来的一切责任。</w:t>
      </w:r>
    </w:p>
    <w:p w14:paraId="3F43F9AA">
      <w:pPr>
        <w:spacing w:line="360" w:lineRule="exact"/>
        <w:ind w:firstLine="480" w:firstLineChars="200"/>
        <w:rPr>
          <w:rFonts w:ascii="宋体" w:hAnsi="宋体"/>
          <w:sz w:val="24"/>
          <w:szCs w:val="24"/>
        </w:rPr>
      </w:pPr>
      <w:r>
        <w:rPr>
          <w:rFonts w:hint="eastAsia" w:ascii="宋体" w:hAnsi="宋体"/>
          <w:sz w:val="24"/>
          <w:szCs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和《网络安全审查办法》及有关法律、法规、规章和政策文件规定（“相关规定”）。</w:t>
      </w:r>
    </w:p>
    <w:p w14:paraId="1FAA8239">
      <w:pPr>
        <w:spacing w:line="360" w:lineRule="exact"/>
        <w:ind w:firstLine="480" w:firstLineChars="200"/>
        <w:rPr>
          <w:rFonts w:ascii="宋体" w:hAnsi="宋体"/>
          <w:sz w:val="24"/>
          <w:szCs w:val="24"/>
        </w:rPr>
      </w:pPr>
      <w:r>
        <w:rPr>
          <w:rFonts w:hint="eastAsia" w:ascii="宋体" w:hAnsi="宋体"/>
          <w:sz w:val="24"/>
          <w:szCs w:val="24"/>
        </w:rPr>
        <w:t>二、本单位承诺按照相关规定、政府主管部门要求以及合同/协议（“合同”）约定规范使用业务，不得超出合同约定的范围和用途使用业务，不将业务用于连接境内外的数据中心或业务平台开展电信业务经营活动，具备所从事业务的全部合法必要的资质条件。</w:t>
      </w:r>
    </w:p>
    <w:p w14:paraId="0069947E">
      <w:pPr>
        <w:spacing w:line="360" w:lineRule="exact"/>
        <w:ind w:firstLine="480" w:firstLineChars="200"/>
        <w:rPr>
          <w:rFonts w:ascii="宋体" w:hAnsi="宋体"/>
          <w:sz w:val="24"/>
          <w:szCs w:val="24"/>
        </w:rPr>
      </w:pPr>
      <w:r>
        <w:rPr>
          <w:rFonts w:hint="eastAsia" w:ascii="宋体" w:hAnsi="宋体"/>
          <w:sz w:val="24"/>
          <w:szCs w:val="24"/>
        </w:rPr>
        <w:t>三、本单位承诺按照用户真实身份信息制度（“实名制”）的要求提供身份信息、使用业务，并保证所提供信息、资料的真实、完整、准确、有效。</w:t>
      </w:r>
    </w:p>
    <w:p w14:paraId="60C05A6E">
      <w:pPr>
        <w:spacing w:line="360" w:lineRule="exact"/>
        <w:ind w:firstLine="480" w:firstLineChars="200"/>
        <w:rPr>
          <w:rFonts w:ascii="宋体" w:hAnsi="宋体"/>
          <w:sz w:val="24"/>
          <w:szCs w:val="24"/>
        </w:rPr>
      </w:pPr>
      <w:r>
        <w:rPr>
          <w:rFonts w:hint="eastAsia" w:ascii="宋体" w:hAnsi="宋体"/>
          <w:sz w:val="24"/>
          <w:szCs w:val="24"/>
        </w:rPr>
        <w:t>四、本单位承诺用户端接入设备与合同约定的一致，并同意贵公司对设备拍照存档，若接入设备变更，本单位应当及时书面告知贵公司。</w:t>
      </w:r>
    </w:p>
    <w:p w14:paraId="4909D184">
      <w:pPr>
        <w:spacing w:line="360" w:lineRule="exact"/>
        <w:ind w:firstLine="480" w:firstLineChars="200"/>
        <w:rPr>
          <w:rFonts w:ascii="宋体" w:hAnsi="宋体"/>
          <w:sz w:val="24"/>
          <w:szCs w:val="24"/>
        </w:rPr>
      </w:pPr>
      <w:r>
        <w:rPr>
          <w:rFonts w:hint="eastAsia" w:ascii="宋体" w:hAnsi="宋体"/>
          <w:sz w:val="24"/>
          <w:szCs w:val="24"/>
        </w:rPr>
        <w:t>五、本单位保证不利用网络（包括但不限于固定网、移动网、互联网，下同）从事危害国家安全、泄露国家秘密等违法犯罪活动，不侵犯他人的合法权益。</w:t>
      </w:r>
    </w:p>
    <w:p w14:paraId="49A4C244">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六、本单位承诺在处理个人信息前，已依法向个人信息主体（“个人”）履行了法定告知义务并取得个人的明确同意。法律、行政法规规定处理个人信息应当取得个人单独同意或者书面同意的，本单位在处理个人信息前依法取得个人单独同意或书面同意。</w:t>
      </w:r>
    </w:p>
    <w:p w14:paraId="276FDF31">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七、本单位向贵公司提供个人信息或委托贵公司处理个人信息的，本单位承诺已依法向个人履行了告知义务，并依法取得了个人同意。本单位承诺，向贵公司提供或委托贵公司处理的个人信息和数据来源合法合规，不存在违反相关规定以及合同约定的情况。</w:t>
      </w:r>
    </w:p>
    <w:p w14:paraId="48BD9F73">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八、本单位受贵公司委托处理个人信息等数据的，或本单位与贵公司共同处理个人信息等数据的，本单位承诺按照与贵公司的合同约定处理，不得超出约定的处理目的、处理方式等处理上述数据，严格遵循数据处理时限。</w:t>
      </w:r>
    </w:p>
    <w:p w14:paraId="7133E65A">
      <w:pPr>
        <w:spacing w:line="360" w:lineRule="exact"/>
        <w:ind w:firstLine="480" w:firstLineChars="200"/>
        <w:rPr>
          <w:rFonts w:ascii="宋体" w:hAnsi="宋体"/>
          <w:sz w:val="24"/>
          <w:szCs w:val="24"/>
        </w:rPr>
      </w:pPr>
      <w:r>
        <w:rPr>
          <w:rFonts w:hint="eastAsia" w:ascii="宋体" w:hAnsi="宋体"/>
          <w:sz w:val="24"/>
          <w:szCs w:val="24"/>
        </w:rPr>
        <w:t>九、本单位承诺严格按照相关规定做好本单位网络安全、数据安全和个人信息保护管理工作，健全各项网络安全、数据安全和个人信息保护管理制度和操作规程，落实各项安全保护技术措施，实施个人信息和数据安全分级分类管理、依法落实个人信息保护影响评估和数据安全影响评估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770DA887">
      <w:pPr>
        <w:spacing w:line="360" w:lineRule="exact"/>
        <w:ind w:firstLine="480" w:firstLineChars="200"/>
        <w:rPr>
          <w:rFonts w:ascii="宋体" w:hAnsi="宋体"/>
          <w:sz w:val="24"/>
          <w:szCs w:val="24"/>
        </w:rPr>
      </w:pPr>
      <w:r>
        <w:rPr>
          <w:rFonts w:hint="eastAsia" w:ascii="宋体" w:hAnsi="宋体"/>
          <w:sz w:val="24"/>
          <w:szCs w:val="24"/>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44999316">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十一、本单位承诺利用网络发送的信息以及向贵公司提供的信息真实、准确、合法。该等信息内容内容应当严格符合相关规定，不通过网络制作、复制、查阅和传播有害信息，本单位不得通过通信网络、互联网散发传播违法、不健康、反动等信息，不得制作、复制、查阅和传播任何含有违反下列要求（即“九不准”及“六不许”）的信息：</w:t>
      </w:r>
    </w:p>
    <w:p w14:paraId="25E1818C">
      <w:pPr>
        <w:spacing w:line="360" w:lineRule="exact"/>
        <w:ind w:firstLine="480" w:firstLineChars="200"/>
        <w:rPr>
          <w:rFonts w:ascii="宋体" w:hAnsi="宋体"/>
          <w:sz w:val="24"/>
          <w:szCs w:val="24"/>
        </w:rPr>
      </w:pPr>
      <w:r>
        <w:rPr>
          <w:rFonts w:hint="eastAsia" w:ascii="宋体" w:hAnsi="宋体"/>
          <w:sz w:val="24"/>
          <w:szCs w:val="24"/>
        </w:rPr>
        <w:t>“九不准”，即不准制作、复制、查阅和传播含有以下内容的信息：</w:t>
      </w:r>
    </w:p>
    <w:p w14:paraId="1C08F628">
      <w:pPr>
        <w:spacing w:line="360" w:lineRule="exact"/>
        <w:ind w:firstLine="480" w:firstLineChars="200"/>
        <w:rPr>
          <w:rFonts w:ascii="宋体" w:hAnsi="宋体"/>
          <w:sz w:val="24"/>
          <w:szCs w:val="24"/>
        </w:rPr>
      </w:pPr>
      <w:r>
        <w:rPr>
          <w:rFonts w:hint="eastAsia" w:ascii="宋体" w:hAnsi="宋体"/>
          <w:sz w:val="24"/>
          <w:szCs w:val="24"/>
        </w:rPr>
        <w:t>1、反对宪法所确定的基本原则的；</w:t>
      </w:r>
    </w:p>
    <w:p w14:paraId="7441E8DB">
      <w:pPr>
        <w:spacing w:line="360" w:lineRule="exact"/>
        <w:ind w:firstLine="480" w:firstLineChars="200"/>
        <w:rPr>
          <w:rFonts w:ascii="宋体" w:hAnsi="宋体"/>
          <w:sz w:val="24"/>
          <w:szCs w:val="24"/>
        </w:rPr>
      </w:pPr>
      <w:r>
        <w:rPr>
          <w:rFonts w:hint="eastAsia" w:ascii="宋体" w:hAnsi="宋体"/>
          <w:sz w:val="24"/>
          <w:szCs w:val="24"/>
        </w:rPr>
        <w:t>2、危害国家安全，泄露国家秘密，颠覆国家政权，破坏国家统一的；</w:t>
      </w:r>
    </w:p>
    <w:p w14:paraId="3CB39193">
      <w:pPr>
        <w:spacing w:line="360" w:lineRule="exact"/>
        <w:ind w:firstLine="480" w:firstLineChars="200"/>
        <w:rPr>
          <w:rFonts w:ascii="宋体" w:hAnsi="宋体"/>
          <w:sz w:val="24"/>
          <w:szCs w:val="24"/>
        </w:rPr>
      </w:pPr>
      <w:r>
        <w:rPr>
          <w:rFonts w:hint="eastAsia" w:ascii="宋体" w:hAnsi="宋体"/>
          <w:sz w:val="24"/>
          <w:szCs w:val="24"/>
        </w:rPr>
        <w:t>3、损害国家荣誉和利益的；</w:t>
      </w:r>
    </w:p>
    <w:p w14:paraId="252EF2CC">
      <w:pPr>
        <w:spacing w:line="360" w:lineRule="exact"/>
        <w:ind w:firstLine="480" w:firstLineChars="200"/>
        <w:rPr>
          <w:rFonts w:ascii="宋体" w:hAnsi="宋体"/>
          <w:sz w:val="24"/>
          <w:szCs w:val="24"/>
        </w:rPr>
      </w:pPr>
      <w:r>
        <w:rPr>
          <w:rFonts w:hint="eastAsia" w:ascii="宋体" w:hAnsi="宋体"/>
          <w:sz w:val="24"/>
          <w:szCs w:val="24"/>
        </w:rPr>
        <w:t>4、煽动民族仇恨、民族歧视，破坏民族团结的；</w:t>
      </w:r>
    </w:p>
    <w:p w14:paraId="2DE111CC">
      <w:pPr>
        <w:spacing w:line="360" w:lineRule="exact"/>
        <w:ind w:firstLine="480" w:firstLineChars="200"/>
        <w:rPr>
          <w:rFonts w:ascii="宋体" w:hAnsi="宋体"/>
          <w:sz w:val="24"/>
          <w:szCs w:val="24"/>
        </w:rPr>
      </w:pPr>
      <w:r>
        <w:rPr>
          <w:rFonts w:hint="eastAsia" w:ascii="宋体" w:hAnsi="宋体"/>
          <w:sz w:val="24"/>
          <w:szCs w:val="24"/>
        </w:rPr>
        <w:t>5、破坏国家宗教政策，宣扬邪教和封建迷信的；</w:t>
      </w:r>
    </w:p>
    <w:p w14:paraId="5FB189F8">
      <w:pPr>
        <w:spacing w:line="360" w:lineRule="exact"/>
        <w:ind w:firstLine="480" w:firstLineChars="200"/>
        <w:rPr>
          <w:rFonts w:ascii="宋体" w:hAnsi="宋体"/>
          <w:sz w:val="24"/>
          <w:szCs w:val="24"/>
        </w:rPr>
      </w:pPr>
      <w:r>
        <w:rPr>
          <w:rFonts w:hint="eastAsia" w:ascii="宋体" w:hAnsi="宋体"/>
          <w:sz w:val="24"/>
          <w:szCs w:val="24"/>
        </w:rPr>
        <w:t>6、散布谣言，扰乱社会秩序，破坏社会稳定的；</w:t>
      </w:r>
    </w:p>
    <w:p w14:paraId="6234C88D">
      <w:pPr>
        <w:spacing w:line="360" w:lineRule="exact"/>
        <w:ind w:firstLine="480" w:firstLineChars="200"/>
        <w:rPr>
          <w:rFonts w:ascii="宋体" w:hAnsi="宋体"/>
          <w:sz w:val="24"/>
          <w:szCs w:val="24"/>
        </w:rPr>
      </w:pPr>
      <w:r>
        <w:rPr>
          <w:rFonts w:hint="eastAsia" w:ascii="宋体" w:hAnsi="宋体"/>
          <w:sz w:val="24"/>
          <w:szCs w:val="24"/>
        </w:rPr>
        <w:t>7、散布淫秽、色情、赌博、暴力、凶杀、恐怖或者教唆犯罪的；</w:t>
      </w:r>
    </w:p>
    <w:p w14:paraId="59FEB46C">
      <w:pPr>
        <w:spacing w:line="360" w:lineRule="exact"/>
        <w:ind w:firstLine="480" w:firstLineChars="200"/>
        <w:rPr>
          <w:rFonts w:ascii="宋体" w:hAnsi="宋体"/>
          <w:sz w:val="24"/>
          <w:szCs w:val="24"/>
        </w:rPr>
      </w:pPr>
      <w:r>
        <w:rPr>
          <w:rFonts w:hint="eastAsia" w:ascii="宋体" w:hAnsi="宋体"/>
          <w:sz w:val="24"/>
          <w:szCs w:val="24"/>
        </w:rPr>
        <w:t>8、侮辱或者诽谤他人，侵害他人合法权益的；</w:t>
      </w:r>
    </w:p>
    <w:p w14:paraId="0521ADA6">
      <w:pPr>
        <w:spacing w:line="360" w:lineRule="exact"/>
        <w:ind w:firstLine="480" w:firstLineChars="200"/>
        <w:rPr>
          <w:rFonts w:ascii="宋体" w:hAnsi="宋体"/>
          <w:sz w:val="24"/>
          <w:szCs w:val="24"/>
        </w:rPr>
      </w:pPr>
      <w:r>
        <w:rPr>
          <w:rFonts w:hint="eastAsia" w:ascii="宋体" w:hAnsi="宋体"/>
          <w:sz w:val="24"/>
          <w:szCs w:val="24"/>
        </w:rPr>
        <w:t>9、含有法律法规禁止的其他内容的。</w:t>
      </w:r>
    </w:p>
    <w:p w14:paraId="01CF4EC3">
      <w:pPr>
        <w:spacing w:line="360" w:lineRule="exact"/>
        <w:ind w:firstLine="480" w:firstLineChars="200"/>
        <w:rPr>
          <w:rFonts w:ascii="宋体" w:hAnsi="宋体"/>
          <w:sz w:val="24"/>
          <w:szCs w:val="24"/>
        </w:rPr>
      </w:pPr>
      <w:r>
        <w:rPr>
          <w:rFonts w:hint="eastAsia" w:ascii="宋体" w:hAnsi="宋体"/>
          <w:sz w:val="24"/>
          <w:szCs w:val="24"/>
        </w:rPr>
        <w:t>“六不许”，即：</w:t>
      </w:r>
    </w:p>
    <w:p w14:paraId="51DDE904">
      <w:pPr>
        <w:spacing w:line="360" w:lineRule="exact"/>
        <w:ind w:firstLine="480" w:firstLineChars="200"/>
        <w:rPr>
          <w:rFonts w:ascii="宋体" w:hAnsi="宋体"/>
          <w:sz w:val="24"/>
          <w:szCs w:val="24"/>
        </w:rPr>
      </w:pPr>
      <w:r>
        <w:rPr>
          <w:rFonts w:hint="eastAsia" w:ascii="宋体" w:hAnsi="宋体"/>
          <w:sz w:val="24"/>
          <w:szCs w:val="24"/>
        </w:rPr>
        <w:t>1、决不允许在群众中散布违背党的理论和路线方针政策的意见；</w:t>
      </w:r>
    </w:p>
    <w:p w14:paraId="6B745BF6">
      <w:pPr>
        <w:spacing w:line="360" w:lineRule="exact"/>
        <w:ind w:firstLine="480" w:firstLineChars="200"/>
        <w:rPr>
          <w:rFonts w:ascii="宋体" w:hAnsi="宋体"/>
          <w:sz w:val="24"/>
          <w:szCs w:val="24"/>
        </w:rPr>
      </w:pPr>
      <w:r>
        <w:rPr>
          <w:rFonts w:hint="eastAsia" w:ascii="宋体" w:hAnsi="宋体"/>
          <w:sz w:val="24"/>
          <w:szCs w:val="24"/>
        </w:rPr>
        <w:t>2、决不允许公开发表同中央的决定相违背的言论；</w:t>
      </w:r>
    </w:p>
    <w:p w14:paraId="3A6857C7">
      <w:pPr>
        <w:spacing w:line="360" w:lineRule="exact"/>
        <w:ind w:firstLine="480" w:firstLineChars="200"/>
        <w:rPr>
          <w:rFonts w:ascii="宋体" w:hAnsi="宋体"/>
          <w:sz w:val="24"/>
          <w:szCs w:val="24"/>
        </w:rPr>
      </w:pPr>
      <w:r>
        <w:rPr>
          <w:rFonts w:hint="eastAsia" w:ascii="宋体" w:hAnsi="宋体"/>
          <w:sz w:val="24"/>
          <w:szCs w:val="24"/>
        </w:rPr>
        <w:t>3、决不允许对中央的决策部署阳奉阴违；</w:t>
      </w:r>
    </w:p>
    <w:p w14:paraId="11CAC806">
      <w:pPr>
        <w:spacing w:line="360" w:lineRule="exact"/>
        <w:ind w:firstLine="480" w:firstLineChars="200"/>
        <w:rPr>
          <w:rFonts w:ascii="宋体" w:hAnsi="宋体"/>
          <w:sz w:val="24"/>
          <w:szCs w:val="24"/>
        </w:rPr>
      </w:pPr>
      <w:r>
        <w:rPr>
          <w:rFonts w:hint="eastAsia" w:ascii="宋体" w:hAnsi="宋体"/>
          <w:sz w:val="24"/>
          <w:szCs w:val="24"/>
        </w:rPr>
        <w:t>4、决不允许编造、传播政治谣言及丑化党和国家形象的言论；</w:t>
      </w:r>
    </w:p>
    <w:p w14:paraId="18CE1115">
      <w:pPr>
        <w:spacing w:line="360" w:lineRule="exact"/>
        <w:ind w:firstLine="480" w:firstLineChars="200"/>
        <w:rPr>
          <w:rFonts w:ascii="宋体" w:hAnsi="宋体"/>
          <w:sz w:val="24"/>
          <w:szCs w:val="24"/>
        </w:rPr>
      </w:pPr>
      <w:r>
        <w:rPr>
          <w:rFonts w:hint="eastAsia" w:ascii="宋体" w:hAnsi="宋体"/>
          <w:sz w:val="24"/>
          <w:szCs w:val="24"/>
        </w:rPr>
        <w:t>5、决不允许以任何形式泄露党和国家的秘密；</w:t>
      </w:r>
    </w:p>
    <w:p w14:paraId="59A38BE7">
      <w:pPr>
        <w:spacing w:line="360" w:lineRule="exact"/>
        <w:ind w:firstLine="480" w:firstLineChars="200"/>
        <w:rPr>
          <w:rFonts w:ascii="宋体" w:hAnsi="宋体"/>
          <w:sz w:val="24"/>
          <w:szCs w:val="24"/>
        </w:rPr>
      </w:pPr>
      <w:r>
        <w:rPr>
          <w:rFonts w:hint="eastAsia" w:ascii="宋体" w:hAnsi="宋体"/>
          <w:sz w:val="24"/>
          <w:szCs w:val="24"/>
        </w:rPr>
        <w:t>6、决不允许参与各种非法组织和非法活动。</w:t>
      </w:r>
    </w:p>
    <w:p w14:paraId="623D98FD">
      <w:pPr>
        <w:spacing w:line="360" w:lineRule="exact"/>
        <w:ind w:firstLine="480" w:firstLineChars="200"/>
        <w:rPr>
          <w:rFonts w:ascii="宋体" w:hAnsi="宋体"/>
          <w:sz w:val="24"/>
          <w:szCs w:val="24"/>
        </w:rPr>
      </w:pPr>
      <w:r>
        <w:rPr>
          <w:rFonts w:hint="eastAsia" w:ascii="宋体" w:hAnsi="宋体"/>
          <w:sz w:val="24"/>
          <w:szCs w:val="24"/>
        </w:rPr>
        <w:t>十二、本单位承诺不通过网络从事危害中华人民共和国安全、泄露中华人民共和国国家秘密等活动，不从事任何危害网络安全、数据安全的活动，不从事侵犯他人合法权益的活动，包括但不限于：</w:t>
      </w:r>
    </w:p>
    <w:p w14:paraId="3324A4F9">
      <w:pPr>
        <w:spacing w:line="360" w:lineRule="exact"/>
        <w:ind w:firstLine="480" w:firstLineChars="200"/>
        <w:rPr>
          <w:rFonts w:ascii="宋体" w:hAnsi="宋体"/>
          <w:sz w:val="24"/>
          <w:szCs w:val="24"/>
        </w:rPr>
      </w:pPr>
      <w:r>
        <w:rPr>
          <w:rFonts w:hint="eastAsia" w:ascii="宋体" w:hAnsi="宋体"/>
          <w:sz w:val="24"/>
          <w:szCs w:val="24"/>
        </w:rPr>
        <w:t>1、未经允许进入网络或者使用网络资源；</w:t>
      </w:r>
    </w:p>
    <w:p w14:paraId="2B7AC7AD">
      <w:pPr>
        <w:spacing w:line="360" w:lineRule="exact"/>
        <w:ind w:firstLine="480" w:firstLineChars="200"/>
        <w:rPr>
          <w:rFonts w:ascii="宋体" w:hAnsi="宋体"/>
          <w:sz w:val="24"/>
          <w:szCs w:val="24"/>
        </w:rPr>
      </w:pPr>
      <w:r>
        <w:rPr>
          <w:rFonts w:hint="eastAsia" w:ascii="宋体" w:hAnsi="宋体"/>
          <w:sz w:val="24"/>
          <w:szCs w:val="24"/>
        </w:rPr>
        <w:t>2、未经允许对网络功能进行删除、修改或者增加；</w:t>
      </w:r>
    </w:p>
    <w:p w14:paraId="0E0CBFF5">
      <w:pPr>
        <w:spacing w:line="360" w:lineRule="exact"/>
        <w:ind w:firstLine="480" w:firstLineChars="200"/>
        <w:rPr>
          <w:rFonts w:ascii="宋体" w:hAnsi="宋体"/>
          <w:sz w:val="24"/>
          <w:szCs w:val="24"/>
        </w:rPr>
      </w:pPr>
      <w:r>
        <w:rPr>
          <w:rFonts w:hint="eastAsia" w:ascii="宋体" w:hAnsi="宋体"/>
          <w:sz w:val="24"/>
          <w:szCs w:val="24"/>
        </w:rPr>
        <w:t>3、未经允许对网络中存储或者传输的数据和应用程序进行删除、修改或者增加；</w:t>
      </w:r>
    </w:p>
    <w:p w14:paraId="16EADB19">
      <w:pPr>
        <w:spacing w:line="360" w:lineRule="exact"/>
        <w:ind w:firstLine="480" w:firstLineChars="200"/>
        <w:rPr>
          <w:rFonts w:ascii="宋体" w:hAnsi="宋体"/>
          <w:sz w:val="24"/>
          <w:szCs w:val="24"/>
        </w:rPr>
      </w:pPr>
      <w:r>
        <w:rPr>
          <w:rFonts w:hint="eastAsia" w:ascii="宋体" w:hAnsi="宋体"/>
          <w:sz w:val="24"/>
          <w:szCs w:val="24"/>
        </w:rPr>
        <w:t>4、制作、传播、利用网络病毒等恶意程序或破坏性程序；</w:t>
      </w:r>
    </w:p>
    <w:p w14:paraId="5CAFFAC9">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5、非法收集、使用、加工、传输或以其他方式处理个人信息等数据；</w:t>
      </w:r>
    </w:p>
    <w:p w14:paraId="4179A21A">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6、非法买卖、提供或者公开个人信息等数据；</w:t>
      </w:r>
    </w:p>
    <w:p w14:paraId="793A52B9">
      <w:pPr>
        <w:autoSpaceDE w:val="0"/>
        <w:autoSpaceDN w:val="0"/>
        <w:adjustRightInd w:val="0"/>
        <w:spacing w:line="360" w:lineRule="exact"/>
        <w:ind w:firstLine="480" w:firstLineChars="200"/>
        <w:jc w:val="left"/>
        <w:rPr>
          <w:rFonts w:ascii="宋体" w:hAnsi="宋体"/>
          <w:sz w:val="24"/>
          <w:szCs w:val="24"/>
        </w:rPr>
      </w:pPr>
      <w:r>
        <w:rPr>
          <w:rFonts w:hint="eastAsia" w:ascii="宋体" w:hAnsi="宋体"/>
          <w:sz w:val="24"/>
          <w:szCs w:val="24"/>
        </w:rPr>
        <w:t>7、从事危害国家安全、公共利益的个人信息和数据处理活动；</w:t>
      </w:r>
    </w:p>
    <w:p w14:paraId="2F212677">
      <w:pPr>
        <w:spacing w:line="360" w:lineRule="exact"/>
        <w:ind w:firstLine="480" w:firstLineChars="200"/>
        <w:rPr>
          <w:rFonts w:ascii="宋体" w:hAnsi="宋体"/>
          <w:sz w:val="24"/>
          <w:szCs w:val="24"/>
        </w:rPr>
      </w:pPr>
      <w:r>
        <w:rPr>
          <w:rFonts w:hint="eastAsia" w:ascii="宋体" w:hAnsi="宋体"/>
          <w:sz w:val="24"/>
          <w:szCs w:val="24"/>
        </w:rPr>
        <w:t>8、其他危害网络安全、数据安全、侵犯他人合法权益的活动。</w:t>
      </w:r>
    </w:p>
    <w:p w14:paraId="7AD7B3E1">
      <w:pPr>
        <w:spacing w:line="360" w:lineRule="exact"/>
        <w:ind w:firstLine="480" w:firstLineChars="200"/>
        <w:rPr>
          <w:rFonts w:hint="eastAsia" w:ascii="宋体" w:hAnsi="宋体" w:eastAsiaTheme="minorEastAsia"/>
          <w:sz w:val="24"/>
          <w:szCs w:val="24"/>
          <w:lang w:eastAsia="zh-CN"/>
        </w:rPr>
      </w:pPr>
      <w:r>
        <w:rPr>
          <w:rFonts w:hint="eastAsia" w:ascii="宋体" w:hAnsi="宋体"/>
          <w:sz w:val="24"/>
          <w:szCs w:val="24"/>
        </w:rPr>
        <w:t>十三、本单位使用语音接入类业务的（包括但不限于</w:t>
      </w:r>
      <w:r>
        <w:rPr>
          <w:rFonts w:hint="eastAsia" w:ascii="宋体" w:hAnsi="宋体"/>
          <w:bCs/>
          <w:iCs/>
          <w:sz w:val="24"/>
          <w:szCs w:val="24"/>
        </w:rPr>
        <w:t>语音专线、短号码接入、400号码接入</w:t>
      </w:r>
      <w:r>
        <w:rPr>
          <w:rFonts w:hint="eastAsia" w:ascii="宋体" w:hAnsi="宋体"/>
          <w:sz w:val="24"/>
          <w:szCs w:val="24"/>
        </w:rPr>
        <w:t>等），承诺遵守以下规定：</w:t>
      </w:r>
    </w:p>
    <w:p w14:paraId="41E8D586">
      <w:pPr>
        <w:spacing w:line="360" w:lineRule="exact"/>
        <w:ind w:firstLine="480" w:firstLineChars="200"/>
        <w:rPr>
          <w:rFonts w:ascii="宋体" w:hAnsi="宋体"/>
          <w:sz w:val="24"/>
          <w:szCs w:val="24"/>
        </w:rPr>
      </w:pPr>
      <w:r>
        <w:rPr>
          <w:rFonts w:hint="eastAsia" w:ascii="宋体" w:hAnsi="宋体"/>
          <w:sz w:val="24"/>
          <w:szCs w:val="24"/>
        </w:rPr>
        <w:t>（一）使用业务的时段为[]，使用的频次为[]，业务外呼呼转功能默认为关闭。</w:t>
      </w:r>
    </w:p>
    <w:p w14:paraId="775BEDF1">
      <w:pPr>
        <w:spacing w:line="360" w:lineRule="exact"/>
        <w:ind w:firstLine="480" w:firstLineChars="200"/>
        <w:rPr>
          <w:rFonts w:ascii="宋体" w:hAnsi="宋体"/>
          <w:sz w:val="24"/>
          <w:szCs w:val="24"/>
        </w:rPr>
      </w:pPr>
      <w:r>
        <w:rPr>
          <w:rFonts w:hint="eastAsia" w:ascii="宋体" w:hAnsi="宋体"/>
          <w:sz w:val="24"/>
          <w:szCs w:val="24"/>
        </w:rPr>
        <w:t>（二）遵守实名制要求，不以个人名义申请、使用业务，真实落地目的码为本单位实名办理或合规使用的电话号码。</w:t>
      </w:r>
    </w:p>
    <w:p w14:paraId="37996B9A">
      <w:pPr>
        <w:spacing w:line="360" w:lineRule="exact"/>
        <w:ind w:firstLine="480" w:firstLineChars="200"/>
        <w:rPr>
          <w:rFonts w:ascii="宋体" w:hAnsi="宋体"/>
          <w:sz w:val="24"/>
          <w:szCs w:val="24"/>
        </w:rPr>
      </w:pPr>
      <w:r>
        <w:rPr>
          <w:rFonts w:hint="eastAsia" w:ascii="宋体" w:hAnsi="宋体"/>
          <w:sz w:val="24"/>
          <w:szCs w:val="24"/>
        </w:rPr>
        <w:t>（三）不转租、转售业务，否则，贵公司有权在不通知本单位的情况下立即终止合同。</w:t>
      </w:r>
    </w:p>
    <w:p w14:paraId="15E3CE48">
      <w:pPr>
        <w:spacing w:line="360" w:lineRule="exact"/>
        <w:ind w:firstLine="480" w:firstLineChars="200"/>
        <w:rPr>
          <w:rFonts w:ascii="宋体" w:hAnsi="宋体"/>
          <w:sz w:val="24"/>
          <w:szCs w:val="24"/>
        </w:rPr>
      </w:pPr>
      <w:r>
        <w:rPr>
          <w:rFonts w:hint="eastAsia" w:ascii="宋体" w:hAnsi="宋体"/>
          <w:sz w:val="24"/>
          <w:szCs w:val="24"/>
        </w:rPr>
        <w:t>（四）规范使用业务，进行外呼业务的号码为贵公司或通信主管部门分配的号码，严格按照通信主管部门关于号码传送及信令传送的相关要求传送号码，传送真实号码，不擅自更改、传送、显示非合同约定的号码、虚假号码、违规号码、无使用权号码，不隐藏、转让、变更、转租、转售、伪造、变造或者变相隐藏、转让、变更、转租、转售、伪造、变造号码。本单位承诺按要求提供所申请号码的使用用途、开放范围，不违规经营、不变更合同约定的使用用途，不开展无特定主被叫的话务批发业务，不私自转接国际来话，不通过技术手段为非法VoIP、改号电话、网络电话（PC软件/APP等）提供语音落地，不采取自动语音群呼方式进行外呼。未经外呼对象的同意或请求、或者外呼对象明确表示拒绝的，不得向其固定电话、移动电话拨打任何形式的营销电话或发送任何形式的营销信息。如违反上述承诺，贵公司有权在不通知本单位的情况下立即单方终止合同，所造成的一切后果由本单位承担。</w:t>
      </w:r>
    </w:p>
    <w:p w14:paraId="02FD3531">
      <w:pPr>
        <w:spacing w:line="360" w:lineRule="exact"/>
        <w:ind w:firstLine="480" w:firstLineChars="200"/>
        <w:rPr>
          <w:rFonts w:ascii="宋体" w:hAnsi="宋体"/>
          <w:sz w:val="24"/>
          <w:szCs w:val="24"/>
        </w:rPr>
      </w:pPr>
      <w:r>
        <w:rPr>
          <w:rFonts w:hint="eastAsia" w:ascii="宋体" w:hAnsi="宋体"/>
          <w:sz w:val="24"/>
          <w:szCs w:val="24"/>
        </w:rPr>
        <w:t>（五）不通过任何技术手段将号码转接到其他地区使用，不通过VOIP转接互联网话务量，不使用业务进行多次转接、躲避号码溯源与甄别，呼叫中心或接入平台（小交换机）不使用异地主叫号码进行跨省外呼，不利用号码和平台进行电话诈骗、骚扰。诈骗或骚扰包括但不限于以下情形：</w:t>
      </w:r>
    </w:p>
    <w:p w14:paraId="3EA03B0F">
      <w:pPr>
        <w:spacing w:line="360" w:lineRule="exact"/>
        <w:ind w:firstLine="480" w:firstLineChars="200"/>
        <w:rPr>
          <w:rFonts w:ascii="宋体" w:hAnsi="宋体"/>
          <w:sz w:val="24"/>
          <w:szCs w:val="24"/>
        </w:rPr>
      </w:pPr>
      <w:r>
        <w:rPr>
          <w:rFonts w:hint="eastAsia" w:ascii="宋体" w:hAnsi="宋体"/>
          <w:sz w:val="24"/>
          <w:szCs w:val="24"/>
        </w:rPr>
        <w:t>1、政府主管部门认定号码涉嫌诈骗或其他刑事案件的；</w:t>
      </w:r>
    </w:p>
    <w:p w14:paraId="7178887F">
      <w:pPr>
        <w:spacing w:line="360" w:lineRule="exact"/>
        <w:ind w:firstLine="480" w:firstLineChars="200"/>
        <w:rPr>
          <w:rFonts w:ascii="宋体" w:hAnsi="宋体"/>
          <w:sz w:val="24"/>
          <w:szCs w:val="24"/>
        </w:rPr>
      </w:pPr>
      <w:r>
        <w:rPr>
          <w:rFonts w:hint="eastAsia" w:ascii="宋体" w:hAnsi="宋体"/>
          <w:sz w:val="24"/>
          <w:szCs w:val="24"/>
        </w:rPr>
        <w:t>2、“12321网络不良与垃圾信息举报受理中心”接到的用户投诉、举报涉及本单位所使用号码的；</w:t>
      </w:r>
    </w:p>
    <w:p w14:paraId="1506AC35">
      <w:pPr>
        <w:spacing w:line="360" w:lineRule="exact"/>
        <w:ind w:firstLine="480" w:firstLineChars="200"/>
        <w:rPr>
          <w:rFonts w:ascii="宋体" w:hAnsi="宋体"/>
          <w:sz w:val="24"/>
          <w:szCs w:val="24"/>
        </w:rPr>
      </w:pPr>
      <w:r>
        <w:rPr>
          <w:rFonts w:hint="eastAsia" w:ascii="宋体" w:hAnsi="宋体"/>
          <w:sz w:val="24"/>
          <w:szCs w:val="24"/>
        </w:rPr>
        <w:t>3、贵公司或通信主管部门电话拨测、网络信令监测过程中发现本单位所使用号码出现异常外呼情况的。</w:t>
      </w:r>
    </w:p>
    <w:p w14:paraId="5106E7BD">
      <w:pPr>
        <w:spacing w:line="360" w:lineRule="exact"/>
        <w:ind w:firstLine="480" w:firstLineChars="200"/>
        <w:rPr>
          <w:rFonts w:ascii="宋体" w:hAnsi="宋体"/>
          <w:sz w:val="24"/>
          <w:szCs w:val="24"/>
        </w:rPr>
      </w:pPr>
      <w:r>
        <w:rPr>
          <w:rFonts w:hint="eastAsia" w:ascii="宋体" w:hAnsi="宋体"/>
          <w:sz w:val="24"/>
          <w:szCs w:val="24"/>
        </w:rPr>
        <w:t>（六）建立有效的信息安全管理制度和技术保障措施，确保备份呼叫内容录音文件，并接受政府主管部门及贵公司的管理、监督和检查，为相关主管部门提供技术支持。如相关规定、政府主管部门对信息安全管理有新要求，本单位将无条件配合贵公司落实整改举措，直至符合相关规定、政府主管部门的要求。</w:t>
      </w:r>
    </w:p>
    <w:p w14:paraId="494D02D0">
      <w:pPr>
        <w:spacing w:line="360" w:lineRule="exact"/>
        <w:ind w:firstLine="480" w:firstLineChars="200"/>
        <w:rPr>
          <w:rFonts w:ascii="宋体" w:hAnsi="宋体"/>
          <w:sz w:val="24"/>
          <w:szCs w:val="24"/>
        </w:rPr>
      </w:pPr>
      <w:r>
        <w:rPr>
          <w:rFonts w:hint="eastAsia" w:ascii="宋体" w:hAnsi="宋体"/>
          <w:sz w:val="24"/>
          <w:szCs w:val="24"/>
        </w:rPr>
        <w:t>十四、本单位使用无线互联网（包括但不限于CDMA1X、CDMA1XEVDO、WLAN）、短信网关（包括但不限于短消息资讯平台、ISAG系统、综合办公业务平台）或短信类业务的，承诺遵守以下规定：</w:t>
      </w:r>
    </w:p>
    <w:p w14:paraId="3038D4E3">
      <w:pPr>
        <w:spacing w:line="360" w:lineRule="exact"/>
        <w:ind w:firstLine="480" w:firstLineChars="200"/>
        <w:rPr>
          <w:rFonts w:ascii="宋体" w:hAnsi="宋体"/>
          <w:sz w:val="24"/>
          <w:szCs w:val="24"/>
        </w:rPr>
      </w:pPr>
      <w:r>
        <w:rPr>
          <w:rFonts w:hint="eastAsia" w:ascii="宋体" w:hAnsi="宋体"/>
          <w:sz w:val="24"/>
          <w:szCs w:val="24"/>
        </w:rPr>
        <w:t>（一）不通过业务制作、复制、查阅和传播悖于社会公德、损害青少年身心健康的网络低俗内容，包括但不限于：</w:t>
      </w:r>
    </w:p>
    <w:p w14:paraId="34172D19">
      <w:pPr>
        <w:spacing w:line="360" w:lineRule="exact"/>
        <w:ind w:firstLine="480" w:firstLineChars="200"/>
        <w:rPr>
          <w:rFonts w:ascii="宋体" w:hAnsi="宋体"/>
          <w:sz w:val="24"/>
          <w:szCs w:val="24"/>
        </w:rPr>
      </w:pPr>
      <w:r>
        <w:rPr>
          <w:rFonts w:hint="eastAsia" w:ascii="宋体" w:hAnsi="宋体"/>
          <w:sz w:val="24"/>
          <w:szCs w:val="24"/>
        </w:rPr>
        <w:t>1、表现或隐晦表现性行为、令人产生性联想、具有挑逗性或者污辱性的内容；</w:t>
      </w:r>
    </w:p>
    <w:p w14:paraId="4A4A88A6">
      <w:pPr>
        <w:spacing w:line="360" w:lineRule="exact"/>
        <w:ind w:firstLine="480" w:firstLineChars="200"/>
        <w:rPr>
          <w:rFonts w:ascii="宋体" w:hAnsi="宋体"/>
          <w:sz w:val="24"/>
          <w:szCs w:val="24"/>
        </w:rPr>
      </w:pPr>
      <w:r>
        <w:rPr>
          <w:rFonts w:hint="eastAsia" w:ascii="宋体" w:hAnsi="宋体"/>
          <w:sz w:val="24"/>
          <w:szCs w:val="24"/>
        </w:rPr>
        <w:t>2、对人体性部位的直接暴露和描写；</w:t>
      </w:r>
    </w:p>
    <w:p w14:paraId="318E5904">
      <w:pPr>
        <w:spacing w:line="360" w:lineRule="exact"/>
        <w:ind w:firstLine="480" w:firstLineChars="200"/>
        <w:rPr>
          <w:rFonts w:ascii="宋体" w:hAnsi="宋体"/>
          <w:sz w:val="24"/>
          <w:szCs w:val="24"/>
        </w:rPr>
      </w:pPr>
      <w:r>
        <w:rPr>
          <w:rFonts w:hint="eastAsia" w:ascii="宋体" w:hAnsi="宋体"/>
          <w:sz w:val="24"/>
          <w:szCs w:val="24"/>
        </w:rPr>
        <w:t>3、对性行为、性过程、性方式的描述或者带有性暗示、性挑逗的语言；</w:t>
      </w:r>
    </w:p>
    <w:p w14:paraId="3BD2DB9A">
      <w:pPr>
        <w:spacing w:line="360" w:lineRule="exact"/>
        <w:ind w:firstLine="480" w:firstLineChars="200"/>
        <w:rPr>
          <w:rFonts w:ascii="宋体" w:hAnsi="宋体"/>
          <w:sz w:val="24"/>
          <w:szCs w:val="24"/>
        </w:rPr>
      </w:pPr>
      <w:r>
        <w:rPr>
          <w:rFonts w:hint="eastAsia" w:ascii="宋体" w:hAnsi="宋体"/>
          <w:sz w:val="24"/>
          <w:szCs w:val="24"/>
        </w:rPr>
        <w:t>4、对性部位描述、暴露，或者只用很小遮盖物的内容；</w:t>
      </w:r>
    </w:p>
    <w:p w14:paraId="14D827CC">
      <w:pPr>
        <w:spacing w:line="360" w:lineRule="exact"/>
        <w:ind w:firstLine="480" w:firstLineChars="200"/>
        <w:rPr>
          <w:rFonts w:ascii="宋体" w:hAnsi="宋体"/>
          <w:sz w:val="24"/>
          <w:szCs w:val="24"/>
        </w:rPr>
      </w:pPr>
      <w:r>
        <w:rPr>
          <w:rFonts w:hint="eastAsia" w:ascii="宋体" w:hAnsi="宋体"/>
          <w:sz w:val="24"/>
          <w:szCs w:val="24"/>
        </w:rPr>
        <w:t>5、全身或者隐私部位未着衣物，仅用肢体掩盖隐私部位的内容；</w:t>
      </w:r>
    </w:p>
    <w:p w14:paraId="5C923D94">
      <w:pPr>
        <w:spacing w:line="360" w:lineRule="exact"/>
        <w:ind w:firstLine="480" w:firstLineChars="200"/>
        <w:rPr>
          <w:rFonts w:ascii="宋体" w:hAnsi="宋体"/>
          <w:sz w:val="24"/>
          <w:szCs w:val="24"/>
        </w:rPr>
      </w:pPr>
      <w:r>
        <w:rPr>
          <w:rFonts w:hint="eastAsia" w:ascii="宋体" w:hAnsi="宋体"/>
          <w:sz w:val="24"/>
          <w:szCs w:val="24"/>
        </w:rPr>
        <w:t>6、带有侵犯个人隐私性质的走光、偷拍、漏点等内容；</w:t>
      </w:r>
    </w:p>
    <w:p w14:paraId="53260F07">
      <w:pPr>
        <w:spacing w:line="360" w:lineRule="exact"/>
        <w:ind w:firstLine="480" w:firstLineChars="200"/>
        <w:rPr>
          <w:rFonts w:ascii="宋体" w:hAnsi="宋体"/>
          <w:sz w:val="24"/>
          <w:szCs w:val="24"/>
        </w:rPr>
      </w:pPr>
      <w:r>
        <w:rPr>
          <w:rFonts w:hint="eastAsia" w:ascii="宋体" w:hAnsi="宋体"/>
          <w:sz w:val="24"/>
          <w:szCs w:val="24"/>
        </w:rPr>
        <w:t>7、以挑逗性标题吸引点击的；</w:t>
      </w:r>
    </w:p>
    <w:p w14:paraId="414D8DFB">
      <w:pPr>
        <w:spacing w:line="360" w:lineRule="exact"/>
        <w:ind w:firstLine="480" w:firstLineChars="200"/>
        <w:rPr>
          <w:rFonts w:ascii="宋体" w:hAnsi="宋体"/>
          <w:sz w:val="24"/>
          <w:szCs w:val="24"/>
        </w:rPr>
      </w:pPr>
      <w:r>
        <w:rPr>
          <w:rFonts w:hint="eastAsia" w:ascii="宋体" w:hAnsi="宋体"/>
          <w:sz w:val="24"/>
          <w:szCs w:val="24"/>
        </w:rPr>
        <w:t>8、相关部门禁止传播的色情、低俗小说，音视频内容，包括一些电影的删节片断；</w:t>
      </w:r>
    </w:p>
    <w:p w14:paraId="43E155E1">
      <w:pPr>
        <w:spacing w:line="360" w:lineRule="exact"/>
        <w:ind w:firstLine="480" w:firstLineChars="200"/>
        <w:rPr>
          <w:rFonts w:ascii="宋体" w:hAnsi="宋体"/>
          <w:sz w:val="24"/>
          <w:szCs w:val="24"/>
        </w:rPr>
      </w:pPr>
      <w:r>
        <w:rPr>
          <w:rFonts w:hint="eastAsia" w:ascii="宋体" w:hAnsi="宋体"/>
          <w:sz w:val="24"/>
          <w:szCs w:val="24"/>
        </w:rPr>
        <w:t>9、一夜情、换妻、SM等不正当交友信息；</w:t>
      </w:r>
    </w:p>
    <w:p w14:paraId="3B690A92">
      <w:pPr>
        <w:spacing w:line="360" w:lineRule="exact"/>
        <w:ind w:firstLine="480" w:firstLineChars="200"/>
        <w:rPr>
          <w:rFonts w:ascii="宋体" w:hAnsi="宋体"/>
          <w:sz w:val="24"/>
          <w:szCs w:val="24"/>
        </w:rPr>
      </w:pPr>
      <w:r>
        <w:rPr>
          <w:rFonts w:hint="eastAsia" w:ascii="宋体" w:hAnsi="宋体"/>
          <w:sz w:val="24"/>
          <w:szCs w:val="24"/>
        </w:rPr>
        <w:t>10、情色动漫；</w:t>
      </w:r>
    </w:p>
    <w:p w14:paraId="3084E038">
      <w:pPr>
        <w:spacing w:line="360" w:lineRule="exact"/>
        <w:ind w:firstLine="480" w:firstLineChars="200"/>
        <w:rPr>
          <w:rFonts w:ascii="宋体" w:hAnsi="宋体"/>
          <w:sz w:val="24"/>
          <w:szCs w:val="24"/>
        </w:rPr>
      </w:pPr>
      <w:r>
        <w:rPr>
          <w:rFonts w:hint="eastAsia" w:ascii="宋体" w:hAnsi="宋体"/>
          <w:sz w:val="24"/>
          <w:szCs w:val="24"/>
        </w:rPr>
        <w:t>11、宣扬血腥暴力、恶意谩骂、侮辱他人等内容；</w:t>
      </w:r>
    </w:p>
    <w:p w14:paraId="6FA93B79">
      <w:pPr>
        <w:spacing w:line="360" w:lineRule="exact"/>
        <w:ind w:firstLine="480" w:firstLineChars="200"/>
        <w:rPr>
          <w:rFonts w:ascii="宋体" w:hAnsi="宋体"/>
          <w:sz w:val="24"/>
          <w:szCs w:val="24"/>
        </w:rPr>
      </w:pPr>
      <w:r>
        <w:rPr>
          <w:rFonts w:hint="eastAsia" w:ascii="宋体" w:hAnsi="宋体"/>
          <w:sz w:val="24"/>
          <w:szCs w:val="24"/>
        </w:rPr>
        <w:t>12、非法的性用品广告和性病治疗广告；</w:t>
      </w:r>
    </w:p>
    <w:p w14:paraId="2ADD2549">
      <w:pPr>
        <w:spacing w:line="360" w:lineRule="exact"/>
        <w:ind w:firstLine="480" w:firstLineChars="200"/>
        <w:rPr>
          <w:rFonts w:ascii="宋体" w:hAnsi="宋体"/>
          <w:sz w:val="24"/>
          <w:szCs w:val="24"/>
        </w:rPr>
      </w:pPr>
      <w:r>
        <w:rPr>
          <w:rFonts w:hint="eastAsia" w:ascii="宋体" w:hAnsi="宋体"/>
          <w:sz w:val="24"/>
          <w:szCs w:val="24"/>
        </w:rPr>
        <w:t>13、未经他人允许或利用“人肉搜索”恶意传播他人隐私信息。</w:t>
      </w:r>
    </w:p>
    <w:p w14:paraId="3470DF2D">
      <w:pPr>
        <w:spacing w:line="360" w:lineRule="exact"/>
        <w:ind w:firstLine="480" w:firstLineChars="200"/>
        <w:rPr>
          <w:rFonts w:ascii="宋体" w:hAnsi="宋体"/>
          <w:sz w:val="24"/>
          <w:szCs w:val="24"/>
        </w:rPr>
      </w:pPr>
      <w:r>
        <w:rPr>
          <w:rFonts w:hint="eastAsia" w:ascii="宋体" w:hAnsi="宋体"/>
          <w:sz w:val="24"/>
          <w:szCs w:val="24"/>
        </w:rPr>
        <w:t>（二）不开展为淫秽色情网站代收费业务，否则，贵公司有权立即停止业务并停止一切结算。</w:t>
      </w:r>
    </w:p>
    <w:p w14:paraId="2100CB40">
      <w:pPr>
        <w:spacing w:line="360" w:lineRule="exact"/>
        <w:ind w:firstLine="480" w:firstLineChars="200"/>
        <w:rPr>
          <w:rFonts w:ascii="宋体" w:hAnsi="宋体"/>
          <w:sz w:val="24"/>
          <w:szCs w:val="24"/>
        </w:rPr>
      </w:pPr>
      <w:r>
        <w:rPr>
          <w:rFonts w:hint="eastAsia" w:ascii="宋体" w:hAnsi="宋体"/>
          <w:sz w:val="24"/>
          <w:szCs w:val="24"/>
        </w:rPr>
        <w:t>（三）未经用户同意，不得向用户发送商业类电子信息或广告。</w:t>
      </w:r>
    </w:p>
    <w:p w14:paraId="273C4EB3">
      <w:pPr>
        <w:spacing w:line="360" w:lineRule="exact"/>
        <w:ind w:firstLine="480" w:firstLineChars="200"/>
        <w:rPr>
          <w:rFonts w:ascii="宋体" w:hAnsi="宋体"/>
          <w:sz w:val="24"/>
          <w:szCs w:val="24"/>
        </w:rPr>
      </w:pPr>
      <w:r>
        <w:rPr>
          <w:rFonts w:hint="eastAsia" w:ascii="宋体" w:hAnsi="宋体"/>
          <w:sz w:val="24"/>
          <w:szCs w:val="24"/>
        </w:rPr>
        <w:t>十五、本单位使用互联网接入类业务的（包括但不限于电路使用、互联网数据中心、互联网专线、云主机等），承诺遵守以下规定：</w:t>
      </w:r>
    </w:p>
    <w:p w14:paraId="6FA4E032">
      <w:pPr>
        <w:widowControl/>
        <w:spacing w:line="360" w:lineRule="exact"/>
        <w:ind w:firstLine="480" w:firstLineChars="200"/>
        <w:rPr>
          <w:rFonts w:ascii="宋体" w:hAnsi="宋体"/>
          <w:sz w:val="24"/>
          <w:szCs w:val="24"/>
        </w:rPr>
      </w:pPr>
      <w:r>
        <w:rPr>
          <w:rFonts w:hint="eastAsia" w:ascii="宋体" w:hAnsi="宋体"/>
          <w:sz w:val="24"/>
          <w:szCs w:val="24"/>
        </w:rPr>
        <w:t>（一）具备从事互联网服务的全部合法必要的资质条件，已履行相关规定要求的手续或已取得有关资质证明文件。在签署合同前，本单位向贵公司提供主体资格文件、资质证明文件的原件供贵公司审核，复印件（加盖公章）供贵公司留存，并保证所提供资料的真实、完整、准确、有效。在合同有效期/服务期内，如本单位提交的主体资格、资质证明文件所记载内容出现变更，本单位在完成变更后尽快向贵公司提供最新的文件。前述主体资格文件、资质证明文件包括但不限于营业执照、增值电信业务经营许可证、广告经营许可证、非经营性互联网信息服务备案证明以及贵公司要求提交的其他文件。其中：</w:t>
      </w:r>
    </w:p>
    <w:p w14:paraId="164C5C70">
      <w:pPr>
        <w:widowControl/>
        <w:spacing w:line="360" w:lineRule="exact"/>
        <w:ind w:firstLine="480" w:firstLineChars="200"/>
        <w:rPr>
          <w:rFonts w:ascii="宋体" w:hAnsi="宋体"/>
          <w:sz w:val="24"/>
          <w:szCs w:val="24"/>
        </w:rPr>
      </w:pPr>
      <w:r>
        <w:rPr>
          <w:rFonts w:hint="eastAsia" w:ascii="宋体" w:hAnsi="宋体"/>
          <w:sz w:val="24"/>
          <w:szCs w:val="24"/>
        </w:rPr>
        <w:t>1、本单位如从事电子公告、新闻、出版、教育、医疗保健、药品和医疗器械、文化、广播电影电视节目等特殊互联网信息服务，应当根据相关规定经政府主管部门审核同意，履行批准或备案手续，并取得通信主管部门批准或备案文件。</w:t>
      </w:r>
    </w:p>
    <w:p w14:paraId="114EFD4E">
      <w:pPr>
        <w:widowControl/>
        <w:spacing w:line="360" w:lineRule="exact"/>
        <w:ind w:firstLine="480" w:firstLineChars="200"/>
        <w:rPr>
          <w:rFonts w:ascii="宋体" w:hAnsi="宋体"/>
          <w:sz w:val="24"/>
          <w:szCs w:val="24"/>
        </w:rPr>
      </w:pPr>
      <w:r>
        <w:rPr>
          <w:rFonts w:hint="eastAsia" w:ascii="宋体" w:hAnsi="宋体"/>
          <w:sz w:val="24"/>
          <w:szCs w:val="24"/>
        </w:rPr>
        <w:t>2、本单位如从事非经营性互联网信息服务，应当首先履行互联网备案手续，并按期履行年度审核手续。本单位委托贵公司提供代备案服务的，应当向贵公司提供代备案所需信息并对该等信息进行动态维护和更新，定期向贵公司及通信主管部门报送网站管理所需信息。本单位承诺所提交的所有备案信息真实、完整、准确、有效，当备案信息发生变化时及时在备案系统中更新，如因未及时更新而导致备案信息不准确，贵公司有权依法采取暂停或终止提供服务、断开网络接入等关闭处理措施。</w:t>
      </w:r>
    </w:p>
    <w:p w14:paraId="7207938C">
      <w:pPr>
        <w:widowControl/>
        <w:spacing w:line="360" w:lineRule="exact"/>
        <w:ind w:firstLine="480" w:firstLineChars="200"/>
        <w:rPr>
          <w:rFonts w:ascii="宋体" w:hAnsi="宋体"/>
          <w:sz w:val="24"/>
          <w:szCs w:val="24"/>
        </w:rPr>
      </w:pPr>
      <w:r>
        <w:rPr>
          <w:rFonts w:hint="eastAsia" w:ascii="宋体" w:hAnsi="宋体"/>
          <w:sz w:val="24"/>
          <w:szCs w:val="24"/>
        </w:rPr>
        <w:t>3、本单位如从事经营性互联网服务，应当取得相应的增值电信业务经营许可证。</w:t>
      </w:r>
    </w:p>
    <w:p w14:paraId="5EB9212B">
      <w:pPr>
        <w:widowControl/>
        <w:spacing w:line="360" w:lineRule="exact"/>
        <w:ind w:firstLine="480" w:firstLineChars="200"/>
        <w:rPr>
          <w:rFonts w:ascii="宋体" w:hAnsi="宋体"/>
          <w:sz w:val="24"/>
          <w:szCs w:val="24"/>
        </w:rPr>
      </w:pPr>
      <w:r>
        <w:rPr>
          <w:rFonts w:hint="eastAsia" w:ascii="宋体" w:hAnsi="宋体"/>
          <w:sz w:val="24"/>
          <w:szCs w:val="24"/>
        </w:rPr>
        <w:t>4、本单位如从事经营性互联网服务，应当在其网站主页的显著位置标明其经营许可证编号；本单位如从事非经营性互联网服务，本单位网站开通时在主页底部的中央位置标明其备案编号，并在备案编号下方链接工业和信息化部备案管理系统网址，供社会公众查询核对；本单位按照工业和信息化部备案管理系统的要求，将备案电子验证标识放置在其网站的指定目录下。</w:t>
      </w:r>
    </w:p>
    <w:p w14:paraId="3AB8015F">
      <w:pPr>
        <w:widowControl/>
        <w:spacing w:line="360" w:lineRule="exact"/>
        <w:ind w:firstLine="480" w:firstLineChars="200"/>
        <w:rPr>
          <w:rFonts w:ascii="宋体" w:hAnsi="宋体"/>
          <w:sz w:val="24"/>
          <w:szCs w:val="24"/>
        </w:rPr>
      </w:pPr>
      <w:r>
        <w:rPr>
          <w:rFonts w:hint="eastAsia" w:ascii="宋体" w:hAnsi="宋体"/>
          <w:sz w:val="24"/>
          <w:szCs w:val="24"/>
        </w:rPr>
        <w:t>（二）如经贵公司许可进入机房时，应当严格遵守机房的各项管理规定。</w:t>
      </w:r>
    </w:p>
    <w:p w14:paraId="415FD94C">
      <w:pPr>
        <w:widowControl/>
        <w:spacing w:line="360" w:lineRule="exact"/>
        <w:ind w:firstLine="480" w:firstLineChars="200"/>
        <w:rPr>
          <w:rFonts w:ascii="宋体" w:hAnsi="宋体"/>
          <w:sz w:val="24"/>
          <w:szCs w:val="24"/>
        </w:rPr>
      </w:pPr>
      <w:r>
        <w:rPr>
          <w:rFonts w:hint="eastAsia" w:ascii="宋体" w:hAnsi="宋体"/>
          <w:sz w:val="24"/>
          <w:szCs w:val="24"/>
        </w:rPr>
        <w:t>（三）根据当地公安局网监分局的要求，在入网后5个工作日内在网上提交备案信息，提交信息后10个工作日内办理备案。</w:t>
      </w:r>
    </w:p>
    <w:p w14:paraId="10278AFC">
      <w:pPr>
        <w:spacing w:line="360" w:lineRule="exact"/>
        <w:ind w:firstLine="480" w:firstLineChars="200"/>
        <w:rPr>
          <w:rFonts w:ascii="宋体" w:hAnsi="宋体"/>
          <w:sz w:val="24"/>
          <w:szCs w:val="24"/>
        </w:rPr>
      </w:pPr>
      <w:r>
        <w:rPr>
          <w:rFonts w:hint="eastAsia" w:ascii="宋体" w:hAnsi="宋体"/>
          <w:sz w:val="24"/>
          <w:szCs w:val="24"/>
        </w:rPr>
        <w:t>十六、本单位承诺在业务使用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业务等紧急措施，以保证网络安全、数据安全和保护个人信息。</w:t>
      </w:r>
    </w:p>
    <w:p w14:paraId="4C2FE501">
      <w:pPr>
        <w:spacing w:line="360" w:lineRule="exact"/>
        <w:ind w:firstLine="480" w:firstLineChars="200"/>
        <w:rPr>
          <w:rFonts w:ascii="宋体" w:hAnsi="宋体"/>
          <w:sz w:val="24"/>
          <w:szCs w:val="24"/>
        </w:rPr>
      </w:pPr>
      <w:r>
        <w:rPr>
          <w:rFonts w:hint="eastAsia" w:ascii="宋体" w:hAnsi="宋体"/>
          <w:sz w:val="24"/>
          <w:szCs w:val="24"/>
        </w:rPr>
        <w:t>十七、本单位如出现任何违反上述承诺的情况，将依据合同承担责任，接受有关政府主管部门的处理（包括但不限于限期整改、公开曝光），并直接承担相应法律责任，造成财产损失的，由本单位直接赔偿。同时，贵单位有权在不通知本单位的情况下暂停履行合同直至解除合同并不承担任何责任，一切责任后果全部由本单位自行承担。给贵公司造成损失或不良影响的，本单位将负责消除不良影响并赔偿贵公司相应损失。</w:t>
      </w:r>
    </w:p>
    <w:p w14:paraId="6184B02E">
      <w:pPr>
        <w:spacing w:line="360" w:lineRule="exact"/>
        <w:ind w:firstLine="480" w:firstLineChars="200"/>
        <w:rPr>
          <w:rFonts w:ascii="宋体" w:hAnsi="宋体"/>
          <w:sz w:val="24"/>
          <w:szCs w:val="24"/>
        </w:rPr>
      </w:pPr>
      <w:r>
        <w:rPr>
          <w:rFonts w:hint="eastAsia" w:ascii="宋体" w:hAnsi="宋体"/>
          <w:sz w:val="24"/>
          <w:szCs w:val="24"/>
        </w:rPr>
        <w:t>十八、如出现任何违反上述承诺的情况引发的投诉、举报，由本单位负责解决并承担责任。当接到通信主管部门、“12321网络不良与垃圾信息举报受理中心”、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78CCAE5D">
      <w:pPr>
        <w:spacing w:line="360" w:lineRule="exact"/>
        <w:ind w:firstLine="480" w:firstLineChars="200"/>
        <w:rPr>
          <w:rFonts w:ascii="宋体" w:hAnsi="宋体"/>
          <w:sz w:val="24"/>
          <w:szCs w:val="24"/>
        </w:rPr>
      </w:pPr>
      <w:r>
        <w:rPr>
          <w:rFonts w:hint="eastAsia" w:ascii="宋体" w:hAnsi="宋体"/>
          <w:sz w:val="24"/>
          <w:szCs w:val="24"/>
        </w:rPr>
        <w:t>十九、本单位的信息安全责任人如下：</w:t>
      </w:r>
    </w:p>
    <w:p w14:paraId="59B96A83">
      <w:pPr>
        <w:spacing w:line="36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lang w:val="en-US" w:eastAsia="zh-CN"/>
        </w:rPr>
        <w:t xml:space="preserve">  </w:t>
      </w:r>
      <w:r>
        <w:rPr>
          <w:rFonts w:hint="eastAsia" w:ascii="宋体" w:hAnsi="宋体"/>
          <w:sz w:val="24"/>
          <w:szCs w:val="24"/>
        </w:rPr>
        <w:t>]</w:t>
      </w:r>
    </w:p>
    <w:p w14:paraId="2BEB987B">
      <w:pPr>
        <w:spacing w:line="360" w:lineRule="exact"/>
        <w:ind w:firstLine="480" w:firstLineChars="200"/>
        <w:rPr>
          <w:rFonts w:ascii="宋体" w:hAnsi="宋体"/>
          <w:sz w:val="24"/>
          <w:szCs w:val="24"/>
        </w:rPr>
      </w:pPr>
      <w:r>
        <w:rPr>
          <w:rFonts w:hint="eastAsia" w:ascii="宋体" w:hAnsi="宋体"/>
          <w:sz w:val="24"/>
          <w:szCs w:val="24"/>
        </w:rPr>
        <w:t>职务：[</w:t>
      </w:r>
      <w:r>
        <w:rPr>
          <w:rFonts w:hint="eastAsia" w:ascii="宋体" w:hAnsi="宋体"/>
          <w:sz w:val="24"/>
          <w:szCs w:val="24"/>
          <w:lang w:val="en-US" w:eastAsia="zh-CN"/>
        </w:rPr>
        <w:t xml:space="preserve">  </w:t>
      </w:r>
      <w:r>
        <w:rPr>
          <w:rFonts w:hint="eastAsia" w:ascii="宋体" w:hAnsi="宋体"/>
          <w:sz w:val="24"/>
          <w:szCs w:val="24"/>
        </w:rPr>
        <w:t>]</w:t>
      </w:r>
    </w:p>
    <w:p w14:paraId="795453E1">
      <w:pPr>
        <w:spacing w:line="360" w:lineRule="exact"/>
        <w:ind w:firstLine="480" w:firstLineChars="200"/>
        <w:rPr>
          <w:rFonts w:ascii="宋体" w:hAnsi="宋体"/>
          <w:sz w:val="24"/>
          <w:szCs w:val="24"/>
        </w:rPr>
      </w:pPr>
      <w:r>
        <w:rPr>
          <w:rFonts w:hint="eastAsia" w:ascii="宋体" w:hAnsi="宋体"/>
          <w:sz w:val="24"/>
          <w:szCs w:val="24"/>
        </w:rPr>
        <w:t>联系方式：[</w:t>
      </w:r>
      <w:r>
        <w:rPr>
          <w:rFonts w:hint="eastAsia" w:ascii="宋体" w:hAnsi="宋体"/>
          <w:sz w:val="24"/>
          <w:szCs w:val="24"/>
          <w:lang w:val="en-US" w:eastAsia="zh-CN"/>
        </w:rPr>
        <w:t xml:space="preserve">  </w:t>
      </w:r>
      <w:r>
        <w:rPr>
          <w:rFonts w:hint="eastAsia" w:ascii="宋体" w:hAnsi="宋体"/>
          <w:sz w:val="24"/>
          <w:szCs w:val="24"/>
        </w:rPr>
        <w:t>]</w:t>
      </w:r>
    </w:p>
    <w:p w14:paraId="4881FED8">
      <w:pPr>
        <w:spacing w:line="360" w:lineRule="exact"/>
        <w:ind w:firstLine="480" w:firstLineChars="200"/>
        <w:rPr>
          <w:rFonts w:ascii="宋体" w:hAnsi="宋体"/>
          <w:sz w:val="24"/>
          <w:szCs w:val="24"/>
        </w:rPr>
      </w:pPr>
      <w:r>
        <w:rPr>
          <w:rFonts w:hint="eastAsia" w:ascii="宋体" w:hAnsi="宋体"/>
          <w:sz w:val="24"/>
          <w:szCs w:val="24"/>
        </w:rPr>
        <w:t>二十、本单位承诺与最终用户参照签订此类《网络及信息安全承诺书》，并督促最终用户履行相应责任。否则，本单位承担连带责任。</w:t>
      </w:r>
    </w:p>
    <w:p w14:paraId="02241320">
      <w:pPr>
        <w:spacing w:line="360" w:lineRule="exact"/>
        <w:ind w:firstLine="480" w:firstLineChars="200"/>
        <w:rPr>
          <w:rFonts w:ascii="宋体" w:hAnsi="宋体"/>
          <w:sz w:val="24"/>
          <w:szCs w:val="24"/>
        </w:rPr>
      </w:pPr>
      <w:r>
        <w:rPr>
          <w:rFonts w:hint="eastAsia" w:ascii="宋体" w:hAnsi="宋体"/>
          <w:sz w:val="24"/>
          <w:szCs w:val="24"/>
        </w:rPr>
        <w:t>二十一、本承诺书经本单位签署后，与合同同时生效。</w:t>
      </w:r>
    </w:p>
    <w:p w14:paraId="7359F311">
      <w:pPr>
        <w:spacing w:line="360" w:lineRule="exact"/>
        <w:ind w:firstLine="480" w:firstLineChars="200"/>
        <w:rPr>
          <w:rFonts w:hint="eastAsia" w:ascii="宋体" w:hAnsi="宋体" w:eastAsiaTheme="minorEastAsia"/>
          <w:sz w:val="24"/>
          <w:szCs w:val="24"/>
          <w:lang w:eastAsia="zh-CN"/>
        </w:rPr>
      </w:pPr>
    </w:p>
    <w:p w14:paraId="789CD279">
      <w:pPr>
        <w:spacing w:line="360" w:lineRule="exact"/>
        <w:ind w:firstLine="480" w:firstLineChars="200"/>
        <w:rPr>
          <w:rFonts w:ascii="宋体" w:hAnsi="宋体"/>
          <w:sz w:val="24"/>
          <w:szCs w:val="24"/>
        </w:rPr>
      </w:pPr>
      <w:r>
        <w:rPr>
          <w:rFonts w:hint="eastAsia" w:ascii="宋体" w:hAnsi="宋体"/>
          <w:sz w:val="24"/>
          <w:szCs w:val="24"/>
        </w:rPr>
        <w:t>承诺单位（盖章）：[]</w:t>
      </w:r>
    </w:p>
    <w:p w14:paraId="0022E0D4">
      <w:pPr>
        <w:spacing w:line="254"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sz w:val="24"/>
          <w:szCs w:val="24"/>
        </w:rPr>
        <w:t>法定代表人/负责人或授权代表（签字）：</w:t>
      </w:r>
    </w:p>
    <w:p w14:paraId="164A2E88">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1F7C0379">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17B90FBC">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6C8620F6">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735A39D1">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35A12CF3">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43078E46">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62485702">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173F2E43">
      <w:pPr>
        <w:pStyle w:val="10"/>
        <w:spacing w:before="65" w:line="228" w:lineRule="auto"/>
        <w:ind w:left="867"/>
        <w:outlineLvl w:val="9"/>
        <w:rPr>
          <w:rFonts w:hint="eastAsia" w:ascii="宋体" w:hAnsi="宋体" w:eastAsia="宋体" w:cs="宋体"/>
          <w:color w:val="000000" w:themeColor="text1"/>
          <w:sz w:val="21"/>
          <w:szCs w:val="21"/>
          <w:highlight w:val="none"/>
          <w14:textFill>
            <w14:solidFill>
              <w14:schemeClr w14:val="tx1"/>
            </w14:solidFill>
          </w14:textFill>
        </w:rPr>
      </w:pPr>
      <w:bookmarkStart w:id="43" w:name="_Toc10804"/>
      <w:r>
        <w:rPr>
          <w:rFonts w:hint="eastAsia" w:ascii="宋体" w:hAnsi="宋体" w:eastAsia="宋体" w:cs="宋体"/>
          <w:color w:val="000000" w:themeColor="text1"/>
          <w:spacing w:val="8"/>
          <w:sz w:val="21"/>
          <w:szCs w:val="21"/>
          <w:highlight w:val="none"/>
          <w14:textFill>
            <w14:solidFill>
              <w14:schemeClr w14:val="tx1"/>
            </w14:solidFill>
          </w14:textFill>
        </w:rPr>
        <w:t>注：最终合同以实际签订为准。</w:t>
      </w:r>
      <w:bookmarkEnd w:id="43"/>
    </w:p>
    <w:p w14:paraId="05B777F6">
      <w:pPr>
        <w:spacing w:line="228" w:lineRule="auto"/>
        <w:rPr>
          <w:rFonts w:hint="eastAsia" w:ascii="宋体" w:hAnsi="宋体" w:eastAsia="宋体" w:cs="宋体"/>
          <w:color w:val="000000" w:themeColor="text1"/>
          <w:sz w:val="21"/>
          <w:szCs w:val="21"/>
          <w:highlight w:val="none"/>
          <w14:textFill>
            <w14:solidFill>
              <w14:schemeClr w14:val="tx1"/>
            </w14:solidFill>
          </w14:textFill>
        </w:rPr>
        <w:sectPr>
          <w:headerReference r:id="rId6" w:type="default"/>
          <w:footerReference r:id="rId7" w:type="default"/>
          <w:pgSz w:w="11906" w:h="16839"/>
          <w:pgMar w:top="1534" w:right="1785" w:bottom="1352" w:left="940" w:header="625" w:footer="1198" w:gutter="0"/>
          <w:cols w:space="720" w:num="1"/>
        </w:sectPr>
      </w:pPr>
    </w:p>
    <w:p w14:paraId="6BA7A87E">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44" w:name="_Toc19688"/>
      <w:r>
        <w:rPr>
          <w:rFonts w:hint="eastAsia" w:ascii="宋体" w:hAnsi="宋体" w:eastAsia="宋体" w:cs="宋体"/>
          <w:color w:val="000000" w:themeColor="text1"/>
          <w:highlight w:val="none"/>
          <w14:textFill>
            <w14:solidFill>
              <w14:schemeClr w14:val="tx1"/>
            </w14:solidFill>
          </w14:textFill>
        </w:rPr>
        <w:t>第五章　投标文件组成</w:t>
      </w:r>
      <w:bookmarkEnd w:id="44"/>
    </w:p>
    <w:p w14:paraId="1AEEC578">
      <w:pPr>
        <w:pStyle w:val="12"/>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投标文件</w:t>
      </w:r>
    </w:p>
    <w:p w14:paraId="06944EF5">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2781484">
      <w:pPr>
        <w:pStyle w:val="12"/>
        <w:ind w:firstLine="420" w:firstLineChars="200"/>
        <w:jc w:val="both"/>
        <w:rPr>
          <w:rFonts w:hint="eastAsia" w:ascii="宋体" w:hAnsi="宋体" w:eastAsia="宋体" w:cs="宋体"/>
          <w:color w:val="000000" w:themeColor="text1"/>
          <w:highlight w:val="none"/>
          <w14:textFill>
            <w14:solidFill>
              <w14:schemeClr w14:val="tx1"/>
            </w14:solidFill>
          </w14:textFill>
        </w:rPr>
      </w:pPr>
    </w:p>
    <w:p w14:paraId="5E98B2A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2B0D88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0F33BE24">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E56BE5A">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67439289">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项目名称：____________________</w:t>
      </w:r>
    </w:p>
    <w:p w14:paraId="11607E21">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17840925">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43D462B3">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29624AC7">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6A243CD2">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项目编号：____________________</w:t>
      </w:r>
    </w:p>
    <w:p w14:paraId="705B3D9A">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7122BC74">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1C61B358">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6EE7F62C">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28A0AB43">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投标人名称：__________________</w:t>
      </w:r>
    </w:p>
    <w:p w14:paraId="3A6EF60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3AD79CF">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56983E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7D5C52C1">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3AF8DF9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7B4EA81">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7085C59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7E6244D">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44BC63D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6FACF99">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47C8815D">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3BEE00CB">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541BE072">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______年____月____日</w:t>
      </w:r>
    </w:p>
    <w:p w14:paraId="1F2C605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5B1A4BC">
      <w:pPr>
        <w:pStyle w:val="17"/>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45" w:name="_Toc480942349"/>
      <w:bookmarkStart w:id="46" w:name="_Ref467988698"/>
      <w:bookmarkStart w:id="47" w:name="_Toc520356217"/>
      <w:bookmarkStart w:id="48" w:name="_Toc5165"/>
      <w:bookmarkStart w:id="49" w:name="_Toc8399"/>
      <w:bookmarkStart w:id="50" w:name="_Toc302360904"/>
      <w:bookmarkStart w:id="51" w:name="_Toc144556791"/>
      <w:bookmarkStart w:id="52" w:name="_Toc175062643"/>
      <w:r>
        <w:rPr>
          <w:rFonts w:hint="eastAsia" w:ascii="宋体" w:hAnsi="宋体" w:eastAsia="宋体" w:cs="宋体"/>
          <w:color w:val="000000" w:themeColor="text1"/>
          <w:sz w:val="21"/>
          <w:szCs w:val="21"/>
          <w:highlight w:val="none"/>
          <w14:textFill>
            <w14:solidFill>
              <w14:schemeClr w14:val="tx1"/>
            </w14:solidFill>
          </w14:textFill>
        </w:rPr>
        <w:t>附件1  投标</w:t>
      </w:r>
      <w:bookmarkEnd w:id="45"/>
      <w:bookmarkEnd w:id="46"/>
      <w:r>
        <w:rPr>
          <w:rFonts w:hint="eastAsia" w:ascii="宋体" w:hAnsi="宋体" w:eastAsia="宋体" w:cs="宋体"/>
          <w:color w:val="000000" w:themeColor="text1"/>
          <w:sz w:val="21"/>
          <w:szCs w:val="21"/>
          <w:highlight w:val="none"/>
          <w14:textFill>
            <w14:solidFill>
              <w14:schemeClr w14:val="tx1"/>
            </w14:solidFill>
          </w14:textFill>
        </w:rPr>
        <w:t>书</w:t>
      </w:r>
      <w:bookmarkEnd w:id="47"/>
      <w:r>
        <w:rPr>
          <w:rFonts w:hint="eastAsia" w:ascii="宋体" w:hAnsi="宋体" w:eastAsia="宋体" w:cs="宋体"/>
          <w:color w:val="000000" w:themeColor="text1"/>
          <w:sz w:val="21"/>
          <w:szCs w:val="21"/>
          <w:highlight w:val="none"/>
          <w14:textFill>
            <w14:solidFill>
              <w14:schemeClr w14:val="tx1"/>
            </w14:solidFill>
          </w14:textFill>
        </w:rPr>
        <w:t>（格式）</w:t>
      </w:r>
      <w:bookmarkEnd w:id="48"/>
      <w:bookmarkEnd w:id="49"/>
      <w:bookmarkEnd w:id="50"/>
      <w:bookmarkEnd w:id="51"/>
      <w:bookmarkEnd w:id="52"/>
    </w:p>
    <w:p w14:paraId="0686E902">
      <w:pPr>
        <w:keepNext w:val="0"/>
        <w:keepLines w:val="0"/>
        <w:pageBreakBefore w:val="0"/>
        <w:widowControl w:val="0"/>
        <w:tabs>
          <w:tab w:val="left" w:pos="851"/>
        </w:tabs>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b/>
          <w:color w:val="000000" w:themeColor="text1"/>
          <w:szCs w:val="21"/>
          <w:highlight w:val="none"/>
          <w14:textFill>
            <w14:solidFill>
              <w14:schemeClr w14:val="tx1"/>
            </w14:solidFill>
          </w14:textFill>
        </w:rPr>
        <w:t>招标采购代理单位</w:t>
      </w:r>
      <w:r>
        <w:rPr>
          <w:rFonts w:hint="eastAsia" w:ascii="宋体" w:hAnsi="宋体" w:eastAsia="宋体" w:cs="宋体"/>
          <w:color w:val="000000" w:themeColor="text1"/>
          <w:szCs w:val="21"/>
          <w:highlight w:val="none"/>
          <w14:textFill>
            <w14:solidFill>
              <w14:schemeClr w14:val="tx1"/>
            </w14:solidFill>
          </w14:textFill>
        </w:rPr>
        <w:t>）</w:t>
      </w:r>
    </w:p>
    <w:p w14:paraId="16F0976E">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根据贵方为 （</w:t>
      </w: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 项目招标采购货物及服务的投标邀请 （</w:t>
      </w:r>
      <w:r>
        <w:rPr>
          <w:rFonts w:hint="eastAsia" w:ascii="宋体" w:hAnsi="宋体" w:eastAsia="宋体" w:cs="宋体"/>
          <w:b/>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14:textFill>
            <w14:solidFill>
              <w14:schemeClr w14:val="tx1"/>
            </w14:solidFill>
          </w14:textFill>
        </w:rPr>
        <w:t>），签字代表 （</w:t>
      </w:r>
      <w:r>
        <w:rPr>
          <w:rFonts w:hint="eastAsia" w:ascii="宋体" w:hAnsi="宋体" w:eastAsia="宋体" w:cs="宋体"/>
          <w:b/>
          <w:color w:val="000000" w:themeColor="text1"/>
          <w:szCs w:val="21"/>
          <w:highlight w:val="none"/>
          <w14:textFill>
            <w14:solidFill>
              <w14:schemeClr w14:val="tx1"/>
            </w14:solidFill>
          </w14:textFill>
        </w:rPr>
        <w:t>姓名、职务</w:t>
      </w:r>
      <w:r>
        <w:rPr>
          <w:rFonts w:hint="eastAsia" w:ascii="宋体" w:hAnsi="宋体" w:eastAsia="宋体" w:cs="宋体"/>
          <w:color w:val="000000" w:themeColor="text1"/>
          <w:szCs w:val="21"/>
          <w:highlight w:val="none"/>
          <w14:textFill>
            <w14:solidFill>
              <w14:schemeClr w14:val="tx1"/>
            </w14:solidFill>
          </w14:textFill>
        </w:rPr>
        <w:t>） 经正式授权并代表投标人（</w:t>
      </w:r>
      <w:r>
        <w:rPr>
          <w:rFonts w:hint="eastAsia" w:ascii="宋体" w:hAnsi="宋体" w:eastAsia="宋体" w:cs="宋体"/>
          <w:b/>
          <w:color w:val="000000" w:themeColor="text1"/>
          <w:szCs w:val="21"/>
          <w:highlight w:val="none"/>
          <w14:textFill>
            <w14:solidFill>
              <w14:schemeClr w14:val="tx1"/>
            </w14:solidFill>
          </w14:textFill>
        </w:rPr>
        <w:t>投标人名称、地址</w:t>
      </w:r>
      <w:r>
        <w:rPr>
          <w:rFonts w:hint="eastAsia" w:ascii="宋体" w:hAnsi="宋体" w:eastAsia="宋体" w:cs="宋体"/>
          <w:color w:val="000000" w:themeColor="text1"/>
          <w:szCs w:val="21"/>
          <w:highlight w:val="none"/>
          <w14:textFill>
            <w14:solidFill>
              <w14:schemeClr w14:val="tx1"/>
            </w14:solidFill>
          </w14:textFill>
        </w:rPr>
        <w:t>）提交下述文件</w:t>
      </w:r>
      <w:r>
        <w:rPr>
          <w:rFonts w:hint="eastAsia" w:ascii="宋体" w:hAnsi="宋体" w:cs="宋体"/>
          <w:color w:val="000000" w:themeColor="text1"/>
          <w:szCs w:val="21"/>
          <w:highlight w:val="none"/>
          <w14:textFill>
            <w14:solidFill>
              <w14:schemeClr w14:val="tx1"/>
            </w14:solidFill>
          </w14:textFill>
        </w:rPr>
        <w:t xml:space="preserve">正本壹份及副本（    </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）份</w:t>
      </w:r>
      <w:r>
        <w:rPr>
          <w:rFonts w:hint="eastAsia" w:ascii="宋体" w:hAnsi="宋体" w:eastAsia="宋体" w:cs="宋体"/>
          <w:color w:val="000000" w:themeColor="text1"/>
          <w:szCs w:val="21"/>
          <w:highlight w:val="none"/>
          <w14:textFill>
            <w14:solidFill>
              <w14:schemeClr w14:val="tx1"/>
            </w14:solidFill>
          </w14:textFill>
        </w:rPr>
        <w:t>：</w:t>
      </w:r>
    </w:p>
    <w:p w14:paraId="10E8D83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1．投标一览表；</w:t>
      </w:r>
    </w:p>
    <w:p w14:paraId="39FB7F8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2．投标分项报价表；</w:t>
      </w:r>
    </w:p>
    <w:p w14:paraId="2919ACB9">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．技术条款偏离表；</w:t>
      </w:r>
    </w:p>
    <w:p w14:paraId="685F334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．商务条款偏离表；</w:t>
      </w:r>
    </w:p>
    <w:p w14:paraId="29BBDB6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．资格证明文件；</w:t>
      </w:r>
    </w:p>
    <w:p w14:paraId="3ABB97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．遵守国家有关法律、法规和规章，按招标文件中投标人须知和技术规格要求提供的有关文件；</w:t>
      </w:r>
    </w:p>
    <w:p w14:paraId="64D201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．以 （</w:t>
      </w:r>
      <w:r>
        <w:rPr>
          <w:rFonts w:hint="eastAsia" w:ascii="宋体" w:hAnsi="宋体" w:eastAsia="宋体" w:cs="宋体"/>
          <w:b/>
          <w:color w:val="000000" w:themeColor="text1"/>
          <w:szCs w:val="21"/>
          <w:highlight w:val="none"/>
          <w14:textFill>
            <w14:solidFill>
              <w14:schemeClr w14:val="tx1"/>
            </w14:solidFill>
          </w14:textFill>
        </w:rPr>
        <w:t>支票/汇票/电汇/保函</w:t>
      </w:r>
      <w:r>
        <w:rPr>
          <w:rFonts w:hint="eastAsia" w:ascii="宋体" w:hAnsi="宋体" w:eastAsia="宋体" w:cs="宋体"/>
          <w:color w:val="000000" w:themeColor="text1"/>
          <w:szCs w:val="21"/>
          <w:highlight w:val="none"/>
          <w14:textFill>
            <w14:solidFill>
              <w14:schemeClr w14:val="tx1"/>
            </w14:solidFill>
          </w14:textFill>
        </w:rPr>
        <w:t>） 形式出具的投标保证金，金额为人民币（       ）元。</w:t>
      </w:r>
    </w:p>
    <w:p w14:paraId="1387AC4B">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54"/>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据此，签字代表宣布同意如下：</w:t>
      </w:r>
    </w:p>
    <w:p w14:paraId="3D40A70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附投标价格表中规定的应提交和交付的货物投标总价为人民币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用文字和数字表示的投标总价</w:t>
      </w:r>
      <w:r>
        <w:rPr>
          <w:rFonts w:hint="eastAsia" w:ascii="宋体" w:hAnsi="宋体" w:eastAsia="宋体" w:cs="宋体"/>
          <w:color w:val="000000" w:themeColor="text1"/>
          <w:szCs w:val="21"/>
          <w:highlight w:val="none"/>
          <w14:textFill>
            <w14:solidFill>
              <w14:schemeClr w14:val="tx1"/>
            </w14:solidFill>
          </w14:textFill>
        </w:rPr>
        <w:t>）。</w:t>
      </w:r>
    </w:p>
    <w:p w14:paraId="4045DB21">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投标人将按招标文件的规定履行合同责任和义务。</w:t>
      </w:r>
    </w:p>
    <w:p w14:paraId="7A9D46F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投标人已详细审查全部招标文件，包括第（       ）号补充通知（如果有的话）。我们完全理解并同意放弃对这方面有不明及误解的权力。</w:t>
      </w:r>
    </w:p>
    <w:p w14:paraId="112C951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本投标有效期为自开标日起（       ）个日历日。</w:t>
      </w:r>
    </w:p>
    <w:p w14:paraId="714A725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在规定的开标时间后，投标人保证遵守招标文件中有关保证金的规定。</w:t>
      </w:r>
    </w:p>
    <w:p w14:paraId="1DC9667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根据投标人须知规定，我方承诺，与招标采购单位聘请的为此项目提供咨询服务的公司及任何附属机构均无关联，我方不是招标采购单位的附属机构。</w:t>
      </w:r>
    </w:p>
    <w:p w14:paraId="37F3B080">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.已详细审阅全部招标文件(包括招标文件澄清函)，理解投标人须知的所有条款。</w:t>
      </w:r>
    </w:p>
    <w:p w14:paraId="2EB8D83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投标人同意提供按照贵方可能要求的与其投标有关的一切数据或资料。</w:t>
      </w:r>
    </w:p>
    <w:p w14:paraId="3B9A92E6">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.完全理解贵方“最低报价不能作为中标的保证”的规定。</w:t>
      </w:r>
    </w:p>
    <w:p w14:paraId="73A6A865">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.接受招标文件中全部合同条款，且无任何异议；保证忠实地执行双方所签订的合同，并承担合同规定的责任和义务。</w:t>
      </w:r>
    </w:p>
    <w:p w14:paraId="2C9A278C">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.完全满足和响应招标文件中的各项商务和技术要求，若有偏差，已在投标文件中明确说明。</w:t>
      </w:r>
    </w:p>
    <w:p w14:paraId="6B37851D">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.如果在开标后规定的投标有效期内撤回投标，贵方可不予退还我方的投标保证金。</w:t>
      </w:r>
    </w:p>
    <w:p w14:paraId="630BA22E">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.愿意提供任何与投标有关的数据、情况和技术资料等。</w:t>
      </w:r>
    </w:p>
    <w:p w14:paraId="163C692D">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.我方已详细审核全部投标文件、参考资料及有关附件，确认无误。</w:t>
      </w:r>
    </w:p>
    <w:p w14:paraId="091D6D74">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.对本次招标内容及与本项目有关的知识产权、技术资料、商业秘密及相关信息保密。</w:t>
      </w:r>
    </w:p>
    <w:p w14:paraId="6B710B76">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.与采购人和采购代理机构无任何的隶属关系或者其他利害关系。</w:t>
      </w:r>
    </w:p>
    <w:p w14:paraId="2568B3B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与本投标有关的一切正式往来信函请寄：</w:t>
      </w:r>
    </w:p>
    <w:p w14:paraId="1A95FD77">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E6E955B">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111DFECE">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4D7D4A3">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电子函件：</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p>
    <w:p w14:paraId="0AA9630C">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p>
    <w:p w14:paraId="2AE6921F">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E761430">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2F834470">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开户银行名称（全称）：</w:t>
      </w:r>
      <w:r>
        <w:rPr>
          <w:rFonts w:hint="eastAsia" w:ascii="宋体" w:hAnsi="宋体" w:eastAsia="宋体" w:cs="宋体"/>
          <w:color w:val="000000" w:themeColor="text1"/>
          <w:szCs w:val="21"/>
          <w:highlight w:val="none"/>
          <w:u w:val="single"/>
          <w14:textFill>
            <w14:solidFill>
              <w14:schemeClr w14:val="tx1"/>
            </w14:solidFill>
          </w14:textFill>
        </w:rPr>
        <w:tab/>
      </w:r>
    </w:p>
    <w:p w14:paraId="3F6D737C">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开户银行账号：</w:t>
      </w:r>
      <w:r>
        <w:rPr>
          <w:rFonts w:hint="eastAsia" w:ascii="宋体" w:hAnsi="宋体" w:eastAsia="宋体" w:cs="宋体"/>
          <w:color w:val="000000" w:themeColor="text1"/>
          <w:szCs w:val="21"/>
          <w:highlight w:val="none"/>
          <w:u w:val="single"/>
          <w14:textFill>
            <w14:solidFill>
              <w14:schemeClr w14:val="tx1"/>
            </w14:solidFill>
          </w14:textFill>
        </w:rPr>
        <w:tab/>
      </w:r>
    </w:p>
    <w:p w14:paraId="51E3749C">
      <w:pPr>
        <w:keepNext w:val="0"/>
        <w:keepLines w:val="0"/>
        <w:pageBreakBefore w:val="0"/>
        <w:widowControl w:val="0"/>
        <w:tabs>
          <w:tab w:val="left" w:pos="462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71A0B5E">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sectPr>
          <w:footerReference r:id="rId8" w:type="default"/>
          <w:pgSz w:w="11906" w:h="16838"/>
          <w:pgMar w:top="1440" w:right="1797" w:bottom="1440" w:left="1797" w:header="851" w:footer="992" w:gutter="0"/>
          <w:cols w:space="720" w:num="1"/>
          <w:docGrid w:linePitch="312" w:charSpace="0"/>
        </w:sectPr>
      </w:pPr>
    </w:p>
    <w:p w14:paraId="025C48B7">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53" w:name="_Toc302360905"/>
      <w:bookmarkStart w:id="54" w:name="_Toc10452"/>
      <w:bookmarkStart w:id="55" w:name="_Toc24331"/>
      <w:bookmarkStart w:id="56" w:name="_Toc480942350"/>
      <w:bookmarkStart w:id="57" w:name="_Ref467988705"/>
      <w:bookmarkStart w:id="58" w:name="_Toc520356218"/>
      <w:bookmarkStart w:id="59" w:name="_Toc144556792"/>
      <w:bookmarkStart w:id="60" w:name="_Toc175062644"/>
      <w:r>
        <w:rPr>
          <w:rFonts w:hint="eastAsia" w:ascii="宋体" w:hAnsi="宋体" w:eastAsia="宋体" w:cs="宋体"/>
          <w:color w:val="000000" w:themeColor="text1"/>
          <w:sz w:val="21"/>
          <w:szCs w:val="21"/>
          <w:highlight w:val="none"/>
          <w14:textFill>
            <w14:solidFill>
              <w14:schemeClr w14:val="tx1"/>
            </w14:solidFill>
          </w14:textFill>
        </w:rPr>
        <w:t>附件2  投标一览表</w:t>
      </w:r>
      <w:bookmarkEnd w:id="53"/>
      <w:r>
        <w:rPr>
          <w:rFonts w:hint="eastAsia" w:ascii="宋体" w:hAnsi="宋体" w:eastAsia="宋体" w:cs="宋体"/>
          <w:color w:val="000000" w:themeColor="text1"/>
          <w:sz w:val="21"/>
          <w:szCs w:val="21"/>
          <w:highlight w:val="none"/>
          <w14:textFill>
            <w14:solidFill>
              <w14:schemeClr w14:val="tx1"/>
            </w14:solidFill>
          </w14:textFill>
        </w:rPr>
        <w:t>（格式）</w:t>
      </w:r>
      <w:bookmarkEnd w:id="54"/>
      <w:bookmarkEnd w:id="55"/>
    </w:p>
    <w:p w14:paraId="1E67AEE6">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5A15BAF1">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728B8A2">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14:paraId="7AC82BBF">
      <w:pPr>
        <w:tabs>
          <w:tab w:val="left" w:pos="5580"/>
        </w:tabs>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包号：</w:t>
      </w:r>
      <w:r>
        <w:rPr>
          <w:rFonts w:hint="eastAsia" w:ascii="宋体" w:hAnsi="宋体" w:eastAsia="宋体" w:cs="宋体"/>
          <w:color w:val="auto"/>
          <w:szCs w:val="21"/>
          <w:highlight w:val="none"/>
          <w:u w:val="single"/>
        </w:rPr>
        <w:t xml:space="preserve">           </w:t>
      </w:r>
    </w:p>
    <w:p w14:paraId="0A82405C">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 xml:space="preserve">单位：人民币元    </w:t>
      </w:r>
      <w:r>
        <w:rPr>
          <w:rFonts w:hint="eastAsia" w:ascii="宋体" w:hAnsi="宋体" w:eastAsia="宋体" w:cs="宋体"/>
          <w:color w:val="000000" w:themeColor="text1"/>
          <w:szCs w:val="21"/>
          <w:highlight w:val="none"/>
          <w14:textFill>
            <w14:solidFill>
              <w14:schemeClr w14:val="tx1"/>
            </w14:solidFill>
          </w14:textFill>
        </w:rPr>
        <w:t xml:space="preserve">                         </w:t>
      </w:r>
    </w:p>
    <w:tbl>
      <w:tblPr>
        <w:tblStyle w:val="25"/>
        <w:tblW w:w="84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800"/>
        <w:gridCol w:w="5619"/>
      </w:tblGrid>
      <w:tr w14:paraId="05F5AD4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626" w:hRule="atLeast"/>
        </w:trPr>
        <w:tc>
          <w:tcPr>
            <w:tcW w:w="2800" w:type="dxa"/>
            <w:noWrap w:val="0"/>
            <w:vAlign w:val="center"/>
          </w:tcPr>
          <w:p w14:paraId="6B7A9F35">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投标总价</w:t>
            </w:r>
          </w:p>
        </w:tc>
        <w:tc>
          <w:tcPr>
            <w:tcW w:w="5619" w:type="dxa"/>
            <w:noWrap w:val="0"/>
            <w:vAlign w:val="center"/>
          </w:tcPr>
          <w:p w14:paraId="696427C2">
            <w:pPr>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大写：</w:t>
            </w:r>
          </w:p>
          <w:p w14:paraId="20DB523C">
            <w:pPr>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小写：</w:t>
            </w:r>
          </w:p>
        </w:tc>
      </w:tr>
      <w:tr w14:paraId="6DB1E7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18" w:hRule="atLeast"/>
        </w:trPr>
        <w:tc>
          <w:tcPr>
            <w:tcW w:w="2800" w:type="dxa"/>
            <w:noWrap w:val="0"/>
            <w:vAlign w:val="center"/>
          </w:tcPr>
          <w:p w14:paraId="18464A49">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合同履约期限</w:t>
            </w:r>
          </w:p>
        </w:tc>
        <w:tc>
          <w:tcPr>
            <w:tcW w:w="5619" w:type="dxa"/>
            <w:noWrap w:val="0"/>
            <w:vAlign w:val="center"/>
          </w:tcPr>
          <w:p w14:paraId="7C70C0A7">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r>
      <w:tr w14:paraId="73AE1D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54" w:hRule="atLeast"/>
        </w:trPr>
        <w:tc>
          <w:tcPr>
            <w:tcW w:w="2800" w:type="dxa"/>
            <w:noWrap w:val="0"/>
            <w:vAlign w:val="center"/>
          </w:tcPr>
          <w:p w14:paraId="62DC8841">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备注</w:t>
            </w:r>
          </w:p>
        </w:tc>
        <w:tc>
          <w:tcPr>
            <w:tcW w:w="5619" w:type="dxa"/>
            <w:noWrap w:val="0"/>
            <w:vAlign w:val="center"/>
          </w:tcPr>
          <w:p w14:paraId="6DC7020A">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r>
    </w:tbl>
    <w:p w14:paraId="3E6951C8">
      <w:pPr>
        <w:pStyle w:val="54"/>
        <w:spacing w:line="440" w:lineRule="exac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000000" w:themeColor="text1"/>
          <w:szCs w:val="21"/>
          <w:highlight w:val="none"/>
          <w14:textFill>
            <w14:solidFill>
              <w14:schemeClr w14:val="tx1"/>
            </w14:solidFill>
          </w14:textFill>
        </w:rPr>
        <w:t xml:space="preserve"> 注： </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bCs/>
          <w:color w:val="auto"/>
          <w:kern w:val="2"/>
          <w:sz w:val="22"/>
          <w:szCs w:val="22"/>
          <w:highlight w:val="none"/>
          <w:lang w:val="en-US" w:eastAsia="zh-CN" w:bidi="ar-SA"/>
        </w:rPr>
        <w:t>1、</w:t>
      </w:r>
      <w:r>
        <w:rPr>
          <w:rFonts w:hint="eastAsia" w:ascii="宋体" w:hAnsi="宋体" w:eastAsia="宋体" w:cs="宋体"/>
          <w:bCs/>
          <w:color w:val="auto"/>
          <w:kern w:val="2"/>
          <w:sz w:val="22"/>
          <w:szCs w:val="22"/>
          <w:highlight w:val="none"/>
          <w:lang w:val="en-US" w:eastAsia="zh-CN" w:bidi="ar-SA"/>
        </w:rPr>
        <w:t>以上报价是供应商为完成本项目、满足招标文件采购需求的所有费用。</w:t>
      </w:r>
    </w:p>
    <w:p w14:paraId="4C86BBF3">
      <w:pPr>
        <w:pStyle w:val="54"/>
        <w:spacing w:line="440" w:lineRule="exact"/>
        <w:rPr>
          <w:rFonts w:hint="eastAsia" w:ascii="宋体" w:hAnsi="宋体" w:eastAsia="宋体" w:cs="宋体"/>
          <w:bCs/>
          <w:color w:val="auto"/>
          <w:kern w:val="2"/>
          <w:sz w:val="22"/>
          <w:szCs w:val="22"/>
          <w:highlight w:val="none"/>
          <w:lang w:val="en-US" w:eastAsia="zh-CN" w:bidi="ar-SA"/>
        </w:rPr>
      </w:pPr>
      <w:r>
        <w:rPr>
          <w:rFonts w:hint="eastAsia" w:ascii="宋体" w:hAnsi="宋体" w:cs="宋体"/>
          <w:bCs/>
          <w:color w:val="auto"/>
          <w:kern w:val="2"/>
          <w:sz w:val="22"/>
          <w:szCs w:val="22"/>
          <w:highlight w:val="none"/>
          <w:lang w:val="en-US" w:eastAsia="zh-CN" w:bidi="ar-SA"/>
        </w:rPr>
        <w:t>2、</w:t>
      </w:r>
      <w:r>
        <w:rPr>
          <w:rFonts w:hint="eastAsia" w:ascii="宋体" w:hAnsi="宋体" w:eastAsia="宋体" w:cs="宋体"/>
          <w:bCs/>
          <w:color w:val="auto"/>
          <w:kern w:val="2"/>
          <w:sz w:val="22"/>
          <w:szCs w:val="22"/>
          <w:highlight w:val="none"/>
          <w:lang w:val="en-US" w:eastAsia="zh-CN" w:bidi="ar-SA"/>
        </w:rPr>
        <w:t>每包的投标报价应和《投标分项报价表》中的总价相一致。</w:t>
      </w:r>
    </w:p>
    <w:p w14:paraId="63462FD4">
      <w:pPr>
        <w:pStyle w:val="54"/>
        <w:spacing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auto"/>
          <w:kern w:val="2"/>
          <w:sz w:val="22"/>
          <w:szCs w:val="22"/>
          <w:highlight w:val="none"/>
          <w:lang w:val="en-US" w:eastAsia="zh-CN" w:bidi="ar-SA"/>
        </w:rPr>
        <w:t>兹声明：以上投标报价在投标有效期内一直有效。</w:t>
      </w:r>
    </w:p>
    <w:p w14:paraId="2803272F">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6698CFE6">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B1E26D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1E6A15B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F720580">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bookmarkEnd w:id="56"/>
    <w:bookmarkEnd w:id="57"/>
    <w:bookmarkEnd w:id="58"/>
    <w:bookmarkEnd w:id="59"/>
    <w:bookmarkEnd w:id="60"/>
    <w:p w14:paraId="2A5AE6B2">
      <w:pPr>
        <w:ind w:firstLine="200"/>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30ACF30A">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61" w:name="_Toc302360906"/>
      <w:bookmarkStart w:id="62" w:name="_Toc175062645"/>
      <w:bookmarkStart w:id="63" w:name="_Toc9348"/>
      <w:bookmarkStart w:id="64" w:name="_Toc23716"/>
      <w:r>
        <w:rPr>
          <w:rFonts w:hint="eastAsia" w:ascii="宋体" w:hAnsi="宋体" w:eastAsia="宋体" w:cs="宋体"/>
          <w:color w:val="000000" w:themeColor="text1"/>
          <w:sz w:val="21"/>
          <w:szCs w:val="21"/>
          <w:highlight w:val="none"/>
          <w14:textFill>
            <w14:solidFill>
              <w14:schemeClr w14:val="tx1"/>
            </w14:solidFill>
          </w14:textFill>
        </w:rPr>
        <w:t>附件3  投标分项报价表</w:t>
      </w:r>
      <w:bookmarkEnd w:id="61"/>
      <w:bookmarkEnd w:id="62"/>
      <w:r>
        <w:rPr>
          <w:rFonts w:hint="eastAsia" w:ascii="宋体" w:hAnsi="宋体" w:eastAsia="宋体" w:cs="宋体"/>
          <w:color w:val="000000" w:themeColor="text1"/>
          <w:sz w:val="21"/>
          <w:szCs w:val="21"/>
          <w:highlight w:val="none"/>
          <w14:textFill>
            <w14:solidFill>
              <w14:schemeClr w14:val="tx1"/>
            </w14:solidFill>
          </w14:textFill>
        </w:rPr>
        <w:t>（格式）</w:t>
      </w:r>
      <w:bookmarkEnd w:id="63"/>
      <w:bookmarkEnd w:id="64"/>
    </w:p>
    <w:p w14:paraId="1798864B">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A40C8E3">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招标编号：                      </w:t>
      </w:r>
    </w:p>
    <w:p w14:paraId="4549DB9E">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p w14:paraId="1C7A809D">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报价单位：人民币元                                                       </w:t>
      </w:r>
    </w:p>
    <w:tbl>
      <w:tblPr>
        <w:tblStyle w:val="49"/>
        <w:tblW w:w="506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8"/>
        <w:gridCol w:w="1632"/>
        <w:gridCol w:w="3863"/>
        <w:gridCol w:w="2386"/>
      </w:tblGrid>
      <w:tr w14:paraId="6FCEC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25" w:type="pct"/>
            <w:vAlign w:val="center"/>
          </w:tcPr>
          <w:p w14:paraId="3D0762A4">
            <w:pPr>
              <w:pStyle w:val="48"/>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序号</w:t>
            </w:r>
          </w:p>
        </w:tc>
        <w:tc>
          <w:tcPr>
            <w:tcW w:w="968" w:type="pct"/>
            <w:vAlign w:val="center"/>
          </w:tcPr>
          <w:p w14:paraId="76C15625">
            <w:pPr>
              <w:pStyle w:val="12"/>
              <w:jc w:val="center"/>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kern w:val="0"/>
                <w:sz w:val="21"/>
                <w:szCs w:val="21"/>
                <w:highlight w:val="none"/>
                <w:lang w:val="en-US" w:eastAsia="zh-CN" w:bidi="ar-SA"/>
              </w:rPr>
              <w:t>服务内容</w:t>
            </w:r>
          </w:p>
        </w:tc>
        <w:tc>
          <w:tcPr>
            <w:tcW w:w="2291" w:type="pct"/>
            <w:vAlign w:val="center"/>
          </w:tcPr>
          <w:p w14:paraId="62921698">
            <w:pPr>
              <w:pStyle w:val="12"/>
              <w:jc w:val="center"/>
              <w:rPr>
                <w:rFonts w:hint="default"/>
                <w:color w:val="000000" w:themeColor="text1"/>
                <w:spacing w:val="-4"/>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highlight w:val="none"/>
                <w:lang w:val="en-US" w:eastAsia="zh-CN" w:bidi="ar-SA"/>
              </w:rPr>
              <w:t>报价</w:t>
            </w:r>
          </w:p>
        </w:tc>
        <w:tc>
          <w:tcPr>
            <w:tcW w:w="1414" w:type="pct"/>
            <w:vAlign w:val="center"/>
          </w:tcPr>
          <w:p w14:paraId="4E65A2EC">
            <w:pPr>
              <w:pStyle w:val="12"/>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备注</w:t>
            </w:r>
          </w:p>
          <w:p w14:paraId="03FCC3B5">
            <w:pPr>
              <w:pStyle w:val="12"/>
              <w:jc w:val="center"/>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kern w:val="0"/>
                <w:sz w:val="21"/>
                <w:szCs w:val="21"/>
                <w:highlight w:val="none"/>
                <w:lang w:val="en-US" w:eastAsia="zh-CN" w:bidi="ar-SA"/>
              </w:rPr>
              <w:t>(收费依据、收费标准等)</w:t>
            </w:r>
          </w:p>
        </w:tc>
      </w:tr>
      <w:tr w14:paraId="7700C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5" w:type="pct"/>
            <w:vAlign w:val="center"/>
          </w:tcPr>
          <w:p w14:paraId="25486CC9">
            <w:pPr>
              <w:pStyle w:val="48"/>
              <w:keepNext w:val="0"/>
              <w:keepLines w:val="0"/>
              <w:pageBreakBefore w:val="0"/>
              <w:widowControl w:val="0"/>
              <w:kinsoku/>
              <w:wordWrap/>
              <w:overflowPunct/>
              <w:topLinePunct w:val="0"/>
              <w:autoSpaceDE/>
              <w:autoSpaceDN/>
              <w:bidi w:val="0"/>
              <w:adjustRightInd/>
              <w:snapToGrid/>
              <w:spacing w:line="208"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c>
          <w:tcPr>
            <w:tcW w:w="968" w:type="pct"/>
            <w:vAlign w:val="center"/>
          </w:tcPr>
          <w:p w14:paraId="563A04BE">
            <w:pPr>
              <w:jc w:val="center"/>
              <w:rPr>
                <w:rFonts w:ascii="Arial"/>
                <w:color w:val="000000" w:themeColor="text1"/>
                <w:sz w:val="21"/>
                <w:highlight w:val="none"/>
                <w14:textFill>
                  <w14:solidFill>
                    <w14:schemeClr w14:val="tx1"/>
                  </w14:solidFill>
                </w14:textFill>
              </w:rPr>
            </w:pPr>
          </w:p>
        </w:tc>
        <w:tc>
          <w:tcPr>
            <w:tcW w:w="2291" w:type="pct"/>
            <w:vAlign w:val="center"/>
          </w:tcPr>
          <w:p w14:paraId="0167B3EF">
            <w:pPr>
              <w:jc w:val="center"/>
              <w:rPr>
                <w:rFonts w:ascii="Arial"/>
                <w:color w:val="000000" w:themeColor="text1"/>
                <w:sz w:val="21"/>
                <w:highlight w:val="none"/>
                <w14:textFill>
                  <w14:solidFill>
                    <w14:schemeClr w14:val="tx1"/>
                  </w14:solidFill>
                </w14:textFill>
              </w:rPr>
            </w:pPr>
          </w:p>
        </w:tc>
        <w:tc>
          <w:tcPr>
            <w:tcW w:w="1414" w:type="pct"/>
            <w:vAlign w:val="center"/>
          </w:tcPr>
          <w:p w14:paraId="0FC625A0">
            <w:pPr>
              <w:jc w:val="center"/>
              <w:rPr>
                <w:rFonts w:ascii="Arial"/>
                <w:color w:val="000000" w:themeColor="text1"/>
                <w:sz w:val="21"/>
                <w:highlight w:val="none"/>
                <w14:textFill>
                  <w14:solidFill>
                    <w14:schemeClr w14:val="tx1"/>
                  </w14:solidFill>
                </w14:textFill>
              </w:rPr>
            </w:pPr>
          </w:p>
        </w:tc>
      </w:tr>
      <w:tr w14:paraId="7127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5" w:type="pct"/>
            <w:vAlign w:val="center"/>
          </w:tcPr>
          <w:p w14:paraId="75B29F31">
            <w:pPr>
              <w:pStyle w:val="48"/>
              <w:keepNext w:val="0"/>
              <w:keepLines w:val="0"/>
              <w:pageBreakBefore w:val="0"/>
              <w:widowControl w:val="0"/>
              <w:kinsoku/>
              <w:wordWrap/>
              <w:overflowPunct/>
              <w:topLinePunct w:val="0"/>
              <w:autoSpaceDE/>
              <w:autoSpaceDN/>
              <w:bidi w:val="0"/>
              <w:adjustRightInd/>
              <w:snapToGrid/>
              <w:spacing w:line="207"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p>
        </w:tc>
        <w:tc>
          <w:tcPr>
            <w:tcW w:w="968" w:type="pct"/>
            <w:vAlign w:val="center"/>
          </w:tcPr>
          <w:p w14:paraId="32768F0E">
            <w:pPr>
              <w:jc w:val="center"/>
              <w:rPr>
                <w:rFonts w:ascii="Arial"/>
                <w:color w:val="000000" w:themeColor="text1"/>
                <w:sz w:val="21"/>
                <w:highlight w:val="none"/>
                <w14:textFill>
                  <w14:solidFill>
                    <w14:schemeClr w14:val="tx1"/>
                  </w14:solidFill>
                </w14:textFill>
              </w:rPr>
            </w:pPr>
          </w:p>
        </w:tc>
        <w:tc>
          <w:tcPr>
            <w:tcW w:w="2291" w:type="pct"/>
            <w:vAlign w:val="center"/>
          </w:tcPr>
          <w:p w14:paraId="571A42EC">
            <w:pPr>
              <w:jc w:val="center"/>
              <w:rPr>
                <w:rFonts w:ascii="Arial"/>
                <w:color w:val="000000" w:themeColor="text1"/>
                <w:sz w:val="21"/>
                <w:highlight w:val="none"/>
                <w14:textFill>
                  <w14:solidFill>
                    <w14:schemeClr w14:val="tx1"/>
                  </w14:solidFill>
                </w14:textFill>
              </w:rPr>
            </w:pPr>
          </w:p>
        </w:tc>
        <w:tc>
          <w:tcPr>
            <w:tcW w:w="1414" w:type="pct"/>
            <w:vAlign w:val="center"/>
          </w:tcPr>
          <w:p w14:paraId="1C7B53FE">
            <w:pPr>
              <w:jc w:val="center"/>
              <w:rPr>
                <w:rFonts w:ascii="Arial"/>
                <w:color w:val="000000" w:themeColor="text1"/>
                <w:sz w:val="21"/>
                <w:highlight w:val="none"/>
                <w14:textFill>
                  <w14:solidFill>
                    <w14:schemeClr w14:val="tx1"/>
                  </w14:solidFill>
                </w14:textFill>
              </w:rPr>
            </w:pPr>
          </w:p>
        </w:tc>
      </w:tr>
      <w:tr w14:paraId="29A6F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5" w:type="pct"/>
            <w:vAlign w:val="center"/>
          </w:tcPr>
          <w:p w14:paraId="3939C7D5">
            <w:pPr>
              <w:pStyle w:val="48"/>
              <w:keepNext w:val="0"/>
              <w:keepLines w:val="0"/>
              <w:pageBreakBefore w:val="0"/>
              <w:widowControl w:val="0"/>
              <w:kinsoku/>
              <w:wordWrap/>
              <w:overflowPunct/>
              <w:topLinePunct w:val="0"/>
              <w:autoSpaceDE/>
              <w:autoSpaceDN/>
              <w:bidi w:val="0"/>
              <w:adjustRightInd/>
              <w:snapToGrid/>
              <w:spacing w:line="206"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p>
        </w:tc>
        <w:tc>
          <w:tcPr>
            <w:tcW w:w="968" w:type="pct"/>
            <w:vAlign w:val="center"/>
          </w:tcPr>
          <w:p w14:paraId="2FB88A7B">
            <w:pPr>
              <w:jc w:val="center"/>
              <w:rPr>
                <w:rFonts w:ascii="Arial"/>
                <w:color w:val="000000" w:themeColor="text1"/>
                <w:sz w:val="21"/>
                <w:highlight w:val="none"/>
                <w14:textFill>
                  <w14:solidFill>
                    <w14:schemeClr w14:val="tx1"/>
                  </w14:solidFill>
                </w14:textFill>
              </w:rPr>
            </w:pPr>
          </w:p>
        </w:tc>
        <w:tc>
          <w:tcPr>
            <w:tcW w:w="2291" w:type="pct"/>
            <w:vAlign w:val="center"/>
          </w:tcPr>
          <w:p w14:paraId="4C206573">
            <w:pPr>
              <w:jc w:val="center"/>
              <w:rPr>
                <w:rFonts w:ascii="Arial"/>
                <w:color w:val="000000" w:themeColor="text1"/>
                <w:sz w:val="21"/>
                <w:highlight w:val="none"/>
                <w14:textFill>
                  <w14:solidFill>
                    <w14:schemeClr w14:val="tx1"/>
                  </w14:solidFill>
                </w14:textFill>
              </w:rPr>
            </w:pPr>
          </w:p>
        </w:tc>
        <w:tc>
          <w:tcPr>
            <w:tcW w:w="1414" w:type="pct"/>
            <w:vAlign w:val="center"/>
          </w:tcPr>
          <w:p w14:paraId="1559D7EB">
            <w:pPr>
              <w:jc w:val="center"/>
              <w:rPr>
                <w:rFonts w:ascii="Arial"/>
                <w:color w:val="000000" w:themeColor="text1"/>
                <w:sz w:val="21"/>
                <w:highlight w:val="none"/>
                <w14:textFill>
                  <w14:solidFill>
                    <w14:schemeClr w14:val="tx1"/>
                  </w14:solidFill>
                </w14:textFill>
              </w:rPr>
            </w:pPr>
          </w:p>
        </w:tc>
      </w:tr>
      <w:tr w14:paraId="24253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5" w:type="pct"/>
            <w:vAlign w:val="center"/>
          </w:tcPr>
          <w:p w14:paraId="3A0D7668">
            <w:pPr>
              <w:pStyle w:val="48"/>
              <w:keepNext w:val="0"/>
              <w:keepLines w:val="0"/>
              <w:pageBreakBefore w:val="0"/>
              <w:widowControl w:val="0"/>
              <w:kinsoku/>
              <w:wordWrap/>
              <w:overflowPunct/>
              <w:topLinePunct w:val="0"/>
              <w:autoSpaceDE/>
              <w:autoSpaceDN/>
              <w:bidi w:val="0"/>
              <w:adjustRightInd/>
              <w:snapToGrid/>
              <w:spacing w:line="205"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p>
        </w:tc>
        <w:tc>
          <w:tcPr>
            <w:tcW w:w="968" w:type="pct"/>
            <w:vAlign w:val="center"/>
          </w:tcPr>
          <w:p w14:paraId="2A429CC6">
            <w:pPr>
              <w:jc w:val="center"/>
              <w:rPr>
                <w:rFonts w:ascii="Arial"/>
                <w:color w:val="000000" w:themeColor="text1"/>
                <w:sz w:val="21"/>
                <w:highlight w:val="none"/>
                <w14:textFill>
                  <w14:solidFill>
                    <w14:schemeClr w14:val="tx1"/>
                  </w14:solidFill>
                </w14:textFill>
              </w:rPr>
            </w:pPr>
          </w:p>
        </w:tc>
        <w:tc>
          <w:tcPr>
            <w:tcW w:w="2291" w:type="pct"/>
            <w:vAlign w:val="center"/>
          </w:tcPr>
          <w:p w14:paraId="021B7104">
            <w:pPr>
              <w:jc w:val="center"/>
              <w:rPr>
                <w:rFonts w:ascii="Arial"/>
                <w:color w:val="000000" w:themeColor="text1"/>
                <w:sz w:val="21"/>
                <w:highlight w:val="none"/>
                <w14:textFill>
                  <w14:solidFill>
                    <w14:schemeClr w14:val="tx1"/>
                  </w14:solidFill>
                </w14:textFill>
              </w:rPr>
            </w:pPr>
          </w:p>
        </w:tc>
        <w:tc>
          <w:tcPr>
            <w:tcW w:w="1414" w:type="pct"/>
            <w:vAlign w:val="center"/>
          </w:tcPr>
          <w:p w14:paraId="554A80AA">
            <w:pPr>
              <w:jc w:val="center"/>
              <w:rPr>
                <w:rFonts w:ascii="Arial"/>
                <w:color w:val="000000" w:themeColor="text1"/>
                <w:sz w:val="21"/>
                <w:highlight w:val="none"/>
                <w14:textFill>
                  <w14:solidFill>
                    <w14:schemeClr w14:val="tx1"/>
                  </w14:solidFill>
                </w14:textFill>
              </w:rPr>
            </w:pPr>
          </w:p>
        </w:tc>
      </w:tr>
      <w:tr w14:paraId="5EA85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5" w:type="pct"/>
            <w:vAlign w:val="center"/>
          </w:tcPr>
          <w:p w14:paraId="2B548E28">
            <w:pPr>
              <w:pStyle w:val="48"/>
              <w:keepNext w:val="0"/>
              <w:keepLines w:val="0"/>
              <w:pageBreakBefore w:val="0"/>
              <w:widowControl w:val="0"/>
              <w:kinsoku/>
              <w:wordWrap/>
              <w:overflowPunct/>
              <w:topLinePunct w:val="0"/>
              <w:autoSpaceDE/>
              <w:autoSpaceDN/>
              <w:bidi w:val="0"/>
              <w:adjustRightInd/>
              <w:snapToGrid/>
              <w:spacing w:line="205"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p>
        </w:tc>
        <w:tc>
          <w:tcPr>
            <w:tcW w:w="968" w:type="pct"/>
            <w:vAlign w:val="center"/>
          </w:tcPr>
          <w:p w14:paraId="4390D593">
            <w:pPr>
              <w:jc w:val="center"/>
              <w:rPr>
                <w:rFonts w:ascii="Arial"/>
                <w:color w:val="000000" w:themeColor="text1"/>
                <w:sz w:val="21"/>
                <w:highlight w:val="none"/>
                <w14:textFill>
                  <w14:solidFill>
                    <w14:schemeClr w14:val="tx1"/>
                  </w14:solidFill>
                </w14:textFill>
              </w:rPr>
            </w:pPr>
          </w:p>
        </w:tc>
        <w:tc>
          <w:tcPr>
            <w:tcW w:w="2291" w:type="pct"/>
            <w:vAlign w:val="center"/>
          </w:tcPr>
          <w:p w14:paraId="1C09739D">
            <w:pPr>
              <w:jc w:val="center"/>
              <w:rPr>
                <w:rFonts w:ascii="Arial"/>
                <w:color w:val="000000" w:themeColor="text1"/>
                <w:sz w:val="21"/>
                <w:highlight w:val="none"/>
                <w14:textFill>
                  <w14:solidFill>
                    <w14:schemeClr w14:val="tx1"/>
                  </w14:solidFill>
                </w14:textFill>
              </w:rPr>
            </w:pPr>
          </w:p>
        </w:tc>
        <w:tc>
          <w:tcPr>
            <w:tcW w:w="1414" w:type="pct"/>
            <w:vAlign w:val="center"/>
          </w:tcPr>
          <w:p w14:paraId="775FA8D2">
            <w:pPr>
              <w:jc w:val="center"/>
              <w:rPr>
                <w:rFonts w:ascii="Arial"/>
                <w:color w:val="000000" w:themeColor="text1"/>
                <w:sz w:val="21"/>
                <w:highlight w:val="none"/>
                <w14:textFill>
                  <w14:solidFill>
                    <w14:schemeClr w14:val="tx1"/>
                  </w14:solidFill>
                </w14:textFill>
              </w:rPr>
            </w:pPr>
          </w:p>
        </w:tc>
      </w:tr>
      <w:tr w14:paraId="615E8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5" w:type="pct"/>
            <w:vAlign w:val="center"/>
          </w:tcPr>
          <w:p w14:paraId="27D99553">
            <w:pPr>
              <w:pStyle w:val="48"/>
              <w:keepNext w:val="0"/>
              <w:keepLines w:val="0"/>
              <w:pageBreakBefore w:val="0"/>
              <w:widowControl w:val="0"/>
              <w:kinsoku/>
              <w:wordWrap/>
              <w:overflowPunct/>
              <w:topLinePunct w:val="0"/>
              <w:autoSpaceDE/>
              <w:autoSpaceDN/>
              <w:bidi w:val="0"/>
              <w:adjustRightInd/>
              <w:snapToGrid/>
              <w:spacing w:line="206"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w:t>
            </w:r>
          </w:p>
        </w:tc>
        <w:tc>
          <w:tcPr>
            <w:tcW w:w="968" w:type="pct"/>
            <w:vAlign w:val="center"/>
          </w:tcPr>
          <w:p w14:paraId="5165054A">
            <w:pPr>
              <w:jc w:val="center"/>
              <w:rPr>
                <w:rFonts w:ascii="Arial"/>
                <w:color w:val="000000" w:themeColor="text1"/>
                <w:sz w:val="21"/>
                <w:highlight w:val="none"/>
                <w14:textFill>
                  <w14:solidFill>
                    <w14:schemeClr w14:val="tx1"/>
                  </w14:solidFill>
                </w14:textFill>
              </w:rPr>
            </w:pPr>
          </w:p>
        </w:tc>
        <w:tc>
          <w:tcPr>
            <w:tcW w:w="2291" w:type="pct"/>
            <w:vAlign w:val="center"/>
          </w:tcPr>
          <w:p w14:paraId="027A6357">
            <w:pPr>
              <w:jc w:val="center"/>
              <w:rPr>
                <w:rFonts w:ascii="Arial"/>
                <w:color w:val="000000" w:themeColor="text1"/>
                <w:sz w:val="21"/>
                <w:highlight w:val="none"/>
                <w14:textFill>
                  <w14:solidFill>
                    <w14:schemeClr w14:val="tx1"/>
                  </w14:solidFill>
                </w14:textFill>
              </w:rPr>
            </w:pPr>
          </w:p>
        </w:tc>
        <w:tc>
          <w:tcPr>
            <w:tcW w:w="1414" w:type="pct"/>
            <w:vAlign w:val="center"/>
          </w:tcPr>
          <w:p w14:paraId="6B9EBC93">
            <w:pPr>
              <w:jc w:val="center"/>
              <w:rPr>
                <w:rFonts w:ascii="Arial"/>
                <w:color w:val="000000" w:themeColor="text1"/>
                <w:sz w:val="21"/>
                <w:highlight w:val="none"/>
                <w14:textFill>
                  <w14:solidFill>
                    <w14:schemeClr w14:val="tx1"/>
                  </w14:solidFill>
                </w14:textFill>
              </w:rPr>
            </w:pPr>
          </w:p>
        </w:tc>
      </w:tr>
      <w:tr w14:paraId="5D3B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293" w:type="pct"/>
            <w:gridSpan w:val="2"/>
            <w:vAlign w:val="center"/>
          </w:tcPr>
          <w:p w14:paraId="37E39FD0">
            <w:pPr>
              <w:pStyle w:val="48"/>
              <w:spacing w:before="195" w:line="221" w:lineRule="auto"/>
              <w:ind w:firstLine="224" w:firstLineChars="100"/>
              <w:jc w:val="center"/>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总计</w:t>
            </w:r>
          </w:p>
        </w:tc>
        <w:tc>
          <w:tcPr>
            <w:tcW w:w="3706" w:type="pct"/>
            <w:gridSpan w:val="2"/>
            <w:vAlign w:val="center"/>
          </w:tcPr>
          <w:p w14:paraId="3921E2B6">
            <w:pPr>
              <w:pStyle w:val="48"/>
              <w:spacing w:before="39" w:line="219" w:lineRule="auto"/>
              <w:ind w:left="116"/>
              <w:jc w:val="both"/>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大写：人民币</w:t>
            </w:r>
            <w:r>
              <w:rPr>
                <w:color w:val="000000" w:themeColor="text1"/>
                <w:spacing w:val="-1"/>
                <w:sz w:val="24"/>
                <w:szCs w:val="24"/>
                <w:highlight w:val="none"/>
                <w:u w:val="single" w:color="auto"/>
                <w14:textFill>
                  <w14:solidFill>
                    <w14:schemeClr w14:val="tx1"/>
                  </w14:solidFill>
                </w14:textFill>
              </w:rPr>
              <w:t xml:space="preserve">                    </w:t>
            </w:r>
            <w:r>
              <w:rPr>
                <w:color w:val="000000" w:themeColor="text1"/>
                <w:spacing w:val="-95"/>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元</w:t>
            </w:r>
          </w:p>
          <w:p w14:paraId="59B0C8D3">
            <w:pPr>
              <w:pStyle w:val="48"/>
              <w:spacing w:before="28" w:line="207" w:lineRule="auto"/>
              <w:ind w:left="120"/>
              <w:jc w:val="both"/>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小写：￥</w:t>
            </w:r>
            <w:r>
              <w:rPr>
                <w:color w:val="000000" w:themeColor="text1"/>
                <w:spacing w:val="-1"/>
                <w:sz w:val="24"/>
                <w:szCs w:val="24"/>
                <w:highlight w:val="none"/>
                <w:u w:val="single" w:color="auto"/>
                <w14:textFill>
                  <w14:solidFill>
                    <w14:schemeClr w14:val="tx1"/>
                  </w14:solidFill>
                </w14:textFill>
              </w:rPr>
              <w:t xml:space="preserve">                    </w:t>
            </w:r>
          </w:p>
        </w:tc>
      </w:tr>
    </w:tbl>
    <w:p w14:paraId="52BCD0C0">
      <w:pPr>
        <w:pStyle w:val="12"/>
        <w:adjustRightInd w:val="0"/>
        <w:snapToGrid w:val="0"/>
        <w:spacing w:before="120" w:beforeLines="50"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、合计金额应为各分项价格之和。</w:t>
      </w:r>
    </w:p>
    <w:p w14:paraId="39B77142">
      <w:pPr>
        <w:pStyle w:val="12"/>
        <w:adjustRightInd w:val="0"/>
        <w:snapToGrid w:val="0"/>
        <w:spacing w:before="120" w:beforeLines="50" w:line="360" w:lineRule="auto"/>
        <w:ind w:firstLine="422" w:firstLineChars="20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lang w:val="zh-CN" w:eastAsia="zh-CN"/>
          <w14:textFill>
            <w14:solidFill>
              <w14:schemeClr w14:val="tx1"/>
            </w14:solidFill>
          </w14:textFill>
        </w:rPr>
        <w:t>、此表中的“投标总价”必须与 “</w:t>
      </w:r>
      <w:r>
        <w:rPr>
          <w:rFonts w:hint="eastAsia" w:ascii="宋体" w:hAnsi="宋体" w:eastAsia="宋体" w:cs="宋体"/>
          <w:b/>
          <w:bCs/>
          <w:color w:val="000000" w:themeColor="text1"/>
          <w:szCs w:val="21"/>
          <w:highlight w:val="none"/>
          <w:lang w:val="zh-CN"/>
          <w14:textFill>
            <w14:solidFill>
              <w14:schemeClr w14:val="tx1"/>
            </w14:solidFill>
          </w14:textFill>
        </w:rPr>
        <w:t xml:space="preserve"> 开标一览表</w:t>
      </w:r>
      <w:r>
        <w:rPr>
          <w:rFonts w:hint="eastAsia" w:ascii="宋体" w:hAnsi="宋体" w:eastAsia="宋体" w:cs="宋体"/>
          <w:b/>
          <w:bCs/>
          <w:color w:val="000000" w:themeColor="text1"/>
          <w:szCs w:val="21"/>
          <w:highlight w:val="none"/>
          <w:lang w:val="zh-CN" w:eastAsia="zh-CN"/>
          <w14:textFill>
            <w14:solidFill>
              <w14:schemeClr w14:val="tx1"/>
            </w14:solidFill>
          </w14:textFill>
        </w:rPr>
        <w:t>”中的投标总价一致。</w:t>
      </w:r>
    </w:p>
    <w:p w14:paraId="0DC4143E">
      <w:pPr>
        <w:pStyle w:val="12"/>
        <w:adjustRightInd w:val="0"/>
        <w:snapToGrid w:val="0"/>
        <w:spacing w:before="120" w:beforeLines="5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、投标人将此分项报价明细表与开标一览表作为报价响应文件一并上传。</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4DFFDCE">
      <w:pPr>
        <w:tabs>
          <w:tab w:val="left" w:pos="558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r>
        <w:rPr>
          <w:rFonts w:hint="eastAsia" w:ascii="宋体" w:hAnsi="宋体" w:eastAsia="宋体" w:cs="宋体"/>
          <w:color w:val="000000" w:themeColor="text1"/>
          <w:szCs w:val="21"/>
          <w:highlight w:val="none"/>
          <w:lang w:val="en-US" w:eastAsia="zh-CN"/>
          <w14:textFill>
            <w14:solidFill>
              <w14:schemeClr w14:val="tx1"/>
            </w14:solidFill>
          </w14:textFill>
        </w:rPr>
        <w:t>电子签章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ab/>
      </w:r>
    </w:p>
    <w:p w14:paraId="7FE6D8E5">
      <w:pPr>
        <w:tabs>
          <w:tab w:val="left" w:pos="558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法人或</w:t>
      </w:r>
      <w:r>
        <w:rPr>
          <w:rFonts w:hint="eastAsia" w:ascii="宋体" w:hAnsi="宋体" w:eastAsia="宋体" w:cs="宋体"/>
          <w:color w:val="000000" w:themeColor="text1"/>
          <w:szCs w:val="21"/>
          <w:highlight w:val="none"/>
          <w14:textFill>
            <w14:solidFill>
              <w14:schemeClr w14:val="tx1"/>
            </w14:solidFill>
          </w14:textFill>
        </w:rPr>
        <w:t>授权代表姓名（</w:t>
      </w:r>
      <w:r>
        <w:rPr>
          <w:rFonts w:hint="eastAsia" w:ascii="宋体" w:hAnsi="宋体" w:eastAsia="宋体" w:cs="宋体"/>
          <w:color w:val="000000" w:themeColor="text1"/>
          <w:szCs w:val="21"/>
          <w:highlight w:val="none"/>
          <w:lang w:val="en-US" w:eastAsia="zh-CN"/>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ab/>
      </w:r>
    </w:p>
    <w:p w14:paraId="583DB258">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257B69E2">
      <w:pPr>
        <w:spacing w:line="360" w:lineRule="auto"/>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3D77ACFE">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65" w:name="_Toc144556795"/>
      <w:bookmarkStart w:id="66" w:name="_Toc175062647"/>
      <w:bookmarkStart w:id="67" w:name="_Toc302360908"/>
      <w:bookmarkStart w:id="68" w:name="_Toc22887"/>
      <w:bookmarkStart w:id="69" w:name="_Toc28588"/>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  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color w:val="000000" w:themeColor="text1"/>
          <w:sz w:val="21"/>
          <w:szCs w:val="21"/>
          <w:highlight w:val="none"/>
          <w14:textFill>
            <w14:solidFill>
              <w14:schemeClr w14:val="tx1"/>
            </w14:solidFill>
          </w14:textFill>
        </w:rPr>
        <w:t>偏离表</w:t>
      </w:r>
      <w:bookmarkEnd w:id="65"/>
      <w:bookmarkEnd w:id="66"/>
      <w:bookmarkEnd w:id="67"/>
      <w:r>
        <w:rPr>
          <w:rFonts w:hint="eastAsia" w:ascii="宋体" w:hAnsi="宋体" w:eastAsia="宋体" w:cs="宋体"/>
          <w:color w:val="000000" w:themeColor="text1"/>
          <w:sz w:val="21"/>
          <w:szCs w:val="21"/>
          <w:highlight w:val="none"/>
          <w14:textFill>
            <w14:solidFill>
              <w14:schemeClr w14:val="tx1"/>
            </w14:solidFill>
          </w14:textFill>
        </w:rPr>
        <w:t>（格式）</w:t>
      </w:r>
      <w:bookmarkEnd w:id="68"/>
      <w:bookmarkEnd w:id="69"/>
    </w:p>
    <w:p w14:paraId="6461C678">
      <w:pPr>
        <w:pStyle w:val="10"/>
        <w:spacing w:before="0"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p>
    <w:p w14:paraId="422D54C0">
      <w:pPr>
        <w:pStyle w:val="12"/>
        <w:spacing w:line="360" w:lineRule="auto"/>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招标编号：                                                                      项目名称：                                                                     </w:t>
      </w:r>
    </w:p>
    <w:tbl>
      <w:tblPr>
        <w:tblStyle w:val="25"/>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31AED72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1587F75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074" w:type="dxa"/>
            <w:noWrap w:val="0"/>
            <w:vAlign w:val="center"/>
          </w:tcPr>
          <w:p w14:paraId="372FBD7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招标文件条款号</w:t>
            </w:r>
          </w:p>
        </w:tc>
        <w:tc>
          <w:tcPr>
            <w:tcW w:w="2190" w:type="dxa"/>
            <w:noWrap w:val="0"/>
            <w:vAlign w:val="center"/>
          </w:tcPr>
          <w:p w14:paraId="389126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招标文件的</w:t>
            </w:r>
            <w:r>
              <w:rPr>
                <w:rFonts w:hint="eastAsia" w:hAnsi="宋体" w:eastAsia="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条款</w:t>
            </w:r>
          </w:p>
        </w:tc>
        <w:tc>
          <w:tcPr>
            <w:tcW w:w="2239" w:type="dxa"/>
            <w:noWrap w:val="0"/>
            <w:vAlign w:val="center"/>
          </w:tcPr>
          <w:p w14:paraId="1570193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投标文件的</w:t>
            </w:r>
            <w:r>
              <w:rPr>
                <w:rFonts w:hint="eastAsia" w:hAnsi="宋体" w:eastAsia="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条款</w:t>
            </w:r>
          </w:p>
        </w:tc>
        <w:tc>
          <w:tcPr>
            <w:tcW w:w="727" w:type="dxa"/>
            <w:noWrap w:val="0"/>
            <w:vAlign w:val="center"/>
          </w:tcPr>
          <w:p w14:paraId="0DA5550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w:t>
            </w:r>
          </w:p>
        </w:tc>
        <w:tc>
          <w:tcPr>
            <w:tcW w:w="823" w:type="dxa"/>
            <w:noWrap w:val="0"/>
            <w:vAlign w:val="center"/>
          </w:tcPr>
          <w:p w14:paraId="796EB2D3">
            <w:pPr>
              <w:pStyle w:val="12"/>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hAnsi="宋体" w:eastAsia="宋体" w:cs="宋体"/>
                <w:color w:val="000000" w:themeColor="text1"/>
                <w:szCs w:val="21"/>
                <w:highlight w:val="none"/>
                <w:lang w:val="en-US" w:eastAsia="zh-CN"/>
                <w14:textFill>
                  <w14:solidFill>
                    <w14:schemeClr w14:val="tx1"/>
                  </w14:solidFill>
                </w14:textFill>
              </w:rPr>
              <w:t>备注</w:t>
            </w:r>
          </w:p>
        </w:tc>
      </w:tr>
      <w:tr w14:paraId="2155677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D75365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20A6496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2A5B25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220D09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6A0B4C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0A29FBB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DB6EF4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AA8984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47820A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416F123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7AC1FFE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59778DC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511BC8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323BB0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BECD3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FACEF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0EC29C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4F8AFB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5E0004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E780E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3AA97A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4E11F8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5DFC2C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E38623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40AE504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BC13C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5E26D4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47CF2B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09872D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7B71A2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9C6658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DF1756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A157E1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888CB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887F4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0B6D2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2D5598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5A96C7B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9BB650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94F18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9A158B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98DE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85C23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DECEC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D2673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78C45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619A95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1C40283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9A00D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F0FCB5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70D3D3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2386F9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16FC87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2C5F61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333536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7C35D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97157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7277B8A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9A38D7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5A726D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6A0181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3CE4D8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8CCA77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85B5E6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84076D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38E86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B2BE11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4769C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811ADB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8FB0B6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73250B4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C4728B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A4AA5C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60186C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62675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21E2B6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047AD8DB">
      <w:pPr>
        <w:pStyle w:val="10"/>
        <w:spacing w:before="0"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p>
    <w:p w14:paraId="29E49BB9">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585F7554">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1EAE35A">
      <w:pPr>
        <w:tabs>
          <w:tab w:val="left" w:pos="4620"/>
        </w:tabs>
        <w:spacing w:before="120" w:beforeLines="50"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w:t>
      </w:r>
    </w:p>
    <w:p w14:paraId="47E54501">
      <w:pPr>
        <w:spacing w:line="360" w:lineRule="auto"/>
        <w:rPr>
          <w:rFonts w:hint="eastAsia" w:ascii="宋体" w:hAnsi="宋体" w:eastAsia="宋体" w:cs="宋体"/>
          <w:bCs/>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0FCCA7C8">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70" w:name="_Toc302360909"/>
      <w:bookmarkStart w:id="71" w:name="_Toc144556796"/>
      <w:bookmarkStart w:id="72" w:name="_Toc175062648"/>
      <w:bookmarkStart w:id="73" w:name="_Toc29245"/>
      <w:bookmarkStart w:id="74" w:name="_Toc22872"/>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商务条款偏离表</w:t>
      </w:r>
      <w:bookmarkEnd w:id="70"/>
      <w:bookmarkEnd w:id="71"/>
      <w:bookmarkEnd w:id="72"/>
      <w:r>
        <w:rPr>
          <w:rFonts w:hint="eastAsia" w:ascii="宋体" w:hAnsi="宋体" w:eastAsia="宋体" w:cs="宋体"/>
          <w:color w:val="000000" w:themeColor="text1"/>
          <w:sz w:val="21"/>
          <w:szCs w:val="21"/>
          <w:highlight w:val="none"/>
          <w14:textFill>
            <w14:solidFill>
              <w14:schemeClr w14:val="tx1"/>
            </w14:solidFill>
          </w14:textFill>
        </w:rPr>
        <w:t>（格式）</w:t>
      </w:r>
      <w:bookmarkEnd w:id="73"/>
      <w:bookmarkEnd w:id="74"/>
    </w:p>
    <w:p w14:paraId="5CB0924C">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4DB491D4">
      <w:pPr>
        <w:pStyle w:val="12"/>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招标编号：                                                               </w:t>
      </w:r>
    </w:p>
    <w:p w14:paraId="7DBE8D08">
      <w:pPr>
        <w:pStyle w:val="12"/>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项目名称：                                                 </w:t>
      </w:r>
    </w:p>
    <w:tbl>
      <w:tblPr>
        <w:tblStyle w:val="25"/>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4CCE40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0068BEC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074" w:type="dxa"/>
            <w:noWrap w:val="0"/>
            <w:vAlign w:val="center"/>
          </w:tcPr>
          <w:p w14:paraId="1E04350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招标文件条款号</w:t>
            </w:r>
          </w:p>
        </w:tc>
        <w:tc>
          <w:tcPr>
            <w:tcW w:w="2190" w:type="dxa"/>
            <w:noWrap w:val="0"/>
            <w:vAlign w:val="center"/>
          </w:tcPr>
          <w:p w14:paraId="37FCAEB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招标文件的商务条款</w:t>
            </w:r>
          </w:p>
        </w:tc>
        <w:tc>
          <w:tcPr>
            <w:tcW w:w="2239" w:type="dxa"/>
            <w:noWrap w:val="0"/>
            <w:vAlign w:val="center"/>
          </w:tcPr>
          <w:p w14:paraId="05A9678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投标文件的商务条款</w:t>
            </w:r>
          </w:p>
        </w:tc>
        <w:tc>
          <w:tcPr>
            <w:tcW w:w="727" w:type="dxa"/>
            <w:noWrap w:val="0"/>
            <w:vAlign w:val="center"/>
          </w:tcPr>
          <w:p w14:paraId="438556E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w:t>
            </w:r>
          </w:p>
        </w:tc>
        <w:tc>
          <w:tcPr>
            <w:tcW w:w="823" w:type="dxa"/>
            <w:noWrap w:val="0"/>
            <w:vAlign w:val="center"/>
          </w:tcPr>
          <w:p w14:paraId="18F1D3F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14:paraId="64A236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720156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748FD87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10C7B4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3932DD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3EF20D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8554D3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F6BCB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9894AE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7F4BE9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E3195F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4865A7E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54E7589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A496DF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DC4224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386A11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46A3F0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449D1E5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40BAF6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BFE3ED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5329B1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B85BC6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2904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0E1BAC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791818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E485E6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B3D44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B5A573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41D113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752333B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3B53DA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53B7225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655B2EF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2C0527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0E71E51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F21D8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C058B3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2E4409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62F589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CF89E0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3C9A753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3884AD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06CA9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59550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EE62F1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E4C4EA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F11F3D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87DBCC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F49F22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ED19E3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281BF3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FE30E5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78EB42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FB8C7C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9D4D9E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1599D7F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C259AE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7C4D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551DE4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1D4B34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393D6A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E9350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0563F9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51D10B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FE654C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7FD904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C673D5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60A8C2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353A8A4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37FA6D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2B36F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133F2E4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2D6F7E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689751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66AD395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93C113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D94EB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54D2F0EF">
      <w:pPr>
        <w:pStyle w:val="10"/>
        <w:spacing w:before="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07AC6447">
      <w:pPr>
        <w:pStyle w:val="10"/>
        <w:spacing w:before="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20563364">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56B02FA3">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14722441">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F828401">
      <w:pPr>
        <w:rPr>
          <w:rFonts w:hint="eastAsia" w:ascii="宋体" w:hAnsi="宋体" w:eastAsia="宋体" w:cs="宋体"/>
          <w:color w:val="000000" w:themeColor="text1"/>
          <w:szCs w:val="21"/>
          <w:highlight w:val="none"/>
          <w14:textFill>
            <w14:solidFill>
              <w14:schemeClr w14:val="tx1"/>
            </w14:solidFill>
          </w14:textFill>
        </w:rPr>
      </w:pPr>
    </w:p>
    <w:p w14:paraId="634D368C">
      <w:pPr>
        <w:rPr>
          <w:rFonts w:hint="eastAsia" w:ascii="宋体" w:hAnsi="宋体" w:eastAsia="宋体" w:cs="宋体"/>
          <w:color w:val="000000" w:themeColor="text1"/>
          <w:szCs w:val="21"/>
          <w:highlight w:val="none"/>
          <w14:textFill>
            <w14:solidFill>
              <w14:schemeClr w14:val="tx1"/>
            </w14:solidFill>
          </w14:textFill>
        </w:rPr>
      </w:pPr>
    </w:p>
    <w:p w14:paraId="7F35EC89">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75" w:name="_Toc175062649"/>
    </w:p>
    <w:p w14:paraId="1EE3A838">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00E76F2">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57CB612">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01A230F">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B9294E3">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23F098A">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p>
    <w:p w14:paraId="7FECB694">
      <w:pPr>
        <w:rPr>
          <w:rFonts w:hint="eastAsia" w:ascii="宋体" w:hAnsi="宋体" w:eastAsia="宋体" w:cs="宋体"/>
          <w:color w:val="000000" w:themeColor="text1"/>
          <w:sz w:val="21"/>
          <w:szCs w:val="21"/>
          <w:highlight w:val="none"/>
          <w14:textFill>
            <w14:solidFill>
              <w14:schemeClr w14:val="tx1"/>
            </w14:solidFill>
          </w14:textFill>
        </w:rPr>
      </w:pPr>
      <w:bookmarkStart w:id="76" w:name="_Toc6459"/>
      <w:r>
        <w:rPr>
          <w:rFonts w:hint="eastAsia" w:ascii="宋体" w:hAnsi="宋体" w:eastAsia="宋体" w:cs="宋体"/>
          <w:color w:val="000000" w:themeColor="text1"/>
          <w:sz w:val="21"/>
          <w:szCs w:val="21"/>
          <w:highlight w:val="none"/>
          <w14:textFill>
            <w14:solidFill>
              <w14:schemeClr w14:val="tx1"/>
            </w14:solidFill>
          </w14:textFill>
        </w:rPr>
        <w:br w:type="page"/>
      </w:r>
    </w:p>
    <w:p w14:paraId="6F1599A6">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77" w:name="_Toc31342"/>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  资格证明文件（格式）</w:t>
      </w:r>
      <w:bookmarkEnd w:id="75"/>
      <w:bookmarkEnd w:id="76"/>
      <w:bookmarkEnd w:id="77"/>
    </w:p>
    <w:p w14:paraId="613FCF23">
      <w:pPr>
        <w:pStyle w:val="17"/>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78" w:name="_Toc28579"/>
      <w:bookmarkStart w:id="79" w:name="_Toc302360911"/>
      <w:bookmarkStart w:id="80" w:name="_Toc175062650"/>
      <w:bookmarkStart w:id="81" w:name="_Toc3235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-1  </w:t>
      </w:r>
      <w:bookmarkEnd w:id="78"/>
      <w:bookmarkEnd w:id="79"/>
      <w:bookmarkEnd w:id="80"/>
      <w:r>
        <w:rPr>
          <w:rFonts w:hint="eastAsia" w:ascii="宋体" w:hAnsi="宋体" w:eastAsia="宋体" w:cs="宋体"/>
          <w:color w:val="000000" w:themeColor="text1"/>
          <w:sz w:val="21"/>
          <w:szCs w:val="21"/>
          <w:highlight w:val="none"/>
          <w14:textFill>
            <w14:solidFill>
              <w14:schemeClr w14:val="tx1"/>
            </w14:solidFill>
          </w14:textFill>
        </w:rPr>
        <w:t>法人或者其他组织的营业执照副本复印件或自然人的身份证明复印件</w:t>
      </w:r>
      <w:bookmarkEnd w:id="81"/>
    </w:p>
    <w:p w14:paraId="3B230F7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2B4811E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供应商是企业（包括合伙企业）的，应提供其在工商部门注册的有效“企业法人营业执照”或“营业执照”的复印件；</w:t>
      </w:r>
    </w:p>
    <w:p w14:paraId="604F666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供应商是事业单位的，应提供其有效的“事业单位法人证书”复印件；</w:t>
      </w:r>
    </w:p>
    <w:p w14:paraId="2912B9A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供应商是非企业专业服务机构的，应提供其有效的“执业许可证”复印件；</w:t>
      </w:r>
    </w:p>
    <w:p w14:paraId="71493CE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供应商是个体工商户的，应提供其有效的“个体工商户营业执照”复印件；</w:t>
      </w:r>
    </w:p>
    <w:p w14:paraId="5D55C46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供应商是自然人的，应提供其有效的自然人身份证明；</w:t>
      </w:r>
    </w:p>
    <w:p w14:paraId="333586F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2．复印件须加盖本单位公章。</w:t>
      </w:r>
    </w:p>
    <w:p w14:paraId="31DBD5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3．评标委员会保留审核原件的权利。</w:t>
      </w:r>
    </w:p>
    <w:p w14:paraId="4156F5EC">
      <w:pPr>
        <w:pStyle w:val="10"/>
        <w:rPr>
          <w:rFonts w:hint="eastAsia" w:ascii="宋体" w:hAnsi="宋体" w:eastAsia="宋体" w:cs="宋体"/>
          <w:color w:val="000000" w:themeColor="text1"/>
          <w:highlight w:val="none"/>
          <w:lang w:val="en-US" w:eastAsia="zh-CN"/>
          <w14:textFill>
            <w14:solidFill>
              <w14:schemeClr w14:val="tx1"/>
            </w14:solidFill>
          </w14:textFill>
        </w:rPr>
      </w:pPr>
    </w:p>
    <w:p w14:paraId="4FAF2B2A">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p w14:paraId="205628F4">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FCFCA33">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14D618B">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093BC2D">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C22A801">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1D176D6">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5F3CBA1">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9CBCE48">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7A8EA05">
      <w:pPr>
        <w:pStyle w:val="17"/>
        <w:spacing w:before="120" w:beforeLines="50" w:after="120" w:afterLines="50" w:line="24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82" w:name="_Toc302360912"/>
    </w:p>
    <w:p w14:paraId="0F9031EB">
      <w:pPr>
        <w:spacing w:line="360" w:lineRule="auto"/>
        <w:outlineLvl w:val="1"/>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83" w:name="_Toc17395"/>
      <w:bookmarkStart w:id="84" w:name="_Toc7970"/>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 xml:space="preserve">附件6-2  </w:t>
      </w:r>
      <w:bookmarkEnd w:id="82"/>
      <w:bookmarkEnd w:id="83"/>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具有良好的商业信誉和健全的财务会计制度；</w:t>
      </w:r>
      <w:bookmarkEnd w:id="84"/>
    </w:p>
    <w:p w14:paraId="13E58D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11F9E8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1、投标人在投标文件中，应提供本单位</w:t>
      </w:r>
      <w:r>
        <w:rPr>
          <w:rFonts w:hint="eastAsia" w:ascii="宋体" w:hAnsi="宋体" w:eastAsia="宋体" w:cs="宋体"/>
          <w:color w:val="000000" w:themeColor="text1"/>
          <w:szCs w:val="21"/>
          <w:highlight w:val="none"/>
          <w:lang w:val="en-US" w:eastAsia="zh-CN"/>
          <w14:textFill>
            <w14:solidFill>
              <w14:schemeClr w14:val="tx1"/>
            </w14:solidFill>
          </w14:textFill>
        </w:rPr>
        <w:t>2024年度或2025年度</w:t>
      </w:r>
      <w:r>
        <w:rPr>
          <w:rFonts w:hint="eastAsia" w:ascii="宋体" w:hAnsi="宋体" w:eastAsia="宋体" w:cs="宋体"/>
          <w:color w:val="000000" w:themeColor="text1"/>
          <w:szCs w:val="21"/>
          <w:highlight w:val="none"/>
          <w14:textFill>
            <w14:solidFill>
              <w14:schemeClr w14:val="tx1"/>
            </w14:solidFill>
          </w14:textFill>
        </w:rPr>
        <w:t>会计师事务所出具的审计报告复印件并加盖本单位公章。</w:t>
      </w:r>
    </w:p>
    <w:p w14:paraId="765E7F2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2、如投标人无法提供上年度审计报告或新企业验资报告，则需提供开户银行在开标日前三个月内出具的资信证明。</w:t>
      </w:r>
    </w:p>
    <w:p w14:paraId="513A74C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3、银行资信证明应能说明该投标人与银行之间业务往来正常，企业信誉良好等。银行出具的存款证明不能替代银行资信证明。</w:t>
      </w:r>
    </w:p>
    <w:p w14:paraId="17289356">
      <w:pPr>
        <w:rPr>
          <w:rFonts w:hint="eastAsia" w:ascii="宋体" w:hAnsi="宋体" w:eastAsia="宋体" w:cs="宋体"/>
          <w:color w:val="000000" w:themeColor="text1"/>
          <w:sz w:val="21"/>
          <w:szCs w:val="21"/>
          <w:highlight w:val="none"/>
          <w14:textFill>
            <w14:solidFill>
              <w14:schemeClr w14:val="tx1"/>
            </w14:solidFill>
          </w14:textFill>
        </w:rPr>
      </w:pPr>
      <w:bookmarkStart w:id="85" w:name="_Toc27598"/>
      <w:r>
        <w:rPr>
          <w:rFonts w:hint="eastAsia" w:ascii="宋体" w:hAnsi="宋体" w:eastAsia="宋体" w:cs="宋体"/>
          <w:color w:val="000000" w:themeColor="text1"/>
          <w:sz w:val="21"/>
          <w:szCs w:val="21"/>
          <w:highlight w:val="none"/>
          <w14:textFill>
            <w14:solidFill>
              <w14:schemeClr w14:val="tx1"/>
            </w14:solidFill>
          </w14:textFill>
        </w:rPr>
        <w:br w:type="page"/>
      </w:r>
    </w:p>
    <w:p w14:paraId="72DE91D5">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86" w:name="_Toc2061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bookmarkEnd w:id="85"/>
      <w:r>
        <w:rPr>
          <w:rFonts w:hint="eastAsia" w:ascii="宋体" w:hAnsi="宋体" w:eastAsia="宋体" w:cs="宋体"/>
          <w:color w:val="000000" w:themeColor="text1"/>
          <w:sz w:val="21"/>
          <w:szCs w:val="21"/>
          <w:highlight w:val="none"/>
          <w14:textFill>
            <w14:solidFill>
              <w14:schemeClr w14:val="tx1"/>
            </w14:solidFill>
          </w14:textFill>
        </w:rPr>
        <w:t>具有依法缴纳税收和社会保障资金的良好记录（需提供投标截止日前六个月内任一个月的企业纳税证明和社保缴费记录证明）</w:t>
      </w:r>
      <w:bookmarkEnd w:id="86"/>
    </w:p>
    <w:p w14:paraId="7418C4A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说明： </w:t>
      </w:r>
    </w:p>
    <w:p w14:paraId="43FAE958">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1．需提供</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截止日前六个月内任一个月的纳税证明和社保缴费记录证明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①</w:t>
      </w:r>
      <w:r>
        <w:rPr>
          <w:rFonts w:hint="eastAsia"/>
          <w:color w:val="000000" w:themeColor="text1"/>
          <w:sz w:val="21"/>
          <w:szCs w:val="21"/>
          <w:highlight w:val="none"/>
          <w:lang w:val="en-US" w:eastAsia="zh-CN"/>
          <w14:textFill>
            <w14:solidFill>
              <w14:schemeClr w14:val="tx1"/>
            </w14:solidFill>
          </w14:textFill>
        </w:rPr>
        <w:t>无需纳税或免税的需提供相应证明材料，②依法不需要交纳社会保障资金的需提供相应证明材料</w:t>
      </w:r>
      <w:r>
        <w:rPr>
          <w:rFonts w:hint="eastAsia" w:ascii="宋体" w:hAnsi="宋体" w:eastAsia="宋体" w:cs="宋体"/>
          <w:color w:val="000000" w:themeColor="text1"/>
          <w:szCs w:val="21"/>
          <w:highlight w:val="none"/>
          <w:lang w:eastAsia="zh-CN"/>
          <w14:textFill>
            <w14:solidFill>
              <w14:schemeClr w14:val="tx1"/>
            </w14:solidFill>
          </w14:textFill>
        </w:rPr>
        <w:t>）；</w:t>
      </w:r>
    </w:p>
    <w:p w14:paraId="2ACF86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2．复印件须加盖本单位公章。</w:t>
      </w:r>
    </w:p>
    <w:p w14:paraId="208654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3．评标委员会保留审核原件的权利。</w:t>
      </w:r>
    </w:p>
    <w:p w14:paraId="7270BFF1">
      <w:pPr>
        <w:rPr>
          <w:rFonts w:hint="eastAsia" w:ascii="宋体" w:hAnsi="宋体" w:eastAsia="宋体" w:cs="宋体"/>
          <w:color w:val="000000" w:themeColor="text1"/>
          <w:szCs w:val="21"/>
          <w:highlight w:val="none"/>
          <w14:textFill>
            <w14:solidFill>
              <w14:schemeClr w14:val="tx1"/>
            </w14:solidFill>
          </w14:textFill>
        </w:rPr>
      </w:pPr>
    </w:p>
    <w:p w14:paraId="2E5D7402">
      <w:pPr>
        <w:pStyle w:val="10"/>
        <w:rPr>
          <w:rFonts w:hint="eastAsia" w:ascii="宋体" w:hAnsi="宋体" w:eastAsia="宋体" w:cs="宋体"/>
          <w:color w:val="000000" w:themeColor="text1"/>
          <w:szCs w:val="21"/>
          <w:highlight w:val="none"/>
          <w14:textFill>
            <w14:solidFill>
              <w14:schemeClr w14:val="tx1"/>
            </w14:solidFill>
          </w14:textFill>
        </w:rPr>
      </w:pPr>
    </w:p>
    <w:p w14:paraId="5B2147C8">
      <w:pPr>
        <w:pStyle w:val="10"/>
        <w:rPr>
          <w:rFonts w:hint="eastAsia" w:ascii="宋体" w:hAnsi="宋体" w:eastAsia="宋体" w:cs="宋体"/>
          <w:color w:val="000000" w:themeColor="text1"/>
          <w:szCs w:val="21"/>
          <w:highlight w:val="none"/>
          <w14:textFill>
            <w14:solidFill>
              <w14:schemeClr w14:val="tx1"/>
            </w14:solidFill>
          </w14:textFill>
        </w:rPr>
      </w:pPr>
    </w:p>
    <w:p w14:paraId="7677AD11">
      <w:pPr>
        <w:pStyle w:val="10"/>
        <w:rPr>
          <w:rFonts w:hint="eastAsia" w:ascii="宋体" w:hAnsi="宋体" w:eastAsia="宋体" w:cs="宋体"/>
          <w:color w:val="000000" w:themeColor="text1"/>
          <w:szCs w:val="21"/>
          <w:highlight w:val="none"/>
          <w14:textFill>
            <w14:solidFill>
              <w14:schemeClr w14:val="tx1"/>
            </w14:solidFill>
          </w14:textFill>
        </w:rPr>
      </w:pPr>
    </w:p>
    <w:p w14:paraId="4C480A04">
      <w:pPr>
        <w:tabs>
          <w:tab w:val="left" w:pos="5580"/>
        </w:tabs>
        <w:spacing w:line="360" w:lineRule="auto"/>
        <w:rPr>
          <w:rFonts w:hint="eastAsia" w:ascii="宋体" w:hAnsi="宋体" w:eastAsia="宋体" w:cs="宋体"/>
          <w:b/>
          <w:bCs/>
          <w:color w:val="000000" w:themeColor="text1"/>
          <w:kern w:val="28"/>
          <w:szCs w:val="21"/>
          <w:highlight w:val="none"/>
          <w14:textFill>
            <w14:solidFill>
              <w14:schemeClr w14:val="tx1"/>
            </w14:solidFill>
          </w14:textFill>
        </w:rPr>
      </w:pPr>
    </w:p>
    <w:p w14:paraId="081EEEA1">
      <w:pPr>
        <w:tabs>
          <w:tab w:val="left" w:pos="5580"/>
        </w:tabs>
        <w:spacing w:line="360" w:lineRule="auto"/>
        <w:outlineLvl w:val="1"/>
        <w:rPr>
          <w:rFonts w:hint="eastAsia" w:ascii="宋体" w:hAnsi="宋体" w:eastAsia="宋体" w:cs="宋体"/>
          <w:b/>
          <w:bCs/>
          <w:color w:val="000000" w:themeColor="text1"/>
          <w:kern w:val="28"/>
          <w:szCs w:val="21"/>
          <w:highlight w:val="none"/>
          <w14:textFill>
            <w14:solidFill>
              <w14:schemeClr w14:val="tx1"/>
            </w14:solidFill>
          </w14:textFill>
        </w:rPr>
      </w:pPr>
      <w:bookmarkStart w:id="87" w:name="_Toc29972"/>
      <w:r>
        <w:rPr>
          <w:rFonts w:hint="eastAsia" w:ascii="宋体" w:hAnsi="宋体" w:eastAsia="宋体" w:cs="宋体"/>
          <w:b/>
          <w:bCs/>
          <w:color w:val="000000" w:themeColor="text1"/>
          <w:kern w:val="28"/>
          <w:szCs w:val="21"/>
          <w:highlight w:val="none"/>
          <w14:textFill>
            <w14:solidFill>
              <w14:schemeClr w14:val="tx1"/>
            </w14:solidFill>
          </w14:textFill>
        </w:rPr>
        <w:t>附件</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28"/>
          <w:szCs w:val="21"/>
          <w:highlight w:val="none"/>
          <w14:textFill>
            <w14:solidFill>
              <w14:schemeClr w14:val="tx1"/>
            </w14:solidFill>
          </w14:textFill>
        </w:rPr>
        <w:t>-</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bookmarkEnd w:id="87"/>
    </w:p>
    <w:p w14:paraId="3A52645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本单位郑重声明：</w:t>
      </w:r>
    </w:p>
    <w:p w14:paraId="75DCD6B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我单位在参加采购活动前三年内在经营活动中没有《政府采购法》第二十二条第一款第(五)项所称重大违法记录，包括：</w:t>
      </w:r>
    </w:p>
    <w:p w14:paraId="3ADFC2C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3FA2E11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特此声明！</w:t>
      </w:r>
    </w:p>
    <w:p w14:paraId="755D50EF">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A2EA922">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29D825DD">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359C80C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38CDF1CA">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4694B21F">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6C05197F">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5DFA88C4">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1DD5B44D">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6B7EF21C">
      <w:pPr>
        <w:tabs>
          <w:tab w:val="left" w:pos="5580"/>
        </w:tabs>
        <w:spacing w:line="360" w:lineRule="auto"/>
        <w:rPr>
          <w:rFonts w:hint="eastAsia" w:ascii="宋体" w:hAnsi="宋体" w:eastAsia="宋体" w:cs="宋体"/>
          <w:b/>
          <w:bCs/>
          <w:color w:val="000000" w:themeColor="text1"/>
          <w:kern w:val="28"/>
          <w:szCs w:val="21"/>
          <w:highlight w:val="none"/>
          <w14:textFill>
            <w14:solidFill>
              <w14:schemeClr w14:val="tx1"/>
            </w14:solidFill>
          </w14:textFill>
        </w:rPr>
      </w:pPr>
    </w:p>
    <w:p w14:paraId="310C54B7">
      <w:pPr>
        <w:rPr>
          <w:rFonts w:hint="eastAsia" w:ascii="宋体" w:hAnsi="宋体" w:eastAsia="宋体" w:cs="宋体"/>
          <w:b/>
          <w:bCs/>
          <w:color w:val="000000" w:themeColor="text1"/>
          <w:kern w:val="28"/>
          <w:szCs w:val="21"/>
          <w:highlight w:val="none"/>
          <w14:textFill>
            <w14:solidFill>
              <w14:schemeClr w14:val="tx1"/>
            </w14:solidFill>
          </w14:textFill>
        </w:rPr>
      </w:pPr>
      <w:r>
        <w:rPr>
          <w:rFonts w:hint="eastAsia" w:ascii="宋体" w:hAnsi="宋体" w:eastAsia="宋体" w:cs="宋体"/>
          <w:b/>
          <w:bCs/>
          <w:color w:val="000000" w:themeColor="text1"/>
          <w:kern w:val="28"/>
          <w:szCs w:val="21"/>
          <w:highlight w:val="none"/>
          <w14:textFill>
            <w14:solidFill>
              <w14:schemeClr w14:val="tx1"/>
            </w14:solidFill>
          </w14:textFill>
        </w:rPr>
        <w:br w:type="page"/>
      </w:r>
    </w:p>
    <w:p w14:paraId="38113E8A">
      <w:pPr>
        <w:tabs>
          <w:tab w:val="left" w:pos="5580"/>
        </w:tabs>
        <w:spacing w:line="360" w:lineRule="auto"/>
        <w:outlineLvl w:val="1"/>
        <w:rPr>
          <w:rFonts w:hint="eastAsia" w:ascii="宋体" w:hAnsi="宋体" w:eastAsia="宋体" w:cs="宋体"/>
          <w:b/>
          <w:bCs/>
          <w:color w:val="000000" w:themeColor="text1"/>
          <w:kern w:val="28"/>
          <w:szCs w:val="21"/>
          <w:highlight w:val="none"/>
          <w14:textFill>
            <w14:solidFill>
              <w14:schemeClr w14:val="tx1"/>
            </w14:solidFill>
          </w14:textFill>
        </w:rPr>
      </w:pPr>
      <w:bookmarkStart w:id="88" w:name="_Toc16948"/>
      <w:r>
        <w:rPr>
          <w:rFonts w:hint="eastAsia" w:ascii="宋体" w:hAnsi="宋体" w:eastAsia="宋体" w:cs="宋体"/>
          <w:b/>
          <w:bCs/>
          <w:color w:val="000000" w:themeColor="text1"/>
          <w:kern w:val="28"/>
          <w:szCs w:val="21"/>
          <w:highlight w:val="none"/>
          <w14:textFill>
            <w14:solidFill>
              <w14:schemeClr w14:val="tx1"/>
            </w14:solidFill>
          </w14:textFill>
        </w:rPr>
        <w:t>附件</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28"/>
          <w:szCs w:val="21"/>
          <w:highlight w:val="none"/>
          <w14:textFill>
            <w14:solidFill>
              <w14:schemeClr w14:val="tx1"/>
            </w14:solidFill>
          </w14:textFill>
        </w:rPr>
        <w:t>-</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28"/>
          <w:szCs w:val="21"/>
          <w:highlight w:val="none"/>
          <w14:textFill>
            <w14:solidFill>
              <w14:schemeClr w14:val="tx1"/>
            </w14:solidFill>
          </w14:textFill>
        </w:rPr>
        <w:t xml:space="preserve">  具有履行合同所必需的设备及专业技术能力</w:t>
      </w:r>
      <w:bookmarkEnd w:id="88"/>
    </w:p>
    <w:p w14:paraId="20CC5BEE">
      <w:pPr>
        <w:pStyle w:val="10"/>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8"/>
          <w:sz w:val="21"/>
          <w:szCs w:val="21"/>
          <w:highlight w:val="none"/>
          <w14:textFill>
            <w14:solidFill>
              <w14:schemeClr w14:val="tx1"/>
            </w14:solidFill>
          </w14:textFill>
        </w:rPr>
        <w:t>（提供具有履行合同所必需的设备和专业技术能力相关证明材料或承诺书</w:t>
      </w:r>
      <w:r>
        <w:rPr>
          <w:rFonts w:hint="eastAsia" w:ascii="宋体" w:hAnsi="宋体" w:eastAsia="宋体" w:cs="宋体"/>
          <w:b/>
          <w:bCs/>
          <w:color w:val="000000" w:themeColor="text1"/>
          <w:kern w:val="28"/>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t>格式自拟）</w:t>
      </w:r>
    </w:p>
    <w:p w14:paraId="04C4BA76">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3F1A036A">
      <w:pPr>
        <w:pStyle w:val="3"/>
        <w:numPr>
          <w:ilvl w:val="0"/>
          <w:numId w:val="0"/>
        </w:numPr>
        <w:ind w:left="243" w:leftChars="0"/>
        <w:jc w:val="left"/>
        <w:outlineLvl w:val="1"/>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89" w:name="_Toc15243"/>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附件6-6 无不良信用记录承诺函(投标人自行查询适用)</w:t>
      </w:r>
      <w:bookmarkEnd w:id="89"/>
    </w:p>
    <w:p w14:paraId="24340E4E">
      <w:pPr>
        <w:pStyle w:val="12"/>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致____________(采购人或采购代理机构)：</w:t>
      </w:r>
    </w:p>
    <w:p w14:paraId="4E09CC08">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本单位郑重承诺，我单位无以下不良信用记录情形：</w:t>
      </w:r>
    </w:p>
    <w:p w14:paraId="1FBB1B85">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1.被人民法院列入失信被执行人；</w:t>
      </w:r>
    </w:p>
    <w:p w14:paraId="7730D0FC">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2.被税务部门列入重大税收违法案件当事人名单；</w:t>
      </w:r>
    </w:p>
    <w:p w14:paraId="376F1C52">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3.被政府采购监管部门列入政府采购严重违法失信行为记录名单；</w:t>
      </w:r>
    </w:p>
    <w:p w14:paraId="736FE6DD">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4.不符合《政府采购法》第二十二条规定的条件。</w:t>
      </w:r>
    </w:p>
    <w:p w14:paraId="561E3D0D">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12BFE413">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3B45B76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0A0C844D">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512ED931">
      <w:pPr>
        <w:pStyle w:val="12"/>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日期：______年______月______日</w:t>
      </w:r>
    </w:p>
    <w:p w14:paraId="55276B8F">
      <w:pPr>
        <w:pStyle w:val="10"/>
        <w:spacing w:line="360" w:lineRule="auto"/>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pPr>
    </w:p>
    <w:p w14:paraId="1AB3ACA5">
      <w:pPr>
        <w:rPr>
          <w:rFonts w:hint="eastAsia" w:ascii="宋体" w:hAnsi="宋体" w:eastAsia="宋体" w:cs="宋体"/>
          <w:color w:val="000000" w:themeColor="text1"/>
          <w:szCs w:val="21"/>
          <w:highlight w:val="none"/>
          <w14:textFill>
            <w14:solidFill>
              <w14:schemeClr w14:val="tx1"/>
            </w14:solidFill>
          </w14:textFill>
        </w:rPr>
      </w:pPr>
    </w:p>
    <w:p w14:paraId="02D7009E">
      <w:pPr>
        <w:rPr>
          <w:rFonts w:hint="eastAsia" w:ascii="宋体" w:hAnsi="宋体" w:eastAsia="宋体" w:cs="宋体"/>
          <w:color w:val="000000" w:themeColor="text1"/>
          <w:szCs w:val="21"/>
          <w:highlight w:val="none"/>
          <w14:textFill>
            <w14:solidFill>
              <w14:schemeClr w14:val="tx1"/>
            </w14:solidFill>
          </w14:textFill>
        </w:rPr>
      </w:pPr>
    </w:p>
    <w:p w14:paraId="65E0E1BF">
      <w:pPr>
        <w:rPr>
          <w:rFonts w:hint="eastAsia" w:ascii="宋体" w:hAnsi="宋体" w:eastAsia="宋体" w:cs="宋体"/>
          <w:color w:val="000000" w:themeColor="text1"/>
          <w:szCs w:val="21"/>
          <w:highlight w:val="none"/>
          <w14:textFill>
            <w14:solidFill>
              <w14:schemeClr w14:val="tx1"/>
            </w14:solidFill>
          </w14:textFill>
        </w:rPr>
      </w:pPr>
    </w:p>
    <w:p w14:paraId="2AD08132">
      <w:pPr>
        <w:jc w:val="center"/>
        <w:rPr>
          <w:rFonts w:hint="eastAsia" w:ascii="宋体" w:hAnsi="宋体" w:eastAsia="宋体" w:cs="宋体"/>
          <w:b/>
          <w:color w:val="000000" w:themeColor="text1"/>
          <w:szCs w:val="21"/>
          <w:highlight w:val="none"/>
          <w14:textFill>
            <w14:solidFill>
              <w14:schemeClr w14:val="tx1"/>
            </w14:solidFill>
          </w14:textFill>
        </w:rPr>
      </w:pPr>
    </w:p>
    <w:p w14:paraId="59231A2D">
      <w:pPr>
        <w:pStyle w:val="17"/>
        <w:spacing w:before="120" w:beforeLines="50" w:after="120" w:afterLines="50" w:line="36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90" w:name="_Toc175062658"/>
      <w:bookmarkStart w:id="91" w:name="_Toc302360919"/>
    </w:p>
    <w:bookmarkEnd w:id="90"/>
    <w:bookmarkEnd w:id="91"/>
    <w:p w14:paraId="071BFC4F">
      <w:pPr>
        <w:pStyle w:val="17"/>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92" w:name="_Toc302360913"/>
      <w:bookmarkStart w:id="93" w:name="_Toc14799"/>
      <w:bookmarkStart w:id="94" w:name="_Toc21338"/>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法定代表人授权书（格式</w:t>
      </w:r>
      <w:bookmarkEnd w:id="92"/>
      <w:r>
        <w:rPr>
          <w:rFonts w:hint="eastAsia" w:ascii="宋体" w:hAnsi="宋体" w:eastAsia="宋体" w:cs="宋体"/>
          <w:color w:val="000000" w:themeColor="text1"/>
          <w:sz w:val="21"/>
          <w:szCs w:val="21"/>
          <w:highlight w:val="none"/>
          <w14:textFill>
            <w14:solidFill>
              <w14:schemeClr w14:val="tx1"/>
            </w14:solidFill>
          </w14:textFill>
        </w:rPr>
        <w:t>）</w:t>
      </w:r>
      <w:bookmarkEnd w:id="93"/>
      <w:bookmarkEnd w:id="94"/>
    </w:p>
    <w:p w14:paraId="51B5E9CF">
      <w:pPr>
        <w:pStyle w:val="10"/>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2956AF14">
      <w:pPr>
        <w:tabs>
          <w:tab w:val="left" w:pos="5580"/>
        </w:tabs>
        <w:spacing w:before="120" w:beforeLines="50" w:after="120" w:after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本授权书声明：注册于 （</w:t>
      </w:r>
      <w:r>
        <w:rPr>
          <w:rFonts w:hint="eastAsia" w:ascii="宋体" w:hAnsi="宋体" w:eastAsia="宋体" w:cs="宋体"/>
          <w:b/>
          <w:color w:val="000000" w:themeColor="text1"/>
          <w:szCs w:val="21"/>
          <w:highlight w:val="none"/>
          <w14:textFill>
            <w14:solidFill>
              <w14:schemeClr w14:val="tx1"/>
            </w14:solidFill>
          </w14:textFill>
        </w:rPr>
        <w:t>国家或地区的名称</w:t>
      </w:r>
      <w:r>
        <w:rPr>
          <w:rFonts w:hint="eastAsia" w:ascii="宋体" w:hAnsi="宋体" w:eastAsia="宋体" w:cs="宋体"/>
          <w:color w:val="000000" w:themeColor="text1"/>
          <w:szCs w:val="21"/>
          <w:highlight w:val="none"/>
          <w14:textFill>
            <w14:solidFill>
              <w14:schemeClr w14:val="tx1"/>
            </w14:solidFill>
          </w14:textFill>
        </w:rPr>
        <w:t>） 的 （</w:t>
      </w:r>
      <w:r>
        <w:rPr>
          <w:rFonts w:hint="eastAsia" w:ascii="宋体" w:hAnsi="宋体" w:eastAsia="宋体" w:cs="宋体"/>
          <w:b/>
          <w:color w:val="000000" w:themeColor="text1"/>
          <w:szCs w:val="21"/>
          <w:highlight w:val="none"/>
          <w14:textFill>
            <w14:solidFill>
              <w14:schemeClr w14:val="tx1"/>
            </w14:solidFill>
          </w14:textFill>
        </w:rPr>
        <w:t>公司名称</w:t>
      </w:r>
      <w:r>
        <w:rPr>
          <w:rFonts w:hint="eastAsia" w:ascii="宋体" w:hAnsi="宋体" w:eastAsia="宋体" w:cs="宋体"/>
          <w:color w:val="000000" w:themeColor="text1"/>
          <w:szCs w:val="21"/>
          <w:highlight w:val="none"/>
          <w14:textFill>
            <w14:solidFill>
              <w14:schemeClr w14:val="tx1"/>
            </w14:solidFill>
          </w14:textFill>
        </w:rPr>
        <w:t>） 的在下面签字的 （</w:t>
      </w:r>
      <w:r>
        <w:rPr>
          <w:rFonts w:hint="eastAsia" w:ascii="宋体" w:hAnsi="宋体" w:eastAsia="宋体" w:cs="宋体"/>
          <w:b/>
          <w:color w:val="000000" w:themeColor="text1"/>
          <w:szCs w:val="21"/>
          <w:highlight w:val="none"/>
          <w14:textFill>
            <w14:solidFill>
              <w14:schemeClr w14:val="tx1"/>
            </w14:solidFill>
          </w14:textFill>
        </w:rPr>
        <w:t>法人代表姓名、职务</w:t>
      </w:r>
      <w:r>
        <w:rPr>
          <w:rFonts w:hint="eastAsia" w:ascii="宋体" w:hAnsi="宋体" w:eastAsia="宋体" w:cs="宋体"/>
          <w:color w:val="000000" w:themeColor="text1"/>
          <w:szCs w:val="21"/>
          <w:highlight w:val="none"/>
          <w14:textFill>
            <w14:solidFill>
              <w14:schemeClr w14:val="tx1"/>
            </w14:solidFill>
          </w14:textFill>
        </w:rPr>
        <w:t>） 代表本公司授权 （</w:t>
      </w:r>
      <w:r>
        <w:rPr>
          <w:rFonts w:hint="eastAsia" w:ascii="宋体" w:hAnsi="宋体" w:eastAsia="宋体" w:cs="宋体"/>
          <w:b/>
          <w:color w:val="000000" w:themeColor="text1"/>
          <w:szCs w:val="21"/>
          <w:highlight w:val="none"/>
          <w14:textFill>
            <w14:solidFill>
              <w14:schemeClr w14:val="tx1"/>
            </w14:solidFill>
          </w14:textFill>
        </w:rPr>
        <w:t>单位名称</w:t>
      </w:r>
      <w:r>
        <w:rPr>
          <w:rFonts w:hint="eastAsia" w:ascii="宋体" w:hAnsi="宋体" w:eastAsia="宋体" w:cs="宋体"/>
          <w:color w:val="000000" w:themeColor="text1"/>
          <w:szCs w:val="21"/>
          <w:highlight w:val="none"/>
          <w14:textFill>
            <w14:solidFill>
              <w14:schemeClr w14:val="tx1"/>
            </w14:solidFill>
          </w14:textFill>
        </w:rPr>
        <w:t>） 的在下面签字的 （</w:t>
      </w:r>
      <w:r>
        <w:rPr>
          <w:rFonts w:hint="eastAsia" w:ascii="宋体" w:hAnsi="宋体" w:eastAsia="宋体" w:cs="宋体"/>
          <w:b/>
          <w:color w:val="000000" w:themeColor="text1"/>
          <w:szCs w:val="21"/>
          <w:highlight w:val="none"/>
          <w14:textFill>
            <w14:solidFill>
              <w14:schemeClr w14:val="tx1"/>
            </w14:solidFill>
          </w14:textFill>
        </w:rPr>
        <w:t>被授权人的姓名、职务</w:t>
      </w:r>
      <w:r>
        <w:rPr>
          <w:rFonts w:hint="eastAsia" w:ascii="宋体" w:hAnsi="宋体" w:eastAsia="宋体" w:cs="宋体"/>
          <w:color w:val="000000" w:themeColor="text1"/>
          <w:szCs w:val="21"/>
          <w:highlight w:val="none"/>
          <w14:textFill>
            <w14:solidFill>
              <w14:schemeClr w14:val="tx1"/>
            </w14:solidFill>
          </w14:textFill>
        </w:rPr>
        <w:t>） 为本公司的合法代理人，就 （</w:t>
      </w: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 的 （</w:t>
      </w:r>
      <w:r>
        <w:rPr>
          <w:rFonts w:hint="eastAsia" w:ascii="宋体" w:hAnsi="宋体" w:eastAsia="宋体" w:cs="宋体"/>
          <w:b/>
          <w:color w:val="000000" w:themeColor="text1"/>
          <w:szCs w:val="21"/>
          <w:highlight w:val="none"/>
          <w14:textFill>
            <w14:solidFill>
              <w14:schemeClr w14:val="tx1"/>
            </w14:solidFill>
          </w14:textFill>
        </w:rPr>
        <w:t>分包名称</w:t>
      </w:r>
      <w:r>
        <w:rPr>
          <w:rFonts w:hint="eastAsia" w:ascii="宋体" w:hAnsi="宋体" w:eastAsia="宋体" w:cs="宋体"/>
          <w:color w:val="000000" w:themeColor="text1"/>
          <w:szCs w:val="21"/>
          <w:highlight w:val="none"/>
          <w14:textFill>
            <w14:solidFill>
              <w14:schemeClr w14:val="tx1"/>
            </w14:solidFill>
          </w14:textFill>
        </w:rPr>
        <w:t>） 投标，以本公司名义处理一切与之有关的事务。</w:t>
      </w:r>
    </w:p>
    <w:p w14:paraId="3187BCF7">
      <w:pPr>
        <w:tabs>
          <w:tab w:val="left" w:pos="5580"/>
        </w:tabs>
        <w:spacing w:before="120" w:beforeLines="50" w:after="120" w:after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本授权书于</w:t>
      </w:r>
      <w:r>
        <w:rPr>
          <w:rFonts w:hint="eastAsia" w:ascii="宋体" w:hAnsi="宋体" w:eastAsia="宋体" w:cs="宋体"/>
          <w:color w:val="000000" w:themeColor="text1"/>
          <w:szCs w:val="21"/>
          <w:highlight w:val="none"/>
          <w:u w:val="single" w:color="000000"/>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日签字生效,特此声明。</w:t>
      </w:r>
    </w:p>
    <w:p w14:paraId="082D7434">
      <w:pPr>
        <w:pStyle w:val="1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0C8DA077">
      <w:pPr>
        <w:pStyle w:val="1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0717DB8">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220436A8">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2A8C3BBF">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1BCD573E">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4B09008C">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19E5B319">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w:t>
      </w:r>
    </w:p>
    <w:p w14:paraId="2CA87069">
      <w:pPr>
        <w:pStyle w:val="12"/>
        <w:tabs>
          <w:tab w:val="left" w:pos="5580"/>
        </w:tabs>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被授权人姓名：</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50C166EE">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　　　　务：</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1C3CB335">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详细通讯地址：</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228C1A0">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 政 编 码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210D31E9">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550ABB45">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5A56712">
      <w:p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备注：1、如果投标人代表是法定代表人，则可不提供法定代表人授权书，只需提供法定代表人身份证明书。</w:t>
      </w:r>
    </w:p>
    <w:p w14:paraId="2A1A0C20">
      <w:pPr>
        <w:numPr>
          <w:ilvl w:val="0"/>
          <w:numId w:val="3"/>
        </w:numPr>
        <w:spacing w:line="360" w:lineRule="auto"/>
        <w:ind w:firstLine="632" w:firstLineChars="3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须提供法定代表人和被授权人身份证复印件（复印件加盖公章）。</w:t>
      </w:r>
    </w:p>
    <w:p w14:paraId="52FEF115">
      <w:pPr>
        <w:pStyle w:val="10"/>
        <w:jc w:val="center"/>
        <w:rPr>
          <w:rFonts w:hint="eastAsia" w:ascii="宋体" w:hAnsi="宋体" w:eastAsia="宋体" w:cs="宋体"/>
          <w:color w:val="000000" w:themeColor="text1"/>
          <w:highlight w:val="none"/>
          <w14:textFill>
            <w14:solidFill>
              <w14:schemeClr w14:val="tx1"/>
            </w14:solidFill>
          </w14:textFill>
        </w:rPr>
      </w:pPr>
    </w:p>
    <w:p w14:paraId="70D3708A">
      <w:pPr>
        <w:pStyle w:val="10"/>
        <w:jc w:val="center"/>
        <w:rPr>
          <w:rFonts w:hint="eastAsia" w:ascii="宋体" w:hAnsi="宋体" w:eastAsia="宋体" w:cs="宋体"/>
          <w:color w:val="000000" w:themeColor="text1"/>
          <w:highlight w:val="none"/>
          <w14:textFill>
            <w14:solidFill>
              <w14:schemeClr w14:val="tx1"/>
            </w14:solidFill>
          </w14:textFill>
        </w:rPr>
      </w:pPr>
    </w:p>
    <w:p w14:paraId="13F3C86C">
      <w:pPr>
        <w:pStyle w:val="10"/>
        <w:jc w:val="center"/>
        <w:rPr>
          <w:rFonts w:hint="eastAsia" w:ascii="宋体" w:hAnsi="宋体" w:eastAsia="宋体" w:cs="宋体"/>
          <w:color w:val="000000" w:themeColor="text1"/>
          <w:highlight w:val="none"/>
          <w14:textFill>
            <w14:solidFill>
              <w14:schemeClr w14:val="tx1"/>
            </w14:solidFill>
          </w14:textFill>
        </w:rPr>
      </w:pPr>
    </w:p>
    <w:p w14:paraId="57BD30E3">
      <w:pPr>
        <w:pStyle w:val="10"/>
        <w:jc w:val="center"/>
        <w:rPr>
          <w:rFonts w:hint="eastAsia" w:ascii="宋体" w:hAnsi="宋体" w:eastAsia="宋体" w:cs="宋体"/>
          <w:color w:val="000000" w:themeColor="text1"/>
          <w:highlight w:val="none"/>
          <w14:textFill>
            <w14:solidFill>
              <w14:schemeClr w14:val="tx1"/>
            </w14:solidFill>
          </w14:textFill>
        </w:rPr>
      </w:pPr>
    </w:p>
    <w:p w14:paraId="479A686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F00F9C1">
      <w:pPr>
        <w:pStyle w:val="10"/>
        <w:jc w:val="center"/>
        <w:rPr>
          <w:rFonts w:hint="eastAsia" w:ascii="宋体" w:hAnsi="宋体" w:eastAsia="宋体" w:cs="宋体"/>
          <w:color w:val="000000" w:themeColor="text1"/>
          <w:sz w:val="21"/>
          <w:szCs w:val="21"/>
          <w:highlight w:val="none"/>
          <w14:textFill>
            <w14:solidFill>
              <w14:schemeClr w14:val="tx1"/>
            </w14:solidFill>
          </w14:textFill>
        </w:rPr>
      </w:pPr>
    </w:p>
    <w:p w14:paraId="64E1FDC1">
      <w:pPr>
        <w:pStyle w:val="10"/>
        <w:jc w:val="center"/>
        <w:rPr>
          <w:rFonts w:hint="eastAsia" w:ascii="宋体" w:hAnsi="宋体" w:eastAsia="宋体" w:cs="宋体"/>
          <w:color w:val="000000" w:themeColor="text1"/>
          <w:sz w:val="21"/>
          <w:szCs w:val="21"/>
          <w:highlight w:val="none"/>
          <w14:textFill>
            <w14:solidFill>
              <w14:schemeClr w14:val="tx1"/>
            </w14:solidFill>
          </w14:textFill>
        </w:rPr>
      </w:pPr>
    </w:p>
    <w:p w14:paraId="790609B0">
      <w:pPr>
        <w:pStyle w:val="1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法定代表人身份证明书</w:t>
      </w:r>
    </w:p>
    <w:p w14:paraId="56017FC9">
      <w:pPr>
        <w:pStyle w:val="1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 标 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E9B748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单位性质：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w:t>
      </w:r>
    </w:p>
    <w:p w14:paraId="3182FAF8">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A6356C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成立时间： </w:t>
      </w:r>
      <w:r>
        <w:rPr>
          <w:rFonts w:hint="eastAsia" w:ascii="宋体" w:hAnsi="宋体" w:eastAsia="宋体" w:cs="宋体"/>
          <w:color w:val="000000" w:themeColor="text1"/>
          <w:sz w:val="21"/>
          <w:szCs w:val="21"/>
          <w:highlight w:val="none"/>
          <w:u w:val="single"/>
          <w14:textFill>
            <w14:solidFill>
              <w14:schemeClr w14:val="tx1"/>
            </w14:solidFill>
          </w14:textFill>
        </w:rPr>
        <w:t>    年      月      日</w:t>
      </w:r>
    </w:p>
    <w:p w14:paraId="3128DFF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经营期限：</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w:t>
      </w:r>
    </w:p>
    <w:p w14:paraId="3969689F">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    名：</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性     别：</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C59B564">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龄：</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职     务：</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2BCE22">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（投标人名称）的法定代表人。</w:t>
      </w:r>
    </w:p>
    <w:p w14:paraId="3AFE7CE8">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特此证明。 </w:t>
      </w:r>
    </w:p>
    <w:p w14:paraId="42D1E8D2">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附：法定代表人身份证正反面</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5E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264" w:type="dxa"/>
          </w:tcPr>
          <w:p w14:paraId="31D66B80">
            <w:pPr>
              <w:pStyle w:val="10"/>
              <w:spacing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4264" w:type="dxa"/>
          </w:tcPr>
          <w:p w14:paraId="6535EA4D">
            <w:pPr>
              <w:pStyle w:val="10"/>
              <w:spacing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bl>
    <w:p w14:paraId="0D901314">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4DEB8C8E">
      <w:pPr>
        <w:tabs>
          <w:tab w:val="left" w:pos="5580"/>
        </w:tabs>
        <w:spacing w:line="360" w:lineRule="auto"/>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（电子签章）     </w:t>
      </w:r>
    </w:p>
    <w:p w14:paraId="7DE14FE7">
      <w:pPr>
        <w:pStyle w:val="1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年      月      日 </w:t>
      </w:r>
    </w:p>
    <w:p w14:paraId="790CB0B1">
      <w:pPr>
        <w:pStyle w:val="10"/>
        <w:rPr>
          <w:rFonts w:hint="eastAsia" w:ascii="宋体" w:hAnsi="宋体" w:eastAsia="宋体" w:cs="宋体"/>
          <w:color w:val="000000" w:themeColor="text1"/>
          <w:highlight w:val="none"/>
          <w14:textFill>
            <w14:solidFill>
              <w14:schemeClr w14:val="tx1"/>
            </w14:solidFill>
          </w14:textFill>
        </w:rPr>
      </w:pPr>
    </w:p>
    <w:p w14:paraId="01DAF574">
      <w:pPr>
        <w:pStyle w:val="10"/>
        <w:rPr>
          <w:rFonts w:hint="eastAsia" w:ascii="宋体" w:hAnsi="宋体" w:eastAsia="宋体" w:cs="宋体"/>
          <w:color w:val="000000" w:themeColor="text1"/>
          <w:highlight w:val="none"/>
          <w14:textFill>
            <w14:solidFill>
              <w14:schemeClr w14:val="tx1"/>
            </w14:solidFill>
          </w14:textFill>
        </w:rPr>
      </w:pPr>
    </w:p>
    <w:p w14:paraId="6F3A59FF">
      <w:pPr>
        <w:pStyle w:val="17"/>
        <w:spacing w:before="120" w:beforeLines="50" w:after="120" w:afterLines="50" w:line="360" w:lineRule="auto"/>
        <w:jc w:val="left"/>
        <w:outlineLvl w:val="9"/>
        <w:rPr>
          <w:rFonts w:hint="eastAsia" w:ascii="宋体" w:hAnsi="宋体" w:eastAsia="宋体" w:cs="宋体"/>
          <w:color w:val="000000" w:themeColor="text1"/>
          <w:sz w:val="21"/>
          <w:szCs w:val="21"/>
          <w:highlight w:val="none"/>
          <w14:textFill>
            <w14:solidFill>
              <w14:schemeClr w14:val="tx1"/>
            </w14:solidFill>
          </w14:textFill>
        </w:rPr>
      </w:pPr>
      <w:bookmarkStart w:id="95" w:name="_Toc175062653"/>
    </w:p>
    <w:p w14:paraId="61C645FF">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End w:id="95"/>
      <w:bookmarkStart w:id="96" w:name="_Toc6877"/>
      <w:bookmarkStart w:id="97" w:name="_Toc302360915"/>
      <w:bookmarkStart w:id="98" w:name="_Toc1868"/>
      <w:bookmarkStart w:id="99" w:name="_Toc304556858"/>
      <w:bookmarkStart w:id="100" w:name="_Toc113093110"/>
      <w:bookmarkStart w:id="101" w:name="_Toc135393392"/>
      <w:bookmarkStart w:id="102" w:name="_Toc301799734"/>
      <w:bookmarkStart w:id="103" w:name="_Toc111223472"/>
      <w:bookmarkStart w:id="104" w:name="_Toc175062659"/>
      <w:bookmarkStart w:id="105" w:name="_Toc144556818"/>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  投标人的资格声明（格式）</w:t>
      </w:r>
      <w:bookmarkEnd w:id="96"/>
      <w:bookmarkEnd w:id="97"/>
      <w:bookmarkEnd w:id="98"/>
      <w:bookmarkEnd w:id="99"/>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5F921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0A120ADD">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1．名称及概况 </w:t>
            </w:r>
          </w:p>
        </w:tc>
      </w:tr>
      <w:tr w14:paraId="63E58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top w:val="single" w:color="auto" w:sz="2" w:space="0"/>
              <w:left w:val="single" w:color="auto" w:sz="8" w:space="0"/>
            </w:tcBorders>
            <w:noWrap w:val="0"/>
            <w:vAlign w:val="center"/>
          </w:tcPr>
          <w:p w14:paraId="688D214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投标人名称</w:t>
            </w:r>
          </w:p>
        </w:tc>
        <w:tc>
          <w:tcPr>
            <w:tcW w:w="6387" w:type="dxa"/>
            <w:gridSpan w:val="11"/>
            <w:tcBorders>
              <w:top w:val="single" w:color="auto" w:sz="2" w:space="0"/>
              <w:right w:val="single" w:color="auto" w:sz="8" w:space="0"/>
            </w:tcBorders>
            <w:noWrap w:val="0"/>
            <w:vAlign w:val="center"/>
          </w:tcPr>
          <w:p w14:paraId="0DB38147">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EFE1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66B05CD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2310" w:type="dxa"/>
            <w:gridSpan w:val="4"/>
            <w:noWrap w:val="0"/>
            <w:vAlign w:val="center"/>
          </w:tcPr>
          <w:p w14:paraId="33C111B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noWrap w:val="0"/>
            <w:vAlign w:val="center"/>
          </w:tcPr>
          <w:p w14:paraId="31826A42">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邮编</w:t>
            </w:r>
          </w:p>
        </w:tc>
        <w:tc>
          <w:tcPr>
            <w:tcW w:w="2731" w:type="dxa"/>
            <w:gridSpan w:val="5"/>
            <w:tcBorders>
              <w:right w:val="single" w:color="auto" w:sz="8" w:space="0"/>
            </w:tcBorders>
            <w:noWrap w:val="0"/>
            <w:vAlign w:val="center"/>
          </w:tcPr>
          <w:p w14:paraId="78B0C08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BF61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0EBC735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成立和注册日期</w:t>
            </w:r>
          </w:p>
        </w:tc>
        <w:tc>
          <w:tcPr>
            <w:tcW w:w="2310" w:type="dxa"/>
            <w:gridSpan w:val="4"/>
            <w:noWrap w:val="0"/>
            <w:vAlign w:val="center"/>
          </w:tcPr>
          <w:p w14:paraId="7D43A7D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noWrap w:val="0"/>
            <w:vAlign w:val="center"/>
          </w:tcPr>
          <w:p w14:paraId="130B9DF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主管部门</w:t>
            </w:r>
          </w:p>
        </w:tc>
        <w:tc>
          <w:tcPr>
            <w:tcW w:w="2731" w:type="dxa"/>
            <w:gridSpan w:val="5"/>
            <w:tcBorders>
              <w:right w:val="single" w:color="auto" w:sz="8" w:space="0"/>
            </w:tcBorders>
            <w:noWrap w:val="0"/>
            <w:vAlign w:val="center"/>
          </w:tcPr>
          <w:p w14:paraId="767FE46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2706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597EECE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企业性质</w:t>
            </w:r>
          </w:p>
        </w:tc>
        <w:tc>
          <w:tcPr>
            <w:tcW w:w="2310" w:type="dxa"/>
            <w:gridSpan w:val="4"/>
            <w:noWrap w:val="0"/>
            <w:vAlign w:val="center"/>
          </w:tcPr>
          <w:p w14:paraId="5A8FF27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vMerge w:val="restart"/>
            <w:noWrap w:val="0"/>
            <w:vAlign w:val="center"/>
          </w:tcPr>
          <w:p w14:paraId="5341810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职员人数</w:t>
            </w:r>
          </w:p>
        </w:tc>
        <w:tc>
          <w:tcPr>
            <w:tcW w:w="1416" w:type="dxa"/>
            <w:gridSpan w:val="3"/>
            <w:noWrap w:val="0"/>
            <w:vAlign w:val="center"/>
          </w:tcPr>
          <w:p w14:paraId="044EA9FC">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一般工人</w:t>
            </w:r>
          </w:p>
        </w:tc>
        <w:tc>
          <w:tcPr>
            <w:tcW w:w="1315" w:type="dxa"/>
            <w:gridSpan w:val="2"/>
            <w:tcBorders>
              <w:right w:val="single" w:color="auto" w:sz="8" w:space="0"/>
            </w:tcBorders>
            <w:noWrap w:val="0"/>
            <w:vAlign w:val="center"/>
          </w:tcPr>
          <w:p w14:paraId="1255A25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F147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bottom w:val="single" w:color="auto" w:sz="2" w:space="0"/>
            </w:tcBorders>
            <w:noWrap w:val="0"/>
            <w:vAlign w:val="center"/>
          </w:tcPr>
          <w:p w14:paraId="0BFC801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法人代表</w:t>
            </w:r>
          </w:p>
        </w:tc>
        <w:tc>
          <w:tcPr>
            <w:tcW w:w="2310" w:type="dxa"/>
            <w:gridSpan w:val="4"/>
            <w:tcBorders>
              <w:bottom w:val="single" w:color="auto" w:sz="2" w:space="0"/>
            </w:tcBorders>
            <w:noWrap w:val="0"/>
            <w:vAlign w:val="center"/>
          </w:tcPr>
          <w:p w14:paraId="6260260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vMerge w:val="continue"/>
            <w:tcBorders>
              <w:bottom w:val="single" w:color="auto" w:sz="2" w:space="0"/>
            </w:tcBorders>
            <w:noWrap w:val="0"/>
            <w:vAlign w:val="center"/>
          </w:tcPr>
          <w:p w14:paraId="0D9157B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416" w:type="dxa"/>
            <w:gridSpan w:val="3"/>
            <w:tcBorders>
              <w:bottom w:val="single" w:color="auto" w:sz="2" w:space="0"/>
            </w:tcBorders>
            <w:noWrap w:val="0"/>
            <w:vAlign w:val="center"/>
          </w:tcPr>
          <w:p w14:paraId="350E0C7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技术人员</w:t>
            </w:r>
          </w:p>
        </w:tc>
        <w:tc>
          <w:tcPr>
            <w:tcW w:w="1315" w:type="dxa"/>
            <w:gridSpan w:val="2"/>
            <w:tcBorders>
              <w:bottom w:val="single" w:color="auto" w:sz="2" w:space="0"/>
              <w:right w:val="single" w:color="auto" w:sz="8" w:space="0"/>
            </w:tcBorders>
            <w:noWrap w:val="0"/>
            <w:vAlign w:val="center"/>
          </w:tcPr>
          <w:p w14:paraId="1D4EE470">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71177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6407FC48">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2．近期资产负债表 （到       年       月       日止）</w:t>
            </w:r>
          </w:p>
        </w:tc>
      </w:tr>
      <w:tr w14:paraId="203F8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top w:val="single" w:color="auto" w:sz="2" w:space="0"/>
              <w:left w:val="single" w:color="auto" w:sz="8" w:space="0"/>
            </w:tcBorders>
            <w:noWrap w:val="0"/>
            <w:vAlign w:val="center"/>
          </w:tcPr>
          <w:p w14:paraId="3863229A">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固定资产</w:t>
            </w:r>
          </w:p>
        </w:tc>
        <w:tc>
          <w:tcPr>
            <w:tcW w:w="1355" w:type="dxa"/>
            <w:gridSpan w:val="3"/>
            <w:tcBorders>
              <w:top w:val="single" w:color="auto" w:sz="2" w:space="0"/>
            </w:tcBorders>
            <w:noWrap w:val="0"/>
            <w:vAlign w:val="center"/>
          </w:tcPr>
          <w:p w14:paraId="5560C53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原值</w:t>
            </w:r>
          </w:p>
        </w:tc>
        <w:tc>
          <w:tcPr>
            <w:tcW w:w="1316" w:type="dxa"/>
            <w:gridSpan w:val="2"/>
            <w:tcBorders>
              <w:top w:val="single" w:color="auto" w:sz="2" w:space="0"/>
            </w:tcBorders>
            <w:noWrap w:val="0"/>
            <w:vAlign w:val="center"/>
          </w:tcPr>
          <w:p w14:paraId="40D12DF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restart"/>
            <w:tcBorders>
              <w:top w:val="single" w:color="auto" w:sz="2" w:space="0"/>
            </w:tcBorders>
            <w:noWrap w:val="0"/>
            <w:vAlign w:val="center"/>
          </w:tcPr>
          <w:p w14:paraId="7E8267F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流动资金</w:t>
            </w:r>
          </w:p>
        </w:tc>
        <w:tc>
          <w:tcPr>
            <w:tcW w:w="2685" w:type="dxa"/>
            <w:gridSpan w:val="4"/>
            <w:vMerge w:val="restart"/>
            <w:tcBorders>
              <w:top w:val="single" w:color="auto" w:sz="2" w:space="0"/>
              <w:right w:val="single" w:color="auto" w:sz="8" w:space="0"/>
            </w:tcBorders>
            <w:noWrap w:val="0"/>
            <w:vAlign w:val="center"/>
          </w:tcPr>
          <w:p w14:paraId="1B09CD5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10C1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tcBorders>
            <w:noWrap w:val="0"/>
            <w:vAlign w:val="center"/>
          </w:tcPr>
          <w:p w14:paraId="2CBC7D3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55" w:type="dxa"/>
            <w:gridSpan w:val="3"/>
            <w:tcBorders>
              <w:bottom w:val="single" w:color="auto" w:sz="2" w:space="0"/>
            </w:tcBorders>
            <w:noWrap w:val="0"/>
            <w:vAlign w:val="center"/>
          </w:tcPr>
          <w:p w14:paraId="11379B2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净值</w:t>
            </w:r>
          </w:p>
        </w:tc>
        <w:tc>
          <w:tcPr>
            <w:tcW w:w="1316" w:type="dxa"/>
            <w:gridSpan w:val="2"/>
            <w:tcBorders>
              <w:bottom w:val="single" w:color="auto" w:sz="2" w:space="0"/>
            </w:tcBorders>
            <w:noWrap w:val="0"/>
            <w:vAlign w:val="center"/>
          </w:tcPr>
          <w:p w14:paraId="630027A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continue"/>
            <w:tcBorders>
              <w:bottom w:val="single" w:color="auto" w:sz="2" w:space="0"/>
            </w:tcBorders>
            <w:noWrap w:val="0"/>
            <w:vAlign w:val="center"/>
          </w:tcPr>
          <w:p w14:paraId="2D48542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685" w:type="dxa"/>
            <w:gridSpan w:val="4"/>
            <w:vMerge w:val="continue"/>
            <w:tcBorders>
              <w:right w:val="single" w:color="auto" w:sz="8" w:space="0"/>
            </w:tcBorders>
            <w:noWrap w:val="0"/>
            <w:vAlign w:val="center"/>
          </w:tcPr>
          <w:p w14:paraId="017BE6E6">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E291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22E7429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长期负债</w:t>
            </w:r>
          </w:p>
        </w:tc>
        <w:tc>
          <w:tcPr>
            <w:tcW w:w="2671" w:type="dxa"/>
            <w:gridSpan w:val="5"/>
            <w:noWrap w:val="0"/>
            <w:vAlign w:val="center"/>
          </w:tcPr>
          <w:p w14:paraId="36238BA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noWrap w:val="0"/>
            <w:vAlign w:val="center"/>
          </w:tcPr>
          <w:p w14:paraId="1CF0986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短期负债</w:t>
            </w:r>
          </w:p>
        </w:tc>
        <w:tc>
          <w:tcPr>
            <w:tcW w:w="2685" w:type="dxa"/>
            <w:gridSpan w:val="4"/>
            <w:tcBorders>
              <w:right w:val="single" w:color="auto" w:sz="8" w:space="0"/>
            </w:tcBorders>
            <w:noWrap w:val="0"/>
            <w:vAlign w:val="center"/>
          </w:tcPr>
          <w:p w14:paraId="26E51B6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2F63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left w:val="single" w:color="auto" w:sz="8" w:space="0"/>
            </w:tcBorders>
            <w:noWrap w:val="0"/>
            <w:vAlign w:val="center"/>
          </w:tcPr>
          <w:p w14:paraId="486BDF2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资金来源</w:t>
            </w:r>
          </w:p>
        </w:tc>
        <w:tc>
          <w:tcPr>
            <w:tcW w:w="1355" w:type="dxa"/>
            <w:gridSpan w:val="3"/>
            <w:noWrap w:val="0"/>
            <w:vAlign w:val="center"/>
          </w:tcPr>
          <w:p w14:paraId="72D0920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自有资金</w:t>
            </w:r>
          </w:p>
        </w:tc>
        <w:tc>
          <w:tcPr>
            <w:tcW w:w="1316" w:type="dxa"/>
            <w:gridSpan w:val="2"/>
            <w:noWrap w:val="0"/>
            <w:vAlign w:val="center"/>
          </w:tcPr>
          <w:p w14:paraId="37BDA94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restart"/>
            <w:noWrap w:val="0"/>
            <w:vAlign w:val="center"/>
          </w:tcPr>
          <w:p w14:paraId="19E85FF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资金类型</w:t>
            </w:r>
          </w:p>
        </w:tc>
        <w:tc>
          <w:tcPr>
            <w:tcW w:w="1371" w:type="dxa"/>
            <w:gridSpan w:val="2"/>
            <w:noWrap w:val="0"/>
            <w:vAlign w:val="center"/>
          </w:tcPr>
          <w:p w14:paraId="775CA23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商业性</w:t>
            </w:r>
          </w:p>
        </w:tc>
        <w:tc>
          <w:tcPr>
            <w:tcW w:w="1315" w:type="dxa"/>
            <w:gridSpan w:val="2"/>
            <w:tcBorders>
              <w:right w:val="single" w:color="auto" w:sz="8" w:space="0"/>
            </w:tcBorders>
            <w:noWrap w:val="0"/>
            <w:vAlign w:val="center"/>
          </w:tcPr>
          <w:p w14:paraId="20737BC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18DE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bottom w:val="single" w:color="auto" w:sz="2" w:space="0"/>
            </w:tcBorders>
            <w:noWrap w:val="0"/>
            <w:vAlign w:val="center"/>
          </w:tcPr>
          <w:p w14:paraId="083345E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55" w:type="dxa"/>
            <w:gridSpan w:val="3"/>
            <w:tcBorders>
              <w:bottom w:val="single" w:color="auto" w:sz="2" w:space="0"/>
            </w:tcBorders>
            <w:noWrap w:val="0"/>
            <w:vAlign w:val="center"/>
          </w:tcPr>
          <w:p w14:paraId="21B55DA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银行贷款</w:t>
            </w:r>
          </w:p>
        </w:tc>
        <w:tc>
          <w:tcPr>
            <w:tcW w:w="1316" w:type="dxa"/>
            <w:gridSpan w:val="2"/>
            <w:tcBorders>
              <w:bottom w:val="single" w:color="auto" w:sz="2" w:space="0"/>
            </w:tcBorders>
            <w:noWrap w:val="0"/>
            <w:vAlign w:val="center"/>
          </w:tcPr>
          <w:p w14:paraId="4A42F0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continue"/>
            <w:tcBorders>
              <w:bottom w:val="single" w:color="auto" w:sz="2" w:space="0"/>
            </w:tcBorders>
            <w:noWrap w:val="0"/>
            <w:vAlign w:val="center"/>
          </w:tcPr>
          <w:p w14:paraId="5A66943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71" w:type="dxa"/>
            <w:gridSpan w:val="2"/>
            <w:tcBorders>
              <w:bottom w:val="single" w:color="auto" w:sz="2" w:space="0"/>
            </w:tcBorders>
            <w:noWrap w:val="0"/>
            <w:vAlign w:val="center"/>
          </w:tcPr>
          <w:p w14:paraId="791BE4B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非商业性</w:t>
            </w:r>
          </w:p>
        </w:tc>
        <w:tc>
          <w:tcPr>
            <w:tcW w:w="1315" w:type="dxa"/>
            <w:gridSpan w:val="2"/>
            <w:tcBorders>
              <w:bottom w:val="single" w:color="auto" w:sz="2" w:space="0"/>
              <w:right w:val="single" w:color="auto" w:sz="8" w:space="0"/>
            </w:tcBorders>
            <w:noWrap w:val="0"/>
            <w:vAlign w:val="center"/>
          </w:tcPr>
          <w:p w14:paraId="501C3BA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C579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5279C3A1">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3．最近三年的年度总营业额</w:t>
            </w:r>
          </w:p>
        </w:tc>
      </w:tr>
      <w:tr w14:paraId="7D082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3F5AB63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年份</w:t>
            </w:r>
          </w:p>
        </w:tc>
        <w:tc>
          <w:tcPr>
            <w:tcW w:w="2252" w:type="dxa"/>
            <w:gridSpan w:val="4"/>
            <w:noWrap w:val="0"/>
            <w:vAlign w:val="center"/>
          </w:tcPr>
          <w:p w14:paraId="36A4DE7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国内</w:t>
            </w:r>
          </w:p>
        </w:tc>
        <w:tc>
          <w:tcPr>
            <w:tcW w:w="2306" w:type="dxa"/>
            <w:gridSpan w:val="5"/>
            <w:noWrap w:val="0"/>
            <w:vAlign w:val="center"/>
          </w:tcPr>
          <w:p w14:paraId="033ED23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出口</w:t>
            </w:r>
          </w:p>
        </w:tc>
        <w:tc>
          <w:tcPr>
            <w:tcW w:w="2190" w:type="dxa"/>
            <w:gridSpan w:val="3"/>
            <w:tcBorders>
              <w:right w:val="single" w:color="auto" w:sz="8" w:space="0"/>
            </w:tcBorders>
            <w:noWrap w:val="0"/>
            <w:vAlign w:val="center"/>
          </w:tcPr>
          <w:p w14:paraId="2C429FD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总额</w:t>
            </w:r>
          </w:p>
        </w:tc>
      </w:tr>
      <w:tr w14:paraId="6FD06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9E24F4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noWrap w:val="0"/>
            <w:vAlign w:val="center"/>
          </w:tcPr>
          <w:p w14:paraId="768E1827">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noWrap w:val="0"/>
            <w:vAlign w:val="center"/>
          </w:tcPr>
          <w:p w14:paraId="5E7894F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right w:val="single" w:color="auto" w:sz="8" w:space="0"/>
            </w:tcBorders>
            <w:noWrap w:val="0"/>
            <w:vAlign w:val="center"/>
          </w:tcPr>
          <w:p w14:paraId="322E4B5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EB49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01545E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noWrap w:val="0"/>
            <w:vAlign w:val="center"/>
          </w:tcPr>
          <w:p w14:paraId="295F457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noWrap w:val="0"/>
            <w:vAlign w:val="center"/>
          </w:tcPr>
          <w:p w14:paraId="0B60A3B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right w:val="single" w:color="auto" w:sz="8" w:space="0"/>
            </w:tcBorders>
            <w:noWrap w:val="0"/>
            <w:vAlign w:val="center"/>
          </w:tcPr>
          <w:p w14:paraId="5611EF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D0FC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bottom w:val="single" w:color="auto" w:sz="2" w:space="0"/>
            </w:tcBorders>
            <w:noWrap w:val="0"/>
            <w:vAlign w:val="center"/>
          </w:tcPr>
          <w:p w14:paraId="265BD5B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tcBorders>
              <w:bottom w:val="single" w:color="auto" w:sz="2" w:space="0"/>
            </w:tcBorders>
            <w:noWrap w:val="0"/>
            <w:vAlign w:val="center"/>
          </w:tcPr>
          <w:p w14:paraId="71CB43E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tcBorders>
              <w:bottom w:val="single" w:color="auto" w:sz="2" w:space="0"/>
            </w:tcBorders>
            <w:noWrap w:val="0"/>
            <w:vAlign w:val="center"/>
          </w:tcPr>
          <w:p w14:paraId="2F47522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bottom w:val="single" w:color="auto" w:sz="2" w:space="0"/>
              <w:right w:val="single" w:color="auto" w:sz="8" w:space="0"/>
            </w:tcBorders>
            <w:noWrap w:val="0"/>
            <w:vAlign w:val="center"/>
          </w:tcPr>
          <w:p w14:paraId="401D226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50A32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09E3CFC4">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4．最近三年投标主要销售情况</w:t>
            </w:r>
          </w:p>
        </w:tc>
      </w:tr>
      <w:tr w14:paraId="662F4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21DE6D8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1878" w:type="dxa"/>
            <w:gridSpan w:val="3"/>
            <w:noWrap w:val="0"/>
            <w:vAlign w:val="center"/>
          </w:tcPr>
          <w:p w14:paraId="47867B7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用户名称</w:t>
            </w:r>
          </w:p>
        </w:tc>
        <w:tc>
          <w:tcPr>
            <w:tcW w:w="2424" w:type="dxa"/>
            <w:gridSpan w:val="4"/>
            <w:noWrap w:val="0"/>
            <w:vAlign w:val="center"/>
          </w:tcPr>
          <w:p w14:paraId="1E83A5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1752" w:type="dxa"/>
            <w:gridSpan w:val="5"/>
            <w:noWrap w:val="0"/>
            <w:vAlign w:val="center"/>
          </w:tcPr>
          <w:p w14:paraId="432B77AA">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销售的项目</w:t>
            </w:r>
          </w:p>
        </w:tc>
        <w:tc>
          <w:tcPr>
            <w:tcW w:w="1253" w:type="dxa"/>
            <w:tcBorders>
              <w:right w:val="single" w:color="auto" w:sz="8" w:space="0"/>
            </w:tcBorders>
            <w:noWrap w:val="0"/>
            <w:vAlign w:val="center"/>
          </w:tcPr>
          <w:p w14:paraId="7CA0B26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数量</w:t>
            </w:r>
          </w:p>
        </w:tc>
      </w:tr>
      <w:tr w14:paraId="7C0E8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0F5C738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878" w:type="dxa"/>
            <w:gridSpan w:val="3"/>
            <w:noWrap w:val="0"/>
            <w:vAlign w:val="center"/>
          </w:tcPr>
          <w:p w14:paraId="7DEAD9F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24" w:type="dxa"/>
            <w:gridSpan w:val="4"/>
            <w:noWrap w:val="0"/>
            <w:vAlign w:val="center"/>
          </w:tcPr>
          <w:p w14:paraId="5FB8495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752" w:type="dxa"/>
            <w:gridSpan w:val="5"/>
            <w:noWrap w:val="0"/>
            <w:vAlign w:val="center"/>
          </w:tcPr>
          <w:p w14:paraId="5B3E7D9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253" w:type="dxa"/>
            <w:tcBorders>
              <w:right w:val="single" w:color="auto" w:sz="8" w:space="0"/>
            </w:tcBorders>
            <w:noWrap w:val="0"/>
            <w:vAlign w:val="center"/>
          </w:tcPr>
          <w:p w14:paraId="523A513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1BAB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bottom w:val="single" w:color="auto" w:sz="2" w:space="0"/>
            </w:tcBorders>
            <w:noWrap w:val="0"/>
            <w:vAlign w:val="center"/>
          </w:tcPr>
          <w:p w14:paraId="5B28501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878" w:type="dxa"/>
            <w:gridSpan w:val="3"/>
            <w:tcBorders>
              <w:bottom w:val="single" w:color="auto" w:sz="2" w:space="0"/>
            </w:tcBorders>
            <w:noWrap w:val="0"/>
            <w:vAlign w:val="center"/>
          </w:tcPr>
          <w:p w14:paraId="4032E3F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24" w:type="dxa"/>
            <w:gridSpan w:val="4"/>
            <w:tcBorders>
              <w:bottom w:val="single" w:color="auto" w:sz="2" w:space="0"/>
            </w:tcBorders>
            <w:noWrap w:val="0"/>
            <w:vAlign w:val="center"/>
          </w:tcPr>
          <w:p w14:paraId="6FF19EC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752" w:type="dxa"/>
            <w:gridSpan w:val="5"/>
            <w:tcBorders>
              <w:bottom w:val="single" w:color="auto" w:sz="2" w:space="0"/>
            </w:tcBorders>
            <w:noWrap w:val="0"/>
            <w:vAlign w:val="center"/>
          </w:tcPr>
          <w:p w14:paraId="402AA4D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253" w:type="dxa"/>
            <w:tcBorders>
              <w:bottom w:val="single" w:color="auto" w:sz="2" w:space="0"/>
              <w:right w:val="single" w:color="auto" w:sz="8" w:space="0"/>
            </w:tcBorders>
            <w:noWrap w:val="0"/>
            <w:vAlign w:val="center"/>
          </w:tcPr>
          <w:p w14:paraId="68E9A13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bl>
    <w:p w14:paraId="233C8E71">
      <w:pPr>
        <w:tabs>
          <w:tab w:val="left" w:pos="5580"/>
        </w:tabs>
        <w:spacing w:before="120"/>
        <w:ind w:firstLine="45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兹证明上述声明是真实、正确的，并提供了全部能提供的资料和数据，我们同意</w:t>
      </w:r>
    </w:p>
    <w:p w14:paraId="406904C7">
      <w:pPr>
        <w:tabs>
          <w:tab w:val="left" w:pos="5580"/>
        </w:tabs>
        <w:spacing w:before="120"/>
        <w:ind w:firstLine="45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遵照贵方要求出示有关证明文件。</w:t>
      </w:r>
    </w:p>
    <w:p w14:paraId="42E6EE9E">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56F85F9C">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0CA920B0">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78BD9796">
      <w:pPr>
        <w:tabs>
          <w:tab w:val="left" w:pos="4620"/>
        </w:tabs>
        <w:spacing w:before="12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4898C4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bookmarkEnd w:id="100"/>
      <w:bookmarkEnd w:id="101"/>
      <w:bookmarkEnd w:id="102"/>
    </w:p>
    <w:p w14:paraId="1BB3FA45">
      <w:pPr>
        <w:pStyle w:val="17"/>
        <w:spacing w:before="120" w:beforeLines="50" w:after="120" w:afterLines="50" w:line="36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106" w:name="_Toc144556805"/>
      <w:bookmarkStart w:id="107" w:name="_Toc302360918"/>
      <w:bookmarkStart w:id="108" w:name="_Toc175062657"/>
    </w:p>
    <w:bookmarkEnd w:id="103"/>
    <w:bookmarkEnd w:id="104"/>
    <w:bookmarkEnd w:id="105"/>
    <w:bookmarkEnd w:id="106"/>
    <w:bookmarkEnd w:id="107"/>
    <w:bookmarkEnd w:id="108"/>
    <w:p w14:paraId="6AC108B2">
      <w:pPr>
        <w:pStyle w:val="17"/>
        <w:spacing w:before="120" w:beforeLines="50" w:after="120" w:afterLines="50" w:line="360" w:lineRule="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109" w:name="_Toc302360921"/>
      <w:bookmarkStart w:id="110" w:name="_Toc175062660"/>
      <w:bookmarkStart w:id="111" w:name="_Toc21521"/>
      <w:bookmarkStart w:id="112" w:name="_Toc15915"/>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-9  投标人近</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年的同类项目情况表</w:t>
      </w:r>
      <w:bookmarkEnd w:id="109"/>
      <w:bookmarkEnd w:id="110"/>
      <w:r>
        <w:rPr>
          <w:rFonts w:hint="eastAsia" w:ascii="宋体" w:hAnsi="宋体" w:eastAsia="宋体" w:cs="宋体"/>
          <w:color w:val="000000" w:themeColor="text1"/>
          <w:sz w:val="21"/>
          <w:szCs w:val="21"/>
          <w:highlight w:val="none"/>
          <w14:textFill>
            <w14:solidFill>
              <w14:schemeClr w14:val="tx1"/>
            </w14:solidFill>
          </w14:textFill>
        </w:rPr>
        <w:t>（格式）</w:t>
      </w:r>
      <w:bookmarkEnd w:id="111"/>
      <w:bookmarkEnd w:id="112"/>
    </w:p>
    <w:p w14:paraId="3ADBF57B">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tbl>
      <w:tblPr>
        <w:tblStyle w:val="25"/>
        <w:tblW w:w="7776"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2380"/>
        <w:gridCol w:w="1557"/>
        <w:gridCol w:w="1558"/>
        <w:gridCol w:w="1146"/>
      </w:tblGrid>
      <w:tr w14:paraId="7651D1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1135" w:type="dxa"/>
            <w:noWrap w:val="0"/>
            <w:vAlign w:val="center"/>
          </w:tcPr>
          <w:p w14:paraId="29DFDC28">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2380" w:type="dxa"/>
            <w:noWrap w:val="0"/>
            <w:vAlign w:val="center"/>
          </w:tcPr>
          <w:p w14:paraId="39FB43B1">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项目名称</w:t>
            </w:r>
          </w:p>
        </w:tc>
        <w:tc>
          <w:tcPr>
            <w:tcW w:w="1557" w:type="dxa"/>
            <w:noWrap w:val="0"/>
            <w:vAlign w:val="center"/>
          </w:tcPr>
          <w:p w14:paraId="1716E7B2">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业主名称</w:t>
            </w:r>
          </w:p>
        </w:tc>
        <w:tc>
          <w:tcPr>
            <w:tcW w:w="1558" w:type="dxa"/>
            <w:noWrap w:val="0"/>
            <w:vAlign w:val="center"/>
          </w:tcPr>
          <w:p w14:paraId="7743E224">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服务时间</w:t>
            </w:r>
          </w:p>
        </w:tc>
        <w:tc>
          <w:tcPr>
            <w:tcW w:w="1146" w:type="dxa"/>
            <w:noWrap w:val="0"/>
            <w:vAlign w:val="center"/>
          </w:tcPr>
          <w:p w14:paraId="0773387C">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完成情况</w:t>
            </w:r>
          </w:p>
        </w:tc>
      </w:tr>
      <w:tr w14:paraId="2A9693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158FEFE">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63483653">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0B4290B1">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4F52769C">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2DF70082">
            <w:pPr>
              <w:jc w:val="center"/>
              <w:rPr>
                <w:rFonts w:hint="eastAsia" w:ascii="宋体" w:hAnsi="宋体" w:eastAsia="宋体" w:cs="宋体"/>
                <w:color w:val="000000" w:themeColor="text1"/>
                <w:szCs w:val="21"/>
                <w:highlight w:val="none"/>
                <w14:textFill>
                  <w14:solidFill>
                    <w14:schemeClr w14:val="tx1"/>
                  </w14:solidFill>
                </w14:textFill>
              </w:rPr>
            </w:pPr>
          </w:p>
        </w:tc>
      </w:tr>
      <w:tr w14:paraId="7C7076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2564E5CF">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137231C4">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288B130A">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63F088C6">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384C92DB">
            <w:pPr>
              <w:jc w:val="center"/>
              <w:rPr>
                <w:rFonts w:hint="eastAsia" w:ascii="宋体" w:hAnsi="宋体" w:eastAsia="宋体" w:cs="宋体"/>
                <w:color w:val="000000" w:themeColor="text1"/>
                <w:szCs w:val="21"/>
                <w:highlight w:val="none"/>
                <w14:textFill>
                  <w14:solidFill>
                    <w14:schemeClr w14:val="tx1"/>
                  </w14:solidFill>
                </w14:textFill>
              </w:rPr>
            </w:pPr>
          </w:p>
        </w:tc>
      </w:tr>
      <w:tr w14:paraId="27D402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64A17B90">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306FA31C">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185D1D98">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1F1028B7">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0E0C4904">
            <w:pPr>
              <w:jc w:val="center"/>
              <w:rPr>
                <w:rFonts w:hint="eastAsia" w:ascii="宋体" w:hAnsi="宋体" w:eastAsia="宋体" w:cs="宋体"/>
                <w:color w:val="000000" w:themeColor="text1"/>
                <w:szCs w:val="21"/>
                <w:highlight w:val="none"/>
                <w14:textFill>
                  <w14:solidFill>
                    <w14:schemeClr w14:val="tx1"/>
                  </w14:solidFill>
                </w14:textFill>
              </w:rPr>
            </w:pPr>
          </w:p>
        </w:tc>
      </w:tr>
      <w:tr w14:paraId="418A497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3BA9665">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5CA1D48B">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4AB03CB7">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3C5E8C27">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0B15E773">
            <w:pPr>
              <w:jc w:val="center"/>
              <w:rPr>
                <w:rFonts w:hint="eastAsia" w:ascii="宋体" w:hAnsi="宋体" w:eastAsia="宋体" w:cs="宋体"/>
                <w:color w:val="000000" w:themeColor="text1"/>
                <w:szCs w:val="21"/>
                <w:highlight w:val="none"/>
                <w14:textFill>
                  <w14:solidFill>
                    <w14:schemeClr w14:val="tx1"/>
                  </w14:solidFill>
                </w14:textFill>
              </w:rPr>
            </w:pPr>
          </w:p>
        </w:tc>
      </w:tr>
      <w:tr w14:paraId="4654A6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3CC94840">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33778057">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414DD762">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62D0AFDD">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0C3572E0">
            <w:pPr>
              <w:jc w:val="center"/>
              <w:rPr>
                <w:rFonts w:hint="eastAsia" w:ascii="宋体" w:hAnsi="宋体" w:eastAsia="宋体" w:cs="宋体"/>
                <w:color w:val="000000" w:themeColor="text1"/>
                <w:szCs w:val="21"/>
                <w:highlight w:val="none"/>
                <w14:textFill>
                  <w14:solidFill>
                    <w14:schemeClr w14:val="tx1"/>
                  </w14:solidFill>
                </w14:textFill>
              </w:rPr>
            </w:pPr>
          </w:p>
        </w:tc>
      </w:tr>
      <w:tr w14:paraId="426340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64C88C7F">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5F8A2D73">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6E19F0FC">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55720A88">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18516030">
            <w:pPr>
              <w:jc w:val="center"/>
              <w:rPr>
                <w:rFonts w:hint="eastAsia" w:ascii="宋体" w:hAnsi="宋体" w:eastAsia="宋体" w:cs="宋体"/>
                <w:color w:val="000000" w:themeColor="text1"/>
                <w:szCs w:val="21"/>
                <w:highlight w:val="none"/>
                <w14:textFill>
                  <w14:solidFill>
                    <w14:schemeClr w14:val="tx1"/>
                  </w14:solidFill>
                </w14:textFill>
              </w:rPr>
            </w:pPr>
          </w:p>
        </w:tc>
      </w:tr>
      <w:tr w14:paraId="0198927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0FE4186D">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47D12AB2">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335AE106">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00503915">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29E8BBC1">
            <w:pPr>
              <w:jc w:val="center"/>
              <w:rPr>
                <w:rFonts w:hint="eastAsia" w:ascii="宋体" w:hAnsi="宋体" w:eastAsia="宋体" w:cs="宋体"/>
                <w:color w:val="000000" w:themeColor="text1"/>
                <w:szCs w:val="21"/>
                <w:highlight w:val="none"/>
                <w14:textFill>
                  <w14:solidFill>
                    <w14:schemeClr w14:val="tx1"/>
                  </w14:solidFill>
                </w14:textFill>
              </w:rPr>
            </w:pPr>
          </w:p>
        </w:tc>
      </w:tr>
      <w:tr w14:paraId="2BCACD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1" w:hRule="atLeast"/>
          <w:jc w:val="center"/>
        </w:trPr>
        <w:tc>
          <w:tcPr>
            <w:tcW w:w="1135" w:type="dxa"/>
            <w:noWrap w:val="0"/>
            <w:vAlign w:val="center"/>
          </w:tcPr>
          <w:p w14:paraId="7CBEFA5C">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19858010">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13CC27A0">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78EA0978">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29085786">
            <w:pPr>
              <w:jc w:val="center"/>
              <w:rPr>
                <w:rFonts w:hint="eastAsia" w:ascii="宋体" w:hAnsi="宋体" w:eastAsia="宋体" w:cs="宋体"/>
                <w:color w:val="000000" w:themeColor="text1"/>
                <w:szCs w:val="21"/>
                <w:highlight w:val="none"/>
                <w14:textFill>
                  <w14:solidFill>
                    <w14:schemeClr w14:val="tx1"/>
                  </w14:solidFill>
                </w14:textFill>
              </w:rPr>
            </w:pPr>
          </w:p>
        </w:tc>
      </w:tr>
    </w:tbl>
    <w:p w14:paraId="56F0746E">
      <w:pPr>
        <w:adjustRightInd w:val="0"/>
        <w:snapToGrid w:val="0"/>
        <w:spacing w:before="120" w:beforeLines="50" w:line="360" w:lineRule="auto"/>
        <w:ind w:firstLine="178" w:firstLineChars="8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1．投标人必须提供能够证明上述业绩真实性的合同复印件</w:t>
      </w:r>
      <w:r>
        <w:rPr>
          <w:rFonts w:hint="eastAsia" w:ascii="宋体" w:hAnsi="宋体" w:eastAsia="宋体" w:cs="宋体"/>
          <w:color w:val="000000" w:themeColor="text1"/>
          <w:szCs w:val="21"/>
          <w:highlight w:val="none"/>
          <w:lang w:val="en-US" w:eastAsia="zh-CN"/>
          <w14:textFill>
            <w14:solidFill>
              <w14:schemeClr w14:val="tx1"/>
            </w14:solidFill>
          </w14:textFill>
        </w:rPr>
        <w:t>或中标通知书</w:t>
      </w:r>
      <w:r>
        <w:rPr>
          <w:rFonts w:hint="eastAsia" w:ascii="宋体" w:hAnsi="宋体" w:eastAsia="宋体" w:cs="宋体"/>
          <w:color w:val="000000" w:themeColor="text1"/>
          <w:szCs w:val="21"/>
          <w:highlight w:val="none"/>
          <w14:textFill>
            <w14:solidFill>
              <w14:schemeClr w14:val="tx1"/>
            </w14:solidFill>
          </w14:textFill>
        </w:rPr>
        <w:t>，合同复印件中必须至少包括合同的甲乙双方、合同详细标的和双方签章及生效时间。</w:t>
      </w:r>
    </w:p>
    <w:p w14:paraId="1B1E3496">
      <w:pPr>
        <w:adjustRightInd w:val="0"/>
        <w:snapToGrid w:val="0"/>
        <w:spacing w:line="360" w:lineRule="auto"/>
        <w:ind w:left="305" w:firstLine="535" w:firstLineChars="25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2．所有合同复印件应清晰，并由投标人单位加盖公章。</w:t>
      </w:r>
    </w:p>
    <w:p w14:paraId="29F265A8">
      <w:pPr>
        <w:adjustRightInd w:val="0"/>
        <w:snapToGrid w:val="0"/>
        <w:spacing w:line="360" w:lineRule="auto"/>
        <w:ind w:left="305" w:firstLine="535" w:firstLineChars="25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3．投标人应在不涉及商业秘密的前提下尽可能提供详细的合同复印件内容。</w:t>
      </w:r>
    </w:p>
    <w:p w14:paraId="1C13F70E">
      <w:pPr>
        <w:adjustRightInd w:val="0"/>
        <w:snapToGrid w:val="0"/>
        <w:spacing w:line="360" w:lineRule="auto"/>
        <w:ind w:left="305" w:firstLine="535" w:firstLineChars="25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4．评标委员会保留审核原件的权利。</w:t>
      </w:r>
    </w:p>
    <w:p w14:paraId="51283DF0">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30ADC9D4">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4A14FBBE">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3DFC7DE5">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687CF60E">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6912CDC">
      <w:pPr>
        <w:tabs>
          <w:tab w:val="left" w:pos="5580"/>
        </w:tabs>
        <w:spacing w:line="360" w:lineRule="auto"/>
        <w:outlineLvl w:val="1"/>
        <w:rPr>
          <w:rFonts w:hint="eastAsia" w:ascii="宋体" w:hAnsi="宋体" w:eastAsia="宋体" w:cs="宋体"/>
          <w:b/>
          <w:bCs/>
          <w:color w:val="000000" w:themeColor="text1"/>
          <w:szCs w:val="21"/>
          <w:highlight w:val="none"/>
          <w14:textFill>
            <w14:solidFill>
              <w14:schemeClr w14:val="tx1"/>
            </w14:solidFill>
          </w14:textFill>
        </w:rPr>
      </w:pPr>
      <w:bookmarkStart w:id="113" w:name="_Toc906"/>
      <w:bookmarkStart w:id="114" w:name="_Toc32236"/>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lang w:val="en-US" w:eastAsia="zh-CN"/>
          <w14:textFill>
            <w14:solidFill>
              <w14:schemeClr w14:val="tx1"/>
            </w14:solidFill>
          </w14:textFill>
        </w:rPr>
        <w:t>0</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
          <w:bCs/>
          <w:color w:val="000000" w:themeColor="text1"/>
          <w:szCs w:val="21"/>
          <w:highlight w:val="none"/>
          <w14:textFill>
            <w14:solidFill>
              <w14:schemeClr w14:val="tx1"/>
            </w14:solidFill>
          </w14:textFill>
        </w:rPr>
        <w:t>(查询日期自招标公告发布之日后，提供网页打印件加盖公章)</w:t>
      </w:r>
      <w:bookmarkEnd w:id="113"/>
    </w:p>
    <w:bookmarkEnd w:id="114"/>
    <w:p w14:paraId="6868C176">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115" w:name="_Toc21329"/>
      <w:bookmarkStart w:id="116" w:name="_Toc32056"/>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bookmarkEnd w:id="115"/>
      <w:bookmarkEnd w:id="116"/>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748F35A">
      <w:pPr>
        <w:pStyle w:val="17"/>
        <w:spacing w:before="120" w:beforeLines="50" w:after="120" w:afterLines="50" w:line="360" w:lineRule="auto"/>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17" w:name="_Toc32539"/>
      <w:bookmarkStart w:id="118" w:name="_Toc7258"/>
      <w:bookmarkStart w:id="119" w:name="_Toc5488"/>
      <w:bookmarkStart w:id="120" w:name="_Toc16255"/>
      <w:bookmarkStart w:id="121" w:name="_Toc4851"/>
      <w:r>
        <w:rPr>
          <w:rFonts w:hint="eastAsia" w:ascii="宋体" w:hAnsi="宋体" w:eastAsia="宋体" w:cs="宋体"/>
          <w:b w:val="0"/>
          <w:bCs w:val="0"/>
          <w:color w:val="000000" w:themeColor="text1"/>
          <w:sz w:val="21"/>
          <w:szCs w:val="21"/>
          <w:highlight w:val="none"/>
          <w14:textFill>
            <w14:solidFill>
              <w14:schemeClr w14:val="tx1"/>
            </w14:solidFill>
          </w14:textFill>
        </w:rPr>
        <w:t>致：</w:t>
      </w:r>
      <w:bookmarkEnd w:id="117"/>
      <w:bookmarkEnd w:id="118"/>
      <w:bookmarkEnd w:id="119"/>
      <w:bookmarkEnd w:id="120"/>
      <w:bookmarkEnd w:id="121"/>
    </w:p>
    <w:p w14:paraId="0B78BF48">
      <w:pPr>
        <w:pStyle w:val="17"/>
        <w:spacing w:before="120" w:beforeLines="50" w:after="120" w:afterLines="50" w:line="360" w:lineRule="auto"/>
        <w:ind w:firstLine="420" w:firstLineChars="200"/>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22" w:name="_Toc15858"/>
      <w:bookmarkStart w:id="123" w:name="_Toc28611"/>
      <w:bookmarkStart w:id="124" w:name="_Toc19134"/>
      <w:bookmarkStart w:id="125" w:name="_Toc18082"/>
      <w:bookmarkStart w:id="126" w:name="_Toc23252"/>
      <w:r>
        <w:rPr>
          <w:rFonts w:hint="eastAsia" w:ascii="宋体" w:hAnsi="宋体" w:eastAsia="宋体" w:cs="宋体"/>
          <w:b w:val="0"/>
          <w:bCs w:val="0"/>
          <w:color w:val="000000" w:themeColor="text1"/>
          <w:sz w:val="21"/>
          <w:szCs w:val="21"/>
          <w:highlight w:val="none"/>
          <w14:textFill>
            <w14:solidFill>
              <w14:schemeClr w14:val="tx1"/>
            </w14:solidFill>
          </w14:textFill>
        </w:rPr>
        <w:t>根据《中华人民共和国政府采购法实施条例》中“第十八条 单位负责人为同一人或者存在直接控股、管理关系的不同供应商，不得参加同一合同项下的政府采购活动。”</w:t>
      </w:r>
      <w:bookmarkEnd w:id="122"/>
      <w:bookmarkEnd w:id="123"/>
      <w:bookmarkEnd w:id="124"/>
      <w:bookmarkEnd w:id="125"/>
      <w:bookmarkEnd w:id="126"/>
    </w:p>
    <w:p w14:paraId="01E7305B">
      <w:pPr>
        <w:pStyle w:val="17"/>
        <w:spacing w:before="120" w:beforeLines="50" w:after="120" w:afterLines="50" w:line="360" w:lineRule="auto"/>
        <w:ind w:firstLine="210" w:firstLineChars="100"/>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27" w:name="_Toc22651"/>
      <w:bookmarkStart w:id="128" w:name="_Toc5003"/>
      <w:bookmarkStart w:id="129" w:name="_Toc20849"/>
      <w:bookmarkStart w:id="130" w:name="_Toc14166"/>
      <w:bookmarkStart w:id="131" w:name="_Toc13630"/>
      <w:r>
        <w:rPr>
          <w:rFonts w:hint="eastAsia" w:ascii="宋体" w:hAnsi="宋体" w:eastAsia="宋体" w:cs="宋体"/>
          <w:b w:val="0"/>
          <w:bCs w:val="0"/>
          <w:color w:val="000000" w:themeColor="text1"/>
          <w:sz w:val="21"/>
          <w:szCs w:val="21"/>
          <w:highlight w:val="none"/>
          <w14:textFill>
            <w14:solidFill>
              <w14:schemeClr w14:val="tx1"/>
            </w14:solidFill>
          </w14:textFill>
        </w:rPr>
        <w:t> 我公司声明在参与本项目中不存在上述情况，如本声明与实际情况不符，由此产生的一切法律后果，均自行承担。</w:t>
      </w:r>
      <w:bookmarkEnd w:id="127"/>
      <w:bookmarkEnd w:id="128"/>
      <w:bookmarkEnd w:id="129"/>
      <w:bookmarkEnd w:id="130"/>
      <w:bookmarkEnd w:id="131"/>
    </w:p>
    <w:p w14:paraId="73220762">
      <w:pPr>
        <w:pStyle w:val="17"/>
        <w:spacing w:before="120" w:beforeLines="50" w:after="120" w:afterLines="50" w:line="360" w:lineRule="auto"/>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32" w:name="_Toc17126"/>
      <w:bookmarkStart w:id="133" w:name="_Toc22862"/>
      <w:bookmarkStart w:id="134" w:name="_Toc12270"/>
      <w:bookmarkStart w:id="135" w:name="_Toc21707"/>
      <w:bookmarkStart w:id="136" w:name="_Toc3675"/>
      <w:r>
        <w:rPr>
          <w:rFonts w:hint="eastAsia" w:ascii="宋体" w:hAnsi="宋体" w:eastAsia="宋体" w:cs="宋体"/>
          <w:b w:val="0"/>
          <w:bCs w:val="0"/>
          <w:color w:val="000000" w:themeColor="text1"/>
          <w:sz w:val="21"/>
          <w:szCs w:val="21"/>
          <w:highlight w:val="none"/>
          <w14:textFill>
            <w14:solidFill>
              <w14:schemeClr w14:val="tx1"/>
            </w14:solidFill>
          </w14:textFill>
        </w:rPr>
        <w:t>  特此声明。</w:t>
      </w:r>
      <w:bookmarkEnd w:id="132"/>
      <w:bookmarkEnd w:id="133"/>
      <w:bookmarkEnd w:id="134"/>
      <w:bookmarkEnd w:id="135"/>
      <w:bookmarkEnd w:id="136"/>
    </w:p>
    <w:p w14:paraId="366AD712">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7289E6B9">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6669732A">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bookmarkStart w:id="137" w:name="_Toc7187"/>
      <w:bookmarkStart w:id="138" w:name="_Toc6079"/>
      <w:bookmarkStart w:id="139" w:name="_Toc10031"/>
      <w:r>
        <w:rPr>
          <w:rFonts w:hint="eastAsia" w:ascii="宋体" w:hAnsi="宋体" w:eastAsia="宋体" w:cs="宋体"/>
          <w:color w:val="000000" w:themeColor="text1"/>
          <w:szCs w:val="21"/>
          <w:highlight w:val="none"/>
          <w14:textFill>
            <w14:solidFill>
              <w14:schemeClr w14:val="tx1"/>
            </w14:solidFill>
          </w14:textFill>
        </w:rPr>
        <w:t>日期：</w:t>
      </w:r>
    </w:p>
    <w:p w14:paraId="199B4D46">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2A6E9C9">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287500B0">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27D2D3A">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06466E1">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bookmarkEnd w:id="137"/>
    <w:bookmarkEnd w:id="138"/>
    <w:bookmarkEnd w:id="139"/>
    <w:p w14:paraId="4D0D76E9">
      <w:pPr>
        <w:tabs>
          <w:tab w:val="left" w:pos="5580"/>
        </w:tabs>
        <w:spacing w:line="360" w:lineRule="auto"/>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70FE6CE">
      <w:pPr>
        <w:pStyle w:val="51"/>
        <w:spacing w:before="240" w:after="240"/>
        <w:jc w:val="center"/>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140" w:name="_Toc15130"/>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附件6-1</w:t>
      </w:r>
      <w:r>
        <w:rPr>
          <w:rFonts w:hint="eastAsia" w:ascii="宋体" w:hAnsi="宋体" w:cs="宋体"/>
          <w:b/>
          <w:bCs/>
          <w:color w:val="000000" w:themeColor="text1"/>
          <w:kern w:val="28"/>
          <w:sz w:val="21"/>
          <w:szCs w:val="21"/>
          <w:highlight w:val="none"/>
          <w:lang w:val="en-US" w:eastAsia="zh-CN" w:bidi="ar-SA"/>
          <w14:textFill>
            <w14:solidFill>
              <w14:schemeClr w14:val="tx1"/>
            </w14:solidFill>
          </w14:textFill>
        </w:rPr>
        <w:t xml:space="preserve">2  </w:t>
      </w: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反商业贿赂承诺书</w:t>
      </w:r>
      <w:bookmarkEnd w:id="140"/>
    </w:p>
    <w:p w14:paraId="44ABCFE7">
      <w:pPr>
        <w:pStyle w:val="51"/>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我公司承诺：</w:t>
      </w:r>
    </w:p>
    <w:p w14:paraId="0AF6C8C9">
      <w:pPr>
        <w:pStyle w:val="51"/>
        <w:spacing w:line="400" w:lineRule="exact"/>
        <w:ind w:firstLine="210" w:firstLineChars="1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 xml:space="preserve">在 </w:t>
      </w:r>
      <w:r>
        <w:rPr>
          <w:rFonts w:hint="eastAsia" w:ascii="宋体" w:hAnsi="宋体" w:cs="宋体"/>
          <w:b w:val="0"/>
          <w:bCs w:val="0"/>
          <w:color w:val="000000" w:themeColor="text1"/>
          <w:kern w:val="28"/>
          <w:sz w:val="21"/>
          <w:szCs w:val="21"/>
          <w:highlight w:val="none"/>
          <w:u w:val="single"/>
          <w:lang w:val="en-US" w:eastAsia="zh-CN" w:bidi="ar-SA"/>
          <w14:textFill>
            <w14:solidFill>
              <w14:schemeClr w14:val="tx1"/>
            </w14:solidFill>
          </w14:textFill>
        </w:rPr>
        <w:t xml:space="preserve">                                              （项目名称）</w:t>
      </w: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招标活动中，我公司保证做到：</w:t>
      </w:r>
    </w:p>
    <w:p w14:paraId="22599C0F">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64E4F0B">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22FD0389">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三、如中标，承诺书在合同期内继续生效。</w:t>
      </w:r>
    </w:p>
    <w:p w14:paraId="680221B2">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四、若出现违反承诺行为，我公司及参与投标的工作人员愿意接受按照国家法律法规等有关规定给予的处罚，并赔偿给甲方造成的经济损失。</w:t>
      </w:r>
    </w:p>
    <w:p w14:paraId="4FA79251">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五、如果贵公司人员在业务活动中有违规、违纪、违法行为，我方将采取有效措施防止其继续发生，并及时向贵公司纪检监察部门举报，积极配合贵公司的调查取证工作,提供必要的协助和便利条件。</w:t>
      </w:r>
    </w:p>
    <w:p w14:paraId="4B6DF310">
      <w:pPr>
        <w:pStyle w:val="51"/>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p>
    <w:p w14:paraId="5F344549">
      <w:pPr>
        <w:pStyle w:val="51"/>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p>
    <w:p w14:paraId="29440BEA">
      <w:pPr>
        <w:pStyle w:val="51"/>
        <w:widowControl/>
        <w:spacing w:line="440" w:lineRule="exact"/>
        <w:ind w:firstLine="3675" w:firstLineChars="1750"/>
        <w:jc w:val="lef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供应商：                    （公章）</w:t>
      </w:r>
    </w:p>
    <w:p w14:paraId="06F775CA">
      <w:pPr>
        <w:pStyle w:val="51"/>
        <w:widowControl/>
        <w:spacing w:line="440" w:lineRule="exact"/>
        <w:ind w:firstLine="3675" w:firstLineChars="1750"/>
        <w:jc w:val="lef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日  期：        年     月     日</w:t>
      </w:r>
    </w:p>
    <w:p w14:paraId="49DD7F99">
      <w:pPr>
        <w:tabs>
          <w:tab w:val="left" w:pos="5580"/>
        </w:tabs>
        <w:spacing w:line="360" w:lineRule="auto"/>
        <w:outlineLvl w:val="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F03BCC2">
      <w:pPr>
        <w:tabs>
          <w:tab w:val="left" w:pos="5580"/>
        </w:tabs>
        <w:spacing w:line="360" w:lineRule="auto"/>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pPr>
      <w:bookmarkStart w:id="141" w:name="_Toc26964"/>
      <w:r>
        <w:rPr>
          <w:rFonts w:hint="eastAsia" w:ascii="宋体" w:hAnsi="宋体" w:eastAsia="宋体" w:cs="宋体"/>
          <w:b/>
          <w:bCs/>
          <w:color w:val="000000" w:themeColor="text1"/>
          <w:szCs w:val="21"/>
          <w:highlight w:val="none"/>
          <w:lang w:val="en-US" w:eastAsia="zh-CN"/>
          <w14:textFill>
            <w14:solidFill>
              <w14:schemeClr w14:val="tx1"/>
            </w14:solidFill>
          </w14:textFill>
        </w:rPr>
        <w:t>附件6-13 招标文件要求的其他资格证明文件</w:t>
      </w:r>
      <w:bookmarkEnd w:id="141"/>
    </w:p>
    <w:p w14:paraId="60B5B8E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具备有效的《中华人民共和国基础电信业务经营许可证》。</w:t>
      </w:r>
      <w:bookmarkStart w:id="180" w:name="_GoBack"/>
      <w:bookmarkEnd w:id="180"/>
      <w:r>
        <w:rPr>
          <w:rFonts w:hint="eastAsia" w:ascii="宋体" w:hAnsi="宋体" w:eastAsia="宋体" w:cs="宋体"/>
          <w:b/>
          <w:bCs/>
          <w:color w:val="000000" w:themeColor="text1"/>
          <w:szCs w:val="21"/>
          <w:highlight w:val="none"/>
          <w14:textFill>
            <w14:solidFill>
              <w14:schemeClr w14:val="tx1"/>
            </w14:solidFill>
          </w14:textFill>
        </w:rPr>
        <w:br w:type="page"/>
      </w:r>
    </w:p>
    <w:p w14:paraId="1900262C">
      <w:pPr>
        <w:tabs>
          <w:tab w:val="left" w:pos="5580"/>
        </w:tabs>
        <w:spacing w:line="360" w:lineRule="auto"/>
        <w:outlineLvl w:val="1"/>
        <w:rPr>
          <w:rFonts w:hint="eastAsia" w:ascii="宋体" w:hAnsi="宋体" w:eastAsia="宋体" w:cs="宋体"/>
          <w:b/>
          <w:bCs/>
          <w:color w:val="000000" w:themeColor="text1"/>
          <w:szCs w:val="21"/>
          <w:highlight w:val="none"/>
          <w14:textFill>
            <w14:solidFill>
              <w14:schemeClr w14:val="tx1"/>
            </w14:solidFill>
          </w14:textFill>
        </w:rPr>
      </w:pPr>
      <w:bookmarkStart w:id="142" w:name="_Toc11541"/>
      <w:bookmarkStart w:id="143" w:name="_Toc19459"/>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7</w:t>
      </w:r>
      <w:r>
        <w:rPr>
          <w:rFonts w:hint="eastAsia" w:ascii="宋体" w:hAnsi="宋体" w:eastAsia="宋体" w:cs="宋体"/>
          <w:b/>
          <w:bCs/>
          <w:color w:val="000000" w:themeColor="text1"/>
          <w:szCs w:val="21"/>
          <w:highlight w:val="none"/>
          <w14:textFill>
            <w14:solidFill>
              <w14:schemeClr w14:val="tx1"/>
            </w14:solidFill>
          </w14:textFill>
        </w:rPr>
        <w:t>-1   拟投入本项目人员情况表</w:t>
      </w:r>
      <w:bookmarkEnd w:id="142"/>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tblGrid>
      <w:tr w14:paraId="3DBBB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14:paraId="74F10170">
            <w:pPr>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bookmarkStart w:id="144" w:name="_Toc329329446"/>
            <w:bookmarkStart w:id="145" w:name="_Toc327364610"/>
            <w:r>
              <w:rPr>
                <w:rFonts w:hint="eastAsia" w:ascii="宋体" w:hAnsi="宋体" w:eastAsia="宋体" w:cs="宋体"/>
                <w:color w:val="000000" w:themeColor="text1"/>
                <w:szCs w:val="21"/>
                <w:highlight w:val="none"/>
                <w14:textFill>
                  <w14:solidFill>
                    <w14:schemeClr w14:val="tx1"/>
                  </w14:solidFill>
                </w14:textFill>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07C5DAC0">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2C1FB688">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49BDBF26">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1A4FC041">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14:paraId="27DCFDE0">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14:paraId="410C01C9">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现任职务</w:t>
            </w:r>
          </w:p>
        </w:tc>
        <w:tc>
          <w:tcPr>
            <w:tcW w:w="840" w:type="dxa"/>
            <w:tcBorders>
              <w:top w:val="single" w:color="auto" w:sz="4" w:space="0"/>
              <w:left w:val="single" w:color="auto" w:sz="6" w:space="0"/>
              <w:bottom w:val="single" w:color="auto" w:sz="6" w:space="0"/>
              <w:right w:val="single" w:color="auto" w:sz="4" w:space="0"/>
            </w:tcBorders>
            <w:noWrap w:val="0"/>
            <w:vAlign w:val="center"/>
          </w:tcPr>
          <w:p w14:paraId="795C9EFA">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2F3D3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7C9D0386">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EC8EC8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612D1D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CE143B7">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CEF81F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64977C2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0DDE35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2B126EB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r w14:paraId="5CE36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04C0EEFA">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6369DE1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F90EA3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17031E46">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656DC7">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5F87886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9EE4CBA">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16B6E155">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r w14:paraId="03B85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6E8A9C56">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1AF56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704B02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E578D2">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81F5C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765BC32F">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0E2758C">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605C3F3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bl>
    <w:p w14:paraId="79378FD6">
      <w:pPr>
        <w:adjustRightInd w:val="0"/>
        <w:snapToGrid w:val="0"/>
        <w:spacing w:line="360" w:lineRule="auto"/>
        <w:ind w:left="851"/>
        <w:jc w:val="center"/>
        <w:rPr>
          <w:rFonts w:hint="eastAsia" w:ascii="宋体" w:hAnsi="宋体" w:eastAsia="宋体" w:cs="宋体"/>
          <w:b/>
          <w:color w:val="000000" w:themeColor="text1"/>
          <w:szCs w:val="21"/>
          <w:highlight w:val="none"/>
          <w14:textFill>
            <w14:solidFill>
              <w14:schemeClr w14:val="tx1"/>
            </w14:solidFill>
          </w14:textFill>
        </w:rPr>
      </w:pPr>
    </w:p>
    <w:bookmarkEnd w:id="144"/>
    <w:bookmarkEnd w:id="145"/>
    <w:p w14:paraId="5CF5BD3F">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129632F">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3DC0E568">
      <w:pPr>
        <w:adjustRightInd w:val="0"/>
        <w:snapToGrid w:val="0"/>
        <w:spacing w:line="360" w:lineRule="auto"/>
        <w:ind w:left="420" w:hanging="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7199CD46">
      <w:pPr>
        <w:pStyle w:val="10"/>
        <w:rPr>
          <w:rFonts w:hint="eastAsia" w:ascii="宋体" w:hAnsi="宋体" w:eastAsia="宋体" w:cs="宋体"/>
          <w:color w:val="000000" w:themeColor="text1"/>
          <w:highlight w:val="none"/>
          <w14:textFill>
            <w14:solidFill>
              <w14:schemeClr w14:val="tx1"/>
            </w14:solidFill>
          </w14:textFill>
        </w:rPr>
      </w:pPr>
    </w:p>
    <w:p w14:paraId="306B2471">
      <w:pPr>
        <w:pStyle w:val="10"/>
        <w:rPr>
          <w:rFonts w:hint="eastAsia" w:ascii="宋体" w:hAnsi="宋体" w:eastAsia="宋体" w:cs="宋体"/>
          <w:color w:val="000000" w:themeColor="text1"/>
          <w:highlight w:val="none"/>
          <w14:textFill>
            <w14:solidFill>
              <w14:schemeClr w14:val="tx1"/>
            </w14:solidFill>
          </w14:textFill>
        </w:rPr>
      </w:pPr>
    </w:p>
    <w:p w14:paraId="6403E0C1">
      <w:pPr>
        <w:spacing w:line="360" w:lineRule="auto"/>
        <w:outlineLvl w:val="1"/>
        <w:rPr>
          <w:rFonts w:hint="eastAsia" w:ascii="宋体" w:hAnsi="宋体" w:eastAsia="宋体" w:cs="宋体"/>
          <w:b/>
          <w:bCs/>
          <w:color w:val="000000" w:themeColor="text1"/>
          <w:szCs w:val="21"/>
          <w:highlight w:val="none"/>
          <w14:textFill>
            <w14:solidFill>
              <w14:schemeClr w14:val="tx1"/>
            </w14:solidFill>
          </w14:textFill>
        </w:rPr>
      </w:pPr>
      <w:bookmarkStart w:id="146" w:name="_Toc14585"/>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7</w:t>
      </w:r>
      <w:r>
        <w:rPr>
          <w:rFonts w:hint="eastAsia" w:ascii="宋体" w:hAnsi="宋体" w:eastAsia="宋体" w:cs="宋体"/>
          <w:b/>
          <w:bCs/>
          <w:color w:val="000000" w:themeColor="text1"/>
          <w:szCs w:val="21"/>
          <w:highlight w:val="none"/>
          <w14:textFill>
            <w14:solidFill>
              <w14:schemeClr w14:val="tx1"/>
            </w14:solidFill>
          </w14:textFill>
        </w:rPr>
        <w:t>-2   项目实施方案（格式自拟）</w:t>
      </w:r>
      <w:bookmarkEnd w:id="146"/>
      <w:r>
        <w:rPr>
          <w:rFonts w:hint="eastAsia" w:ascii="宋体" w:hAnsi="宋体" w:eastAsia="宋体" w:cs="宋体"/>
          <w:b/>
          <w:bCs/>
          <w:color w:val="000000" w:themeColor="text1"/>
          <w:szCs w:val="21"/>
          <w:highlight w:val="none"/>
          <w14:textFill>
            <w14:solidFill>
              <w14:schemeClr w14:val="tx1"/>
            </w14:solidFill>
          </w14:textFill>
        </w:rPr>
        <w:t xml:space="preserve"> </w:t>
      </w:r>
      <w:bookmarkEnd w:id="143"/>
    </w:p>
    <w:p w14:paraId="0E0AF45E">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251854D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5FD12E2">
      <w:pPr>
        <w:pStyle w:val="1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9F56D53">
      <w:pPr>
        <w:pStyle w:val="17"/>
        <w:spacing w:before="120" w:beforeLines="50" w:after="120" w:afterLines="50" w:line="360" w:lineRule="auto"/>
        <w:jc w:val="both"/>
        <w:outlineLvl w:val="1"/>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bookmarkStart w:id="147" w:name="_Toc2186"/>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bookmarkEnd w:id="147"/>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p w14:paraId="14D8AA78">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2DE4B39">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45AC577">
      <w:pPr>
        <w:pStyle w:val="10"/>
        <w:outlineLvl w:val="1"/>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148" w:name="_Toc5648"/>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附件7-</w:t>
      </w:r>
      <w:r>
        <w:rPr>
          <w:rFonts w:hint="eastAsia" w:eastAsia="宋体" w:cs="宋体"/>
          <w:b/>
          <w:bCs/>
          <w:color w:val="000000" w:themeColor="text1"/>
          <w:kern w:val="28"/>
          <w:sz w:val="21"/>
          <w:szCs w:val="21"/>
          <w:highlight w:val="none"/>
          <w:lang w:val="en-US" w:eastAsia="zh-CN" w:bidi="ar-SA"/>
          <w14:textFill>
            <w14:solidFill>
              <w14:schemeClr w14:val="tx1"/>
            </w14:solidFill>
          </w14:textFill>
        </w:rPr>
        <w:t>4</w:t>
      </w: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 xml:space="preserve">  </w:t>
      </w:r>
      <w:bookmarkEnd w:id="148"/>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应急预案</w:t>
      </w:r>
    </w:p>
    <w:p w14:paraId="378CE92F">
      <w:pPr>
        <w:rPr>
          <w:rFonts w:hint="eastAsia"/>
          <w:lang w:val="en-US" w:eastAsia="zh-CN"/>
        </w:rPr>
      </w:pPr>
    </w:p>
    <w:p w14:paraId="18F9B9C4">
      <w:pPr>
        <w:pStyle w:val="10"/>
        <w:outlineLvl w:val="1"/>
        <w:rPr>
          <w:rFonts w:hint="default"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eastAsia="宋体" w:cs="宋体"/>
          <w:b/>
          <w:bCs/>
          <w:color w:val="000000" w:themeColor="text1"/>
          <w:kern w:val="28"/>
          <w:sz w:val="21"/>
          <w:szCs w:val="21"/>
          <w:highlight w:val="none"/>
          <w:lang w:val="en-US" w:eastAsia="zh-CN" w:bidi="ar-SA"/>
          <w14:textFill>
            <w14:solidFill>
              <w14:schemeClr w14:val="tx1"/>
            </w14:solidFill>
          </w14:textFill>
        </w:rPr>
        <w:t>附件：其他</w:t>
      </w:r>
    </w:p>
    <w:p w14:paraId="342425DD">
      <w:pPr>
        <w:pStyle w:val="1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p>
    <w:p w14:paraId="0B640AE8">
      <w:pPr>
        <w:pStyle w:val="1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p>
    <w:p w14:paraId="2B1FC94E">
      <w:pPr>
        <w:pStyle w:val="10"/>
        <w:rPr>
          <w:rFonts w:hint="default" w:ascii="宋体" w:hAnsi="宋体" w:eastAsia="宋体" w:cs="宋体"/>
          <w:b/>
          <w:bCs/>
          <w:color w:val="000000" w:themeColor="text1"/>
          <w:kern w:val="28"/>
          <w:sz w:val="21"/>
          <w:szCs w:val="21"/>
          <w:highlight w:val="none"/>
          <w:lang w:val="en-US" w:eastAsia="zh-CN" w:bidi="ar-SA"/>
          <w14:textFill>
            <w14:solidFill>
              <w14:schemeClr w14:val="tx1"/>
            </w14:solidFill>
          </w14:textFill>
        </w:rPr>
      </w:pPr>
    </w:p>
    <w:p w14:paraId="0FC485C1">
      <w:pPr>
        <w:pStyle w:val="17"/>
        <w:spacing w:before="120" w:beforeLines="50" w:after="120" w:afterLines="50" w:line="360" w:lineRule="auto"/>
        <w:jc w:val="both"/>
        <w:outlineLvl w:val="1"/>
        <w:rPr>
          <w:rFonts w:hint="eastAsia" w:ascii="宋体" w:hAnsi="宋体" w:eastAsia="宋体" w:cs="宋体"/>
          <w:b w:val="0"/>
          <w:color w:val="000000" w:themeColor="text1"/>
          <w:sz w:val="21"/>
          <w:szCs w:val="21"/>
          <w:highlight w:val="none"/>
          <w14:textFill>
            <w14:solidFill>
              <w14:schemeClr w14:val="tx1"/>
            </w14:solidFill>
          </w14:textFill>
        </w:rPr>
      </w:pPr>
      <w:bookmarkStart w:id="149" w:name="_Toc1408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投标保证金缴纳凭证</w:t>
      </w:r>
      <w:bookmarkEnd w:id="149"/>
    </w:p>
    <w:p w14:paraId="6D971688">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06A4E65">
      <w:pPr>
        <w:rPr>
          <w:rFonts w:hint="eastAsia" w:ascii="宋体" w:hAnsi="宋体" w:eastAsia="宋体" w:cs="宋体"/>
          <w:color w:val="000000" w:themeColor="text1"/>
          <w:sz w:val="21"/>
          <w:szCs w:val="21"/>
          <w:highlight w:val="none"/>
          <w14:textFill>
            <w14:solidFill>
              <w14:schemeClr w14:val="tx1"/>
            </w14:solidFill>
          </w14:textFill>
        </w:rPr>
      </w:pPr>
      <w:bookmarkStart w:id="150" w:name="_Toc20343"/>
      <w:bookmarkStart w:id="151" w:name="_Toc30567"/>
      <w:bookmarkStart w:id="152" w:name="_Toc302360926"/>
      <w:r>
        <w:rPr>
          <w:rFonts w:hint="eastAsia" w:ascii="宋体" w:hAnsi="宋体" w:eastAsia="宋体" w:cs="宋体"/>
          <w:color w:val="000000" w:themeColor="text1"/>
          <w:sz w:val="21"/>
          <w:szCs w:val="21"/>
          <w:highlight w:val="none"/>
          <w14:textFill>
            <w14:solidFill>
              <w14:schemeClr w14:val="tx1"/>
            </w14:solidFill>
          </w14:textFill>
        </w:rPr>
        <w:br w:type="page"/>
      </w:r>
    </w:p>
    <w:p w14:paraId="7B85E19C">
      <w:pPr>
        <w:pStyle w:val="17"/>
        <w:spacing w:before="120" w:beforeLines="50" w:after="120" w:afterLines="50" w:line="360" w:lineRule="auto"/>
        <w:jc w:val="left"/>
        <w:outlineLvl w:val="1"/>
        <w:rPr>
          <w:rFonts w:hint="eastAsia" w:ascii="宋体" w:hAnsi="宋体" w:eastAsia="宋体" w:cs="宋体"/>
          <w:color w:val="000000" w:themeColor="text1"/>
          <w:sz w:val="21"/>
          <w:szCs w:val="21"/>
          <w:highlight w:val="none"/>
          <w14:textFill>
            <w14:solidFill>
              <w14:schemeClr w14:val="tx1"/>
            </w14:solidFill>
          </w14:textFill>
        </w:rPr>
      </w:pPr>
      <w:bookmarkStart w:id="153" w:name="_Toc32022"/>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  中标服务费承诺书（格式）</w:t>
      </w:r>
      <w:bookmarkEnd w:id="150"/>
      <w:bookmarkEnd w:id="151"/>
      <w:bookmarkEnd w:id="152"/>
      <w:bookmarkEnd w:id="153"/>
    </w:p>
    <w:p w14:paraId="37AB2B92">
      <w:pPr>
        <w:tabs>
          <w:tab w:val="left" w:pos="851"/>
        </w:tabs>
        <w:spacing w:before="240" w:beforeLines="100" w:after="120" w:after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致：中国远东国际招标有限公司新疆分公司：</w:t>
      </w:r>
    </w:p>
    <w:p w14:paraId="3B0524F5">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我们在贵公司组织的 （</w:t>
      </w:r>
      <w:r>
        <w:rPr>
          <w:rFonts w:hint="eastAsia" w:ascii="宋体" w:hAnsi="宋体" w:eastAsia="宋体" w:cs="宋体"/>
          <w:b/>
          <w:color w:val="000000" w:themeColor="text1"/>
          <w:szCs w:val="21"/>
          <w:highlight w:val="none"/>
          <w14:textFill>
            <w14:solidFill>
              <w14:schemeClr w14:val="tx1"/>
            </w14:solidFill>
          </w14:textFill>
        </w:rPr>
        <w:t>招标文件编号、项目名称</w:t>
      </w:r>
      <w:r>
        <w:rPr>
          <w:rFonts w:hint="eastAsia" w:ascii="宋体" w:hAnsi="宋体" w:eastAsia="宋体" w:cs="宋体"/>
          <w:color w:val="000000" w:themeColor="text1"/>
          <w:szCs w:val="21"/>
          <w:highlight w:val="none"/>
          <w14:textFill>
            <w14:solidFill>
              <w14:schemeClr w14:val="tx1"/>
            </w14:solidFill>
          </w14:textFill>
        </w:rPr>
        <w:t>） 招标中，若获中标，我们保证在领取中标通知书的同时，按招标文件的规定，以支票、汇票或现金形式，向中国远东国际招标有限公司新疆分公司（地址：新疆乌鲁木齐经济技术开发区（头屯河区）喀纳斯湖北路455号新疆软件园创智大厦B座</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层</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室，开户银行：招商银行北京分行营业部，账号：110964105110001，一次性支付应该交纳的中标服务费用。</w:t>
      </w:r>
    </w:p>
    <w:p w14:paraId="5D6E0E33">
      <w:pPr>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收费标准依据国家计委印发的 《招标代理服务收费管理暂行办法》（计价格[2002]1980号）和国家发展改革委员会印发的《国家发展改革委办公厅关于招标代理服务收费有关问题的通知》（发改办[2003]857号）执行。</w:t>
      </w:r>
    </w:p>
    <w:p w14:paraId="00FEAD11">
      <w:pPr>
        <w:pStyle w:val="12"/>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7799E15B">
      <w:pPr>
        <w:pStyle w:val="12"/>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61B20DC">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8A45D81">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5137729">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开户银行名称（全称）：</w:t>
      </w:r>
      <w:r>
        <w:rPr>
          <w:rFonts w:hint="eastAsia" w:ascii="宋体" w:hAnsi="宋体" w:eastAsia="宋体" w:cs="宋体"/>
          <w:color w:val="000000" w:themeColor="text1"/>
          <w:szCs w:val="21"/>
          <w:highlight w:val="none"/>
          <w:u w:val="single"/>
          <w14:textFill>
            <w14:solidFill>
              <w14:schemeClr w14:val="tx1"/>
            </w14:solidFill>
          </w14:textFill>
        </w:rPr>
        <w:tab/>
      </w:r>
    </w:p>
    <w:p w14:paraId="10BC8F6E">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开户银行账号：</w:t>
      </w:r>
      <w:r>
        <w:rPr>
          <w:rFonts w:hint="eastAsia" w:ascii="宋体" w:hAnsi="宋体" w:eastAsia="宋体" w:cs="宋体"/>
          <w:color w:val="000000" w:themeColor="text1"/>
          <w:szCs w:val="21"/>
          <w:highlight w:val="none"/>
          <w:u w:val="single"/>
          <w14:textFill>
            <w14:solidFill>
              <w14:schemeClr w14:val="tx1"/>
            </w14:solidFill>
          </w14:textFill>
        </w:rPr>
        <w:tab/>
      </w:r>
    </w:p>
    <w:p w14:paraId="33B077FA">
      <w:pPr>
        <w:tabs>
          <w:tab w:val="left" w:pos="462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3D99198">
      <w:pPr>
        <w:pStyle w:val="17"/>
        <w:outlineLvl w:val="9"/>
        <w:rPr>
          <w:rFonts w:hint="eastAsia" w:ascii="宋体" w:hAnsi="宋体" w:eastAsia="宋体" w:cs="宋体"/>
          <w:b w:val="0"/>
          <w:color w:val="000000" w:themeColor="text1"/>
          <w:sz w:val="21"/>
          <w:szCs w:val="21"/>
          <w:highlight w:val="none"/>
          <w14:textFill>
            <w14:solidFill>
              <w14:schemeClr w14:val="tx1"/>
            </w14:solidFill>
          </w14:textFill>
        </w:rPr>
      </w:pPr>
    </w:p>
    <w:p w14:paraId="7D7EDDAD">
      <w:pPr>
        <w:spacing w:before="240" w:beforeLines="100" w:after="240" w:afterLines="100" w:line="360" w:lineRule="auto"/>
        <w:jc w:val="left"/>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bookmarkStart w:id="154" w:name="_Toc23782"/>
      <w:bookmarkStart w:id="155" w:name="_Toc24525"/>
      <w:bookmarkStart w:id="156" w:name="_Toc20115"/>
      <w:bookmarkStart w:id="157" w:name="_Toc10981"/>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14:textFill>
            <w14:solidFill>
              <w14:schemeClr w14:val="tx1"/>
            </w14:solidFill>
          </w14:textFill>
        </w:rPr>
        <w:t>-2 关于投标保证金的声明</w:t>
      </w:r>
      <w:bookmarkEnd w:id="154"/>
      <w:bookmarkEnd w:id="155"/>
      <w:bookmarkEnd w:id="156"/>
      <w:bookmarkEnd w:id="157"/>
    </w:p>
    <w:p w14:paraId="0D164D6E">
      <w:pPr>
        <w:pStyle w:val="4"/>
        <w:spacing w:line="360" w:lineRule="auto"/>
        <w:ind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致：中国远东国际招标有限公司</w:t>
      </w:r>
    </w:p>
    <w:p w14:paraId="5399BEF3">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p>
    <w:p w14:paraId="3FCF5DBE">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我单位参与贵公司组织的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（项目名称），招标编号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活动结束后，请将</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保证金退至我单位以下账户：</w:t>
      </w:r>
    </w:p>
    <w:p w14:paraId="56669C38">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B14D3D">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35F4271">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行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07EDCF8">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0597532">
      <w:pPr>
        <w:pStyle w:val="4"/>
        <w:spacing w:line="360" w:lineRule="auto"/>
        <w:ind w:firstLine="367" w:firstLineChars="175"/>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为此，我单位声明：</w:t>
      </w:r>
    </w:p>
    <w:p w14:paraId="1893B8F1">
      <w:pPr>
        <w:pStyle w:val="4"/>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14:paraId="5099AEAF">
      <w:pPr>
        <w:pStyle w:val="4"/>
        <w:spacing w:line="360" w:lineRule="auto"/>
        <w:ind w:firstLine="0"/>
        <w:outlineLvl w:val="9"/>
        <w:rPr>
          <w:rFonts w:hint="eastAsia" w:ascii="宋体" w:hAnsi="宋体" w:eastAsia="宋体" w:cs="宋体"/>
          <w:color w:val="000000" w:themeColor="text1"/>
          <w:sz w:val="21"/>
          <w:szCs w:val="21"/>
          <w:highlight w:val="none"/>
          <w14:textFill>
            <w14:solidFill>
              <w14:schemeClr w14:val="tx1"/>
            </w14:solidFill>
          </w14:textFill>
        </w:rPr>
      </w:pPr>
    </w:p>
    <w:p w14:paraId="628F0311">
      <w:pPr>
        <w:pStyle w:val="4"/>
        <w:spacing w:line="360" w:lineRule="auto"/>
        <w:ind w:left="1" w:firstLine="0"/>
        <w:outlineLvl w:val="9"/>
        <w:rPr>
          <w:rFonts w:hint="eastAsia" w:ascii="宋体" w:hAnsi="宋体" w:eastAsia="宋体" w:cs="宋体"/>
          <w:color w:val="000000" w:themeColor="text1"/>
          <w:sz w:val="21"/>
          <w:szCs w:val="21"/>
          <w:highlight w:val="none"/>
          <w14:textFill>
            <w14:solidFill>
              <w14:schemeClr w14:val="tx1"/>
            </w14:solidFill>
          </w14:textFill>
        </w:rPr>
      </w:pPr>
    </w:p>
    <w:p w14:paraId="07D051B0">
      <w:pPr>
        <w:tabs>
          <w:tab w:val="left" w:pos="5580"/>
        </w:tabs>
        <w:spacing w:line="360" w:lineRule="auto"/>
        <w:outlineLvl w:val="9"/>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3D24B50E">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09A922C0">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66F968EA">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3EF4677C">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18E84D93">
      <w:pPr>
        <w:pStyle w:val="4"/>
        <w:spacing w:line="360" w:lineRule="auto"/>
        <w:ind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p>
    <w:p w14:paraId="5B7269FA">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58" w:name="_Toc20565"/>
      <w:r>
        <w:rPr>
          <w:rFonts w:hint="eastAsia" w:ascii="宋体" w:hAnsi="宋体" w:eastAsia="宋体" w:cs="宋体"/>
          <w:b/>
          <w:color w:val="000000" w:themeColor="text1"/>
          <w:sz w:val="21"/>
          <w:szCs w:val="21"/>
          <w:highlight w:val="none"/>
          <w14:textFill>
            <w14:solidFill>
              <w14:schemeClr w14:val="tx1"/>
            </w14:solidFill>
          </w14:textFill>
        </w:rPr>
        <w:t>此笔款项为本次招标项目的投标保证金。</w:t>
      </w:r>
      <w:bookmarkEnd w:id="158"/>
    </w:p>
    <w:p w14:paraId="5184930C">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本声明须加盖投标人公章或财务专用章，并请勿加盖在银行信息上。</w:t>
      </w:r>
    </w:p>
    <w:p w14:paraId="19DBF704">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此声明需与投标文件一并递交。</w:t>
      </w:r>
    </w:p>
    <w:p w14:paraId="60264D42">
      <w:pPr>
        <w:spacing w:line="360" w:lineRule="auto"/>
        <w:jc w:val="center"/>
        <w:outlineLvl w:val="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bookmarkStart w:id="159" w:name="_Toc5274"/>
      <w:bookmarkStart w:id="160" w:name="_Toc18866"/>
      <w:bookmarkStart w:id="161" w:name="_Toc18163"/>
      <w:bookmarkStart w:id="162" w:name="_Toc28283"/>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14:textFill>
            <w14:solidFill>
              <w14:schemeClr w14:val="tx1"/>
            </w14:solidFill>
          </w14:textFill>
        </w:rPr>
        <w:t>-3 开票账户信息</w:t>
      </w:r>
      <w:bookmarkEnd w:id="159"/>
      <w:bookmarkEnd w:id="160"/>
      <w:bookmarkEnd w:id="161"/>
      <w:bookmarkEnd w:id="162"/>
    </w:p>
    <w:tbl>
      <w:tblPr>
        <w:tblStyle w:val="25"/>
        <w:tblpPr w:leftFromText="180" w:rightFromText="180" w:vertAnchor="page" w:horzAnchor="margin" w:tblpY="29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14:paraId="543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76AB233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4945AF4">
            <w:pPr>
              <w:jc w:val="center"/>
              <w:rPr>
                <w:rFonts w:hint="eastAsia" w:ascii="宋体" w:hAnsi="宋体" w:eastAsia="宋体" w:cs="宋体"/>
                <w:color w:val="000000" w:themeColor="text1"/>
                <w:szCs w:val="21"/>
                <w:highlight w:val="none"/>
                <w14:textFill>
                  <w14:solidFill>
                    <w14:schemeClr w14:val="tx1"/>
                  </w14:solidFill>
                </w14:textFill>
              </w:rPr>
            </w:pPr>
          </w:p>
        </w:tc>
      </w:tr>
      <w:tr w14:paraId="5E16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0CFC1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035DB44">
            <w:pPr>
              <w:jc w:val="center"/>
              <w:rPr>
                <w:rFonts w:hint="eastAsia" w:ascii="宋体" w:hAnsi="宋体" w:eastAsia="宋体" w:cs="宋体"/>
                <w:color w:val="000000" w:themeColor="text1"/>
                <w:szCs w:val="21"/>
                <w:highlight w:val="none"/>
                <w14:textFill>
                  <w14:solidFill>
                    <w14:schemeClr w14:val="tx1"/>
                  </w14:solidFill>
                </w14:textFill>
              </w:rPr>
            </w:pPr>
          </w:p>
        </w:tc>
      </w:tr>
      <w:tr w14:paraId="3BA8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4B77808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发票类型(二选一)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A88B5F9">
            <w:pPr>
              <w:pStyle w:val="35"/>
              <w:numPr>
                <w:ilvl w:val="0"/>
                <w:numId w:val="5"/>
              </w:numPr>
              <w:ind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增值税专用发票          □  普通发票</w:t>
            </w:r>
          </w:p>
        </w:tc>
      </w:tr>
      <w:tr w14:paraId="1EE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89CDE6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公司名称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FB3B3D5">
            <w:pPr>
              <w:jc w:val="center"/>
              <w:rPr>
                <w:rFonts w:hint="eastAsia" w:ascii="宋体" w:hAnsi="宋体" w:eastAsia="宋体" w:cs="宋体"/>
                <w:color w:val="000000" w:themeColor="text1"/>
                <w:szCs w:val="21"/>
                <w:highlight w:val="none"/>
                <w14:textFill>
                  <w14:solidFill>
                    <w14:schemeClr w14:val="tx1"/>
                  </w14:solidFill>
                </w14:textFill>
              </w:rPr>
            </w:pPr>
          </w:p>
        </w:tc>
      </w:tr>
      <w:tr w14:paraId="06BF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C381E1">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税号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3856547">
            <w:pPr>
              <w:jc w:val="center"/>
              <w:rPr>
                <w:rFonts w:hint="eastAsia" w:ascii="宋体" w:hAnsi="宋体" w:eastAsia="宋体" w:cs="宋体"/>
                <w:color w:val="000000" w:themeColor="text1"/>
                <w:szCs w:val="21"/>
                <w:highlight w:val="none"/>
                <w14:textFill>
                  <w14:solidFill>
                    <w14:schemeClr w14:val="tx1"/>
                  </w14:solidFill>
                </w14:textFill>
              </w:rPr>
            </w:pPr>
          </w:p>
        </w:tc>
      </w:tr>
      <w:tr w14:paraId="763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48AFAE">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63058179">
            <w:pPr>
              <w:jc w:val="center"/>
              <w:rPr>
                <w:rFonts w:hint="eastAsia" w:ascii="宋体" w:hAnsi="宋体" w:eastAsia="宋体" w:cs="宋体"/>
                <w:color w:val="000000" w:themeColor="text1"/>
                <w:szCs w:val="21"/>
                <w:highlight w:val="none"/>
                <w14:textFill>
                  <w14:solidFill>
                    <w14:schemeClr w14:val="tx1"/>
                  </w14:solidFill>
                </w14:textFill>
              </w:rPr>
            </w:pPr>
          </w:p>
        </w:tc>
      </w:tr>
      <w:tr w14:paraId="7A24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D5495C2">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开户行行号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8DF00EC">
            <w:pPr>
              <w:jc w:val="center"/>
              <w:rPr>
                <w:rFonts w:hint="eastAsia" w:ascii="宋体" w:hAnsi="宋体" w:eastAsia="宋体" w:cs="宋体"/>
                <w:color w:val="000000" w:themeColor="text1"/>
                <w:szCs w:val="21"/>
                <w:highlight w:val="none"/>
                <w14:textFill>
                  <w14:solidFill>
                    <w14:schemeClr w14:val="tx1"/>
                  </w14:solidFill>
                </w14:textFill>
              </w:rPr>
            </w:pPr>
          </w:p>
        </w:tc>
      </w:tr>
      <w:tr w14:paraId="768C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89CC22">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150D998">
            <w:pPr>
              <w:jc w:val="center"/>
              <w:rPr>
                <w:rFonts w:hint="eastAsia" w:ascii="宋体" w:hAnsi="宋体" w:eastAsia="宋体" w:cs="宋体"/>
                <w:color w:val="000000" w:themeColor="text1"/>
                <w:szCs w:val="21"/>
                <w:highlight w:val="none"/>
                <w14:textFill>
                  <w14:solidFill>
                    <w14:schemeClr w14:val="tx1"/>
                  </w14:solidFill>
                </w14:textFill>
              </w:rPr>
            </w:pPr>
          </w:p>
        </w:tc>
      </w:tr>
      <w:tr w14:paraId="4EA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1B0CBCF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A7D18AC">
            <w:pPr>
              <w:jc w:val="center"/>
              <w:rPr>
                <w:rFonts w:hint="eastAsia" w:ascii="宋体" w:hAnsi="宋体" w:eastAsia="宋体" w:cs="宋体"/>
                <w:color w:val="000000" w:themeColor="text1"/>
                <w:szCs w:val="21"/>
                <w:highlight w:val="none"/>
                <w14:textFill>
                  <w14:solidFill>
                    <w14:schemeClr w14:val="tx1"/>
                  </w14:solidFill>
                </w14:textFill>
              </w:rPr>
            </w:pPr>
          </w:p>
        </w:tc>
      </w:tr>
      <w:tr w14:paraId="5E87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2040E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6CE5B03">
            <w:pPr>
              <w:jc w:val="center"/>
              <w:rPr>
                <w:rFonts w:hint="eastAsia" w:ascii="宋体" w:hAnsi="宋体" w:eastAsia="宋体" w:cs="宋体"/>
                <w:color w:val="000000" w:themeColor="text1"/>
                <w:szCs w:val="21"/>
                <w:highlight w:val="none"/>
                <w14:textFill>
                  <w14:solidFill>
                    <w14:schemeClr w14:val="tx1"/>
                  </w14:solidFill>
                </w14:textFill>
              </w:rPr>
            </w:pPr>
          </w:p>
        </w:tc>
      </w:tr>
      <w:tr w14:paraId="19D4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B81B01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被授权人姓名</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A8F22B8">
            <w:pPr>
              <w:jc w:val="center"/>
              <w:rPr>
                <w:rFonts w:hint="eastAsia" w:ascii="宋体" w:hAnsi="宋体" w:eastAsia="宋体" w:cs="宋体"/>
                <w:color w:val="000000" w:themeColor="text1"/>
                <w:szCs w:val="21"/>
                <w:highlight w:val="none"/>
                <w14:textFill>
                  <w14:solidFill>
                    <w14:schemeClr w14:val="tx1"/>
                  </w14:solidFill>
                </w14:textFill>
              </w:rPr>
            </w:pPr>
          </w:p>
        </w:tc>
      </w:tr>
      <w:tr w14:paraId="1F43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C20461">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被授权人联系方式</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83C14CB">
            <w:pPr>
              <w:jc w:val="center"/>
              <w:rPr>
                <w:rFonts w:hint="eastAsia" w:ascii="宋体" w:hAnsi="宋体" w:eastAsia="宋体" w:cs="宋体"/>
                <w:color w:val="000000" w:themeColor="text1"/>
                <w:szCs w:val="21"/>
                <w:highlight w:val="none"/>
                <w14:textFill>
                  <w14:solidFill>
                    <w14:schemeClr w14:val="tx1"/>
                  </w14:solidFill>
                </w14:textFill>
              </w:rPr>
            </w:pPr>
          </w:p>
        </w:tc>
      </w:tr>
      <w:tr w14:paraId="3147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B80D23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公司公章</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0B298DA">
            <w:pPr>
              <w:jc w:val="center"/>
              <w:rPr>
                <w:rFonts w:hint="eastAsia" w:ascii="宋体" w:hAnsi="宋体" w:eastAsia="宋体" w:cs="宋体"/>
                <w:color w:val="000000" w:themeColor="text1"/>
                <w:szCs w:val="21"/>
                <w:highlight w:val="none"/>
                <w14:textFill>
                  <w14:solidFill>
                    <w14:schemeClr w14:val="tx1"/>
                  </w14:solidFill>
                </w14:textFill>
              </w:rPr>
            </w:pPr>
          </w:p>
        </w:tc>
      </w:tr>
    </w:tbl>
    <w:p w14:paraId="14C6AFC2">
      <w:pPr>
        <w:jc w:val="center"/>
        <w:rPr>
          <w:rFonts w:hint="eastAsia" w:ascii="宋体" w:hAnsi="宋体" w:eastAsia="宋体" w:cs="宋体"/>
          <w:color w:val="000000" w:themeColor="text1"/>
          <w:szCs w:val="21"/>
          <w:highlight w:val="none"/>
          <w14:textFill>
            <w14:solidFill>
              <w14:schemeClr w14:val="tx1"/>
            </w14:solidFill>
          </w14:textFill>
        </w:rPr>
      </w:pPr>
    </w:p>
    <w:p w14:paraId="146A300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（仅供办理退保证金时提供）</w:t>
      </w:r>
    </w:p>
    <w:p w14:paraId="5C9EBE14">
      <w:pPr>
        <w:widowControl/>
        <w:jc w:val="left"/>
        <w:rPr>
          <w:rFonts w:hint="eastAsia" w:ascii="宋体" w:hAnsi="宋体" w:eastAsia="宋体" w:cs="宋体"/>
          <w:color w:val="000000" w:themeColor="text1"/>
          <w:szCs w:val="21"/>
          <w:highlight w:val="none"/>
          <w14:textFill>
            <w14:solidFill>
              <w14:schemeClr w14:val="tx1"/>
            </w14:solidFill>
          </w14:textFill>
        </w:rPr>
      </w:pPr>
    </w:p>
    <w:p w14:paraId="5BB31E7A">
      <w:pPr>
        <w:widowControl/>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49AE4F89">
      <w:pPr>
        <w:widowControl/>
        <w:numPr>
          <w:ilvl w:val="0"/>
          <w:numId w:val="6"/>
        </w:numPr>
        <w:spacing w:line="360" w:lineRule="auto"/>
        <w:jc w:val="left"/>
        <w:outlineLvl w:val="9"/>
        <w:rPr>
          <w:rFonts w:hint="eastAsia" w:ascii="宋体" w:hAnsi="宋体" w:eastAsia="宋体" w:cs="宋体"/>
          <w:b/>
          <w:color w:val="000000" w:themeColor="text1"/>
          <w:szCs w:val="21"/>
          <w:highlight w:val="none"/>
          <w14:textFill>
            <w14:solidFill>
              <w14:schemeClr w14:val="tx1"/>
            </w14:solidFill>
          </w14:textFill>
        </w:rPr>
      </w:pPr>
      <w:bookmarkStart w:id="163" w:name="_Toc32132"/>
      <w:r>
        <w:rPr>
          <w:rFonts w:hint="eastAsia" w:ascii="宋体" w:hAnsi="宋体" w:eastAsia="宋体" w:cs="宋体"/>
          <w:b/>
          <w:color w:val="000000" w:themeColor="text1"/>
          <w:szCs w:val="21"/>
          <w:highlight w:val="none"/>
          <w14:textFill>
            <w14:solidFill>
              <w14:schemeClr w14:val="tx1"/>
            </w14:solidFill>
          </w14:textFill>
        </w:rPr>
        <w:t>仅供退投标保证金及开具中标服务费发票使用</w:t>
      </w:r>
      <w:bookmarkEnd w:id="163"/>
    </w:p>
    <w:p w14:paraId="3B0B89B8">
      <w:pPr>
        <w:rPr>
          <w:rFonts w:hint="eastAsia" w:ascii="宋体" w:hAnsi="宋体" w:eastAsia="宋体" w:cs="宋体"/>
          <w:color w:val="000000" w:themeColor="text1"/>
          <w:sz w:val="21"/>
          <w:szCs w:val="21"/>
          <w:highlight w:val="none"/>
          <w14:textFill>
            <w14:solidFill>
              <w14:schemeClr w14:val="tx1"/>
            </w14:solidFill>
          </w14:textFill>
        </w:rPr>
      </w:pPr>
      <w:bookmarkStart w:id="164" w:name="_Toc1627"/>
      <w:bookmarkStart w:id="165" w:name="_Toc302360928"/>
      <w:bookmarkStart w:id="166" w:name="_Toc290486512"/>
      <w:r>
        <w:rPr>
          <w:rFonts w:hint="eastAsia" w:ascii="宋体" w:hAnsi="宋体" w:eastAsia="宋体" w:cs="宋体"/>
          <w:color w:val="000000" w:themeColor="text1"/>
          <w:sz w:val="21"/>
          <w:szCs w:val="21"/>
          <w:highlight w:val="none"/>
          <w14:textFill>
            <w14:solidFill>
              <w14:schemeClr w14:val="tx1"/>
            </w14:solidFill>
          </w14:textFill>
        </w:rPr>
        <w:br w:type="page"/>
      </w:r>
    </w:p>
    <w:p w14:paraId="3EDEA359">
      <w:pPr>
        <w:jc w:val="center"/>
        <w:outlineLvl w:val="1"/>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bookmarkStart w:id="167" w:name="_Toc791"/>
      <w:r>
        <w:rPr>
          <w:rFonts w:hint="eastAsia" w:ascii="宋体" w:hAnsi="宋体" w:eastAsia="宋体" w:cs="宋体"/>
          <w:b/>
          <w:bCs/>
          <w:color w:val="000000" w:themeColor="text1"/>
          <w:sz w:val="22"/>
          <w:szCs w:val="22"/>
          <w:highlight w:val="none"/>
          <w14:textFill>
            <w14:solidFill>
              <w14:schemeClr w14:val="tx1"/>
            </w14:solidFill>
          </w14:textFill>
        </w:rPr>
        <w:t>附件</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bCs/>
          <w:color w:val="000000" w:themeColor="text1"/>
          <w:sz w:val="22"/>
          <w:szCs w:val="22"/>
          <w:highlight w:val="none"/>
          <w14:textFill>
            <w14:solidFill>
              <w14:schemeClr w14:val="tx1"/>
            </w14:solidFill>
          </w14:textFill>
        </w:rPr>
        <w:t xml:space="preserve"> </w:t>
      </w:r>
      <w:bookmarkEnd w:id="164"/>
      <w:bookmarkStart w:id="168" w:name="_Toc10236"/>
      <w:bookmarkStart w:id="169" w:name="_Toc471206875"/>
      <w:r>
        <w:rPr>
          <w:rFonts w:hint="eastAsia" w:ascii="宋体" w:hAnsi="宋体" w:eastAsia="宋体" w:cs="宋体"/>
          <w:b/>
          <w:bCs/>
          <w:color w:val="000000" w:themeColor="text1"/>
          <w:sz w:val="22"/>
          <w:szCs w:val="22"/>
          <w:highlight w:val="none"/>
          <w:lang w:val="en-US" w:eastAsia="zh-CN"/>
          <w14:textFill>
            <w14:solidFill>
              <w14:schemeClr w14:val="tx1"/>
            </w14:solidFill>
          </w14:textFill>
        </w:rPr>
        <w:t>中小微企业声明函</w:t>
      </w:r>
      <w:bookmarkEnd w:id="167"/>
    </w:p>
    <w:p w14:paraId="5A07FECA">
      <w:pPr>
        <w:rPr>
          <w:rFonts w:hint="eastAsia" w:ascii="宋体" w:hAnsi="宋体" w:eastAsia="宋体" w:cs="宋体"/>
          <w:color w:val="000000" w:themeColor="text1"/>
          <w:sz w:val="21"/>
          <w:szCs w:val="21"/>
          <w:highlight w:val="none"/>
          <w14:textFill>
            <w14:solidFill>
              <w14:schemeClr w14:val="tx1"/>
            </w14:solidFill>
          </w14:textFill>
        </w:rPr>
      </w:pPr>
    </w:p>
    <w:p w14:paraId="6D3D7078">
      <w:pPr>
        <w:spacing w:line="360" w:lineRule="auto"/>
        <w:ind w:firstLine="482" w:firstLineChars="200"/>
        <w:jc w:val="center"/>
        <w:rPr>
          <w:rFonts w:hint="eastAsia" w:ascii="宋体" w:hAnsi="宋体" w:cs="宋体" w:eastAsiaTheme="minorEastAsia"/>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中小企业声明函(工程、服务)</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不涉及的无需提供</w:t>
      </w:r>
      <w:r>
        <w:rPr>
          <w:rFonts w:hint="eastAsia" w:ascii="宋体" w:hAnsi="宋体" w:cs="宋体"/>
          <w:b/>
          <w:bCs/>
          <w:color w:val="000000" w:themeColor="text1"/>
          <w:sz w:val="24"/>
          <w:szCs w:val="24"/>
          <w:highlight w:val="none"/>
          <w:lang w:eastAsia="zh-CN"/>
          <w14:textFill>
            <w14:solidFill>
              <w14:schemeClr w14:val="tx1"/>
            </w14:solidFill>
          </w14:textFill>
        </w:rPr>
        <w:t>）</w:t>
      </w:r>
    </w:p>
    <w:p w14:paraId="0F3934EF">
      <w:pPr>
        <w:spacing w:line="360" w:lineRule="auto"/>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p>
    <w:p w14:paraId="568683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84A95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；承建（承接）企业为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（中型企业、小型企业、微型企业）；</w:t>
      </w:r>
    </w:p>
    <w:p w14:paraId="04E98D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；承建（承接）企业为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（中型企业、小型企业、微型企业）；</w:t>
      </w:r>
    </w:p>
    <w:p w14:paraId="10B80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4AF27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75DEE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C7E5DEF">
      <w:pPr>
        <w:pStyle w:val="52"/>
        <w:rPr>
          <w:rFonts w:hint="eastAsia" w:ascii="宋体" w:hAnsi="宋体" w:cs="宋体"/>
          <w:color w:val="000000" w:themeColor="text1"/>
          <w:sz w:val="24"/>
          <w:szCs w:val="24"/>
          <w:highlight w:val="none"/>
          <w14:textFill>
            <w14:solidFill>
              <w14:schemeClr w14:val="tx1"/>
            </w14:solidFill>
          </w14:textFill>
        </w:rPr>
      </w:pPr>
    </w:p>
    <w:p w14:paraId="411F7BF4">
      <w:pPr>
        <w:pStyle w:val="52"/>
        <w:rPr>
          <w:rFonts w:hint="eastAsia" w:ascii="宋体" w:hAnsi="宋体" w:cs="宋体"/>
          <w:color w:val="000000" w:themeColor="text1"/>
          <w:sz w:val="24"/>
          <w:szCs w:val="24"/>
          <w:highlight w:val="none"/>
          <w14:textFill>
            <w14:solidFill>
              <w14:schemeClr w14:val="tx1"/>
            </w14:solidFill>
          </w14:textFill>
        </w:rPr>
      </w:pPr>
    </w:p>
    <w:p w14:paraId="312C5D61">
      <w:pPr>
        <w:spacing w:line="360" w:lineRule="auto"/>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企业名称（盖章）：</w:t>
      </w:r>
    </w:p>
    <w:p w14:paraId="162D36ED">
      <w:pPr>
        <w:spacing w:line="360" w:lineRule="auto"/>
        <w:ind w:firstLine="480" w:firstLineChars="200"/>
        <w:jc w:val="center"/>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w:t>
      </w:r>
    </w:p>
    <w:p w14:paraId="41477EF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p>
    <w:p w14:paraId="7619E8B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1.声明函内容不实的，属于提供虚假材料谋取中标、成交，依照《中华人民共和国政府采购法》等国家有关规定追究相应责任。</w:t>
      </w:r>
    </w:p>
    <w:p w14:paraId="34F756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2.从业人员、营业收入、资产总额填报上一年度数据，无上一年度数据的新成立企业可不填报。</w:t>
      </w:r>
    </w:p>
    <w:p w14:paraId="1A92D5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3443C852">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170" w:name="_Toc10780"/>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 xml:space="preserve"> 监狱企业声明函（格式）</w:t>
      </w:r>
      <w:bookmarkEnd w:id="168"/>
      <w:bookmarkEnd w:id="169"/>
      <w:bookmarkEnd w:id="170"/>
    </w:p>
    <w:p w14:paraId="0EF17F58">
      <w:pPr>
        <w:tabs>
          <w:tab w:val="left" w:pos="851"/>
        </w:tabs>
        <w:spacing w:before="240" w:beforeLines="100" w:after="120" w:afterLines="50"/>
        <w:ind w:right="84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监狱企业以提供由省级以上监狱管理局、戒毒管理局(含新疆生产建设兵团)出具的属于监狱企业的证明文件为准。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依据《财政部、司法部关于政府采购支持监狱企业发展有关问题的通知》（财库【2014】68号），监狱企业视同小型、微型企业</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，不属于的无须提供</w:t>
      </w:r>
      <w:r>
        <w:rPr>
          <w:rFonts w:hint="eastAsia" w:ascii="宋体" w:hAnsi="宋体" w:eastAsia="宋体" w:cs="宋体"/>
          <w:color w:val="000000" w:themeColor="text1"/>
          <w:szCs w:val="21"/>
          <w:highlight w:val="none"/>
          <w:lang w:eastAsia="zh-CN"/>
          <w14:textFill>
            <w14:solidFill>
              <w14:schemeClr w14:val="tx1"/>
            </w14:solidFill>
          </w14:textFill>
        </w:rPr>
        <w:t>）</w:t>
      </w:r>
    </w:p>
    <w:p w14:paraId="31225A17">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6A9C2C20">
      <w:pPr>
        <w:pStyle w:val="3"/>
        <w:numPr>
          <w:ilvl w:val="1"/>
          <w:numId w:val="0"/>
        </w:numPr>
        <w:adjustRightInd w:val="0"/>
        <w:snapToGrid w:val="0"/>
        <w:spacing w:before="0" w:after="0" w:line="360" w:lineRule="auto"/>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171" w:name="_Toc21019"/>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附件11 残疾人福利性单位声明函（残疾人福利性企业参加的，不属于的无须提供）</w:t>
      </w:r>
      <w:bookmarkEnd w:id="171"/>
    </w:p>
    <w:p w14:paraId="76CD808A">
      <w:pPr>
        <w:spacing w:line="480" w:lineRule="auto"/>
        <w:ind w:firstLine="371" w:firstLineChars="17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单位的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CABDDA7">
      <w:pPr>
        <w:spacing w:line="480" w:lineRule="auto"/>
        <w:ind w:firstLine="371" w:firstLineChars="17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本单位对上述声明的真实性负责。如有虚假，将依法承担相应责任。</w:t>
      </w:r>
    </w:p>
    <w:p w14:paraId="27AE40B8">
      <w:pPr>
        <w:spacing w:line="48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20D7F163">
      <w:pPr>
        <w:spacing w:line="48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621D317B">
      <w:pPr>
        <w:tabs>
          <w:tab w:val="left" w:pos="5580"/>
        </w:tabs>
        <w:spacing w:line="360" w:lineRule="auto"/>
        <w:jc w:val="right"/>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（电子签章）     </w:t>
      </w:r>
    </w:p>
    <w:p w14:paraId="50FEB6EF">
      <w:pPr>
        <w:pStyle w:val="4"/>
        <w:ind w:firstLine="630" w:firstLineChars="3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5FD0480B">
      <w:pPr>
        <w:tabs>
          <w:tab w:val="left" w:pos="5580"/>
        </w:tabs>
        <w:spacing w:line="360" w:lineRule="auto"/>
        <w:ind w:left="718" w:leftChars="342"/>
        <w:rPr>
          <w:rFonts w:hint="eastAsia" w:ascii="宋体" w:hAnsi="宋体" w:eastAsia="宋体" w:cs="宋体"/>
          <w:b/>
          <w:bCs/>
          <w:color w:val="000000" w:themeColor="text1"/>
          <w:szCs w:val="21"/>
          <w:highlight w:val="none"/>
          <w14:textFill>
            <w14:solidFill>
              <w14:schemeClr w14:val="tx1"/>
            </w14:solidFill>
          </w14:textFill>
        </w:rPr>
      </w:pPr>
    </w:p>
    <w:p w14:paraId="569ACF24">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2807C37E">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附件12  节能产品”“环境标志产品”、信息安全认证产品等政府采购法律法规规定的其他证明材料文件</w:t>
      </w:r>
    </w:p>
    <w:p w14:paraId="1247C09B">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说明：</w:t>
      </w:r>
    </w:p>
    <w:p w14:paraId="4BC2EA33">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1.供应商提供的产品属于《节能产品政府采购清单》内产品，应同时提供有效期内的节能产品证书及最新一期的节能产品政府采购清单首页及产品所在页的复印件(均需要加盖供应商公章)；</w:t>
      </w:r>
    </w:p>
    <w:p w14:paraId="5412A9F0">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2.供应商提供的产品属于《环境标志产品政府采购清单》内产品，应同时提供有效期内的环境标志产品证书及最新一期的环境标志产品政府采购清单首页及产品所在页的复印件(均需要加盖供应商公章)；</w:t>
      </w:r>
    </w:p>
    <w:p w14:paraId="1CBF6547">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3.供应商提供的产品属于信息安全认证产品的，应提供相关证明。</w:t>
      </w:r>
    </w:p>
    <w:p w14:paraId="0EEDD052">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4.未按上述要求提供、填写的，评标时不予以考虑。</w:t>
      </w:r>
    </w:p>
    <w:p w14:paraId="75DC8192">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(示例略)（不涉及可不提供）</w:t>
      </w:r>
    </w:p>
    <w:p w14:paraId="0703DCAE">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14:paraId="3CBBC53E">
      <w:pPr>
        <w:pStyle w:val="17"/>
        <w:spacing w:before="120" w:beforeLines="50" w:after="120" w:afterLines="50" w:line="360" w:lineRule="auto"/>
        <w:jc w:val="both"/>
        <w:rPr>
          <w:rFonts w:hint="eastAsia" w:ascii="宋体" w:hAnsi="宋体" w:eastAsia="宋体" w:cs="宋体"/>
          <w:color w:val="000000" w:themeColor="text1"/>
          <w:sz w:val="21"/>
          <w:szCs w:val="21"/>
          <w:highlight w:val="none"/>
          <w14:textFill>
            <w14:solidFill>
              <w14:schemeClr w14:val="tx1"/>
            </w14:solidFill>
          </w14:textFill>
        </w:rPr>
      </w:pPr>
      <w:bookmarkStart w:id="172" w:name="_Toc32484"/>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附件13 </w:t>
      </w:r>
      <w:r>
        <w:rPr>
          <w:rFonts w:hint="eastAsia" w:ascii="宋体" w:hAnsi="宋体" w:eastAsia="宋体" w:cs="宋体"/>
          <w:color w:val="000000" w:themeColor="text1"/>
          <w:sz w:val="21"/>
          <w:szCs w:val="21"/>
          <w:highlight w:val="none"/>
          <w14:textFill>
            <w14:solidFill>
              <w14:schemeClr w14:val="tx1"/>
            </w14:solidFill>
          </w14:textFill>
        </w:rPr>
        <w:t>其他有利于投标的资料（包括但不仅限于相关证书、相关获奖情况等资料）</w:t>
      </w:r>
      <w:bookmarkEnd w:id="172"/>
    </w:p>
    <w:bookmarkEnd w:id="165"/>
    <w:bookmarkEnd w:id="166"/>
    <w:p w14:paraId="49E2E536">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4CAD2223">
      <w:pPr>
        <w:rPr>
          <w:rFonts w:hint="eastAsia" w:ascii="宋体" w:hAnsi="宋体" w:eastAsia="宋体" w:cs="宋体"/>
          <w:color w:val="000000" w:themeColor="text1"/>
          <w:highlight w:val="none"/>
          <w14:textFill>
            <w14:solidFill>
              <w14:schemeClr w14:val="tx1"/>
            </w14:solidFill>
          </w14:textFill>
        </w:rPr>
      </w:pPr>
    </w:p>
    <w:p w14:paraId="033E54EF">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1622466">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173" w:name="_Toc22123"/>
      <w:bookmarkStart w:id="174" w:name="_Hlk84951132"/>
      <w:r>
        <w:rPr>
          <w:rFonts w:hint="eastAsia" w:ascii="宋体" w:hAnsi="宋体" w:eastAsia="宋体" w:cs="宋体"/>
          <w:color w:val="000000" w:themeColor="text1"/>
          <w:highlight w:val="none"/>
          <w:lang w:val="en-US" w:eastAsia="zh-CN"/>
          <w14:textFill>
            <w14:solidFill>
              <w14:schemeClr w14:val="tx1"/>
            </w14:solidFill>
          </w14:textFill>
        </w:rPr>
        <w:t xml:space="preserve">第六章 </w:t>
      </w:r>
      <w:r>
        <w:rPr>
          <w:rFonts w:hint="eastAsia" w:ascii="宋体" w:hAnsi="宋体" w:eastAsia="宋体" w:cs="宋体"/>
          <w:color w:val="000000" w:themeColor="text1"/>
          <w:highlight w:val="none"/>
          <w14:textFill>
            <w14:solidFill>
              <w14:schemeClr w14:val="tx1"/>
            </w14:solidFill>
          </w14:textFill>
        </w:rPr>
        <w:t>项目采购需求</w:t>
      </w:r>
      <w:bookmarkEnd w:id="173"/>
    </w:p>
    <w:bookmarkEnd w:id="174"/>
    <w:p w14:paraId="0754BE99">
      <w:pPr>
        <w:spacing w:line="273" w:lineRule="auto"/>
        <w:rPr>
          <w:rFonts w:hint="default" w:ascii="宋体" w:hAnsi="宋体" w:eastAsiaTheme="minorEastAsia"/>
          <w:b/>
          <w:bCs/>
          <w:color w:val="auto"/>
          <w:sz w:val="24"/>
          <w:szCs w:val="24"/>
          <w:lang w:val="en-US" w:eastAsia="zh-CN"/>
        </w:rPr>
      </w:pPr>
      <w:r>
        <w:rPr>
          <w:rFonts w:hint="eastAsia" w:ascii="宋体" w:hAnsi="宋体"/>
          <w:b/>
          <w:bCs/>
          <w:color w:val="auto"/>
          <w:sz w:val="24"/>
          <w:szCs w:val="24"/>
          <w:lang w:val="en-US" w:eastAsia="zh-CN"/>
        </w:rPr>
        <w:t>标包1：</w:t>
      </w:r>
    </w:p>
    <w:p w14:paraId="6FD5B15A">
      <w:pPr>
        <w:spacing w:line="360" w:lineRule="auto"/>
        <w:jc w:val="left"/>
        <w:rPr>
          <w:rFonts w:hint="eastAsia" w:ascii="宋体" w:hAnsi="宋体" w:cs="宋体" w:eastAsiaTheme="minorEastAsia"/>
          <w:color w:val="auto"/>
          <w:sz w:val="24"/>
          <w:lang w:eastAsia="zh-CN"/>
        </w:rPr>
      </w:pPr>
      <w:r>
        <w:rPr>
          <w:rFonts w:hint="eastAsia" w:ascii="宋体" w:hAnsi="宋体" w:cs="宋体"/>
          <w:b/>
          <w:bCs/>
          <w:color w:val="auto"/>
          <w:sz w:val="24"/>
        </w:rPr>
        <w:t>一、服务内容及要求</w:t>
      </w:r>
    </w:p>
    <w:p w14:paraId="3F6F1F66">
      <w:pPr>
        <w:spacing w:line="360" w:lineRule="auto"/>
        <w:rPr>
          <w:rFonts w:ascii="宋体" w:hAnsi="宋体" w:cs="宋体"/>
          <w:color w:val="auto"/>
          <w:sz w:val="24"/>
        </w:rPr>
      </w:pPr>
      <w:r>
        <w:rPr>
          <w:rFonts w:hint="eastAsia" w:ascii="宋体" w:hAnsi="宋体" w:cs="宋体"/>
          <w:color w:val="auto"/>
          <w:sz w:val="24"/>
        </w:rPr>
        <w:t>1、2</w:t>
      </w:r>
      <w:r>
        <w:rPr>
          <w:rFonts w:ascii="宋体" w:hAnsi="宋体" w:cs="宋体"/>
          <w:color w:val="auto"/>
          <w:sz w:val="24"/>
        </w:rPr>
        <w:t>00</w:t>
      </w:r>
      <w:r>
        <w:rPr>
          <w:rFonts w:hint="eastAsia" w:ascii="宋体" w:hAnsi="宋体" w:cs="宋体"/>
          <w:color w:val="auto"/>
          <w:sz w:val="24"/>
        </w:rPr>
        <w:t>万像素摄像头187个同时每个摄像头含至少30天存储。</w:t>
      </w:r>
    </w:p>
    <w:p w14:paraId="5C64E8B7">
      <w:pPr>
        <w:spacing w:line="360" w:lineRule="auto"/>
        <w:rPr>
          <w:rFonts w:ascii="宋体" w:hAnsi="宋体" w:cs="宋体"/>
          <w:color w:val="auto"/>
          <w:sz w:val="24"/>
        </w:rPr>
      </w:pPr>
      <w:r>
        <w:rPr>
          <w:rFonts w:hint="eastAsia" w:ascii="宋体" w:hAnsi="宋体" w:cs="宋体"/>
          <w:color w:val="auto"/>
          <w:sz w:val="24"/>
        </w:rPr>
        <w:t>2、满足监控传输的网络 187 条。</w:t>
      </w:r>
    </w:p>
    <w:p w14:paraId="3523D562">
      <w:pPr>
        <w:spacing w:line="360" w:lineRule="auto"/>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、数据传输专线187条，该链路网络安全方面要求“专线专用”、“物理隔离”、“封堵闲置端口”速率至少需达到5</w:t>
      </w:r>
      <w:r>
        <w:rPr>
          <w:rFonts w:ascii="宋体" w:hAnsi="宋体" w:cs="宋体"/>
          <w:color w:val="auto"/>
          <w:sz w:val="24"/>
        </w:rPr>
        <w:t>0M</w:t>
      </w:r>
      <w:r>
        <w:rPr>
          <w:rFonts w:hint="eastAsia" w:ascii="宋体" w:hAnsi="宋体" w:cs="宋体"/>
          <w:color w:val="auto"/>
          <w:sz w:val="24"/>
        </w:rPr>
        <w:t>，链路汇聚至分局A406机房。</w:t>
      </w:r>
    </w:p>
    <w:p w14:paraId="4130E1C5">
      <w:pPr>
        <w:spacing w:line="360" w:lineRule="auto"/>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、服务要求“快速响应”、“定期巡查”、“及时沟通”，服务期间所有设备因非人为因素损坏，可免费进行更换。</w:t>
      </w:r>
    </w:p>
    <w:p w14:paraId="4DDD16C1">
      <w:pPr>
        <w:spacing w:line="360" w:lineRule="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、乙方负责免费运输、安装、调试、培训和服务保障等。</w:t>
      </w:r>
    </w:p>
    <w:p w14:paraId="3E75D76A">
      <w:pPr>
        <w:spacing w:line="360" w:lineRule="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、自货物验收完毕之日起，货物免费质保期 壹 年。在免费质保期内，出现产品质量问题，需求方提出后，乙方应在2小时内响应，</w:t>
      </w:r>
      <w:r>
        <w:rPr>
          <w:rFonts w:hint="eastAsia" w:ascii="宋体" w:hAnsi="宋体" w:cs="宋体"/>
          <w:color w:val="auto"/>
          <w:sz w:val="24"/>
          <w:lang w:val="en-US" w:eastAsia="zh-CN"/>
        </w:rPr>
        <w:t>4</w:t>
      </w:r>
      <w:r>
        <w:rPr>
          <w:rFonts w:hint="eastAsia" w:ascii="宋体" w:hAnsi="宋体" w:cs="宋体"/>
          <w:color w:val="auto"/>
          <w:sz w:val="24"/>
        </w:rPr>
        <w:t>小时内到达现场提供相关的维修、更换等服务。</w:t>
      </w:r>
    </w:p>
    <w:p w14:paraId="653BF79D">
      <w:pPr>
        <w:spacing w:line="360" w:lineRule="auto"/>
        <w:rPr>
          <w:rFonts w:hint="eastAsia" w:ascii="宋体" w:hAnsi="宋体" w:cs="宋体"/>
          <w:color w:val="auto"/>
          <w:sz w:val="24"/>
        </w:rPr>
      </w:pPr>
      <w:r>
        <w:rPr>
          <w:rFonts w:hint="eastAsia" w:ascii="宋体" w:hAnsi="宋体" w:cs="宋体"/>
          <w:color w:val="auto"/>
          <w:sz w:val="24"/>
        </w:rPr>
        <w:br w:type="page"/>
      </w:r>
    </w:p>
    <w:p w14:paraId="2432308F">
      <w:pPr>
        <w:pStyle w:val="10"/>
        <w:rPr>
          <w:rFonts w:hint="eastAsia" w:ascii="宋体" w:hAnsi="宋体" w:cs="宋体"/>
          <w:b/>
          <w:bCs/>
          <w:color w:val="auto"/>
          <w:sz w:val="24"/>
          <w:lang w:val="en-US" w:eastAsia="zh-CN"/>
        </w:rPr>
      </w:pPr>
      <w:r>
        <w:rPr>
          <w:rFonts w:hint="eastAsia" w:ascii="宋体" w:hAnsi="宋体" w:cs="宋体"/>
          <w:b/>
          <w:bCs/>
          <w:color w:val="auto"/>
          <w:sz w:val="24"/>
          <w:lang w:val="en-US" w:eastAsia="zh-CN"/>
        </w:rPr>
        <w:t>标包</w:t>
      </w:r>
      <w:r>
        <w:rPr>
          <w:rFonts w:hint="eastAsia" w:cs="宋体"/>
          <w:b/>
          <w:bCs/>
          <w:color w:val="auto"/>
          <w:sz w:val="24"/>
          <w:lang w:val="en-US" w:eastAsia="zh-CN"/>
        </w:rPr>
        <w:t>2</w:t>
      </w:r>
      <w:r>
        <w:rPr>
          <w:rFonts w:hint="eastAsia" w:ascii="宋体" w:hAnsi="宋体" w:cs="宋体"/>
          <w:b/>
          <w:bCs/>
          <w:color w:val="auto"/>
          <w:sz w:val="24"/>
          <w:lang w:val="en-US" w:eastAsia="zh-CN"/>
        </w:rPr>
        <w:t>：</w:t>
      </w:r>
    </w:p>
    <w:p w14:paraId="39DEDF24">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1.110警情处理语音专线2M 6条，数字电路100M 1条</w:t>
      </w:r>
    </w:p>
    <w:p w14:paraId="4E2FB732">
      <w:pPr>
        <w:spacing w:line="360" w:lineRule="auto"/>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、服务要求“快速响应”、“定期巡查”、“及时沟通”，服务期间所有设备因非人为因素损坏，可免费进行更换。</w:t>
      </w:r>
    </w:p>
    <w:p w14:paraId="6ADDBF3B">
      <w:pPr>
        <w:spacing w:line="360" w:lineRule="auto"/>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w:t>
      </w:r>
      <w:r>
        <w:rPr>
          <w:rFonts w:ascii="宋体" w:hAnsi="宋体" w:cs="宋体"/>
          <w:color w:val="auto"/>
          <w:sz w:val="24"/>
        </w:rPr>
        <w:t>乙方负责免费运输、安装、调试、培训和服务保障等。</w:t>
      </w:r>
    </w:p>
    <w:p w14:paraId="6CC75608">
      <w:pPr>
        <w:widowControl/>
        <w:autoSpaceDE w:val="0"/>
        <w:spacing w:line="360" w:lineRule="auto"/>
        <w:rPr>
          <w:rFonts w:hAnsi="宋体"/>
          <w:b/>
          <w:bCs/>
          <w:sz w:val="24"/>
          <w:szCs w:val="24"/>
        </w:rPr>
      </w:pPr>
      <w:r>
        <w:rPr>
          <w:rFonts w:hint="eastAsia" w:ascii="宋体" w:hAnsi="宋体" w:cs="宋体"/>
          <w:color w:val="auto"/>
          <w:sz w:val="24"/>
          <w:lang w:val="en-US" w:eastAsia="zh-CN"/>
        </w:rPr>
        <w:t>4</w:t>
      </w:r>
      <w:r>
        <w:rPr>
          <w:rFonts w:hint="eastAsia" w:ascii="宋体" w:hAnsi="宋体" w:cs="宋体"/>
          <w:color w:val="auto"/>
          <w:sz w:val="24"/>
        </w:rPr>
        <w:t>、</w:t>
      </w:r>
      <w:r>
        <w:rPr>
          <w:rFonts w:ascii="宋体" w:hAnsi="宋体" w:cs="宋体"/>
          <w:color w:val="auto"/>
          <w:sz w:val="24"/>
        </w:rPr>
        <w:t xml:space="preserve">自货物验收完毕之日起，货物免费质保期 </w:t>
      </w:r>
      <w:r>
        <w:rPr>
          <w:rFonts w:hint="eastAsia" w:ascii="宋体" w:hAnsi="宋体" w:cs="宋体"/>
          <w:color w:val="auto"/>
          <w:sz w:val="24"/>
        </w:rPr>
        <w:t>壹</w:t>
      </w:r>
      <w:r>
        <w:rPr>
          <w:rFonts w:ascii="宋体" w:hAnsi="宋体" w:cs="宋体"/>
          <w:color w:val="auto"/>
          <w:sz w:val="24"/>
        </w:rPr>
        <w:t xml:space="preserve"> 年。在免费质保期内，出现产品质量问题，需求方提出后，乙方应在2小时内响应，</w:t>
      </w:r>
      <w:r>
        <w:rPr>
          <w:rFonts w:hint="eastAsia" w:ascii="宋体" w:hAnsi="宋体" w:cs="宋体"/>
          <w:color w:val="auto"/>
          <w:sz w:val="24"/>
          <w:lang w:val="en-US" w:eastAsia="zh-CN"/>
        </w:rPr>
        <w:t>4</w:t>
      </w:r>
      <w:r>
        <w:rPr>
          <w:rFonts w:ascii="宋体" w:hAnsi="宋体" w:cs="宋体"/>
          <w:color w:val="auto"/>
          <w:sz w:val="24"/>
        </w:rPr>
        <w:t>小时内到达现场提供相关的维修、更换等服务。</w:t>
      </w:r>
    </w:p>
    <w:p w14:paraId="7E474865">
      <w:pPr>
        <w:rPr>
          <w:rFonts w:hint="default" w:ascii="宋体" w:hAnsi="宋体" w:cs="宋体"/>
          <w:b/>
          <w:bCs/>
          <w:color w:val="auto"/>
          <w:sz w:val="24"/>
          <w:lang w:val="en-US" w:eastAsia="zh-CN"/>
        </w:rPr>
      </w:pPr>
      <w:r>
        <w:rPr>
          <w:rFonts w:hint="default" w:ascii="宋体" w:hAnsi="宋体" w:cs="宋体"/>
          <w:b/>
          <w:bCs/>
          <w:color w:val="auto"/>
          <w:sz w:val="24"/>
          <w:lang w:val="en-US" w:eastAsia="zh-CN"/>
        </w:rPr>
        <w:br w:type="page"/>
      </w:r>
    </w:p>
    <w:p w14:paraId="4A1B968E">
      <w:pPr>
        <w:pStyle w:val="10"/>
        <w:rPr>
          <w:rFonts w:hint="eastAsia" w:ascii="宋体" w:hAnsi="宋体" w:cs="宋体"/>
          <w:b/>
          <w:bCs/>
          <w:color w:val="auto"/>
          <w:sz w:val="24"/>
          <w:lang w:val="en-US" w:eastAsia="zh-CN"/>
        </w:rPr>
      </w:pPr>
      <w:r>
        <w:rPr>
          <w:rFonts w:hint="eastAsia" w:ascii="宋体" w:hAnsi="宋体" w:cs="宋体"/>
          <w:b/>
          <w:bCs/>
          <w:color w:val="auto"/>
          <w:sz w:val="24"/>
          <w:lang w:val="en-US" w:eastAsia="zh-CN"/>
        </w:rPr>
        <w:t>标包</w:t>
      </w:r>
      <w:r>
        <w:rPr>
          <w:rFonts w:hint="eastAsia" w:cs="宋体"/>
          <w:b/>
          <w:bCs/>
          <w:color w:val="auto"/>
          <w:sz w:val="24"/>
          <w:lang w:val="en-US" w:eastAsia="zh-CN"/>
        </w:rPr>
        <w:t>3</w:t>
      </w:r>
      <w:r>
        <w:rPr>
          <w:rFonts w:hint="eastAsia" w:ascii="宋体" w:hAnsi="宋体" w:cs="宋体"/>
          <w:b/>
          <w:bCs/>
          <w:color w:val="auto"/>
          <w:sz w:val="24"/>
          <w:lang w:val="en-US" w:eastAsia="zh-CN"/>
        </w:rPr>
        <w:t>：</w:t>
      </w:r>
    </w:p>
    <w:p w14:paraId="4FE647FD">
      <w:pPr>
        <w:spacing w:line="273" w:lineRule="auto"/>
        <w:rPr>
          <w:rFonts w:ascii="宋体" w:hAnsi="宋体"/>
          <w:b/>
          <w:bCs/>
          <w:color w:val="auto"/>
          <w:sz w:val="24"/>
          <w:szCs w:val="24"/>
        </w:rPr>
      </w:pPr>
      <w:r>
        <w:rPr>
          <w:rFonts w:hint="eastAsia" w:ascii="宋体" w:hAnsi="宋体"/>
          <w:b/>
          <w:bCs/>
          <w:color w:val="auto"/>
          <w:sz w:val="24"/>
          <w:szCs w:val="24"/>
        </w:rPr>
        <w:t>一、租用服务要求</w:t>
      </w:r>
    </w:p>
    <w:p w14:paraId="5CE237D5">
      <w:pPr>
        <w:spacing w:line="273" w:lineRule="auto"/>
        <w:rPr>
          <w:rFonts w:ascii="宋体" w:hAnsi="宋体"/>
          <w:bCs/>
          <w:color w:val="auto"/>
          <w:sz w:val="24"/>
          <w:szCs w:val="24"/>
        </w:rPr>
      </w:pPr>
      <w:r>
        <w:rPr>
          <w:rFonts w:hint="eastAsia" w:ascii="宋体" w:hAnsi="宋体"/>
          <w:b/>
          <w:color w:val="auto"/>
          <w:kern w:val="0"/>
          <w:sz w:val="24"/>
          <w:szCs w:val="24"/>
        </w:rPr>
        <w:t>★</w:t>
      </w:r>
      <w:r>
        <w:rPr>
          <w:rFonts w:hint="eastAsia" w:ascii="宋体" w:hAnsi="宋体"/>
          <w:bCs/>
          <w:color w:val="auto"/>
          <w:sz w:val="24"/>
          <w:szCs w:val="24"/>
        </w:rPr>
        <w:t>1、供应商须新提供至少950个移动警务专用号码，为新增用户和新增移动警务专用设备提供服务。</w:t>
      </w:r>
    </w:p>
    <w:p w14:paraId="739F8B8B">
      <w:pPr>
        <w:spacing w:line="273" w:lineRule="auto"/>
        <w:rPr>
          <w:rFonts w:ascii="宋体" w:hAnsi="宋体"/>
          <w:bCs/>
          <w:color w:val="auto"/>
          <w:sz w:val="24"/>
          <w:szCs w:val="24"/>
        </w:rPr>
      </w:pPr>
      <w:r>
        <w:rPr>
          <w:rFonts w:hint="eastAsia" w:ascii="宋体" w:hAnsi="宋体"/>
          <w:bCs/>
          <w:color w:val="auto"/>
          <w:sz w:val="24"/>
          <w:szCs w:val="24"/>
        </w:rPr>
        <w:t>2、提供5G专用无线业务数据转发服务。向下兼容基于GPRS/APN技术以及2G/3G/4G/5G通信标准，为甲方搭建5G移动专用APN通道，实现用户远程登陆专网进行信息查询录入、指挥调度、视频回传、业务办公等应用功能。</w:t>
      </w:r>
    </w:p>
    <w:p w14:paraId="7C0ACCE1">
      <w:pPr>
        <w:spacing w:line="273" w:lineRule="auto"/>
        <w:rPr>
          <w:rFonts w:ascii="宋体" w:hAnsi="宋体"/>
          <w:bCs/>
          <w:color w:val="auto"/>
          <w:sz w:val="24"/>
          <w:szCs w:val="24"/>
        </w:rPr>
      </w:pPr>
      <w:r>
        <w:rPr>
          <w:rFonts w:hint="eastAsia" w:ascii="宋体" w:hAnsi="宋体"/>
          <w:bCs/>
          <w:color w:val="auto"/>
          <w:sz w:val="24"/>
          <w:szCs w:val="24"/>
        </w:rPr>
        <w:t xml:space="preserve">3、提供5G（向下兼容）专用无线通讯网络支撑服务，包括业务专网通讯时长和适量外网通讯时长、专用流量和适量外网流量。芯片功能支持：加密模块为SIM卡形态的加密介质（SIM卡.密码模块二合一）； </w:t>
      </w:r>
    </w:p>
    <w:p w14:paraId="5BF12A0F">
      <w:pPr>
        <w:spacing w:line="273" w:lineRule="auto"/>
        <w:rPr>
          <w:rFonts w:ascii="宋体" w:hAnsi="宋体"/>
          <w:bCs/>
          <w:color w:val="auto"/>
          <w:sz w:val="24"/>
          <w:szCs w:val="24"/>
        </w:rPr>
      </w:pPr>
      <w:r>
        <w:rPr>
          <w:rFonts w:hint="eastAsia" w:ascii="宋体" w:hAnsi="宋体"/>
          <w:bCs/>
          <w:color w:val="auto"/>
          <w:sz w:val="24"/>
          <w:szCs w:val="24"/>
        </w:rPr>
        <w:t>4、提供支持20000用户终端管控服务。提供基础功能、安加固功能、安全管控功能。</w:t>
      </w:r>
    </w:p>
    <w:p w14:paraId="1D0C2F57">
      <w:pPr>
        <w:spacing w:line="273" w:lineRule="auto"/>
        <w:rPr>
          <w:rFonts w:ascii="宋体" w:hAnsi="宋体"/>
          <w:bCs/>
          <w:color w:val="auto"/>
          <w:sz w:val="24"/>
          <w:szCs w:val="24"/>
        </w:rPr>
      </w:pPr>
      <w:r>
        <w:rPr>
          <w:rFonts w:hint="eastAsia" w:ascii="宋体" w:hAnsi="宋体"/>
          <w:bCs/>
          <w:color w:val="auto"/>
          <w:sz w:val="24"/>
          <w:szCs w:val="24"/>
        </w:rPr>
        <w:t>☆5、加密通话平台通过网络安全等级测评三级</w:t>
      </w:r>
      <w:r>
        <w:rPr>
          <w:rFonts w:hint="eastAsia" w:ascii="宋体" w:hAnsi="宋体"/>
          <w:bCs/>
          <w:color w:val="auto"/>
          <w:sz w:val="24"/>
          <w:szCs w:val="24"/>
          <w:lang w:val="en-US" w:eastAsia="zh-CN"/>
        </w:rPr>
        <w:t>并通过商用密码评测三级。</w:t>
      </w:r>
      <w:r>
        <w:rPr>
          <w:rFonts w:hint="eastAsia" w:ascii="宋体" w:hAnsi="宋体"/>
          <w:bCs/>
          <w:color w:val="auto"/>
          <w:sz w:val="24"/>
          <w:szCs w:val="24"/>
        </w:rPr>
        <w:t>（提供有效期内证明材料）</w:t>
      </w:r>
    </w:p>
    <w:p w14:paraId="69253B90">
      <w:pPr>
        <w:spacing w:line="273" w:lineRule="auto"/>
        <w:rPr>
          <w:rFonts w:ascii="宋体" w:hAnsi="宋体"/>
          <w:bCs/>
          <w:color w:val="auto"/>
          <w:sz w:val="24"/>
          <w:szCs w:val="24"/>
        </w:rPr>
      </w:pPr>
      <w:r>
        <w:rPr>
          <w:rFonts w:hint="eastAsia" w:ascii="宋体" w:hAnsi="宋体"/>
          <w:bCs/>
          <w:color w:val="auto"/>
          <w:sz w:val="24"/>
          <w:szCs w:val="24"/>
        </w:rPr>
        <w:t>6、服务租用按照每部终端的月服务费进行招标，包含所有服务内容。一是在公安网与视频专网处部署安全防护设备，用于违规外联行为监测、发现与阻断。二是部署对视频专网漏洞弱口令扫描、管控设备。</w:t>
      </w:r>
    </w:p>
    <w:p w14:paraId="3EBCC097">
      <w:pPr>
        <w:spacing w:line="273" w:lineRule="auto"/>
        <w:rPr>
          <w:rFonts w:ascii="宋体" w:hAnsi="宋体"/>
          <w:bCs/>
          <w:color w:val="auto"/>
          <w:sz w:val="24"/>
          <w:szCs w:val="24"/>
        </w:rPr>
      </w:pPr>
      <w:r>
        <w:rPr>
          <w:rFonts w:hint="eastAsia" w:ascii="宋体" w:hAnsi="宋体"/>
          <w:bCs/>
          <w:color w:val="auto"/>
          <w:sz w:val="24"/>
          <w:szCs w:val="24"/>
        </w:rPr>
        <w:t>7、部署在移动警务专网内安全边界设备的运维保障。</w:t>
      </w:r>
    </w:p>
    <w:p w14:paraId="5E76F722">
      <w:pPr>
        <w:spacing w:line="273" w:lineRule="auto"/>
        <w:rPr>
          <w:rFonts w:ascii="宋体" w:hAnsi="宋体"/>
          <w:bCs/>
          <w:color w:val="auto"/>
          <w:sz w:val="24"/>
          <w:szCs w:val="24"/>
        </w:rPr>
      </w:pPr>
      <w:r>
        <w:rPr>
          <w:rFonts w:hint="eastAsia" w:ascii="宋体" w:hAnsi="宋体"/>
          <w:bCs/>
          <w:color w:val="auto"/>
          <w:sz w:val="24"/>
          <w:szCs w:val="24"/>
        </w:rPr>
        <w:t>☆8、sim卡支持通过SKF接口实现国密CA证书写入和调用；语音通话加密且支持不低于 8MB 的安全空间（需提供证明材料）</w:t>
      </w:r>
    </w:p>
    <w:p w14:paraId="2EA3744B">
      <w:pPr>
        <w:spacing w:line="273" w:lineRule="auto"/>
        <w:rPr>
          <w:rFonts w:ascii="宋体" w:hAnsi="宋体"/>
          <w:bCs/>
          <w:color w:val="auto"/>
          <w:sz w:val="24"/>
          <w:szCs w:val="24"/>
        </w:rPr>
      </w:pPr>
      <w:r>
        <w:rPr>
          <w:rFonts w:hint="eastAsia" w:ascii="宋体" w:hAnsi="宋体"/>
          <w:bCs/>
          <w:color w:val="auto"/>
          <w:sz w:val="24"/>
          <w:szCs w:val="24"/>
        </w:rPr>
        <w:t>9、合同签订之日起5个工作日内完成用户侧终端管控（MDM）平台的搭建及适配工作，包括部署专用的、独立的、物理隔离的MDM平台和功能服务，实现对终端的安全管控。</w:t>
      </w:r>
    </w:p>
    <w:p w14:paraId="6704BED5">
      <w:pPr>
        <w:spacing w:line="273" w:lineRule="auto"/>
        <w:rPr>
          <w:rFonts w:ascii="宋体" w:hAnsi="宋体"/>
          <w:bCs/>
          <w:color w:val="auto"/>
          <w:sz w:val="24"/>
          <w:szCs w:val="24"/>
        </w:rPr>
      </w:pPr>
      <w:r>
        <w:rPr>
          <w:rFonts w:hint="eastAsia" w:ascii="宋体" w:hAnsi="宋体"/>
          <w:bCs/>
          <w:color w:val="auto"/>
          <w:sz w:val="24"/>
          <w:szCs w:val="24"/>
        </w:rPr>
        <w:t>☆10、合同签订之日起3个工作日内向用户提供符合需求量的加密证书运营商通信属性信息，并在合同签订之日起3周内配合用户做好加密证书的通讯号码写入和实名制发证等服务。</w:t>
      </w:r>
    </w:p>
    <w:p w14:paraId="60A8B273">
      <w:pPr>
        <w:spacing w:line="273" w:lineRule="auto"/>
        <w:rPr>
          <w:rFonts w:ascii="宋体" w:hAnsi="宋体"/>
          <w:bCs/>
          <w:color w:val="auto"/>
          <w:sz w:val="24"/>
          <w:szCs w:val="24"/>
        </w:rPr>
      </w:pPr>
      <w:r>
        <w:rPr>
          <w:rFonts w:hint="eastAsia" w:ascii="宋体" w:hAnsi="宋体"/>
          <w:bCs/>
          <w:color w:val="auto"/>
          <w:sz w:val="24"/>
          <w:szCs w:val="24"/>
        </w:rPr>
        <w:t>☆11、合同签订之日起10个工作日内向用户提供符合需求的5G专用无线通讯网络支撑服务，确保专网通讯时长不少于1000分钟、外网通讯时长不少于1500分钟，专网业务流量不少于110G、外网业务流量不少于40G、外网短信250条、动态累计3个月的外网流量。</w:t>
      </w:r>
    </w:p>
    <w:p w14:paraId="31453620">
      <w:pPr>
        <w:rPr>
          <w:rFonts w:ascii="宋体" w:hAnsi="宋体"/>
          <w:bCs/>
          <w:color w:val="auto"/>
          <w:sz w:val="24"/>
          <w:szCs w:val="24"/>
        </w:rPr>
      </w:pPr>
      <w:r>
        <w:rPr>
          <w:rFonts w:hint="eastAsia" w:ascii="宋体" w:hAnsi="宋体"/>
          <w:bCs/>
          <w:color w:val="auto"/>
          <w:sz w:val="24"/>
          <w:szCs w:val="24"/>
        </w:rPr>
        <w:t>12、要求SIM卡内置NorFlash芯片以满足大容量密钥存储需要，同时满足与SIM芯片之间采用SPI接口进行数据交互。要求该项技术具有自主知识产权，提供相关证明。</w:t>
      </w:r>
    </w:p>
    <w:p w14:paraId="19714D81">
      <w:pPr>
        <w:pStyle w:val="24"/>
        <w:ind w:firstLine="240"/>
        <w:rPr>
          <w:rFonts w:ascii="宋体" w:hAnsi="宋体"/>
          <w:bCs/>
          <w:color w:val="auto"/>
          <w:sz w:val="24"/>
          <w:szCs w:val="24"/>
        </w:rPr>
      </w:pPr>
      <w:r>
        <w:rPr>
          <w:rFonts w:hint="eastAsia" w:ascii="宋体" w:hAnsi="宋体"/>
          <w:bCs/>
          <w:color w:val="FF0000"/>
          <w:sz w:val="24"/>
          <w:szCs w:val="24"/>
        </w:rPr>
        <w:br w:type="page"/>
      </w:r>
      <w:r>
        <w:rPr>
          <w:rFonts w:hint="eastAsia" w:ascii="宋体" w:hAnsi="宋体"/>
          <w:bCs/>
          <w:color w:val="auto"/>
          <w:sz w:val="24"/>
          <w:szCs w:val="24"/>
        </w:rPr>
        <w:t>二、租用服务技术要求</w:t>
      </w:r>
    </w:p>
    <w:p w14:paraId="10AC4AE0">
      <w:pPr>
        <w:spacing w:line="273" w:lineRule="auto"/>
        <w:rPr>
          <w:rFonts w:ascii="宋体" w:hAnsi="宋体"/>
          <w:bCs/>
          <w:color w:val="auto"/>
          <w:sz w:val="24"/>
          <w:szCs w:val="24"/>
        </w:rPr>
      </w:pPr>
      <w:r>
        <w:rPr>
          <w:rFonts w:hint="eastAsia" w:ascii="宋体" w:hAnsi="宋体"/>
          <w:bCs/>
          <w:color w:val="auto"/>
          <w:sz w:val="24"/>
          <w:szCs w:val="24"/>
        </w:rPr>
        <w:t>13、无线专用传输链路技术要求如下：支持运营商多线路接入；应采用APN或VPDN等虚拟专网技术与公众网络实现 逻辑隔离；宜采用AAA认证服务的方式对接入用户进行入网账号授权认证；应支持对接入终端的DNS域名解析、网络地址管理和分配。</w:t>
      </w:r>
    </w:p>
    <w:p w14:paraId="6ED9FF9B">
      <w:pPr>
        <w:spacing w:line="273" w:lineRule="auto"/>
        <w:rPr>
          <w:rFonts w:ascii="宋体" w:hAnsi="宋体"/>
          <w:bCs/>
          <w:color w:val="auto"/>
          <w:sz w:val="24"/>
          <w:szCs w:val="24"/>
        </w:rPr>
      </w:pPr>
      <w:r>
        <w:rPr>
          <w:rFonts w:hint="eastAsia" w:ascii="宋体" w:hAnsi="宋体"/>
          <w:bCs/>
          <w:color w:val="auto"/>
          <w:sz w:val="24"/>
          <w:szCs w:val="24"/>
        </w:rPr>
        <w:t>14、SIM卡具有符合GM/T《智能IC卡密码检测规范》. GM/T 0008《安全芯片密码检测标准》 第二级要求的商用密码产品认证证书。</w:t>
      </w:r>
    </w:p>
    <w:p w14:paraId="1AF278BB">
      <w:pPr>
        <w:spacing w:line="273" w:lineRule="auto"/>
        <w:rPr>
          <w:rFonts w:ascii="宋体" w:hAnsi="宋体"/>
          <w:bCs/>
          <w:color w:val="auto"/>
          <w:sz w:val="24"/>
          <w:szCs w:val="24"/>
        </w:rPr>
      </w:pPr>
      <w:r>
        <w:rPr>
          <w:rFonts w:hint="eastAsia" w:ascii="宋体" w:hAnsi="宋体"/>
          <w:bCs/>
          <w:color w:val="auto"/>
          <w:sz w:val="24"/>
          <w:szCs w:val="24"/>
        </w:rPr>
        <w:t>15、平台联网通道技术要求如下：应基于电子政务外网实现一级与二级平台联网互通；应基于电子政务外网或其它专用传输网络实现二级平台联网通；应基于IPSec VPN 技术通过网关对接的方式实现链路安全防护；网络层实现互通要求路由可达；应支持传输过程中的认证、加密和访问控制等安全技术；应保证可扩展性、 可靠性和安全性，能够根据传输需求进行升级、扩容。</w:t>
      </w:r>
    </w:p>
    <w:p w14:paraId="354DFEF3">
      <w:pPr>
        <w:spacing w:line="273" w:lineRule="auto"/>
        <w:rPr>
          <w:rFonts w:ascii="宋体" w:hAnsi="宋体"/>
          <w:bCs/>
          <w:color w:val="auto"/>
          <w:sz w:val="24"/>
          <w:szCs w:val="24"/>
        </w:rPr>
      </w:pPr>
      <w:r>
        <w:rPr>
          <w:rFonts w:hint="eastAsia" w:ascii="宋体" w:hAnsi="宋体"/>
          <w:bCs/>
          <w:color w:val="auto"/>
          <w:sz w:val="24"/>
          <w:szCs w:val="24"/>
        </w:rPr>
        <w:t>16、应提供接入中国自主研发的“天通一号”卫星移动通信系统接口</w:t>
      </w:r>
    </w:p>
    <w:p w14:paraId="751BAB04">
      <w:pPr>
        <w:spacing w:line="273" w:lineRule="auto"/>
        <w:rPr>
          <w:rFonts w:ascii="宋体" w:hAnsi="宋体"/>
          <w:bCs/>
          <w:color w:val="auto"/>
          <w:sz w:val="24"/>
          <w:szCs w:val="24"/>
        </w:rPr>
      </w:pPr>
      <w:r>
        <w:rPr>
          <w:rFonts w:hint="eastAsia" w:ascii="宋体" w:hAnsi="宋体"/>
          <w:bCs/>
          <w:color w:val="auto"/>
          <w:sz w:val="24"/>
          <w:szCs w:val="24"/>
        </w:rPr>
        <w:t>17、平台业务网络技术要求如下：应基于TCP/IP技术组建平台业务网络；应提供语音、图像、视频等移动业务的网络承载能力，同时提供相应的服务质量保障；应具有高可靠性和可管理、可扩展性；应支持不同应用业务网络逻辑隔离；网络互通的技术要求应符合YD/T 1170- 2001；应采用以太网口( 100 Mbit/s、100 Mbit/s、10CGbit/s及以上速率)接口实现互联。以太网接口应遵循GB/T15629.3- 2014 中规定的速率序列和接口标准。</w:t>
      </w:r>
    </w:p>
    <w:p w14:paraId="0FE774A9">
      <w:pPr>
        <w:spacing w:line="273" w:lineRule="auto"/>
        <w:rPr>
          <w:rFonts w:ascii="宋体" w:hAnsi="宋体"/>
          <w:bCs/>
          <w:color w:val="auto"/>
          <w:sz w:val="24"/>
          <w:szCs w:val="24"/>
        </w:rPr>
      </w:pPr>
      <w:r>
        <w:rPr>
          <w:rFonts w:hint="eastAsia" w:ascii="宋体" w:hAnsi="宋体"/>
          <w:bCs/>
          <w:color w:val="auto"/>
          <w:sz w:val="24"/>
          <w:szCs w:val="24"/>
        </w:rPr>
        <w:t>18、应能满足使用天通卫星进行移动通信网络话音、短信功能</w:t>
      </w:r>
    </w:p>
    <w:p w14:paraId="76FDBD36">
      <w:pPr>
        <w:pStyle w:val="24"/>
        <w:ind w:firstLine="0" w:firstLineChars="0"/>
        <w:rPr>
          <w:rFonts w:ascii="宋体" w:hAnsi="宋体"/>
          <w:bCs/>
          <w:color w:val="auto"/>
          <w:sz w:val="24"/>
          <w:szCs w:val="24"/>
        </w:rPr>
      </w:pPr>
      <w:r>
        <w:rPr>
          <w:rFonts w:hint="eastAsia" w:ascii="宋体" w:hAnsi="宋体"/>
          <w:bCs/>
          <w:color w:val="FF0000"/>
          <w:sz w:val="24"/>
          <w:szCs w:val="24"/>
        </w:rPr>
        <w:br w:type="page"/>
      </w:r>
      <w:r>
        <w:rPr>
          <w:rFonts w:hint="eastAsia" w:ascii="宋体" w:hAnsi="宋体"/>
          <w:bCs/>
          <w:color w:val="auto"/>
          <w:sz w:val="24"/>
          <w:szCs w:val="24"/>
        </w:rPr>
        <w:t>三、无线专网安全要求</w:t>
      </w:r>
    </w:p>
    <w:p w14:paraId="0C392FFB">
      <w:pPr>
        <w:spacing w:line="273" w:lineRule="auto"/>
        <w:rPr>
          <w:rFonts w:ascii="宋体" w:hAnsi="宋体"/>
          <w:bCs/>
          <w:color w:val="auto"/>
          <w:sz w:val="24"/>
          <w:szCs w:val="24"/>
        </w:rPr>
      </w:pPr>
      <w:r>
        <w:rPr>
          <w:rFonts w:hint="eastAsia" w:ascii="宋体" w:hAnsi="宋体"/>
          <w:bCs/>
          <w:color w:val="auto"/>
          <w:sz w:val="24"/>
          <w:szCs w:val="24"/>
        </w:rPr>
        <w:t>19、环境和设备安全：网络运行所在机房的供配电系统、空调系统、防静电、防雷、消防、防水等方面建设需符合GB/T9361 2011标准规范，应达到GB/T9361 -2011的A类或B类要求。对公安移动信息网的网络传输、边界交换隔离设备应实施设备的防盗、防毁、防电磁辐射泄漏、抗电磁干扰及电源保护等。</w:t>
      </w:r>
    </w:p>
    <w:p w14:paraId="1E03B2F4">
      <w:pPr>
        <w:spacing w:line="273" w:lineRule="auto"/>
        <w:rPr>
          <w:rFonts w:ascii="宋体" w:hAnsi="宋体"/>
          <w:bCs/>
          <w:color w:val="auto"/>
          <w:sz w:val="24"/>
          <w:szCs w:val="24"/>
        </w:rPr>
      </w:pPr>
      <w:r>
        <w:rPr>
          <w:rFonts w:hint="eastAsia" w:ascii="宋体" w:hAnsi="宋体"/>
          <w:bCs/>
          <w:color w:val="auto"/>
          <w:sz w:val="24"/>
          <w:szCs w:val="24"/>
        </w:rPr>
        <w:t>20、网络安全：应具备网络访问控制、网络安全审计、边界完整性检查、网络入侵防范、恶意代码防范以及网络设备防护等能力，应根据承载信息系统安全等级要求进行网络传输数据的保密性和完整性保护。边界防护运维内容如下：与互联网边界应具备网络隔离、数据安全交换和应用访问控制等功能的运维；与公安信息网边界应具备设备安全接入、网络隔离、数据安全交换、应用访问控制等功能的运维；与其它专网边界应具备网络隔离、数据安全交换、应用访问控制等功能的运维；平台联网通道边界应具备数据安全传输、互联边界防护等功能的运维；禁止旁路边界防护功能；建立7*24小时响应并开展维护工作；一般故障（网络传输设备损坏等）要在1小时内响应并人员到位，4小时内排除故障；重大节日及安保工作期间出现网络故障乙方须立即响应，故障在2小时内处理完毕。传输保护：包括对物理链路、传输过程保护的安全技术，通过运营商APN/ VPDN专线及平台网络安全接入控制等技术实现。物理链路：采用设备认证、基站认证、数据加密传输、数据完整性校验等技术，并禁止WiFi、蓝牙等作为旁路链路使用。网络传输：采用数据加密传输、数据完整性校验、APN/ VPDN网络隔离、AAA认证、访问控制、身份认证、设备环境验证、监测审计、攻击检测、联动防御等技术。</w:t>
      </w:r>
    </w:p>
    <w:p w14:paraId="1D3BBC15">
      <w:pPr>
        <w:spacing w:line="273" w:lineRule="auto"/>
        <w:rPr>
          <w:rFonts w:ascii="宋体" w:hAnsi="宋体"/>
          <w:bCs/>
          <w:color w:val="auto"/>
          <w:sz w:val="24"/>
          <w:szCs w:val="24"/>
        </w:rPr>
      </w:pPr>
      <w:r>
        <w:rPr>
          <w:rFonts w:hint="eastAsia" w:ascii="宋体" w:hAnsi="宋体"/>
          <w:bCs/>
          <w:color w:val="auto"/>
          <w:sz w:val="24"/>
          <w:szCs w:val="24"/>
        </w:rPr>
        <w:t>21、5G无线专网业务数据转发要求（含4G）基于运营商移动虚拟专网实现移动终端的数据转发。接入请求的移动终端包括满足移动安全防护要求的各类移动终端。专网无线业务数据转发服务需支持移动终端全国漫游、支持车辆移动速度不低于120km/h的高速移动场景下数据转发需求。具备有效保障移动终端业务开展的基本网络承载能力，能够覆盖开展移动应用业务区域，无线网络指标应至少满足RSRP ( Reference Signal Receiving Power，参考信号接收功率)&gt;-110dBm的概率大于90%、SINR(Signalto Interference plus Noise Ratio, 信号与干扰加噪声比) &gt;-3dB的概率大于90%。数据：转发服务的IP 包传输时延、IP包时延变化、IP包误差率、IP包丢包率以及虚假IP包率应满足YD/T 1171-2001 的具体要求。专网转发：应支持APN虚拟转发服务。逻辑隔离：整个连接建立过程应在运营商网络设备上通过虚拟隧道实现与用户专网的逻辑隔离。网络管理：用户单位具备对APN接入进行DNS分发、IP地址的管理和分配能力。</w:t>
      </w:r>
    </w:p>
    <w:p w14:paraId="170D613E">
      <w:pPr>
        <w:pStyle w:val="24"/>
        <w:ind w:firstLine="0" w:firstLineChars="0"/>
        <w:rPr>
          <w:rFonts w:ascii="宋体" w:hAnsi="宋体"/>
          <w:bCs/>
          <w:color w:val="auto"/>
          <w:sz w:val="24"/>
          <w:szCs w:val="24"/>
        </w:rPr>
      </w:pPr>
      <w:r>
        <w:rPr>
          <w:rFonts w:hint="eastAsia" w:ascii="宋体" w:hAnsi="宋体"/>
          <w:bCs/>
          <w:color w:val="auto"/>
          <w:sz w:val="24"/>
          <w:szCs w:val="24"/>
        </w:rPr>
        <w:t>22、保密场景下的通话：业务需具备防监听功能，加密技术对通话内容进行保护，确保通话不会被恶意监听，能有效提高您移动通话的安全性。需提供证明材料</w:t>
      </w:r>
    </w:p>
    <w:p w14:paraId="09B577EA">
      <w:pPr>
        <w:spacing w:line="273" w:lineRule="auto"/>
        <w:rPr>
          <w:rFonts w:ascii="宋体" w:hAnsi="宋体"/>
          <w:bCs/>
          <w:color w:val="auto"/>
          <w:sz w:val="24"/>
          <w:szCs w:val="24"/>
        </w:rPr>
      </w:pPr>
      <w:r>
        <w:rPr>
          <w:rFonts w:hint="eastAsia" w:ascii="宋体" w:hAnsi="宋体"/>
          <w:bCs/>
          <w:color w:val="auto"/>
          <w:sz w:val="24"/>
          <w:szCs w:val="24"/>
        </w:rPr>
        <w:t>23、核心主城区5G下行速率不低于200M，4G 下行速率不低于20M；郊区4G基站区域一公里内，下行速率不低于20M。</w:t>
      </w:r>
    </w:p>
    <w:p w14:paraId="63BBAB08">
      <w:pPr>
        <w:rPr>
          <w:rFonts w:ascii="Calibri" w:hAnsi="Calibri"/>
          <w:color w:val="auto"/>
          <w:szCs w:val="21"/>
        </w:rPr>
      </w:pPr>
      <w:r>
        <w:rPr>
          <w:rFonts w:hint="eastAsia" w:ascii="宋体" w:hAnsi="宋体"/>
          <w:bCs/>
          <w:color w:val="auto"/>
          <w:sz w:val="24"/>
          <w:szCs w:val="24"/>
        </w:rPr>
        <w:t>24、安装使用SIM卡需具有国家密码局颁发的商用密码产品认证证书，并出具相关证书。</w:t>
      </w:r>
    </w:p>
    <w:p w14:paraId="3F5BBB05">
      <w:pPr>
        <w:pStyle w:val="10"/>
        <w:rPr>
          <w:rFonts w:hint="eastAsia" w:ascii="宋体" w:hAnsi="宋体" w:cs="宋体"/>
          <w:b/>
          <w:bCs/>
          <w:color w:val="auto"/>
          <w:sz w:val="24"/>
          <w:lang w:val="en-US" w:eastAsia="zh-CN"/>
        </w:rPr>
      </w:pPr>
      <w:r>
        <w:rPr>
          <w:rFonts w:hint="eastAsia" w:ascii="宋体" w:hAnsi="宋体" w:cs="宋体"/>
          <w:b/>
          <w:bCs/>
          <w:color w:val="auto"/>
          <w:sz w:val="24"/>
          <w:lang w:val="en-US" w:eastAsia="zh-CN"/>
        </w:rPr>
        <w:t>标包</w:t>
      </w:r>
      <w:r>
        <w:rPr>
          <w:rFonts w:hint="eastAsia" w:cs="宋体"/>
          <w:b/>
          <w:bCs/>
          <w:color w:val="auto"/>
          <w:sz w:val="24"/>
          <w:lang w:val="en-US" w:eastAsia="zh-CN"/>
        </w:rPr>
        <w:t>4</w:t>
      </w:r>
      <w:r>
        <w:rPr>
          <w:rFonts w:hint="eastAsia" w:ascii="宋体" w:hAnsi="宋体" w:cs="宋体"/>
          <w:b/>
          <w:bCs/>
          <w:color w:val="auto"/>
          <w:sz w:val="24"/>
          <w:lang w:val="en-US" w:eastAsia="zh-CN"/>
        </w:rPr>
        <w:t>：</w:t>
      </w:r>
    </w:p>
    <w:p w14:paraId="18813B5E">
      <w:pPr>
        <w:pStyle w:val="55"/>
        <w:spacing w:line="500" w:lineRule="exact"/>
        <w:ind w:left="359" w:leftChars="171" w:firstLine="118" w:firstLineChars="49"/>
        <w:rPr>
          <w:rFonts w:hint="eastAsia" w:ascii="宋体" w:hAnsi="宋体"/>
          <w:b/>
          <w:color w:val="auto"/>
        </w:rPr>
      </w:pPr>
      <w:bookmarkStart w:id="175" w:name="_Toc275871536"/>
      <w:r>
        <w:rPr>
          <w:rFonts w:hint="eastAsia" w:ascii="宋体" w:hAnsi="宋体"/>
          <w:b/>
          <w:color w:val="auto"/>
        </w:rPr>
        <w:t>一、项目简介</w:t>
      </w:r>
      <w:bookmarkEnd w:id="175"/>
    </w:p>
    <w:p w14:paraId="12A5EA7E">
      <w:pPr>
        <w:adjustRightInd w:val="0"/>
        <w:spacing w:line="500" w:lineRule="exact"/>
        <w:ind w:left="2" w:firstLine="480" w:firstLineChars="200"/>
        <w:textAlignment w:val="baseline"/>
        <w:rPr>
          <w:rFonts w:hint="eastAsia" w:ascii="宋体" w:hAnsi="宋体" w:eastAsia="宋体"/>
          <w:color w:val="auto"/>
          <w:sz w:val="24"/>
          <w:szCs w:val="24"/>
        </w:rPr>
      </w:pPr>
      <w:r>
        <w:rPr>
          <w:rFonts w:hint="eastAsia" w:ascii="宋体" w:hAnsi="宋体" w:eastAsia="宋体"/>
          <w:color w:val="auto"/>
          <w:sz w:val="24"/>
          <w:szCs w:val="24"/>
        </w:rPr>
        <w:t>天山公安分局智能110接处警系统是110接处警工作的核心平台，为确保该平台24小时不间断运行，对该平台涉及的程控交换机、服务器设备维护保修，并对智能110接处警系统软件提供维护及支持支持服务，保障智能110接处警系统24小时不间断运行。</w:t>
      </w:r>
    </w:p>
    <w:p w14:paraId="266EF7CC">
      <w:pPr>
        <w:pStyle w:val="55"/>
        <w:spacing w:line="500" w:lineRule="exact"/>
        <w:ind w:left="359" w:leftChars="171" w:firstLine="118" w:firstLineChars="49"/>
        <w:rPr>
          <w:rFonts w:hint="eastAsia" w:ascii="宋体" w:hAnsi="宋体"/>
          <w:b/>
          <w:color w:val="auto"/>
        </w:rPr>
      </w:pPr>
      <w:bookmarkStart w:id="176" w:name="_Toc275871537"/>
      <w:r>
        <w:rPr>
          <w:rFonts w:hint="eastAsia" w:ascii="宋体" w:hAnsi="宋体"/>
          <w:b/>
          <w:color w:val="auto"/>
        </w:rPr>
        <w:t>二、项目服务范围</w:t>
      </w:r>
      <w:bookmarkEnd w:id="176"/>
    </w:p>
    <w:p w14:paraId="533B63D2">
      <w:pPr>
        <w:spacing w:line="50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天山区公安分局智能110接处警系统项目建设包含由如下子系统需要运维保障。</w:t>
      </w:r>
    </w:p>
    <w:p w14:paraId="6EA23095">
      <w:pPr>
        <w:pStyle w:val="55"/>
        <w:numPr>
          <w:ilvl w:val="0"/>
          <w:numId w:val="7"/>
        </w:numPr>
        <w:spacing w:line="560" w:lineRule="exact"/>
        <w:ind w:left="0" w:firstLine="480" w:firstLineChars="200"/>
        <w:rPr>
          <w:rFonts w:hint="eastAsia" w:ascii="宋体" w:hAnsi="宋体" w:cs="Times New Roman"/>
          <w:color w:val="auto"/>
          <w:kern w:val="2"/>
        </w:rPr>
      </w:pPr>
      <w:bookmarkStart w:id="177" w:name="_Toc275871538"/>
      <w:r>
        <w:rPr>
          <w:rFonts w:hint="eastAsia" w:ascii="宋体" w:hAnsi="宋体" w:cs="Times New Roman"/>
          <w:color w:val="auto"/>
          <w:kern w:val="2"/>
        </w:rPr>
        <w:t>大容量排队调度机</w:t>
      </w:r>
    </w:p>
    <w:p w14:paraId="7F2CB7D1">
      <w:pPr>
        <w:pStyle w:val="55"/>
        <w:numPr>
          <w:ilvl w:val="0"/>
          <w:numId w:val="7"/>
        </w:numPr>
        <w:spacing w:line="560" w:lineRule="exact"/>
        <w:ind w:left="0" w:firstLine="480" w:firstLineChars="200"/>
        <w:rPr>
          <w:rFonts w:hint="eastAsia" w:ascii="宋体" w:hAnsi="宋体" w:cs="Times New Roman"/>
          <w:color w:val="auto"/>
          <w:kern w:val="2"/>
        </w:rPr>
      </w:pPr>
      <w:r>
        <w:rPr>
          <w:rFonts w:hint="eastAsia" w:ascii="宋体" w:hAnsi="宋体" w:cs="Times New Roman"/>
          <w:color w:val="auto"/>
          <w:kern w:val="2"/>
        </w:rPr>
        <w:t>相关服务器</w:t>
      </w:r>
    </w:p>
    <w:p w14:paraId="5FFF38A6">
      <w:pPr>
        <w:pStyle w:val="55"/>
        <w:numPr>
          <w:ilvl w:val="0"/>
          <w:numId w:val="7"/>
        </w:numPr>
        <w:spacing w:line="560" w:lineRule="exact"/>
        <w:ind w:left="0" w:firstLine="480" w:firstLineChars="200"/>
        <w:rPr>
          <w:rFonts w:hint="eastAsia" w:ascii="宋体" w:hAnsi="宋体" w:cs="Times New Roman"/>
          <w:color w:val="auto"/>
          <w:kern w:val="2"/>
        </w:rPr>
      </w:pPr>
      <w:r>
        <w:rPr>
          <w:rFonts w:hint="eastAsia" w:ascii="宋体" w:hAnsi="宋体" w:cs="Times New Roman"/>
          <w:color w:val="auto"/>
          <w:kern w:val="2"/>
        </w:rPr>
        <w:t>平台门户子系统</w:t>
      </w:r>
    </w:p>
    <w:p w14:paraId="31D87E74">
      <w:pPr>
        <w:pStyle w:val="55"/>
        <w:numPr>
          <w:ilvl w:val="0"/>
          <w:numId w:val="7"/>
        </w:numPr>
        <w:spacing w:line="560" w:lineRule="exact"/>
        <w:ind w:left="0" w:firstLine="480" w:firstLineChars="200"/>
        <w:rPr>
          <w:rFonts w:hint="eastAsia" w:ascii="宋体" w:hAnsi="宋体" w:cs="Times New Roman"/>
          <w:color w:val="auto"/>
          <w:kern w:val="2"/>
        </w:rPr>
      </w:pPr>
      <w:r>
        <w:rPr>
          <w:rFonts w:hint="eastAsia" w:ascii="宋体" w:hAnsi="宋体" w:cs="Times New Roman"/>
          <w:color w:val="auto"/>
          <w:kern w:val="2"/>
        </w:rPr>
        <w:t>综合指挥调度子系统</w:t>
      </w:r>
    </w:p>
    <w:p w14:paraId="51DB7EF1">
      <w:pPr>
        <w:pStyle w:val="55"/>
        <w:numPr>
          <w:ilvl w:val="0"/>
          <w:numId w:val="7"/>
        </w:numPr>
        <w:spacing w:line="560" w:lineRule="exact"/>
        <w:ind w:left="0" w:firstLine="480" w:firstLineChars="200"/>
        <w:rPr>
          <w:rFonts w:hint="eastAsia" w:ascii="宋体" w:hAnsi="宋体" w:cs="Times New Roman"/>
          <w:color w:val="auto"/>
          <w:kern w:val="2"/>
        </w:rPr>
      </w:pPr>
      <w:r>
        <w:rPr>
          <w:rFonts w:hint="eastAsia" w:ascii="宋体" w:hAnsi="宋体" w:cs="Times New Roman"/>
          <w:color w:val="auto"/>
          <w:kern w:val="2"/>
        </w:rPr>
        <w:t>分局接处警子系统</w:t>
      </w:r>
    </w:p>
    <w:p w14:paraId="213FBFA9">
      <w:pPr>
        <w:pStyle w:val="55"/>
        <w:numPr>
          <w:ilvl w:val="0"/>
          <w:numId w:val="7"/>
        </w:numPr>
        <w:spacing w:line="560" w:lineRule="exact"/>
        <w:ind w:left="0" w:firstLine="480" w:firstLineChars="200"/>
        <w:rPr>
          <w:rFonts w:hint="eastAsia" w:ascii="宋体" w:hAnsi="宋体" w:cs="Times New Roman"/>
          <w:color w:val="auto"/>
          <w:kern w:val="2"/>
        </w:rPr>
      </w:pPr>
      <w:r>
        <w:rPr>
          <w:rFonts w:hint="eastAsia" w:ascii="宋体" w:hAnsi="宋体" w:cs="Times New Roman"/>
          <w:color w:val="auto"/>
          <w:kern w:val="2"/>
        </w:rPr>
        <w:t>共享市局平台</w:t>
      </w:r>
    </w:p>
    <w:p w14:paraId="1D3AE0BC">
      <w:pPr>
        <w:pStyle w:val="55"/>
        <w:spacing w:line="500" w:lineRule="exact"/>
        <w:ind w:firstLine="361" w:firstLineChars="150"/>
        <w:rPr>
          <w:rFonts w:hint="eastAsia" w:ascii="宋体" w:hAnsi="宋体"/>
          <w:b/>
          <w:color w:val="auto"/>
        </w:rPr>
      </w:pPr>
      <w:r>
        <w:rPr>
          <w:rFonts w:hint="eastAsia" w:ascii="宋体" w:hAnsi="宋体"/>
          <w:b/>
          <w:color w:val="auto"/>
        </w:rPr>
        <w:t>三、项目服务要求</w:t>
      </w:r>
      <w:bookmarkEnd w:id="177"/>
    </w:p>
    <w:p w14:paraId="5B6787A9">
      <w:pPr>
        <w:pStyle w:val="4"/>
        <w:spacing w:line="500" w:lineRule="exact"/>
        <w:ind w:left="181" w:leftChars="86" w:firstLine="480"/>
        <w:rPr>
          <w:rFonts w:hint="eastAsia" w:ascii="宋体" w:hAnsi="宋体"/>
          <w:color w:val="auto"/>
          <w:szCs w:val="24"/>
        </w:rPr>
      </w:pPr>
      <w:r>
        <w:rPr>
          <w:rFonts w:hint="eastAsia" w:cs="宋体" w:asciiTheme="minorEastAsia" w:hAnsiTheme="minorEastAsia"/>
          <w:color w:val="auto"/>
          <w:szCs w:val="21"/>
        </w:rPr>
        <w:t>☆</w:t>
      </w:r>
      <w:r>
        <w:rPr>
          <w:rFonts w:ascii="宋体" w:hAnsi="宋体"/>
          <w:color w:val="auto"/>
          <w:szCs w:val="24"/>
        </w:rPr>
        <w:t>1</w:t>
      </w:r>
      <w:r>
        <w:rPr>
          <w:rFonts w:hint="eastAsia" w:ascii="宋体" w:hAnsi="宋体"/>
          <w:color w:val="auto"/>
          <w:szCs w:val="24"/>
        </w:rPr>
        <w:t>．供应商应对设备清单中的大容量排队调度机提供相当于原厂的维保服务（须提供原厂制造商对此项目的授权）。</w:t>
      </w:r>
    </w:p>
    <w:p w14:paraId="304F9AB9">
      <w:pPr>
        <w:pStyle w:val="4"/>
        <w:spacing w:line="500" w:lineRule="exact"/>
        <w:ind w:left="181" w:leftChars="86" w:firstLine="480"/>
        <w:rPr>
          <w:rFonts w:hint="eastAsia" w:ascii="宋体" w:hAnsi="宋体"/>
          <w:color w:val="auto"/>
          <w:szCs w:val="24"/>
        </w:rPr>
      </w:pPr>
      <w:r>
        <w:rPr>
          <w:rFonts w:hint="eastAsia" w:cs="宋体" w:asciiTheme="minorEastAsia" w:hAnsiTheme="minorEastAsia"/>
          <w:color w:val="auto"/>
          <w:szCs w:val="21"/>
        </w:rPr>
        <w:t>☆</w:t>
      </w:r>
      <w:r>
        <w:rPr>
          <w:rFonts w:hint="eastAsia" w:ascii="宋体" w:hAnsi="宋体"/>
          <w:color w:val="auto"/>
          <w:szCs w:val="24"/>
        </w:rPr>
        <w:t xml:space="preserve">2．对设备清单中的软件提供相当于原厂的维保服务（须提供原厂制造商对此项目的授权），具体服务包括: </w:t>
      </w:r>
    </w:p>
    <w:p w14:paraId="172BB300">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①7×24技术热线服务；</w:t>
      </w:r>
    </w:p>
    <w:p w14:paraId="123A18B6">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②在服务期内，向采购人提供7×24基础软件（数据库、操作系统、中间件等）免费补丁下载，进行版本更新和优化；</w:t>
      </w:r>
    </w:p>
    <w:p w14:paraId="6039F21B">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③通过对数据库、操作系统、中间件等进行系统健康检查，及早发现并预防问题产生；</w:t>
      </w:r>
    </w:p>
    <w:p w14:paraId="5086D8BD">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④采购人系统出现瓶颈时的性能调优；</w:t>
      </w:r>
    </w:p>
    <w:p w14:paraId="2B1BEA14">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⑤应用系统功能、数据库、中间件的维护规划咨询；</w:t>
      </w:r>
    </w:p>
    <w:p w14:paraId="43D6F56E">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⑥提供平台软件迁移服务；</w:t>
      </w:r>
    </w:p>
    <w:p w14:paraId="32F5BCB3">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⑦免费获得最新版本光盘介质；</w:t>
      </w:r>
    </w:p>
    <w:p w14:paraId="33B6FFE1">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⑧建立备件库；</w:t>
      </w:r>
    </w:p>
    <w:p w14:paraId="09DC2925">
      <w:pPr>
        <w:pStyle w:val="4"/>
        <w:spacing w:line="500" w:lineRule="exact"/>
        <w:ind w:left="181" w:leftChars="86" w:firstLine="480"/>
        <w:rPr>
          <w:rFonts w:hint="eastAsia" w:ascii="宋体" w:hAnsi="宋体"/>
          <w:color w:val="auto"/>
          <w:szCs w:val="24"/>
        </w:rPr>
      </w:pPr>
      <w:r>
        <w:rPr>
          <w:rFonts w:hint="eastAsia" w:ascii="宋体" w:hAnsi="宋体"/>
          <w:color w:val="auto"/>
          <w:szCs w:val="24"/>
        </w:rPr>
        <w:t>⑨对采购人提出的改进系统管理的要求，中标方应该积极配合，并提供改进方案；</w:t>
      </w:r>
    </w:p>
    <w:p w14:paraId="32DCE17B">
      <w:pPr>
        <w:pStyle w:val="4"/>
        <w:spacing w:line="500" w:lineRule="exact"/>
        <w:ind w:left="181" w:leftChars="86" w:firstLine="480"/>
        <w:rPr>
          <w:rFonts w:ascii="宋体" w:hAnsi="宋体"/>
          <w:color w:val="auto"/>
          <w:szCs w:val="24"/>
        </w:rPr>
      </w:pPr>
      <w:r>
        <w:rPr>
          <w:rFonts w:hint="eastAsia" w:ascii="宋体" w:hAnsi="宋体"/>
          <w:color w:val="auto"/>
          <w:szCs w:val="24"/>
        </w:rPr>
        <w:t>⑩保障系统每年可用性不能低于99.9%。</w:t>
      </w:r>
    </w:p>
    <w:p w14:paraId="43562642">
      <w:pPr>
        <w:pStyle w:val="4"/>
        <w:spacing w:line="500" w:lineRule="exact"/>
        <w:ind w:left="181" w:leftChars="86" w:firstLine="480"/>
        <w:rPr>
          <w:rFonts w:ascii="宋体" w:hAnsi="宋体"/>
          <w:color w:val="auto"/>
          <w:szCs w:val="24"/>
        </w:rPr>
      </w:pPr>
      <w:r>
        <w:rPr>
          <w:rFonts w:hint="eastAsia" w:cs="宋体" w:asciiTheme="minorEastAsia" w:hAnsiTheme="minorEastAsia"/>
          <w:color w:val="auto"/>
          <w:szCs w:val="21"/>
        </w:rPr>
        <w:t>☆</w:t>
      </w:r>
      <w:r>
        <w:rPr>
          <w:rFonts w:hint="eastAsia" w:ascii="宋体" w:hAnsi="宋体"/>
          <w:color w:val="auto"/>
          <w:szCs w:val="24"/>
        </w:rPr>
        <w:t>3.供应商须承诺提供相当于排队机原厂的免费上门更换配件服务，中标人须及时响应更换设备。</w:t>
      </w:r>
    </w:p>
    <w:p w14:paraId="4F88C292">
      <w:pPr>
        <w:pStyle w:val="4"/>
        <w:spacing w:line="500" w:lineRule="exact"/>
        <w:ind w:left="181" w:leftChars="86" w:firstLine="480"/>
        <w:rPr>
          <w:rFonts w:ascii="宋体" w:hAnsi="宋体"/>
          <w:color w:val="auto"/>
          <w:szCs w:val="24"/>
        </w:rPr>
      </w:pPr>
      <w:r>
        <w:rPr>
          <w:rFonts w:hint="eastAsia" w:cs="宋体" w:asciiTheme="minorEastAsia" w:hAnsiTheme="minorEastAsia"/>
          <w:color w:val="auto"/>
          <w:szCs w:val="21"/>
        </w:rPr>
        <w:t>☆</w:t>
      </w:r>
      <w:r>
        <w:rPr>
          <w:rFonts w:hint="eastAsia" w:ascii="宋体" w:hAnsi="宋体"/>
          <w:color w:val="auto"/>
          <w:szCs w:val="24"/>
        </w:rPr>
        <w:t>4．供应商须承诺提供详细的故障分析报告，并参照运维考核要求及相应的绩效考核指标进行处理，响应时间为7×24上门服务。</w:t>
      </w:r>
    </w:p>
    <w:p w14:paraId="5FA35D13">
      <w:pPr>
        <w:pStyle w:val="4"/>
        <w:spacing w:line="500" w:lineRule="exact"/>
        <w:ind w:left="181" w:leftChars="86" w:firstLine="480"/>
        <w:rPr>
          <w:rFonts w:hint="eastAsia" w:ascii="宋体" w:hAnsi="宋体"/>
          <w:color w:val="auto"/>
          <w:szCs w:val="24"/>
        </w:rPr>
      </w:pPr>
      <w:r>
        <w:rPr>
          <w:rFonts w:hint="eastAsia" w:cs="宋体" w:asciiTheme="minorEastAsia" w:hAnsiTheme="minorEastAsia"/>
          <w:color w:val="auto"/>
          <w:szCs w:val="21"/>
        </w:rPr>
        <w:t>☆</w:t>
      </w:r>
      <w:r>
        <w:rPr>
          <w:rFonts w:hint="eastAsia" w:ascii="宋体" w:hAnsi="宋体"/>
          <w:color w:val="auto"/>
          <w:szCs w:val="24"/>
        </w:rPr>
        <w:t>5.供应商须承诺维护（包括更换配件）不向采购人收取任何费用。</w:t>
      </w:r>
    </w:p>
    <w:p w14:paraId="5AC66A68">
      <w:pPr>
        <w:pStyle w:val="55"/>
        <w:spacing w:line="500" w:lineRule="exact"/>
        <w:ind w:left="359" w:leftChars="171" w:firstLine="118" w:firstLineChars="49"/>
        <w:rPr>
          <w:rFonts w:hint="eastAsia" w:ascii="宋体" w:hAnsi="宋体"/>
          <w:b/>
          <w:color w:val="auto"/>
        </w:rPr>
      </w:pPr>
      <w:r>
        <w:rPr>
          <w:rFonts w:hint="eastAsia" w:ascii="宋体" w:hAnsi="宋体"/>
          <w:b/>
          <w:color w:val="auto"/>
        </w:rPr>
        <w:t>四</w:t>
      </w:r>
      <w:r>
        <w:rPr>
          <w:rFonts w:hint="eastAsia" w:ascii="宋体" w:hAnsi="宋体"/>
          <w:b/>
          <w:color w:val="auto"/>
          <w:lang w:eastAsia="zh-CN"/>
        </w:rPr>
        <w:t>、</w:t>
      </w:r>
      <w:r>
        <w:rPr>
          <w:rFonts w:hint="eastAsia" w:ascii="宋体" w:hAnsi="宋体"/>
          <w:b/>
          <w:color w:val="auto"/>
        </w:rPr>
        <w:t>运维评估要求</w:t>
      </w:r>
    </w:p>
    <w:p w14:paraId="30EBB843">
      <w:pPr>
        <w:pStyle w:val="4"/>
        <w:spacing w:line="500" w:lineRule="exact"/>
        <w:ind w:firstLine="480"/>
        <w:rPr>
          <w:rFonts w:hint="eastAsia" w:ascii="宋体" w:hAnsi="宋体"/>
          <w:color w:val="auto"/>
          <w:szCs w:val="24"/>
        </w:rPr>
      </w:pPr>
      <w:r>
        <w:rPr>
          <w:rFonts w:hint="eastAsia" w:ascii="宋体" w:hAnsi="宋体"/>
          <w:color w:val="auto"/>
          <w:szCs w:val="24"/>
        </w:rPr>
        <w:t>对运维工作中出现的问题，视对公安工作造成影响程度的不同分为以下三级：</w:t>
      </w:r>
    </w:p>
    <w:p w14:paraId="5CB2C700">
      <w:pPr>
        <w:pStyle w:val="4"/>
        <w:spacing w:line="500" w:lineRule="exact"/>
        <w:ind w:firstLine="480"/>
        <w:rPr>
          <w:rFonts w:hint="eastAsia" w:ascii="宋体" w:hAnsi="宋体"/>
          <w:color w:val="auto"/>
          <w:szCs w:val="24"/>
        </w:rPr>
      </w:pPr>
      <w:r>
        <w:rPr>
          <w:rFonts w:hint="eastAsia" w:ascii="宋体" w:hAnsi="宋体"/>
          <w:color w:val="auto"/>
          <w:szCs w:val="24"/>
        </w:rPr>
        <w:t>一级故障：主系统故障，影响业务使用和数据丢失，造成无法返回损失的；</w:t>
      </w:r>
    </w:p>
    <w:p w14:paraId="545BC52D">
      <w:pPr>
        <w:pStyle w:val="4"/>
        <w:spacing w:line="500" w:lineRule="exact"/>
        <w:ind w:firstLine="480"/>
        <w:rPr>
          <w:rFonts w:hint="eastAsia" w:ascii="宋体" w:hAnsi="宋体"/>
          <w:color w:val="auto"/>
          <w:szCs w:val="24"/>
        </w:rPr>
      </w:pPr>
      <w:r>
        <w:rPr>
          <w:rFonts w:hint="eastAsia" w:ascii="宋体" w:hAnsi="宋体"/>
          <w:color w:val="auto"/>
          <w:szCs w:val="24"/>
        </w:rPr>
        <w:t>二级故障：辅助系统故障、或者局部终端故障，不影响核心业务，未造成实际损失和影响；</w:t>
      </w:r>
    </w:p>
    <w:p w14:paraId="766B31F7">
      <w:pPr>
        <w:pStyle w:val="4"/>
        <w:spacing w:line="500" w:lineRule="exact"/>
        <w:ind w:firstLine="480"/>
        <w:rPr>
          <w:rFonts w:hint="eastAsia" w:ascii="宋体" w:hAnsi="宋体"/>
          <w:color w:val="auto"/>
          <w:szCs w:val="24"/>
        </w:rPr>
      </w:pPr>
      <w:r>
        <w:rPr>
          <w:rFonts w:hint="eastAsia" w:ascii="宋体" w:hAnsi="宋体"/>
          <w:color w:val="auto"/>
          <w:szCs w:val="24"/>
        </w:rPr>
        <w:t>三级故障：系统存在的故障隐患，或出现性能低下等情况。</w:t>
      </w:r>
    </w:p>
    <w:p w14:paraId="59047FB5">
      <w:pPr>
        <w:pStyle w:val="55"/>
        <w:spacing w:line="560" w:lineRule="exact"/>
        <w:ind w:firstLine="482" w:firstLineChars="200"/>
        <w:rPr>
          <w:rFonts w:hint="eastAsia" w:ascii="宋体" w:hAnsi="宋体"/>
          <w:color w:val="auto"/>
        </w:rPr>
      </w:pPr>
      <w:r>
        <w:rPr>
          <w:rFonts w:hint="eastAsia" w:ascii="宋体" w:hAnsi="宋体"/>
          <w:b/>
          <w:color w:val="auto"/>
        </w:rPr>
        <w:t>五</w:t>
      </w:r>
      <w:r>
        <w:rPr>
          <w:rFonts w:hint="eastAsia" w:ascii="宋体" w:hAnsi="宋体"/>
          <w:b/>
          <w:color w:val="auto"/>
          <w:lang w:eastAsia="zh-CN"/>
        </w:rPr>
        <w:t>、</w:t>
      </w:r>
      <w:r>
        <w:rPr>
          <w:rFonts w:hint="eastAsia" w:ascii="宋体" w:hAnsi="宋体"/>
          <w:b/>
          <w:color w:val="auto"/>
        </w:rPr>
        <w:t>运维清单</w:t>
      </w:r>
    </w:p>
    <w:p w14:paraId="6A9F5972">
      <w:pPr>
        <w:pStyle w:val="55"/>
        <w:spacing w:line="560" w:lineRule="exact"/>
        <w:ind w:firstLine="480" w:firstLineChars="200"/>
        <w:rPr>
          <w:rFonts w:hint="eastAsia" w:ascii="宋体" w:hAnsi="宋体"/>
          <w:color w:val="auto"/>
        </w:rPr>
      </w:pPr>
      <w:r>
        <w:rPr>
          <w:rFonts w:hint="eastAsia" w:ascii="宋体" w:hAnsi="宋体"/>
          <w:color w:val="auto"/>
        </w:rPr>
        <w:t>天山区公安分局智能110接处警系统项目建设具体功能硬件及软件清单如下：</w:t>
      </w:r>
    </w:p>
    <w:tbl>
      <w:tblPr>
        <w:tblStyle w:val="25"/>
        <w:tblW w:w="10080" w:type="dxa"/>
        <w:jc w:val="center"/>
        <w:tblLayout w:type="autofit"/>
        <w:tblCellMar>
          <w:top w:w="0" w:type="dxa"/>
          <w:left w:w="108" w:type="dxa"/>
          <w:bottom w:w="0" w:type="dxa"/>
          <w:right w:w="108" w:type="dxa"/>
        </w:tblCellMar>
      </w:tblPr>
      <w:tblGrid>
        <w:gridCol w:w="768"/>
        <w:gridCol w:w="872"/>
        <w:gridCol w:w="1140"/>
        <w:gridCol w:w="5729"/>
        <w:gridCol w:w="894"/>
        <w:gridCol w:w="654"/>
        <w:gridCol w:w="23"/>
      </w:tblGrid>
      <w:tr w14:paraId="6E07F103">
        <w:tblPrEx>
          <w:tblCellMar>
            <w:top w:w="0" w:type="dxa"/>
            <w:left w:w="108" w:type="dxa"/>
            <w:bottom w:w="0" w:type="dxa"/>
            <w:right w:w="108" w:type="dxa"/>
          </w:tblCellMar>
        </w:tblPrEx>
        <w:trPr>
          <w:gridAfter w:val="1"/>
          <w:wAfter w:w="23" w:type="dxa"/>
          <w:trHeight w:val="213"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74C1E270">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序号</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133DCB90">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名称</w:t>
            </w:r>
          </w:p>
        </w:tc>
        <w:tc>
          <w:tcPr>
            <w:tcW w:w="5729" w:type="dxa"/>
            <w:tcBorders>
              <w:top w:val="single" w:color="auto" w:sz="4" w:space="0"/>
              <w:left w:val="nil"/>
              <w:bottom w:val="single" w:color="auto" w:sz="4" w:space="0"/>
              <w:right w:val="single" w:color="auto" w:sz="4" w:space="0"/>
            </w:tcBorders>
            <w:shd w:val="clear" w:color="auto" w:fill="auto"/>
            <w:vAlign w:val="center"/>
          </w:tcPr>
          <w:p w14:paraId="3080C42B">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规格及型号</w:t>
            </w:r>
          </w:p>
        </w:tc>
        <w:tc>
          <w:tcPr>
            <w:tcW w:w="894" w:type="dxa"/>
            <w:tcBorders>
              <w:top w:val="single" w:color="auto" w:sz="4" w:space="0"/>
              <w:left w:val="nil"/>
              <w:bottom w:val="single" w:color="auto" w:sz="4" w:space="0"/>
              <w:right w:val="single" w:color="auto" w:sz="4" w:space="0"/>
            </w:tcBorders>
            <w:shd w:val="clear" w:color="auto" w:fill="auto"/>
            <w:vAlign w:val="center"/>
          </w:tcPr>
          <w:p w14:paraId="5657D122">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单位</w:t>
            </w:r>
          </w:p>
        </w:tc>
        <w:tc>
          <w:tcPr>
            <w:tcW w:w="654" w:type="dxa"/>
            <w:tcBorders>
              <w:top w:val="single" w:color="auto" w:sz="4" w:space="0"/>
              <w:left w:val="nil"/>
              <w:bottom w:val="single" w:color="auto" w:sz="4" w:space="0"/>
              <w:right w:val="single" w:color="auto" w:sz="4" w:space="0"/>
            </w:tcBorders>
            <w:shd w:val="clear" w:color="auto" w:fill="auto"/>
            <w:vAlign w:val="center"/>
          </w:tcPr>
          <w:p w14:paraId="36517105">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数量</w:t>
            </w:r>
          </w:p>
        </w:tc>
      </w:tr>
      <w:tr w14:paraId="0A233937">
        <w:tblPrEx>
          <w:tblCellMar>
            <w:top w:w="0" w:type="dxa"/>
            <w:left w:w="108" w:type="dxa"/>
            <w:bottom w:w="0" w:type="dxa"/>
            <w:right w:w="108" w:type="dxa"/>
          </w:tblCellMar>
        </w:tblPrEx>
        <w:trPr>
          <w:trHeight w:val="213" w:hRule="atLeast"/>
          <w:jc w:val="center"/>
        </w:trPr>
        <w:tc>
          <w:tcPr>
            <w:tcW w:w="100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A6D01EB">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一、排队调度机子系统</w:t>
            </w:r>
          </w:p>
        </w:tc>
      </w:tr>
      <w:tr w14:paraId="7421BD17">
        <w:tblPrEx>
          <w:tblCellMar>
            <w:top w:w="0" w:type="dxa"/>
            <w:left w:w="108" w:type="dxa"/>
            <w:bottom w:w="0" w:type="dxa"/>
            <w:right w:w="108" w:type="dxa"/>
          </w:tblCellMar>
        </w:tblPrEx>
        <w:trPr>
          <w:gridAfter w:val="1"/>
          <w:wAfter w:w="23" w:type="dxa"/>
          <w:trHeight w:val="3769"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55358A9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872" w:type="dxa"/>
            <w:vMerge w:val="restart"/>
            <w:tcBorders>
              <w:top w:val="nil"/>
              <w:left w:val="single" w:color="auto" w:sz="4" w:space="0"/>
              <w:bottom w:val="single" w:color="auto" w:sz="4" w:space="0"/>
              <w:right w:val="single" w:color="auto" w:sz="4" w:space="0"/>
            </w:tcBorders>
            <w:shd w:val="clear" w:color="auto" w:fill="auto"/>
            <w:vAlign w:val="center"/>
          </w:tcPr>
          <w:p w14:paraId="743F8E2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大容量排队机建设</w:t>
            </w:r>
          </w:p>
        </w:tc>
        <w:tc>
          <w:tcPr>
            <w:tcW w:w="1140" w:type="dxa"/>
            <w:tcBorders>
              <w:top w:val="nil"/>
              <w:left w:val="single" w:color="auto" w:sz="4" w:space="0"/>
              <w:bottom w:val="single" w:color="auto" w:sz="4" w:space="0"/>
              <w:right w:val="single" w:color="auto" w:sz="4" w:space="0"/>
            </w:tcBorders>
            <w:shd w:val="clear" w:color="auto" w:fill="auto"/>
            <w:vAlign w:val="center"/>
          </w:tcPr>
          <w:p w14:paraId="7D4A5B4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排队调度程控交换机</w:t>
            </w:r>
          </w:p>
        </w:tc>
        <w:tc>
          <w:tcPr>
            <w:tcW w:w="5729" w:type="dxa"/>
            <w:tcBorders>
              <w:top w:val="nil"/>
              <w:left w:val="nil"/>
              <w:bottom w:val="single" w:color="auto" w:sz="4" w:space="0"/>
              <w:right w:val="single" w:color="auto" w:sz="4" w:space="0"/>
            </w:tcBorders>
            <w:shd w:val="clear" w:color="auto" w:fill="auto"/>
            <w:vAlign w:val="center"/>
          </w:tcPr>
          <w:p w14:paraId="440A9DF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规格型号：DS300N2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程控交换机:</w:t>
            </w:r>
            <w:r>
              <w:rPr>
                <w:rFonts w:hint="eastAsia" w:ascii="宋体" w:hAnsi="宋体" w:cs="宋体"/>
                <w:color w:val="auto"/>
                <w:kern w:val="0"/>
                <w:sz w:val="20"/>
                <w:szCs w:val="20"/>
              </w:rPr>
              <w:br w:type="textWrapping"/>
            </w:r>
            <w:r>
              <w:rPr>
                <w:rFonts w:hint="eastAsia" w:ascii="宋体" w:hAnsi="宋体" w:cs="宋体"/>
                <w:color w:val="auto"/>
                <w:kern w:val="0"/>
                <w:sz w:val="20"/>
                <w:szCs w:val="20"/>
              </w:rPr>
              <w:t>SH-CPR-S(控制框)*1</w:t>
            </w:r>
            <w:r>
              <w:rPr>
                <w:rFonts w:hint="eastAsia" w:ascii="宋体" w:hAnsi="宋体" w:cs="宋体"/>
                <w:color w:val="auto"/>
                <w:kern w:val="0"/>
                <w:sz w:val="20"/>
                <w:szCs w:val="20"/>
              </w:rPr>
              <w:br w:type="textWrapping"/>
            </w:r>
            <w:r>
              <w:rPr>
                <w:rFonts w:hint="eastAsia" w:ascii="宋体" w:hAnsi="宋体" w:cs="宋体"/>
                <w:color w:val="auto"/>
                <w:kern w:val="0"/>
                <w:sz w:val="20"/>
                <w:szCs w:val="20"/>
              </w:rPr>
              <w:t>SH-EXT框(用户框)*1</w:t>
            </w:r>
            <w:r>
              <w:rPr>
                <w:rFonts w:hint="eastAsia" w:ascii="宋体" w:hAnsi="宋体" w:cs="宋体"/>
                <w:color w:val="auto"/>
                <w:kern w:val="0"/>
                <w:sz w:val="20"/>
                <w:szCs w:val="20"/>
              </w:rPr>
              <w:br w:type="textWrapping"/>
            </w:r>
            <w:r>
              <w:rPr>
                <w:rFonts w:hint="eastAsia" w:ascii="宋体" w:hAnsi="宋体" w:cs="宋体"/>
                <w:color w:val="auto"/>
                <w:kern w:val="0"/>
                <w:sz w:val="20"/>
                <w:szCs w:val="20"/>
              </w:rPr>
              <w:t>铃流板(控制铃流)*2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告警板(电源和铃流告警)*1</w:t>
            </w:r>
            <w:r>
              <w:rPr>
                <w:rFonts w:hint="eastAsia" w:ascii="宋体" w:hAnsi="宋体" w:cs="宋体"/>
                <w:color w:val="auto"/>
                <w:kern w:val="0"/>
                <w:sz w:val="20"/>
                <w:szCs w:val="20"/>
              </w:rPr>
              <w:br w:type="textWrapping"/>
            </w:r>
            <w:r>
              <w:rPr>
                <w:rFonts w:hint="eastAsia" w:ascii="宋体" w:hAnsi="宋体" w:cs="宋体"/>
                <w:color w:val="auto"/>
                <w:kern w:val="0"/>
                <w:sz w:val="20"/>
                <w:szCs w:val="20"/>
              </w:rPr>
              <w:t>DC/DC板(二次电源)*2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CPC(主控板)*2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SET板(交换网络控制)*2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THA-V(集线器控制板)*4</w:t>
            </w:r>
            <w:r>
              <w:rPr>
                <w:rFonts w:hint="eastAsia" w:ascii="宋体" w:hAnsi="宋体" w:cs="宋体"/>
                <w:color w:val="auto"/>
                <w:kern w:val="0"/>
                <w:sz w:val="20"/>
                <w:szCs w:val="20"/>
              </w:rPr>
              <w:br w:type="textWrapping"/>
            </w:r>
            <w:r>
              <w:rPr>
                <w:rFonts w:hint="eastAsia" w:ascii="宋体" w:hAnsi="宋体" w:cs="宋体"/>
                <w:color w:val="auto"/>
                <w:kern w:val="0"/>
                <w:sz w:val="20"/>
                <w:szCs w:val="20"/>
              </w:rPr>
              <w:t>ALC板(用户)每块16路*2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DL(七号信令控制)每块2路*2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ATL(环路中继板)*1</w:t>
            </w:r>
            <w:r>
              <w:rPr>
                <w:rFonts w:hint="eastAsia" w:ascii="宋体" w:hAnsi="宋体" w:cs="宋体"/>
                <w:color w:val="auto"/>
                <w:kern w:val="0"/>
                <w:sz w:val="20"/>
                <w:szCs w:val="20"/>
              </w:rPr>
              <w:br w:type="textWrapping"/>
            </w:r>
            <w:r>
              <w:rPr>
                <w:rFonts w:hint="eastAsia" w:ascii="宋体" w:hAnsi="宋体" w:cs="宋体"/>
                <w:color w:val="auto"/>
                <w:kern w:val="0"/>
                <w:sz w:val="20"/>
                <w:szCs w:val="20"/>
              </w:rPr>
              <w:t>IPE板(IP接口板)*1</w:t>
            </w:r>
            <w:r>
              <w:rPr>
                <w:rFonts w:hint="eastAsia" w:ascii="宋体" w:hAnsi="宋体" w:cs="宋体"/>
                <w:color w:val="auto"/>
                <w:kern w:val="0"/>
                <w:sz w:val="20"/>
                <w:szCs w:val="20"/>
              </w:rPr>
              <w:br w:type="textWrapping"/>
            </w:r>
            <w:r>
              <w:rPr>
                <w:rFonts w:hint="eastAsia" w:ascii="宋体" w:hAnsi="宋体" w:cs="宋体"/>
                <w:color w:val="auto"/>
                <w:kern w:val="0"/>
                <w:sz w:val="20"/>
                <w:szCs w:val="20"/>
              </w:rPr>
              <w:t>PDL(DSS1信令)每块2路*4</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16端口以太网交换机*1</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线材(各种线：框间控制线、用户线、数字中继线、电源线等等)连接线*1</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42U设备机柜(放各种机框和一次电源等)*1</w:t>
            </w:r>
          </w:p>
        </w:tc>
        <w:tc>
          <w:tcPr>
            <w:tcW w:w="894" w:type="dxa"/>
            <w:tcBorders>
              <w:top w:val="nil"/>
              <w:left w:val="nil"/>
              <w:bottom w:val="single" w:color="auto" w:sz="4" w:space="0"/>
              <w:right w:val="single" w:color="auto" w:sz="4" w:space="0"/>
            </w:tcBorders>
            <w:shd w:val="clear" w:color="auto" w:fill="auto"/>
            <w:vAlign w:val="center"/>
          </w:tcPr>
          <w:p w14:paraId="22A727E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套</w:t>
            </w:r>
          </w:p>
        </w:tc>
        <w:tc>
          <w:tcPr>
            <w:tcW w:w="654" w:type="dxa"/>
            <w:tcBorders>
              <w:top w:val="nil"/>
              <w:left w:val="nil"/>
              <w:bottom w:val="single" w:color="auto" w:sz="4" w:space="0"/>
              <w:right w:val="single" w:color="auto" w:sz="4" w:space="0"/>
            </w:tcBorders>
            <w:shd w:val="clear" w:color="auto" w:fill="auto"/>
            <w:vAlign w:val="center"/>
          </w:tcPr>
          <w:p w14:paraId="3D6202D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7FD7C2B7">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49038B8B">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585585B3">
            <w:pPr>
              <w:widowControl/>
              <w:jc w:val="left"/>
              <w:rPr>
                <w:rFonts w:hint="eastAsia" w:ascii="宋体" w:hAnsi="宋体" w:cs="宋体"/>
                <w:color w:val="auto"/>
                <w:kern w:val="0"/>
                <w:sz w:val="20"/>
                <w:szCs w:val="20"/>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341FEE3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数字录音系统</w:t>
            </w:r>
          </w:p>
        </w:tc>
        <w:tc>
          <w:tcPr>
            <w:tcW w:w="5729" w:type="dxa"/>
            <w:tcBorders>
              <w:top w:val="nil"/>
              <w:left w:val="nil"/>
              <w:bottom w:val="single" w:color="auto" w:sz="4" w:space="0"/>
              <w:right w:val="single" w:color="auto" w:sz="4" w:space="0"/>
            </w:tcBorders>
            <w:shd w:val="clear" w:color="auto" w:fill="auto"/>
            <w:vAlign w:val="center"/>
          </w:tcPr>
          <w:p w14:paraId="414C229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 xml:space="preserve">规格型号：DS201A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SH-REC(录音机框)*1</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2B264C9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套</w:t>
            </w:r>
          </w:p>
        </w:tc>
        <w:tc>
          <w:tcPr>
            <w:tcW w:w="654" w:type="dxa"/>
            <w:vMerge w:val="restart"/>
            <w:tcBorders>
              <w:top w:val="nil"/>
              <w:left w:val="single" w:color="auto" w:sz="4" w:space="0"/>
              <w:bottom w:val="single" w:color="auto" w:sz="4" w:space="0"/>
              <w:right w:val="single" w:color="auto" w:sz="4" w:space="0"/>
            </w:tcBorders>
            <w:shd w:val="clear" w:color="auto" w:fill="auto"/>
            <w:vAlign w:val="center"/>
          </w:tcPr>
          <w:p w14:paraId="225C278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29626BFA">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4CA1F0DE">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72C0E3D1">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1784A7FE">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0D99F09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DC/DC(二次电源板)*1</w:t>
            </w:r>
          </w:p>
        </w:tc>
        <w:tc>
          <w:tcPr>
            <w:tcW w:w="894" w:type="dxa"/>
            <w:vMerge w:val="continue"/>
            <w:tcBorders>
              <w:top w:val="nil"/>
              <w:left w:val="single" w:color="auto" w:sz="4" w:space="0"/>
              <w:bottom w:val="single" w:color="auto" w:sz="4" w:space="0"/>
              <w:right w:val="single" w:color="auto" w:sz="4" w:space="0"/>
            </w:tcBorders>
            <w:vAlign w:val="center"/>
          </w:tcPr>
          <w:p w14:paraId="53A6A7FF">
            <w:pPr>
              <w:widowControl/>
              <w:jc w:val="left"/>
              <w:rPr>
                <w:rFonts w:hint="eastAsia" w:ascii="宋体" w:hAnsi="宋体" w:cs="宋体"/>
                <w:color w:val="auto"/>
                <w:kern w:val="0"/>
                <w:sz w:val="20"/>
                <w:szCs w:val="20"/>
              </w:rPr>
            </w:pPr>
          </w:p>
        </w:tc>
        <w:tc>
          <w:tcPr>
            <w:tcW w:w="654" w:type="dxa"/>
            <w:vMerge w:val="continue"/>
            <w:tcBorders>
              <w:top w:val="nil"/>
              <w:left w:val="single" w:color="auto" w:sz="4" w:space="0"/>
              <w:bottom w:val="single" w:color="auto" w:sz="4" w:space="0"/>
              <w:right w:val="single" w:color="auto" w:sz="4" w:space="0"/>
            </w:tcBorders>
            <w:vAlign w:val="center"/>
          </w:tcPr>
          <w:p w14:paraId="28AE4886">
            <w:pPr>
              <w:widowControl/>
              <w:jc w:val="left"/>
              <w:rPr>
                <w:rFonts w:hint="eastAsia" w:ascii="宋体" w:hAnsi="宋体" w:cs="宋体"/>
                <w:color w:val="auto"/>
                <w:kern w:val="0"/>
                <w:sz w:val="20"/>
                <w:szCs w:val="20"/>
              </w:rPr>
            </w:pPr>
          </w:p>
        </w:tc>
      </w:tr>
      <w:tr w14:paraId="628EB94C">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1A80F2C9">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5DCBF2C7">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060AD976">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4A67216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VRB-D(数字录音控制板，每板2条，每条线路30路)*2</w:t>
            </w:r>
          </w:p>
        </w:tc>
        <w:tc>
          <w:tcPr>
            <w:tcW w:w="894" w:type="dxa"/>
            <w:vMerge w:val="continue"/>
            <w:tcBorders>
              <w:top w:val="nil"/>
              <w:left w:val="single" w:color="auto" w:sz="4" w:space="0"/>
              <w:bottom w:val="single" w:color="auto" w:sz="4" w:space="0"/>
              <w:right w:val="single" w:color="auto" w:sz="4" w:space="0"/>
            </w:tcBorders>
            <w:vAlign w:val="center"/>
          </w:tcPr>
          <w:p w14:paraId="120C1F35">
            <w:pPr>
              <w:widowControl/>
              <w:jc w:val="left"/>
              <w:rPr>
                <w:rFonts w:hint="eastAsia" w:ascii="宋体" w:hAnsi="宋体" w:cs="宋体"/>
                <w:color w:val="auto"/>
                <w:kern w:val="0"/>
                <w:sz w:val="20"/>
                <w:szCs w:val="20"/>
              </w:rPr>
            </w:pPr>
          </w:p>
        </w:tc>
        <w:tc>
          <w:tcPr>
            <w:tcW w:w="654" w:type="dxa"/>
            <w:vMerge w:val="continue"/>
            <w:tcBorders>
              <w:top w:val="nil"/>
              <w:left w:val="single" w:color="auto" w:sz="4" w:space="0"/>
              <w:bottom w:val="single" w:color="auto" w:sz="4" w:space="0"/>
              <w:right w:val="single" w:color="auto" w:sz="4" w:space="0"/>
            </w:tcBorders>
            <w:vAlign w:val="center"/>
          </w:tcPr>
          <w:p w14:paraId="2E85CBAB">
            <w:pPr>
              <w:widowControl/>
              <w:jc w:val="left"/>
              <w:rPr>
                <w:rFonts w:hint="eastAsia" w:ascii="宋体" w:hAnsi="宋体" w:cs="宋体"/>
                <w:color w:val="auto"/>
                <w:kern w:val="0"/>
                <w:sz w:val="20"/>
                <w:szCs w:val="20"/>
              </w:rPr>
            </w:pPr>
          </w:p>
        </w:tc>
      </w:tr>
      <w:tr w14:paraId="1FBDBF1A">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76675437">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715C1860">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071A04A5">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07A5103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VRB-A(模拟录音控制板,每板64路)*1</w:t>
            </w:r>
          </w:p>
        </w:tc>
        <w:tc>
          <w:tcPr>
            <w:tcW w:w="894" w:type="dxa"/>
            <w:vMerge w:val="continue"/>
            <w:tcBorders>
              <w:top w:val="nil"/>
              <w:left w:val="single" w:color="auto" w:sz="4" w:space="0"/>
              <w:bottom w:val="single" w:color="auto" w:sz="4" w:space="0"/>
              <w:right w:val="single" w:color="auto" w:sz="4" w:space="0"/>
            </w:tcBorders>
            <w:vAlign w:val="center"/>
          </w:tcPr>
          <w:p w14:paraId="1F679CF6">
            <w:pPr>
              <w:widowControl/>
              <w:jc w:val="left"/>
              <w:rPr>
                <w:rFonts w:hint="eastAsia" w:ascii="宋体" w:hAnsi="宋体" w:cs="宋体"/>
                <w:color w:val="auto"/>
                <w:kern w:val="0"/>
                <w:sz w:val="20"/>
                <w:szCs w:val="20"/>
              </w:rPr>
            </w:pPr>
          </w:p>
        </w:tc>
        <w:tc>
          <w:tcPr>
            <w:tcW w:w="654" w:type="dxa"/>
            <w:vMerge w:val="continue"/>
            <w:tcBorders>
              <w:top w:val="nil"/>
              <w:left w:val="single" w:color="auto" w:sz="4" w:space="0"/>
              <w:bottom w:val="single" w:color="auto" w:sz="4" w:space="0"/>
              <w:right w:val="single" w:color="auto" w:sz="4" w:space="0"/>
            </w:tcBorders>
            <w:vAlign w:val="center"/>
          </w:tcPr>
          <w:p w14:paraId="06AEF3EC">
            <w:pPr>
              <w:widowControl/>
              <w:jc w:val="left"/>
              <w:rPr>
                <w:rFonts w:hint="eastAsia" w:ascii="宋体" w:hAnsi="宋体" w:cs="宋体"/>
                <w:color w:val="auto"/>
                <w:kern w:val="0"/>
                <w:sz w:val="20"/>
                <w:szCs w:val="20"/>
              </w:rPr>
            </w:pPr>
          </w:p>
        </w:tc>
      </w:tr>
      <w:tr w14:paraId="7C5763C3">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7FFEEB5A">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7162B365">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1FEDD27F">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3EA9617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AIC(模拟录音采集板，每板16路)*2</w:t>
            </w:r>
          </w:p>
        </w:tc>
        <w:tc>
          <w:tcPr>
            <w:tcW w:w="894" w:type="dxa"/>
            <w:vMerge w:val="continue"/>
            <w:tcBorders>
              <w:top w:val="nil"/>
              <w:left w:val="single" w:color="auto" w:sz="4" w:space="0"/>
              <w:bottom w:val="single" w:color="auto" w:sz="4" w:space="0"/>
              <w:right w:val="single" w:color="auto" w:sz="4" w:space="0"/>
            </w:tcBorders>
            <w:vAlign w:val="center"/>
          </w:tcPr>
          <w:p w14:paraId="697D3503">
            <w:pPr>
              <w:widowControl/>
              <w:jc w:val="left"/>
              <w:rPr>
                <w:rFonts w:hint="eastAsia" w:ascii="宋体" w:hAnsi="宋体" w:cs="宋体"/>
                <w:color w:val="auto"/>
                <w:kern w:val="0"/>
                <w:sz w:val="20"/>
                <w:szCs w:val="20"/>
              </w:rPr>
            </w:pPr>
          </w:p>
        </w:tc>
        <w:tc>
          <w:tcPr>
            <w:tcW w:w="654" w:type="dxa"/>
            <w:vMerge w:val="continue"/>
            <w:tcBorders>
              <w:top w:val="nil"/>
              <w:left w:val="single" w:color="auto" w:sz="4" w:space="0"/>
              <w:bottom w:val="single" w:color="auto" w:sz="4" w:space="0"/>
              <w:right w:val="single" w:color="auto" w:sz="4" w:space="0"/>
            </w:tcBorders>
            <w:vAlign w:val="center"/>
          </w:tcPr>
          <w:p w14:paraId="2452E3D7">
            <w:pPr>
              <w:widowControl/>
              <w:jc w:val="left"/>
              <w:rPr>
                <w:rFonts w:hint="eastAsia" w:ascii="宋体" w:hAnsi="宋体" w:cs="宋体"/>
                <w:color w:val="auto"/>
                <w:kern w:val="0"/>
                <w:sz w:val="20"/>
                <w:szCs w:val="20"/>
              </w:rPr>
            </w:pPr>
          </w:p>
        </w:tc>
      </w:tr>
      <w:tr w14:paraId="76EA6772">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5FC13625">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1EBAA252">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13C4104B">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14A39CE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IP录音模块*1</w:t>
            </w:r>
          </w:p>
        </w:tc>
        <w:tc>
          <w:tcPr>
            <w:tcW w:w="894" w:type="dxa"/>
            <w:vMerge w:val="continue"/>
            <w:tcBorders>
              <w:top w:val="nil"/>
              <w:left w:val="single" w:color="auto" w:sz="4" w:space="0"/>
              <w:bottom w:val="single" w:color="auto" w:sz="4" w:space="0"/>
              <w:right w:val="single" w:color="auto" w:sz="4" w:space="0"/>
            </w:tcBorders>
            <w:vAlign w:val="center"/>
          </w:tcPr>
          <w:p w14:paraId="5FE04703">
            <w:pPr>
              <w:widowControl/>
              <w:jc w:val="left"/>
              <w:rPr>
                <w:rFonts w:hint="eastAsia" w:ascii="宋体" w:hAnsi="宋体" w:cs="宋体"/>
                <w:color w:val="auto"/>
                <w:kern w:val="0"/>
                <w:sz w:val="20"/>
                <w:szCs w:val="20"/>
              </w:rPr>
            </w:pPr>
          </w:p>
        </w:tc>
        <w:tc>
          <w:tcPr>
            <w:tcW w:w="654" w:type="dxa"/>
            <w:vMerge w:val="continue"/>
            <w:tcBorders>
              <w:top w:val="nil"/>
              <w:left w:val="single" w:color="auto" w:sz="4" w:space="0"/>
              <w:bottom w:val="single" w:color="auto" w:sz="4" w:space="0"/>
              <w:right w:val="single" w:color="auto" w:sz="4" w:space="0"/>
            </w:tcBorders>
            <w:vAlign w:val="center"/>
          </w:tcPr>
          <w:p w14:paraId="03CC4419">
            <w:pPr>
              <w:widowControl/>
              <w:jc w:val="left"/>
              <w:rPr>
                <w:rFonts w:hint="eastAsia" w:ascii="宋体" w:hAnsi="宋体" w:cs="宋体"/>
                <w:color w:val="auto"/>
                <w:kern w:val="0"/>
                <w:sz w:val="20"/>
                <w:szCs w:val="20"/>
              </w:rPr>
            </w:pPr>
          </w:p>
        </w:tc>
      </w:tr>
      <w:tr w14:paraId="3A886165">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112A0786">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384FCF0F">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0F70D40D">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5E8BD94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数字录音管理软件*1</w:t>
            </w:r>
          </w:p>
        </w:tc>
        <w:tc>
          <w:tcPr>
            <w:tcW w:w="894" w:type="dxa"/>
            <w:vMerge w:val="continue"/>
            <w:tcBorders>
              <w:top w:val="nil"/>
              <w:left w:val="single" w:color="auto" w:sz="4" w:space="0"/>
              <w:bottom w:val="single" w:color="auto" w:sz="4" w:space="0"/>
              <w:right w:val="single" w:color="auto" w:sz="4" w:space="0"/>
            </w:tcBorders>
            <w:vAlign w:val="center"/>
          </w:tcPr>
          <w:p w14:paraId="39A9183F">
            <w:pPr>
              <w:widowControl/>
              <w:jc w:val="left"/>
              <w:rPr>
                <w:rFonts w:hint="eastAsia" w:ascii="宋体" w:hAnsi="宋体" w:cs="宋体"/>
                <w:color w:val="auto"/>
                <w:kern w:val="0"/>
                <w:sz w:val="20"/>
                <w:szCs w:val="20"/>
              </w:rPr>
            </w:pPr>
          </w:p>
        </w:tc>
        <w:tc>
          <w:tcPr>
            <w:tcW w:w="654" w:type="dxa"/>
            <w:vMerge w:val="continue"/>
            <w:tcBorders>
              <w:top w:val="nil"/>
              <w:left w:val="single" w:color="auto" w:sz="4" w:space="0"/>
              <w:bottom w:val="single" w:color="auto" w:sz="4" w:space="0"/>
              <w:right w:val="single" w:color="auto" w:sz="4" w:space="0"/>
            </w:tcBorders>
            <w:vAlign w:val="center"/>
          </w:tcPr>
          <w:p w14:paraId="1A26C932">
            <w:pPr>
              <w:widowControl/>
              <w:jc w:val="left"/>
              <w:rPr>
                <w:rFonts w:hint="eastAsia" w:ascii="宋体" w:hAnsi="宋体" w:cs="宋体"/>
                <w:color w:val="auto"/>
                <w:kern w:val="0"/>
                <w:sz w:val="20"/>
                <w:szCs w:val="20"/>
              </w:rPr>
            </w:pPr>
          </w:p>
        </w:tc>
      </w:tr>
      <w:tr w14:paraId="084778A9">
        <w:tblPrEx>
          <w:tblCellMar>
            <w:top w:w="0" w:type="dxa"/>
            <w:left w:w="108" w:type="dxa"/>
            <w:bottom w:w="0" w:type="dxa"/>
            <w:right w:w="108" w:type="dxa"/>
          </w:tblCellMar>
        </w:tblPrEx>
        <w:trPr>
          <w:gridAfter w:val="1"/>
          <w:wAfter w:w="23" w:type="dxa"/>
          <w:trHeight w:val="805"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447835E9">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55FC9CDE">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08A66CDD">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716964F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规格型号：RH2288H V3</w:t>
            </w:r>
            <w:r>
              <w:rPr>
                <w:rFonts w:hint="eastAsia" w:ascii="宋体" w:hAnsi="宋体" w:cs="宋体"/>
                <w:color w:val="auto"/>
                <w:kern w:val="0"/>
                <w:sz w:val="20"/>
                <w:szCs w:val="20"/>
              </w:rPr>
              <w:br w:type="textWrapping"/>
            </w:r>
            <w:r>
              <w:rPr>
                <w:rFonts w:hint="eastAsia" w:ascii="宋体" w:hAnsi="宋体" w:cs="宋体"/>
                <w:color w:val="auto"/>
                <w:kern w:val="0"/>
                <w:sz w:val="20"/>
                <w:szCs w:val="20"/>
              </w:rPr>
              <w:t>E5-2609v4(8核 1.7GHZ 20MB)/16GB/4*4TB 7.2K SATA/RAID10/4*GE/1+1冗余风扇电源/机架套件/3*8X RISER卡组件</w:t>
            </w:r>
          </w:p>
        </w:tc>
        <w:tc>
          <w:tcPr>
            <w:tcW w:w="894" w:type="dxa"/>
            <w:tcBorders>
              <w:top w:val="nil"/>
              <w:left w:val="nil"/>
              <w:bottom w:val="single" w:color="auto" w:sz="4" w:space="0"/>
              <w:right w:val="single" w:color="auto" w:sz="4" w:space="0"/>
            </w:tcBorders>
            <w:shd w:val="clear" w:color="auto" w:fill="auto"/>
            <w:vAlign w:val="center"/>
          </w:tcPr>
          <w:p w14:paraId="4656E66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台</w:t>
            </w:r>
          </w:p>
        </w:tc>
        <w:tc>
          <w:tcPr>
            <w:tcW w:w="654" w:type="dxa"/>
            <w:tcBorders>
              <w:top w:val="nil"/>
              <w:left w:val="nil"/>
              <w:bottom w:val="single" w:color="auto" w:sz="4" w:space="0"/>
              <w:right w:val="single" w:color="auto" w:sz="4" w:space="0"/>
            </w:tcBorders>
            <w:shd w:val="clear" w:color="auto" w:fill="auto"/>
            <w:vAlign w:val="center"/>
          </w:tcPr>
          <w:p w14:paraId="36BA95E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0172D768">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5474D0A1">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01E8C3D3">
            <w:pPr>
              <w:widowControl/>
              <w:jc w:val="left"/>
              <w:rPr>
                <w:rFonts w:hint="eastAsia" w:ascii="宋体" w:hAnsi="宋体" w:cs="宋体"/>
                <w:color w:val="auto"/>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3E0ECE6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CTI中间件部署</w:t>
            </w:r>
          </w:p>
        </w:tc>
        <w:tc>
          <w:tcPr>
            <w:tcW w:w="5729" w:type="dxa"/>
            <w:tcBorders>
              <w:top w:val="nil"/>
              <w:left w:val="nil"/>
              <w:bottom w:val="single" w:color="auto" w:sz="4" w:space="0"/>
              <w:right w:val="single" w:color="auto" w:sz="4" w:space="0"/>
            </w:tcBorders>
            <w:shd w:val="clear" w:color="auto" w:fill="auto"/>
            <w:vAlign w:val="center"/>
          </w:tcPr>
          <w:p w14:paraId="4EB0B44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 xml:space="preserve">规格型号：DS21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中间件平台双机热备</w:t>
            </w:r>
          </w:p>
        </w:tc>
        <w:tc>
          <w:tcPr>
            <w:tcW w:w="894" w:type="dxa"/>
            <w:tcBorders>
              <w:top w:val="nil"/>
              <w:left w:val="nil"/>
              <w:bottom w:val="single" w:color="auto" w:sz="4" w:space="0"/>
              <w:right w:val="single" w:color="auto" w:sz="4" w:space="0"/>
            </w:tcBorders>
            <w:shd w:val="clear" w:color="auto" w:fill="auto"/>
            <w:vAlign w:val="center"/>
          </w:tcPr>
          <w:p w14:paraId="2E32A6D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套</w:t>
            </w:r>
          </w:p>
        </w:tc>
        <w:tc>
          <w:tcPr>
            <w:tcW w:w="654" w:type="dxa"/>
            <w:tcBorders>
              <w:top w:val="nil"/>
              <w:left w:val="nil"/>
              <w:bottom w:val="single" w:color="auto" w:sz="4" w:space="0"/>
              <w:right w:val="single" w:color="auto" w:sz="4" w:space="0"/>
            </w:tcBorders>
            <w:shd w:val="clear" w:color="auto" w:fill="auto"/>
            <w:vAlign w:val="center"/>
          </w:tcPr>
          <w:p w14:paraId="210F937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41A16AD2">
        <w:tblPrEx>
          <w:tblCellMar>
            <w:top w:w="0" w:type="dxa"/>
            <w:left w:w="108" w:type="dxa"/>
            <w:bottom w:w="0" w:type="dxa"/>
            <w:right w:w="108" w:type="dxa"/>
          </w:tblCellMar>
        </w:tblPrEx>
        <w:trPr>
          <w:trHeight w:val="213" w:hRule="atLeast"/>
          <w:jc w:val="center"/>
        </w:trPr>
        <w:tc>
          <w:tcPr>
            <w:tcW w:w="100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3A6B159">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二、综合指挥调度子系统</w:t>
            </w:r>
          </w:p>
        </w:tc>
      </w:tr>
      <w:tr w14:paraId="6978E5F3">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45CB4D0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6078F46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基本功能部署</w:t>
            </w:r>
          </w:p>
        </w:tc>
        <w:tc>
          <w:tcPr>
            <w:tcW w:w="5729" w:type="dxa"/>
            <w:tcBorders>
              <w:top w:val="nil"/>
              <w:left w:val="nil"/>
              <w:bottom w:val="single" w:color="auto" w:sz="4" w:space="0"/>
              <w:right w:val="single" w:color="auto" w:sz="4" w:space="0"/>
            </w:tcBorders>
            <w:shd w:val="clear" w:color="auto" w:fill="auto"/>
            <w:vAlign w:val="center"/>
          </w:tcPr>
          <w:p w14:paraId="3862AC0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 xml:space="preserve">规格型号：定制开发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DS基础功能版部署</w:t>
            </w:r>
          </w:p>
        </w:tc>
        <w:tc>
          <w:tcPr>
            <w:tcW w:w="894" w:type="dxa"/>
            <w:tcBorders>
              <w:top w:val="nil"/>
              <w:left w:val="nil"/>
              <w:bottom w:val="single" w:color="auto" w:sz="4" w:space="0"/>
              <w:right w:val="single" w:color="auto" w:sz="4" w:space="0"/>
            </w:tcBorders>
            <w:shd w:val="clear" w:color="auto" w:fill="auto"/>
            <w:vAlign w:val="center"/>
          </w:tcPr>
          <w:p w14:paraId="59C9D8B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3AD3A5E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1F15C50E">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6CE207B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872" w:type="dxa"/>
            <w:vMerge w:val="restart"/>
            <w:tcBorders>
              <w:top w:val="nil"/>
              <w:left w:val="single" w:color="auto" w:sz="4" w:space="0"/>
              <w:bottom w:val="single" w:color="auto" w:sz="4" w:space="0"/>
              <w:right w:val="single" w:color="auto" w:sz="4" w:space="0"/>
            </w:tcBorders>
            <w:shd w:val="clear" w:color="auto" w:fill="auto"/>
            <w:vAlign w:val="center"/>
          </w:tcPr>
          <w:p w14:paraId="0F8C11D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与350M有无线集成</w:t>
            </w: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4802DDA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数据对接调试</w:t>
            </w:r>
          </w:p>
        </w:tc>
        <w:tc>
          <w:tcPr>
            <w:tcW w:w="5729" w:type="dxa"/>
            <w:tcBorders>
              <w:top w:val="nil"/>
              <w:left w:val="nil"/>
              <w:bottom w:val="single" w:color="auto" w:sz="4" w:space="0"/>
              <w:right w:val="single" w:color="auto" w:sz="4" w:space="0"/>
            </w:tcBorders>
            <w:shd w:val="clear" w:color="auto" w:fill="auto"/>
            <w:vAlign w:val="center"/>
          </w:tcPr>
          <w:p w14:paraId="70EB0D5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DS无线CTI服务软件</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1D7EAEB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15A7348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408FEE61">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01DBE434">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5A99EB8A">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14E2BA63">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464D617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PDT短信平台接入</w:t>
            </w:r>
          </w:p>
        </w:tc>
        <w:tc>
          <w:tcPr>
            <w:tcW w:w="894" w:type="dxa"/>
            <w:vMerge w:val="continue"/>
            <w:tcBorders>
              <w:top w:val="nil"/>
              <w:left w:val="single" w:color="auto" w:sz="4" w:space="0"/>
              <w:bottom w:val="single" w:color="auto" w:sz="4" w:space="0"/>
              <w:right w:val="single" w:color="auto" w:sz="4" w:space="0"/>
            </w:tcBorders>
            <w:vAlign w:val="center"/>
          </w:tcPr>
          <w:p w14:paraId="0FFC100E">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3CEE42D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177630ED">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04C64B5E">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53890803">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4911B6D3">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674FD5A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PDT短信业务应用（接警台下达出警指令）</w:t>
            </w:r>
          </w:p>
        </w:tc>
        <w:tc>
          <w:tcPr>
            <w:tcW w:w="894" w:type="dxa"/>
            <w:vMerge w:val="continue"/>
            <w:tcBorders>
              <w:top w:val="nil"/>
              <w:left w:val="single" w:color="auto" w:sz="4" w:space="0"/>
              <w:bottom w:val="single" w:color="auto" w:sz="4" w:space="0"/>
              <w:right w:val="single" w:color="auto" w:sz="4" w:space="0"/>
            </w:tcBorders>
            <w:vAlign w:val="center"/>
          </w:tcPr>
          <w:p w14:paraId="5FF8644C">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14EE2C7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1F4BB840">
        <w:tblPrEx>
          <w:tblCellMar>
            <w:top w:w="0" w:type="dxa"/>
            <w:left w:w="108" w:type="dxa"/>
            <w:bottom w:w="0" w:type="dxa"/>
            <w:right w:w="108" w:type="dxa"/>
          </w:tblCellMar>
        </w:tblPrEx>
        <w:trPr>
          <w:gridAfter w:val="1"/>
          <w:wAfter w:w="23" w:type="dxa"/>
          <w:trHeight w:val="805"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66903452">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1891A117">
            <w:pPr>
              <w:widowControl/>
              <w:jc w:val="left"/>
              <w:rPr>
                <w:rFonts w:hint="eastAsia" w:ascii="宋体" w:hAnsi="宋体" w:cs="宋体"/>
                <w:color w:val="auto"/>
                <w:kern w:val="0"/>
                <w:sz w:val="20"/>
                <w:szCs w:val="20"/>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37CBB01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语音对接调试</w:t>
            </w:r>
          </w:p>
        </w:tc>
        <w:tc>
          <w:tcPr>
            <w:tcW w:w="5729" w:type="dxa"/>
            <w:tcBorders>
              <w:top w:val="nil"/>
              <w:left w:val="nil"/>
              <w:bottom w:val="single" w:color="auto" w:sz="4" w:space="0"/>
              <w:right w:val="single" w:color="auto" w:sz="4" w:space="0"/>
            </w:tcBorders>
            <w:shd w:val="clear" w:color="auto" w:fill="auto"/>
            <w:vAlign w:val="center"/>
          </w:tcPr>
          <w:p w14:paraId="76081D5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规格型号：RH2288H V3</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有无线接入服务器：2个E5-2620V4 (2.1GHZ/8-CORE/20MB/85W)/32GB DDR4-2400 智能内存/600GB 12G SAS 10K 2.5in SC ENT HDD*2</w:t>
            </w:r>
          </w:p>
        </w:tc>
        <w:tc>
          <w:tcPr>
            <w:tcW w:w="894" w:type="dxa"/>
            <w:tcBorders>
              <w:top w:val="nil"/>
              <w:left w:val="nil"/>
              <w:bottom w:val="single" w:color="auto" w:sz="4" w:space="0"/>
              <w:right w:val="single" w:color="auto" w:sz="4" w:space="0"/>
            </w:tcBorders>
            <w:shd w:val="clear" w:color="auto" w:fill="auto"/>
            <w:vAlign w:val="center"/>
          </w:tcPr>
          <w:p w14:paraId="0F9A99A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台</w:t>
            </w:r>
          </w:p>
        </w:tc>
        <w:tc>
          <w:tcPr>
            <w:tcW w:w="654" w:type="dxa"/>
            <w:tcBorders>
              <w:top w:val="nil"/>
              <w:left w:val="nil"/>
              <w:bottom w:val="single" w:color="auto" w:sz="4" w:space="0"/>
              <w:right w:val="single" w:color="auto" w:sz="4" w:space="0"/>
            </w:tcBorders>
            <w:shd w:val="clear" w:color="auto" w:fill="auto"/>
            <w:vAlign w:val="center"/>
          </w:tcPr>
          <w:p w14:paraId="4C7304F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285B5C90">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2BD1D934">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6AFA0F4F">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54CAA139">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6F0F739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DS无线接入网关软件</w:t>
            </w:r>
          </w:p>
        </w:tc>
        <w:tc>
          <w:tcPr>
            <w:tcW w:w="894" w:type="dxa"/>
            <w:tcBorders>
              <w:top w:val="nil"/>
              <w:left w:val="nil"/>
              <w:bottom w:val="single" w:color="auto" w:sz="4" w:space="0"/>
              <w:right w:val="single" w:color="auto" w:sz="4" w:space="0"/>
            </w:tcBorders>
            <w:shd w:val="clear" w:color="auto" w:fill="auto"/>
            <w:vAlign w:val="center"/>
          </w:tcPr>
          <w:p w14:paraId="5DE72F4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套</w:t>
            </w:r>
          </w:p>
        </w:tc>
        <w:tc>
          <w:tcPr>
            <w:tcW w:w="654" w:type="dxa"/>
            <w:tcBorders>
              <w:top w:val="nil"/>
              <w:left w:val="nil"/>
              <w:bottom w:val="single" w:color="auto" w:sz="4" w:space="0"/>
              <w:right w:val="single" w:color="auto" w:sz="4" w:space="0"/>
            </w:tcBorders>
            <w:shd w:val="clear" w:color="auto" w:fill="auto"/>
            <w:vAlign w:val="center"/>
          </w:tcPr>
          <w:p w14:paraId="2E0F399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2D4F3557">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18DDF89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8457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与电信天翼对讲平台对接</w:t>
            </w:r>
          </w:p>
        </w:tc>
        <w:tc>
          <w:tcPr>
            <w:tcW w:w="5729" w:type="dxa"/>
            <w:tcBorders>
              <w:top w:val="nil"/>
              <w:left w:val="nil"/>
              <w:bottom w:val="single" w:color="auto" w:sz="4" w:space="0"/>
              <w:right w:val="single" w:color="auto" w:sz="4" w:space="0"/>
            </w:tcBorders>
            <w:shd w:val="clear" w:color="auto" w:fill="auto"/>
            <w:vAlign w:val="center"/>
          </w:tcPr>
          <w:p w14:paraId="31F807B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数据对接调试</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57969F1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62BA471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5253F7D8">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43591160">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49479DE6">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043A46A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语音对接调试</w:t>
            </w:r>
          </w:p>
        </w:tc>
        <w:tc>
          <w:tcPr>
            <w:tcW w:w="894" w:type="dxa"/>
            <w:vMerge w:val="continue"/>
            <w:tcBorders>
              <w:top w:val="nil"/>
              <w:left w:val="single" w:color="auto" w:sz="4" w:space="0"/>
              <w:bottom w:val="single" w:color="auto" w:sz="4" w:space="0"/>
              <w:right w:val="single" w:color="auto" w:sz="4" w:space="0"/>
            </w:tcBorders>
            <w:vAlign w:val="center"/>
          </w:tcPr>
          <w:p w14:paraId="2024D9F8">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7BE8A3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4D48C525">
        <w:tblPrEx>
          <w:tblCellMar>
            <w:top w:w="0" w:type="dxa"/>
            <w:left w:w="108" w:type="dxa"/>
            <w:bottom w:w="0" w:type="dxa"/>
            <w:right w:w="108" w:type="dxa"/>
          </w:tblCellMar>
        </w:tblPrEx>
        <w:trPr>
          <w:gridAfter w:val="1"/>
          <w:wAfter w:w="23" w:type="dxa"/>
          <w:trHeight w:val="805"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612F1B6B">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45B83134">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4E002E7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规格型号：SP32-1PriGOTA03</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天翼对讲语音网关，1U机架式设备，配置2个E1口，支持V.5，NO.1，SS7、PRI信令。支持适配中兴高达公网对讲系统语音编码流程。</w:t>
            </w:r>
          </w:p>
        </w:tc>
        <w:tc>
          <w:tcPr>
            <w:tcW w:w="894" w:type="dxa"/>
            <w:tcBorders>
              <w:top w:val="nil"/>
              <w:left w:val="nil"/>
              <w:bottom w:val="single" w:color="auto" w:sz="4" w:space="0"/>
              <w:right w:val="single" w:color="auto" w:sz="4" w:space="0"/>
            </w:tcBorders>
            <w:shd w:val="clear" w:color="auto" w:fill="auto"/>
            <w:vAlign w:val="center"/>
          </w:tcPr>
          <w:p w14:paraId="7F2204B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台</w:t>
            </w:r>
          </w:p>
        </w:tc>
        <w:tc>
          <w:tcPr>
            <w:tcW w:w="654" w:type="dxa"/>
            <w:tcBorders>
              <w:top w:val="nil"/>
              <w:left w:val="nil"/>
              <w:bottom w:val="single" w:color="auto" w:sz="4" w:space="0"/>
              <w:right w:val="single" w:color="auto" w:sz="4" w:space="0"/>
            </w:tcBorders>
            <w:shd w:val="clear" w:color="auto" w:fill="auto"/>
            <w:vAlign w:val="center"/>
          </w:tcPr>
          <w:p w14:paraId="08A3ADD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6A9B3C02">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0DECDFC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9B36E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与警务通平台对接</w:t>
            </w:r>
          </w:p>
        </w:tc>
        <w:tc>
          <w:tcPr>
            <w:tcW w:w="5729" w:type="dxa"/>
            <w:tcBorders>
              <w:top w:val="nil"/>
              <w:left w:val="nil"/>
              <w:bottom w:val="single" w:color="auto" w:sz="4" w:space="0"/>
              <w:right w:val="single" w:color="auto" w:sz="4" w:space="0"/>
            </w:tcBorders>
            <w:shd w:val="clear" w:color="auto" w:fill="auto"/>
            <w:vAlign w:val="center"/>
          </w:tcPr>
          <w:p w14:paraId="0F320D1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数据对接调试</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5187F51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51F7278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27FD1D08">
        <w:tblPrEx>
          <w:tblCellMar>
            <w:top w:w="0" w:type="dxa"/>
            <w:left w:w="108" w:type="dxa"/>
            <w:bottom w:w="0" w:type="dxa"/>
            <w:right w:w="108" w:type="dxa"/>
          </w:tblCellMar>
        </w:tblPrEx>
        <w:trPr>
          <w:gridAfter w:val="1"/>
          <w:wAfter w:w="23" w:type="dxa"/>
          <w:trHeight w:val="213"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04F908C5">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0ECC7D4A">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3766B9B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语音对接调试</w:t>
            </w:r>
          </w:p>
        </w:tc>
        <w:tc>
          <w:tcPr>
            <w:tcW w:w="894" w:type="dxa"/>
            <w:vMerge w:val="continue"/>
            <w:tcBorders>
              <w:top w:val="nil"/>
              <w:left w:val="single" w:color="auto" w:sz="4" w:space="0"/>
              <w:bottom w:val="single" w:color="auto" w:sz="4" w:space="0"/>
              <w:right w:val="single" w:color="auto" w:sz="4" w:space="0"/>
            </w:tcBorders>
            <w:vAlign w:val="center"/>
          </w:tcPr>
          <w:p w14:paraId="59850DF9">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5287F87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60ED1A3E">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66A90CC7">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6E882CB6">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78D7DE9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规格型号：DS300K1U</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无线语音网关，转换为sip协议与警务通平台对接</w:t>
            </w:r>
          </w:p>
        </w:tc>
        <w:tc>
          <w:tcPr>
            <w:tcW w:w="894" w:type="dxa"/>
            <w:tcBorders>
              <w:top w:val="nil"/>
              <w:left w:val="nil"/>
              <w:bottom w:val="single" w:color="auto" w:sz="4" w:space="0"/>
              <w:right w:val="single" w:color="auto" w:sz="4" w:space="0"/>
            </w:tcBorders>
            <w:shd w:val="clear" w:color="auto" w:fill="auto"/>
            <w:vAlign w:val="center"/>
          </w:tcPr>
          <w:p w14:paraId="53EDBED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台</w:t>
            </w:r>
          </w:p>
        </w:tc>
        <w:tc>
          <w:tcPr>
            <w:tcW w:w="654" w:type="dxa"/>
            <w:tcBorders>
              <w:top w:val="nil"/>
              <w:left w:val="nil"/>
              <w:bottom w:val="single" w:color="auto" w:sz="4" w:space="0"/>
              <w:right w:val="single" w:color="auto" w:sz="4" w:space="0"/>
            </w:tcBorders>
            <w:shd w:val="clear" w:color="auto" w:fill="auto"/>
            <w:vAlign w:val="center"/>
          </w:tcPr>
          <w:p w14:paraId="254E209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56D60B28">
        <w:tblPrEx>
          <w:tblCellMar>
            <w:top w:w="0" w:type="dxa"/>
            <w:left w:w="108" w:type="dxa"/>
            <w:bottom w:w="0" w:type="dxa"/>
            <w:right w:w="108" w:type="dxa"/>
          </w:tblCellMar>
        </w:tblPrEx>
        <w:trPr>
          <w:trHeight w:val="213" w:hRule="atLeast"/>
          <w:jc w:val="center"/>
        </w:trPr>
        <w:tc>
          <w:tcPr>
            <w:tcW w:w="100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A2EE9E2">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三、分局接处警子系统</w:t>
            </w:r>
          </w:p>
        </w:tc>
      </w:tr>
      <w:tr w14:paraId="18423F02">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6770CC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D5EEE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接处警系统基础版部署</w:t>
            </w:r>
          </w:p>
        </w:tc>
        <w:tc>
          <w:tcPr>
            <w:tcW w:w="5729" w:type="dxa"/>
            <w:tcBorders>
              <w:top w:val="nil"/>
              <w:left w:val="nil"/>
              <w:bottom w:val="single" w:color="auto" w:sz="4" w:space="0"/>
              <w:right w:val="single" w:color="auto" w:sz="4" w:space="0"/>
            </w:tcBorders>
            <w:shd w:val="clear" w:color="auto" w:fill="auto"/>
            <w:vAlign w:val="center"/>
          </w:tcPr>
          <w:p w14:paraId="676B696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中心接处警模块</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5BDDBBE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4219796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31CA25DA">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28298619">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19414812">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7EEC6B2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查询统计子系统</w:t>
            </w:r>
          </w:p>
        </w:tc>
        <w:tc>
          <w:tcPr>
            <w:tcW w:w="894" w:type="dxa"/>
            <w:vMerge w:val="continue"/>
            <w:tcBorders>
              <w:top w:val="nil"/>
              <w:left w:val="single" w:color="auto" w:sz="4" w:space="0"/>
              <w:bottom w:val="single" w:color="auto" w:sz="4" w:space="0"/>
              <w:right w:val="single" w:color="auto" w:sz="4" w:space="0"/>
            </w:tcBorders>
            <w:vAlign w:val="center"/>
          </w:tcPr>
          <w:p w14:paraId="0BB2EAEB">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5E1F61C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2EDB3B46">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301486C0">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6A9E403F">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5D7901A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系统维护台</w:t>
            </w:r>
          </w:p>
        </w:tc>
        <w:tc>
          <w:tcPr>
            <w:tcW w:w="894" w:type="dxa"/>
            <w:vMerge w:val="continue"/>
            <w:tcBorders>
              <w:top w:val="nil"/>
              <w:left w:val="single" w:color="auto" w:sz="4" w:space="0"/>
              <w:bottom w:val="single" w:color="auto" w:sz="4" w:space="0"/>
              <w:right w:val="single" w:color="auto" w:sz="4" w:space="0"/>
            </w:tcBorders>
            <w:vAlign w:val="center"/>
          </w:tcPr>
          <w:p w14:paraId="079EAFBC">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0BC4C9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3D73F9E1">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56E5FE5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A1A76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警务考评</w:t>
            </w:r>
          </w:p>
        </w:tc>
        <w:tc>
          <w:tcPr>
            <w:tcW w:w="5729" w:type="dxa"/>
            <w:tcBorders>
              <w:top w:val="nil"/>
              <w:left w:val="nil"/>
              <w:bottom w:val="single" w:color="auto" w:sz="4" w:space="0"/>
              <w:right w:val="single" w:color="auto" w:sz="4" w:space="0"/>
            </w:tcBorders>
            <w:shd w:val="clear" w:color="auto" w:fill="auto"/>
            <w:vAlign w:val="center"/>
          </w:tcPr>
          <w:p w14:paraId="275E38C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派出所接处警工作情况统计</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74D23AF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3209C75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03CF21A9">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2F053B89">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6B3C029C">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5AD3330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派出所接处警业务考核</w:t>
            </w:r>
          </w:p>
        </w:tc>
        <w:tc>
          <w:tcPr>
            <w:tcW w:w="894" w:type="dxa"/>
            <w:vMerge w:val="continue"/>
            <w:tcBorders>
              <w:top w:val="nil"/>
              <w:left w:val="single" w:color="auto" w:sz="4" w:space="0"/>
              <w:bottom w:val="single" w:color="auto" w:sz="4" w:space="0"/>
              <w:right w:val="single" w:color="auto" w:sz="4" w:space="0"/>
            </w:tcBorders>
            <w:vAlign w:val="center"/>
          </w:tcPr>
          <w:p w14:paraId="26B15D53">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50B7DB3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3F11CB5D">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51774A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872" w:type="dxa"/>
            <w:vMerge w:val="restart"/>
            <w:tcBorders>
              <w:top w:val="nil"/>
              <w:left w:val="single" w:color="auto" w:sz="4" w:space="0"/>
              <w:bottom w:val="single" w:color="auto" w:sz="4" w:space="0"/>
              <w:right w:val="single" w:color="auto" w:sz="4" w:space="0"/>
            </w:tcBorders>
            <w:shd w:val="clear" w:color="auto" w:fill="auto"/>
            <w:vAlign w:val="center"/>
          </w:tcPr>
          <w:p w14:paraId="19AEC13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跨区域指挥调度</w:t>
            </w: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301F196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与市局实现互联互通</w:t>
            </w:r>
          </w:p>
        </w:tc>
        <w:tc>
          <w:tcPr>
            <w:tcW w:w="5729" w:type="dxa"/>
            <w:tcBorders>
              <w:top w:val="nil"/>
              <w:left w:val="nil"/>
              <w:bottom w:val="single" w:color="auto" w:sz="4" w:space="0"/>
              <w:right w:val="single" w:color="auto" w:sz="4" w:space="0"/>
            </w:tcBorders>
            <w:shd w:val="clear" w:color="auto" w:fill="auto"/>
            <w:vAlign w:val="center"/>
          </w:tcPr>
          <w:p w14:paraId="2437F34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警情上报</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385366B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1DA6838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5D12A062">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5E8C1C5A">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61491F6F">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5E843EA9">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05B3201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请求增援</w:t>
            </w:r>
          </w:p>
        </w:tc>
        <w:tc>
          <w:tcPr>
            <w:tcW w:w="894" w:type="dxa"/>
            <w:vMerge w:val="continue"/>
            <w:tcBorders>
              <w:top w:val="nil"/>
              <w:left w:val="single" w:color="auto" w:sz="4" w:space="0"/>
              <w:bottom w:val="single" w:color="auto" w:sz="4" w:space="0"/>
              <w:right w:val="single" w:color="auto" w:sz="4" w:space="0"/>
            </w:tcBorders>
            <w:vAlign w:val="center"/>
          </w:tcPr>
          <w:p w14:paraId="03E508F0">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2E59792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10725919">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2FB9B105">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7FF7ACD9">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3435C5D7">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3724014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请求转警</w:t>
            </w:r>
          </w:p>
        </w:tc>
        <w:tc>
          <w:tcPr>
            <w:tcW w:w="894" w:type="dxa"/>
            <w:vMerge w:val="continue"/>
            <w:tcBorders>
              <w:top w:val="nil"/>
              <w:left w:val="single" w:color="auto" w:sz="4" w:space="0"/>
              <w:bottom w:val="single" w:color="auto" w:sz="4" w:space="0"/>
              <w:right w:val="single" w:color="auto" w:sz="4" w:space="0"/>
            </w:tcBorders>
            <w:vAlign w:val="center"/>
          </w:tcPr>
          <w:p w14:paraId="6007C09C">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4C8A792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7C6CD2A4">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483E86B7">
            <w:pPr>
              <w:widowControl/>
              <w:jc w:val="left"/>
              <w:rPr>
                <w:rFonts w:hint="eastAsia" w:ascii="宋体" w:hAnsi="宋体" w:cs="宋体"/>
                <w:color w:val="auto"/>
                <w:kern w:val="0"/>
                <w:sz w:val="20"/>
                <w:szCs w:val="20"/>
              </w:rPr>
            </w:pPr>
          </w:p>
        </w:tc>
        <w:tc>
          <w:tcPr>
            <w:tcW w:w="872" w:type="dxa"/>
            <w:vMerge w:val="continue"/>
            <w:tcBorders>
              <w:top w:val="nil"/>
              <w:left w:val="single" w:color="auto" w:sz="4" w:space="0"/>
              <w:bottom w:val="single" w:color="auto" w:sz="4" w:space="0"/>
              <w:right w:val="single" w:color="auto" w:sz="4" w:space="0"/>
            </w:tcBorders>
            <w:vAlign w:val="center"/>
          </w:tcPr>
          <w:p w14:paraId="6B617338">
            <w:pPr>
              <w:widowControl/>
              <w:jc w:val="left"/>
              <w:rPr>
                <w:rFonts w:hint="eastAsia" w:ascii="宋体" w:hAnsi="宋体" w:cs="宋体"/>
                <w:color w:val="auto"/>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76EFAE10">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01BF61F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退单申请</w:t>
            </w:r>
          </w:p>
        </w:tc>
        <w:tc>
          <w:tcPr>
            <w:tcW w:w="894" w:type="dxa"/>
            <w:vMerge w:val="continue"/>
            <w:tcBorders>
              <w:top w:val="nil"/>
              <w:left w:val="single" w:color="auto" w:sz="4" w:space="0"/>
              <w:bottom w:val="single" w:color="auto" w:sz="4" w:space="0"/>
              <w:right w:val="single" w:color="auto" w:sz="4" w:space="0"/>
            </w:tcBorders>
            <w:vAlign w:val="center"/>
          </w:tcPr>
          <w:p w14:paraId="299059F2">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6C8C1BB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1512E43A">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500899D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C7062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与市局接处警GIS系统互联互通</w:t>
            </w:r>
          </w:p>
        </w:tc>
        <w:tc>
          <w:tcPr>
            <w:tcW w:w="5729" w:type="dxa"/>
            <w:tcBorders>
              <w:top w:val="nil"/>
              <w:left w:val="nil"/>
              <w:bottom w:val="single" w:color="auto" w:sz="4" w:space="0"/>
              <w:right w:val="single" w:color="auto" w:sz="4" w:space="0"/>
            </w:tcBorders>
            <w:shd w:val="clear" w:color="auto" w:fill="auto"/>
            <w:vAlign w:val="center"/>
          </w:tcPr>
          <w:p w14:paraId="048D49D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消息请求</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709615F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54FDE8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4E8E6482">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695EC1D7">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39248BC7">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0A7228E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信息接收</w:t>
            </w:r>
          </w:p>
        </w:tc>
        <w:tc>
          <w:tcPr>
            <w:tcW w:w="894" w:type="dxa"/>
            <w:vMerge w:val="continue"/>
            <w:tcBorders>
              <w:top w:val="nil"/>
              <w:left w:val="single" w:color="auto" w:sz="4" w:space="0"/>
              <w:bottom w:val="single" w:color="auto" w:sz="4" w:space="0"/>
              <w:right w:val="single" w:color="auto" w:sz="4" w:space="0"/>
            </w:tcBorders>
            <w:vAlign w:val="center"/>
          </w:tcPr>
          <w:p w14:paraId="17E7D152">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7F8A62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4EB9FF80">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15E59114">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53B54B77">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21A5DE3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数据流向管理</w:t>
            </w:r>
          </w:p>
        </w:tc>
        <w:tc>
          <w:tcPr>
            <w:tcW w:w="894" w:type="dxa"/>
            <w:vMerge w:val="continue"/>
            <w:tcBorders>
              <w:top w:val="nil"/>
              <w:left w:val="single" w:color="auto" w:sz="4" w:space="0"/>
              <w:bottom w:val="single" w:color="auto" w:sz="4" w:space="0"/>
              <w:right w:val="single" w:color="auto" w:sz="4" w:space="0"/>
            </w:tcBorders>
            <w:vAlign w:val="center"/>
          </w:tcPr>
          <w:p w14:paraId="03ABDAB1">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5D08124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29707AAE">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4410CEA9">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5FBE3533">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28832BF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系统鉴权</w:t>
            </w:r>
          </w:p>
        </w:tc>
        <w:tc>
          <w:tcPr>
            <w:tcW w:w="894" w:type="dxa"/>
            <w:vMerge w:val="continue"/>
            <w:tcBorders>
              <w:top w:val="nil"/>
              <w:left w:val="single" w:color="auto" w:sz="4" w:space="0"/>
              <w:bottom w:val="single" w:color="auto" w:sz="4" w:space="0"/>
              <w:right w:val="single" w:color="auto" w:sz="4" w:space="0"/>
            </w:tcBorders>
            <w:vAlign w:val="center"/>
          </w:tcPr>
          <w:p w14:paraId="48EB681D">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66502F1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59EEDB3C">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45942B6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4619B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与外围系统的对接</w:t>
            </w:r>
          </w:p>
        </w:tc>
        <w:tc>
          <w:tcPr>
            <w:tcW w:w="5729" w:type="dxa"/>
            <w:tcBorders>
              <w:top w:val="nil"/>
              <w:left w:val="nil"/>
              <w:bottom w:val="single" w:color="auto" w:sz="4" w:space="0"/>
              <w:right w:val="single" w:color="auto" w:sz="4" w:space="0"/>
            </w:tcBorders>
            <w:shd w:val="clear" w:color="auto" w:fill="auto"/>
            <w:vAlign w:val="center"/>
          </w:tcPr>
          <w:p w14:paraId="79E08CB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与市局手机定位平台对接</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75C8E51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6F65AC0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0D833623">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6358C426">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7E41EC8C">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3AD67B3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与市局的公安部数据上报汇总平台对接</w:t>
            </w:r>
          </w:p>
        </w:tc>
        <w:tc>
          <w:tcPr>
            <w:tcW w:w="894" w:type="dxa"/>
            <w:vMerge w:val="continue"/>
            <w:tcBorders>
              <w:top w:val="nil"/>
              <w:left w:val="single" w:color="auto" w:sz="4" w:space="0"/>
              <w:bottom w:val="single" w:color="auto" w:sz="4" w:space="0"/>
              <w:right w:val="single" w:color="auto" w:sz="4" w:space="0"/>
            </w:tcBorders>
            <w:vAlign w:val="center"/>
          </w:tcPr>
          <w:p w14:paraId="747620A0">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40C7021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142C3A59">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605B3BFF">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676F50DE">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20FE099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与警综平台的对接</w:t>
            </w:r>
          </w:p>
        </w:tc>
        <w:tc>
          <w:tcPr>
            <w:tcW w:w="894" w:type="dxa"/>
            <w:vMerge w:val="continue"/>
            <w:tcBorders>
              <w:top w:val="nil"/>
              <w:left w:val="single" w:color="auto" w:sz="4" w:space="0"/>
              <w:bottom w:val="single" w:color="auto" w:sz="4" w:space="0"/>
              <w:right w:val="single" w:color="auto" w:sz="4" w:space="0"/>
            </w:tcBorders>
            <w:vAlign w:val="center"/>
          </w:tcPr>
          <w:p w14:paraId="73AAA2DD">
            <w:pPr>
              <w:widowControl/>
              <w:jc w:val="left"/>
              <w:rPr>
                <w:rFonts w:hint="eastAsia" w:ascii="宋体" w:hAnsi="宋体" w:cs="宋体"/>
                <w:color w:val="auto"/>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14:paraId="021D365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28A57565">
        <w:tblPrEx>
          <w:tblCellMar>
            <w:top w:w="0" w:type="dxa"/>
            <w:left w:w="108" w:type="dxa"/>
            <w:bottom w:w="0" w:type="dxa"/>
            <w:right w:w="108" w:type="dxa"/>
          </w:tblCellMar>
        </w:tblPrEx>
        <w:trPr>
          <w:trHeight w:val="213" w:hRule="atLeast"/>
          <w:jc w:val="center"/>
        </w:trPr>
        <w:tc>
          <w:tcPr>
            <w:tcW w:w="100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50C771A">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四、运维监控管理子系统</w:t>
            </w:r>
          </w:p>
        </w:tc>
      </w:tr>
      <w:tr w14:paraId="1C615307">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1BE6163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5DC0486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软件部署费</w:t>
            </w:r>
          </w:p>
        </w:tc>
        <w:tc>
          <w:tcPr>
            <w:tcW w:w="5729" w:type="dxa"/>
            <w:tcBorders>
              <w:top w:val="nil"/>
              <w:left w:val="nil"/>
              <w:bottom w:val="single" w:color="auto" w:sz="4" w:space="0"/>
              <w:right w:val="single" w:color="auto" w:sz="4" w:space="0"/>
            </w:tcBorders>
            <w:shd w:val="clear" w:color="auto" w:fill="auto"/>
            <w:vAlign w:val="center"/>
          </w:tcPr>
          <w:p w14:paraId="77F5C8A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运维监控管理子系统部署</w:t>
            </w:r>
          </w:p>
        </w:tc>
        <w:tc>
          <w:tcPr>
            <w:tcW w:w="894" w:type="dxa"/>
            <w:tcBorders>
              <w:top w:val="nil"/>
              <w:left w:val="nil"/>
              <w:bottom w:val="single" w:color="auto" w:sz="4" w:space="0"/>
              <w:right w:val="single" w:color="auto" w:sz="4" w:space="0"/>
            </w:tcBorders>
            <w:shd w:val="clear" w:color="auto" w:fill="auto"/>
            <w:vAlign w:val="center"/>
          </w:tcPr>
          <w:p w14:paraId="532D9D5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282653B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67CC8307">
        <w:tblPrEx>
          <w:tblCellMar>
            <w:top w:w="0" w:type="dxa"/>
            <w:left w:w="108" w:type="dxa"/>
            <w:bottom w:w="0" w:type="dxa"/>
            <w:right w:w="108" w:type="dxa"/>
          </w:tblCellMar>
        </w:tblPrEx>
        <w:trPr>
          <w:trHeight w:val="213" w:hRule="atLeast"/>
          <w:jc w:val="center"/>
        </w:trPr>
        <w:tc>
          <w:tcPr>
            <w:tcW w:w="100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C487E7">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五、共享市局平台</w:t>
            </w:r>
          </w:p>
        </w:tc>
      </w:tr>
      <w:tr w14:paraId="0E6C0F45">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657A2F8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22E7372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平台门户子系统</w:t>
            </w:r>
          </w:p>
        </w:tc>
        <w:tc>
          <w:tcPr>
            <w:tcW w:w="5729" w:type="dxa"/>
            <w:tcBorders>
              <w:top w:val="nil"/>
              <w:left w:val="nil"/>
              <w:bottom w:val="single" w:color="auto" w:sz="4" w:space="0"/>
              <w:right w:val="single" w:color="auto" w:sz="4" w:space="0"/>
            </w:tcBorders>
            <w:shd w:val="clear" w:color="auto" w:fill="auto"/>
            <w:vAlign w:val="center"/>
          </w:tcPr>
          <w:p w14:paraId="71EA459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与市局共享门户子系统</w:t>
            </w:r>
          </w:p>
        </w:tc>
        <w:tc>
          <w:tcPr>
            <w:tcW w:w="894" w:type="dxa"/>
            <w:tcBorders>
              <w:top w:val="nil"/>
              <w:left w:val="nil"/>
              <w:bottom w:val="single" w:color="auto" w:sz="4" w:space="0"/>
              <w:right w:val="single" w:color="auto" w:sz="4" w:space="0"/>
            </w:tcBorders>
            <w:shd w:val="clear" w:color="auto" w:fill="auto"/>
            <w:vAlign w:val="center"/>
          </w:tcPr>
          <w:p w14:paraId="05009A4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143C2CC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6F2EEA70">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14C8492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2254538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接处警GIS实战警务子系统</w:t>
            </w:r>
          </w:p>
        </w:tc>
        <w:tc>
          <w:tcPr>
            <w:tcW w:w="5729" w:type="dxa"/>
            <w:tcBorders>
              <w:top w:val="nil"/>
              <w:left w:val="nil"/>
              <w:bottom w:val="single" w:color="auto" w:sz="4" w:space="0"/>
              <w:right w:val="single" w:color="auto" w:sz="4" w:space="0"/>
            </w:tcBorders>
            <w:shd w:val="clear" w:color="auto" w:fill="auto"/>
            <w:vAlign w:val="center"/>
          </w:tcPr>
          <w:p w14:paraId="5932793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与市局共享接处警GIS实战警务子系统</w:t>
            </w:r>
          </w:p>
        </w:tc>
        <w:tc>
          <w:tcPr>
            <w:tcW w:w="894" w:type="dxa"/>
            <w:tcBorders>
              <w:top w:val="nil"/>
              <w:left w:val="nil"/>
              <w:bottom w:val="single" w:color="auto" w:sz="4" w:space="0"/>
              <w:right w:val="single" w:color="auto" w:sz="4" w:space="0"/>
            </w:tcBorders>
            <w:shd w:val="clear" w:color="auto" w:fill="auto"/>
            <w:vAlign w:val="center"/>
          </w:tcPr>
          <w:p w14:paraId="11882A9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2A5D097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5F84F596">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57B65DA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4B70B56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警情分析研判子系统</w:t>
            </w:r>
          </w:p>
        </w:tc>
        <w:tc>
          <w:tcPr>
            <w:tcW w:w="5729" w:type="dxa"/>
            <w:tcBorders>
              <w:top w:val="nil"/>
              <w:left w:val="nil"/>
              <w:bottom w:val="single" w:color="auto" w:sz="4" w:space="0"/>
              <w:right w:val="single" w:color="auto" w:sz="4" w:space="0"/>
            </w:tcBorders>
            <w:shd w:val="clear" w:color="auto" w:fill="auto"/>
            <w:vAlign w:val="center"/>
          </w:tcPr>
          <w:p w14:paraId="69703FD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与市局共享警情分析研判子系统</w:t>
            </w:r>
          </w:p>
        </w:tc>
        <w:tc>
          <w:tcPr>
            <w:tcW w:w="894" w:type="dxa"/>
            <w:tcBorders>
              <w:top w:val="nil"/>
              <w:left w:val="nil"/>
              <w:bottom w:val="single" w:color="auto" w:sz="4" w:space="0"/>
              <w:right w:val="single" w:color="auto" w:sz="4" w:space="0"/>
            </w:tcBorders>
            <w:shd w:val="clear" w:color="auto" w:fill="auto"/>
            <w:vAlign w:val="center"/>
          </w:tcPr>
          <w:p w14:paraId="4FF4F3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7C81AE7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57499D8C">
        <w:tblPrEx>
          <w:tblCellMar>
            <w:top w:w="0" w:type="dxa"/>
            <w:left w:w="108" w:type="dxa"/>
            <w:bottom w:w="0" w:type="dxa"/>
            <w:right w:w="108" w:type="dxa"/>
          </w:tblCellMar>
        </w:tblPrEx>
        <w:trPr>
          <w:gridAfter w:val="1"/>
          <w:wAfter w:w="23" w:type="dxa"/>
          <w:trHeight w:val="41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14:paraId="66A081B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4D999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移动警务APP指挥子系统</w:t>
            </w:r>
          </w:p>
        </w:tc>
        <w:tc>
          <w:tcPr>
            <w:tcW w:w="5729" w:type="dxa"/>
            <w:tcBorders>
              <w:top w:val="nil"/>
              <w:left w:val="nil"/>
              <w:bottom w:val="single" w:color="auto" w:sz="4" w:space="0"/>
              <w:right w:val="single" w:color="auto" w:sz="4" w:space="0"/>
            </w:tcBorders>
            <w:shd w:val="clear" w:color="auto" w:fill="auto"/>
            <w:vAlign w:val="center"/>
          </w:tcPr>
          <w:p w14:paraId="5301A47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分局移动警务APP指挥子系统流程部署</w:t>
            </w:r>
          </w:p>
        </w:tc>
        <w:tc>
          <w:tcPr>
            <w:tcW w:w="894" w:type="dxa"/>
            <w:tcBorders>
              <w:top w:val="nil"/>
              <w:left w:val="nil"/>
              <w:bottom w:val="single" w:color="auto" w:sz="4" w:space="0"/>
              <w:right w:val="single" w:color="auto" w:sz="4" w:space="0"/>
            </w:tcBorders>
            <w:shd w:val="clear" w:color="auto" w:fill="auto"/>
            <w:vAlign w:val="center"/>
          </w:tcPr>
          <w:p w14:paraId="66837D5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5B572CC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4F4E3C8F">
        <w:tblPrEx>
          <w:tblCellMar>
            <w:top w:w="0" w:type="dxa"/>
            <w:left w:w="108" w:type="dxa"/>
            <w:bottom w:w="0" w:type="dxa"/>
            <w:right w:w="108" w:type="dxa"/>
          </w:tblCellMar>
        </w:tblPrEx>
        <w:trPr>
          <w:gridAfter w:val="1"/>
          <w:wAfter w:w="23" w:type="dxa"/>
          <w:trHeight w:val="410" w:hRule="atLeast"/>
          <w:jc w:val="center"/>
        </w:trPr>
        <w:tc>
          <w:tcPr>
            <w:tcW w:w="768" w:type="dxa"/>
            <w:vMerge w:val="continue"/>
            <w:tcBorders>
              <w:top w:val="nil"/>
              <w:left w:val="single" w:color="auto" w:sz="4" w:space="0"/>
              <w:bottom w:val="single" w:color="auto" w:sz="4" w:space="0"/>
              <w:right w:val="single" w:color="auto" w:sz="4" w:space="0"/>
            </w:tcBorders>
            <w:vAlign w:val="center"/>
          </w:tcPr>
          <w:p w14:paraId="32CDED75">
            <w:pPr>
              <w:widowControl/>
              <w:jc w:val="left"/>
              <w:rPr>
                <w:rFonts w:hint="eastAsia" w:ascii="宋体" w:hAnsi="宋体" w:cs="宋体"/>
                <w:color w:val="auto"/>
                <w:kern w:val="0"/>
                <w:sz w:val="20"/>
                <w:szCs w:val="20"/>
              </w:rPr>
            </w:pPr>
          </w:p>
        </w:tc>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14:paraId="23BC0C8D">
            <w:pPr>
              <w:widowControl/>
              <w:jc w:val="left"/>
              <w:rPr>
                <w:rFonts w:hint="eastAsia" w:ascii="宋体" w:hAnsi="宋体" w:cs="宋体"/>
                <w:color w:val="auto"/>
                <w:kern w:val="0"/>
                <w:sz w:val="20"/>
                <w:szCs w:val="20"/>
              </w:rPr>
            </w:pPr>
          </w:p>
        </w:tc>
        <w:tc>
          <w:tcPr>
            <w:tcW w:w="5729" w:type="dxa"/>
            <w:tcBorders>
              <w:top w:val="nil"/>
              <w:left w:val="nil"/>
              <w:bottom w:val="single" w:color="auto" w:sz="4" w:space="0"/>
              <w:right w:val="single" w:color="auto" w:sz="4" w:space="0"/>
            </w:tcBorders>
            <w:shd w:val="clear" w:color="auto" w:fill="auto"/>
            <w:vAlign w:val="center"/>
          </w:tcPr>
          <w:p w14:paraId="211A8D1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与市局共享移动警务APP指挥子系统</w:t>
            </w:r>
          </w:p>
        </w:tc>
        <w:tc>
          <w:tcPr>
            <w:tcW w:w="894" w:type="dxa"/>
            <w:tcBorders>
              <w:top w:val="nil"/>
              <w:left w:val="nil"/>
              <w:bottom w:val="single" w:color="auto" w:sz="4" w:space="0"/>
              <w:right w:val="single" w:color="auto" w:sz="4" w:space="0"/>
            </w:tcBorders>
            <w:shd w:val="clear" w:color="auto" w:fill="auto"/>
            <w:vAlign w:val="center"/>
          </w:tcPr>
          <w:p w14:paraId="5F26160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11B484D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0A38B1E7">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47E25C1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4FF6F8D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流程化预案管理子系统</w:t>
            </w:r>
          </w:p>
        </w:tc>
        <w:tc>
          <w:tcPr>
            <w:tcW w:w="5729" w:type="dxa"/>
            <w:tcBorders>
              <w:top w:val="nil"/>
              <w:left w:val="nil"/>
              <w:bottom w:val="single" w:color="auto" w:sz="4" w:space="0"/>
              <w:right w:val="single" w:color="auto" w:sz="4" w:space="0"/>
            </w:tcBorders>
            <w:shd w:val="clear" w:color="auto" w:fill="auto"/>
            <w:vAlign w:val="center"/>
          </w:tcPr>
          <w:p w14:paraId="1F3A1E8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与市局共享流程化预案管理子系统</w:t>
            </w:r>
          </w:p>
        </w:tc>
        <w:tc>
          <w:tcPr>
            <w:tcW w:w="894" w:type="dxa"/>
            <w:tcBorders>
              <w:top w:val="nil"/>
              <w:left w:val="nil"/>
              <w:bottom w:val="single" w:color="auto" w:sz="4" w:space="0"/>
              <w:right w:val="single" w:color="auto" w:sz="4" w:space="0"/>
            </w:tcBorders>
            <w:shd w:val="clear" w:color="auto" w:fill="auto"/>
            <w:vAlign w:val="center"/>
          </w:tcPr>
          <w:p w14:paraId="5A62442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5BED8A1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6B7278AE">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5E14F06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45F48BC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网上考试系统</w:t>
            </w:r>
          </w:p>
        </w:tc>
        <w:tc>
          <w:tcPr>
            <w:tcW w:w="5729" w:type="dxa"/>
            <w:tcBorders>
              <w:top w:val="nil"/>
              <w:left w:val="nil"/>
              <w:bottom w:val="single" w:color="auto" w:sz="4" w:space="0"/>
              <w:right w:val="single" w:color="auto" w:sz="4" w:space="0"/>
            </w:tcBorders>
            <w:shd w:val="clear" w:color="auto" w:fill="auto"/>
            <w:vAlign w:val="center"/>
          </w:tcPr>
          <w:p w14:paraId="3A034F8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与市局共享网上考试系统</w:t>
            </w:r>
          </w:p>
        </w:tc>
        <w:tc>
          <w:tcPr>
            <w:tcW w:w="894" w:type="dxa"/>
            <w:tcBorders>
              <w:top w:val="nil"/>
              <w:left w:val="nil"/>
              <w:bottom w:val="single" w:color="auto" w:sz="4" w:space="0"/>
              <w:right w:val="single" w:color="auto" w:sz="4" w:space="0"/>
            </w:tcBorders>
            <w:shd w:val="clear" w:color="auto" w:fill="auto"/>
            <w:vAlign w:val="center"/>
          </w:tcPr>
          <w:p w14:paraId="2B2B260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1E13BC9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53203187">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0E217F7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21265C2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模拟接处警系统</w:t>
            </w:r>
          </w:p>
        </w:tc>
        <w:tc>
          <w:tcPr>
            <w:tcW w:w="5729" w:type="dxa"/>
            <w:tcBorders>
              <w:top w:val="nil"/>
              <w:left w:val="nil"/>
              <w:bottom w:val="single" w:color="auto" w:sz="4" w:space="0"/>
              <w:right w:val="single" w:color="auto" w:sz="4" w:space="0"/>
            </w:tcBorders>
            <w:shd w:val="clear" w:color="auto" w:fill="auto"/>
            <w:vAlign w:val="center"/>
          </w:tcPr>
          <w:p w14:paraId="54360B7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规格型号：定制开发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与市局共享模拟接处警系统</w:t>
            </w:r>
          </w:p>
        </w:tc>
        <w:tc>
          <w:tcPr>
            <w:tcW w:w="894" w:type="dxa"/>
            <w:tcBorders>
              <w:top w:val="nil"/>
              <w:left w:val="nil"/>
              <w:bottom w:val="single" w:color="auto" w:sz="4" w:space="0"/>
              <w:right w:val="single" w:color="auto" w:sz="4" w:space="0"/>
            </w:tcBorders>
            <w:shd w:val="clear" w:color="auto" w:fill="auto"/>
            <w:vAlign w:val="center"/>
          </w:tcPr>
          <w:p w14:paraId="42C651A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w:t>
            </w:r>
          </w:p>
        </w:tc>
        <w:tc>
          <w:tcPr>
            <w:tcW w:w="654" w:type="dxa"/>
            <w:tcBorders>
              <w:top w:val="nil"/>
              <w:left w:val="nil"/>
              <w:bottom w:val="single" w:color="auto" w:sz="4" w:space="0"/>
              <w:right w:val="single" w:color="auto" w:sz="4" w:space="0"/>
            </w:tcBorders>
            <w:shd w:val="clear" w:color="auto" w:fill="auto"/>
            <w:vAlign w:val="center"/>
          </w:tcPr>
          <w:p w14:paraId="1E7B5F3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021ACE26">
        <w:tblPrEx>
          <w:tblCellMar>
            <w:top w:w="0" w:type="dxa"/>
            <w:left w:w="108" w:type="dxa"/>
            <w:bottom w:w="0" w:type="dxa"/>
            <w:right w:w="108" w:type="dxa"/>
          </w:tblCellMar>
        </w:tblPrEx>
        <w:trPr>
          <w:trHeight w:val="213" w:hRule="atLeast"/>
          <w:jc w:val="center"/>
        </w:trPr>
        <w:tc>
          <w:tcPr>
            <w:tcW w:w="100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652665E">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六、基础环境建设</w:t>
            </w:r>
          </w:p>
        </w:tc>
      </w:tr>
      <w:tr w14:paraId="5E40A6B5">
        <w:tblPrEx>
          <w:tblCellMar>
            <w:top w:w="0" w:type="dxa"/>
            <w:left w:w="108" w:type="dxa"/>
            <w:bottom w:w="0" w:type="dxa"/>
            <w:right w:w="108" w:type="dxa"/>
          </w:tblCellMar>
        </w:tblPrEx>
        <w:trPr>
          <w:gridAfter w:val="1"/>
          <w:wAfter w:w="23" w:type="dxa"/>
          <w:trHeight w:val="608"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016F321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872" w:type="dxa"/>
            <w:vMerge w:val="restart"/>
            <w:tcBorders>
              <w:top w:val="nil"/>
              <w:left w:val="single" w:color="auto" w:sz="4" w:space="0"/>
              <w:bottom w:val="single" w:color="auto" w:sz="4" w:space="0"/>
              <w:right w:val="single" w:color="auto" w:sz="4" w:space="0"/>
            </w:tcBorders>
            <w:vAlign w:val="center"/>
          </w:tcPr>
          <w:p w14:paraId="50AE77A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基础环境建设</w:t>
            </w:r>
          </w:p>
        </w:tc>
        <w:tc>
          <w:tcPr>
            <w:tcW w:w="1140" w:type="dxa"/>
            <w:tcBorders>
              <w:top w:val="nil"/>
              <w:left w:val="nil"/>
              <w:bottom w:val="single" w:color="auto" w:sz="4" w:space="0"/>
              <w:right w:val="single" w:color="auto" w:sz="4" w:space="0"/>
            </w:tcBorders>
            <w:shd w:val="clear" w:color="auto" w:fill="auto"/>
            <w:vAlign w:val="center"/>
          </w:tcPr>
          <w:p w14:paraId="2917C31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服务器</w:t>
            </w:r>
          </w:p>
        </w:tc>
        <w:tc>
          <w:tcPr>
            <w:tcW w:w="5729" w:type="dxa"/>
            <w:tcBorders>
              <w:top w:val="nil"/>
              <w:left w:val="nil"/>
              <w:bottom w:val="single" w:color="auto" w:sz="4" w:space="0"/>
              <w:right w:val="single" w:color="auto" w:sz="4" w:space="0"/>
            </w:tcBorders>
            <w:shd w:val="clear" w:color="auto" w:fill="auto"/>
            <w:vAlign w:val="center"/>
          </w:tcPr>
          <w:p w14:paraId="035C680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规格型号：RH2288H V3</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2个E5-2640v4 (2.4GHz/10-core/25MB/90W)/32GB DDR4-2400 智能内存/600GB 12G SAS 10K 2.5in SC ENT HDD*4</w:t>
            </w:r>
          </w:p>
        </w:tc>
        <w:tc>
          <w:tcPr>
            <w:tcW w:w="894" w:type="dxa"/>
            <w:tcBorders>
              <w:top w:val="nil"/>
              <w:left w:val="nil"/>
              <w:bottom w:val="single" w:color="auto" w:sz="4" w:space="0"/>
              <w:right w:val="single" w:color="auto" w:sz="4" w:space="0"/>
            </w:tcBorders>
            <w:shd w:val="clear" w:color="auto" w:fill="auto"/>
            <w:vAlign w:val="center"/>
          </w:tcPr>
          <w:p w14:paraId="192E855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台</w:t>
            </w:r>
          </w:p>
        </w:tc>
        <w:tc>
          <w:tcPr>
            <w:tcW w:w="654" w:type="dxa"/>
            <w:tcBorders>
              <w:top w:val="nil"/>
              <w:left w:val="nil"/>
              <w:bottom w:val="single" w:color="auto" w:sz="4" w:space="0"/>
              <w:right w:val="single" w:color="auto" w:sz="4" w:space="0"/>
            </w:tcBorders>
            <w:shd w:val="clear" w:color="auto" w:fill="auto"/>
            <w:vAlign w:val="center"/>
          </w:tcPr>
          <w:p w14:paraId="51EAE0D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r>
      <w:tr w14:paraId="501F4CE4">
        <w:tblPrEx>
          <w:tblCellMar>
            <w:top w:w="0" w:type="dxa"/>
            <w:left w:w="108" w:type="dxa"/>
            <w:bottom w:w="0" w:type="dxa"/>
            <w:right w:w="108" w:type="dxa"/>
          </w:tblCellMar>
        </w:tblPrEx>
        <w:trPr>
          <w:gridAfter w:val="1"/>
          <w:wAfter w:w="23" w:type="dxa"/>
          <w:trHeight w:val="410"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2AA872C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872" w:type="dxa"/>
            <w:vMerge w:val="continue"/>
            <w:tcBorders>
              <w:top w:val="nil"/>
              <w:left w:val="single" w:color="auto" w:sz="4" w:space="0"/>
              <w:bottom w:val="single" w:color="auto" w:sz="4" w:space="0"/>
              <w:right w:val="single" w:color="auto" w:sz="4" w:space="0"/>
            </w:tcBorders>
            <w:vAlign w:val="center"/>
          </w:tcPr>
          <w:p w14:paraId="23A6143A">
            <w:pPr>
              <w:widowControl/>
              <w:jc w:val="left"/>
              <w:rPr>
                <w:rFonts w:hint="eastAsia" w:ascii="宋体" w:hAnsi="宋体" w:cs="宋体"/>
                <w:color w:val="auto"/>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7B9E402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双机热备软件</w:t>
            </w:r>
          </w:p>
        </w:tc>
        <w:tc>
          <w:tcPr>
            <w:tcW w:w="5729" w:type="dxa"/>
            <w:tcBorders>
              <w:top w:val="nil"/>
              <w:left w:val="nil"/>
              <w:bottom w:val="single" w:color="auto" w:sz="4" w:space="0"/>
              <w:right w:val="single" w:color="auto" w:sz="4" w:space="0"/>
            </w:tcBorders>
            <w:shd w:val="clear" w:color="auto" w:fill="auto"/>
            <w:vAlign w:val="center"/>
          </w:tcPr>
          <w:p w14:paraId="1814628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 xml:space="preserve">规格型号：DS-DBG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数据库双机软件</w:t>
            </w:r>
          </w:p>
        </w:tc>
        <w:tc>
          <w:tcPr>
            <w:tcW w:w="894" w:type="dxa"/>
            <w:tcBorders>
              <w:top w:val="nil"/>
              <w:left w:val="nil"/>
              <w:bottom w:val="single" w:color="auto" w:sz="4" w:space="0"/>
              <w:right w:val="single" w:color="auto" w:sz="4" w:space="0"/>
            </w:tcBorders>
            <w:shd w:val="clear" w:color="auto" w:fill="auto"/>
            <w:vAlign w:val="center"/>
          </w:tcPr>
          <w:p w14:paraId="6CB76AB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套</w:t>
            </w:r>
          </w:p>
        </w:tc>
        <w:tc>
          <w:tcPr>
            <w:tcW w:w="654" w:type="dxa"/>
            <w:tcBorders>
              <w:top w:val="nil"/>
              <w:left w:val="nil"/>
              <w:bottom w:val="single" w:color="auto" w:sz="4" w:space="0"/>
              <w:right w:val="single" w:color="auto" w:sz="4" w:space="0"/>
            </w:tcBorders>
            <w:shd w:val="clear" w:color="auto" w:fill="auto"/>
            <w:vAlign w:val="center"/>
          </w:tcPr>
          <w:p w14:paraId="3D1EAF8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r>
      <w:tr w14:paraId="0490520D">
        <w:tblPrEx>
          <w:tblCellMar>
            <w:top w:w="0" w:type="dxa"/>
            <w:left w:w="108" w:type="dxa"/>
            <w:bottom w:w="0" w:type="dxa"/>
            <w:right w:w="108" w:type="dxa"/>
          </w:tblCellMar>
        </w:tblPrEx>
        <w:trPr>
          <w:gridAfter w:val="1"/>
          <w:wAfter w:w="23" w:type="dxa"/>
          <w:trHeight w:val="622" w:hRule="atLeast"/>
          <w:jc w:val="center"/>
        </w:trPr>
        <w:tc>
          <w:tcPr>
            <w:tcW w:w="768" w:type="dxa"/>
            <w:tcBorders>
              <w:top w:val="nil"/>
              <w:left w:val="single" w:color="auto" w:sz="4" w:space="0"/>
              <w:bottom w:val="single" w:color="auto" w:sz="4" w:space="0"/>
              <w:right w:val="single" w:color="auto" w:sz="4" w:space="0"/>
            </w:tcBorders>
            <w:shd w:val="clear" w:color="auto" w:fill="auto"/>
            <w:vAlign w:val="center"/>
          </w:tcPr>
          <w:p w14:paraId="687AD59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872" w:type="dxa"/>
            <w:vMerge w:val="continue"/>
            <w:tcBorders>
              <w:top w:val="nil"/>
              <w:left w:val="single" w:color="auto" w:sz="4" w:space="0"/>
              <w:bottom w:val="single" w:color="auto" w:sz="4" w:space="0"/>
              <w:right w:val="single" w:color="auto" w:sz="4" w:space="0"/>
            </w:tcBorders>
            <w:vAlign w:val="center"/>
          </w:tcPr>
          <w:p w14:paraId="6F4BA10D">
            <w:pPr>
              <w:widowControl/>
              <w:jc w:val="left"/>
              <w:rPr>
                <w:rFonts w:hint="eastAsia" w:ascii="宋体" w:hAnsi="宋体" w:cs="宋体"/>
                <w:color w:val="auto"/>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25C9168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服务器</w:t>
            </w:r>
          </w:p>
        </w:tc>
        <w:tc>
          <w:tcPr>
            <w:tcW w:w="5729" w:type="dxa"/>
            <w:tcBorders>
              <w:top w:val="nil"/>
              <w:left w:val="nil"/>
              <w:bottom w:val="single" w:color="auto" w:sz="4" w:space="0"/>
              <w:right w:val="single" w:color="auto" w:sz="4" w:space="0"/>
            </w:tcBorders>
            <w:shd w:val="clear" w:color="auto" w:fill="auto"/>
            <w:vAlign w:val="center"/>
          </w:tcPr>
          <w:p w14:paraId="4A73FB1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 xml:space="preserve">规格型号：:RH2288H V3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xml:space="preserve">2个E5-2620V4(2.1GHZ/8-CORE/20MB/85W)/32GB DDR4-2400 智能内存/600GB 12G SAS 10K 2.5in SC ENT HDD*2 </w:t>
            </w:r>
          </w:p>
        </w:tc>
        <w:tc>
          <w:tcPr>
            <w:tcW w:w="894" w:type="dxa"/>
            <w:tcBorders>
              <w:top w:val="nil"/>
              <w:left w:val="nil"/>
              <w:bottom w:val="single" w:color="auto" w:sz="4" w:space="0"/>
              <w:right w:val="single" w:color="auto" w:sz="4" w:space="0"/>
            </w:tcBorders>
            <w:shd w:val="clear" w:color="auto" w:fill="auto"/>
            <w:vAlign w:val="center"/>
          </w:tcPr>
          <w:p w14:paraId="05257F0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台</w:t>
            </w:r>
          </w:p>
        </w:tc>
        <w:tc>
          <w:tcPr>
            <w:tcW w:w="654" w:type="dxa"/>
            <w:tcBorders>
              <w:top w:val="nil"/>
              <w:left w:val="nil"/>
              <w:bottom w:val="single" w:color="auto" w:sz="4" w:space="0"/>
              <w:right w:val="single" w:color="auto" w:sz="4" w:space="0"/>
            </w:tcBorders>
            <w:shd w:val="clear" w:color="auto" w:fill="auto"/>
            <w:vAlign w:val="center"/>
          </w:tcPr>
          <w:p w14:paraId="7AE7B9E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r>
    </w:tbl>
    <w:p w14:paraId="5992F386">
      <w:pPr>
        <w:pStyle w:val="55"/>
        <w:numPr>
          <w:ilvl w:val="0"/>
          <w:numId w:val="0"/>
        </w:numPr>
        <w:spacing w:line="360" w:lineRule="auto"/>
        <w:ind w:left="420" w:leftChars="0"/>
        <w:rPr>
          <w:rFonts w:hAnsi="宋体"/>
          <w:b/>
          <w:bCs/>
          <w:sz w:val="24"/>
          <w:szCs w:val="24"/>
        </w:rPr>
      </w:pPr>
      <w:r>
        <w:rPr>
          <w:rFonts w:hint="eastAsia" w:ascii="宋体" w:hAnsi="宋体"/>
          <w:b/>
          <w:bCs/>
          <w:color w:val="auto"/>
          <w:sz w:val="24"/>
          <w:szCs w:val="24"/>
        </w:rPr>
        <w:t>注：响应文件必须满足采购文件所有</w:t>
      </w:r>
      <w:r>
        <w:rPr>
          <w:rFonts w:hint="eastAsia" w:cs="Arial" w:asciiTheme="minorEastAsia" w:hAnsiTheme="minorEastAsia"/>
          <w:b/>
          <w:color w:val="auto"/>
          <w:kern w:val="0"/>
          <w:sz w:val="24"/>
          <w:szCs w:val="24"/>
        </w:rPr>
        <w:t>★</w:t>
      </w:r>
      <w:r>
        <w:rPr>
          <w:rFonts w:hint="eastAsia" w:ascii="宋体" w:hAnsi="宋体"/>
          <w:b/>
          <w:bCs/>
          <w:color w:val="auto"/>
          <w:sz w:val="24"/>
          <w:szCs w:val="24"/>
        </w:rPr>
        <w:t>号条款</w:t>
      </w:r>
    </w:p>
    <w:p w14:paraId="200B9EFA">
      <w:pPr>
        <w:rPr>
          <w:rFonts w:hint="default" w:ascii="宋体" w:hAnsi="宋体" w:cs="宋体"/>
          <w:b/>
          <w:bCs/>
          <w:color w:val="auto"/>
          <w:sz w:val="24"/>
          <w:lang w:val="en-US" w:eastAsia="zh-CN"/>
        </w:rPr>
      </w:pPr>
      <w:r>
        <w:rPr>
          <w:rFonts w:hint="default" w:ascii="宋体" w:hAnsi="宋体" w:cs="宋体"/>
          <w:b/>
          <w:bCs/>
          <w:color w:val="auto"/>
          <w:sz w:val="24"/>
          <w:lang w:val="en-US" w:eastAsia="zh-CN"/>
        </w:rPr>
        <w:br w:type="page"/>
      </w:r>
    </w:p>
    <w:p w14:paraId="199399A6">
      <w:pPr>
        <w:pStyle w:val="10"/>
        <w:rPr>
          <w:rFonts w:hint="eastAsia" w:ascii="宋体" w:hAnsi="宋体" w:cs="宋体"/>
          <w:b/>
          <w:bCs/>
          <w:color w:val="auto"/>
          <w:sz w:val="24"/>
          <w:lang w:val="en-US" w:eastAsia="zh-CN"/>
        </w:rPr>
      </w:pPr>
      <w:r>
        <w:rPr>
          <w:rFonts w:hint="eastAsia" w:ascii="宋体" w:hAnsi="宋体" w:cs="宋体"/>
          <w:b/>
          <w:bCs/>
          <w:color w:val="auto"/>
          <w:sz w:val="24"/>
          <w:lang w:val="en-US" w:eastAsia="zh-CN"/>
        </w:rPr>
        <w:t>标包</w:t>
      </w:r>
      <w:r>
        <w:rPr>
          <w:rFonts w:hint="eastAsia" w:cs="宋体"/>
          <w:b/>
          <w:bCs/>
          <w:color w:val="auto"/>
          <w:sz w:val="24"/>
          <w:lang w:val="en-US" w:eastAsia="zh-CN"/>
        </w:rPr>
        <w:t>5</w:t>
      </w:r>
      <w:r>
        <w:rPr>
          <w:rFonts w:hint="eastAsia" w:ascii="宋体" w:hAnsi="宋体" w:cs="宋体"/>
          <w:b/>
          <w:bCs/>
          <w:color w:val="auto"/>
          <w:sz w:val="24"/>
          <w:lang w:val="en-US" w:eastAsia="zh-CN"/>
        </w:rPr>
        <w:t>：</w:t>
      </w:r>
    </w:p>
    <w:p w14:paraId="174C957C">
      <w:pPr>
        <w:numPr>
          <w:ilvl w:val="0"/>
          <w:numId w:val="8"/>
        </w:numPr>
        <w:spacing w:line="560" w:lineRule="exact"/>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采购需求清单</w:t>
      </w:r>
    </w:p>
    <w:tbl>
      <w:tblPr>
        <w:tblStyle w:val="25"/>
        <w:tblpPr w:leftFromText="180" w:rightFromText="180" w:vertAnchor="text" w:horzAnchor="page" w:tblpX="1915" w:tblpY="478"/>
        <w:tblOverlap w:val="never"/>
        <w:tblW w:w="8188" w:type="dxa"/>
        <w:tblInd w:w="0" w:type="dxa"/>
        <w:tblLayout w:type="fixed"/>
        <w:tblCellMar>
          <w:top w:w="0" w:type="dxa"/>
          <w:left w:w="108" w:type="dxa"/>
          <w:bottom w:w="0" w:type="dxa"/>
          <w:right w:w="108" w:type="dxa"/>
        </w:tblCellMar>
      </w:tblPr>
      <w:tblGrid>
        <w:gridCol w:w="752"/>
        <w:gridCol w:w="1946"/>
        <w:gridCol w:w="2811"/>
        <w:gridCol w:w="2679"/>
      </w:tblGrid>
      <w:tr w14:paraId="48A9E9B3">
        <w:tblPrEx>
          <w:tblCellMar>
            <w:top w:w="0" w:type="dxa"/>
            <w:left w:w="108" w:type="dxa"/>
            <w:bottom w:w="0" w:type="dxa"/>
            <w:right w:w="108" w:type="dxa"/>
          </w:tblCellMar>
        </w:tblPrEx>
        <w:trPr>
          <w:trHeight w:val="83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0210">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序号</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4379">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内容</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C114">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数量</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A71F">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租用时间</w:t>
            </w:r>
          </w:p>
        </w:tc>
      </w:tr>
      <w:tr w14:paraId="633D5DE9">
        <w:tblPrEx>
          <w:tblCellMar>
            <w:top w:w="0" w:type="dxa"/>
            <w:left w:w="108" w:type="dxa"/>
            <w:bottom w:w="0" w:type="dxa"/>
            <w:right w:w="108" w:type="dxa"/>
          </w:tblCellMar>
        </w:tblPrEx>
        <w:trPr>
          <w:trHeight w:val="6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666A">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6AA1">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链路租赁</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C37F">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25条</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FBC8">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12个月</w:t>
            </w:r>
          </w:p>
        </w:tc>
      </w:tr>
    </w:tbl>
    <w:p w14:paraId="7BAA9039">
      <w:pPr>
        <w:numPr>
          <w:ilvl w:val="0"/>
          <w:numId w:val="8"/>
        </w:numPr>
        <w:spacing w:line="480" w:lineRule="exact"/>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总体需求</w:t>
      </w:r>
    </w:p>
    <w:p w14:paraId="47071772">
      <w:pPr>
        <w:adjustRightInd w:val="0"/>
        <w:snapToGrid w:val="0"/>
        <w:spacing w:line="480" w:lineRule="exact"/>
        <w:ind w:firstLine="482" w:firstLineChars="200"/>
        <w:rPr>
          <w:rFonts w:ascii="宋体" w:hAnsi="宋体" w:eastAsia="宋体" w:cs="宋体"/>
          <w:color w:val="auto"/>
          <w:sz w:val="24"/>
          <w:szCs w:val="24"/>
        </w:rPr>
      </w:pPr>
      <w:r>
        <w:rPr>
          <w:rFonts w:hint="eastAsia" w:cs="Arial" w:asciiTheme="minorEastAsia" w:hAnsiTheme="minorEastAsia"/>
          <w:b/>
          <w:color w:val="auto"/>
          <w:kern w:val="0"/>
          <w:sz w:val="24"/>
          <w:szCs w:val="24"/>
        </w:rPr>
        <w:t>★</w:t>
      </w:r>
      <w:r>
        <w:rPr>
          <w:rFonts w:hint="eastAsia" w:ascii="宋体" w:hAnsi="宋体" w:eastAsia="宋体" w:cs="宋体"/>
          <w:color w:val="auto"/>
          <w:sz w:val="24"/>
          <w:szCs w:val="24"/>
        </w:rPr>
        <w:t>1、服务内容：</w:t>
      </w:r>
      <w:r>
        <w:rPr>
          <w:rFonts w:hint="eastAsia" w:ascii="宋体" w:hAnsi="宋体" w:eastAsia="宋体" w:cs="宋体"/>
          <w:color w:val="auto"/>
          <w:kern w:val="0"/>
          <w:sz w:val="24"/>
          <w:szCs w:val="24"/>
          <w:lang w:bidi="ar"/>
        </w:rPr>
        <w:t>链路租赁</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25条，租用时间12个月；</w:t>
      </w:r>
    </w:p>
    <w:p w14:paraId="422F01DB">
      <w:pPr>
        <w:adjustRightInd w:val="0"/>
        <w:snapToGrid w:val="0"/>
        <w:spacing w:line="480" w:lineRule="exact"/>
        <w:ind w:firstLine="480" w:firstLineChars="200"/>
        <w:rPr>
          <w:rFonts w:ascii="宋体" w:hAnsi="宋体" w:eastAsia="宋体" w:cs="宋体"/>
          <w:color w:val="auto"/>
          <w:sz w:val="24"/>
          <w:szCs w:val="24"/>
          <w:lang w:eastAsia="zh-Hans"/>
        </w:rPr>
      </w:pPr>
      <w:r>
        <w:rPr>
          <w:rFonts w:hint="eastAsia" w:ascii="宋体" w:hAnsi="宋体" w:eastAsia="宋体" w:cs="宋体"/>
          <w:color w:val="auto"/>
          <w:sz w:val="24"/>
          <w:szCs w:val="24"/>
        </w:rPr>
        <w:t>2、服务地点：</w:t>
      </w:r>
      <w:r>
        <w:rPr>
          <w:rFonts w:hint="eastAsia" w:ascii="宋体" w:hAnsi="宋体" w:eastAsia="宋体" w:cs="宋体"/>
          <w:color w:val="auto"/>
          <w:sz w:val="24"/>
          <w:szCs w:val="24"/>
          <w:lang w:eastAsia="zh-Hans"/>
        </w:rPr>
        <w:t>按甲方指定地点。</w:t>
      </w:r>
    </w:p>
    <w:p w14:paraId="70B2A485">
      <w:pPr>
        <w:adjustRightInd w:val="0"/>
        <w:snapToGrid w:val="0"/>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3、服务期限：自合同签订起1年。</w:t>
      </w:r>
    </w:p>
    <w:p w14:paraId="058ED7EC">
      <w:pPr>
        <w:adjustRightInd w:val="0"/>
        <w:snapToGrid w:val="0"/>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☆4、链路接通工期：供应商自合同签订之日起10日内完成链路建设，向用户提供符合质量需求的链路租用服务。</w:t>
      </w:r>
      <w:r>
        <w:rPr>
          <w:rFonts w:hint="eastAsia" w:ascii="宋体" w:hAnsi="宋体" w:cs="宋体"/>
          <w:b/>
          <w:bCs/>
          <w:color w:val="auto"/>
          <w:sz w:val="24"/>
          <w:szCs w:val="24"/>
        </w:rPr>
        <w:t>（提供承诺函）</w:t>
      </w:r>
    </w:p>
    <w:p w14:paraId="78789EC6">
      <w:pPr>
        <w:adjustRightInd w:val="0"/>
        <w:snapToGrid w:val="0"/>
        <w:spacing w:line="480" w:lineRule="exact"/>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☆5、服务承诺：</w:t>
      </w:r>
      <w:r>
        <w:rPr>
          <w:rFonts w:hint="eastAsia" w:ascii="宋体" w:hAnsi="宋体" w:eastAsia="宋体" w:cs="宋体"/>
          <w:b/>
          <w:bCs/>
          <w:color w:val="auto"/>
          <w:sz w:val="24"/>
          <w:szCs w:val="24"/>
        </w:rPr>
        <w:t>中标后链路和技术服务不得以任何形式中断。</w:t>
      </w:r>
      <w:bookmarkStart w:id="178" w:name="OLE_LINK9"/>
      <w:r>
        <w:rPr>
          <w:rFonts w:hint="eastAsia" w:ascii="宋体" w:hAnsi="宋体" w:cs="宋体"/>
          <w:b/>
          <w:bCs/>
          <w:color w:val="auto"/>
          <w:sz w:val="24"/>
          <w:szCs w:val="24"/>
        </w:rPr>
        <w:t>（提供承诺函）</w:t>
      </w:r>
    </w:p>
    <w:bookmarkEnd w:id="178"/>
    <w:p w14:paraId="11A19202">
      <w:pPr>
        <w:adjustRightInd w:val="0"/>
        <w:snapToGrid w:val="0"/>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6、服务标准：</w:t>
      </w:r>
    </w:p>
    <w:p w14:paraId="1B3D769D">
      <w:pPr>
        <w:adjustRightInd w:val="0"/>
        <w:snapToGrid w:val="0"/>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提供7×24小时服务。必须在1小时内响应，2小时内派技术人员到达现场维修，一般故障必须在8小时内修复；疑难故障或由于特殊器件影响不能及时处理的，要提供应急技术解决方案，最迟应在24小时内修复，修复标准为系统各项功能运行正常，可以正常使用。如人为(除不可抗力因素外）原因导致故障未及时修复，超出故障修复时间，分局将按照派单故障超时，作为链路租赁费核减依据，超出3天的扣除当月租赁费、超出7天的扣除当季度租赁费、超出10天的扣除半年租赁费、超出15天的扣除当年租赁费。</w:t>
      </w:r>
    </w:p>
    <w:p w14:paraId="6146FF6B">
      <w:pPr>
        <w:numPr>
          <w:ilvl w:val="0"/>
          <w:numId w:val="8"/>
        </w:numPr>
        <w:spacing w:line="480" w:lineRule="exact"/>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技术参数要求</w:t>
      </w:r>
    </w:p>
    <w:p w14:paraId="234D25F7">
      <w:pPr>
        <w:pStyle w:val="12"/>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7、采购内容：某单位视频监控链路采购，包含</w:t>
      </w:r>
      <w:r>
        <w:rPr>
          <w:rFonts w:hint="eastAsia" w:hAnsi="宋体" w:cs="宋体"/>
          <w:color w:val="auto"/>
          <w:sz w:val="24"/>
          <w:szCs w:val="24"/>
          <w:lang w:val="en-US" w:eastAsia="zh-CN"/>
        </w:rPr>
        <w:t>2</w:t>
      </w:r>
      <w:r>
        <w:rPr>
          <w:rFonts w:hint="eastAsia" w:hAnsi="宋体" w:cs="宋体"/>
          <w:color w:val="auto"/>
          <w:sz w:val="24"/>
          <w:szCs w:val="24"/>
        </w:rPr>
        <w:t>25条pon专网链路，速率不低于30Mbps。</w:t>
      </w:r>
    </w:p>
    <w:p w14:paraId="735EA8F3">
      <w:pPr>
        <w:pStyle w:val="12"/>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8、技术要求:投标人在线路接入等施工过程中，不得中断甲方现有的业务网络，不得改变原有的网络拓扑和配置。要求供应商在服务所在区域内具有覆盖到各单位的链路资源，可以满足本次项目所涉及的接入及后续扩容的要求，光纤链路到达各接入点位资源到位率100%，并提供证明材料（光路图等相关材料）。投标单位线路已覆盖两端用户，传输资源已全部到位，资源到位率100%，并提供证明资料。（资源到位证明材料包括网络路由截图、接入端机房设备机架号或专网设备现状清单等）接入服务商提供的互联网链路带宽不低于招标内容要求。链路平均丢包率≤0.1%，链路可用率≥99.9%。链路提供商负责提供链路相关的网络设备。</w:t>
      </w:r>
    </w:p>
    <w:p w14:paraId="67FABD6E">
      <w:pPr>
        <w:pStyle w:val="12"/>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☆9、网络架构及安全保障要求</w:t>
      </w:r>
      <w:bookmarkStart w:id="179" w:name="_Hlk164812882"/>
      <w:r>
        <w:rPr>
          <w:rFonts w:hint="eastAsia" w:hAnsi="宋体" w:cs="宋体"/>
          <w:color w:val="auto"/>
          <w:sz w:val="24"/>
          <w:szCs w:val="24"/>
        </w:rPr>
        <w:t>：本项目系统组网采用全IP架构，采用全光纤PON的组网方式，将前端采集的信息全部接入视频专网。</w:t>
      </w:r>
      <w:bookmarkEnd w:id="179"/>
      <w:r>
        <w:rPr>
          <w:rFonts w:hint="eastAsia" w:hAnsi="宋体" w:cs="宋体"/>
          <w:color w:val="auto"/>
          <w:sz w:val="24"/>
          <w:szCs w:val="24"/>
        </w:rPr>
        <w:t>网络搭建采用无源PON网络，从OLT到分光器到ONU均为专网专用，与互联网及其他网络物理隔离。传输系统：租用运营商有线光纤传输，实现将前端设备摄像机接入至公安视频专网，一方面将前端采集的图像信息至监控平台；另一方面将后端控制指令传输至前端设备。参照《安全防范视频监控联网系统信息传输、交换、控制技术要求（GB/T28181-2016）文件规范依据。</w:t>
      </w:r>
    </w:p>
    <w:p w14:paraId="7B2FC643">
      <w:pPr>
        <w:pStyle w:val="12"/>
        <w:adjustRightInd w:val="0"/>
        <w:snapToGrid w:val="0"/>
        <w:spacing w:line="360" w:lineRule="auto"/>
        <w:rPr>
          <w:rFonts w:hAnsi="宋体" w:cs="宋体"/>
          <w:color w:val="auto"/>
          <w:sz w:val="24"/>
          <w:szCs w:val="24"/>
        </w:rPr>
      </w:pPr>
      <w:r>
        <w:rPr>
          <w:rFonts w:hint="eastAsia" w:hAnsi="宋体" w:cs="宋体"/>
          <w:color w:val="auto"/>
          <w:sz w:val="24"/>
          <w:szCs w:val="24"/>
        </w:rPr>
        <w:t>10、网络传输带宽要求：单个前端点位应具有独立带宽接入ONU设备，经运营商承载网由OLT设备汇聚至核心交换机。</w:t>
      </w:r>
    </w:p>
    <w:p w14:paraId="34EE5706">
      <w:pPr>
        <w:pStyle w:val="10"/>
        <w:rPr>
          <w:rFonts w:hint="eastAsia" w:hAnsi="宋体" w:cs="宋体"/>
          <w:color w:val="auto"/>
          <w:sz w:val="24"/>
          <w:szCs w:val="24"/>
        </w:rPr>
      </w:pPr>
      <w:r>
        <w:rPr>
          <w:rFonts w:hint="eastAsia" w:hAnsi="宋体" w:cs="宋体"/>
          <w:color w:val="auto"/>
          <w:sz w:val="24"/>
          <w:szCs w:val="24"/>
        </w:rPr>
        <w:t>☆11、网络传输质量要求：联网系统IP网络的传输质量(如传输时延、包丢失率、包误差率、虚假包率等)应符合以下要求：专线时延上限值为400ms；时延抖动上限值为50ms；丢包率上限值为1×10-7；包误差率上限值为1×10-4。视频帧率本地录像时可支持的视频帧率应不低于25帧/秒，网络传输的视频帧率应不低于25帧/秒。</w:t>
      </w:r>
    </w:p>
    <w:p w14:paraId="4A9E687B">
      <w:pPr>
        <w:rPr>
          <w:rFonts w:hint="eastAsia" w:hAnsi="宋体" w:cs="宋体"/>
          <w:color w:val="auto"/>
          <w:sz w:val="24"/>
          <w:szCs w:val="24"/>
        </w:rPr>
      </w:pPr>
      <w:r>
        <w:rPr>
          <w:rFonts w:hint="eastAsia" w:hAnsi="宋体" w:cs="宋体"/>
          <w:color w:val="auto"/>
          <w:sz w:val="24"/>
          <w:szCs w:val="24"/>
        </w:rPr>
        <w:br w:type="page"/>
      </w:r>
    </w:p>
    <w:p w14:paraId="6D3FB279">
      <w:pPr>
        <w:pStyle w:val="10"/>
        <w:rPr>
          <w:rFonts w:hint="eastAsia" w:hAnsi="宋体" w:cs="宋体"/>
          <w:b/>
          <w:bCs/>
          <w:color w:val="auto"/>
          <w:sz w:val="24"/>
          <w:szCs w:val="24"/>
          <w:highlight w:val="yellow"/>
          <w:lang w:val="en-US" w:eastAsia="zh-CN"/>
        </w:rPr>
      </w:pPr>
      <w:r>
        <w:rPr>
          <w:rFonts w:hint="eastAsia" w:hAnsi="宋体" w:cs="宋体"/>
          <w:b/>
          <w:bCs/>
          <w:color w:val="auto"/>
          <w:sz w:val="24"/>
          <w:szCs w:val="24"/>
          <w:lang w:val="en-US" w:eastAsia="zh-CN"/>
        </w:rPr>
        <w:t>标包</w:t>
      </w:r>
      <w:r>
        <w:rPr>
          <w:rFonts w:hint="eastAsia" w:cs="宋体"/>
          <w:b/>
          <w:bCs/>
          <w:color w:val="auto"/>
          <w:sz w:val="24"/>
          <w:szCs w:val="24"/>
          <w:lang w:val="en-US" w:eastAsia="zh-CN"/>
        </w:rPr>
        <w:t>6</w:t>
      </w:r>
      <w:r>
        <w:rPr>
          <w:rFonts w:hint="eastAsia" w:hAnsi="宋体" w:cs="宋体"/>
          <w:b/>
          <w:bCs/>
          <w:color w:val="auto"/>
          <w:sz w:val="24"/>
          <w:szCs w:val="24"/>
          <w:lang w:val="en-US" w:eastAsia="zh-CN"/>
        </w:rPr>
        <w:t>：</w:t>
      </w:r>
    </w:p>
    <w:p w14:paraId="4959C70B">
      <w:pPr>
        <w:numPr>
          <w:ilvl w:val="0"/>
          <w:numId w:val="9"/>
        </w:numPr>
        <w:spacing w:line="560" w:lineRule="exact"/>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采购需求清单</w:t>
      </w:r>
    </w:p>
    <w:tbl>
      <w:tblPr>
        <w:tblStyle w:val="25"/>
        <w:tblpPr w:leftFromText="180" w:rightFromText="180" w:vertAnchor="text" w:horzAnchor="page" w:tblpX="1915" w:tblpY="478"/>
        <w:tblOverlap w:val="never"/>
        <w:tblW w:w="8188" w:type="dxa"/>
        <w:tblInd w:w="0" w:type="dxa"/>
        <w:tblLayout w:type="fixed"/>
        <w:tblCellMar>
          <w:top w:w="0" w:type="dxa"/>
          <w:left w:w="108" w:type="dxa"/>
          <w:bottom w:w="0" w:type="dxa"/>
          <w:right w:w="108" w:type="dxa"/>
        </w:tblCellMar>
      </w:tblPr>
      <w:tblGrid>
        <w:gridCol w:w="752"/>
        <w:gridCol w:w="1946"/>
        <w:gridCol w:w="2811"/>
        <w:gridCol w:w="2679"/>
      </w:tblGrid>
      <w:tr w14:paraId="455A02CA">
        <w:tblPrEx>
          <w:tblCellMar>
            <w:top w:w="0" w:type="dxa"/>
            <w:left w:w="108" w:type="dxa"/>
            <w:bottom w:w="0" w:type="dxa"/>
            <w:right w:w="108" w:type="dxa"/>
          </w:tblCellMar>
        </w:tblPrEx>
        <w:trPr>
          <w:trHeight w:val="83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D399">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序号</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F956">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内容</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629E">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数量</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576B">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租用时间</w:t>
            </w:r>
          </w:p>
        </w:tc>
      </w:tr>
      <w:tr w14:paraId="4989CBBA">
        <w:tblPrEx>
          <w:tblCellMar>
            <w:top w:w="0" w:type="dxa"/>
            <w:left w:w="108" w:type="dxa"/>
            <w:bottom w:w="0" w:type="dxa"/>
            <w:right w:w="108" w:type="dxa"/>
          </w:tblCellMar>
        </w:tblPrEx>
        <w:trPr>
          <w:trHeight w:val="6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F0E">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F3F9">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链路租赁</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0B0C">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43</w:t>
            </w:r>
            <w:r>
              <w:rPr>
                <w:rFonts w:hint="eastAsia" w:ascii="宋体" w:hAnsi="宋体" w:eastAsia="宋体" w:cs="宋体"/>
                <w:color w:val="auto"/>
                <w:kern w:val="0"/>
                <w:sz w:val="24"/>
                <w:szCs w:val="24"/>
                <w:lang w:bidi="ar"/>
              </w:rPr>
              <w:t>条</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846A">
            <w:pPr>
              <w:widowControl/>
              <w:spacing w:line="560" w:lineRule="exact"/>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12个月</w:t>
            </w:r>
          </w:p>
        </w:tc>
      </w:tr>
    </w:tbl>
    <w:p w14:paraId="4A8B8252">
      <w:pPr>
        <w:numPr>
          <w:ilvl w:val="0"/>
          <w:numId w:val="9"/>
        </w:numPr>
        <w:spacing w:line="480" w:lineRule="exact"/>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总体需求</w:t>
      </w:r>
    </w:p>
    <w:p w14:paraId="56BB9336">
      <w:pPr>
        <w:adjustRightInd w:val="0"/>
        <w:snapToGrid w:val="0"/>
        <w:spacing w:line="480" w:lineRule="exact"/>
        <w:ind w:firstLine="482" w:firstLineChars="200"/>
        <w:rPr>
          <w:rFonts w:ascii="宋体" w:hAnsi="宋体" w:eastAsia="宋体" w:cs="宋体"/>
          <w:color w:val="auto"/>
          <w:sz w:val="24"/>
          <w:szCs w:val="24"/>
        </w:rPr>
      </w:pPr>
      <w:r>
        <w:rPr>
          <w:rFonts w:hint="eastAsia" w:cs="Arial" w:asciiTheme="minorEastAsia" w:hAnsiTheme="minorEastAsia"/>
          <w:b/>
          <w:color w:val="auto"/>
          <w:kern w:val="0"/>
          <w:sz w:val="24"/>
          <w:szCs w:val="24"/>
        </w:rPr>
        <w:t>★</w:t>
      </w:r>
      <w:r>
        <w:rPr>
          <w:rFonts w:hint="eastAsia" w:ascii="宋体" w:hAnsi="宋体" w:eastAsia="宋体" w:cs="宋体"/>
          <w:color w:val="auto"/>
          <w:sz w:val="24"/>
          <w:szCs w:val="24"/>
        </w:rPr>
        <w:t>1、服务内容：</w:t>
      </w:r>
      <w:r>
        <w:rPr>
          <w:rFonts w:hint="eastAsia" w:ascii="宋体" w:hAnsi="宋体" w:eastAsia="宋体" w:cs="宋体"/>
          <w:color w:val="auto"/>
          <w:kern w:val="0"/>
          <w:sz w:val="24"/>
          <w:szCs w:val="24"/>
          <w:lang w:bidi="ar"/>
        </w:rPr>
        <w:t>链路租赁</w:t>
      </w:r>
      <w:r>
        <w:rPr>
          <w:rFonts w:hint="eastAsia" w:ascii="宋体" w:hAnsi="宋体" w:eastAsia="宋体" w:cs="宋体"/>
          <w:color w:val="auto"/>
          <w:kern w:val="0"/>
          <w:sz w:val="24"/>
          <w:szCs w:val="24"/>
          <w:lang w:val="en-US" w:eastAsia="zh-CN" w:bidi="ar"/>
        </w:rPr>
        <w:t>43</w:t>
      </w:r>
      <w:r>
        <w:rPr>
          <w:rFonts w:hint="eastAsia" w:ascii="宋体" w:hAnsi="宋体" w:eastAsia="宋体" w:cs="宋体"/>
          <w:color w:val="auto"/>
          <w:kern w:val="0"/>
          <w:sz w:val="24"/>
          <w:szCs w:val="24"/>
          <w:lang w:bidi="ar"/>
        </w:rPr>
        <w:t>条，租用时间12个月；</w:t>
      </w:r>
    </w:p>
    <w:p w14:paraId="5DA129ED">
      <w:pPr>
        <w:adjustRightInd w:val="0"/>
        <w:snapToGrid w:val="0"/>
        <w:spacing w:line="480" w:lineRule="exact"/>
        <w:ind w:firstLine="480" w:firstLineChars="200"/>
        <w:rPr>
          <w:rFonts w:ascii="宋体" w:hAnsi="宋体" w:eastAsia="宋体" w:cs="宋体"/>
          <w:color w:val="auto"/>
          <w:sz w:val="24"/>
          <w:szCs w:val="24"/>
          <w:lang w:eastAsia="zh-Hans"/>
        </w:rPr>
      </w:pPr>
      <w:r>
        <w:rPr>
          <w:rFonts w:hint="eastAsia" w:ascii="宋体" w:hAnsi="宋体" w:eastAsia="宋体" w:cs="宋体"/>
          <w:color w:val="auto"/>
          <w:sz w:val="24"/>
          <w:szCs w:val="24"/>
        </w:rPr>
        <w:t>2、服务地点：</w:t>
      </w:r>
      <w:r>
        <w:rPr>
          <w:rFonts w:hint="eastAsia" w:ascii="宋体" w:hAnsi="宋体" w:eastAsia="宋体" w:cs="宋体"/>
          <w:color w:val="auto"/>
          <w:sz w:val="24"/>
          <w:szCs w:val="24"/>
          <w:lang w:eastAsia="zh-Hans"/>
        </w:rPr>
        <w:t>按甲方指定地点。</w:t>
      </w:r>
    </w:p>
    <w:p w14:paraId="62FB2DFC">
      <w:pPr>
        <w:adjustRightInd w:val="0"/>
        <w:snapToGrid w:val="0"/>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3、服务期限：自合同签订起1年。</w:t>
      </w:r>
    </w:p>
    <w:p w14:paraId="24E2BA11">
      <w:pPr>
        <w:adjustRightInd w:val="0"/>
        <w:snapToGrid w:val="0"/>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☆4、链路接通工期：供应商自合同签订之日起10日内完成链路建设，向用户提供符合质量需求的链路租用服务。</w:t>
      </w:r>
      <w:r>
        <w:rPr>
          <w:rFonts w:hint="eastAsia" w:ascii="宋体" w:hAnsi="宋体" w:cs="宋体"/>
          <w:b/>
          <w:bCs/>
          <w:color w:val="auto"/>
          <w:sz w:val="24"/>
          <w:szCs w:val="24"/>
        </w:rPr>
        <w:t>（提供承诺函）</w:t>
      </w:r>
    </w:p>
    <w:p w14:paraId="3497792E">
      <w:pPr>
        <w:adjustRightInd w:val="0"/>
        <w:snapToGrid w:val="0"/>
        <w:spacing w:line="480" w:lineRule="exact"/>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☆5、服务承诺：</w:t>
      </w:r>
      <w:r>
        <w:rPr>
          <w:rFonts w:hint="eastAsia" w:ascii="宋体" w:hAnsi="宋体" w:eastAsia="宋体" w:cs="宋体"/>
          <w:b/>
          <w:bCs/>
          <w:color w:val="auto"/>
          <w:sz w:val="24"/>
          <w:szCs w:val="24"/>
        </w:rPr>
        <w:t>中标后链路和技术服务不得以任何形式中断。</w:t>
      </w:r>
      <w:r>
        <w:rPr>
          <w:rFonts w:hint="eastAsia" w:ascii="宋体" w:hAnsi="宋体" w:cs="宋体"/>
          <w:b/>
          <w:bCs/>
          <w:color w:val="auto"/>
          <w:sz w:val="24"/>
          <w:szCs w:val="24"/>
        </w:rPr>
        <w:t>（提供承诺函）</w:t>
      </w:r>
    </w:p>
    <w:p w14:paraId="5A120709">
      <w:pPr>
        <w:adjustRightInd w:val="0"/>
        <w:snapToGrid w:val="0"/>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6、服务标准：</w:t>
      </w:r>
    </w:p>
    <w:p w14:paraId="2010502B">
      <w:pPr>
        <w:adjustRightInd w:val="0"/>
        <w:snapToGrid w:val="0"/>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提供7×24小时服务。必须在1小时内响应，2小时内派技术人员到达现场维修，一般故障必须在8小时内修复；疑难故障或由于特殊器件影响不能及时处理的，要提供应急技术解决方案，最迟应在24小时内修复，修复标准为系统各项功能运行正常，可以正常使用。如人为(除不可抗力因素外）原因导致故障未及时修复，超出故障修复时间，分局将按照派单故障超时，作为链路租赁费核减依据，超出3天的扣除当月租赁费、超出7天的扣除当季度租赁费、超出10天的扣除半年租赁费、超出15天的扣除当年租赁费。</w:t>
      </w:r>
    </w:p>
    <w:p w14:paraId="62BD241F">
      <w:pPr>
        <w:numPr>
          <w:ilvl w:val="0"/>
          <w:numId w:val="9"/>
        </w:numPr>
        <w:spacing w:line="480" w:lineRule="exact"/>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技术参数要求</w:t>
      </w:r>
    </w:p>
    <w:p w14:paraId="78D2EAA2">
      <w:pPr>
        <w:pStyle w:val="12"/>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7、采购内容：某单位视频监控链路采购，包含</w:t>
      </w:r>
      <w:r>
        <w:rPr>
          <w:rFonts w:hint="eastAsia" w:hAnsi="宋体" w:cs="宋体"/>
          <w:color w:val="auto"/>
          <w:sz w:val="24"/>
          <w:szCs w:val="24"/>
          <w:lang w:val="en-US" w:eastAsia="zh-CN"/>
        </w:rPr>
        <w:t>43</w:t>
      </w:r>
      <w:r>
        <w:rPr>
          <w:rFonts w:hint="eastAsia" w:hAnsi="宋体" w:cs="宋体"/>
          <w:color w:val="auto"/>
          <w:sz w:val="24"/>
          <w:szCs w:val="24"/>
        </w:rPr>
        <w:t>条pon专网链路，速率不低于30Mbps。</w:t>
      </w:r>
    </w:p>
    <w:p w14:paraId="6EA28663">
      <w:pPr>
        <w:pStyle w:val="12"/>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8、技术要求:投标人在线路接入等施工过程中，不得中断甲方现有的业务网络，不得改变原有的网络拓扑和配置。要求供应商在服务所在区域内具有覆盖到各单位的链路资源，可以满足本次项目所涉及的接入及后续扩容的要求，光纤链路到达各接入点位资源到位率100%，并提供证明材料（光路图等相关材料）。投标单位线路已覆盖两端用户，传输资源已全部到位，资源到位率100%，并提供证明资料。（资源到位证明材料包括网络路由截图、接入端机房设备机架号或专网设备现状清单等）接入服务商提供的互联网链路带宽不低于招标内容要求。链路平均丢包率≤0.1%，链路可用率≥99.9%。链路提供商负责提供链路相关的网络设备。</w:t>
      </w:r>
    </w:p>
    <w:p w14:paraId="2CC45526">
      <w:pPr>
        <w:pStyle w:val="12"/>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9、网络架构及安全保障要求：本项目系统组网采用全IP架构，采用全光纤PON的组网方式，将前端采集的信息全部接入视频专网。网络搭建采用无源PON网络，从OLT到分光器到ONU均为专网专用，与互联网及其他网络物理隔离。传输系统：租用运营商有线光纤传输，实现将前端设备摄像机接入至公安视频专网，一方面将前端采集的图像信息至监控平台；另一方面将后端控制指令传输至前端设备。参照《安全防范视频监控联网系统信息传输、交换、控制技术要求（GB/T28181-2016）文件规范依据。</w:t>
      </w:r>
    </w:p>
    <w:p w14:paraId="2F2049EC">
      <w:pPr>
        <w:pStyle w:val="12"/>
        <w:adjustRightInd w:val="0"/>
        <w:snapToGrid w:val="0"/>
        <w:spacing w:line="360" w:lineRule="auto"/>
        <w:rPr>
          <w:rFonts w:hAnsi="宋体" w:cs="宋体"/>
          <w:color w:val="auto"/>
          <w:sz w:val="24"/>
          <w:szCs w:val="24"/>
        </w:rPr>
      </w:pPr>
      <w:r>
        <w:rPr>
          <w:rFonts w:hint="eastAsia" w:hAnsi="宋体" w:cs="宋体"/>
          <w:color w:val="auto"/>
          <w:sz w:val="24"/>
          <w:szCs w:val="24"/>
        </w:rPr>
        <w:t>10、网络传输带宽要求：单个前端点位应具有独立带宽接入ONU设备，经运营商承载网由OLT设备汇聚至核心交换机。</w:t>
      </w:r>
    </w:p>
    <w:p w14:paraId="1001F565">
      <w:pPr>
        <w:pStyle w:val="10"/>
        <w:rPr>
          <w:rFonts w:hint="eastAsia" w:hAnsi="宋体" w:cs="宋体"/>
          <w:color w:val="auto"/>
          <w:sz w:val="24"/>
          <w:szCs w:val="24"/>
        </w:rPr>
      </w:pPr>
      <w:r>
        <w:rPr>
          <w:rFonts w:hint="eastAsia" w:hAnsi="宋体" w:cs="宋体"/>
          <w:color w:val="auto"/>
          <w:sz w:val="24"/>
          <w:szCs w:val="24"/>
        </w:rPr>
        <w:t>☆11、网络传输质量要求：联网系统IP网络的传输质量(如传输时延、包丢失率、包误差率、虚假包率等)应符合以下要求：专线时延上限值为400ms；时延抖动上限值为50ms；丢包率上限值为1×10-7；包误差率上限值为1×10-4。视频帧率本地录像时可支持的视频帧率应不低于25帧/秒，网络传输的视频帧率应不低于25帧/秒。</w:t>
      </w:r>
    </w:p>
    <w:p w14:paraId="51FA517D">
      <w:pPr>
        <w:pStyle w:val="10"/>
        <w:rPr>
          <w:rFonts w:hint="default" w:hAnsi="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E3B6">
    <w:pPr>
      <w:pStyle w:val="14"/>
      <w:jc w:val="center"/>
    </w:pPr>
    <w:r>
      <w:fldChar w:fldCharType="begin"/>
    </w:r>
    <w:r>
      <w:instrText xml:space="preserve"> PAGE   \* MERGEFORMAT </w:instrText>
    </w:r>
    <w:r>
      <w:fldChar w:fldCharType="separate"/>
    </w:r>
    <w:r>
      <w:rPr>
        <w:lang w:val="zh-CN"/>
      </w:rPr>
      <w:t>1</w:t>
    </w:r>
    <w:r>
      <w:fldChar w:fldCharType="end"/>
    </w:r>
  </w:p>
  <w:p w14:paraId="232AAB2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7FF1">
    <w:pPr>
      <w:spacing w:line="176" w:lineRule="auto"/>
      <w:ind w:left="5782"/>
      <w:rPr>
        <w:rFonts w:ascii="Calibri" w:hAnsi="Calibri" w:eastAsia="Calibri" w:cs="Calibri"/>
        <w:sz w:val="16"/>
        <w:szCs w:val="16"/>
      </w:rPr>
    </w:pPr>
    <w:r>
      <w:rPr>
        <w:rFonts w:ascii="Calibri" w:hAnsi="Calibri" w:eastAsia="Calibri" w:cs="Calibri"/>
        <w:sz w:val="16"/>
        <w:szCs w:val="16"/>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8348">
    <w:pPr>
      <w:pStyle w:val="14"/>
      <w:jc w:val="center"/>
    </w:pPr>
    <w:r>
      <w:fldChar w:fldCharType="begin"/>
    </w:r>
    <w:r>
      <w:instrText xml:space="preserve"> PAGE   \* MERGEFORMAT </w:instrText>
    </w:r>
    <w:r>
      <w:fldChar w:fldCharType="separate"/>
    </w:r>
    <w:r>
      <w:rPr>
        <w:lang w:val="zh-CN"/>
      </w:rPr>
      <w:t>75</w:t>
    </w:r>
    <w:r>
      <w:fldChar w:fldCharType="end"/>
    </w:r>
  </w:p>
  <w:p w14:paraId="62A6AD7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F55E">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E185">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60ED">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651F6"/>
    <w:multiLevelType w:val="singleLevel"/>
    <w:tmpl w:val="8C7651F6"/>
    <w:lvl w:ilvl="0" w:tentative="0">
      <w:start w:val="1"/>
      <w:numFmt w:val="chineseCounting"/>
      <w:suff w:val="nothing"/>
      <w:lvlText w:val="%1、"/>
      <w:lvlJc w:val="left"/>
      <w:pPr>
        <w:ind w:left="0"/>
      </w:pPr>
      <w:rPr>
        <w:rFonts w:hint="eastAsia"/>
      </w:rPr>
    </w:lvl>
  </w:abstractNum>
  <w:abstractNum w:abstractNumId="1">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C30189A0"/>
    <w:multiLevelType w:val="multilevel"/>
    <w:tmpl w:val="C30189A0"/>
    <w:lvl w:ilvl="0" w:tentative="0">
      <w:start w:val="1"/>
      <w:numFmt w:val="decimal"/>
      <w:pStyle w:val="3"/>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3">
    <w:nsid w:val="D49DAB62"/>
    <w:multiLevelType w:val="singleLevel"/>
    <w:tmpl w:val="D49DAB62"/>
    <w:lvl w:ilvl="0" w:tentative="0">
      <w:start w:val="2"/>
      <w:numFmt w:val="decimal"/>
      <w:suff w:val="space"/>
      <w:lvlText w:val="%1."/>
      <w:lvlJc w:val="left"/>
    </w:lvl>
  </w:abstractNum>
  <w:abstractNum w:abstractNumId="4">
    <w:nsid w:val="054D21F2"/>
    <w:multiLevelType w:val="singleLevel"/>
    <w:tmpl w:val="054D21F2"/>
    <w:lvl w:ilvl="0" w:tentative="0">
      <w:start w:val="1"/>
      <w:numFmt w:val="chineseCounting"/>
      <w:suff w:val="nothing"/>
      <w:lvlText w:val="%1、"/>
      <w:lvlJc w:val="left"/>
      <w:pPr>
        <w:ind w:left="0"/>
      </w:pPr>
      <w:rPr>
        <w:rFonts w:hint="eastAsia"/>
      </w:rPr>
    </w:lvl>
  </w:abstractNum>
  <w:abstractNum w:abstractNumId="5">
    <w:nsid w:val="4ACC3343"/>
    <w:multiLevelType w:val="multilevel"/>
    <w:tmpl w:val="4ACC3343"/>
    <w:lvl w:ilvl="0" w:tentative="0">
      <w:start w:val="0"/>
      <w:numFmt w:val="bullet"/>
      <w:lvlText w:val="□"/>
      <w:lvlJc w:val="left"/>
      <w:pPr>
        <w:ind w:left="360" w:hanging="360"/>
      </w:pPr>
      <w:rPr>
        <w:rFonts w:hint="eastAsia" w:ascii="宋体" w:hAnsi="宋体"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6">
    <w:nsid w:val="52B93B97"/>
    <w:multiLevelType w:val="multilevel"/>
    <w:tmpl w:val="52B93B97"/>
    <w:lvl w:ilvl="0" w:tentative="0">
      <w:start w:val="1"/>
      <w:numFmt w:val="decimal"/>
      <w:lvlText w:val="%1."/>
      <w:lvlJc w:val="left"/>
      <w:pPr>
        <w:ind w:left="980" w:hanging="420"/>
      </w:pPr>
      <w:rPr>
        <w:rFonts w:hint="default"/>
        <w:u w:val="none" w:color="auto"/>
      </w:rPr>
    </w:lvl>
    <w:lvl w:ilvl="1" w:tentative="0">
      <w:start w:val="1"/>
      <w:numFmt w:val="bullet"/>
      <w:lvlText w:val=""/>
      <w:lvlJc w:val="left"/>
      <w:pPr>
        <w:ind w:left="1400" w:hanging="420"/>
      </w:pPr>
      <w:rPr>
        <w:rFonts w:hint="default" w:ascii="Wingdings" w:hAnsi="Wingdings" w:eastAsia="宋体"/>
        <w:u w:val="none" w:color="auto"/>
      </w:rPr>
    </w:lvl>
    <w:lvl w:ilvl="2" w:tentative="0">
      <w:start w:val="1"/>
      <w:numFmt w:val="bullet"/>
      <w:lvlText w:val=""/>
      <w:lvlJc w:val="left"/>
      <w:pPr>
        <w:ind w:left="1820" w:hanging="420"/>
      </w:pPr>
      <w:rPr>
        <w:rFonts w:hint="default" w:ascii="Wingdings" w:hAnsi="Wingdings" w:eastAsia="宋体"/>
        <w:u w:val="none" w:color="auto"/>
      </w:rPr>
    </w:lvl>
    <w:lvl w:ilvl="3" w:tentative="0">
      <w:start w:val="1"/>
      <w:numFmt w:val="bullet"/>
      <w:lvlText w:val=""/>
      <w:lvlJc w:val="left"/>
      <w:pPr>
        <w:ind w:left="2240" w:hanging="420"/>
      </w:pPr>
      <w:rPr>
        <w:rFonts w:hint="default" w:ascii="Wingdings" w:hAnsi="Wingdings" w:eastAsia="宋体"/>
        <w:u w:val="none" w:color="auto"/>
      </w:rPr>
    </w:lvl>
    <w:lvl w:ilvl="4" w:tentative="0">
      <w:start w:val="1"/>
      <w:numFmt w:val="bullet"/>
      <w:lvlText w:val=""/>
      <w:lvlJc w:val="left"/>
      <w:pPr>
        <w:ind w:left="2660" w:hanging="420"/>
      </w:pPr>
      <w:rPr>
        <w:rFonts w:hint="default" w:ascii="Wingdings" w:hAnsi="Wingdings" w:eastAsia="宋体"/>
        <w:u w:val="none" w:color="auto"/>
      </w:rPr>
    </w:lvl>
    <w:lvl w:ilvl="5" w:tentative="0">
      <w:start w:val="1"/>
      <w:numFmt w:val="bullet"/>
      <w:lvlText w:val=""/>
      <w:lvlJc w:val="left"/>
      <w:pPr>
        <w:ind w:left="3080" w:hanging="420"/>
      </w:pPr>
      <w:rPr>
        <w:rFonts w:hint="default" w:ascii="Wingdings" w:hAnsi="Wingdings" w:eastAsia="宋体"/>
        <w:u w:val="none" w:color="auto"/>
      </w:rPr>
    </w:lvl>
    <w:lvl w:ilvl="6" w:tentative="0">
      <w:start w:val="1"/>
      <w:numFmt w:val="bullet"/>
      <w:lvlText w:val=""/>
      <w:lvlJc w:val="left"/>
      <w:pPr>
        <w:ind w:left="3500" w:hanging="420"/>
      </w:pPr>
      <w:rPr>
        <w:rFonts w:hint="default" w:ascii="Wingdings" w:hAnsi="Wingdings" w:eastAsia="宋体"/>
        <w:u w:val="none" w:color="auto"/>
      </w:rPr>
    </w:lvl>
    <w:lvl w:ilvl="7" w:tentative="0">
      <w:start w:val="1"/>
      <w:numFmt w:val="bullet"/>
      <w:lvlText w:val=""/>
      <w:lvlJc w:val="left"/>
      <w:pPr>
        <w:ind w:left="3920" w:hanging="420"/>
      </w:pPr>
      <w:rPr>
        <w:rFonts w:hint="default" w:ascii="Wingdings" w:hAnsi="Wingdings" w:eastAsia="宋体"/>
        <w:u w:val="none" w:color="auto"/>
      </w:rPr>
    </w:lvl>
    <w:lvl w:ilvl="8" w:tentative="0">
      <w:start w:val="1"/>
      <w:numFmt w:val="bullet"/>
      <w:lvlText w:val=""/>
      <w:lvlJc w:val="left"/>
      <w:pPr>
        <w:ind w:left="4340" w:hanging="420"/>
      </w:pPr>
      <w:rPr>
        <w:rFonts w:hint="default" w:ascii="Wingdings" w:hAnsi="Wingdings" w:eastAsia="宋体"/>
        <w:u w:val="none" w:color="auto"/>
      </w:rPr>
    </w:lvl>
  </w:abstractNum>
  <w:abstractNum w:abstractNumId="7">
    <w:nsid w:val="6253B827"/>
    <w:multiLevelType w:val="singleLevel"/>
    <w:tmpl w:val="6253B827"/>
    <w:lvl w:ilvl="0" w:tentative="0">
      <w:start w:val="2"/>
      <w:numFmt w:val="decimal"/>
      <w:suff w:val="nothing"/>
      <w:lvlText w:val="%1、"/>
      <w:lvlJc w:val="left"/>
    </w:lvl>
  </w:abstractNum>
  <w:abstractNum w:abstractNumId="8">
    <w:nsid w:val="764A4E73"/>
    <w:multiLevelType w:val="multilevel"/>
    <w:tmpl w:val="764A4E73"/>
    <w:lvl w:ilvl="0" w:tentative="0">
      <w:start w:val="1"/>
      <w:numFmt w:val="decimal"/>
      <w:lvlText w:val="%1、"/>
      <w:lvlJc w:val="left"/>
      <w:pPr>
        <w:tabs>
          <w:tab w:val="left" w:pos="840"/>
        </w:tabs>
        <w:ind w:left="840" w:hanging="420"/>
      </w:pPr>
      <w:rPr>
        <w:rFonts w:ascii="仿宋" w:hAnsi="仿宋" w:eastAsia="仿宋"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3"/>
  </w:num>
  <w:num w:numId="3">
    <w:abstractNumId w:val="7"/>
  </w:num>
  <w:num w:numId="4">
    <w:abstractNumId w:val="6"/>
  </w:num>
  <w:num w:numId="5">
    <w:abstractNumId w:val="5"/>
  </w:num>
  <w:num w:numId="6">
    <w:abstractNumId w:val="1"/>
  </w:num>
  <w:num w:numId="7">
    <w:abstractNumId w:val="8"/>
    <w:lvlOverride w:ilvl="0">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64707976"/>
    <w:rsid w:val="00066EBC"/>
    <w:rsid w:val="001D5FB4"/>
    <w:rsid w:val="00233B91"/>
    <w:rsid w:val="004B2B21"/>
    <w:rsid w:val="00577718"/>
    <w:rsid w:val="005A0FB6"/>
    <w:rsid w:val="005A2D64"/>
    <w:rsid w:val="005C4D2E"/>
    <w:rsid w:val="00667094"/>
    <w:rsid w:val="007007DA"/>
    <w:rsid w:val="00755DF0"/>
    <w:rsid w:val="007E4CA5"/>
    <w:rsid w:val="00846544"/>
    <w:rsid w:val="00AC09DC"/>
    <w:rsid w:val="00B37777"/>
    <w:rsid w:val="00BA30D4"/>
    <w:rsid w:val="00D348C5"/>
    <w:rsid w:val="00DE7F18"/>
    <w:rsid w:val="00E173E3"/>
    <w:rsid w:val="00E30FAC"/>
    <w:rsid w:val="00E93FA6"/>
    <w:rsid w:val="00F53F9F"/>
    <w:rsid w:val="00F9432B"/>
    <w:rsid w:val="01033413"/>
    <w:rsid w:val="01235181"/>
    <w:rsid w:val="012375FA"/>
    <w:rsid w:val="01341807"/>
    <w:rsid w:val="0160084E"/>
    <w:rsid w:val="017C6D0A"/>
    <w:rsid w:val="01BD7A4F"/>
    <w:rsid w:val="01D904A3"/>
    <w:rsid w:val="01D9415D"/>
    <w:rsid w:val="01DF5C17"/>
    <w:rsid w:val="0204742C"/>
    <w:rsid w:val="02151639"/>
    <w:rsid w:val="0220586E"/>
    <w:rsid w:val="023C4E17"/>
    <w:rsid w:val="023D0B8F"/>
    <w:rsid w:val="02443CCC"/>
    <w:rsid w:val="0247234C"/>
    <w:rsid w:val="02581525"/>
    <w:rsid w:val="025D4D8E"/>
    <w:rsid w:val="026003DA"/>
    <w:rsid w:val="026C4FD1"/>
    <w:rsid w:val="02783976"/>
    <w:rsid w:val="029307AF"/>
    <w:rsid w:val="02935D81"/>
    <w:rsid w:val="02966D09"/>
    <w:rsid w:val="03062D2F"/>
    <w:rsid w:val="031C07A5"/>
    <w:rsid w:val="032F6F45"/>
    <w:rsid w:val="034E3158"/>
    <w:rsid w:val="035400B3"/>
    <w:rsid w:val="037F791B"/>
    <w:rsid w:val="03977E2B"/>
    <w:rsid w:val="03AC38D7"/>
    <w:rsid w:val="03B22EB7"/>
    <w:rsid w:val="03BB6210"/>
    <w:rsid w:val="03CC3F79"/>
    <w:rsid w:val="03D578EA"/>
    <w:rsid w:val="03DB0660"/>
    <w:rsid w:val="03DB240E"/>
    <w:rsid w:val="03EA08A3"/>
    <w:rsid w:val="04115E30"/>
    <w:rsid w:val="04180F6C"/>
    <w:rsid w:val="04497378"/>
    <w:rsid w:val="045C354F"/>
    <w:rsid w:val="0487744A"/>
    <w:rsid w:val="049D6916"/>
    <w:rsid w:val="050A26F0"/>
    <w:rsid w:val="053666FF"/>
    <w:rsid w:val="053B418A"/>
    <w:rsid w:val="05485881"/>
    <w:rsid w:val="055A55B4"/>
    <w:rsid w:val="056F2E0E"/>
    <w:rsid w:val="05791EDF"/>
    <w:rsid w:val="0591547A"/>
    <w:rsid w:val="05AF76AE"/>
    <w:rsid w:val="05CA273A"/>
    <w:rsid w:val="05CD5D86"/>
    <w:rsid w:val="05D61096"/>
    <w:rsid w:val="05D9472B"/>
    <w:rsid w:val="05FB0B46"/>
    <w:rsid w:val="060F45F1"/>
    <w:rsid w:val="0616772D"/>
    <w:rsid w:val="061E6843"/>
    <w:rsid w:val="062D6B9D"/>
    <w:rsid w:val="064E336B"/>
    <w:rsid w:val="06733E3D"/>
    <w:rsid w:val="06A50AB1"/>
    <w:rsid w:val="06A61C42"/>
    <w:rsid w:val="06B86A37"/>
    <w:rsid w:val="06CC603E"/>
    <w:rsid w:val="06EC2F46"/>
    <w:rsid w:val="06F06577"/>
    <w:rsid w:val="06F25FCE"/>
    <w:rsid w:val="06FF299A"/>
    <w:rsid w:val="0708176C"/>
    <w:rsid w:val="070D3A1D"/>
    <w:rsid w:val="07397B77"/>
    <w:rsid w:val="0748283D"/>
    <w:rsid w:val="075A7AEE"/>
    <w:rsid w:val="07917749"/>
    <w:rsid w:val="07A20F30"/>
    <w:rsid w:val="07CA07CF"/>
    <w:rsid w:val="07D72EEC"/>
    <w:rsid w:val="07DD115B"/>
    <w:rsid w:val="07E301FD"/>
    <w:rsid w:val="07F4584C"/>
    <w:rsid w:val="07F92E63"/>
    <w:rsid w:val="07F95559"/>
    <w:rsid w:val="07FB4E2D"/>
    <w:rsid w:val="08123F24"/>
    <w:rsid w:val="081B1B64"/>
    <w:rsid w:val="081E4FBF"/>
    <w:rsid w:val="082E31F3"/>
    <w:rsid w:val="08314CF2"/>
    <w:rsid w:val="083245BD"/>
    <w:rsid w:val="0837350B"/>
    <w:rsid w:val="089D5EE4"/>
    <w:rsid w:val="08A54D99"/>
    <w:rsid w:val="08AA23AF"/>
    <w:rsid w:val="08B576D2"/>
    <w:rsid w:val="08CE2541"/>
    <w:rsid w:val="08DD2784"/>
    <w:rsid w:val="08E35ED6"/>
    <w:rsid w:val="08EC0C19"/>
    <w:rsid w:val="08F31FA8"/>
    <w:rsid w:val="08F42328"/>
    <w:rsid w:val="08F83980"/>
    <w:rsid w:val="08FF094D"/>
    <w:rsid w:val="091D4D9E"/>
    <w:rsid w:val="091F2D9D"/>
    <w:rsid w:val="094C1FB2"/>
    <w:rsid w:val="09524F20"/>
    <w:rsid w:val="09B07E99"/>
    <w:rsid w:val="09B13866"/>
    <w:rsid w:val="09CC74BA"/>
    <w:rsid w:val="09EB0ED1"/>
    <w:rsid w:val="09EC23D5"/>
    <w:rsid w:val="09F00295"/>
    <w:rsid w:val="0A0266BC"/>
    <w:rsid w:val="0A344626"/>
    <w:rsid w:val="0A3F6C06"/>
    <w:rsid w:val="0A581F41"/>
    <w:rsid w:val="0A911A78"/>
    <w:rsid w:val="0A9B28F7"/>
    <w:rsid w:val="0AA6399E"/>
    <w:rsid w:val="0AA7384D"/>
    <w:rsid w:val="0AB74923"/>
    <w:rsid w:val="0AC41E4E"/>
    <w:rsid w:val="0ACC2AB1"/>
    <w:rsid w:val="0AFF2E86"/>
    <w:rsid w:val="0B155EDA"/>
    <w:rsid w:val="0B1C7BDD"/>
    <w:rsid w:val="0B354AFA"/>
    <w:rsid w:val="0B4D1E43"/>
    <w:rsid w:val="0B5A00BC"/>
    <w:rsid w:val="0BA80B22"/>
    <w:rsid w:val="0BC814CA"/>
    <w:rsid w:val="0C120997"/>
    <w:rsid w:val="0C1B7D22"/>
    <w:rsid w:val="0C3B2099"/>
    <w:rsid w:val="0C790A16"/>
    <w:rsid w:val="0C822053"/>
    <w:rsid w:val="0C9475FE"/>
    <w:rsid w:val="0C9C64B3"/>
    <w:rsid w:val="0C9F66CF"/>
    <w:rsid w:val="0CDC5FA5"/>
    <w:rsid w:val="0CDF6C46"/>
    <w:rsid w:val="0CE20369"/>
    <w:rsid w:val="0CED20C2"/>
    <w:rsid w:val="0CFF53BF"/>
    <w:rsid w:val="0D110C4F"/>
    <w:rsid w:val="0D116EA1"/>
    <w:rsid w:val="0D4B4161"/>
    <w:rsid w:val="0D51729D"/>
    <w:rsid w:val="0D5412FC"/>
    <w:rsid w:val="0D605732"/>
    <w:rsid w:val="0D747B9F"/>
    <w:rsid w:val="0D7868C1"/>
    <w:rsid w:val="0D7D62E4"/>
    <w:rsid w:val="0D8B77C4"/>
    <w:rsid w:val="0D963E31"/>
    <w:rsid w:val="0DBC0BBA"/>
    <w:rsid w:val="0DE3083D"/>
    <w:rsid w:val="0DF50570"/>
    <w:rsid w:val="0E010CC3"/>
    <w:rsid w:val="0E0D1416"/>
    <w:rsid w:val="0E107158"/>
    <w:rsid w:val="0E176739"/>
    <w:rsid w:val="0E2D3866"/>
    <w:rsid w:val="0E2F3A82"/>
    <w:rsid w:val="0E501D2F"/>
    <w:rsid w:val="0E611762"/>
    <w:rsid w:val="0E977E58"/>
    <w:rsid w:val="0EBD6D0A"/>
    <w:rsid w:val="0ECE329B"/>
    <w:rsid w:val="0ED76B95"/>
    <w:rsid w:val="0EEA2D52"/>
    <w:rsid w:val="0EFC4538"/>
    <w:rsid w:val="0EFF64D1"/>
    <w:rsid w:val="0F19203C"/>
    <w:rsid w:val="0F1A0A8D"/>
    <w:rsid w:val="0F1D1B2D"/>
    <w:rsid w:val="0F5920E9"/>
    <w:rsid w:val="0F6239E3"/>
    <w:rsid w:val="0F76748F"/>
    <w:rsid w:val="0F847DFE"/>
    <w:rsid w:val="0F88206F"/>
    <w:rsid w:val="0F8D1479"/>
    <w:rsid w:val="0F9D2C6D"/>
    <w:rsid w:val="0FA543E9"/>
    <w:rsid w:val="0FC24B2A"/>
    <w:rsid w:val="0FF00FEF"/>
    <w:rsid w:val="0FF24D67"/>
    <w:rsid w:val="10142F30"/>
    <w:rsid w:val="1021389E"/>
    <w:rsid w:val="102147C0"/>
    <w:rsid w:val="103E0032"/>
    <w:rsid w:val="104B1D7A"/>
    <w:rsid w:val="106B68C8"/>
    <w:rsid w:val="107A4E46"/>
    <w:rsid w:val="10947BCD"/>
    <w:rsid w:val="109E6C9D"/>
    <w:rsid w:val="10B22749"/>
    <w:rsid w:val="10B4026F"/>
    <w:rsid w:val="10B95885"/>
    <w:rsid w:val="10BC5375"/>
    <w:rsid w:val="10CD1418"/>
    <w:rsid w:val="10D41F07"/>
    <w:rsid w:val="10D80401"/>
    <w:rsid w:val="10DB3A4D"/>
    <w:rsid w:val="10EA1EE2"/>
    <w:rsid w:val="10FE598E"/>
    <w:rsid w:val="110C1E59"/>
    <w:rsid w:val="111F6419"/>
    <w:rsid w:val="112C5203"/>
    <w:rsid w:val="11307256"/>
    <w:rsid w:val="11372BDF"/>
    <w:rsid w:val="113849FC"/>
    <w:rsid w:val="11643580"/>
    <w:rsid w:val="11845E93"/>
    <w:rsid w:val="11991213"/>
    <w:rsid w:val="119B6EA4"/>
    <w:rsid w:val="11BF6ECB"/>
    <w:rsid w:val="11CD3FC1"/>
    <w:rsid w:val="11D31B6C"/>
    <w:rsid w:val="11DC1F34"/>
    <w:rsid w:val="11F823DD"/>
    <w:rsid w:val="11FA7499"/>
    <w:rsid w:val="12222FF1"/>
    <w:rsid w:val="123478B9"/>
    <w:rsid w:val="123E24E6"/>
    <w:rsid w:val="12407C53"/>
    <w:rsid w:val="126F6B43"/>
    <w:rsid w:val="1272218F"/>
    <w:rsid w:val="12761F20"/>
    <w:rsid w:val="129C549B"/>
    <w:rsid w:val="12A54313"/>
    <w:rsid w:val="12B15CFA"/>
    <w:rsid w:val="12BC6822"/>
    <w:rsid w:val="12C14EC5"/>
    <w:rsid w:val="13053004"/>
    <w:rsid w:val="13103CCD"/>
    <w:rsid w:val="131F7C1A"/>
    <w:rsid w:val="13252E99"/>
    <w:rsid w:val="13316E52"/>
    <w:rsid w:val="133739BE"/>
    <w:rsid w:val="1347361C"/>
    <w:rsid w:val="134A0A16"/>
    <w:rsid w:val="13517FF7"/>
    <w:rsid w:val="13632714"/>
    <w:rsid w:val="136E2957"/>
    <w:rsid w:val="13A520F1"/>
    <w:rsid w:val="13C94031"/>
    <w:rsid w:val="13FA41EA"/>
    <w:rsid w:val="142179C9"/>
    <w:rsid w:val="14270D58"/>
    <w:rsid w:val="143C2A55"/>
    <w:rsid w:val="144B713C"/>
    <w:rsid w:val="1461426A"/>
    <w:rsid w:val="14681A9C"/>
    <w:rsid w:val="146E4BD8"/>
    <w:rsid w:val="14771CDF"/>
    <w:rsid w:val="14875E17"/>
    <w:rsid w:val="14964CD4"/>
    <w:rsid w:val="14AB7BDB"/>
    <w:rsid w:val="14B60A59"/>
    <w:rsid w:val="14BF69EC"/>
    <w:rsid w:val="14CD7B51"/>
    <w:rsid w:val="14D3629C"/>
    <w:rsid w:val="14D62EA9"/>
    <w:rsid w:val="14D64C58"/>
    <w:rsid w:val="14F21366"/>
    <w:rsid w:val="150177FB"/>
    <w:rsid w:val="150434CE"/>
    <w:rsid w:val="150B2427"/>
    <w:rsid w:val="151E65FF"/>
    <w:rsid w:val="152F25BA"/>
    <w:rsid w:val="153135C5"/>
    <w:rsid w:val="153B2D0D"/>
    <w:rsid w:val="15453B8B"/>
    <w:rsid w:val="154C316C"/>
    <w:rsid w:val="155D0ED5"/>
    <w:rsid w:val="15744470"/>
    <w:rsid w:val="158F246E"/>
    <w:rsid w:val="159E329B"/>
    <w:rsid w:val="15AA5426"/>
    <w:rsid w:val="15B771B0"/>
    <w:rsid w:val="15B933A1"/>
    <w:rsid w:val="15DD5B72"/>
    <w:rsid w:val="15E47BBF"/>
    <w:rsid w:val="160B0D98"/>
    <w:rsid w:val="16117F11"/>
    <w:rsid w:val="1627272E"/>
    <w:rsid w:val="16460E1F"/>
    <w:rsid w:val="165247B2"/>
    <w:rsid w:val="16674A96"/>
    <w:rsid w:val="166E331E"/>
    <w:rsid w:val="167E55A7"/>
    <w:rsid w:val="167F131F"/>
    <w:rsid w:val="167F30CD"/>
    <w:rsid w:val="168801D3"/>
    <w:rsid w:val="16881F81"/>
    <w:rsid w:val="16AB2114"/>
    <w:rsid w:val="16B234A2"/>
    <w:rsid w:val="16C15493"/>
    <w:rsid w:val="16CF5E02"/>
    <w:rsid w:val="16DB47A7"/>
    <w:rsid w:val="172D0D7B"/>
    <w:rsid w:val="17342CD0"/>
    <w:rsid w:val="17946704"/>
    <w:rsid w:val="17B267DF"/>
    <w:rsid w:val="17BD6654"/>
    <w:rsid w:val="17C4348D"/>
    <w:rsid w:val="17CC0594"/>
    <w:rsid w:val="17D11706"/>
    <w:rsid w:val="17D14902"/>
    <w:rsid w:val="180550B5"/>
    <w:rsid w:val="18085343"/>
    <w:rsid w:val="184445D6"/>
    <w:rsid w:val="184C3FD8"/>
    <w:rsid w:val="186758BB"/>
    <w:rsid w:val="1872382B"/>
    <w:rsid w:val="187B012D"/>
    <w:rsid w:val="18972950"/>
    <w:rsid w:val="18AB1B3A"/>
    <w:rsid w:val="18AE37F5"/>
    <w:rsid w:val="18B52DD6"/>
    <w:rsid w:val="18BA4890"/>
    <w:rsid w:val="18BC4164"/>
    <w:rsid w:val="18C80D5B"/>
    <w:rsid w:val="191A1A15"/>
    <w:rsid w:val="193006AE"/>
    <w:rsid w:val="19410B0E"/>
    <w:rsid w:val="194C5D42"/>
    <w:rsid w:val="1951074E"/>
    <w:rsid w:val="1959110D"/>
    <w:rsid w:val="196C3D39"/>
    <w:rsid w:val="19AF5011"/>
    <w:rsid w:val="19D2505F"/>
    <w:rsid w:val="19D92AF4"/>
    <w:rsid w:val="19E67B09"/>
    <w:rsid w:val="19E716B5"/>
    <w:rsid w:val="1A0477FA"/>
    <w:rsid w:val="1A0E3358"/>
    <w:rsid w:val="1A172581"/>
    <w:rsid w:val="1A18790B"/>
    <w:rsid w:val="1A2975D8"/>
    <w:rsid w:val="1A58610F"/>
    <w:rsid w:val="1A5D4D75"/>
    <w:rsid w:val="1A6E76E0"/>
    <w:rsid w:val="1A902F10"/>
    <w:rsid w:val="1A9C1E3E"/>
    <w:rsid w:val="1A9D1D1D"/>
    <w:rsid w:val="1AA9696A"/>
    <w:rsid w:val="1AC230E8"/>
    <w:rsid w:val="1AC27A2C"/>
    <w:rsid w:val="1AEF46F0"/>
    <w:rsid w:val="1B274F88"/>
    <w:rsid w:val="1B3B5368"/>
    <w:rsid w:val="1B487F31"/>
    <w:rsid w:val="1B6600DC"/>
    <w:rsid w:val="1B741899"/>
    <w:rsid w:val="1B7D29D5"/>
    <w:rsid w:val="1B895CB7"/>
    <w:rsid w:val="1B945384"/>
    <w:rsid w:val="1BA57132"/>
    <w:rsid w:val="1BCD0437"/>
    <w:rsid w:val="1BD143CB"/>
    <w:rsid w:val="1BE35EAC"/>
    <w:rsid w:val="1BF60FB3"/>
    <w:rsid w:val="1C026332"/>
    <w:rsid w:val="1C224BF8"/>
    <w:rsid w:val="1C3D736A"/>
    <w:rsid w:val="1C4A7EA6"/>
    <w:rsid w:val="1C5E2F2A"/>
    <w:rsid w:val="1C5E5533"/>
    <w:rsid w:val="1C710E65"/>
    <w:rsid w:val="1C826448"/>
    <w:rsid w:val="1C8C2744"/>
    <w:rsid w:val="1C9553F8"/>
    <w:rsid w:val="1C986C96"/>
    <w:rsid w:val="1CA554F5"/>
    <w:rsid w:val="1CB515F6"/>
    <w:rsid w:val="1CB533A4"/>
    <w:rsid w:val="1CCE3339"/>
    <w:rsid w:val="1CD37CCF"/>
    <w:rsid w:val="1D0A1F72"/>
    <w:rsid w:val="1D1E53EE"/>
    <w:rsid w:val="1D491D3F"/>
    <w:rsid w:val="1D903E12"/>
    <w:rsid w:val="1D9F5E03"/>
    <w:rsid w:val="1DA17DCD"/>
    <w:rsid w:val="1DAD6772"/>
    <w:rsid w:val="1DB200AF"/>
    <w:rsid w:val="1DD41F50"/>
    <w:rsid w:val="1DE026A3"/>
    <w:rsid w:val="1E1B7B7F"/>
    <w:rsid w:val="1E2E4394"/>
    <w:rsid w:val="1E340C41"/>
    <w:rsid w:val="1E470974"/>
    <w:rsid w:val="1E6C3F37"/>
    <w:rsid w:val="1E761259"/>
    <w:rsid w:val="1E8A260F"/>
    <w:rsid w:val="1EA57449"/>
    <w:rsid w:val="1EB240AF"/>
    <w:rsid w:val="1EB9764C"/>
    <w:rsid w:val="1EBD0BC5"/>
    <w:rsid w:val="1ED42DC4"/>
    <w:rsid w:val="1EE14925"/>
    <w:rsid w:val="1EE461C3"/>
    <w:rsid w:val="1EEA2E11"/>
    <w:rsid w:val="1EFD1033"/>
    <w:rsid w:val="1F272A60"/>
    <w:rsid w:val="1F372797"/>
    <w:rsid w:val="1F505606"/>
    <w:rsid w:val="1F6F55E4"/>
    <w:rsid w:val="1F746245"/>
    <w:rsid w:val="1F775289"/>
    <w:rsid w:val="1F780DC2"/>
    <w:rsid w:val="1F7A6B27"/>
    <w:rsid w:val="1F801951"/>
    <w:rsid w:val="1F843502"/>
    <w:rsid w:val="1FA616CA"/>
    <w:rsid w:val="1FB75686"/>
    <w:rsid w:val="1FD672D8"/>
    <w:rsid w:val="1FED554B"/>
    <w:rsid w:val="20016901"/>
    <w:rsid w:val="20034956"/>
    <w:rsid w:val="2006496E"/>
    <w:rsid w:val="20193C39"/>
    <w:rsid w:val="20200993"/>
    <w:rsid w:val="20303EF2"/>
    <w:rsid w:val="20482782"/>
    <w:rsid w:val="20614FA3"/>
    <w:rsid w:val="206750B4"/>
    <w:rsid w:val="206A26F8"/>
    <w:rsid w:val="20743577"/>
    <w:rsid w:val="207E61A3"/>
    <w:rsid w:val="209F6845"/>
    <w:rsid w:val="20AE4CDA"/>
    <w:rsid w:val="20AE6A88"/>
    <w:rsid w:val="20BA367F"/>
    <w:rsid w:val="20C2050F"/>
    <w:rsid w:val="21000E93"/>
    <w:rsid w:val="211508B6"/>
    <w:rsid w:val="21156B08"/>
    <w:rsid w:val="21182154"/>
    <w:rsid w:val="21222FD3"/>
    <w:rsid w:val="212A69C0"/>
    <w:rsid w:val="214D441A"/>
    <w:rsid w:val="21540998"/>
    <w:rsid w:val="215D225D"/>
    <w:rsid w:val="21655A13"/>
    <w:rsid w:val="21701F90"/>
    <w:rsid w:val="217557F8"/>
    <w:rsid w:val="2177331E"/>
    <w:rsid w:val="217B0148"/>
    <w:rsid w:val="2190618E"/>
    <w:rsid w:val="21C36564"/>
    <w:rsid w:val="21D008B1"/>
    <w:rsid w:val="21F4496F"/>
    <w:rsid w:val="21F4671D"/>
    <w:rsid w:val="21F7620D"/>
    <w:rsid w:val="220D3C83"/>
    <w:rsid w:val="220F17A9"/>
    <w:rsid w:val="221F3CAA"/>
    <w:rsid w:val="222C5419"/>
    <w:rsid w:val="225278E7"/>
    <w:rsid w:val="225E003A"/>
    <w:rsid w:val="22721D38"/>
    <w:rsid w:val="227B5090"/>
    <w:rsid w:val="22837AA1"/>
    <w:rsid w:val="22A719E1"/>
    <w:rsid w:val="22AF0896"/>
    <w:rsid w:val="22BD7457"/>
    <w:rsid w:val="22C87BD8"/>
    <w:rsid w:val="22E42C35"/>
    <w:rsid w:val="23060D09"/>
    <w:rsid w:val="230F27FA"/>
    <w:rsid w:val="2336324E"/>
    <w:rsid w:val="2342795C"/>
    <w:rsid w:val="2346744C"/>
    <w:rsid w:val="237017BB"/>
    <w:rsid w:val="23A82CCC"/>
    <w:rsid w:val="23AB72AF"/>
    <w:rsid w:val="23B32608"/>
    <w:rsid w:val="23BA3996"/>
    <w:rsid w:val="23C97DA7"/>
    <w:rsid w:val="23DD0DC1"/>
    <w:rsid w:val="241906BD"/>
    <w:rsid w:val="241F2484"/>
    <w:rsid w:val="241F59D9"/>
    <w:rsid w:val="243E6375"/>
    <w:rsid w:val="24EA02AB"/>
    <w:rsid w:val="24EA1B68"/>
    <w:rsid w:val="252E0198"/>
    <w:rsid w:val="254E4396"/>
    <w:rsid w:val="255120D8"/>
    <w:rsid w:val="255D6CCF"/>
    <w:rsid w:val="25805811"/>
    <w:rsid w:val="25822292"/>
    <w:rsid w:val="259C15A5"/>
    <w:rsid w:val="259D0677"/>
    <w:rsid w:val="25A8619C"/>
    <w:rsid w:val="25AD01C7"/>
    <w:rsid w:val="25B12333"/>
    <w:rsid w:val="25B14925"/>
    <w:rsid w:val="25CC175F"/>
    <w:rsid w:val="25DA0320"/>
    <w:rsid w:val="260F621B"/>
    <w:rsid w:val="26284BE7"/>
    <w:rsid w:val="2637307C"/>
    <w:rsid w:val="26451C3D"/>
    <w:rsid w:val="264A1001"/>
    <w:rsid w:val="264F085A"/>
    <w:rsid w:val="2666570F"/>
    <w:rsid w:val="266C7620"/>
    <w:rsid w:val="26775B6F"/>
    <w:rsid w:val="26935518"/>
    <w:rsid w:val="26993D37"/>
    <w:rsid w:val="26D27249"/>
    <w:rsid w:val="26EC14CE"/>
    <w:rsid w:val="27037402"/>
    <w:rsid w:val="27167136"/>
    <w:rsid w:val="271E248E"/>
    <w:rsid w:val="273B3040"/>
    <w:rsid w:val="274F2647"/>
    <w:rsid w:val="27806CA5"/>
    <w:rsid w:val="279369D8"/>
    <w:rsid w:val="27A209C9"/>
    <w:rsid w:val="27A34EAE"/>
    <w:rsid w:val="27C22E19"/>
    <w:rsid w:val="27C748D4"/>
    <w:rsid w:val="27E1545A"/>
    <w:rsid w:val="27E72880"/>
    <w:rsid w:val="27E92A9C"/>
    <w:rsid w:val="28060F58"/>
    <w:rsid w:val="28074CD0"/>
    <w:rsid w:val="281F026C"/>
    <w:rsid w:val="283830DC"/>
    <w:rsid w:val="283B78BC"/>
    <w:rsid w:val="28476B5A"/>
    <w:rsid w:val="285A74F6"/>
    <w:rsid w:val="288837B8"/>
    <w:rsid w:val="28AD35D1"/>
    <w:rsid w:val="28BC3D0D"/>
    <w:rsid w:val="28D76D98"/>
    <w:rsid w:val="28FB65E3"/>
    <w:rsid w:val="29017971"/>
    <w:rsid w:val="29115E06"/>
    <w:rsid w:val="29246AEE"/>
    <w:rsid w:val="292A511A"/>
    <w:rsid w:val="2936599C"/>
    <w:rsid w:val="294A0BE0"/>
    <w:rsid w:val="29564161"/>
    <w:rsid w:val="296A3769"/>
    <w:rsid w:val="298E22DD"/>
    <w:rsid w:val="29976B42"/>
    <w:rsid w:val="29A306CE"/>
    <w:rsid w:val="29A869E2"/>
    <w:rsid w:val="29AE18A7"/>
    <w:rsid w:val="29C63095"/>
    <w:rsid w:val="29D37560"/>
    <w:rsid w:val="29EA31D2"/>
    <w:rsid w:val="29EE6315"/>
    <w:rsid w:val="29F24050"/>
    <w:rsid w:val="29FA2D3E"/>
    <w:rsid w:val="2A027E45"/>
    <w:rsid w:val="2A0A42E6"/>
    <w:rsid w:val="2A2051FA"/>
    <w:rsid w:val="2A475858"/>
    <w:rsid w:val="2A5F2BA2"/>
    <w:rsid w:val="2A6E78CD"/>
    <w:rsid w:val="2A922F77"/>
    <w:rsid w:val="2AA1140C"/>
    <w:rsid w:val="2AA70EA9"/>
    <w:rsid w:val="2AA96A88"/>
    <w:rsid w:val="2AB949A8"/>
    <w:rsid w:val="2AD43590"/>
    <w:rsid w:val="2B200583"/>
    <w:rsid w:val="2B241C3B"/>
    <w:rsid w:val="2B261911"/>
    <w:rsid w:val="2B326508"/>
    <w:rsid w:val="2B33475A"/>
    <w:rsid w:val="2B5B085D"/>
    <w:rsid w:val="2B5E72FD"/>
    <w:rsid w:val="2B6568DD"/>
    <w:rsid w:val="2B67049F"/>
    <w:rsid w:val="2B762899"/>
    <w:rsid w:val="2B795EE5"/>
    <w:rsid w:val="2BA51BBE"/>
    <w:rsid w:val="2BBE7D9C"/>
    <w:rsid w:val="2BD221CF"/>
    <w:rsid w:val="2BD32BF6"/>
    <w:rsid w:val="2C025EDA"/>
    <w:rsid w:val="2C0E2AD1"/>
    <w:rsid w:val="2C163734"/>
    <w:rsid w:val="2C1D0F66"/>
    <w:rsid w:val="2C22032B"/>
    <w:rsid w:val="2C384C95"/>
    <w:rsid w:val="2C4D3A0F"/>
    <w:rsid w:val="2C5E51BB"/>
    <w:rsid w:val="2C866B0B"/>
    <w:rsid w:val="2C951760"/>
    <w:rsid w:val="2C9543FC"/>
    <w:rsid w:val="2CBC252D"/>
    <w:rsid w:val="2CEB4D03"/>
    <w:rsid w:val="2CFF241A"/>
    <w:rsid w:val="2D0637A8"/>
    <w:rsid w:val="2D0D0FDB"/>
    <w:rsid w:val="2D1E4F96"/>
    <w:rsid w:val="2D23435A"/>
    <w:rsid w:val="2D244EA2"/>
    <w:rsid w:val="2D3530CB"/>
    <w:rsid w:val="2D546C0A"/>
    <w:rsid w:val="2D5B6A13"/>
    <w:rsid w:val="2DD0750A"/>
    <w:rsid w:val="2DD83397"/>
    <w:rsid w:val="2DE24215"/>
    <w:rsid w:val="2DF9330D"/>
    <w:rsid w:val="2E055FFA"/>
    <w:rsid w:val="2E271C28"/>
    <w:rsid w:val="2E304F81"/>
    <w:rsid w:val="2E3C1B78"/>
    <w:rsid w:val="2E505623"/>
    <w:rsid w:val="2E6C1D31"/>
    <w:rsid w:val="2E894691"/>
    <w:rsid w:val="2E960B5C"/>
    <w:rsid w:val="2EA25753"/>
    <w:rsid w:val="2EA339A5"/>
    <w:rsid w:val="2EB01C1E"/>
    <w:rsid w:val="2EC67693"/>
    <w:rsid w:val="2EDD4D22"/>
    <w:rsid w:val="2EF556BF"/>
    <w:rsid w:val="2EFF2BA5"/>
    <w:rsid w:val="2F040682"/>
    <w:rsid w:val="2F37233F"/>
    <w:rsid w:val="2F40167C"/>
    <w:rsid w:val="2F464330"/>
    <w:rsid w:val="2F4D3910"/>
    <w:rsid w:val="2F915651"/>
    <w:rsid w:val="2FBE1408"/>
    <w:rsid w:val="2FDE27BA"/>
    <w:rsid w:val="2FEA115F"/>
    <w:rsid w:val="2FF47164"/>
    <w:rsid w:val="2FFD5337"/>
    <w:rsid w:val="2FFE2E5D"/>
    <w:rsid w:val="30004E27"/>
    <w:rsid w:val="300E30A0"/>
    <w:rsid w:val="30236E97"/>
    <w:rsid w:val="303625F7"/>
    <w:rsid w:val="303643A5"/>
    <w:rsid w:val="303A48F1"/>
    <w:rsid w:val="305E11E4"/>
    <w:rsid w:val="30601421"/>
    <w:rsid w:val="30647F84"/>
    <w:rsid w:val="306F78B6"/>
    <w:rsid w:val="307072CD"/>
    <w:rsid w:val="308A7EF5"/>
    <w:rsid w:val="30AA08EF"/>
    <w:rsid w:val="30AE6631"/>
    <w:rsid w:val="30B143FF"/>
    <w:rsid w:val="30CE0A81"/>
    <w:rsid w:val="30DC319E"/>
    <w:rsid w:val="310C25C0"/>
    <w:rsid w:val="310F3573"/>
    <w:rsid w:val="3118517E"/>
    <w:rsid w:val="315C42DF"/>
    <w:rsid w:val="315E0057"/>
    <w:rsid w:val="316D2048"/>
    <w:rsid w:val="3186135C"/>
    <w:rsid w:val="31A737AC"/>
    <w:rsid w:val="31CB6D6E"/>
    <w:rsid w:val="31CC3212"/>
    <w:rsid w:val="31D5021B"/>
    <w:rsid w:val="31EC4CEF"/>
    <w:rsid w:val="31ED4F37"/>
    <w:rsid w:val="31F12C79"/>
    <w:rsid w:val="31F512D3"/>
    <w:rsid w:val="31FE2893"/>
    <w:rsid w:val="320F30FF"/>
    <w:rsid w:val="32125F78"/>
    <w:rsid w:val="322162CA"/>
    <w:rsid w:val="322546D1"/>
    <w:rsid w:val="322D6032"/>
    <w:rsid w:val="32425283"/>
    <w:rsid w:val="32544FB6"/>
    <w:rsid w:val="325B6344"/>
    <w:rsid w:val="327318E0"/>
    <w:rsid w:val="3291620A"/>
    <w:rsid w:val="32B51EF8"/>
    <w:rsid w:val="32D700C1"/>
    <w:rsid w:val="32D85BE7"/>
    <w:rsid w:val="32DC56D7"/>
    <w:rsid w:val="32E20907"/>
    <w:rsid w:val="32E45182"/>
    <w:rsid w:val="32E53E60"/>
    <w:rsid w:val="332A66D7"/>
    <w:rsid w:val="332B21BB"/>
    <w:rsid w:val="332B5568"/>
    <w:rsid w:val="33582884"/>
    <w:rsid w:val="33596D28"/>
    <w:rsid w:val="33641229"/>
    <w:rsid w:val="3381627F"/>
    <w:rsid w:val="33A1422B"/>
    <w:rsid w:val="340053F5"/>
    <w:rsid w:val="34065715"/>
    <w:rsid w:val="34142C4F"/>
    <w:rsid w:val="342B67BB"/>
    <w:rsid w:val="344F1704"/>
    <w:rsid w:val="347E456C"/>
    <w:rsid w:val="348A4CBF"/>
    <w:rsid w:val="34A00986"/>
    <w:rsid w:val="34AC6A12"/>
    <w:rsid w:val="34AF6494"/>
    <w:rsid w:val="34B65389"/>
    <w:rsid w:val="34BF705E"/>
    <w:rsid w:val="34D23A03"/>
    <w:rsid w:val="34EF0FC6"/>
    <w:rsid w:val="35411821"/>
    <w:rsid w:val="355E7626"/>
    <w:rsid w:val="35675000"/>
    <w:rsid w:val="356C2388"/>
    <w:rsid w:val="357F234A"/>
    <w:rsid w:val="35817F56"/>
    <w:rsid w:val="35A10512"/>
    <w:rsid w:val="35B91D00"/>
    <w:rsid w:val="35C157C6"/>
    <w:rsid w:val="35E14DB3"/>
    <w:rsid w:val="35F47297"/>
    <w:rsid w:val="35F721FF"/>
    <w:rsid w:val="362058DB"/>
    <w:rsid w:val="36323860"/>
    <w:rsid w:val="363B44C3"/>
    <w:rsid w:val="365C4C91"/>
    <w:rsid w:val="365F1A51"/>
    <w:rsid w:val="3695459B"/>
    <w:rsid w:val="36AA3962"/>
    <w:rsid w:val="36B85B13"/>
    <w:rsid w:val="36CF0EE7"/>
    <w:rsid w:val="36D13079"/>
    <w:rsid w:val="36DF7544"/>
    <w:rsid w:val="36FC4850"/>
    <w:rsid w:val="3713099F"/>
    <w:rsid w:val="372C6501"/>
    <w:rsid w:val="372E157F"/>
    <w:rsid w:val="372F1B4E"/>
    <w:rsid w:val="37557806"/>
    <w:rsid w:val="37974D92"/>
    <w:rsid w:val="37A8202C"/>
    <w:rsid w:val="37BE184F"/>
    <w:rsid w:val="37C64260"/>
    <w:rsid w:val="37DE48FE"/>
    <w:rsid w:val="37DE5A4E"/>
    <w:rsid w:val="37F35031"/>
    <w:rsid w:val="37F4701F"/>
    <w:rsid w:val="37FE3E03"/>
    <w:rsid w:val="382343C6"/>
    <w:rsid w:val="38451629"/>
    <w:rsid w:val="38787C50"/>
    <w:rsid w:val="38804D57"/>
    <w:rsid w:val="38A35F7C"/>
    <w:rsid w:val="38C6103F"/>
    <w:rsid w:val="38EF5A38"/>
    <w:rsid w:val="38FE3793"/>
    <w:rsid w:val="391664DF"/>
    <w:rsid w:val="394925BC"/>
    <w:rsid w:val="394D193A"/>
    <w:rsid w:val="39537572"/>
    <w:rsid w:val="396401D4"/>
    <w:rsid w:val="39730417"/>
    <w:rsid w:val="398D2951"/>
    <w:rsid w:val="3995038E"/>
    <w:rsid w:val="39A64862"/>
    <w:rsid w:val="39AD3929"/>
    <w:rsid w:val="39C46EC5"/>
    <w:rsid w:val="39D215F8"/>
    <w:rsid w:val="39E3559D"/>
    <w:rsid w:val="3A087445"/>
    <w:rsid w:val="3A21256E"/>
    <w:rsid w:val="3A2E2BBA"/>
    <w:rsid w:val="3A371445"/>
    <w:rsid w:val="3A687850"/>
    <w:rsid w:val="3A695377"/>
    <w:rsid w:val="3A737A4D"/>
    <w:rsid w:val="3AA30888"/>
    <w:rsid w:val="3AA7481D"/>
    <w:rsid w:val="3AB17449"/>
    <w:rsid w:val="3AB363E3"/>
    <w:rsid w:val="3ACC7DDF"/>
    <w:rsid w:val="3ADC3D9A"/>
    <w:rsid w:val="3AF83AA7"/>
    <w:rsid w:val="3AFD268F"/>
    <w:rsid w:val="3B190B4B"/>
    <w:rsid w:val="3B1D063B"/>
    <w:rsid w:val="3B203AFB"/>
    <w:rsid w:val="3B274878"/>
    <w:rsid w:val="3B2C087E"/>
    <w:rsid w:val="3B304FA3"/>
    <w:rsid w:val="3B337E5E"/>
    <w:rsid w:val="3B365A66"/>
    <w:rsid w:val="3B641499"/>
    <w:rsid w:val="3B673FAC"/>
    <w:rsid w:val="3B677B08"/>
    <w:rsid w:val="3B984165"/>
    <w:rsid w:val="3BAB3E99"/>
    <w:rsid w:val="3BBE44AB"/>
    <w:rsid w:val="3BC10995"/>
    <w:rsid w:val="3BC62A80"/>
    <w:rsid w:val="3BC767F9"/>
    <w:rsid w:val="3BED2703"/>
    <w:rsid w:val="3BEE1FD7"/>
    <w:rsid w:val="3C340332"/>
    <w:rsid w:val="3C426D4A"/>
    <w:rsid w:val="3C5A766D"/>
    <w:rsid w:val="3C6F136A"/>
    <w:rsid w:val="3C7D3B1C"/>
    <w:rsid w:val="3C7F0E81"/>
    <w:rsid w:val="3CB7686D"/>
    <w:rsid w:val="3CBE7BFC"/>
    <w:rsid w:val="3CC35790"/>
    <w:rsid w:val="3CD10680"/>
    <w:rsid w:val="3CD15B81"/>
    <w:rsid w:val="3CEA1CD3"/>
    <w:rsid w:val="3CFB7418"/>
    <w:rsid w:val="3CFC24D2"/>
    <w:rsid w:val="3D033860"/>
    <w:rsid w:val="3D070941"/>
    <w:rsid w:val="3D1122FD"/>
    <w:rsid w:val="3D1E625E"/>
    <w:rsid w:val="3D211F38"/>
    <w:rsid w:val="3D5D1633"/>
    <w:rsid w:val="3D5F36B0"/>
    <w:rsid w:val="3D624A2B"/>
    <w:rsid w:val="3D64583D"/>
    <w:rsid w:val="3D793B23"/>
    <w:rsid w:val="3D85696B"/>
    <w:rsid w:val="3D89645B"/>
    <w:rsid w:val="3D931F15"/>
    <w:rsid w:val="3D98044D"/>
    <w:rsid w:val="3D9D02A6"/>
    <w:rsid w:val="3DBA03C3"/>
    <w:rsid w:val="3DCF039F"/>
    <w:rsid w:val="3DDD2303"/>
    <w:rsid w:val="3DF80EEB"/>
    <w:rsid w:val="3DF8538F"/>
    <w:rsid w:val="3E09759C"/>
    <w:rsid w:val="3E3A59A8"/>
    <w:rsid w:val="3E3C527C"/>
    <w:rsid w:val="3E4A5E40"/>
    <w:rsid w:val="3E502AD5"/>
    <w:rsid w:val="3E5527E2"/>
    <w:rsid w:val="3E5D256B"/>
    <w:rsid w:val="3E734A16"/>
    <w:rsid w:val="3E834C59"/>
    <w:rsid w:val="3E9E5F37"/>
    <w:rsid w:val="3E9F394D"/>
    <w:rsid w:val="3EDF4B3B"/>
    <w:rsid w:val="3EED2A1A"/>
    <w:rsid w:val="3EFB0C93"/>
    <w:rsid w:val="3EFD36E5"/>
    <w:rsid w:val="3F063341"/>
    <w:rsid w:val="3F19380F"/>
    <w:rsid w:val="3F6A48BE"/>
    <w:rsid w:val="3F732378"/>
    <w:rsid w:val="3F7942AE"/>
    <w:rsid w:val="3F986AD0"/>
    <w:rsid w:val="3FA0699A"/>
    <w:rsid w:val="3FBD23EC"/>
    <w:rsid w:val="3FCF2120"/>
    <w:rsid w:val="3FDA3B33"/>
    <w:rsid w:val="3FF35E0E"/>
    <w:rsid w:val="3FFB4CC3"/>
    <w:rsid w:val="40177401"/>
    <w:rsid w:val="401D10DD"/>
    <w:rsid w:val="40362FE4"/>
    <w:rsid w:val="40512B35"/>
    <w:rsid w:val="406B2A12"/>
    <w:rsid w:val="40794D65"/>
    <w:rsid w:val="40A315E2"/>
    <w:rsid w:val="40C96B6F"/>
    <w:rsid w:val="40DA589D"/>
    <w:rsid w:val="41242C54"/>
    <w:rsid w:val="414C7ECC"/>
    <w:rsid w:val="41562AF9"/>
    <w:rsid w:val="41634625"/>
    <w:rsid w:val="41760AA5"/>
    <w:rsid w:val="417D62D7"/>
    <w:rsid w:val="41872CB2"/>
    <w:rsid w:val="418D7866"/>
    <w:rsid w:val="41A76EB0"/>
    <w:rsid w:val="41B63597"/>
    <w:rsid w:val="41BA16CB"/>
    <w:rsid w:val="41D31D17"/>
    <w:rsid w:val="41F30347"/>
    <w:rsid w:val="42164036"/>
    <w:rsid w:val="42220C2D"/>
    <w:rsid w:val="422B5D33"/>
    <w:rsid w:val="427A2B2D"/>
    <w:rsid w:val="42A04F26"/>
    <w:rsid w:val="42A41642"/>
    <w:rsid w:val="432A7D99"/>
    <w:rsid w:val="433D2460"/>
    <w:rsid w:val="436314FD"/>
    <w:rsid w:val="436C6603"/>
    <w:rsid w:val="43776D56"/>
    <w:rsid w:val="437B23A2"/>
    <w:rsid w:val="437B557B"/>
    <w:rsid w:val="438C79F2"/>
    <w:rsid w:val="43AA0EDA"/>
    <w:rsid w:val="43B14016"/>
    <w:rsid w:val="43DD305D"/>
    <w:rsid w:val="43E51F12"/>
    <w:rsid w:val="44116024"/>
    <w:rsid w:val="44242A3A"/>
    <w:rsid w:val="44427364"/>
    <w:rsid w:val="44434A4C"/>
    <w:rsid w:val="444924A1"/>
    <w:rsid w:val="4456696C"/>
    <w:rsid w:val="445709AF"/>
    <w:rsid w:val="44753296"/>
    <w:rsid w:val="44937970"/>
    <w:rsid w:val="44D97CC8"/>
    <w:rsid w:val="44DF1057"/>
    <w:rsid w:val="44E67CEF"/>
    <w:rsid w:val="44E93C84"/>
    <w:rsid w:val="44F92119"/>
    <w:rsid w:val="452758A3"/>
    <w:rsid w:val="452F78E8"/>
    <w:rsid w:val="453273D9"/>
    <w:rsid w:val="454A567C"/>
    <w:rsid w:val="457B0D80"/>
    <w:rsid w:val="4582210E"/>
    <w:rsid w:val="458A4B1F"/>
    <w:rsid w:val="458C425F"/>
    <w:rsid w:val="45962B14"/>
    <w:rsid w:val="4596335D"/>
    <w:rsid w:val="45A030CC"/>
    <w:rsid w:val="45A40651"/>
    <w:rsid w:val="45A552C9"/>
    <w:rsid w:val="45AF3D8A"/>
    <w:rsid w:val="45B04682"/>
    <w:rsid w:val="45BB5620"/>
    <w:rsid w:val="45C269AF"/>
    <w:rsid w:val="45CA7A30"/>
    <w:rsid w:val="45DE30BD"/>
    <w:rsid w:val="460209EA"/>
    <w:rsid w:val="461A0599"/>
    <w:rsid w:val="462C0946"/>
    <w:rsid w:val="463A3B74"/>
    <w:rsid w:val="464C6D8D"/>
    <w:rsid w:val="46517D32"/>
    <w:rsid w:val="468A6DA0"/>
    <w:rsid w:val="469116F6"/>
    <w:rsid w:val="46977FA9"/>
    <w:rsid w:val="46AA2F9F"/>
    <w:rsid w:val="46E12E64"/>
    <w:rsid w:val="46ED7A5B"/>
    <w:rsid w:val="47211B2D"/>
    <w:rsid w:val="47240FA3"/>
    <w:rsid w:val="47270E54"/>
    <w:rsid w:val="473309CA"/>
    <w:rsid w:val="473531B0"/>
    <w:rsid w:val="47372A84"/>
    <w:rsid w:val="473D3E13"/>
    <w:rsid w:val="47501D98"/>
    <w:rsid w:val="4768263A"/>
    <w:rsid w:val="4770243A"/>
    <w:rsid w:val="477C004C"/>
    <w:rsid w:val="479A179F"/>
    <w:rsid w:val="47A45BE2"/>
    <w:rsid w:val="47C2406F"/>
    <w:rsid w:val="47C43A54"/>
    <w:rsid w:val="47CD0701"/>
    <w:rsid w:val="47DC187E"/>
    <w:rsid w:val="47EC7D13"/>
    <w:rsid w:val="47ED5839"/>
    <w:rsid w:val="47FF3A7E"/>
    <w:rsid w:val="4800731A"/>
    <w:rsid w:val="480E75E6"/>
    <w:rsid w:val="4820176A"/>
    <w:rsid w:val="482F7BFF"/>
    <w:rsid w:val="48403834"/>
    <w:rsid w:val="48517B76"/>
    <w:rsid w:val="48587156"/>
    <w:rsid w:val="489F6B33"/>
    <w:rsid w:val="48A028AB"/>
    <w:rsid w:val="48AF4ACD"/>
    <w:rsid w:val="48B545A9"/>
    <w:rsid w:val="48C06AA9"/>
    <w:rsid w:val="48D10128"/>
    <w:rsid w:val="48F86B09"/>
    <w:rsid w:val="48FE3FFB"/>
    <w:rsid w:val="490270C2"/>
    <w:rsid w:val="49042E3A"/>
    <w:rsid w:val="491312CF"/>
    <w:rsid w:val="492F0338"/>
    <w:rsid w:val="4933371F"/>
    <w:rsid w:val="49480660"/>
    <w:rsid w:val="494B6CBB"/>
    <w:rsid w:val="494D7915"/>
    <w:rsid w:val="49695393"/>
    <w:rsid w:val="498B355B"/>
    <w:rsid w:val="49A14B2D"/>
    <w:rsid w:val="49AC7171"/>
    <w:rsid w:val="49AF646E"/>
    <w:rsid w:val="49B063EE"/>
    <w:rsid w:val="49C82811"/>
    <w:rsid w:val="49E05655"/>
    <w:rsid w:val="49E37ADA"/>
    <w:rsid w:val="4A361719"/>
    <w:rsid w:val="4A4D0811"/>
    <w:rsid w:val="4A6E2C61"/>
    <w:rsid w:val="4A742241"/>
    <w:rsid w:val="4A7B35D0"/>
    <w:rsid w:val="4A9F6F2A"/>
    <w:rsid w:val="4AA85A47"/>
    <w:rsid w:val="4ADD7004"/>
    <w:rsid w:val="4AE66C9B"/>
    <w:rsid w:val="4AFF6578"/>
    <w:rsid w:val="4AFF7D5D"/>
    <w:rsid w:val="4B0C4228"/>
    <w:rsid w:val="4B2257F9"/>
    <w:rsid w:val="4B315A3D"/>
    <w:rsid w:val="4B370EAD"/>
    <w:rsid w:val="4B38326F"/>
    <w:rsid w:val="4B3A6FE7"/>
    <w:rsid w:val="4B3D6AD7"/>
    <w:rsid w:val="4B441C14"/>
    <w:rsid w:val="4B517E8D"/>
    <w:rsid w:val="4B714331"/>
    <w:rsid w:val="4B773D97"/>
    <w:rsid w:val="4B7C13AE"/>
    <w:rsid w:val="4BC30D8B"/>
    <w:rsid w:val="4BC468B1"/>
    <w:rsid w:val="4BCD4BF1"/>
    <w:rsid w:val="4BEA4569"/>
    <w:rsid w:val="4BEB6533"/>
    <w:rsid w:val="4BF21670"/>
    <w:rsid w:val="4BFB6776"/>
    <w:rsid w:val="4C0D2006"/>
    <w:rsid w:val="4C186692"/>
    <w:rsid w:val="4C1C049B"/>
    <w:rsid w:val="4C2832E3"/>
    <w:rsid w:val="4C303F46"/>
    <w:rsid w:val="4C4507DF"/>
    <w:rsid w:val="4C481290"/>
    <w:rsid w:val="4C51283A"/>
    <w:rsid w:val="4C600397"/>
    <w:rsid w:val="4C72455F"/>
    <w:rsid w:val="4C757EA4"/>
    <w:rsid w:val="4C7F0234"/>
    <w:rsid w:val="4C8A18A8"/>
    <w:rsid w:val="4CAA5AA7"/>
    <w:rsid w:val="4CC34DBA"/>
    <w:rsid w:val="4CDB1297"/>
    <w:rsid w:val="4CF82CB6"/>
    <w:rsid w:val="4D0E4287"/>
    <w:rsid w:val="4D3D2DBF"/>
    <w:rsid w:val="4D426E18"/>
    <w:rsid w:val="4D4B54DB"/>
    <w:rsid w:val="4D8757B4"/>
    <w:rsid w:val="4DCA38C5"/>
    <w:rsid w:val="4DD21759"/>
    <w:rsid w:val="4DEB281B"/>
    <w:rsid w:val="4DF66E82"/>
    <w:rsid w:val="4E0D09E3"/>
    <w:rsid w:val="4E1034A3"/>
    <w:rsid w:val="4E1271FD"/>
    <w:rsid w:val="4E4B32B9"/>
    <w:rsid w:val="4E4F6905"/>
    <w:rsid w:val="4E5C54C6"/>
    <w:rsid w:val="4E7051D6"/>
    <w:rsid w:val="4E8E77D2"/>
    <w:rsid w:val="4E916F1E"/>
    <w:rsid w:val="4E9B4B94"/>
    <w:rsid w:val="4EB55BCA"/>
    <w:rsid w:val="4EB62E28"/>
    <w:rsid w:val="4EC8490A"/>
    <w:rsid w:val="4ECE7FB4"/>
    <w:rsid w:val="4EF63225"/>
    <w:rsid w:val="4EFA0F67"/>
    <w:rsid w:val="4F020109"/>
    <w:rsid w:val="4F196F13"/>
    <w:rsid w:val="4F226081"/>
    <w:rsid w:val="4F585E6F"/>
    <w:rsid w:val="4F610FE6"/>
    <w:rsid w:val="4F786330"/>
    <w:rsid w:val="4F9D18F3"/>
    <w:rsid w:val="4FA63CB9"/>
    <w:rsid w:val="4FAF75AB"/>
    <w:rsid w:val="4FD974F3"/>
    <w:rsid w:val="4FF359B6"/>
    <w:rsid w:val="501B6D91"/>
    <w:rsid w:val="50324731"/>
    <w:rsid w:val="505C5BC8"/>
    <w:rsid w:val="50652DF3"/>
    <w:rsid w:val="5081175F"/>
    <w:rsid w:val="508605D9"/>
    <w:rsid w:val="508807F5"/>
    <w:rsid w:val="509D755D"/>
    <w:rsid w:val="50AC11E7"/>
    <w:rsid w:val="50CE1E2B"/>
    <w:rsid w:val="50D2381E"/>
    <w:rsid w:val="50D6330E"/>
    <w:rsid w:val="50FE0AB7"/>
    <w:rsid w:val="513B13C3"/>
    <w:rsid w:val="51453FF0"/>
    <w:rsid w:val="51764AF1"/>
    <w:rsid w:val="51B66274"/>
    <w:rsid w:val="51C21AE4"/>
    <w:rsid w:val="51CC3B58"/>
    <w:rsid w:val="51E56EF9"/>
    <w:rsid w:val="51F223CA"/>
    <w:rsid w:val="51FD616C"/>
    <w:rsid w:val="521A722A"/>
    <w:rsid w:val="52280948"/>
    <w:rsid w:val="522D1654"/>
    <w:rsid w:val="522E717A"/>
    <w:rsid w:val="523A5B1F"/>
    <w:rsid w:val="52407B1E"/>
    <w:rsid w:val="52446081"/>
    <w:rsid w:val="52455DF7"/>
    <w:rsid w:val="524F724E"/>
    <w:rsid w:val="52522E68"/>
    <w:rsid w:val="52592449"/>
    <w:rsid w:val="527D41FC"/>
    <w:rsid w:val="527E3C5D"/>
    <w:rsid w:val="528540F2"/>
    <w:rsid w:val="52946FDD"/>
    <w:rsid w:val="529945F3"/>
    <w:rsid w:val="52A25C20"/>
    <w:rsid w:val="52B15DE1"/>
    <w:rsid w:val="52B43328"/>
    <w:rsid w:val="52C553E8"/>
    <w:rsid w:val="52DF7CB3"/>
    <w:rsid w:val="52E9543B"/>
    <w:rsid w:val="532540D9"/>
    <w:rsid w:val="532E362D"/>
    <w:rsid w:val="532E5683"/>
    <w:rsid w:val="534C78B7"/>
    <w:rsid w:val="538F45A4"/>
    <w:rsid w:val="53A72D40"/>
    <w:rsid w:val="53C02053"/>
    <w:rsid w:val="53C03516"/>
    <w:rsid w:val="53D578AD"/>
    <w:rsid w:val="53DB0C3B"/>
    <w:rsid w:val="53E421E6"/>
    <w:rsid w:val="53E443AA"/>
    <w:rsid w:val="53E915AA"/>
    <w:rsid w:val="53F71F19"/>
    <w:rsid w:val="54110D47"/>
    <w:rsid w:val="541F37B3"/>
    <w:rsid w:val="54210D44"/>
    <w:rsid w:val="54244390"/>
    <w:rsid w:val="5438391A"/>
    <w:rsid w:val="543842E0"/>
    <w:rsid w:val="543A0058"/>
    <w:rsid w:val="54556C40"/>
    <w:rsid w:val="54733A89"/>
    <w:rsid w:val="548B08B3"/>
    <w:rsid w:val="548E28FF"/>
    <w:rsid w:val="54A11E85"/>
    <w:rsid w:val="54A13C33"/>
    <w:rsid w:val="54B576DE"/>
    <w:rsid w:val="54C53DC5"/>
    <w:rsid w:val="54D24AD1"/>
    <w:rsid w:val="54D538DD"/>
    <w:rsid w:val="54D60364"/>
    <w:rsid w:val="54E3249D"/>
    <w:rsid w:val="54E67898"/>
    <w:rsid w:val="54ED0C26"/>
    <w:rsid w:val="55236D3E"/>
    <w:rsid w:val="553C395C"/>
    <w:rsid w:val="553D25F7"/>
    <w:rsid w:val="55592760"/>
    <w:rsid w:val="556A2277"/>
    <w:rsid w:val="558A64D4"/>
    <w:rsid w:val="55AD03B6"/>
    <w:rsid w:val="55D32512"/>
    <w:rsid w:val="55D3606E"/>
    <w:rsid w:val="56095F34"/>
    <w:rsid w:val="560E354A"/>
    <w:rsid w:val="56513437"/>
    <w:rsid w:val="565D1DDC"/>
    <w:rsid w:val="56701B0F"/>
    <w:rsid w:val="568832FC"/>
    <w:rsid w:val="56A725B8"/>
    <w:rsid w:val="56B20379"/>
    <w:rsid w:val="56D24578"/>
    <w:rsid w:val="56D93B58"/>
    <w:rsid w:val="56E60023"/>
    <w:rsid w:val="572052E3"/>
    <w:rsid w:val="57321AF0"/>
    <w:rsid w:val="57476D14"/>
    <w:rsid w:val="575431DF"/>
    <w:rsid w:val="575F1BEA"/>
    <w:rsid w:val="57615B6B"/>
    <w:rsid w:val="57821531"/>
    <w:rsid w:val="57AA2478"/>
    <w:rsid w:val="57B6092F"/>
    <w:rsid w:val="57B7551B"/>
    <w:rsid w:val="57C2639A"/>
    <w:rsid w:val="57CF6D09"/>
    <w:rsid w:val="57D0648F"/>
    <w:rsid w:val="57E00F16"/>
    <w:rsid w:val="57F02BF4"/>
    <w:rsid w:val="57FF75EE"/>
    <w:rsid w:val="581F559B"/>
    <w:rsid w:val="58231A70"/>
    <w:rsid w:val="583D3C73"/>
    <w:rsid w:val="586C6112"/>
    <w:rsid w:val="587442AD"/>
    <w:rsid w:val="587F6039"/>
    <w:rsid w:val="58E1230C"/>
    <w:rsid w:val="58E80082"/>
    <w:rsid w:val="58EF7663"/>
    <w:rsid w:val="591F15CA"/>
    <w:rsid w:val="5922354D"/>
    <w:rsid w:val="592C1407"/>
    <w:rsid w:val="594828CF"/>
    <w:rsid w:val="59554FEC"/>
    <w:rsid w:val="596A0A97"/>
    <w:rsid w:val="596D500D"/>
    <w:rsid w:val="59851D75"/>
    <w:rsid w:val="59927FEE"/>
    <w:rsid w:val="59981AA8"/>
    <w:rsid w:val="59A044B9"/>
    <w:rsid w:val="59CF4D9E"/>
    <w:rsid w:val="59D40607"/>
    <w:rsid w:val="5A0507D9"/>
    <w:rsid w:val="5A0E3B19"/>
    <w:rsid w:val="5A1629CD"/>
    <w:rsid w:val="5A4237C2"/>
    <w:rsid w:val="5A4E2167"/>
    <w:rsid w:val="5A5D23AA"/>
    <w:rsid w:val="5A5D5558"/>
    <w:rsid w:val="5A671504"/>
    <w:rsid w:val="5A89677B"/>
    <w:rsid w:val="5A902780"/>
    <w:rsid w:val="5A92474A"/>
    <w:rsid w:val="5A963B0E"/>
    <w:rsid w:val="5AA77AC9"/>
    <w:rsid w:val="5AAF5D14"/>
    <w:rsid w:val="5AC10B8B"/>
    <w:rsid w:val="5ACE14FA"/>
    <w:rsid w:val="5AD94ACA"/>
    <w:rsid w:val="5AE84932"/>
    <w:rsid w:val="5AF251E8"/>
    <w:rsid w:val="5B01367D"/>
    <w:rsid w:val="5B172EA1"/>
    <w:rsid w:val="5B242EC8"/>
    <w:rsid w:val="5B2E3D47"/>
    <w:rsid w:val="5B372BFB"/>
    <w:rsid w:val="5B4D4167"/>
    <w:rsid w:val="5B5E63DA"/>
    <w:rsid w:val="5B835381"/>
    <w:rsid w:val="5B85605C"/>
    <w:rsid w:val="5B8B2F47"/>
    <w:rsid w:val="5B8D7E31"/>
    <w:rsid w:val="5BA10529"/>
    <w:rsid w:val="5BF44BAC"/>
    <w:rsid w:val="5BFB3A80"/>
    <w:rsid w:val="5C1B076F"/>
    <w:rsid w:val="5C2313D1"/>
    <w:rsid w:val="5C3804EF"/>
    <w:rsid w:val="5C3929A3"/>
    <w:rsid w:val="5C5A1297"/>
    <w:rsid w:val="5C5D311F"/>
    <w:rsid w:val="5C7568F1"/>
    <w:rsid w:val="5C797243"/>
    <w:rsid w:val="5C981CC6"/>
    <w:rsid w:val="5C981DBF"/>
    <w:rsid w:val="5CB0535B"/>
    <w:rsid w:val="5CB5471F"/>
    <w:rsid w:val="5CBA1D36"/>
    <w:rsid w:val="5CDF354A"/>
    <w:rsid w:val="5CE46835"/>
    <w:rsid w:val="5CFB20F8"/>
    <w:rsid w:val="5D0516E4"/>
    <w:rsid w:val="5D414205"/>
    <w:rsid w:val="5D437F7D"/>
    <w:rsid w:val="5D4D2BAA"/>
    <w:rsid w:val="5D622345"/>
    <w:rsid w:val="5D753EAF"/>
    <w:rsid w:val="5DC170F4"/>
    <w:rsid w:val="5DE12FF6"/>
    <w:rsid w:val="5DEA21A7"/>
    <w:rsid w:val="5DEF5A0F"/>
    <w:rsid w:val="5DF953FC"/>
    <w:rsid w:val="5DFC1EDA"/>
    <w:rsid w:val="5E371164"/>
    <w:rsid w:val="5E40270F"/>
    <w:rsid w:val="5E473A9D"/>
    <w:rsid w:val="5E547F68"/>
    <w:rsid w:val="5E55500A"/>
    <w:rsid w:val="5E781EA8"/>
    <w:rsid w:val="5E885D9A"/>
    <w:rsid w:val="5EB443B6"/>
    <w:rsid w:val="5EB56C59"/>
    <w:rsid w:val="5EB629D1"/>
    <w:rsid w:val="5EB6652D"/>
    <w:rsid w:val="5EB86749"/>
    <w:rsid w:val="5ED9490E"/>
    <w:rsid w:val="5F08322C"/>
    <w:rsid w:val="5F1301D1"/>
    <w:rsid w:val="5F155949"/>
    <w:rsid w:val="5F2E07B9"/>
    <w:rsid w:val="5F3C4C84"/>
    <w:rsid w:val="5F751F44"/>
    <w:rsid w:val="5F85487D"/>
    <w:rsid w:val="5F9C1BC7"/>
    <w:rsid w:val="5F9E76E3"/>
    <w:rsid w:val="5FA32F55"/>
    <w:rsid w:val="5FBA204D"/>
    <w:rsid w:val="5FBE1B3D"/>
    <w:rsid w:val="5FC14D18"/>
    <w:rsid w:val="60247FEE"/>
    <w:rsid w:val="602529FA"/>
    <w:rsid w:val="6031230F"/>
    <w:rsid w:val="60321E53"/>
    <w:rsid w:val="603D6F06"/>
    <w:rsid w:val="604638E0"/>
    <w:rsid w:val="605D3104"/>
    <w:rsid w:val="60793CB6"/>
    <w:rsid w:val="60882D0D"/>
    <w:rsid w:val="60A070F8"/>
    <w:rsid w:val="60BD0047"/>
    <w:rsid w:val="60CF1B28"/>
    <w:rsid w:val="60D1764E"/>
    <w:rsid w:val="60F577E0"/>
    <w:rsid w:val="60F8107F"/>
    <w:rsid w:val="610712C2"/>
    <w:rsid w:val="6112353F"/>
    <w:rsid w:val="614442C4"/>
    <w:rsid w:val="61682D8B"/>
    <w:rsid w:val="617D1584"/>
    <w:rsid w:val="61932B55"/>
    <w:rsid w:val="61A03DE4"/>
    <w:rsid w:val="61AD294E"/>
    <w:rsid w:val="61CD6C0C"/>
    <w:rsid w:val="61D1258B"/>
    <w:rsid w:val="61E33ADD"/>
    <w:rsid w:val="61EA6C19"/>
    <w:rsid w:val="620B6B90"/>
    <w:rsid w:val="620C1661"/>
    <w:rsid w:val="621517BC"/>
    <w:rsid w:val="6232278A"/>
    <w:rsid w:val="62467BC8"/>
    <w:rsid w:val="62514EEA"/>
    <w:rsid w:val="6280757E"/>
    <w:rsid w:val="62B334AF"/>
    <w:rsid w:val="62BF0B8F"/>
    <w:rsid w:val="62CA07F9"/>
    <w:rsid w:val="62CF6B18"/>
    <w:rsid w:val="62DD610F"/>
    <w:rsid w:val="62E55633"/>
    <w:rsid w:val="62E775FD"/>
    <w:rsid w:val="62F35FA1"/>
    <w:rsid w:val="6308272B"/>
    <w:rsid w:val="63260A0C"/>
    <w:rsid w:val="63332842"/>
    <w:rsid w:val="633B34A5"/>
    <w:rsid w:val="633D0FCB"/>
    <w:rsid w:val="635F7193"/>
    <w:rsid w:val="636B1FDC"/>
    <w:rsid w:val="6378691E"/>
    <w:rsid w:val="63807109"/>
    <w:rsid w:val="639A320E"/>
    <w:rsid w:val="63A86062"/>
    <w:rsid w:val="63C702F9"/>
    <w:rsid w:val="63DC4C88"/>
    <w:rsid w:val="63E87188"/>
    <w:rsid w:val="63FE2FD4"/>
    <w:rsid w:val="64015B8B"/>
    <w:rsid w:val="640D3685"/>
    <w:rsid w:val="642F4DB7"/>
    <w:rsid w:val="64322AF9"/>
    <w:rsid w:val="64371EBE"/>
    <w:rsid w:val="644340DE"/>
    <w:rsid w:val="64632CB3"/>
    <w:rsid w:val="64707976"/>
    <w:rsid w:val="64752D52"/>
    <w:rsid w:val="64794284"/>
    <w:rsid w:val="647E189B"/>
    <w:rsid w:val="648C045C"/>
    <w:rsid w:val="64C018BB"/>
    <w:rsid w:val="64C5571C"/>
    <w:rsid w:val="64CA4726"/>
    <w:rsid w:val="64D21BE7"/>
    <w:rsid w:val="64E74657"/>
    <w:rsid w:val="64EA6203"/>
    <w:rsid w:val="65075D34"/>
    <w:rsid w:val="653319F2"/>
    <w:rsid w:val="653A3EFC"/>
    <w:rsid w:val="653B59DE"/>
    <w:rsid w:val="654F4FE5"/>
    <w:rsid w:val="656E7B61"/>
    <w:rsid w:val="65752C9E"/>
    <w:rsid w:val="65782D4B"/>
    <w:rsid w:val="658C7FE7"/>
    <w:rsid w:val="65AE4DEB"/>
    <w:rsid w:val="65BF03BD"/>
    <w:rsid w:val="65C37F02"/>
    <w:rsid w:val="65D13BD9"/>
    <w:rsid w:val="65DD0BB8"/>
    <w:rsid w:val="65EF654B"/>
    <w:rsid w:val="662F5543"/>
    <w:rsid w:val="663C1A0D"/>
    <w:rsid w:val="664663E8"/>
    <w:rsid w:val="667C62AE"/>
    <w:rsid w:val="66A5651E"/>
    <w:rsid w:val="66CC0FE3"/>
    <w:rsid w:val="66CD0139"/>
    <w:rsid w:val="66D87317"/>
    <w:rsid w:val="66EF1480"/>
    <w:rsid w:val="66F65C94"/>
    <w:rsid w:val="670F0ED0"/>
    <w:rsid w:val="67165330"/>
    <w:rsid w:val="67302F28"/>
    <w:rsid w:val="675114E9"/>
    <w:rsid w:val="677156E7"/>
    <w:rsid w:val="679F4002"/>
    <w:rsid w:val="67A07D7A"/>
    <w:rsid w:val="67CD5013"/>
    <w:rsid w:val="67D7599D"/>
    <w:rsid w:val="67E044DA"/>
    <w:rsid w:val="67E11479"/>
    <w:rsid w:val="67E81E4D"/>
    <w:rsid w:val="67F26828"/>
    <w:rsid w:val="67F330EB"/>
    <w:rsid w:val="67F91803"/>
    <w:rsid w:val="68307350"/>
    <w:rsid w:val="6840762F"/>
    <w:rsid w:val="68460921"/>
    <w:rsid w:val="68511C4C"/>
    <w:rsid w:val="68556DB7"/>
    <w:rsid w:val="68582403"/>
    <w:rsid w:val="68807A84"/>
    <w:rsid w:val="6888718C"/>
    <w:rsid w:val="68BC6E36"/>
    <w:rsid w:val="68BF2460"/>
    <w:rsid w:val="68C36416"/>
    <w:rsid w:val="68D25D9A"/>
    <w:rsid w:val="69126A56"/>
    <w:rsid w:val="6917406C"/>
    <w:rsid w:val="69280027"/>
    <w:rsid w:val="693132B0"/>
    <w:rsid w:val="694E63D8"/>
    <w:rsid w:val="696F20FA"/>
    <w:rsid w:val="69B53FB1"/>
    <w:rsid w:val="69C274C7"/>
    <w:rsid w:val="69DF4B8A"/>
    <w:rsid w:val="69F34AD9"/>
    <w:rsid w:val="69FB573C"/>
    <w:rsid w:val="6A034C97"/>
    <w:rsid w:val="6A042842"/>
    <w:rsid w:val="6A114F5F"/>
    <w:rsid w:val="6A123A14"/>
    <w:rsid w:val="6A186A78"/>
    <w:rsid w:val="6A521800"/>
    <w:rsid w:val="6A6B466F"/>
    <w:rsid w:val="6A7C062B"/>
    <w:rsid w:val="6A801E80"/>
    <w:rsid w:val="6A8B78AC"/>
    <w:rsid w:val="6A8F4802"/>
    <w:rsid w:val="6AA54025"/>
    <w:rsid w:val="6AE36FA6"/>
    <w:rsid w:val="6AF44665"/>
    <w:rsid w:val="6AF844D3"/>
    <w:rsid w:val="6AF91C7B"/>
    <w:rsid w:val="6AFE3735"/>
    <w:rsid w:val="6B0D7EDB"/>
    <w:rsid w:val="6B217424"/>
    <w:rsid w:val="6B2D13C4"/>
    <w:rsid w:val="6B572E46"/>
    <w:rsid w:val="6B614F48"/>
    <w:rsid w:val="6B737C7F"/>
    <w:rsid w:val="6B777044"/>
    <w:rsid w:val="6B80414A"/>
    <w:rsid w:val="6B8F1CEE"/>
    <w:rsid w:val="6B98707F"/>
    <w:rsid w:val="6BA02A3F"/>
    <w:rsid w:val="6BAA11C7"/>
    <w:rsid w:val="6BBC6C6A"/>
    <w:rsid w:val="6BCA2CBC"/>
    <w:rsid w:val="6BCC3834"/>
    <w:rsid w:val="6BD43F45"/>
    <w:rsid w:val="6BD4493D"/>
    <w:rsid w:val="6BE90AA1"/>
    <w:rsid w:val="6BEB1F0C"/>
    <w:rsid w:val="6BFA3EFD"/>
    <w:rsid w:val="6BFF5FF9"/>
    <w:rsid w:val="6C1256EA"/>
    <w:rsid w:val="6C152AE5"/>
    <w:rsid w:val="6C2D6CB2"/>
    <w:rsid w:val="6C2F54E6"/>
    <w:rsid w:val="6C305B70"/>
    <w:rsid w:val="6C3F109E"/>
    <w:rsid w:val="6C53360D"/>
    <w:rsid w:val="6C594904"/>
    <w:rsid w:val="6C5A499B"/>
    <w:rsid w:val="6C82713E"/>
    <w:rsid w:val="6CAA1644"/>
    <w:rsid w:val="6CB07B60"/>
    <w:rsid w:val="6CBF0CA2"/>
    <w:rsid w:val="6CD209D6"/>
    <w:rsid w:val="6CD56718"/>
    <w:rsid w:val="6D214EAA"/>
    <w:rsid w:val="6D4A0EB4"/>
    <w:rsid w:val="6D512242"/>
    <w:rsid w:val="6D6C2BD8"/>
    <w:rsid w:val="6D7E0B5E"/>
    <w:rsid w:val="6D97577B"/>
    <w:rsid w:val="6DC27C83"/>
    <w:rsid w:val="6DDB5FB0"/>
    <w:rsid w:val="6DE24A54"/>
    <w:rsid w:val="6DE77FDB"/>
    <w:rsid w:val="6DF350A8"/>
    <w:rsid w:val="6E105C5A"/>
    <w:rsid w:val="6E1B63AC"/>
    <w:rsid w:val="6E35795C"/>
    <w:rsid w:val="6E3A2CD6"/>
    <w:rsid w:val="6E3A48D9"/>
    <w:rsid w:val="6E407BC1"/>
    <w:rsid w:val="6E50341C"/>
    <w:rsid w:val="6E663ACB"/>
    <w:rsid w:val="6E6A189E"/>
    <w:rsid w:val="6E781A51"/>
    <w:rsid w:val="6E810905"/>
    <w:rsid w:val="6EB23DA4"/>
    <w:rsid w:val="6ECC3C23"/>
    <w:rsid w:val="6ED04054"/>
    <w:rsid w:val="6ED053E9"/>
    <w:rsid w:val="6EE669BA"/>
    <w:rsid w:val="6EF020B0"/>
    <w:rsid w:val="6EF47329"/>
    <w:rsid w:val="6EF56BFD"/>
    <w:rsid w:val="6F3033F6"/>
    <w:rsid w:val="6F411E43"/>
    <w:rsid w:val="6F4D6A39"/>
    <w:rsid w:val="6F4F27B2"/>
    <w:rsid w:val="6F4F4560"/>
    <w:rsid w:val="6F722FC9"/>
    <w:rsid w:val="6F745D74"/>
    <w:rsid w:val="6F765F90"/>
    <w:rsid w:val="6F7C2E7B"/>
    <w:rsid w:val="6F8A5598"/>
    <w:rsid w:val="6F9401C4"/>
    <w:rsid w:val="6F9B59F7"/>
    <w:rsid w:val="6FA80114"/>
    <w:rsid w:val="6FAC7C04"/>
    <w:rsid w:val="6FCF56A0"/>
    <w:rsid w:val="6FEC0000"/>
    <w:rsid w:val="6FEF5D43"/>
    <w:rsid w:val="6FF2313D"/>
    <w:rsid w:val="70385ABA"/>
    <w:rsid w:val="704240C4"/>
    <w:rsid w:val="704B11CB"/>
    <w:rsid w:val="705A7660"/>
    <w:rsid w:val="7088676E"/>
    <w:rsid w:val="709D579F"/>
    <w:rsid w:val="70C42D2B"/>
    <w:rsid w:val="70CC398E"/>
    <w:rsid w:val="70DD5B9B"/>
    <w:rsid w:val="70DE5CED"/>
    <w:rsid w:val="70E56110"/>
    <w:rsid w:val="70F96E79"/>
    <w:rsid w:val="7104581E"/>
    <w:rsid w:val="711D3C96"/>
    <w:rsid w:val="71233EF6"/>
    <w:rsid w:val="712E4649"/>
    <w:rsid w:val="7130216F"/>
    <w:rsid w:val="713779A1"/>
    <w:rsid w:val="713E2ADE"/>
    <w:rsid w:val="71676D6A"/>
    <w:rsid w:val="71BB5EDC"/>
    <w:rsid w:val="71BB78B1"/>
    <w:rsid w:val="71CF7F8B"/>
    <w:rsid w:val="71D523D1"/>
    <w:rsid w:val="720D24B0"/>
    <w:rsid w:val="720E00CA"/>
    <w:rsid w:val="722D7BEE"/>
    <w:rsid w:val="724A3704"/>
    <w:rsid w:val="72730565"/>
    <w:rsid w:val="72874010"/>
    <w:rsid w:val="72AC3A77"/>
    <w:rsid w:val="72BF19FC"/>
    <w:rsid w:val="72E6342D"/>
    <w:rsid w:val="72E871A5"/>
    <w:rsid w:val="73034F50"/>
    <w:rsid w:val="73082679"/>
    <w:rsid w:val="730B69EF"/>
    <w:rsid w:val="73125FD0"/>
    <w:rsid w:val="7315161C"/>
    <w:rsid w:val="731F249B"/>
    <w:rsid w:val="732F23C3"/>
    <w:rsid w:val="733A0C17"/>
    <w:rsid w:val="73422450"/>
    <w:rsid w:val="7346211D"/>
    <w:rsid w:val="735D69D5"/>
    <w:rsid w:val="736F3422"/>
    <w:rsid w:val="736F4BE9"/>
    <w:rsid w:val="73712F17"/>
    <w:rsid w:val="73777ED7"/>
    <w:rsid w:val="737C78ED"/>
    <w:rsid w:val="738642C8"/>
    <w:rsid w:val="738D38A8"/>
    <w:rsid w:val="739369E5"/>
    <w:rsid w:val="73972979"/>
    <w:rsid w:val="73A17354"/>
    <w:rsid w:val="73AB01D2"/>
    <w:rsid w:val="73C03C7E"/>
    <w:rsid w:val="73C66DBA"/>
    <w:rsid w:val="73C80D84"/>
    <w:rsid w:val="73CB617F"/>
    <w:rsid w:val="73E42A7C"/>
    <w:rsid w:val="73E86D31"/>
    <w:rsid w:val="74085625"/>
    <w:rsid w:val="740C6EC3"/>
    <w:rsid w:val="740D6797"/>
    <w:rsid w:val="740F004E"/>
    <w:rsid w:val="74100036"/>
    <w:rsid w:val="74190BDC"/>
    <w:rsid w:val="742D27FD"/>
    <w:rsid w:val="74591FEB"/>
    <w:rsid w:val="74681C20"/>
    <w:rsid w:val="747A1FA3"/>
    <w:rsid w:val="74842EFD"/>
    <w:rsid w:val="74B15375"/>
    <w:rsid w:val="74BC32BD"/>
    <w:rsid w:val="74C74B98"/>
    <w:rsid w:val="75181898"/>
    <w:rsid w:val="7548217D"/>
    <w:rsid w:val="754E0E15"/>
    <w:rsid w:val="75510906"/>
    <w:rsid w:val="755521A4"/>
    <w:rsid w:val="75722D56"/>
    <w:rsid w:val="75724DF3"/>
    <w:rsid w:val="7590142E"/>
    <w:rsid w:val="75932CCC"/>
    <w:rsid w:val="75B23A9A"/>
    <w:rsid w:val="75BB5939"/>
    <w:rsid w:val="75CB06B8"/>
    <w:rsid w:val="75D92DD5"/>
    <w:rsid w:val="75DF4163"/>
    <w:rsid w:val="75E74523"/>
    <w:rsid w:val="75F0011F"/>
    <w:rsid w:val="760564A8"/>
    <w:rsid w:val="760F2C9B"/>
    <w:rsid w:val="762A7AD4"/>
    <w:rsid w:val="762F1526"/>
    <w:rsid w:val="763A62CD"/>
    <w:rsid w:val="766D176F"/>
    <w:rsid w:val="76732CE8"/>
    <w:rsid w:val="768E0684"/>
    <w:rsid w:val="768E1E11"/>
    <w:rsid w:val="76CC293A"/>
    <w:rsid w:val="76E01F41"/>
    <w:rsid w:val="76E25E1C"/>
    <w:rsid w:val="76F82480"/>
    <w:rsid w:val="77081204"/>
    <w:rsid w:val="7715608F"/>
    <w:rsid w:val="7718792D"/>
    <w:rsid w:val="77204A34"/>
    <w:rsid w:val="77257FEB"/>
    <w:rsid w:val="77416E84"/>
    <w:rsid w:val="77493F8A"/>
    <w:rsid w:val="77607B01"/>
    <w:rsid w:val="777342D2"/>
    <w:rsid w:val="7782124A"/>
    <w:rsid w:val="77A80CB1"/>
    <w:rsid w:val="77A94A29"/>
    <w:rsid w:val="77AF20BF"/>
    <w:rsid w:val="77C43611"/>
    <w:rsid w:val="77F55EC0"/>
    <w:rsid w:val="78034139"/>
    <w:rsid w:val="780E2ADE"/>
    <w:rsid w:val="78120820"/>
    <w:rsid w:val="781B07A0"/>
    <w:rsid w:val="781D17B3"/>
    <w:rsid w:val="78280044"/>
    <w:rsid w:val="7855070D"/>
    <w:rsid w:val="78623556"/>
    <w:rsid w:val="78673A3B"/>
    <w:rsid w:val="787F15B9"/>
    <w:rsid w:val="789C633C"/>
    <w:rsid w:val="78B96EEE"/>
    <w:rsid w:val="78BC49E1"/>
    <w:rsid w:val="791374B0"/>
    <w:rsid w:val="791660EE"/>
    <w:rsid w:val="791D122B"/>
    <w:rsid w:val="79492020"/>
    <w:rsid w:val="794D69FB"/>
    <w:rsid w:val="79667075"/>
    <w:rsid w:val="796A69A7"/>
    <w:rsid w:val="7983686A"/>
    <w:rsid w:val="79874B6C"/>
    <w:rsid w:val="798C015E"/>
    <w:rsid w:val="79BF0534"/>
    <w:rsid w:val="7A3251AA"/>
    <w:rsid w:val="7A401512"/>
    <w:rsid w:val="7A59162D"/>
    <w:rsid w:val="7A5E7D4D"/>
    <w:rsid w:val="7A7306BC"/>
    <w:rsid w:val="7A74131E"/>
    <w:rsid w:val="7A803889"/>
    <w:rsid w:val="7AA80BCB"/>
    <w:rsid w:val="7AC202DC"/>
    <w:rsid w:val="7ADB139D"/>
    <w:rsid w:val="7AE069B4"/>
    <w:rsid w:val="7AE5760F"/>
    <w:rsid w:val="7AE70437"/>
    <w:rsid w:val="7AEC5358"/>
    <w:rsid w:val="7B193C74"/>
    <w:rsid w:val="7B3D63F3"/>
    <w:rsid w:val="7B580C40"/>
    <w:rsid w:val="7B5D0004"/>
    <w:rsid w:val="7B5F1FCE"/>
    <w:rsid w:val="7B713AB0"/>
    <w:rsid w:val="7B8437E3"/>
    <w:rsid w:val="7BA23C69"/>
    <w:rsid w:val="7BA76D4A"/>
    <w:rsid w:val="7BB0099E"/>
    <w:rsid w:val="7BB55730"/>
    <w:rsid w:val="7BB64B16"/>
    <w:rsid w:val="7BBE4F8C"/>
    <w:rsid w:val="7BD5403F"/>
    <w:rsid w:val="7BD55DED"/>
    <w:rsid w:val="7BDF310F"/>
    <w:rsid w:val="7BE40725"/>
    <w:rsid w:val="7BEE3352"/>
    <w:rsid w:val="7C02295A"/>
    <w:rsid w:val="7C1240E3"/>
    <w:rsid w:val="7C273197"/>
    <w:rsid w:val="7C7554E9"/>
    <w:rsid w:val="7C9E08D4"/>
    <w:rsid w:val="7CB33E74"/>
    <w:rsid w:val="7CB77BE8"/>
    <w:rsid w:val="7CBA2EFE"/>
    <w:rsid w:val="7CC7607D"/>
    <w:rsid w:val="7D080444"/>
    <w:rsid w:val="7D1943FF"/>
    <w:rsid w:val="7D221505"/>
    <w:rsid w:val="7D4A0A5C"/>
    <w:rsid w:val="7D6C75DF"/>
    <w:rsid w:val="7D747887"/>
    <w:rsid w:val="7D8950E1"/>
    <w:rsid w:val="7DA16B80"/>
    <w:rsid w:val="7DAB14FB"/>
    <w:rsid w:val="7DAE4B47"/>
    <w:rsid w:val="7DBB3147"/>
    <w:rsid w:val="7DF34C50"/>
    <w:rsid w:val="7E0B01EB"/>
    <w:rsid w:val="7E13206D"/>
    <w:rsid w:val="7E1352F2"/>
    <w:rsid w:val="7E135A11"/>
    <w:rsid w:val="7E4454AB"/>
    <w:rsid w:val="7E490D14"/>
    <w:rsid w:val="7E6235CB"/>
    <w:rsid w:val="7E655B4E"/>
    <w:rsid w:val="7E6A3164"/>
    <w:rsid w:val="7E6C0278"/>
    <w:rsid w:val="7E816D94"/>
    <w:rsid w:val="7EA63A70"/>
    <w:rsid w:val="7ED45422"/>
    <w:rsid w:val="7EFF2C1B"/>
    <w:rsid w:val="7F1B3CC3"/>
    <w:rsid w:val="7F2A644F"/>
    <w:rsid w:val="7F345520"/>
    <w:rsid w:val="7F385010"/>
    <w:rsid w:val="7F3D7CD4"/>
    <w:rsid w:val="7F4219EB"/>
    <w:rsid w:val="7F5B485B"/>
    <w:rsid w:val="7F736048"/>
    <w:rsid w:val="7F78540D"/>
    <w:rsid w:val="7F8525F4"/>
    <w:rsid w:val="7FBB79EF"/>
    <w:rsid w:val="7FBE4DEA"/>
    <w:rsid w:val="7FC05990"/>
    <w:rsid w:val="7FD4460D"/>
    <w:rsid w:val="7FFA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3">
    <w:name w:val="heading 2"/>
    <w:basedOn w:val="1"/>
    <w:next w:val="4"/>
    <w:autoRedefine/>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华文宋体" w:cs="Times New Roman"/>
      <w:b/>
      <w:sz w:val="28"/>
    </w:rPr>
  </w:style>
  <w:style w:type="paragraph" w:styleId="5">
    <w:name w:val="heading 3"/>
    <w:basedOn w:val="1"/>
    <w:next w:val="1"/>
    <w:autoRedefine/>
    <w:qFormat/>
    <w:uiPriority w:val="99"/>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autoRedefine/>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style>
  <w:style w:type="paragraph" w:styleId="10">
    <w:name w:val="Body Text"/>
    <w:basedOn w:val="1"/>
    <w:autoRedefine/>
    <w:qFormat/>
    <w:uiPriority w:val="0"/>
    <w:pPr>
      <w:tabs>
        <w:tab w:val="left" w:pos="567"/>
      </w:tabs>
      <w:spacing w:before="120" w:beforeLines="0" w:line="22" w:lineRule="atLeast"/>
    </w:pPr>
    <w:rPr>
      <w:rFonts w:ascii="宋体" w:hAnsi="宋体"/>
      <w:sz w:val="24"/>
    </w:rPr>
  </w:style>
  <w:style w:type="paragraph" w:styleId="11">
    <w:name w:val="Body Text Indent"/>
    <w:basedOn w:val="1"/>
    <w:autoRedefine/>
    <w:qFormat/>
    <w:uiPriority w:val="0"/>
    <w:pPr>
      <w:spacing w:after="120" w:afterLines="0"/>
      <w:ind w:left="420" w:leftChars="200"/>
    </w:pPr>
  </w:style>
  <w:style w:type="paragraph" w:styleId="12">
    <w:name w:val="Plain Text"/>
    <w:basedOn w:val="1"/>
    <w:autoRedefine/>
    <w:qFormat/>
    <w:uiPriority w:val="99"/>
    <w:rPr>
      <w:rFonts w:ascii="宋体" w:hAnsi="Courier New" w:cs="Courier New"/>
      <w:szCs w:val="21"/>
    </w:rPr>
  </w:style>
  <w:style w:type="paragraph" w:styleId="13">
    <w:name w:val="Date"/>
    <w:basedOn w:val="1"/>
    <w:next w:val="1"/>
    <w:qFormat/>
    <w:uiPriority w:val="0"/>
    <w:rPr>
      <w:szCs w:val="21"/>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8">
    <w:name w:val="footnote text"/>
    <w:basedOn w:val="1"/>
    <w:qFormat/>
    <w:uiPriority w:val="99"/>
    <w:rPr>
      <w:sz w:val="20"/>
      <w:szCs w:val="20"/>
    </w:rPr>
  </w:style>
  <w:style w:type="paragraph" w:styleId="19">
    <w:name w:val="Body Text Indent 3"/>
    <w:basedOn w:val="1"/>
    <w:qFormat/>
    <w:uiPriority w:val="0"/>
    <w:pPr>
      <w:spacing w:line="440" w:lineRule="exact"/>
      <w:ind w:firstLine="412" w:firstLineChars="200"/>
    </w:pPr>
    <w:rPr>
      <w:rFonts w:ascii="宋体" w:hAnsi="Calibri" w:eastAsia="宋体" w:cs="Times New Roman"/>
      <w:kern w:val="0"/>
      <w:sz w:val="20"/>
      <w:szCs w:val="20"/>
    </w:rPr>
  </w:style>
  <w:style w:type="paragraph" w:styleId="20">
    <w:name w:val="toc 2"/>
    <w:basedOn w:val="1"/>
    <w:next w:val="1"/>
    <w:autoRedefine/>
    <w:qFormat/>
    <w:uiPriority w:val="0"/>
    <w:pPr>
      <w:ind w:left="420" w:leftChars="200"/>
    </w:pPr>
  </w:style>
  <w:style w:type="paragraph" w:styleId="21">
    <w:name w:val="Body Text 2"/>
    <w:basedOn w:val="1"/>
    <w:qFormat/>
    <w:uiPriority w:val="0"/>
    <w:pPr>
      <w:spacing w:after="120" w:line="480" w:lineRule="auto"/>
    </w:pPr>
    <w:rPr>
      <w:rFonts w:ascii="Calibri" w:hAnsi="Calibri"/>
    </w:rPr>
  </w:style>
  <w:style w:type="paragraph" w:styleId="2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index 1"/>
    <w:basedOn w:val="1"/>
    <w:next w:val="1"/>
    <w:autoRedefine/>
    <w:qFormat/>
    <w:uiPriority w:val="0"/>
    <w:pPr>
      <w:spacing w:line="360" w:lineRule="auto"/>
    </w:pPr>
    <w:rPr>
      <w:rFonts w:ascii="仿宋_GB2312" w:eastAsia="仿宋_GB2312"/>
      <w:sz w:val="24"/>
      <w:szCs w:val="20"/>
    </w:rPr>
  </w:style>
  <w:style w:type="paragraph" w:styleId="24">
    <w:name w:val="Body Text First Indent"/>
    <w:basedOn w:val="10"/>
    <w:unhideWhenUsed/>
    <w:qFormat/>
    <w:uiPriority w:val="0"/>
    <w:pPr>
      <w:autoSpaceDE w:val="0"/>
      <w:autoSpaceDN w:val="0"/>
      <w:ind w:firstLine="420" w:firstLineChars="100"/>
      <w:jc w:val="left"/>
    </w:pPr>
    <w:rPr>
      <w:rFonts w:ascii="宋体" w:hAnsi="宋体" w:eastAsia="宋体" w:cs="宋体"/>
      <w:kern w:val="0"/>
      <w:sz w:val="22"/>
      <w:lang w:val="zh-CN" w:bidi="zh-CN"/>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paragraph" w:customStyle="1" w:styleId="29">
    <w:name w:val="正文_1_1"/>
    <w:autoRedefine/>
    <w:qFormat/>
    <w:uiPriority w:val="0"/>
    <w:pPr>
      <w:widowControl w:val="0"/>
      <w:jc w:val="both"/>
    </w:pPr>
    <w:rPr>
      <w:rFonts w:ascii="Times New Roman" w:hAnsi="Times New Roman" w:eastAsia="宋体" w:cs="Times New Roman"/>
      <w:lang w:val="en-US" w:eastAsia="zh-CN" w:bidi="ar-SA"/>
    </w:rPr>
  </w:style>
  <w:style w:type="paragraph" w:customStyle="1" w:styleId="30">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31">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32">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4">
    <w:name w:val="样式9"/>
    <w:basedOn w:val="1"/>
    <w:autoRedefine/>
    <w:qFormat/>
    <w:uiPriority w:val="0"/>
    <w:pPr>
      <w:spacing w:line="480" w:lineRule="exact"/>
      <w:ind w:firstLine="480" w:firstLineChars="200"/>
    </w:pPr>
    <w:rPr>
      <w:rFonts w:ascii="宋体" w:hAnsi="宋体"/>
      <w:szCs w:val="24"/>
    </w:rPr>
  </w:style>
  <w:style w:type="paragraph" w:styleId="35">
    <w:name w:val="List Paragraph"/>
    <w:basedOn w:val="1"/>
    <w:autoRedefine/>
    <w:qFormat/>
    <w:uiPriority w:val="0"/>
    <w:pPr>
      <w:ind w:firstLine="420" w:firstLineChars="200"/>
    </w:pPr>
  </w:style>
  <w:style w:type="paragraph" w:customStyle="1" w:styleId="3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7">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8">
    <w:name w:val="font11"/>
    <w:basedOn w:val="27"/>
    <w:autoRedefine/>
    <w:qFormat/>
    <w:uiPriority w:val="0"/>
    <w:rPr>
      <w:rFonts w:hint="eastAsia" w:ascii="宋体" w:hAnsi="宋体" w:eastAsia="宋体" w:cs="宋体"/>
      <w:color w:val="000000"/>
      <w:sz w:val="21"/>
      <w:szCs w:val="21"/>
      <w:u w:val="none"/>
    </w:rPr>
  </w:style>
  <w:style w:type="character" w:customStyle="1" w:styleId="39">
    <w:name w:val="NormalCharacter"/>
    <w:qFormat/>
    <w:uiPriority w:val="0"/>
  </w:style>
  <w:style w:type="paragraph" w:customStyle="1" w:styleId="40">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41">
    <w:name w:val="font41"/>
    <w:basedOn w:val="27"/>
    <w:qFormat/>
    <w:uiPriority w:val="0"/>
    <w:rPr>
      <w:rFonts w:hint="eastAsia" w:ascii="宋体" w:hAnsi="宋体" w:eastAsia="宋体" w:cs="宋体"/>
      <w:color w:val="000000"/>
      <w:sz w:val="21"/>
      <w:szCs w:val="21"/>
      <w:u w:val="none"/>
    </w:rPr>
  </w:style>
  <w:style w:type="character" w:customStyle="1" w:styleId="42">
    <w:name w:val="font61"/>
    <w:basedOn w:val="27"/>
    <w:qFormat/>
    <w:uiPriority w:val="0"/>
    <w:rPr>
      <w:rFonts w:hint="eastAsia" w:ascii="宋体" w:hAnsi="宋体" w:eastAsia="宋体" w:cs="宋体"/>
      <w:color w:val="000000"/>
      <w:sz w:val="22"/>
      <w:szCs w:val="22"/>
      <w:u w:val="none"/>
    </w:rPr>
  </w:style>
  <w:style w:type="character" w:customStyle="1" w:styleId="43">
    <w:name w:val="font51"/>
    <w:basedOn w:val="27"/>
    <w:qFormat/>
    <w:uiPriority w:val="0"/>
    <w:rPr>
      <w:rFonts w:hint="eastAsia" w:ascii="宋体" w:hAnsi="宋体" w:eastAsia="宋体" w:cs="宋体"/>
      <w:color w:val="FF0000"/>
      <w:sz w:val="22"/>
      <w:szCs w:val="22"/>
      <w:u w:val="none"/>
    </w:rPr>
  </w:style>
  <w:style w:type="character" w:customStyle="1" w:styleId="44">
    <w:name w:val="font01"/>
    <w:basedOn w:val="27"/>
    <w:qFormat/>
    <w:uiPriority w:val="0"/>
    <w:rPr>
      <w:rFonts w:hint="eastAsia" w:ascii="宋体" w:hAnsi="宋体" w:eastAsia="宋体" w:cs="宋体"/>
      <w:color w:val="000000"/>
      <w:sz w:val="22"/>
      <w:szCs w:val="22"/>
      <w:u w:val="none"/>
    </w:rPr>
  </w:style>
  <w:style w:type="paragraph" w:customStyle="1" w:styleId="4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47">
    <w:name w:val="Table Paragraph"/>
    <w:basedOn w:val="1"/>
    <w:qFormat/>
    <w:uiPriority w:val="1"/>
    <w:pPr>
      <w:jc w:val="left"/>
    </w:pPr>
    <w:rPr>
      <w:rFonts w:ascii="Calibri" w:hAnsi="Calibri" w:cs="Arial"/>
      <w:kern w:val="0"/>
      <w:sz w:val="22"/>
      <w:lang w:eastAsia="en-US"/>
    </w:rPr>
  </w:style>
  <w:style w:type="paragraph" w:customStyle="1" w:styleId="48">
    <w:name w:val="Table Text"/>
    <w:basedOn w:val="1"/>
    <w:semiHidden/>
    <w:qFormat/>
    <w:uiPriority w:val="0"/>
    <w:rPr>
      <w:rFonts w:ascii="宋体" w:hAnsi="宋体" w:eastAsia="宋体" w:cs="宋体"/>
      <w:sz w:val="28"/>
      <w:szCs w:val="28"/>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正文112"/>
    <w:next w:val="11"/>
    <w:autoRedefine/>
    <w:qFormat/>
    <w:uiPriority w:val="0"/>
    <w:pPr>
      <w:widowControl w:val="0"/>
      <w:jc w:val="both"/>
    </w:pPr>
    <w:rPr>
      <w:rFonts w:ascii="Calibri" w:hAnsi="Calibri" w:eastAsia="宋体" w:cs="Times New Roman"/>
      <w:lang w:val="en-US" w:eastAsia="zh-CN" w:bidi="ar-SA"/>
    </w:rPr>
  </w:style>
  <w:style w:type="paragraph" w:customStyle="1" w:styleId="51">
    <w:name w:val="正文_7_2"/>
    <w:qFormat/>
    <w:uiPriority w:val="0"/>
    <w:pPr>
      <w:widowControl w:val="0"/>
      <w:jc w:val="both"/>
    </w:pPr>
    <w:rPr>
      <w:rFonts w:ascii="Calibri" w:hAnsi="Calibri" w:eastAsia="宋体" w:cs="Times New Roman"/>
      <w:kern w:val="2"/>
      <w:sz w:val="21"/>
      <w:szCs w:val="22"/>
      <w:lang w:val="en-US" w:eastAsia="zh-CN" w:bidi="ar-SA"/>
    </w:rPr>
  </w:style>
  <w:style w:type="paragraph" w:styleId="52">
    <w:name w:val="No Spacing"/>
    <w:qFormat/>
    <w:uiPriority w:val="0"/>
    <w:pPr>
      <w:widowControl w:val="0"/>
      <w:spacing w:line="360" w:lineRule="auto"/>
    </w:pPr>
    <w:rPr>
      <w:rFonts w:ascii="Calibri" w:hAnsi="Calibri" w:eastAsia="宋体" w:cs="Times New Roman"/>
      <w:kern w:val="2"/>
      <w:sz w:val="24"/>
      <w:szCs w:val="22"/>
      <w:lang w:val="en-US" w:eastAsia="zh-CN" w:bidi="ar-SA"/>
    </w:rPr>
  </w:style>
  <w:style w:type="character" w:customStyle="1" w:styleId="53">
    <w:name w:val="15"/>
    <w:basedOn w:val="27"/>
    <w:qFormat/>
    <w:uiPriority w:val="0"/>
    <w:rPr>
      <w:rFonts w:hint="default" w:ascii="Times New Roman" w:hAnsi="Times New Roman" w:cs="Times New Roman"/>
    </w:rPr>
  </w:style>
  <w:style w:type="paragraph" w:customStyle="1" w:styleId="54">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13711</Words>
  <Characters>15139</Characters>
  <Lines>0</Lines>
  <Paragraphs>0</Paragraphs>
  <TotalTime>0</TotalTime>
  <ScaleCrop>false</ScaleCrop>
  <LinksUpToDate>false</LinksUpToDate>
  <CharactersWithSpaces>15512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2021-04-14T10:20:00Z</dcterms:created>
  <dc:creator>Administrator</dc:creator>
  <cp:lastModifiedBy>lemon荞</cp:lastModifiedBy>
  <cp:lastPrinted>2024-10-24T04:18:00Z</cp:lastPrinted>
  <dcterms:modified xsi:type="dcterms:W3CDTF">2026-04-30T08:44:54Z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6ED0895F1B6E44F8B17E4DF62E1ADF20_13</vt:lpwstr>
  </property>
  <property fmtid="{D5CDD505-2E9C-101B-9397-08002B2CF9AE}" pid="4" name="KSOTemplateDocerSaveRecord">
    <vt:lpwstr>eyJoZGlkIjoiNDA4OWU0MjJmMzVmODFhYWQ2NjcxMzAyY2ZlNDQxOTEiLCJ1c2VySWQiOiI2ODUzMDAwNDIifQ==</vt:lpwstr>
  </property>
</Properties>
</file>