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B4B6D">
      <w:pPr>
        <w:spacing w:line="240" w:lineRule="atLeast"/>
        <w:jc w:val="center"/>
        <w:rPr>
          <w:rFonts w:hint="eastAsia" w:ascii="微软雅黑" w:hAnsi="微软雅黑" w:eastAsia="微软雅黑" w:cs="微软雅黑"/>
          <w:b/>
          <w:color w:val="auto"/>
          <w:sz w:val="40"/>
          <w:szCs w:val="40"/>
          <w:highlight w:val="yellow"/>
        </w:rPr>
      </w:pPr>
    </w:p>
    <w:p w14:paraId="57628333">
      <w:pPr>
        <w:spacing w:line="240" w:lineRule="atLeast"/>
        <w:jc w:val="center"/>
        <w:rPr>
          <w:rFonts w:hint="eastAsia" w:ascii="微软雅黑" w:hAnsi="微软雅黑" w:eastAsia="微软雅黑" w:cs="微软雅黑"/>
          <w:b/>
          <w:color w:val="auto"/>
          <w:sz w:val="40"/>
          <w:szCs w:val="40"/>
          <w:highlight w:val="yellow"/>
        </w:rPr>
      </w:pPr>
      <w:r>
        <w:rPr>
          <w:rFonts w:hint="eastAsia" w:ascii="微软雅黑" w:hAnsi="微软雅黑" w:eastAsia="微软雅黑" w:cs="微软雅黑"/>
          <w:b/>
          <w:color w:val="auto"/>
          <w:sz w:val="40"/>
          <w:szCs w:val="40"/>
          <w:highlight w:val="none"/>
        </w:rPr>
        <w:t>塔城地区沙湾市医共体资源共享中心建设项目--彩超（全身机）、肌骨超声等</w:t>
      </w:r>
    </w:p>
    <w:p w14:paraId="233CBF93">
      <w:pPr>
        <w:spacing w:line="240" w:lineRule="atLeast"/>
        <w:jc w:val="center"/>
        <w:rPr>
          <w:rFonts w:hint="eastAsia" w:ascii="微软雅黑" w:hAnsi="微软雅黑" w:eastAsia="微软雅黑" w:cs="微软雅黑"/>
          <w:b/>
          <w:color w:val="auto"/>
          <w:sz w:val="44"/>
          <w:szCs w:val="44"/>
          <w:highlight w:val="none"/>
        </w:rPr>
      </w:pPr>
    </w:p>
    <w:p w14:paraId="1F95FD6B">
      <w:pPr>
        <w:spacing w:line="240" w:lineRule="atLeast"/>
        <w:jc w:val="center"/>
        <w:rPr>
          <w:rFonts w:ascii="微软雅黑" w:hAnsi="微软雅黑" w:eastAsia="微软雅黑" w:cs="微软雅黑"/>
          <w:bCs/>
          <w:color w:val="auto"/>
          <w:sz w:val="44"/>
          <w:szCs w:val="44"/>
          <w:highlight w:val="none"/>
        </w:rPr>
      </w:pPr>
      <w:r>
        <w:rPr>
          <w:rFonts w:hint="eastAsia" w:ascii="微软雅黑" w:hAnsi="微软雅黑" w:eastAsia="微软雅黑" w:cs="微软雅黑"/>
          <w:b/>
          <w:color w:val="auto"/>
          <w:sz w:val="44"/>
          <w:szCs w:val="44"/>
          <w:highlight w:val="none"/>
        </w:rPr>
        <w:t>公开招标文件</w:t>
      </w:r>
    </w:p>
    <w:p w14:paraId="2398DBCC">
      <w:pPr>
        <w:spacing w:line="240" w:lineRule="atLeast"/>
        <w:rPr>
          <w:rFonts w:ascii="微软雅黑" w:hAnsi="微软雅黑" w:eastAsia="微软雅黑" w:cs="微软雅黑"/>
          <w:bCs/>
          <w:color w:val="auto"/>
          <w:sz w:val="32"/>
          <w:szCs w:val="32"/>
          <w:highlight w:val="none"/>
        </w:rPr>
      </w:pPr>
    </w:p>
    <w:p w14:paraId="1B78A9DC">
      <w:pPr>
        <w:spacing w:line="240" w:lineRule="atLeast"/>
        <w:ind w:left="1497" w:leftChars="713" w:firstLine="1094" w:firstLineChars="342"/>
        <w:jc w:val="both"/>
        <w:rPr>
          <w:rFonts w:ascii="微软雅黑" w:hAnsi="微软雅黑" w:eastAsia="微软雅黑" w:cs="微软雅黑"/>
          <w:b/>
          <w:color w:val="auto"/>
          <w:sz w:val="32"/>
          <w:szCs w:val="32"/>
          <w:highlight w:val="none"/>
        </w:rPr>
      </w:pPr>
      <w:r>
        <w:rPr>
          <w:rFonts w:hint="eastAsia" w:ascii="微软雅黑" w:hAnsi="微软雅黑" w:eastAsia="微软雅黑" w:cs="微软雅黑"/>
          <w:bCs/>
          <w:color w:val="auto"/>
          <w:sz w:val="32"/>
          <w:szCs w:val="32"/>
          <w:highlight w:val="none"/>
        </w:rPr>
        <w:t>项目编号：XJ</w:t>
      </w:r>
      <w:r>
        <w:rPr>
          <w:rFonts w:hint="eastAsia" w:ascii="微软雅黑" w:hAnsi="微软雅黑" w:eastAsia="微软雅黑" w:cs="微软雅黑"/>
          <w:bCs/>
          <w:color w:val="auto"/>
          <w:sz w:val="32"/>
          <w:szCs w:val="32"/>
          <w:highlight w:val="none"/>
          <w:lang w:val="en-US" w:eastAsia="zh-CN"/>
        </w:rPr>
        <w:t xml:space="preserve">JZF2026-(GK)001             </w:t>
      </w:r>
    </w:p>
    <w:p w14:paraId="173C5C9B">
      <w:pPr>
        <w:pStyle w:val="4"/>
        <w:ind w:firstLine="0"/>
        <w:rPr>
          <w:rFonts w:ascii="微软雅黑" w:hAnsi="微软雅黑" w:eastAsia="微软雅黑" w:cs="微软雅黑"/>
          <w:color w:val="auto"/>
          <w:sz w:val="28"/>
          <w:szCs w:val="28"/>
          <w:highlight w:val="none"/>
        </w:rPr>
      </w:pPr>
    </w:p>
    <w:p w14:paraId="7963BD49">
      <w:pPr>
        <w:spacing w:line="360" w:lineRule="auto"/>
        <w:ind w:firstLine="837" w:firstLineChars="299"/>
        <w:jc w:val="left"/>
        <w:rPr>
          <w:rFonts w:hint="eastAsia" w:ascii="微软雅黑" w:hAnsi="微软雅黑" w:eastAsia="微软雅黑" w:cs="微软雅黑"/>
          <w:color w:val="auto"/>
          <w:sz w:val="28"/>
          <w:szCs w:val="28"/>
          <w:highlight w:val="none"/>
        </w:rPr>
      </w:pPr>
    </w:p>
    <w:p w14:paraId="7A931694">
      <w:pPr>
        <w:spacing w:line="360" w:lineRule="auto"/>
        <w:ind w:firstLine="837" w:firstLineChars="299"/>
        <w:jc w:val="left"/>
        <w:rPr>
          <w:rFonts w:hint="eastAsia" w:ascii="微软雅黑" w:hAnsi="微软雅黑" w:eastAsia="微软雅黑" w:cs="微软雅黑"/>
          <w:color w:val="auto"/>
          <w:sz w:val="28"/>
          <w:szCs w:val="28"/>
          <w:highlight w:val="none"/>
        </w:rPr>
      </w:pPr>
    </w:p>
    <w:p w14:paraId="50284F0B">
      <w:pPr>
        <w:spacing w:line="360" w:lineRule="auto"/>
        <w:ind w:firstLine="837" w:firstLineChars="299"/>
        <w:jc w:val="left"/>
        <w:rPr>
          <w:rFonts w:hint="eastAsia" w:ascii="微软雅黑" w:hAnsi="微软雅黑" w:eastAsia="微软雅黑" w:cs="微软雅黑"/>
          <w:color w:val="auto"/>
          <w:sz w:val="28"/>
          <w:szCs w:val="28"/>
          <w:highlight w:val="none"/>
        </w:rPr>
      </w:pPr>
    </w:p>
    <w:p w14:paraId="6D883D26">
      <w:pPr>
        <w:spacing w:line="360" w:lineRule="auto"/>
        <w:ind w:firstLine="837" w:firstLineChars="299"/>
        <w:jc w:val="left"/>
        <w:rPr>
          <w:rFonts w:hint="eastAsia" w:ascii="微软雅黑" w:hAnsi="微软雅黑" w:eastAsia="微软雅黑" w:cs="微软雅黑"/>
          <w:color w:val="auto"/>
          <w:sz w:val="28"/>
          <w:szCs w:val="28"/>
          <w:highlight w:val="none"/>
        </w:rPr>
      </w:pPr>
    </w:p>
    <w:p w14:paraId="46B7A36B">
      <w:pPr>
        <w:spacing w:line="360" w:lineRule="auto"/>
        <w:ind w:firstLine="837" w:firstLineChars="299"/>
        <w:jc w:val="left"/>
        <w:rPr>
          <w:rFonts w:hint="eastAsia" w:ascii="微软雅黑" w:hAnsi="微软雅黑" w:eastAsia="微软雅黑" w:cs="微软雅黑"/>
          <w:color w:val="auto"/>
          <w:sz w:val="28"/>
          <w:szCs w:val="28"/>
          <w:highlight w:val="none"/>
        </w:rPr>
      </w:pPr>
    </w:p>
    <w:p w14:paraId="3B8CDEC6">
      <w:pPr>
        <w:spacing w:line="360" w:lineRule="auto"/>
        <w:ind w:firstLine="837" w:firstLineChars="299"/>
        <w:jc w:val="left"/>
        <w:rPr>
          <w:rFonts w:hint="default"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rPr>
        <w:t>采购单位：</w:t>
      </w:r>
      <w:r>
        <w:rPr>
          <w:rFonts w:hint="eastAsia" w:ascii="微软雅黑" w:hAnsi="微软雅黑" w:eastAsia="微软雅黑" w:cs="微软雅黑"/>
          <w:color w:val="auto"/>
          <w:sz w:val="28"/>
          <w:szCs w:val="28"/>
          <w:highlight w:val="none"/>
          <w:lang w:val="en-US" w:eastAsia="zh-CN"/>
        </w:rPr>
        <w:t>沙湾市人民医院</w:t>
      </w:r>
    </w:p>
    <w:p w14:paraId="039C4863">
      <w:pPr>
        <w:pStyle w:val="4"/>
        <w:ind w:firstLine="840" w:firstLineChars="300"/>
        <w:rPr>
          <w:rFonts w:hint="eastAsia" w:ascii="微软雅黑" w:hAnsi="微软雅黑" w:eastAsia="微软雅黑" w:cs="微软雅黑"/>
          <w:color w:val="auto"/>
          <w:kern w:val="2"/>
          <w:sz w:val="28"/>
          <w:szCs w:val="28"/>
          <w:highlight w:val="none"/>
          <w:lang w:eastAsia="zh-CN"/>
        </w:rPr>
      </w:pPr>
      <w:r>
        <w:rPr>
          <w:rFonts w:hint="eastAsia" w:ascii="微软雅黑" w:hAnsi="微软雅黑" w:eastAsia="微软雅黑" w:cs="微软雅黑"/>
          <w:color w:val="auto"/>
          <w:sz w:val="28"/>
          <w:szCs w:val="28"/>
          <w:highlight w:val="none"/>
        </w:rPr>
        <w:t xml:space="preserve">联 系 </w:t>
      </w:r>
      <w:r>
        <w:rPr>
          <w:rFonts w:hint="eastAsia" w:ascii="微软雅黑" w:hAnsi="微软雅黑" w:eastAsia="微软雅黑" w:cs="微软雅黑"/>
          <w:color w:val="auto"/>
          <w:kern w:val="2"/>
          <w:sz w:val="28"/>
          <w:szCs w:val="28"/>
          <w:highlight w:val="none"/>
        </w:rPr>
        <w:t>人：韩燕</w:t>
      </w:r>
    </w:p>
    <w:p w14:paraId="48BAE353">
      <w:pPr>
        <w:pStyle w:val="5"/>
        <w:ind w:firstLine="840" w:firstLineChars="300"/>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rPr>
        <w:t>联系电话：15909935111</w:t>
      </w:r>
    </w:p>
    <w:p w14:paraId="25A44F80">
      <w:pPr>
        <w:spacing w:line="360" w:lineRule="auto"/>
        <w:ind w:firstLine="837" w:firstLineChars="299"/>
        <w:rPr>
          <w:rFonts w:hint="eastAsia" w:ascii="微软雅黑" w:hAnsi="微软雅黑" w:eastAsia="微软雅黑" w:cs="微软雅黑"/>
          <w:color w:val="auto"/>
          <w:sz w:val="28"/>
          <w:szCs w:val="28"/>
          <w:highlight w:val="none"/>
        </w:rPr>
      </w:pPr>
    </w:p>
    <w:p w14:paraId="637BA0BD">
      <w:pPr>
        <w:spacing w:line="360" w:lineRule="auto"/>
        <w:ind w:firstLine="837" w:firstLineChars="299"/>
        <w:rPr>
          <w:rFonts w:hint="default"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rPr>
        <w:t>采购机构：</w:t>
      </w:r>
      <w:r>
        <w:rPr>
          <w:rFonts w:hint="eastAsia" w:ascii="微软雅黑" w:hAnsi="微软雅黑" w:eastAsia="微软雅黑" w:cs="微软雅黑"/>
          <w:color w:val="auto"/>
          <w:sz w:val="28"/>
          <w:szCs w:val="28"/>
          <w:highlight w:val="none"/>
          <w:lang w:val="en-US" w:eastAsia="zh-CN"/>
        </w:rPr>
        <w:t>新疆金之帆项目管理咨询有限公司</w:t>
      </w:r>
    </w:p>
    <w:p w14:paraId="0EC71BB5">
      <w:pPr>
        <w:spacing w:line="360" w:lineRule="auto"/>
        <w:ind w:firstLine="837" w:firstLineChars="299"/>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 xml:space="preserve">联 系 人：马为民      </w:t>
      </w:r>
    </w:p>
    <w:p w14:paraId="72D51B8C">
      <w:pPr>
        <w:spacing w:line="360" w:lineRule="auto"/>
        <w:ind w:firstLine="837" w:firstLineChars="299"/>
        <w:rPr>
          <w:rFonts w:hint="default"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联系电话：18109918226</w:t>
      </w:r>
    </w:p>
    <w:p w14:paraId="3EFE7855">
      <w:pPr>
        <w:spacing w:line="360" w:lineRule="auto"/>
        <w:jc w:val="center"/>
        <w:rPr>
          <w:color w:val="auto"/>
          <w:highlight w:val="none"/>
        </w:rPr>
      </w:pPr>
      <w:r>
        <w:rPr>
          <w:rFonts w:hint="eastAsia" w:ascii="微软雅黑" w:hAnsi="微软雅黑" w:eastAsia="微软雅黑" w:cs="微软雅黑"/>
          <w:color w:val="auto"/>
          <w:sz w:val="28"/>
          <w:szCs w:val="28"/>
          <w:highlight w:val="none"/>
        </w:rPr>
        <w:t>发出日期：</w:t>
      </w:r>
      <w:r>
        <w:rPr>
          <w:rFonts w:hint="eastAsia" w:ascii="微软雅黑" w:hAnsi="微软雅黑" w:eastAsia="微软雅黑" w:cs="微软雅黑"/>
          <w:color w:val="auto"/>
          <w:sz w:val="28"/>
          <w:szCs w:val="28"/>
          <w:highlight w:val="none"/>
          <w:lang w:eastAsia="zh-CN"/>
        </w:rPr>
        <w:t>2026年</w:t>
      </w:r>
      <w:r>
        <w:rPr>
          <w:rFonts w:hint="eastAsia" w:ascii="微软雅黑" w:hAnsi="微软雅黑" w:eastAsia="微软雅黑" w:cs="微软雅黑"/>
          <w:color w:val="auto"/>
          <w:sz w:val="28"/>
          <w:szCs w:val="28"/>
          <w:highlight w:val="none"/>
          <w:lang w:val="en-US" w:eastAsia="zh-CN"/>
        </w:rPr>
        <w:t>4</w:t>
      </w:r>
      <w:r>
        <w:rPr>
          <w:rFonts w:hint="eastAsia" w:ascii="微软雅黑" w:hAnsi="微软雅黑" w:eastAsia="微软雅黑" w:cs="微软雅黑"/>
          <w:color w:val="auto"/>
          <w:sz w:val="28"/>
          <w:szCs w:val="28"/>
          <w:highlight w:val="none"/>
          <w:lang w:eastAsia="zh-CN"/>
        </w:rPr>
        <w:t>月</w:t>
      </w:r>
    </w:p>
    <w:p w14:paraId="394BC5B2">
      <w:pPr>
        <w:spacing w:line="520" w:lineRule="exact"/>
        <w:jc w:val="center"/>
        <w:rPr>
          <w:rFonts w:hint="eastAsia" w:ascii="微软雅黑" w:hAnsi="微软雅黑" w:eastAsia="微软雅黑" w:cs="微软雅黑"/>
          <w:b/>
          <w:bCs/>
          <w:color w:val="auto"/>
          <w:sz w:val="28"/>
          <w:szCs w:val="28"/>
          <w:highlight w:val="none"/>
        </w:rPr>
        <w:sectPr>
          <w:headerReference r:id="rId3" w:type="default"/>
          <w:footerReference r:id="rId4" w:type="default"/>
          <w:pgSz w:w="11905" w:h="16838"/>
          <w:pgMar w:top="1440" w:right="1080" w:bottom="1440" w:left="1080" w:header="851" w:footer="992" w:gutter="0"/>
          <w:cols w:space="0" w:num="1"/>
          <w:docGrid w:linePitch="312" w:charSpace="0"/>
        </w:sectPr>
      </w:pPr>
    </w:p>
    <w:p w14:paraId="35F2FA37">
      <w:pPr>
        <w:spacing w:line="520" w:lineRule="exact"/>
        <w:jc w:val="cente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目录</w:t>
      </w:r>
    </w:p>
    <w:sdt>
      <w:sdtPr>
        <w:rPr>
          <w:rFonts w:ascii="宋体" w:hAnsi="宋体" w:eastAsia="宋体" w:cs="Times New Roman"/>
          <w:kern w:val="2"/>
          <w:sz w:val="21"/>
          <w:szCs w:val="21"/>
          <w:lang w:val="en-US" w:eastAsia="zh-CN" w:bidi="ar-SA"/>
        </w:rPr>
        <w:id w:val="147482716"/>
        <w15:color w:val="DBDBDB"/>
        <w:docPartObj>
          <w:docPartGallery w:val="Table of Contents"/>
          <w:docPartUnique/>
        </w:docPartObj>
      </w:sdtPr>
      <w:sdtEndPr>
        <w:rPr>
          <w:rFonts w:hint="eastAsia" w:ascii="微软雅黑" w:hAnsi="微软雅黑" w:eastAsia="微软雅黑" w:cs="微软雅黑"/>
          <w:bCs/>
          <w:color w:val="auto"/>
          <w:kern w:val="2"/>
          <w:sz w:val="21"/>
          <w:szCs w:val="28"/>
          <w:highlight w:val="none"/>
          <w:lang w:val="en-US" w:eastAsia="zh-CN" w:bidi="ar-SA"/>
        </w:rPr>
      </w:sdtEndPr>
      <w:sdtContent>
        <w:p w14:paraId="36B69645">
          <w:pPr>
            <w:spacing w:before="0" w:beforeLines="0" w:after="0" w:afterLines="0" w:line="240" w:lineRule="auto"/>
            <w:ind w:left="0" w:leftChars="0" w:right="0" w:rightChars="0" w:firstLine="0" w:firstLineChars="0"/>
            <w:jc w:val="center"/>
          </w:pPr>
        </w:p>
        <w:p w14:paraId="4DBFEC54">
          <w:pPr>
            <w:pStyle w:val="21"/>
            <w:tabs>
              <w:tab w:val="right" w:leader="dot" w:pos="9745"/>
            </w:tabs>
          </w:pPr>
          <w:r>
            <w:rPr>
              <w:rFonts w:hint="eastAsia" w:ascii="微软雅黑" w:hAnsi="微软雅黑" w:eastAsia="微软雅黑" w:cs="微软雅黑"/>
              <w:b/>
              <w:bCs/>
              <w:color w:val="auto"/>
              <w:sz w:val="28"/>
              <w:szCs w:val="28"/>
              <w:highlight w:val="none"/>
            </w:rPr>
            <w:fldChar w:fldCharType="begin"/>
          </w:r>
          <w:r>
            <w:rPr>
              <w:rFonts w:hint="eastAsia" w:ascii="微软雅黑" w:hAnsi="微软雅黑" w:eastAsia="微软雅黑" w:cs="微软雅黑"/>
              <w:b/>
              <w:bCs/>
              <w:color w:val="auto"/>
              <w:sz w:val="28"/>
              <w:szCs w:val="28"/>
              <w:highlight w:val="none"/>
            </w:rPr>
            <w:instrText xml:space="preserve">TOC \o "1-2" \h \u </w:instrText>
          </w:r>
          <w:r>
            <w:rPr>
              <w:rFonts w:hint="eastAsia" w:ascii="微软雅黑" w:hAnsi="微软雅黑" w:eastAsia="微软雅黑" w:cs="微软雅黑"/>
              <w:b/>
              <w:bCs/>
              <w:color w:val="auto"/>
              <w:sz w:val="28"/>
              <w:szCs w:val="28"/>
              <w:highlight w:val="none"/>
            </w:rPr>
            <w:fldChar w:fldCharType="separate"/>
          </w: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_Toc26970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32"/>
              <w:highlight w:val="none"/>
            </w:rPr>
            <w:t>第1章</w:t>
          </w:r>
          <w:r>
            <w:rPr>
              <w:rFonts w:hint="eastAsia" w:ascii="微软雅黑" w:hAnsi="微软雅黑" w:eastAsia="微软雅黑" w:cs="微软雅黑"/>
              <w:bCs/>
              <w:szCs w:val="32"/>
              <w:highlight w:val="none"/>
              <w:lang w:val="en-US" w:eastAsia="zh-CN"/>
            </w:rPr>
            <w:t xml:space="preserve">   </w:t>
          </w:r>
          <w:r>
            <w:rPr>
              <w:rFonts w:hint="eastAsia" w:ascii="微软雅黑" w:hAnsi="微软雅黑" w:eastAsia="微软雅黑" w:cs="微软雅黑"/>
              <w:bCs/>
              <w:szCs w:val="32"/>
              <w:highlight w:val="none"/>
            </w:rPr>
            <w:t>供应商须知</w:t>
          </w:r>
          <w:r>
            <w:tab/>
          </w:r>
          <w:r>
            <w:fldChar w:fldCharType="begin"/>
          </w:r>
          <w:r>
            <w:instrText xml:space="preserve"> PAGEREF _Toc26970 \h </w:instrText>
          </w:r>
          <w:r>
            <w:fldChar w:fldCharType="separate"/>
          </w:r>
          <w:r>
            <w:t>3</w:t>
          </w:r>
          <w:r>
            <w:fldChar w:fldCharType="end"/>
          </w:r>
          <w:r>
            <w:rPr>
              <w:rFonts w:hint="eastAsia" w:ascii="微软雅黑" w:hAnsi="微软雅黑" w:eastAsia="微软雅黑" w:cs="微软雅黑"/>
              <w:bCs/>
              <w:color w:val="auto"/>
              <w:szCs w:val="28"/>
              <w:highlight w:val="none"/>
            </w:rPr>
            <w:fldChar w:fldCharType="end"/>
          </w:r>
        </w:p>
        <w:p w14:paraId="2F11FC47">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_Toc12571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szCs w:val="28"/>
              <w:highlight w:val="none"/>
            </w:rPr>
            <w:t>一</w:t>
          </w:r>
          <w:r>
            <w:rPr>
              <w:rFonts w:hint="eastAsia" w:ascii="微软雅黑" w:hAnsi="微软雅黑" w:eastAsia="微软雅黑" w:cs="微软雅黑"/>
              <w:szCs w:val="28"/>
              <w:highlight w:val="none"/>
              <w:lang w:val="en-US" w:eastAsia="zh-CN"/>
            </w:rPr>
            <w:t xml:space="preserve">   </w:t>
          </w:r>
          <w:r>
            <w:rPr>
              <w:rFonts w:hint="eastAsia" w:ascii="微软雅黑" w:hAnsi="微软雅黑" w:eastAsia="微软雅黑" w:cs="微软雅黑"/>
              <w:szCs w:val="28"/>
              <w:highlight w:val="none"/>
            </w:rPr>
            <w:t>总 则</w:t>
          </w:r>
          <w:r>
            <w:tab/>
          </w:r>
          <w:r>
            <w:fldChar w:fldCharType="begin"/>
          </w:r>
          <w:r>
            <w:instrText xml:space="preserve"> PAGEREF _Toc12571 \h </w:instrText>
          </w:r>
          <w:r>
            <w:fldChar w:fldCharType="separate"/>
          </w:r>
          <w:r>
            <w:t>3</w:t>
          </w:r>
          <w:r>
            <w:fldChar w:fldCharType="end"/>
          </w:r>
          <w:r>
            <w:rPr>
              <w:rFonts w:hint="eastAsia" w:ascii="微软雅黑" w:hAnsi="微软雅黑" w:eastAsia="微软雅黑" w:cs="微软雅黑"/>
              <w:bCs/>
              <w:color w:val="auto"/>
              <w:szCs w:val="28"/>
              <w:highlight w:val="none"/>
            </w:rPr>
            <w:fldChar w:fldCharType="end"/>
          </w:r>
        </w:p>
        <w:p w14:paraId="6B4B7B77">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_Toc30266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szCs w:val="28"/>
              <w:highlight w:val="none"/>
            </w:rPr>
            <w:t>二</w:t>
          </w:r>
          <w:r>
            <w:rPr>
              <w:rFonts w:hint="eastAsia" w:ascii="微软雅黑" w:hAnsi="微软雅黑" w:eastAsia="微软雅黑" w:cs="微软雅黑"/>
              <w:szCs w:val="28"/>
              <w:highlight w:val="none"/>
              <w:lang w:val="en-US" w:eastAsia="zh-CN"/>
            </w:rPr>
            <w:t xml:space="preserve">   </w:t>
          </w:r>
          <w:r>
            <w:rPr>
              <w:rFonts w:hint="eastAsia" w:ascii="微软雅黑" w:hAnsi="微软雅黑" w:eastAsia="微软雅黑" w:cs="微软雅黑"/>
              <w:szCs w:val="28"/>
              <w:highlight w:val="none"/>
            </w:rPr>
            <w:t>招标文件</w:t>
          </w:r>
          <w:r>
            <w:tab/>
          </w:r>
          <w:r>
            <w:fldChar w:fldCharType="begin"/>
          </w:r>
          <w:r>
            <w:instrText xml:space="preserve"> PAGEREF _Toc30266 \h </w:instrText>
          </w:r>
          <w:r>
            <w:fldChar w:fldCharType="separate"/>
          </w:r>
          <w:r>
            <w:t>4</w:t>
          </w:r>
          <w:r>
            <w:fldChar w:fldCharType="end"/>
          </w:r>
          <w:r>
            <w:rPr>
              <w:rFonts w:hint="eastAsia" w:ascii="微软雅黑" w:hAnsi="微软雅黑" w:eastAsia="微软雅黑" w:cs="微软雅黑"/>
              <w:bCs/>
              <w:color w:val="auto"/>
              <w:szCs w:val="28"/>
              <w:highlight w:val="none"/>
            </w:rPr>
            <w:fldChar w:fldCharType="end"/>
          </w:r>
        </w:p>
        <w:p w14:paraId="326620FC">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_Toc29669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szCs w:val="28"/>
              <w:highlight w:val="none"/>
            </w:rPr>
            <w:t>三</w:t>
          </w:r>
          <w:r>
            <w:rPr>
              <w:rFonts w:hint="eastAsia" w:ascii="微软雅黑" w:hAnsi="微软雅黑" w:eastAsia="微软雅黑" w:cs="微软雅黑"/>
              <w:szCs w:val="28"/>
              <w:highlight w:val="none"/>
              <w:lang w:val="en-US" w:eastAsia="zh-CN"/>
            </w:rPr>
            <w:t xml:space="preserve">   </w:t>
          </w:r>
          <w:r>
            <w:rPr>
              <w:rFonts w:hint="eastAsia" w:ascii="微软雅黑" w:hAnsi="微软雅黑" w:eastAsia="微软雅黑" w:cs="微软雅黑"/>
              <w:szCs w:val="28"/>
              <w:highlight w:val="none"/>
            </w:rPr>
            <w:t>投标文件的编制</w:t>
          </w:r>
          <w:r>
            <w:tab/>
          </w:r>
          <w:r>
            <w:fldChar w:fldCharType="begin"/>
          </w:r>
          <w:r>
            <w:instrText xml:space="preserve"> PAGEREF _Toc29669 \h </w:instrText>
          </w:r>
          <w:r>
            <w:fldChar w:fldCharType="separate"/>
          </w:r>
          <w:r>
            <w:t>5</w:t>
          </w:r>
          <w:r>
            <w:fldChar w:fldCharType="end"/>
          </w:r>
          <w:r>
            <w:rPr>
              <w:rFonts w:hint="eastAsia" w:ascii="微软雅黑" w:hAnsi="微软雅黑" w:eastAsia="微软雅黑" w:cs="微软雅黑"/>
              <w:bCs/>
              <w:color w:val="auto"/>
              <w:szCs w:val="28"/>
              <w:highlight w:val="none"/>
            </w:rPr>
            <w:fldChar w:fldCharType="end"/>
          </w:r>
        </w:p>
        <w:p w14:paraId="6E1FDBF8">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_Toc27966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28"/>
              <w:highlight w:val="none"/>
            </w:rPr>
            <w:t>四</w:t>
          </w:r>
          <w:r>
            <w:rPr>
              <w:rFonts w:hint="eastAsia" w:ascii="微软雅黑" w:hAnsi="微软雅黑" w:eastAsia="微软雅黑" w:cs="微软雅黑"/>
              <w:bCs/>
              <w:szCs w:val="28"/>
              <w:highlight w:val="none"/>
              <w:lang w:val="en-US" w:eastAsia="zh-CN"/>
            </w:rPr>
            <w:t xml:space="preserve">   </w:t>
          </w:r>
          <w:r>
            <w:rPr>
              <w:rFonts w:hint="eastAsia" w:ascii="微软雅黑" w:hAnsi="微软雅黑" w:eastAsia="微软雅黑" w:cs="微软雅黑"/>
              <w:bCs/>
              <w:szCs w:val="28"/>
              <w:highlight w:val="none"/>
            </w:rPr>
            <w:t>投标文件的递交</w:t>
          </w:r>
          <w:r>
            <w:tab/>
          </w:r>
          <w:r>
            <w:fldChar w:fldCharType="begin"/>
          </w:r>
          <w:r>
            <w:instrText xml:space="preserve"> PAGEREF _Toc27966 \h </w:instrText>
          </w:r>
          <w:r>
            <w:fldChar w:fldCharType="separate"/>
          </w:r>
          <w:r>
            <w:t>8</w:t>
          </w:r>
          <w:r>
            <w:fldChar w:fldCharType="end"/>
          </w:r>
          <w:r>
            <w:rPr>
              <w:rFonts w:hint="eastAsia" w:ascii="微软雅黑" w:hAnsi="微软雅黑" w:eastAsia="微软雅黑" w:cs="微软雅黑"/>
              <w:bCs/>
              <w:color w:val="auto"/>
              <w:szCs w:val="28"/>
              <w:highlight w:val="none"/>
            </w:rPr>
            <w:fldChar w:fldCharType="end"/>
          </w:r>
        </w:p>
        <w:p w14:paraId="684DDDAA">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_Toc24022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28"/>
              <w:highlight w:val="none"/>
            </w:rPr>
            <w:t>五</w:t>
          </w:r>
          <w:r>
            <w:rPr>
              <w:rFonts w:hint="eastAsia" w:ascii="微软雅黑" w:hAnsi="微软雅黑" w:eastAsia="微软雅黑" w:cs="微软雅黑"/>
              <w:bCs/>
              <w:szCs w:val="28"/>
              <w:highlight w:val="none"/>
              <w:lang w:val="en-US" w:eastAsia="zh-CN"/>
            </w:rPr>
            <w:t xml:space="preserve">    </w:t>
          </w:r>
          <w:r>
            <w:rPr>
              <w:rFonts w:hint="eastAsia" w:ascii="微软雅黑" w:hAnsi="微软雅黑" w:eastAsia="微软雅黑" w:cs="微软雅黑"/>
              <w:bCs/>
              <w:szCs w:val="28"/>
              <w:highlight w:val="none"/>
            </w:rPr>
            <w:t>开标及评标</w:t>
          </w:r>
          <w:r>
            <w:tab/>
          </w:r>
          <w:r>
            <w:fldChar w:fldCharType="begin"/>
          </w:r>
          <w:r>
            <w:instrText xml:space="preserve"> PAGEREF _Toc24022 \h </w:instrText>
          </w:r>
          <w:r>
            <w:fldChar w:fldCharType="separate"/>
          </w:r>
          <w:r>
            <w:t>8</w:t>
          </w:r>
          <w:r>
            <w:fldChar w:fldCharType="end"/>
          </w:r>
          <w:r>
            <w:rPr>
              <w:rFonts w:hint="eastAsia" w:ascii="微软雅黑" w:hAnsi="微软雅黑" w:eastAsia="微软雅黑" w:cs="微软雅黑"/>
              <w:bCs/>
              <w:color w:val="auto"/>
              <w:szCs w:val="28"/>
              <w:highlight w:val="none"/>
            </w:rPr>
            <w:fldChar w:fldCharType="end"/>
          </w:r>
        </w:p>
        <w:p w14:paraId="1DB8DF6B">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_Toc6929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28"/>
              <w:highlight w:val="none"/>
            </w:rPr>
            <w:t>六</w:t>
          </w:r>
          <w:r>
            <w:rPr>
              <w:rFonts w:hint="eastAsia" w:ascii="微软雅黑" w:hAnsi="微软雅黑" w:eastAsia="微软雅黑" w:cs="微软雅黑"/>
              <w:bCs/>
              <w:szCs w:val="28"/>
              <w:highlight w:val="none"/>
              <w:lang w:val="en-US" w:eastAsia="zh-CN"/>
            </w:rPr>
            <w:t xml:space="preserve">   </w:t>
          </w:r>
          <w:r>
            <w:rPr>
              <w:rFonts w:hint="eastAsia" w:ascii="微软雅黑" w:hAnsi="微软雅黑" w:eastAsia="微软雅黑" w:cs="微软雅黑"/>
              <w:bCs/>
              <w:szCs w:val="28"/>
              <w:highlight w:val="none"/>
            </w:rPr>
            <w:t>确定中标</w:t>
          </w:r>
          <w:r>
            <w:tab/>
          </w:r>
          <w:r>
            <w:fldChar w:fldCharType="begin"/>
          </w:r>
          <w:r>
            <w:instrText xml:space="preserve"> PAGEREF _Toc6929 \h </w:instrText>
          </w:r>
          <w:r>
            <w:fldChar w:fldCharType="separate"/>
          </w:r>
          <w:r>
            <w:t>13</w:t>
          </w:r>
          <w:r>
            <w:fldChar w:fldCharType="end"/>
          </w:r>
          <w:r>
            <w:rPr>
              <w:rFonts w:hint="eastAsia" w:ascii="微软雅黑" w:hAnsi="微软雅黑" w:eastAsia="微软雅黑" w:cs="微软雅黑"/>
              <w:bCs/>
              <w:color w:val="auto"/>
              <w:szCs w:val="28"/>
              <w:highlight w:val="none"/>
            </w:rPr>
            <w:fldChar w:fldCharType="end"/>
          </w:r>
        </w:p>
        <w:p w14:paraId="2FD61A5F">
          <w:pPr>
            <w:pStyle w:val="21"/>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_Toc1929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32"/>
              <w:highlight w:val="none"/>
            </w:rPr>
            <w:t>第2章</w:t>
          </w:r>
          <w:r>
            <w:rPr>
              <w:rFonts w:hint="eastAsia" w:ascii="微软雅黑" w:hAnsi="微软雅黑" w:eastAsia="微软雅黑" w:cs="微软雅黑"/>
              <w:bCs/>
              <w:szCs w:val="32"/>
              <w:highlight w:val="none"/>
              <w:lang w:val="en-US" w:eastAsia="zh-CN"/>
            </w:rPr>
            <w:t xml:space="preserve">   </w:t>
          </w:r>
          <w:r>
            <w:rPr>
              <w:rFonts w:hint="eastAsia" w:ascii="微软雅黑" w:hAnsi="微软雅黑" w:eastAsia="微软雅黑" w:cs="微软雅黑"/>
              <w:bCs/>
              <w:szCs w:val="32"/>
              <w:highlight w:val="none"/>
            </w:rPr>
            <w:t>投标文件格式</w:t>
          </w:r>
          <w:r>
            <w:tab/>
          </w:r>
          <w:r>
            <w:fldChar w:fldCharType="begin"/>
          </w:r>
          <w:r>
            <w:instrText xml:space="preserve"> PAGEREF _Toc1929 \h </w:instrText>
          </w:r>
          <w:r>
            <w:fldChar w:fldCharType="separate"/>
          </w:r>
          <w:r>
            <w:t>19</w:t>
          </w:r>
          <w:r>
            <w:fldChar w:fldCharType="end"/>
          </w:r>
          <w:r>
            <w:rPr>
              <w:rFonts w:hint="eastAsia" w:ascii="微软雅黑" w:hAnsi="微软雅黑" w:eastAsia="微软雅黑" w:cs="微软雅黑"/>
              <w:bCs/>
              <w:color w:val="auto"/>
              <w:szCs w:val="28"/>
              <w:highlight w:val="none"/>
            </w:rPr>
            <w:fldChar w:fldCharType="end"/>
          </w:r>
        </w:p>
        <w:p w14:paraId="1D4B6EBD">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_Toc8728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kern w:val="2"/>
              <w:szCs w:val="28"/>
              <w:highlight w:val="none"/>
            </w:rPr>
            <w:t>第一部分开标一览表及资格证明文件</w:t>
          </w:r>
          <w:r>
            <w:tab/>
          </w:r>
          <w:r>
            <w:fldChar w:fldCharType="begin"/>
          </w:r>
          <w:r>
            <w:instrText xml:space="preserve"> PAGEREF _Toc8728 \h </w:instrText>
          </w:r>
          <w:r>
            <w:fldChar w:fldCharType="separate"/>
          </w:r>
          <w:r>
            <w:t>19</w:t>
          </w:r>
          <w:r>
            <w:fldChar w:fldCharType="end"/>
          </w:r>
          <w:r>
            <w:rPr>
              <w:rFonts w:hint="eastAsia" w:ascii="微软雅黑" w:hAnsi="微软雅黑" w:eastAsia="微软雅黑" w:cs="微软雅黑"/>
              <w:bCs/>
              <w:color w:val="auto"/>
              <w:szCs w:val="28"/>
              <w:highlight w:val="none"/>
            </w:rPr>
            <w:fldChar w:fldCharType="end"/>
          </w:r>
        </w:p>
        <w:p w14:paraId="3B82D90E">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_Toc3381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24"/>
              <w:highlight w:val="none"/>
            </w:rPr>
            <w:t>1</w:t>
          </w:r>
          <w:r>
            <w:rPr>
              <w:rFonts w:hint="eastAsia" w:ascii="微软雅黑" w:hAnsi="微软雅黑" w:eastAsia="微软雅黑" w:cs="微软雅黑"/>
              <w:bCs/>
              <w:szCs w:val="24"/>
              <w:highlight w:val="none"/>
              <w:lang w:val="en-US" w:eastAsia="zh-CN"/>
            </w:rPr>
            <w:t xml:space="preserve">   </w:t>
          </w:r>
          <w:r>
            <w:rPr>
              <w:rFonts w:hint="eastAsia" w:ascii="微软雅黑" w:hAnsi="微软雅黑" w:eastAsia="微软雅黑" w:cs="微软雅黑"/>
              <w:bCs/>
              <w:szCs w:val="24"/>
              <w:highlight w:val="none"/>
            </w:rPr>
            <w:t>开标一览表</w:t>
          </w:r>
          <w:r>
            <w:tab/>
          </w:r>
          <w:r>
            <w:fldChar w:fldCharType="begin"/>
          </w:r>
          <w:r>
            <w:instrText xml:space="preserve"> PAGEREF _Toc3381 \h </w:instrText>
          </w:r>
          <w:r>
            <w:fldChar w:fldCharType="separate"/>
          </w:r>
          <w:r>
            <w:t>20</w:t>
          </w:r>
          <w:r>
            <w:fldChar w:fldCharType="end"/>
          </w:r>
          <w:r>
            <w:rPr>
              <w:rFonts w:hint="eastAsia" w:ascii="微软雅黑" w:hAnsi="微软雅黑" w:eastAsia="微软雅黑" w:cs="微软雅黑"/>
              <w:bCs/>
              <w:color w:val="auto"/>
              <w:szCs w:val="28"/>
              <w:highlight w:val="none"/>
            </w:rPr>
            <w:fldChar w:fldCharType="end"/>
          </w:r>
        </w:p>
        <w:p w14:paraId="7B7E7082">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_Toc19308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highlight w:val="none"/>
            </w:rPr>
            <w:t>2</w:t>
          </w:r>
          <w:r>
            <w:rPr>
              <w:rFonts w:hint="eastAsia" w:ascii="微软雅黑" w:hAnsi="微软雅黑" w:eastAsia="微软雅黑" w:cs="微软雅黑"/>
              <w:bCs/>
              <w:highlight w:val="none"/>
              <w:lang w:val="en-US" w:eastAsia="zh-CN"/>
            </w:rPr>
            <w:t xml:space="preserve">   </w:t>
          </w:r>
          <w:r>
            <w:rPr>
              <w:rFonts w:hint="eastAsia" w:ascii="微软雅黑" w:hAnsi="微软雅黑" w:eastAsia="微软雅黑" w:cs="微软雅黑"/>
              <w:bCs/>
              <w:highlight w:val="none"/>
            </w:rPr>
            <w:t>符合《中华人民共和国政府采购法》第二十二条的规定</w:t>
          </w:r>
          <w:r>
            <w:tab/>
          </w:r>
          <w:r>
            <w:fldChar w:fldCharType="begin"/>
          </w:r>
          <w:r>
            <w:instrText xml:space="preserve"> PAGEREF _Toc19308 \h </w:instrText>
          </w:r>
          <w:r>
            <w:fldChar w:fldCharType="separate"/>
          </w:r>
          <w:r>
            <w:t>22</w:t>
          </w:r>
          <w:r>
            <w:fldChar w:fldCharType="end"/>
          </w:r>
          <w:r>
            <w:rPr>
              <w:rFonts w:hint="eastAsia" w:ascii="微软雅黑" w:hAnsi="微软雅黑" w:eastAsia="微软雅黑" w:cs="微软雅黑"/>
              <w:bCs/>
              <w:color w:val="auto"/>
              <w:szCs w:val="28"/>
              <w:highlight w:val="none"/>
            </w:rPr>
            <w:fldChar w:fldCharType="end"/>
          </w:r>
        </w:p>
        <w:p w14:paraId="7E6B5ED9">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_Toc16972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kern w:val="2"/>
              <w:szCs w:val="28"/>
            </w:rPr>
            <w:t xml:space="preserve">第二部分 </w:t>
          </w:r>
          <w:r>
            <w:rPr>
              <w:rFonts w:hint="eastAsia" w:ascii="微软雅黑" w:hAnsi="微软雅黑" w:eastAsia="微软雅黑" w:cs="微软雅黑"/>
              <w:bCs/>
              <w:kern w:val="2"/>
              <w:szCs w:val="28"/>
              <w:highlight w:val="none"/>
            </w:rPr>
            <w:t>商务及技术文件</w:t>
          </w:r>
          <w:r>
            <w:tab/>
          </w:r>
          <w:r>
            <w:fldChar w:fldCharType="begin"/>
          </w:r>
          <w:r>
            <w:instrText xml:space="preserve"> PAGEREF _Toc16972 \h </w:instrText>
          </w:r>
          <w:r>
            <w:fldChar w:fldCharType="separate"/>
          </w:r>
          <w:r>
            <w:t>27</w:t>
          </w:r>
          <w:r>
            <w:fldChar w:fldCharType="end"/>
          </w:r>
          <w:r>
            <w:rPr>
              <w:rFonts w:hint="eastAsia" w:ascii="微软雅黑" w:hAnsi="微软雅黑" w:eastAsia="微软雅黑" w:cs="微软雅黑"/>
              <w:bCs/>
              <w:color w:val="auto"/>
              <w:szCs w:val="28"/>
              <w:highlight w:val="none"/>
            </w:rPr>
            <w:fldChar w:fldCharType="end"/>
          </w:r>
        </w:p>
        <w:p w14:paraId="68375C03">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_Toc30861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24"/>
              <w:highlight w:val="none"/>
              <w:lang w:eastAsia="zh-CN"/>
            </w:rPr>
            <w:t>1</w:t>
          </w:r>
          <w:r>
            <w:rPr>
              <w:rFonts w:hint="eastAsia" w:ascii="微软雅黑" w:hAnsi="微软雅黑" w:eastAsia="微软雅黑" w:cs="微软雅黑"/>
              <w:bCs/>
              <w:szCs w:val="24"/>
              <w:highlight w:val="none"/>
              <w:lang w:val="en-US" w:eastAsia="zh-CN"/>
            </w:rPr>
            <w:t xml:space="preserve">   </w:t>
          </w:r>
          <w:r>
            <w:rPr>
              <w:rFonts w:hint="eastAsia" w:ascii="微软雅黑" w:hAnsi="微软雅黑" w:eastAsia="微软雅黑" w:cs="微软雅黑"/>
              <w:bCs/>
              <w:szCs w:val="24"/>
              <w:highlight w:val="none"/>
            </w:rPr>
            <w:t>投标书</w:t>
          </w:r>
          <w:r>
            <w:tab/>
          </w:r>
          <w:r>
            <w:fldChar w:fldCharType="begin"/>
          </w:r>
          <w:r>
            <w:instrText xml:space="preserve"> PAGEREF _Toc30861 \h </w:instrText>
          </w:r>
          <w:r>
            <w:fldChar w:fldCharType="separate"/>
          </w:r>
          <w:r>
            <w:t>28</w:t>
          </w:r>
          <w:r>
            <w:fldChar w:fldCharType="end"/>
          </w:r>
          <w:r>
            <w:rPr>
              <w:rFonts w:hint="eastAsia" w:ascii="微软雅黑" w:hAnsi="微软雅黑" w:eastAsia="微软雅黑" w:cs="微软雅黑"/>
              <w:bCs/>
              <w:color w:val="auto"/>
              <w:szCs w:val="28"/>
              <w:highlight w:val="none"/>
            </w:rPr>
            <w:fldChar w:fldCharType="end"/>
          </w:r>
        </w:p>
        <w:p w14:paraId="2D35B032">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_Toc14041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24"/>
              <w:highlight w:val="none"/>
              <w:lang w:eastAsia="zh-CN"/>
            </w:rPr>
            <w:t>2</w:t>
          </w:r>
          <w:r>
            <w:rPr>
              <w:rFonts w:hint="eastAsia" w:ascii="微软雅黑" w:hAnsi="微软雅黑" w:eastAsia="微软雅黑" w:cs="微软雅黑"/>
              <w:bCs/>
              <w:szCs w:val="24"/>
              <w:highlight w:val="none"/>
              <w:lang w:val="en-US" w:eastAsia="zh-CN"/>
            </w:rPr>
            <w:t xml:space="preserve">   </w:t>
          </w:r>
          <w:r>
            <w:rPr>
              <w:rFonts w:hint="eastAsia" w:ascii="微软雅黑" w:hAnsi="微软雅黑" w:eastAsia="微软雅黑" w:cs="微软雅黑"/>
              <w:bCs/>
              <w:szCs w:val="24"/>
              <w:highlight w:val="none"/>
            </w:rPr>
            <w:t>投标分项报价表</w:t>
          </w:r>
          <w:r>
            <w:tab/>
          </w:r>
          <w:r>
            <w:fldChar w:fldCharType="begin"/>
          </w:r>
          <w:r>
            <w:instrText xml:space="preserve"> PAGEREF _Toc14041 \h </w:instrText>
          </w:r>
          <w:r>
            <w:fldChar w:fldCharType="separate"/>
          </w:r>
          <w:r>
            <w:t>29</w:t>
          </w:r>
          <w:r>
            <w:fldChar w:fldCharType="end"/>
          </w:r>
          <w:r>
            <w:rPr>
              <w:rFonts w:hint="eastAsia" w:ascii="微软雅黑" w:hAnsi="微软雅黑" w:eastAsia="微软雅黑" w:cs="微软雅黑"/>
              <w:bCs/>
              <w:color w:val="auto"/>
              <w:szCs w:val="28"/>
              <w:highlight w:val="none"/>
            </w:rPr>
            <w:fldChar w:fldCharType="end"/>
          </w:r>
        </w:p>
        <w:p w14:paraId="616055DC">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_Toc955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24"/>
              <w:highlight w:val="none"/>
              <w:lang w:eastAsia="zh-CN"/>
            </w:rPr>
            <w:t>（</w:t>
          </w:r>
          <w:r>
            <w:rPr>
              <w:rFonts w:hint="eastAsia" w:ascii="微软雅黑" w:hAnsi="微软雅黑" w:eastAsia="微软雅黑" w:cs="微软雅黑"/>
              <w:bCs/>
              <w:szCs w:val="24"/>
              <w:highlight w:val="none"/>
              <w:lang w:val="en-US" w:eastAsia="zh-CN"/>
            </w:rPr>
            <w:t>一</w:t>
          </w:r>
          <w:r>
            <w:rPr>
              <w:rFonts w:hint="eastAsia" w:ascii="微软雅黑" w:hAnsi="微软雅黑" w:eastAsia="微软雅黑" w:cs="微软雅黑"/>
              <w:bCs/>
              <w:szCs w:val="24"/>
              <w:highlight w:val="none"/>
              <w:lang w:eastAsia="zh-CN"/>
            </w:rPr>
            <w:t>）</w:t>
          </w:r>
          <w:r>
            <w:rPr>
              <w:rFonts w:hint="eastAsia" w:ascii="微软雅黑" w:hAnsi="微软雅黑" w:eastAsia="微软雅黑" w:cs="微软雅黑"/>
              <w:bCs/>
              <w:szCs w:val="24"/>
              <w:highlight w:val="none"/>
              <w:lang w:val="en-US" w:eastAsia="zh-CN"/>
            </w:rPr>
            <w:t>投标分项报价表</w:t>
          </w:r>
          <w:r>
            <w:tab/>
          </w:r>
          <w:r>
            <w:fldChar w:fldCharType="begin"/>
          </w:r>
          <w:r>
            <w:instrText xml:space="preserve"> PAGEREF _Toc955 \h </w:instrText>
          </w:r>
          <w:r>
            <w:fldChar w:fldCharType="separate"/>
          </w:r>
          <w:r>
            <w:t>29</w:t>
          </w:r>
          <w:r>
            <w:fldChar w:fldCharType="end"/>
          </w:r>
          <w:r>
            <w:rPr>
              <w:rFonts w:hint="eastAsia" w:ascii="微软雅黑" w:hAnsi="微软雅黑" w:eastAsia="微软雅黑" w:cs="微软雅黑"/>
              <w:bCs/>
              <w:color w:val="auto"/>
              <w:szCs w:val="28"/>
              <w:highlight w:val="none"/>
            </w:rPr>
            <w:fldChar w:fldCharType="end"/>
          </w:r>
        </w:p>
        <w:p w14:paraId="265670BB">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_Toc17653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highlight w:val="none"/>
            </w:rPr>
            <w:t>（二）备品备件分项报价表</w:t>
          </w:r>
          <w:r>
            <w:tab/>
          </w:r>
          <w:r>
            <w:fldChar w:fldCharType="begin"/>
          </w:r>
          <w:r>
            <w:instrText xml:space="preserve"> PAGEREF _Toc17653 \h </w:instrText>
          </w:r>
          <w:r>
            <w:fldChar w:fldCharType="separate"/>
          </w:r>
          <w:r>
            <w:t>30</w:t>
          </w:r>
          <w:r>
            <w:fldChar w:fldCharType="end"/>
          </w:r>
          <w:r>
            <w:rPr>
              <w:rFonts w:hint="eastAsia" w:ascii="微软雅黑" w:hAnsi="微软雅黑" w:eastAsia="微软雅黑" w:cs="微软雅黑"/>
              <w:bCs/>
              <w:color w:val="auto"/>
              <w:szCs w:val="28"/>
              <w:highlight w:val="none"/>
            </w:rPr>
            <w:fldChar w:fldCharType="end"/>
          </w:r>
        </w:p>
        <w:p w14:paraId="743A6896">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_Toc3101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21"/>
              <w:highlight w:val="none"/>
              <w:lang w:eastAsia="zh-CN"/>
            </w:rPr>
            <w:t>3</w:t>
          </w:r>
          <w:r>
            <w:rPr>
              <w:rFonts w:hint="eastAsia" w:ascii="微软雅黑" w:hAnsi="微软雅黑" w:eastAsia="微软雅黑" w:cs="微软雅黑"/>
              <w:bCs/>
              <w:szCs w:val="21"/>
              <w:highlight w:val="none"/>
              <w:lang w:val="en-US" w:eastAsia="zh-CN"/>
            </w:rPr>
            <w:t xml:space="preserve">   </w:t>
          </w:r>
          <w:r>
            <w:rPr>
              <w:rFonts w:hint="eastAsia" w:ascii="微软雅黑" w:hAnsi="微软雅黑" w:eastAsia="微软雅黑" w:cs="微软雅黑"/>
              <w:bCs/>
              <w:szCs w:val="21"/>
              <w:highlight w:val="none"/>
            </w:rPr>
            <w:t>货物说明一览表</w:t>
          </w:r>
          <w:r>
            <w:tab/>
          </w:r>
          <w:r>
            <w:fldChar w:fldCharType="begin"/>
          </w:r>
          <w:r>
            <w:instrText xml:space="preserve"> PAGEREF _Toc3101 \h </w:instrText>
          </w:r>
          <w:r>
            <w:fldChar w:fldCharType="separate"/>
          </w:r>
          <w:r>
            <w:t>31</w:t>
          </w:r>
          <w:r>
            <w:fldChar w:fldCharType="end"/>
          </w:r>
          <w:r>
            <w:rPr>
              <w:rFonts w:hint="eastAsia" w:ascii="微软雅黑" w:hAnsi="微软雅黑" w:eastAsia="微软雅黑" w:cs="微软雅黑"/>
              <w:bCs/>
              <w:color w:val="auto"/>
              <w:szCs w:val="28"/>
              <w:highlight w:val="none"/>
            </w:rPr>
            <w:fldChar w:fldCharType="end"/>
          </w:r>
        </w:p>
        <w:p w14:paraId="69F83994">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_Toc20177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24"/>
              <w:highlight w:val="none"/>
              <w:lang w:eastAsia="zh-CN"/>
            </w:rPr>
            <w:t>4</w:t>
          </w:r>
          <w:r>
            <w:rPr>
              <w:rFonts w:hint="eastAsia" w:ascii="微软雅黑" w:hAnsi="微软雅黑" w:eastAsia="微软雅黑" w:cs="微软雅黑"/>
              <w:bCs/>
              <w:szCs w:val="24"/>
              <w:highlight w:val="none"/>
              <w:lang w:val="en-US" w:eastAsia="zh-CN"/>
            </w:rPr>
            <w:t xml:space="preserve">   </w:t>
          </w:r>
          <w:r>
            <w:rPr>
              <w:rFonts w:hint="eastAsia" w:ascii="微软雅黑" w:hAnsi="微软雅黑" w:eastAsia="微软雅黑" w:cs="微软雅黑"/>
              <w:bCs/>
              <w:szCs w:val="24"/>
              <w:highlight w:val="none"/>
            </w:rPr>
            <w:t>技术规格偏离表</w:t>
          </w:r>
          <w:r>
            <w:tab/>
          </w:r>
          <w:r>
            <w:fldChar w:fldCharType="begin"/>
          </w:r>
          <w:r>
            <w:instrText xml:space="preserve"> PAGEREF _Toc20177 \h </w:instrText>
          </w:r>
          <w:r>
            <w:fldChar w:fldCharType="separate"/>
          </w:r>
          <w:r>
            <w:t>32</w:t>
          </w:r>
          <w:r>
            <w:fldChar w:fldCharType="end"/>
          </w:r>
          <w:r>
            <w:rPr>
              <w:rFonts w:hint="eastAsia" w:ascii="微软雅黑" w:hAnsi="微软雅黑" w:eastAsia="微软雅黑" w:cs="微软雅黑"/>
              <w:bCs/>
              <w:color w:val="auto"/>
              <w:szCs w:val="28"/>
              <w:highlight w:val="none"/>
            </w:rPr>
            <w:fldChar w:fldCharType="end"/>
          </w:r>
        </w:p>
        <w:p w14:paraId="08EDBC3F">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_Toc21535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kern w:val="2"/>
              <w:szCs w:val="24"/>
              <w:highlight w:val="none"/>
              <w:lang w:eastAsia="zh-CN"/>
            </w:rPr>
            <w:t>5</w:t>
          </w:r>
          <w:r>
            <w:rPr>
              <w:rFonts w:hint="eastAsia" w:ascii="微软雅黑" w:hAnsi="微软雅黑" w:eastAsia="微软雅黑" w:cs="微软雅黑"/>
              <w:bCs/>
              <w:kern w:val="2"/>
              <w:szCs w:val="24"/>
              <w:highlight w:val="none"/>
              <w:lang w:val="en-US" w:eastAsia="zh-CN"/>
            </w:rPr>
            <w:t xml:space="preserve">   </w:t>
          </w:r>
          <w:r>
            <w:rPr>
              <w:rFonts w:hint="eastAsia" w:ascii="微软雅黑" w:hAnsi="微软雅黑" w:eastAsia="微软雅黑" w:cs="微软雅黑"/>
              <w:bCs/>
              <w:kern w:val="2"/>
              <w:szCs w:val="24"/>
              <w:highlight w:val="none"/>
            </w:rPr>
            <w:t>商务条款偏离表</w:t>
          </w:r>
          <w:r>
            <w:tab/>
          </w:r>
          <w:r>
            <w:fldChar w:fldCharType="begin"/>
          </w:r>
          <w:r>
            <w:instrText xml:space="preserve"> PAGEREF _Toc21535 \h </w:instrText>
          </w:r>
          <w:r>
            <w:fldChar w:fldCharType="separate"/>
          </w:r>
          <w:r>
            <w:t>33</w:t>
          </w:r>
          <w:r>
            <w:fldChar w:fldCharType="end"/>
          </w:r>
          <w:r>
            <w:rPr>
              <w:rFonts w:hint="eastAsia" w:ascii="微软雅黑" w:hAnsi="微软雅黑" w:eastAsia="微软雅黑" w:cs="微软雅黑"/>
              <w:bCs/>
              <w:color w:val="auto"/>
              <w:szCs w:val="28"/>
              <w:highlight w:val="none"/>
            </w:rPr>
            <w:fldChar w:fldCharType="end"/>
          </w:r>
        </w:p>
        <w:p w14:paraId="04EF87C3">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_Toc23079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24"/>
              <w:highlight w:val="none"/>
              <w:lang w:eastAsia="zh-CN"/>
            </w:rPr>
            <w:t>6.</w:t>
          </w:r>
          <w:r>
            <w:rPr>
              <w:rFonts w:hint="eastAsia" w:ascii="微软雅黑" w:hAnsi="微软雅黑" w:eastAsia="微软雅黑" w:cs="微软雅黑"/>
              <w:bCs/>
              <w:szCs w:val="24"/>
              <w:highlight w:val="none"/>
              <w:lang w:val="en-US" w:eastAsia="zh-CN"/>
            </w:rPr>
            <w:t xml:space="preserve">1 </w:t>
          </w:r>
          <w:r>
            <w:rPr>
              <w:rFonts w:hint="eastAsia" w:ascii="微软雅黑" w:hAnsi="微软雅黑" w:eastAsia="微软雅黑" w:cs="微软雅黑"/>
              <w:bCs/>
              <w:szCs w:val="24"/>
              <w:highlight w:val="none"/>
              <w:lang w:eastAsia="zh-CN"/>
            </w:rPr>
            <w:t>中小企业声明函（货物）（</w:t>
          </w:r>
          <w:r>
            <w:rPr>
              <w:rFonts w:hint="eastAsia" w:ascii="微软雅黑" w:hAnsi="微软雅黑" w:eastAsia="微软雅黑" w:cs="微软雅黑"/>
              <w:bCs/>
              <w:szCs w:val="24"/>
              <w:highlight w:val="none"/>
              <w:lang w:val="en-US" w:eastAsia="zh-CN"/>
            </w:rPr>
            <w:t>可选填</w:t>
          </w:r>
          <w:r>
            <w:rPr>
              <w:rFonts w:hint="eastAsia" w:ascii="微软雅黑" w:hAnsi="微软雅黑" w:eastAsia="微软雅黑" w:cs="微软雅黑"/>
              <w:bCs/>
              <w:szCs w:val="24"/>
              <w:highlight w:val="none"/>
              <w:lang w:eastAsia="zh-CN"/>
            </w:rPr>
            <w:t>）</w:t>
          </w:r>
          <w:r>
            <w:tab/>
          </w:r>
          <w:r>
            <w:fldChar w:fldCharType="begin"/>
          </w:r>
          <w:r>
            <w:instrText xml:space="preserve"> PAGEREF _Toc23079 \h </w:instrText>
          </w:r>
          <w:r>
            <w:fldChar w:fldCharType="separate"/>
          </w:r>
          <w:r>
            <w:t>34</w:t>
          </w:r>
          <w:r>
            <w:fldChar w:fldCharType="end"/>
          </w:r>
          <w:r>
            <w:rPr>
              <w:rFonts w:hint="eastAsia" w:ascii="微软雅黑" w:hAnsi="微软雅黑" w:eastAsia="微软雅黑" w:cs="微软雅黑"/>
              <w:bCs/>
              <w:color w:val="auto"/>
              <w:szCs w:val="28"/>
              <w:highlight w:val="none"/>
            </w:rPr>
            <w:fldChar w:fldCharType="end"/>
          </w:r>
        </w:p>
        <w:p w14:paraId="7B2A9010">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_Toc19368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24"/>
              <w:highlight w:val="none"/>
              <w:lang w:eastAsia="zh-CN"/>
            </w:rPr>
            <w:t>6</w:t>
          </w:r>
          <w:r>
            <w:rPr>
              <w:rFonts w:hint="eastAsia" w:ascii="微软雅黑" w:hAnsi="微软雅黑" w:eastAsia="微软雅黑" w:cs="微软雅黑"/>
              <w:bCs/>
              <w:szCs w:val="24"/>
              <w:highlight w:val="none"/>
              <w:lang w:val="en-US" w:eastAsia="zh-CN"/>
            </w:rPr>
            <w:t>.</w:t>
          </w:r>
          <w:r>
            <w:rPr>
              <w:rFonts w:hint="eastAsia" w:ascii="微软雅黑" w:hAnsi="微软雅黑" w:eastAsia="微软雅黑" w:cs="微软雅黑"/>
              <w:bCs/>
              <w:szCs w:val="24"/>
              <w:highlight w:val="none"/>
              <w:lang w:eastAsia="zh-CN"/>
            </w:rPr>
            <w:t>2</w:t>
          </w:r>
          <w:r>
            <w:rPr>
              <w:rFonts w:hint="eastAsia" w:ascii="微软雅黑" w:hAnsi="微软雅黑" w:eastAsia="微软雅黑" w:cs="微软雅黑"/>
              <w:bCs/>
              <w:szCs w:val="24"/>
              <w:highlight w:val="none"/>
              <w:lang w:val="en-US" w:eastAsia="zh-CN"/>
            </w:rPr>
            <w:t xml:space="preserve"> </w:t>
          </w:r>
          <w:r>
            <w:rPr>
              <w:rFonts w:hint="eastAsia" w:ascii="微软雅黑" w:hAnsi="微软雅黑" w:eastAsia="微软雅黑" w:cs="微软雅黑"/>
              <w:bCs/>
              <w:szCs w:val="24"/>
              <w:highlight w:val="none"/>
              <w:lang w:eastAsia="zh-CN"/>
            </w:rPr>
            <w:t>关于符合本国产品标准的声明函（本项目不适用）</w:t>
          </w:r>
          <w:r>
            <w:tab/>
          </w:r>
          <w:r>
            <w:fldChar w:fldCharType="begin"/>
          </w:r>
          <w:r>
            <w:instrText xml:space="preserve"> PAGEREF _Toc19368 \h </w:instrText>
          </w:r>
          <w:r>
            <w:fldChar w:fldCharType="separate"/>
          </w:r>
          <w:r>
            <w:t>39</w:t>
          </w:r>
          <w:r>
            <w:fldChar w:fldCharType="end"/>
          </w:r>
          <w:r>
            <w:rPr>
              <w:rFonts w:hint="eastAsia" w:ascii="微软雅黑" w:hAnsi="微软雅黑" w:eastAsia="微软雅黑" w:cs="微软雅黑"/>
              <w:bCs/>
              <w:color w:val="auto"/>
              <w:szCs w:val="28"/>
              <w:highlight w:val="none"/>
            </w:rPr>
            <w:fldChar w:fldCharType="end"/>
          </w:r>
        </w:p>
        <w:p w14:paraId="321E406E">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_Toc23565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24"/>
              <w:highlight w:val="none"/>
              <w:lang w:val="en-US" w:eastAsia="zh-CN"/>
            </w:rPr>
            <w:t xml:space="preserve">6.3 </w:t>
          </w:r>
          <w:r>
            <w:rPr>
              <w:rFonts w:hint="eastAsia" w:ascii="微软雅黑" w:hAnsi="微软雅黑" w:eastAsia="微软雅黑" w:cs="微软雅黑"/>
              <w:bCs/>
              <w:szCs w:val="24"/>
              <w:highlight w:val="none"/>
              <w:lang w:eastAsia="zh-CN"/>
            </w:rPr>
            <w:t>残疾人福利性单位声明函（若无，可不填）</w:t>
          </w:r>
          <w:r>
            <w:tab/>
          </w:r>
          <w:r>
            <w:fldChar w:fldCharType="begin"/>
          </w:r>
          <w:r>
            <w:instrText xml:space="preserve"> PAGEREF _Toc23565 \h </w:instrText>
          </w:r>
          <w:r>
            <w:fldChar w:fldCharType="separate"/>
          </w:r>
          <w:r>
            <w:t>40</w:t>
          </w:r>
          <w:r>
            <w:fldChar w:fldCharType="end"/>
          </w:r>
          <w:r>
            <w:rPr>
              <w:rFonts w:hint="eastAsia" w:ascii="微软雅黑" w:hAnsi="微软雅黑" w:eastAsia="微软雅黑" w:cs="微软雅黑"/>
              <w:bCs/>
              <w:color w:val="auto"/>
              <w:szCs w:val="28"/>
              <w:highlight w:val="none"/>
            </w:rPr>
            <w:fldChar w:fldCharType="end"/>
          </w:r>
        </w:p>
        <w:p w14:paraId="2D16E816">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_Toc27927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24"/>
              <w:highlight w:val="none"/>
              <w:lang w:val="en-US" w:eastAsia="zh-CN"/>
            </w:rPr>
            <w:t>6.4 《监狱企业声明函》（若无，可不填）</w:t>
          </w:r>
          <w:r>
            <w:tab/>
          </w:r>
          <w:r>
            <w:fldChar w:fldCharType="begin"/>
          </w:r>
          <w:r>
            <w:instrText xml:space="preserve"> PAGEREF _Toc27927 \h </w:instrText>
          </w:r>
          <w:r>
            <w:fldChar w:fldCharType="separate"/>
          </w:r>
          <w:r>
            <w:t>41</w:t>
          </w:r>
          <w:r>
            <w:fldChar w:fldCharType="end"/>
          </w:r>
          <w:r>
            <w:rPr>
              <w:rFonts w:hint="eastAsia" w:ascii="微软雅黑" w:hAnsi="微软雅黑" w:eastAsia="微软雅黑" w:cs="微软雅黑"/>
              <w:bCs/>
              <w:color w:val="auto"/>
              <w:szCs w:val="28"/>
              <w:highlight w:val="none"/>
            </w:rPr>
            <w:fldChar w:fldCharType="end"/>
          </w:r>
        </w:p>
        <w:p w14:paraId="2DE85C1F">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_Toc24701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24"/>
              <w:highlight w:val="none"/>
              <w:lang w:val="en-US" w:eastAsia="zh-CN"/>
            </w:rPr>
            <w:t>6.5 节能、环境标志产品（若本项目采购内容中无以下清单货物，可不填）</w:t>
          </w:r>
          <w:r>
            <w:tab/>
          </w:r>
          <w:r>
            <w:fldChar w:fldCharType="begin"/>
          </w:r>
          <w:r>
            <w:instrText xml:space="preserve"> PAGEREF _Toc24701 \h </w:instrText>
          </w:r>
          <w:r>
            <w:fldChar w:fldCharType="separate"/>
          </w:r>
          <w:r>
            <w:t>42</w:t>
          </w:r>
          <w:r>
            <w:fldChar w:fldCharType="end"/>
          </w:r>
          <w:r>
            <w:rPr>
              <w:rFonts w:hint="eastAsia" w:ascii="微软雅黑" w:hAnsi="微软雅黑" w:eastAsia="微软雅黑" w:cs="微软雅黑"/>
              <w:bCs/>
              <w:color w:val="auto"/>
              <w:szCs w:val="28"/>
              <w:highlight w:val="none"/>
            </w:rPr>
            <w:fldChar w:fldCharType="end"/>
          </w:r>
        </w:p>
        <w:p w14:paraId="70FF1F6C">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_Toc2864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kern w:val="2"/>
              <w:szCs w:val="24"/>
              <w:highlight w:val="none"/>
              <w:lang w:val="en-US" w:eastAsia="zh-CN"/>
            </w:rPr>
            <w:t xml:space="preserve">7   </w:t>
          </w:r>
          <w:r>
            <w:rPr>
              <w:rFonts w:hint="eastAsia" w:ascii="微软雅黑" w:hAnsi="微软雅黑" w:eastAsia="微软雅黑" w:cs="微软雅黑"/>
              <w:bCs/>
              <w:kern w:val="2"/>
              <w:szCs w:val="24"/>
              <w:highlight w:val="none"/>
            </w:rPr>
            <w:t>供应商关联单位的说明</w:t>
          </w:r>
          <w:r>
            <w:tab/>
          </w:r>
          <w:r>
            <w:fldChar w:fldCharType="begin"/>
          </w:r>
          <w:r>
            <w:instrText xml:space="preserve"> PAGEREF _Toc2864 \h </w:instrText>
          </w:r>
          <w:r>
            <w:fldChar w:fldCharType="separate"/>
          </w:r>
          <w:r>
            <w:t>43</w:t>
          </w:r>
          <w:r>
            <w:fldChar w:fldCharType="end"/>
          </w:r>
          <w:r>
            <w:rPr>
              <w:rFonts w:hint="eastAsia" w:ascii="微软雅黑" w:hAnsi="微软雅黑" w:eastAsia="微软雅黑" w:cs="微软雅黑"/>
              <w:bCs/>
              <w:color w:val="auto"/>
              <w:szCs w:val="28"/>
              <w:highlight w:val="none"/>
            </w:rPr>
            <w:fldChar w:fldCharType="end"/>
          </w:r>
        </w:p>
        <w:p w14:paraId="08138274">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_Toc21269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kern w:val="2"/>
              <w:szCs w:val="24"/>
              <w:highlight w:val="none"/>
              <w:lang w:val="en-US" w:eastAsia="zh-CN"/>
            </w:rPr>
            <w:t>8   其他有利于供应商投标的文件或证明材料</w:t>
          </w:r>
          <w:r>
            <w:tab/>
          </w:r>
          <w:r>
            <w:fldChar w:fldCharType="begin"/>
          </w:r>
          <w:r>
            <w:instrText xml:space="preserve"> PAGEREF _Toc21269 \h </w:instrText>
          </w:r>
          <w:r>
            <w:fldChar w:fldCharType="separate"/>
          </w:r>
          <w:r>
            <w:t>44</w:t>
          </w:r>
          <w:r>
            <w:fldChar w:fldCharType="end"/>
          </w:r>
          <w:r>
            <w:rPr>
              <w:rFonts w:hint="eastAsia" w:ascii="微软雅黑" w:hAnsi="微软雅黑" w:eastAsia="微软雅黑" w:cs="微软雅黑"/>
              <w:bCs/>
              <w:color w:val="auto"/>
              <w:szCs w:val="28"/>
              <w:highlight w:val="none"/>
            </w:rPr>
            <w:fldChar w:fldCharType="end"/>
          </w:r>
        </w:p>
        <w:p w14:paraId="537FFD30">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_Toc24411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kern w:val="0"/>
              <w:szCs w:val="24"/>
              <w:highlight w:val="none"/>
              <w:lang w:val="en-US" w:eastAsia="zh-CN"/>
            </w:rPr>
            <w:t xml:space="preserve">9   </w:t>
          </w:r>
          <w:r>
            <w:rPr>
              <w:rFonts w:hint="eastAsia" w:ascii="微软雅黑" w:hAnsi="微软雅黑" w:eastAsia="微软雅黑" w:cs="微软雅黑"/>
              <w:bCs/>
              <w:kern w:val="0"/>
              <w:szCs w:val="24"/>
              <w:highlight w:val="none"/>
            </w:rPr>
            <w:t>投标文件格式范本</w:t>
          </w:r>
          <w:r>
            <w:tab/>
          </w:r>
          <w:r>
            <w:fldChar w:fldCharType="begin"/>
          </w:r>
          <w:r>
            <w:instrText xml:space="preserve"> PAGEREF _Toc24411 \h </w:instrText>
          </w:r>
          <w:r>
            <w:fldChar w:fldCharType="separate"/>
          </w:r>
          <w:r>
            <w:t>45</w:t>
          </w:r>
          <w:r>
            <w:fldChar w:fldCharType="end"/>
          </w:r>
          <w:r>
            <w:rPr>
              <w:rFonts w:hint="eastAsia" w:ascii="微软雅黑" w:hAnsi="微软雅黑" w:eastAsia="微软雅黑" w:cs="微软雅黑"/>
              <w:bCs/>
              <w:color w:val="auto"/>
              <w:szCs w:val="28"/>
              <w:highlight w:val="none"/>
            </w:rPr>
            <w:fldChar w:fldCharType="end"/>
          </w:r>
        </w:p>
        <w:p w14:paraId="5718DDED">
          <w:pPr>
            <w:pStyle w:val="21"/>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_Toc6873 </w:instrText>
          </w:r>
          <w:r>
            <w:rPr>
              <w:rFonts w:hint="eastAsia" w:ascii="微软雅黑" w:hAnsi="微软雅黑" w:eastAsia="微软雅黑" w:cs="微软雅黑"/>
              <w:bCs/>
              <w:szCs w:val="28"/>
              <w:highlight w:val="none"/>
            </w:rPr>
            <w:fldChar w:fldCharType="separate"/>
          </w:r>
          <w:r>
            <w:rPr>
              <w:rFonts w:ascii="微软雅黑" w:hAnsi="微软雅黑" w:eastAsia="微软雅黑" w:cs="微软雅黑"/>
              <w:bCs/>
            </w:rPr>
            <w:t xml:space="preserve">第3章 </w:t>
          </w:r>
          <w:r>
            <w:rPr>
              <w:rFonts w:hint="eastAsia" w:ascii="微软雅黑" w:hAnsi="微软雅黑" w:eastAsia="微软雅黑" w:cs="微软雅黑"/>
              <w:bCs/>
              <w:highlight w:val="none"/>
            </w:rPr>
            <w:t>投标邀请</w:t>
          </w:r>
          <w:r>
            <w:tab/>
          </w:r>
          <w:r>
            <w:fldChar w:fldCharType="begin"/>
          </w:r>
          <w:r>
            <w:instrText xml:space="preserve"> PAGEREF _Toc6873 \h </w:instrText>
          </w:r>
          <w:r>
            <w:fldChar w:fldCharType="separate"/>
          </w:r>
          <w:r>
            <w:t>47</w:t>
          </w:r>
          <w:r>
            <w:fldChar w:fldCharType="end"/>
          </w:r>
          <w:r>
            <w:rPr>
              <w:rFonts w:hint="eastAsia" w:ascii="微软雅黑" w:hAnsi="微软雅黑" w:eastAsia="微软雅黑" w:cs="微软雅黑"/>
              <w:bCs/>
              <w:color w:val="auto"/>
              <w:szCs w:val="28"/>
              <w:highlight w:val="none"/>
            </w:rPr>
            <w:fldChar w:fldCharType="end"/>
          </w:r>
        </w:p>
        <w:p w14:paraId="4F7402CE">
          <w:pPr>
            <w:pStyle w:val="21"/>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_Toc25312 </w:instrText>
          </w:r>
          <w:r>
            <w:rPr>
              <w:rFonts w:hint="eastAsia" w:ascii="微软雅黑" w:hAnsi="微软雅黑" w:eastAsia="微软雅黑" w:cs="微软雅黑"/>
              <w:bCs/>
              <w:szCs w:val="28"/>
              <w:highlight w:val="none"/>
            </w:rPr>
            <w:fldChar w:fldCharType="separate"/>
          </w:r>
          <w:r>
            <w:rPr>
              <w:rFonts w:ascii="微软雅黑" w:hAnsi="微软雅黑" w:eastAsia="微软雅黑" w:cs="微软雅黑"/>
              <w:bCs/>
            </w:rPr>
            <w:t xml:space="preserve">第4章 </w:t>
          </w:r>
          <w:r>
            <w:rPr>
              <w:rFonts w:hint="eastAsia" w:ascii="微软雅黑" w:hAnsi="微软雅黑" w:eastAsia="微软雅黑" w:cs="微软雅黑"/>
              <w:bCs/>
              <w:highlight w:val="none"/>
            </w:rPr>
            <w:t>供应商须知资料表</w:t>
          </w:r>
          <w:r>
            <w:tab/>
          </w:r>
          <w:r>
            <w:fldChar w:fldCharType="begin"/>
          </w:r>
          <w:r>
            <w:instrText xml:space="preserve"> PAGEREF _Toc25312 \h </w:instrText>
          </w:r>
          <w:r>
            <w:fldChar w:fldCharType="separate"/>
          </w:r>
          <w:r>
            <w:t>51</w:t>
          </w:r>
          <w:r>
            <w:fldChar w:fldCharType="end"/>
          </w:r>
          <w:r>
            <w:rPr>
              <w:rFonts w:hint="eastAsia" w:ascii="微软雅黑" w:hAnsi="微软雅黑" w:eastAsia="微软雅黑" w:cs="微软雅黑"/>
              <w:bCs/>
              <w:color w:val="auto"/>
              <w:szCs w:val="28"/>
              <w:highlight w:val="none"/>
            </w:rPr>
            <w:fldChar w:fldCharType="end"/>
          </w:r>
        </w:p>
        <w:p w14:paraId="31B8AB72">
          <w:pPr>
            <w:pStyle w:val="21"/>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_Toc2299 </w:instrText>
          </w:r>
          <w:r>
            <w:rPr>
              <w:rFonts w:hint="eastAsia" w:ascii="微软雅黑" w:hAnsi="微软雅黑" w:eastAsia="微软雅黑" w:cs="微软雅黑"/>
              <w:bCs/>
              <w:szCs w:val="28"/>
              <w:highlight w:val="none"/>
            </w:rPr>
            <w:fldChar w:fldCharType="separate"/>
          </w:r>
          <w:r>
            <w:rPr>
              <w:rFonts w:ascii="微软雅黑" w:hAnsi="微软雅黑" w:eastAsia="微软雅黑" w:cs="微软雅黑"/>
              <w:bCs/>
              <w:kern w:val="44"/>
              <w:szCs w:val="28"/>
            </w:rPr>
            <w:t xml:space="preserve">第5章 </w:t>
          </w:r>
          <w:r>
            <w:rPr>
              <w:rFonts w:hint="eastAsia" w:ascii="微软雅黑" w:hAnsi="微软雅黑" w:eastAsia="微软雅黑" w:cs="微软雅黑"/>
              <w:bCs/>
              <w:kern w:val="44"/>
              <w:szCs w:val="28"/>
              <w:highlight w:val="none"/>
            </w:rPr>
            <w:t>货物需求一览表及技术规格</w:t>
          </w:r>
          <w:r>
            <w:tab/>
          </w:r>
          <w:r>
            <w:fldChar w:fldCharType="begin"/>
          </w:r>
          <w:r>
            <w:instrText xml:space="preserve"> PAGEREF _Toc2299 \h </w:instrText>
          </w:r>
          <w:r>
            <w:fldChar w:fldCharType="separate"/>
          </w:r>
          <w:r>
            <w:t>59</w:t>
          </w:r>
          <w:r>
            <w:fldChar w:fldCharType="end"/>
          </w:r>
          <w:r>
            <w:rPr>
              <w:rFonts w:hint="eastAsia" w:ascii="微软雅黑" w:hAnsi="微软雅黑" w:eastAsia="微软雅黑" w:cs="微软雅黑"/>
              <w:bCs/>
              <w:color w:val="auto"/>
              <w:szCs w:val="28"/>
              <w:highlight w:val="none"/>
            </w:rPr>
            <w:fldChar w:fldCharType="end"/>
          </w:r>
        </w:p>
        <w:p w14:paraId="69CE081C">
          <w:pPr>
            <w:pStyle w:val="21"/>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_Toc23288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szCs w:val="32"/>
              <w:highlight w:val="none"/>
            </w:rPr>
            <w:t>第6章</w:t>
          </w:r>
          <w:r>
            <w:rPr>
              <w:rFonts w:hint="eastAsia" w:ascii="微软雅黑" w:hAnsi="微软雅黑" w:eastAsia="微软雅黑" w:cs="微软雅黑"/>
              <w:szCs w:val="32"/>
              <w:highlight w:val="none"/>
              <w:lang w:val="en-US" w:eastAsia="zh-CN"/>
            </w:rPr>
            <w:t xml:space="preserve">   </w:t>
          </w:r>
          <w:r>
            <w:rPr>
              <w:rFonts w:hint="eastAsia" w:ascii="微软雅黑" w:hAnsi="微软雅黑" w:eastAsia="微软雅黑" w:cs="微软雅黑"/>
              <w:szCs w:val="32"/>
              <w:highlight w:val="none"/>
            </w:rPr>
            <w:t>评标方法和标准</w:t>
          </w:r>
          <w:r>
            <w:tab/>
          </w:r>
          <w:r>
            <w:fldChar w:fldCharType="begin"/>
          </w:r>
          <w:r>
            <w:instrText xml:space="preserve"> PAGEREF _Toc23288 \h </w:instrText>
          </w:r>
          <w:r>
            <w:fldChar w:fldCharType="separate"/>
          </w:r>
          <w:r>
            <w:t>81</w:t>
          </w:r>
          <w:r>
            <w:fldChar w:fldCharType="end"/>
          </w:r>
          <w:r>
            <w:rPr>
              <w:rFonts w:hint="eastAsia" w:ascii="微软雅黑" w:hAnsi="微软雅黑" w:eastAsia="微软雅黑" w:cs="微软雅黑"/>
              <w:bCs/>
              <w:color w:val="auto"/>
              <w:szCs w:val="28"/>
              <w:highlight w:val="none"/>
            </w:rPr>
            <w:fldChar w:fldCharType="end"/>
          </w:r>
        </w:p>
        <w:p w14:paraId="660859F2">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_Toc32589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22"/>
              <w:highlight w:val="none"/>
            </w:rPr>
            <w:t>初步评审—资格性审查表</w:t>
          </w:r>
          <w:r>
            <w:tab/>
          </w:r>
          <w:r>
            <w:fldChar w:fldCharType="begin"/>
          </w:r>
          <w:r>
            <w:instrText xml:space="preserve"> PAGEREF _Toc32589 \h </w:instrText>
          </w:r>
          <w:r>
            <w:fldChar w:fldCharType="separate"/>
          </w:r>
          <w:r>
            <w:t>90</w:t>
          </w:r>
          <w:r>
            <w:fldChar w:fldCharType="end"/>
          </w:r>
          <w:r>
            <w:rPr>
              <w:rFonts w:hint="eastAsia" w:ascii="微软雅黑" w:hAnsi="微软雅黑" w:eastAsia="微软雅黑" w:cs="微软雅黑"/>
              <w:bCs/>
              <w:color w:val="auto"/>
              <w:szCs w:val="28"/>
              <w:highlight w:val="none"/>
            </w:rPr>
            <w:fldChar w:fldCharType="end"/>
          </w:r>
        </w:p>
        <w:p w14:paraId="4D2F4B69">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_Toc21133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szCs w:val="21"/>
              <w:highlight w:val="none"/>
            </w:rPr>
            <w:t>初步评审—符合性审查表</w:t>
          </w:r>
          <w:r>
            <w:tab/>
          </w:r>
          <w:r>
            <w:fldChar w:fldCharType="begin"/>
          </w:r>
          <w:r>
            <w:instrText xml:space="preserve"> PAGEREF _Toc21133 \h </w:instrText>
          </w:r>
          <w:r>
            <w:fldChar w:fldCharType="separate"/>
          </w:r>
          <w:r>
            <w:t>91</w:t>
          </w:r>
          <w:r>
            <w:fldChar w:fldCharType="end"/>
          </w:r>
          <w:r>
            <w:rPr>
              <w:rFonts w:hint="eastAsia" w:ascii="微软雅黑" w:hAnsi="微软雅黑" w:eastAsia="微软雅黑" w:cs="微软雅黑"/>
              <w:bCs/>
              <w:color w:val="auto"/>
              <w:szCs w:val="28"/>
              <w:highlight w:val="none"/>
            </w:rPr>
            <w:fldChar w:fldCharType="end"/>
          </w:r>
        </w:p>
        <w:p w14:paraId="5525F470">
          <w:pPr>
            <w:pStyle w:val="24"/>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_Toc14846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kern w:val="0"/>
              <w:szCs w:val="32"/>
              <w:highlight w:val="none"/>
            </w:rPr>
            <w:t>综合评分法评分标准</w:t>
          </w:r>
          <w:r>
            <w:tab/>
          </w:r>
          <w:r>
            <w:fldChar w:fldCharType="begin"/>
          </w:r>
          <w:r>
            <w:instrText xml:space="preserve"> PAGEREF _Toc14846 \h </w:instrText>
          </w:r>
          <w:r>
            <w:fldChar w:fldCharType="separate"/>
          </w:r>
          <w:r>
            <w:t>92</w:t>
          </w:r>
          <w:r>
            <w:fldChar w:fldCharType="end"/>
          </w:r>
          <w:r>
            <w:rPr>
              <w:rFonts w:hint="eastAsia" w:ascii="微软雅黑" w:hAnsi="微软雅黑" w:eastAsia="微软雅黑" w:cs="微软雅黑"/>
              <w:bCs/>
              <w:color w:val="auto"/>
              <w:szCs w:val="28"/>
              <w:highlight w:val="none"/>
            </w:rPr>
            <w:fldChar w:fldCharType="end"/>
          </w:r>
        </w:p>
        <w:p w14:paraId="735DDFA0">
          <w:pPr>
            <w:pStyle w:val="21"/>
            <w:tabs>
              <w:tab w:val="right" w:leader="dot" w:pos="9745"/>
            </w:tabs>
          </w:pPr>
          <w:r>
            <w:rPr>
              <w:rFonts w:hint="eastAsia" w:ascii="微软雅黑" w:hAnsi="微软雅黑" w:eastAsia="微软雅黑" w:cs="微软雅黑"/>
              <w:bCs/>
              <w:color w:val="auto"/>
              <w:szCs w:val="28"/>
              <w:highlight w:val="none"/>
            </w:rPr>
            <w:fldChar w:fldCharType="begin"/>
          </w:r>
          <w:r>
            <w:rPr>
              <w:rFonts w:hint="eastAsia" w:ascii="微软雅黑" w:hAnsi="微软雅黑" w:eastAsia="微软雅黑" w:cs="微软雅黑"/>
              <w:bCs/>
              <w:szCs w:val="28"/>
              <w:highlight w:val="none"/>
            </w:rPr>
            <w:instrText xml:space="preserve"> HYPERLINK \l _Toc14922 </w:instrText>
          </w:r>
          <w:r>
            <w:rPr>
              <w:rFonts w:hint="eastAsia" w:ascii="微软雅黑" w:hAnsi="微软雅黑" w:eastAsia="微软雅黑" w:cs="微软雅黑"/>
              <w:bCs/>
              <w:szCs w:val="28"/>
              <w:highlight w:val="none"/>
            </w:rPr>
            <w:fldChar w:fldCharType="separate"/>
          </w:r>
          <w:r>
            <w:rPr>
              <w:rFonts w:hint="eastAsia" w:ascii="微软雅黑" w:hAnsi="微软雅黑" w:eastAsia="微软雅黑" w:cs="微软雅黑"/>
              <w:bCs/>
              <w:highlight w:val="none"/>
            </w:rPr>
            <w:t>第7章</w:t>
          </w:r>
          <w:r>
            <w:rPr>
              <w:rFonts w:hint="eastAsia" w:ascii="微软雅黑" w:hAnsi="微软雅黑" w:eastAsia="微软雅黑" w:cs="微软雅黑"/>
              <w:bCs/>
              <w:highlight w:val="none"/>
              <w:lang w:val="en-US" w:eastAsia="zh-CN"/>
            </w:rPr>
            <w:t xml:space="preserve">   </w:t>
          </w:r>
          <w:r>
            <w:rPr>
              <w:rFonts w:hint="eastAsia" w:ascii="微软雅黑" w:hAnsi="微软雅黑" w:eastAsia="微软雅黑" w:cs="微软雅黑"/>
              <w:bCs/>
              <w:highlight w:val="none"/>
            </w:rPr>
            <w:t>政府采购合同</w:t>
          </w:r>
          <w:r>
            <w:tab/>
          </w:r>
          <w:r>
            <w:fldChar w:fldCharType="begin"/>
          </w:r>
          <w:r>
            <w:instrText xml:space="preserve"> PAGEREF _Toc14922 \h </w:instrText>
          </w:r>
          <w:r>
            <w:fldChar w:fldCharType="separate"/>
          </w:r>
          <w:r>
            <w:t>96</w:t>
          </w:r>
          <w:r>
            <w:fldChar w:fldCharType="end"/>
          </w:r>
          <w:r>
            <w:rPr>
              <w:rFonts w:hint="eastAsia" w:ascii="微软雅黑" w:hAnsi="微软雅黑" w:eastAsia="微软雅黑" w:cs="微软雅黑"/>
              <w:bCs/>
              <w:color w:val="auto"/>
              <w:szCs w:val="28"/>
              <w:highlight w:val="none"/>
            </w:rPr>
            <w:fldChar w:fldCharType="end"/>
          </w:r>
        </w:p>
        <w:p w14:paraId="32546783">
          <w:pPr>
            <w:spacing w:line="520" w:lineRule="exact"/>
            <w:jc w:val="both"/>
          </w:pPr>
          <w:r>
            <w:rPr>
              <w:rFonts w:hint="eastAsia" w:ascii="微软雅黑" w:hAnsi="微软雅黑" w:eastAsia="微软雅黑" w:cs="微软雅黑"/>
              <w:bCs/>
              <w:color w:val="auto"/>
              <w:szCs w:val="28"/>
              <w:highlight w:val="none"/>
            </w:rPr>
            <w:fldChar w:fldCharType="end"/>
          </w:r>
        </w:p>
      </w:sdtContent>
    </w:sdt>
    <w:p w14:paraId="74E9E08B">
      <w:pPr>
        <w:pStyle w:val="21"/>
        <w:tabs>
          <w:tab w:val="right" w:leader="dot" w:pos="8312"/>
        </w:tabs>
        <w:jc w:val="center"/>
        <w:outlineLvl w:val="0"/>
        <w:rPr>
          <w:rFonts w:ascii="微软雅黑" w:hAnsi="微软雅黑" w:eastAsia="微软雅黑" w:cs="微软雅黑"/>
          <w:b/>
          <w:bCs/>
          <w:color w:val="auto"/>
          <w:sz w:val="32"/>
          <w:szCs w:val="32"/>
          <w:highlight w:val="none"/>
        </w:rPr>
      </w:pPr>
      <w:bookmarkStart w:id="0" w:name="_Toc30239"/>
      <w:bookmarkStart w:id="1" w:name="_Toc26970"/>
      <w:bookmarkStart w:id="2" w:name="_Toc14498"/>
      <w:r>
        <w:rPr>
          <w:rFonts w:hint="eastAsia" w:ascii="微软雅黑" w:hAnsi="微软雅黑" w:eastAsia="微软雅黑" w:cs="微软雅黑"/>
          <w:b/>
          <w:bCs/>
          <w:color w:val="auto"/>
          <w:sz w:val="32"/>
          <w:szCs w:val="32"/>
          <w:highlight w:val="none"/>
        </w:rPr>
        <w:t>第1章</w:t>
      </w:r>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rPr>
        <w:t>供应商须知</w:t>
      </w:r>
      <w:bookmarkEnd w:id="0"/>
      <w:bookmarkEnd w:id="1"/>
      <w:bookmarkEnd w:id="2"/>
    </w:p>
    <w:p w14:paraId="525282CC">
      <w:pPr>
        <w:pStyle w:val="3"/>
        <w:spacing w:before="0" w:line="240" w:lineRule="auto"/>
        <w:ind w:left="1080" w:leftChars="257" w:hanging="540"/>
        <w:rPr>
          <w:rFonts w:ascii="微软雅黑" w:hAnsi="微软雅黑" w:eastAsia="微软雅黑" w:cs="微软雅黑"/>
          <w:color w:val="auto"/>
          <w:highlight w:val="none"/>
        </w:rPr>
      </w:pPr>
      <w:bookmarkStart w:id="3" w:name="_Toc520356143"/>
      <w:bookmarkStart w:id="4" w:name="_Toc216582805"/>
      <w:bookmarkStart w:id="5" w:name="_Toc515647757"/>
      <w:bookmarkStart w:id="6" w:name="_Toc12571"/>
      <w:bookmarkStart w:id="7" w:name="_Toc20316"/>
      <w:bookmarkStart w:id="8" w:name="_Toc7702"/>
      <w:bookmarkStart w:id="9" w:name="_Toc5597"/>
      <w:bookmarkStart w:id="10" w:name="_Toc21215"/>
      <w:bookmarkStart w:id="11" w:name="_Toc16706"/>
      <w:bookmarkStart w:id="12" w:name="_Toc21015"/>
      <w:r>
        <w:rPr>
          <w:rFonts w:hint="eastAsia" w:ascii="微软雅黑" w:hAnsi="微软雅黑" w:eastAsia="微软雅黑" w:cs="微软雅黑"/>
          <w:color w:val="auto"/>
          <w:sz w:val="28"/>
          <w:szCs w:val="28"/>
          <w:highlight w:val="none"/>
        </w:rPr>
        <w:t>一</w:t>
      </w:r>
      <w:bookmarkEnd w:id="3"/>
      <w:bookmarkEnd w:id="4"/>
      <w:bookmarkEnd w:id="5"/>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rPr>
        <w:t>总 则</w:t>
      </w:r>
      <w:bookmarkEnd w:id="6"/>
      <w:bookmarkEnd w:id="7"/>
      <w:bookmarkEnd w:id="8"/>
      <w:bookmarkEnd w:id="9"/>
      <w:bookmarkEnd w:id="10"/>
      <w:bookmarkEnd w:id="11"/>
      <w:bookmarkEnd w:id="12"/>
    </w:p>
    <w:p w14:paraId="07B3A56C">
      <w:pPr>
        <w:pStyle w:val="6"/>
        <w:spacing w:before="0" w:after="0" w:line="440" w:lineRule="exact"/>
        <w:rPr>
          <w:rFonts w:ascii="微软雅黑" w:hAnsi="微软雅黑" w:eastAsia="微软雅黑" w:cs="微软雅黑"/>
          <w:color w:val="auto"/>
          <w:sz w:val="22"/>
          <w:szCs w:val="22"/>
          <w:highlight w:val="none"/>
          <w:u w:val="none"/>
        </w:rPr>
      </w:pPr>
      <w:bookmarkStart w:id="13" w:name="_Toc32189"/>
      <w:bookmarkStart w:id="14" w:name="_Toc1120"/>
      <w:bookmarkStart w:id="15" w:name="_Toc32623"/>
      <w:bookmarkStart w:id="16" w:name="_Toc515647758"/>
      <w:bookmarkStart w:id="17" w:name="_Toc520356144"/>
      <w:bookmarkStart w:id="18" w:name="_Toc14136"/>
      <w:bookmarkStart w:id="19" w:name="_Toc19296"/>
      <w:bookmarkStart w:id="20" w:name="_Toc21372"/>
      <w:bookmarkStart w:id="21" w:name="_Toc515647780"/>
      <w:bookmarkStart w:id="22" w:name="_Toc12751"/>
      <w:bookmarkStart w:id="23" w:name="_Toc520356161"/>
      <w:bookmarkStart w:id="24" w:name="_Toc18574"/>
      <w:bookmarkStart w:id="25" w:name="_Toc515647776"/>
      <w:bookmarkStart w:id="26" w:name="_Toc9840"/>
      <w:r>
        <w:rPr>
          <w:rFonts w:hint="eastAsia" w:ascii="微软雅黑" w:hAnsi="微软雅黑" w:eastAsia="微软雅黑" w:cs="微软雅黑"/>
          <w:color w:val="auto"/>
          <w:sz w:val="22"/>
          <w:szCs w:val="22"/>
          <w:highlight w:val="none"/>
          <w:u w:val="none"/>
        </w:rPr>
        <w:t>1.采购人、采购代理机构及</w:t>
      </w:r>
      <w:bookmarkEnd w:id="13"/>
      <w:bookmarkEnd w:id="14"/>
      <w:bookmarkEnd w:id="15"/>
      <w:bookmarkEnd w:id="16"/>
      <w:bookmarkEnd w:id="17"/>
      <w:r>
        <w:rPr>
          <w:rFonts w:hint="eastAsia" w:ascii="微软雅黑" w:hAnsi="微软雅黑" w:eastAsia="微软雅黑" w:cs="微软雅黑"/>
          <w:color w:val="auto"/>
          <w:sz w:val="22"/>
          <w:szCs w:val="22"/>
          <w:highlight w:val="none"/>
          <w:u w:val="none"/>
        </w:rPr>
        <w:t>供应商</w:t>
      </w:r>
    </w:p>
    <w:p w14:paraId="5AB728CD">
      <w:pPr>
        <w:numPr>
          <w:ilvl w:val="1"/>
          <w:numId w:val="2"/>
        </w:numPr>
        <w:tabs>
          <w:tab w:val="clear" w:pos="900"/>
        </w:tabs>
        <w:spacing w:line="440" w:lineRule="exact"/>
        <w:ind w:hanging="898"/>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采购人：是指依法开展政府采购活动的国家机关、事业单位、团体组织。</w:t>
      </w:r>
    </w:p>
    <w:p w14:paraId="190E1FBD">
      <w:pPr>
        <w:tabs>
          <w:tab w:val="left" w:pos="0"/>
        </w:tabs>
        <w:spacing w:line="440" w:lineRule="exact"/>
        <w:ind w:left="9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本项目的采购人见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7D307B35">
      <w:pPr>
        <w:numPr>
          <w:ilvl w:val="1"/>
          <w:numId w:val="2"/>
        </w:numPr>
        <w:tabs>
          <w:tab w:val="clear" w:pos="900"/>
        </w:tabs>
        <w:spacing w:line="440" w:lineRule="exact"/>
        <w:ind w:hanging="898"/>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采购代理机构：是指在集中采购机构或从事采购代理业务的社会中介机构。本项目的采购代理机构见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105B1FE6">
      <w:pPr>
        <w:numPr>
          <w:ilvl w:val="1"/>
          <w:numId w:val="2"/>
        </w:num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供应商：是指向采购人提供货物、工程或者服务的法人、非法人组织或者自然人。 本项目的供应商及其投标货物须满足以下条件：</w:t>
      </w:r>
    </w:p>
    <w:p w14:paraId="36BFBE0C">
      <w:pPr>
        <w:spacing w:line="440" w:lineRule="exact"/>
        <w:ind w:left="779" w:hanging="778" w:hangingChars="354"/>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在中华人民共和国境内注册，能够独立承担民事责任</w:t>
      </w:r>
      <w:r>
        <w:rPr>
          <w:rFonts w:hint="eastAsia" w:ascii="微软雅黑" w:hAnsi="微软雅黑" w:eastAsia="微软雅黑" w:cs="微软雅黑"/>
          <w:color w:val="auto"/>
          <w:sz w:val="22"/>
          <w:szCs w:val="22"/>
          <w:highlight w:val="none"/>
          <w:lang w:eastAsia="zh-CN"/>
        </w:rPr>
        <w:t>，具</w:t>
      </w:r>
      <w:r>
        <w:rPr>
          <w:rFonts w:hint="eastAsia" w:ascii="微软雅黑" w:hAnsi="微软雅黑" w:eastAsia="微软雅黑" w:cs="微软雅黑"/>
          <w:color w:val="auto"/>
          <w:sz w:val="22"/>
          <w:szCs w:val="22"/>
          <w:highlight w:val="none"/>
        </w:rPr>
        <w:t>有生产或供应能力的本国供应商。</w:t>
      </w:r>
    </w:p>
    <w:p w14:paraId="21EAB43B">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  具备《中华人民共和国政府采购法》第二十二条关于供应商条件的规定，遵守本项目采购人本级和上级财政部门政府采购的有关规定。</w:t>
      </w:r>
    </w:p>
    <w:p w14:paraId="58177651">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1.3.3   以采购代理机构认可的方式获得了本项目的招标文件。</w:t>
      </w:r>
    </w:p>
    <w:p w14:paraId="1CEBC5C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1.3.4   符合</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中规定的其他要求。</w:t>
      </w:r>
    </w:p>
    <w:p w14:paraId="17D71C7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1.3.5   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中写明允许采购进口产品，供应商应保证所投产品可履行合法通关手续进入中国关境内。</w:t>
      </w:r>
    </w:p>
    <w:p w14:paraId="0767907C">
      <w:pPr>
        <w:spacing w:line="440" w:lineRule="exact"/>
        <w:ind w:left="899" w:leftChars="428"/>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中未写明允许采购进口产品，如供应商所投产品为进口产品，其投标将被认定为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268DF742">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1.3.6  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中写明专门面向中小企业采购的，如供应商为非中小企业且所投产品为非中小企业产品，其投标将被认定为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2CABF67C">
      <w:pPr>
        <w:spacing w:line="440" w:lineRule="exact"/>
        <w:ind w:left="825" w:hanging="825" w:hangingChars="375"/>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1.4    本项目是否适用本国产品标准见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u w:val="single"/>
          <w:lang w:eastAsia="zh-CN"/>
        </w:rPr>
        <w:t>。</w:t>
      </w:r>
    </w:p>
    <w:p w14:paraId="70BFFB18">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 xml:space="preserve">     如</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中允许联合体投标，对联合体规定如下：</w:t>
      </w:r>
    </w:p>
    <w:p w14:paraId="5E38C608">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.1   两个以上供应商可以组成一个投标联合体，以一个供应商的身份投标。</w:t>
      </w:r>
    </w:p>
    <w:p w14:paraId="51CD0F3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.2   联合体各方均应符合《中华人民共和国政府采购法》第二十二条规定的条件。</w:t>
      </w:r>
    </w:p>
    <w:p w14:paraId="4F0B7630">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.3   采购人根据采购项目对供应商的特殊要求，联合体中至少应当有一方符合相关规定。</w:t>
      </w:r>
    </w:p>
    <w:p w14:paraId="62F600AF">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.4   联合体各方应签订共同投标协议，明确约定联合体各方承担的工作和相应的责任，并将共同投标协议连同作为投标文件第一部分的内容提交。</w:t>
      </w:r>
    </w:p>
    <w:p w14:paraId="0DA2618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5   大中型企业、其他自然人、法人或者非法人组织与小型、微型企业组成联合体共同参加投标，共同投标协议中应写明小型、微型企业的协议合同金额</w:t>
      </w:r>
      <w:r>
        <w:rPr>
          <w:rFonts w:hint="eastAsia" w:ascii="微软雅黑" w:hAnsi="微软雅黑" w:eastAsia="微软雅黑" w:cs="微软雅黑"/>
          <w:color w:val="auto"/>
          <w:sz w:val="22"/>
          <w:szCs w:val="22"/>
          <w:highlight w:val="none"/>
          <w:lang w:eastAsia="zh-CN"/>
        </w:rPr>
        <w:t>占</w:t>
      </w:r>
      <w:r>
        <w:rPr>
          <w:rFonts w:hint="eastAsia" w:ascii="微软雅黑" w:hAnsi="微软雅黑" w:eastAsia="微软雅黑" w:cs="微软雅黑"/>
          <w:color w:val="auto"/>
          <w:sz w:val="22"/>
          <w:szCs w:val="22"/>
          <w:highlight w:val="none"/>
        </w:rPr>
        <w:t>共同投标协议投标总金额的比例。</w:t>
      </w:r>
    </w:p>
    <w:p w14:paraId="76FD7EA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.6  联合体中有同类资质的供应商按照联合体分工承担相同工作的，按照较低的资质等级确定联合体的资质等级。</w:t>
      </w:r>
    </w:p>
    <w:p w14:paraId="3CBAD69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54AD2EB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.8   对联合体投标的其他资格要求见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1F28F83B">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6</w:t>
      </w:r>
      <w:r>
        <w:rPr>
          <w:rFonts w:hint="eastAsia" w:ascii="微软雅黑" w:hAnsi="微软雅黑" w:eastAsia="微软雅黑" w:cs="微软雅黑"/>
          <w:color w:val="auto"/>
          <w:sz w:val="22"/>
          <w:szCs w:val="22"/>
          <w:highlight w:val="none"/>
        </w:rPr>
        <w:t xml:space="preserve">    单位负责人为同一人或者存在直接控股、管理关系的不同供应商，其相关投标将被认定为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4C04915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7</w:t>
      </w:r>
      <w:r>
        <w:rPr>
          <w:rFonts w:hint="eastAsia" w:ascii="微软雅黑" w:hAnsi="微软雅黑" w:eastAsia="微软雅黑" w:cs="微软雅黑"/>
          <w:color w:val="auto"/>
          <w:sz w:val="22"/>
          <w:szCs w:val="22"/>
          <w:highlight w:val="none"/>
        </w:rPr>
        <w:t xml:space="preserve">   为本项目提供过整体设计、规范编制或者项目管理、监理、检测等服务的供应商，不得再参加本项目上述服务以外的其他采购活动。否则其投标将被认定为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68B920C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8</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供应商在投标过程中不得向采购人提供、给予任何有价值的物品，影响其正常决策行为。一经发现，其将被认定为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53E65474">
      <w:pPr>
        <w:pStyle w:val="6"/>
        <w:spacing w:before="0" w:after="0" w:line="440" w:lineRule="exact"/>
        <w:rPr>
          <w:rFonts w:ascii="微软雅黑" w:hAnsi="微软雅黑" w:eastAsia="微软雅黑" w:cs="微软雅黑"/>
          <w:color w:val="auto"/>
          <w:sz w:val="22"/>
          <w:szCs w:val="22"/>
          <w:highlight w:val="none"/>
          <w:u w:val="none"/>
        </w:rPr>
      </w:pPr>
      <w:bookmarkStart w:id="27" w:name="_Toc515647759"/>
      <w:bookmarkStart w:id="28" w:name="_Toc5286"/>
      <w:bookmarkStart w:id="29" w:name="_Toc12139"/>
      <w:bookmarkStart w:id="30" w:name="_Toc4067"/>
      <w:r>
        <w:rPr>
          <w:rFonts w:hint="eastAsia" w:ascii="微软雅黑" w:hAnsi="微软雅黑" w:eastAsia="微软雅黑" w:cs="微软雅黑"/>
          <w:color w:val="auto"/>
          <w:sz w:val="22"/>
          <w:szCs w:val="22"/>
          <w:highlight w:val="none"/>
          <w:u w:val="none"/>
        </w:rPr>
        <w:t>2.资金来源</w:t>
      </w:r>
      <w:bookmarkEnd w:id="27"/>
      <w:bookmarkEnd w:id="28"/>
      <w:bookmarkEnd w:id="29"/>
      <w:bookmarkEnd w:id="30"/>
    </w:p>
    <w:p w14:paraId="5399BB50">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本项目的采购人已获得足以支付本次招标后所签订的合同项下的资金（包括财政性资金和本项目采购中无法与财政性资金分割的非财政性资金）。</w:t>
      </w:r>
    </w:p>
    <w:p w14:paraId="76AA6129">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    项目预算金额和分项或分包最高限价</w:t>
      </w:r>
      <w:r>
        <w:rPr>
          <w:rFonts w:hint="eastAsia" w:ascii="微软雅黑" w:hAnsi="微软雅黑" w:eastAsia="微软雅黑" w:cs="微软雅黑"/>
          <w:color w:val="auto"/>
          <w:sz w:val="22"/>
          <w:szCs w:val="22"/>
          <w:highlight w:val="none"/>
          <w:u w:val="single"/>
        </w:rPr>
        <w:t>见供应商须知资料表</w:t>
      </w:r>
      <w:r>
        <w:rPr>
          <w:rFonts w:hint="eastAsia" w:ascii="微软雅黑" w:hAnsi="微软雅黑" w:eastAsia="微软雅黑" w:cs="微软雅黑"/>
          <w:color w:val="auto"/>
          <w:sz w:val="22"/>
          <w:szCs w:val="22"/>
          <w:highlight w:val="none"/>
        </w:rPr>
        <w:t>。</w:t>
      </w:r>
    </w:p>
    <w:p w14:paraId="0A6A82F9">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    供应商报价超过招标文件规定的预算金额或者分项、分包最高限价的，其投标将被认定为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396D537B">
      <w:pPr>
        <w:pStyle w:val="6"/>
        <w:spacing w:before="0" w:after="0" w:line="440" w:lineRule="exact"/>
        <w:rPr>
          <w:rFonts w:ascii="微软雅黑" w:hAnsi="微软雅黑" w:eastAsia="微软雅黑" w:cs="微软雅黑"/>
          <w:color w:val="auto"/>
          <w:sz w:val="22"/>
          <w:szCs w:val="22"/>
          <w:highlight w:val="none"/>
          <w:u w:val="none"/>
        </w:rPr>
      </w:pPr>
      <w:bookmarkStart w:id="31" w:name="_Toc520356145"/>
      <w:bookmarkStart w:id="32" w:name="_Toc15936"/>
      <w:bookmarkStart w:id="33" w:name="_Toc4840"/>
      <w:bookmarkStart w:id="34" w:name="_Toc515647760"/>
      <w:bookmarkStart w:id="35" w:name="_Toc20526"/>
      <w:r>
        <w:rPr>
          <w:rFonts w:hint="eastAsia" w:ascii="微软雅黑" w:hAnsi="微软雅黑" w:eastAsia="微软雅黑" w:cs="微软雅黑"/>
          <w:color w:val="auto"/>
          <w:sz w:val="22"/>
          <w:szCs w:val="22"/>
          <w:highlight w:val="none"/>
          <w:u w:val="none"/>
        </w:rPr>
        <w:t>3.投标费用</w:t>
      </w:r>
      <w:bookmarkEnd w:id="31"/>
      <w:bookmarkEnd w:id="32"/>
      <w:bookmarkEnd w:id="33"/>
      <w:bookmarkEnd w:id="34"/>
      <w:bookmarkEnd w:id="35"/>
    </w:p>
    <w:p w14:paraId="49A30985">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不论投标的结果如何，供应商应承担所有与准备和参加投标有关的费用。</w:t>
      </w:r>
    </w:p>
    <w:p w14:paraId="5D5DBD0A">
      <w:pPr>
        <w:pStyle w:val="6"/>
        <w:spacing w:before="0" w:after="0" w:line="440" w:lineRule="exact"/>
        <w:rPr>
          <w:rFonts w:ascii="微软雅黑" w:hAnsi="微软雅黑" w:eastAsia="微软雅黑" w:cs="微软雅黑"/>
          <w:color w:val="auto"/>
          <w:sz w:val="22"/>
          <w:szCs w:val="22"/>
          <w:highlight w:val="none"/>
          <w:u w:val="none"/>
        </w:rPr>
      </w:pPr>
      <w:bookmarkStart w:id="36" w:name="_Toc515647761"/>
      <w:bookmarkStart w:id="37" w:name="_Toc4463"/>
      <w:bookmarkStart w:id="38" w:name="_Toc22810"/>
      <w:bookmarkStart w:id="39" w:name="_Toc6116"/>
      <w:r>
        <w:rPr>
          <w:rFonts w:hint="eastAsia" w:ascii="微软雅黑" w:hAnsi="微软雅黑" w:eastAsia="微软雅黑" w:cs="微软雅黑"/>
          <w:color w:val="auto"/>
          <w:sz w:val="22"/>
          <w:szCs w:val="22"/>
          <w:highlight w:val="none"/>
          <w:u w:val="none"/>
        </w:rPr>
        <w:t>4.适用法律</w:t>
      </w:r>
      <w:bookmarkEnd w:id="36"/>
      <w:bookmarkEnd w:id="37"/>
      <w:bookmarkEnd w:id="38"/>
      <w:bookmarkEnd w:id="39"/>
    </w:p>
    <w:p w14:paraId="52AD6C1F">
      <w:pPr>
        <w:spacing w:line="440" w:lineRule="exact"/>
        <w:ind w:left="825" w:hanging="825" w:hangingChars="375"/>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本项目采购人、采购代理机构、供应商、评标委员会的相关行为均受《中华人民共和国政府采购法</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中华人民共和国政府采购法实施条例</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中华人民共和国财政部令第87号</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政府采购货物和货物招标投标管理办法》及本项目本级和上级财政部门政府采购有关规定的约束，其权利受到上述法律法规的保护。</w:t>
      </w:r>
    </w:p>
    <w:p w14:paraId="73EA6C79">
      <w:pPr>
        <w:spacing w:line="440" w:lineRule="exact"/>
        <w:ind w:left="825" w:hanging="825" w:hangingChars="375"/>
        <w:rPr>
          <w:rFonts w:hint="eastAsia" w:ascii="微软雅黑" w:hAnsi="微软雅黑" w:eastAsia="微软雅黑" w:cs="微软雅黑"/>
          <w:color w:val="auto"/>
          <w:sz w:val="22"/>
          <w:szCs w:val="22"/>
          <w:highlight w:val="none"/>
        </w:rPr>
      </w:pPr>
    </w:p>
    <w:p w14:paraId="7F53C242">
      <w:pPr>
        <w:pStyle w:val="3"/>
        <w:spacing w:before="0" w:line="440" w:lineRule="exact"/>
        <w:ind w:left="1080" w:leftChars="257" w:hanging="540"/>
        <w:rPr>
          <w:rFonts w:ascii="微软雅黑" w:hAnsi="微软雅黑" w:eastAsia="微软雅黑" w:cs="微软雅黑"/>
          <w:color w:val="auto"/>
          <w:sz w:val="22"/>
          <w:szCs w:val="22"/>
          <w:highlight w:val="none"/>
        </w:rPr>
      </w:pPr>
      <w:bookmarkStart w:id="40" w:name="_Toc6382"/>
      <w:bookmarkStart w:id="41" w:name="_Toc19662"/>
      <w:bookmarkStart w:id="42" w:name="_Toc25381"/>
      <w:bookmarkStart w:id="43" w:name="_Toc21566"/>
      <w:bookmarkStart w:id="44" w:name="_Toc216582806"/>
      <w:bookmarkStart w:id="45" w:name="_Toc28254"/>
      <w:bookmarkStart w:id="46" w:name="_Toc515647762"/>
      <w:bookmarkStart w:id="47" w:name="_Toc4365"/>
      <w:bookmarkStart w:id="48" w:name="_Toc30266"/>
      <w:bookmarkStart w:id="49" w:name="_Toc520356146"/>
      <w:r>
        <w:rPr>
          <w:rFonts w:hint="eastAsia" w:ascii="微软雅黑" w:hAnsi="微软雅黑" w:eastAsia="微软雅黑" w:cs="微软雅黑"/>
          <w:color w:val="auto"/>
          <w:sz w:val="28"/>
          <w:szCs w:val="28"/>
          <w:highlight w:val="none"/>
        </w:rPr>
        <w:t>二</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rPr>
        <w:t>招标文件</w:t>
      </w:r>
      <w:bookmarkEnd w:id="40"/>
      <w:bookmarkEnd w:id="41"/>
      <w:bookmarkEnd w:id="42"/>
      <w:bookmarkEnd w:id="43"/>
      <w:bookmarkEnd w:id="44"/>
      <w:bookmarkEnd w:id="45"/>
      <w:bookmarkEnd w:id="46"/>
      <w:bookmarkEnd w:id="47"/>
      <w:bookmarkEnd w:id="48"/>
      <w:bookmarkEnd w:id="49"/>
    </w:p>
    <w:p w14:paraId="47FCED40">
      <w:pPr>
        <w:pStyle w:val="6"/>
        <w:spacing w:before="0" w:after="0" w:line="440" w:lineRule="exact"/>
        <w:rPr>
          <w:rFonts w:ascii="微软雅黑" w:hAnsi="微软雅黑" w:eastAsia="微软雅黑" w:cs="微软雅黑"/>
          <w:color w:val="auto"/>
          <w:sz w:val="22"/>
          <w:szCs w:val="22"/>
          <w:highlight w:val="none"/>
          <w:u w:val="none"/>
        </w:rPr>
      </w:pPr>
      <w:bookmarkStart w:id="50" w:name="_Toc25000"/>
      <w:bookmarkStart w:id="51" w:name="_Toc520356147"/>
      <w:bookmarkStart w:id="52" w:name="_Toc25743"/>
      <w:bookmarkStart w:id="53" w:name="_Toc14084"/>
      <w:bookmarkStart w:id="54" w:name="_Toc515647763"/>
      <w:r>
        <w:rPr>
          <w:rFonts w:hint="eastAsia" w:ascii="微软雅黑" w:hAnsi="微软雅黑" w:eastAsia="微软雅黑" w:cs="微软雅黑"/>
          <w:color w:val="auto"/>
          <w:sz w:val="22"/>
          <w:szCs w:val="22"/>
          <w:highlight w:val="none"/>
          <w:u w:val="none"/>
        </w:rPr>
        <w:t>5.招标文件构成</w:t>
      </w:r>
      <w:bookmarkEnd w:id="50"/>
      <w:bookmarkEnd w:id="51"/>
      <w:bookmarkEnd w:id="52"/>
      <w:bookmarkEnd w:id="53"/>
      <w:bookmarkEnd w:id="54"/>
    </w:p>
    <w:p w14:paraId="2A19ED6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招标文件分为三册共7章，内容如下：</w:t>
      </w:r>
    </w:p>
    <w:p w14:paraId="7632970E">
      <w:pPr>
        <w:spacing w:line="440" w:lineRule="exact"/>
        <w:ind w:left="1064" w:leftChars="428" w:hanging="165" w:hangingChars="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第一册</w:t>
      </w:r>
    </w:p>
    <w:p w14:paraId="301F3FA6">
      <w:pPr>
        <w:numPr>
          <w:ilvl w:val="0"/>
          <w:numId w:val="3"/>
        </w:numPr>
        <w:tabs>
          <w:tab w:val="left" w:pos="0"/>
        </w:tabs>
        <w:spacing w:line="440" w:lineRule="exact"/>
        <w:ind w:hanging="82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供应商须知</w:t>
      </w:r>
    </w:p>
    <w:p w14:paraId="101FD121">
      <w:pPr>
        <w:numPr>
          <w:ilvl w:val="0"/>
          <w:numId w:val="3"/>
        </w:num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投标文件格式</w:t>
      </w:r>
    </w:p>
    <w:p w14:paraId="479024F6">
      <w:p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第二册</w:t>
      </w:r>
    </w:p>
    <w:p w14:paraId="0FFB3CC0">
      <w:pPr>
        <w:numPr>
          <w:ilvl w:val="0"/>
          <w:numId w:val="3"/>
        </w:num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投标邀请</w:t>
      </w:r>
    </w:p>
    <w:p w14:paraId="428D6AB7">
      <w:pPr>
        <w:numPr>
          <w:ilvl w:val="0"/>
          <w:numId w:val="3"/>
        </w:num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供应商须知资料表</w:t>
      </w:r>
    </w:p>
    <w:p w14:paraId="194521FB">
      <w:pPr>
        <w:numPr>
          <w:ilvl w:val="0"/>
          <w:numId w:val="3"/>
        </w:num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货物需求一览表及技术规格</w:t>
      </w:r>
    </w:p>
    <w:p w14:paraId="7725407E">
      <w:pPr>
        <w:numPr>
          <w:ilvl w:val="0"/>
          <w:numId w:val="3"/>
        </w:num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评标方法和标准</w:t>
      </w:r>
    </w:p>
    <w:p w14:paraId="216323E4">
      <w:pPr>
        <w:spacing w:line="440" w:lineRule="exact"/>
        <w:ind w:left="901"/>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第三册</w:t>
      </w:r>
    </w:p>
    <w:p w14:paraId="23F35F65">
      <w:pPr>
        <w:numPr>
          <w:ilvl w:val="0"/>
          <w:numId w:val="3"/>
        </w:numPr>
        <w:spacing w:line="440" w:lineRule="exact"/>
        <w:ind w:left="718" w:leftChars="342"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政府采购合同格式</w:t>
      </w:r>
    </w:p>
    <w:p w14:paraId="5BAC1B14">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如本文件的前后内容不一致，以</w:t>
      </w:r>
      <w:r>
        <w:rPr>
          <w:rFonts w:hint="eastAsia" w:ascii="微软雅黑" w:hAnsi="微软雅黑" w:eastAsia="微软雅黑" w:cs="微软雅黑"/>
          <w:color w:val="auto"/>
          <w:sz w:val="22"/>
          <w:szCs w:val="22"/>
          <w:highlight w:val="none"/>
          <w:lang w:val="en-US" w:eastAsia="zh-CN"/>
        </w:rPr>
        <w:t>第4章供应商须知表为准</w:t>
      </w:r>
      <w:r>
        <w:rPr>
          <w:rFonts w:hint="eastAsia" w:ascii="微软雅黑" w:hAnsi="微软雅黑" w:eastAsia="微软雅黑" w:cs="微软雅黑"/>
          <w:color w:val="auto"/>
          <w:sz w:val="22"/>
          <w:szCs w:val="22"/>
          <w:highlight w:val="none"/>
        </w:rPr>
        <w:t>。</w:t>
      </w:r>
    </w:p>
    <w:p w14:paraId="2FA93DF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5.3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0E14AA01">
      <w:pPr>
        <w:pStyle w:val="6"/>
        <w:spacing w:before="0" w:after="0" w:line="440" w:lineRule="exact"/>
        <w:rPr>
          <w:rFonts w:ascii="微软雅黑" w:hAnsi="微软雅黑" w:eastAsia="微软雅黑" w:cs="微软雅黑"/>
          <w:color w:val="auto"/>
          <w:sz w:val="22"/>
          <w:szCs w:val="22"/>
          <w:highlight w:val="none"/>
          <w:u w:val="none"/>
        </w:rPr>
      </w:pPr>
      <w:bookmarkStart w:id="55" w:name="_Toc520356148"/>
      <w:bookmarkStart w:id="56" w:name="_Toc515904805"/>
      <w:bookmarkStart w:id="57" w:name="_Toc9232"/>
      <w:bookmarkStart w:id="58" w:name="_Toc28810"/>
      <w:bookmarkStart w:id="59" w:name="_Toc26044"/>
      <w:r>
        <w:rPr>
          <w:rFonts w:hint="eastAsia" w:ascii="微软雅黑" w:hAnsi="微软雅黑" w:eastAsia="微软雅黑" w:cs="微软雅黑"/>
          <w:color w:val="auto"/>
          <w:sz w:val="22"/>
          <w:szCs w:val="22"/>
          <w:highlight w:val="none"/>
          <w:u w:val="none"/>
        </w:rPr>
        <w:t>6.招标文件的澄清</w:t>
      </w:r>
      <w:bookmarkEnd w:id="55"/>
      <w:bookmarkEnd w:id="56"/>
      <w:r>
        <w:rPr>
          <w:rFonts w:hint="eastAsia" w:ascii="微软雅黑" w:hAnsi="微软雅黑" w:eastAsia="微软雅黑" w:cs="微软雅黑"/>
          <w:color w:val="auto"/>
          <w:sz w:val="22"/>
          <w:szCs w:val="22"/>
          <w:highlight w:val="none"/>
          <w:u w:val="none"/>
        </w:rPr>
        <w:t>与修改</w:t>
      </w:r>
      <w:bookmarkEnd w:id="57"/>
      <w:bookmarkEnd w:id="58"/>
      <w:bookmarkEnd w:id="59"/>
    </w:p>
    <w:p w14:paraId="688F4907">
      <w:pPr>
        <w:pStyle w:val="4"/>
        <w:spacing w:line="440" w:lineRule="exact"/>
        <w:ind w:left="770" w:hanging="770" w:hangingChars="35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6.1    为了保证对招标文件的澄清和修改满足法律的时限要求，任何要求对招标文件进行澄清的供应商，均应在投标截止期十五日前，以书面形式将澄清要求通知采购人或采购代理机构。</w:t>
      </w:r>
    </w:p>
    <w:p w14:paraId="4CAE5549">
      <w:pPr>
        <w:pStyle w:val="4"/>
        <w:spacing w:line="440" w:lineRule="exact"/>
        <w:ind w:left="770" w:hanging="770" w:hangingChars="350"/>
        <w:rPr>
          <w:rFonts w:ascii="微软雅黑" w:hAnsi="微软雅黑" w:eastAsia="微软雅黑" w:cs="微软雅黑"/>
          <w:color w:val="auto"/>
          <w:sz w:val="22"/>
          <w:szCs w:val="22"/>
          <w:highlight w:val="none"/>
        </w:rPr>
      </w:pPr>
      <w:bookmarkStart w:id="60" w:name="_Toc515904806"/>
      <w:bookmarkStart w:id="61" w:name="_Ref467378678"/>
      <w:bookmarkStart w:id="62" w:name="_Toc520356149"/>
      <w:r>
        <w:rPr>
          <w:rFonts w:hint="eastAsia" w:ascii="微软雅黑" w:hAnsi="微软雅黑" w:eastAsia="微软雅黑" w:cs="微软雅黑"/>
          <w:color w:val="auto"/>
          <w:sz w:val="22"/>
          <w:szCs w:val="22"/>
          <w:highlight w:val="none"/>
        </w:rPr>
        <w:t>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采购人可主动地或在解答供应商提出的澄清问题时对招标文件进行澄清或修改。采购代理机构将以发布澄清（更正）公告的方式，澄清或修改招标文件，澄清或修改内容作为招标文件的组成部分。</w:t>
      </w:r>
    </w:p>
    <w:p w14:paraId="5380BCAC">
      <w:pPr>
        <w:pStyle w:val="4"/>
        <w:spacing w:line="440" w:lineRule="exact"/>
        <w:ind w:left="770" w:hanging="770" w:hangingChars="35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澄清或者修改的内容可能影响投标文件编制的，采购代理机构将以书面形式通知所有购买招标文件的潜在供应商，并对其具有约束力。供应商在收到上述通知后，应及时向采购代理机构回函确认。</w:t>
      </w:r>
    </w:p>
    <w:p w14:paraId="13CF0487">
      <w:pPr>
        <w:pStyle w:val="6"/>
        <w:tabs>
          <w:tab w:val="left" w:pos="900"/>
        </w:tabs>
        <w:spacing w:before="0" w:after="0" w:line="440" w:lineRule="exact"/>
        <w:rPr>
          <w:rFonts w:ascii="微软雅黑" w:hAnsi="微软雅黑" w:eastAsia="微软雅黑" w:cs="微软雅黑"/>
          <w:color w:val="auto"/>
          <w:sz w:val="22"/>
          <w:szCs w:val="22"/>
          <w:highlight w:val="none"/>
          <w:u w:val="none"/>
        </w:rPr>
      </w:pPr>
      <w:bookmarkStart w:id="63" w:name="_Toc25635"/>
      <w:bookmarkStart w:id="64" w:name="_Toc14569"/>
      <w:bookmarkStart w:id="65" w:name="_Toc17311"/>
      <w:r>
        <w:rPr>
          <w:rFonts w:hint="eastAsia" w:ascii="微软雅黑" w:hAnsi="微软雅黑" w:eastAsia="微软雅黑" w:cs="微软雅黑"/>
          <w:color w:val="auto"/>
          <w:sz w:val="22"/>
          <w:szCs w:val="22"/>
          <w:highlight w:val="none"/>
          <w:u w:val="none"/>
        </w:rPr>
        <w:t>7</w:t>
      </w:r>
      <w:bookmarkEnd w:id="60"/>
      <w:bookmarkEnd w:id="61"/>
      <w:bookmarkEnd w:id="62"/>
      <w:r>
        <w:rPr>
          <w:rFonts w:hint="eastAsia" w:ascii="微软雅黑" w:hAnsi="微软雅黑" w:eastAsia="微软雅黑" w:cs="微软雅黑"/>
          <w:color w:val="auto"/>
          <w:sz w:val="22"/>
          <w:szCs w:val="22"/>
          <w:highlight w:val="none"/>
          <w:u w:val="none"/>
        </w:rPr>
        <w:t>.投标截止时间的顺延</w:t>
      </w:r>
      <w:bookmarkEnd w:id="63"/>
      <w:bookmarkEnd w:id="64"/>
      <w:bookmarkEnd w:id="65"/>
    </w:p>
    <w:p w14:paraId="6F359056">
      <w:pPr>
        <w:spacing w:line="440" w:lineRule="exact"/>
        <w:ind w:left="825" w:hanging="825" w:hangingChars="375"/>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为使供应商准备投标时有足够的时间对招标文件的澄清或者修改部分进行研究，采购人将依法决定是否顺延投标截止时间。</w:t>
      </w:r>
    </w:p>
    <w:p w14:paraId="7312D2DB">
      <w:pPr>
        <w:spacing w:line="440" w:lineRule="exact"/>
        <w:ind w:left="825" w:hanging="825" w:hangingChars="375"/>
        <w:rPr>
          <w:rFonts w:hint="eastAsia" w:ascii="微软雅黑" w:hAnsi="微软雅黑" w:eastAsia="微软雅黑" w:cs="微软雅黑"/>
          <w:color w:val="auto"/>
          <w:sz w:val="22"/>
          <w:szCs w:val="22"/>
          <w:highlight w:val="none"/>
        </w:rPr>
      </w:pPr>
    </w:p>
    <w:p w14:paraId="4E89FE80">
      <w:pPr>
        <w:pStyle w:val="3"/>
        <w:tabs>
          <w:tab w:val="left" w:pos="900"/>
        </w:tabs>
        <w:spacing w:before="0" w:line="440" w:lineRule="exact"/>
        <w:ind w:left="1080" w:leftChars="257" w:hanging="540"/>
        <w:rPr>
          <w:rFonts w:ascii="微软雅黑" w:hAnsi="微软雅黑" w:eastAsia="微软雅黑" w:cs="微软雅黑"/>
          <w:color w:val="auto"/>
          <w:sz w:val="28"/>
          <w:szCs w:val="28"/>
          <w:highlight w:val="none"/>
        </w:rPr>
      </w:pPr>
      <w:bookmarkStart w:id="66" w:name="_Toc516367020"/>
      <w:bookmarkStart w:id="67" w:name="_Toc520356150"/>
      <w:bookmarkStart w:id="68" w:name="_Toc515647766"/>
      <w:bookmarkStart w:id="69" w:name="_Toc20381"/>
      <w:bookmarkStart w:id="70" w:name="_Toc7636"/>
      <w:bookmarkStart w:id="71" w:name="_Toc29669"/>
      <w:bookmarkStart w:id="72" w:name="_Toc216582807"/>
      <w:bookmarkStart w:id="73" w:name="_Toc23370"/>
      <w:bookmarkStart w:id="74" w:name="_Toc30808"/>
      <w:bookmarkStart w:id="75" w:name="_Toc9072"/>
      <w:bookmarkStart w:id="76" w:name="_Toc23138"/>
      <w:r>
        <w:rPr>
          <w:rFonts w:hint="eastAsia" w:ascii="微软雅黑" w:hAnsi="微软雅黑" w:eastAsia="微软雅黑" w:cs="微软雅黑"/>
          <w:color w:val="auto"/>
          <w:sz w:val="28"/>
          <w:szCs w:val="28"/>
          <w:highlight w:val="none"/>
        </w:rPr>
        <w:t>三</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rPr>
        <w:t>投标文件</w:t>
      </w:r>
      <w:bookmarkEnd w:id="66"/>
      <w:r>
        <w:rPr>
          <w:rFonts w:hint="eastAsia" w:ascii="微软雅黑" w:hAnsi="微软雅黑" w:eastAsia="微软雅黑" w:cs="微软雅黑"/>
          <w:color w:val="auto"/>
          <w:sz w:val="28"/>
          <w:szCs w:val="28"/>
          <w:highlight w:val="none"/>
        </w:rPr>
        <w:t>的编制</w:t>
      </w:r>
      <w:bookmarkEnd w:id="67"/>
      <w:bookmarkEnd w:id="68"/>
      <w:bookmarkEnd w:id="69"/>
      <w:bookmarkEnd w:id="70"/>
      <w:bookmarkEnd w:id="71"/>
      <w:bookmarkEnd w:id="72"/>
      <w:bookmarkEnd w:id="73"/>
      <w:bookmarkEnd w:id="74"/>
      <w:bookmarkEnd w:id="75"/>
      <w:bookmarkEnd w:id="76"/>
    </w:p>
    <w:p w14:paraId="4AEC7BC1">
      <w:pPr>
        <w:pStyle w:val="6"/>
        <w:tabs>
          <w:tab w:val="left" w:pos="900"/>
        </w:tabs>
        <w:spacing w:before="0" w:after="0" w:line="440" w:lineRule="exact"/>
        <w:rPr>
          <w:rFonts w:ascii="微软雅黑" w:hAnsi="微软雅黑" w:eastAsia="微软雅黑" w:cs="微软雅黑"/>
          <w:color w:val="auto"/>
          <w:sz w:val="22"/>
          <w:szCs w:val="22"/>
          <w:highlight w:val="none"/>
          <w:u w:val="none"/>
        </w:rPr>
      </w:pPr>
      <w:bookmarkStart w:id="77" w:name="_Toc516367021"/>
      <w:bookmarkStart w:id="78" w:name="_Toc3553"/>
      <w:bookmarkStart w:id="79" w:name="_Toc30852"/>
      <w:bookmarkStart w:id="80" w:name="_Toc515647767"/>
      <w:bookmarkStart w:id="81" w:name="_Toc7786"/>
      <w:bookmarkStart w:id="82" w:name="_Toc520356151"/>
      <w:r>
        <w:rPr>
          <w:rFonts w:hint="eastAsia" w:ascii="微软雅黑" w:hAnsi="微软雅黑" w:eastAsia="微软雅黑" w:cs="微软雅黑"/>
          <w:color w:val="auto"/>
          <w:sz w:val="22"/>
          <w:szCs w:val="22"/>
          <w:highlight w:val="none"/>
          <w:u w:val="none"/>
        </w:rPr>
        <w:t>8.</w:t>
      </w:r>
      <w:r>
        <w:rPr>
          <w:rFonts w:hint="eastAsia" w:ascii="微软雅黑" w:hAnsi="微软雅黑" w:eastAsia="微软雅黑" w:cs="微软雅黑"/>
          <w:color w:val="auto"/>
          <w:sz w:val="22"/>
          <w:szCs w:val="22"/>
          <w:highlight w:val="none"/>
          <w:u w:val="none"/>
        </w:rPr>
        <w:tab/>
      </w:r>
      <w:r>
        <w:rPr>
          <w:rFonts w:hint="eastAsia" w:ascii="微软雅黑" w:hAnsi="微软雅黑" w:eastAsia="微软雅黑" w:cs="微软雅黑"/>
          <w:color w:val="auto"/>
          <w:sz w:val="22"/>
          <w:szCs w:val="22"/>
          <w:highlight w:val="none"/>
          <w:u w:val="none"/>
        </w:rPr>
        <w:t>投标范围及投标文件中标准和计量单位的使用</w:t>
      </w:r>
      <w:bookmarkEnd w:id="77"/>
      <w:bookmarkEnd w:id="78"/>
      <w:bookmarkEnd w:id="79"/>
      <w:bookmarkEnd w:id="80"/>
      <w:bookmarkEnd w:id="81"/>
      <w:bookmarkEnd w:id="82"/>
    </w:p>
    <w:p w14:paraId="69DCC6D1">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项目有分包的，供应商可对招标文件其中某一个或几个分包货物进行投标，除非在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中另有规定。</w:t>
      </w:r>
    </w:p>
    <w:p w14:paraId="7D39722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8.2     供应商应当对所投分包招标文件中“货物需求”所列的所有内容进行投标，如仅响应某一包中的部分内容</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该包投标将被认定为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2939156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8.3     无论招标文件第5章货物需求一览表及技术规格中是否要求，供应商所投货物均应符合国家强制性标准。</w:t>
      </w:r>
    </w:p>
    <w:p w14:paraId="205186F4">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8.4     除招标文件中有特殊要求外，投标文件中所使用的计量单位，应采用中华人民共和国法定计量单位。</w:t>
      </w:r>
    </w:p>
    <w:p w14:paraId="787BA962">
      <w:pPr>
        <w:pStyle w:val="6"/>
        <w:tabs>
          <w:tab w:val="left" w:pos="900"/>
        </w:tabs>
        <w:spacing w:before="0" w:after="0" w:line="440" w:lineRule="exact"/>
        <w:rPr>
          <w:rFonts w:ascii="微软雅黑" w:hAnsi="微软雅黑" w:eastAsia="微软雅黑" w:cs="微软雅黑"/>
          <w:color w:val="auto"/>
          <w:sz w:val="22"/>
          <w:szCs w:val="22"/>
          <w:highlight w:val="none"/>
          <w:u w:val="none"/>
        </w:rPr>
      </w:pPr>
      <w:bookmarkStart w:id="83" w:name="_Ref467306195"/>
      <w:bookmarkStart w:id="84" w:name="_Toc516367022"/>
      <w:bookmarkStart w:id="85" w:name="_Ref467306676"/>
      <w:bookmarkStart w:id="86" w:name="_Toc28307"/>
      <w:bookmarkStart w:id="87" w:name="_Toc10364"/>
      <w:bookmarkStart w:id="88" w:name="_Toc515647768"/>
      <w:bookmarkStart w:id="89" w:name="_Toc32655"/>
      <w:bookmarkStart w:id="90" w:name="_Toc520356152"/>
      <w:r>
        <w:rPr>
          <w:rFonts w:hint="eastAsia" w:ascii="微软雅黑" w:hAnsi="微软雅黑" w:eastAsia="微软雅黑" w:cs="微软雅黑"/>
          <w:color w:val="auto"/>
          <w:sz w:val="22"/>
          <w:szCs w:val="22"/>
          <w:highlight w:val="none"/>
          <w:u w:val="none"/>
        </w:rPr>
        <w:t>9.投标文件</w:t>
      </w:r>
      <w:bookmarkEnd w:id="83"/>
      <w:bookmarkEnd w:id="84"/>
      <w:bookmarkEnd w:id="85"/>
      <w:r>
        <w:rPr>
          <w:rFonts w:hint="eastAsia" w:ascii="微软雅黑" w:hAnsi="微软雅黑" w:eastAsia="微软雅黑" w:cs="微软雅黑"/>
          <w:color w:val="auto"/>
          <w:sz w:val="22"/>
          <w:szCs w:val="22"/>
          <w:highlight w:val="none"/>
          <w:u w:val="none"/>
        </w:rPr>
        <w:t>构成</w:t>
      </w:r>
      <w:bookmarkEnd w:id="86"/>
      <w:bookmarkEnd w:id="87"/>
      <w:bookmarkEnd w:id="88"/>
      <w:bookmarkEnd w:id="89"/>
      <w:bookmarkEnd w:id="90"/>
    </w:p>
    <w:p w14:paraId="0E94E3C8">
      <w:pPr>
        <w:tabs>
          <w:tab w:val="left" w:pos="900"/>
          <w:tab w:val="left" w:pos="5580"/>
        </w:tabs>
        <w:spacing w:line="440" w:lineRule="exact"/>
        <w:ind w:left="880" w:hanging="880" w:hangingChars="400"/>
        <w:jc w:val="left"/>
        <w:rPr>
          <w:rFonts w:ascii="微软雅黑" w:hAnsi="微软雅黑" w:eastAsia="微软雅黑" w:cs="微软雅黑"/>
          <w:color w:val="auto"/>
          <w:sz w:val="22"/>
          <w:szCs w:val="22"/>
          <w:highlight w:val="none"/>
          <w:u w:val="single"/>
        </w:rPr>
      </w:pPr>
      <w:bookmarkStart w:id="91" w:name="_Ref467052588"/>
      <w:r>
        <w:rPr>
          <w:rFonts w:hint="eastAsia" w:ascii="微软雅黑" w:hAnsi="微软雅黑" w:eastAsia="微软雅黑" w:cs="微软雅黑"/>
          <w:color w:val="auto"/>
          <w:sz w:val="22"/>
          <w:szCs w:val="22"/>
          <w:highlight w:val="none"/>
        </w:rPr>
        <w:t xml:space="preserve">9.1     </w:t>
      </w:r>
      <w:r>
        <w:rPr>
          <w:rFonts w:hint="eastAsia" w:ascii="微软雅黑" w:hAnsi="微软雅黑" w:eastAsia="微软雅黑" w:cs="微软雅黑"/>
          <w:b/>
          <w:bCs/>
          <w:color w:val="auto"/>
          <w:sz w:val="22"/>
          <w:szCs w:val="22"/>
          <w:highlight w:val="none"/>
          <w:u w:val="single"/>
        </w:rPr>
        <w:t>供应商应完整</w:t>
      </w:r>
      <w:r>
        <w:rPr>
          <w:rFonts w:hint="eastAsia" w:ascii="微软雅黑" w:hAnsi="微软雅黑" w:eastAsia="微软雅黑" w:cs="微软雅黑"/>
          <w:b/>
          <w:bCs/>
          <w:color w:val="auto"/>
          <w:sz w:val="22"/>
          <w:szCs w:val="22"/>
          <w:highlight w:val="none"/>
          <w:u w:val="single"/>
          <w:lang w:val="en-US" w:eastAsia="zh-CN"/>
        </w:rPr>
        <w:t>地</w:t>
      </w:r>
      <w:r>
        <w:rPr>
          <w:rFonts w:hint="eastAsia" w:ascii="微软雅黑" w:hAnsi="微软雅黑" w:eastAsia="微软雅黑" w:cs="微软雅黑"/>
          <w:b/>
          <w:bCs/>
          <w:color w:val="auto"/>
          <w:sz w:val="22"/>
          <w:szCs w:val="22"/>
          <w:highlight w:val="none"/>
          <w:u w:val="single"/>
        </w:rPr>
        <w:t>按招标文件提供的投标文件格式及要求编写投标文件， 供应商须在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p>
    <w:p w14:paraId="4871D8E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9.2    上述文件应按照招标文件规定的格式填写、签署和盖章。</w:t>
      </w:r>
    </w:p>
    <w:bookmarkEnd w:id="91"/>
    <w:p w14:paraId="52CF8817">
      <w:pPr>
        <w:pStyle w:val="6"/>
        <w:tabs>
          <w:tab w:val="left" w:pos="900"/>
        </w:tabs>
        <w:spacing w:before="0" w:after="0" w:line="440" w:lineRule="exact"/>
        <w:rPr>
          <w:rFonts w:ascii="微软雅黑" w:hAnsi="微软雅黑" w:eastAsia="微软雅黑" w:cs="微软雅黑"/>
          <w:color w:val="auto"/>
          <w:sz w:val="22"/>
          <w:szCs w:val="22"/>
          <w:highlight w:val="none"/>
          <w:u w:val="none"/>
        </w:rPr>
      </w:pPr>
      <w:bookmarkStart w:id="92" w:name="_Toc4601"/>
      <w:bookmarkStart w:id="93" w:name="_Toc27659"/>
      <w:bookmarkStart w:id="94" w:name="_Toc10379"/>
      <w:bookmarkStart w:id="95" w:name="_Toc516367023"/>
      <w:bookmarkStart w:id="96" w:name="_Toc520356153"/>
      <w:bookmarkStart w:id="97" w:name="_Toc515647769"/>
      <w:r>
        <w:rPr>
          <w:rFonts w:hint="eastAsia" w:ascii="微软雅黑" w:hAnsi="微软雅黑" w:eastAsia="微软雅黑" w:cs="微软雅黑"/>
          <w:color w:val="auto"/>
          <w:sz w:val="22"/>
          <w:szCs w:val="22"/>
          <w:highlight w:val="none"/>
          <w:u w:val="none"/>
        </w:rPr>
        <w:t>10.</w:t>
      </w:r>
      <w:r>
        <w:rPr>
          <w:rFonts w:hint="eastAsia" w:ascii="微软雅黑" w:hAnsi="微软雅黑" w:eastAsia="微软雅黑" w:cs="微软雅黑"/>
          <w:color w:val="auto"/>
          <w:sz w:val="22"/>
          <w:szCs w:val="22"/>
          <w:highlight w:val="none"/>
          <w:u w:val="none"/>
        </w:rPr>
        <w:tab/>
      </w:r>
      <w:r>
        <w:rPr>
          <w:rFonts w:hint="eastAsia" w:ascii="微软雅黑" w:hAnsi="微软雅黑" w:eastAsia="微软雅黑" w:cs="微软雅黑"/>
          <w:color w:val="auto"/>
          <w:sz w:val="22"/>
          <w:szCs w:val="22"/>
          <w:highlight w:val="none"/>
          <w:u w:val="none"/>
        </w:rPr>
        <w:t>证明投标标的的合格性和符合招标文件规定的技术文件</w:t>
      </w:r>
      <w:bookmarkEnd w:id="92"/>
      <w:bookmarkEnd w:id="93"/>
      <w:bookmarkEnd w:id="94"/>
      <w:bookmarkEnd w:id="95"/>
      <w:bookmarkEnd w:id="96"/>
      <w:bookmarkEnd w:id="97"/>
    </w:p>
    <w:p w14:paraId="2117A55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供应商应提交证明文件，证明其投标内容符合招标文件规定。该证明文件是投标文件的一部分。</w:t>
      </w:r>
    </w:p>
    <w:p w14:paraId="35ED66D8">
      <w:pPr>
        <w:spacing w:line="440" w:lineRule="exact"/>
        <w:ind w:left="825" w:hanging="825" w:hangingChars="375"/>
        <w:rPr>
          <w:rFonts w:hint="eastAsia" w:ascii="微软雅黑" w:hAnsi="微软雅黑" w:eastAsia="微软雅黑" w:cs="微软雅黑"/>
          <w:color w:val="auto"/>
          <w:sz w:val="22"/>
          <w:szCs w:val="22"/>
          <w:highlight w:val="none"/>
          <w:lang w:eastAsia="zh-CN"/>
        </w:rPr>
      </w:pPr>
      <w:bookmarkStart w:id="98" w:name="_Ref467306244"/>
      <w:r>
        <w:rPr>
          <w:rFonts w:hint="eastAsia" w:ascii="微软雅黑" w:hAnsi="微软雅黑" w:eastAsia="微软雅黑" w:cs="微软雅黑"/>
          <w:color w:val="auto"/>
          <w:sz w:val="22"/>
          <w:szCs w:val="22"/>
          <w:highlight w:val="none"/>
        </w:rPr>
        <w:t>10.2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上款所述的证明文件，可以是文字资料、图纸和数据，</w:t>
      </w:r>
      <w:bookmarkEnd w:id="98"/>
      <w:r>
        <w:rPr>
          <w:rFonts w:hint="eastAsia" w:ascii="微软雅黑" w:hAnsi="微软雅黑" w:eastAsia="微软雅黑" w:cs="微软雅黑"/>
          <w:color w:val="auto"/>
          <w:sz w:val="22"/>
          <w:szCs w:val="22"/>
          <w:highlight w:val="none"/>
        </w:rPr>
        <w:t>包括</w:t>
      </w:r>
      <w:r>
        <w:rPr>
          <w:rFonts w:hint="eastAsia" w:ascii="微软雅黑" w:hAnsi="微软雅黑" w:eastAsia="微软雅黑" w:cs="微软雅黑"/>
          <w:color w:val="auto"/>
          <w:sz w:val="22"/>
          <w:szCs w:val="22"/>
          <w:highlight w:val="none"/>
          <w:lang w:val="en-US" w:eastAsia="zh-CN"/>
        </w:rPr>
        <w:t>其他</w:t>
      </w:r>
      <w:r>
        <w:rPr>
          <w:rFonts w:hint="eastAsia" w:ascii="微软雅黑" w:hAnsi="微软雅黑" w:eastAsia="微软雅黑" w:cs="微软雅黑"/>
          <w:color w:val="auto"/>
          <w:sz w:val="22"/>
          <w:szCs w:val="22"/>
          <w:highlight w:val="none"/>
          <w:lang w:eastAsia="zh-CN"/>
        </w:rPr>
        <w:t>。</w:t>
      </w:r>
    </w:p>
    <w:p w14:paraId="33CFFB2A">
      <w:pPr>
        <w:spacing w:line="440" w:lineRule="exact"/>
        <w:ind w:left="825" w:hanging="825" w:hangingChars="375"/>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10.2.1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货物主要技术指标和性能的详细说明</w:t>
      </w:r>
      <w:r>
        <w:rPr>
          <w:rFonts w:hint="eastAsia" w:ascii="微软雅黑" w:hAnsi="微软雅黑" w:eastAsia="微软雅黑" w:cs="微软雅黑"/>
          <w:color w:val="auto"/>
          <w:sz w:val="22"/>
          <w:szCs w:val="22"/>
          <w:highlight w:val="none"/>
          <w:lang w:eastAsia="zh-CN"/>
        </w:rPr>
        <w:t>。</w:t>
      </w:r>
    </w:p>
    <w:p w14:paraId="663EA6ED">
      <w:pPr>
        <w:spacing w:line="440" w:lineRule="exact"/>
        <w:ind w:left="825" w:hanging="825" w:hangingChars="375"/>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10.2.2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货物从买方开始使用至招标文件规定的保质期内正常、连续地使用所必需的备件和专用工具清单，包括备件和专用工具的货源及现行价格</w:t>
      </w:r>
      <w:r>
        <w:rPr>
          <w:rFonts w:hint="eastAsia" w:ascii="微软雅黑" w:hAnsi="微软雅黑" w:eastAsia="微软雅黑" w:cs="微软雅黑"/>
          <w:color w:val="auto"/>
          <w:sz w:val="22"/>
          <w:szCs w:val="22"/>
          <w:highlight w:val="none"/>
          <w:lang w:eastAsia="zh-CN"/>
        </w:rPr>
        <w:t>。</w:t>
      </w:r>
    </w:p>
    <w:p w14:paraId="0165AF29">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对照招标文件技术规格，逐条说明所提供货物及伴随的工程和服务已对招标文件的技术规格做出了实质性的响应，或申明与技术规格条文的偏差和例外。</w:t>
      </w:r>
    </w:p>
    <w:p w14:paraId="3670D68D">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14:paraId="15214A0E">
      <w:pPr>
        <w:pStyle w:val="6"/>
        <w:spacing w:before="0" w:after="0" w:line="440" w:lineRule="exact"/>
        <w:rPr>
          <w:rFonts w:ascii="微软雅黑" w:hAnsi="微软雅黑" w:eastAsia="微软雅黑" w:cs="微软雅黑"/>
          <w:color w:val="auto"/>
          <w:sz w:val="22"/>
          <w:szCs w:val="22"/>
          <w:highlight w:val="none"/>
          <w:u w:val="none"/>
        </w:rPr>
      </w:pPr>
      <w:bookmarkStart w:id="99" w:name="_Toc23231"/>
      <w:bookmarkStart w:id="100" w:name="_Toc2248"/>
      <w:bookmarkStart w:id="101" w:name="_Toc28654"/>
      <w:bookmarkStart w:id="102" w:name="_Toc515647770"/>
      <w:bookmarkStart w:id="103" w:name="_Toc520356155"/>
      <w:r>
        <w:rPr>
          <w:rFonts w:hint="eastAsia" w:ascii="微软雅黑" w:hAnsi="微软雅黑" w:eastAsia="微软雅黑" w:cs="微软雅黑"/>
          <w:color w:val="auto"/>
          <w:sz w:val="22"/>
          <w:szCs w:val="22"/>
          <w:highlight w:val="none"/>
          <w:u w:val="none"/>
        </w:rPr>
        <w:t>11.投标报价</w:t>
      </w:r>
      <w:bookmarkEnd w:id="99"/>
      <w:bookmarkEnd w:id="100"/>
      <w:bookmarkEnd w:id="101"/>
      <w:bookmarkEnd w:id="102"/>
      <w:bookmarkEnd w:id="103"/>
    </w:p>
    <w:p w14:paraId="5711FE2D">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所有投标均以人民币报价。供应商的投标报价应遵守《中华人民共和国价格法》。同时，根据《中华人民共和国政府采购法》第二条的规定，为保证公平竞争，如有货物主体部分的赠与行为，其投标将被认定为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F41DA59">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供应商应在投标分项报价表上标明投标货物及相关服务的单价（如适用）和总价，并由法定代表人或其授权代表签署。</w:t>
      </w:r>
    </w:p>
    <w:p w14:paraId="53F7B654">
      <w:pPr>
        <w:spacing w:line="440" w:lineRule="exact"/>
        <w:ind w:left="825" w:hanging="825" w:hangingChars="375"/>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11.3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投标分项报价表上的价格应按下列方式填写</w:t>
      </w:r>
      <w:r>
        <w:rPr>
          <w:rFonts w:hint="eastAsia" w:ascii="微软雅黑" w:hAnsi="微软雅黑" w:eastAsia="微软雅黑" w:cs="微软雅黑"/>
          <w:color w:val="auto"/>
          <w:sz w:val="22"/>
          <w:szCs w:val="22"/>
          <w:highlight w:val="none"/>
          <w:lang w:eastAsia="zh-CN"/>
        </w:rPr>
        <w:t>。</w:t>
      </w:r>
    </w:p>
    <w:p w14:paraId="7BAC93EF">
      <w:pPr>
        <w:spacing w:line="440" w:lineRule="exact"/>
        <w:ind w:left="825" w:hanging="825" w:hangingChars="375"/>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11.3.1  投标货物（包括备品备件、专用工具等）的出厂价（包括已在中国国内的进口货物完税后的仓库交货价、展室交货价或货架交货价），投标货物安装、调试、检验、技术服务和培训等费用</w:t>
      </w:r>
      <w:r>
        <w:rPr>
          <w:rFonts w:hint="eastAsia" w:ascii="微软雅黑" w:hAnsi="微软雅黑" w:eastAsia="微软雅黑" w:cs="微软雅黑"/>
          <w:color w:val="auto"/>
          <w:sz w:val="22"/>
          <w:szCs w:val="22"/>
          <w:highlight w:val="none"/>
          <w:lang w:eastAsia="zh-CN"/>
        </w:rPr>
        <w:t>。</w:t>
      </w:r>
    </w:p>
    <w:p w14:paraId="536EB2D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11.3.2  货物运至最终目的地的运输费和保险费用。</w:t>
      </w:r>
    </w:p>
    <w:p w14:paraId="62BD86C6">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5A05B5E4">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11.5</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每种货物只能有一个投标报价。采购人不接受具有附加条件的报价。</w:t>
      </w:r>
    </w:p>
    <w:p w14:paraId="418F7695">
      <w:pPr>
        <w:pStyle w:val="6"/>
        <w:spacing w:before="0" w:after="0" w:line="440" w:lineRule="exact"/>
        <w:rPr>
          <w:rFonts w:ascii="微软雅黑" w:hAnsi="微软雅黑" w:eastAsia="微软雅黑" w:cs="微软雅黑"/>
          <w:color w:val="auto"/>
          <w:sz w:val="22"/>
          <w:szCs w:val="22"/>
          <w:highlight w:val="none"/>
          <w:u w:val="none"/>
        </w:rPr>
      </w:pPr>
      <w:bookmarkStart w:id="104" w:name="_Toc11514"/>
      <w:bookmarkStart w:id="105" w:name="_Toc23985"/>
      <w:bookmarkStart w:id="106" w:name="_Ref467306513"/>
      <w:bookmarkStart w:id="107" w:name="_Toc520356156"/>
      <w:bookmarkStart w:id="108" w:name="_Toc17788"/>
      <w:bookmarkStart w:id="109" w:name="_Toc515647771"/>
      <w:r>
        <w:rPr>
          <w:rFonts w:hint="eastAsia" w:ascii="微软雅黑" w:hAnsi="微软雅黑" w:eastAsia="微软雅黑" w:cs="微软雅黑"/>
          <w:color w:val="auto"/>
          <w:sz w:val="22"/>
          <w:szCs w:val="22"/>
          <w:highlight w:val="none"/>
          <w:u w:val="none"/>
        </w:rPr>
        <w:t>12.投标保证金</w:t>
      </w:r>
      <w:bookmarkEnd w:id="104"/>
      <w:bookmarkEnd w:id="105"/>
      <w:bookmarkEnd w:id="106"/>
      <w:bookmarkEnd w:id="107"/>
      <w:bookmarkEnd w:id="108"/>
      <w:bookmarkEnd w:id="109"/>
    </w:p>
    <w:p w14:paraId="3AA2518A">
      <w:pPr>
        <w:spacing w:line="440" w:lineRule="exact"/>
        <w:ind w:left="825" w:hanging="825" w:hangingChars="375"/>
        <w:rPr>
          <w:rFonts w:ascii="微软雅黑" w:hAnsi="微软雅黑" w:eastAsia="微软雅黑" w:cs="微软雅黑"/>
          <w:color w:val="auto"/>
          <w:sz w:val="22"/>
          <w:szCs w:val="22"/>
          <w:highlight w:val="none"/>
        </w:rPr>
      </w:pPr>
      <w:bookmarkStart w:id="110" w:name="_Ref467306302"/>
      <w:r>
        <w:rPr>
          <w:rFonts w:hint="eastAsia" w:ascii="微软雅黑" w:hAnsi="微软雅黑" w:eastAsia="微软雅黑" w:cs="微软雅黑"/>
          <w:color w:val="auto"/>
          <w:sz w:val="22"/>
          <w:szCs w:val="22"/>
          <w:highlight w:val="none"/>
        </w:rPr>
        <w:t>12.1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供应商应提交</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中规定的投标保证金</w:t>
      </w:r>
      <w:bookmarkEnd w:id="110"/>
      <w:r>
        <w:rPr>
          <w:rFonts w:hint="eastAsia" w:ascii="微软雅黑" w:hAnsi="微软雅黑" w:eastAsia="微软雅黑" w:cs="微软雅黑"/>
          <w:color w:val="auto"/>
          <w:sz w:val="22"/>
          <w:szCs w:val="22"/>
          <w:highlight w:val="none"/>
        </w:rPr>
        <w:t>，并作为其投标的一部分。</w:t>
      </w:r>
    </w:p>
    <w:p w14:paraId="7D0A6A85">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供应商存在下列情形的，投标保证金不予退还：</w:t>
      </w:r>
    </w:p>
    <w:p w14:paraId="630A39BA">
      <w:pPr>
        <w:pStyle w:val="15"/>
        <w:tabs>
          <w:tab w:val="left" w:pos="2240"/>
        </w:tabs>
        <w:spacing w:line="440" w:lineRule="exact"/>
        <w:ind w:left="1054" w:leftChars="371" w:hanging="275" w:hangingChars="1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（1）在投标有效期内，撤销投标的；</w:t>
      </w:r>
    </w:p>
    <w:p w14:paraId="07D95004">
      <w:pPr>
        <w:pStyle w:val="15"/>
        <w:tabs>
          <w:tab w:val="left" w:pos="2240"/>
        </w:tabs>
        <w:spacing w:line="440" w:lineRule="exact"/>
        <w:ind w:left="1054" w:leftChars="371" w:hanging="275" w:hangingChars="1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（2）中标后不按本须知第30条的规定与采购人签订合同的；</w:t>
      </w:r>
    </w:p>
    <w:p w14:paraId="11FB1D5C">
      <w:pPr>
        <w:pStyle w:val="15"/>
        <w:tabs>
          <w:tab w:val="left" w:pos="2240"/>
        </w:tabs>
        <w:spacing w:line="440" w:lineRule="exact"/>
        <w:ind w:left="1054" w:leftChars="371" w:hanging="275" w:hangingChars="1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（3）中标后不按本须知第31条的规定提交履约保证金的；</w:t>
      </w:r>
    </w:p>
    <w:p w14:paraId="1BA598AB">
      <w:pPr>
        <w:pStyle w:val="15"/>
        <w:tabs>
          <w:tab w:val="left" w:pos="2240"/>
        </w:tabs>
        <w:spacing w:line="440" w:lineRule="exact"/>
        <w:ind w:left="1054" w:leftChars="371" w:hanging="275" w:hangingChars="1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（4）中标后不按本须知第32条的规定缴纳中标服务费的；</w:t>
      </w:r>
    </w:p>
    <w:p w14:paraId="04685694">
      <w:pPr>
        <w:pStyle w:val="15"/>
        <w:tabs>
          <w:tab w:val="left" w:pos="2240"/>
        </w:tabs>
        <w:spacing w:line="440" w:lineRule="exact"/>
        <w:ind w:left="1054" w:leftChars="371" w:hanging="275" w:hangingChars="1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（5）存在其他违法违规行为的。</w:t>
      </w:r>
    </w:p>
    <w:p w14:paraId="0F23B1DB">
      <w:pPr>
        <w:spacing w:line="440" w:lineRule="exact"/>
        <w:ind w:left="825" w:hanging="825" w:hangingChars="375"/>
        <w:rPr>
          <w:rFonts w:ascii="微软雅黑" w:hAnsi="微软雅黑" w:eastAsia="微软雅黑" w:cs="微软雅黑"/>
          <w:color w:val="auto"/>
          <w:sz w:val="22"/>
          <w:szCs w:val="22"/>
          <w:highlight w:val="none"/>
        </w:rPr>
      </w:pPr>
      <w:bookmarkStart w:id="111" w:name="_Ref467306336"/>
      <w:r>
        <w:rPr>
          <w:rFonts w:hint="eastAsia" w:ascii="微软雅黑" w:hAnsi="微软雅黑" w:eastAsia="微软雅黑" w:cs="微软雅黑"/>
          <w:color w:val="auto"/>
          <w:sz w:val="22"/>
          <w:szCs w:val="22"/>
          <w:highlight w:val="none"/>
        </w:rPr>
        <w:t>12.3</w:t>
      </w:r>
      <w:r>
        <w:rPr>
          <w:rFonts w:hint="eastAsia" w:ascii="微软雅黑" w:hAnsi="微软雅黑" w:eastAsia="微软雅黑" w:cs="微软雅黑"/>
          <w:color w:val="auto"/>
          <w:sz w:val="22"/>
          <w:szCs w:val="22"/>
          <w:highlight w:val="none"/>
        </w:rPr>
        <w:tab/>
      </w:r>
      <w:bookmarkEnd w:id="111"/>
      <w:r>
        <w:rPr>
          <w:rFonts w:hint="eastAsia" w:ascii="微软雅黑" w:hAnsi="微软雅黑" w:eastAsia="微软雅黑" w:cs="微软雅黑"/>
          <w:color w:val="auto"/>
          <w:sz w:val="22"/>
          <w:szCs w:val="22"/>
          <w:highlight w:val="none"/>
        </w:rPr>
        <w:t>政府采购信用担保试点范围内的项目，接受符合财政部门规定的政府采购投标担保函原件。</w:t>
      </w:r>
    </w:p>
    <w:p w14:paraId="35751762">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供应商未按本须知第12.1和12.3条规定提交投标保证金的，其投标将被认定为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54CECC49">
      <w:pPr>
        <w:spacing w:line="440" w:lineRule="exac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12.4.1  采用电汇形式的，一般可以实时入账。</w:t>
      </w:r>
    </w:p>
    <w:p w14:paraId="366A919C">
      <w:pPr>
        <w:spacing w:line="440" w:lineRule="exact"/>
        <w:ind w:left="880" w:hanging="880" w:hangingChars="400"/>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22.2条相关规定处理。</w:t>
      </w:r>
    </w:p>
    <w:p w14:paraId="20D2618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12.5   联合体投标的，可以由联合体中的一方或者共同提交投标保证金。以一方名义提交投标保证金的，对联合体各方均具有约束力。</w:t>
      </w:r>
    </w:p>
    <w:p w14:paraId="191B7D06">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投标保证金的退还</w:t>
      </w:r>
    </w:p>
    <w:p w14:paraId="14AA08CD">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12.6.1  中标人应在与采购人签订合同之日起5个工作日内，及时联系保证金收受机构办理投标保证金无息退还手续。</w:t>
      </w:r>
    </w:p>
    <w:p w14:paraId="1C52CD14">
      <w:pPr>
        <w:spacing w:line="440" w:lineRule="exact"/>
        <w:ind w:left="880" w:hanging="880" w:hangingChars="4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12.6.2  未中标供应商的投标保证金将在中标通知书发出之日暨中标结果公告公布之日起5个工作日内无息退还。供应商应及时联系保证金收受机构办理退还投标保证金手续。</w:t>
      </w:r>
    </w:p>
    <w:p w14:paraId="0AECE41E">
      <w:pPr>
        <w:spacing w:line="440" w:lineRule="exac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12.6.3  政府采购投标担保函不予退回。</w:t>
      </w:r>
    </w:p>
    <w:p w14:paraId="6CC258C2">
      <w:pPr>
        <w:spacing w:line="440" w:lineRule="exact"/>
        <w:ind w:left="880" w:hanging="880" w:hangingChars="4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12.7    因供应商自身原因导致无法及时退还的，采购人或采购代理机构将不承担相应责任。</w:t>
      </w:r>
    </w:p>
    <w:p w14:paraId="7507C8A6">
      <w:pPr>
        <w:pStyle w:val="6"/>
        <w:spacing w:before="0" w:after="0" w:line="440" w:lineRule="exact"/>
        <w:rPr>
          <w:rFonts w:ascii="微软雅黑" w:hAnsi="微软雅黑" w:eastAsia="微软雅黑" w:cs="微软雅黑"/>
          <w:color w:val="auto"/>
          <w:sz w:val="22"/>
          <w:szCs w:val="22"/>
          <w:highlight w:val="none"/>
          <w:u w:val="none"/>
        </w:rPr>
      </w:pPr>
      <w:bookmarkStart w:id="112" w:name="_Toc515647772"/>
      <w:bookmarkStart w:id="113" w:name="_Toc520356157"/>
      <w:bookmarkStart w:id="114" w:name="_Toc23590"/>
      <w:bookmarkStart w:id="115" w:name="_Toc26580"/>
      <w:bookmarkStart w:id="116" w:name="_Toc32569"/>
      <w:r>
        <w:rPr>
          <w:rFonts w:hint="eastAsia" w:ascii="微软雅黑" w:hAnsi="微软雅黑" w:eastAsia="微软雅黑" w:cs="微软雅黑"/>
          <w:color w:val="auto"/>
          <w:sz w:val="22"/>
          <w:szCs w:val="22"/>
          <w:highlight w:val="none"/>
          <w:u w:val="none"/>
        </w:rPr>
        <w:t>13.投标有效期</w:t>
      </w:r>
      <w:bookmarkEnd w:id="112"/>
      <w:bookmarkEnd w:id="113"/>
      <w:bookmarkEnd w:id="114"/>
      <w:bookmarkEnd w:id="115"/>
      <w:bookmarkEnd w:id="116"/>
    </w:p>
    <w:p w14:paraId="1E159F82">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投标应在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中规定时间内保持有效。投标有效期不满足要求的投标，其投标将被认定为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90E1275">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14:paraId="0BC2A8EF">
      <w:pPr>
        <w:pStyle w:val="6"/>
        <w:spacing w:before="0" w:after="0" w:line="440" w:lineRule="exact"/>
        <w:rPr>
          <w:rFonts w:ascii="微软雅黑" w:hAnsi="微软雅黑" w:eastAsia="微软雅黑" w:cs="微软雅黑"/>
          <w:color w:val="auto"/>
          <w:sz w:val="22"/>
          <w:szCs w:val="22"/>
          <w:highlight w:val="none"/>
          <w:u w:val="none"/>
        </w:rPr>
      </w:pPr>
      <w:bookmarkStart w:id="117" w:name="_Toc520356158"/>
      <w:bookmarkStart w:id="118" w:name="_Toc493"/>
      <w:bookmarkStart w:id="119" w:name="_Toc515647773"/>
      <w:bookmarkStart w:id="120" w:name="_Toc20503"/>
      <w:bookmarkStart w:id="121" w:name="_Toc17074"/>
      <w:r>
        <w:rPr>
          <w:rFonts w:hint="eastAsia" w:ascii="微软雅黑" w:hAnsi="微软雅黑" w:eastAsia="微软雅黑" w:cs="微软雅黑"/>
          <w:color w:val="auto"/>
          <w:sz w:val="22"/>
          <w:szCs w:val="22"/>
          <w:highlight w:val="none"/>
          <w:u w:val="none"/>
        </w:rPr>
        <w:t>14.投标文件的签署</w:t>
      </w:r>
      <w:bookmarkEnd w:id="117"/>
      <w:r>
        <w:rPr>
          <w:rFonts w:hint="eastAsia" w:ascii="微软雅黑" w:hAnsi="微软雅黑" w:eastAsia="微软雅黑" w:cs="微软雅黑"/>
          <w:color w:val="auto"/>
          <w:sz w:val="22"/>
          <w:szCs w:val="22"/>
          <w:highlight w:val="none"/>
          <w:u w:val="none"/>
        </w:rPr>
        <w:t>及规定</w:t>
      </w:r>
      <w:bookmarkEnd w:id="118"/>
      <w:bookmarkEnd w:id="119"/>
      <w:bookmarkEnd w:id="120"/>
      <w:bookmarkEnd w:id="121"/>
      <w:r>
        <w:rPr>
          <w:rFonts w:hint="eastAsia" w:ascii="微软雅黑" w:hAnsi="微软雅黑" w:eastAsia="微软雅黑" w:cs="微软雅黑"/>
          <w:color w:val="auto"/>
          <w:sz w:val="22"/>
          <w:szCs w:val="22"/>
          <w:highlight w:val="none"/>
          <w:u w:val="none"/>
        </w:rPr>
        <w:t>（全面电子开评标）</w:t>
      </w:r>
    </w:p>
    <w:p w14:paraId="04EECA1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供应商应按供应商须知资料表中的规定，准备和上传投标文件。</w:t>
      </w:r>
    </w:p>
    <w:p w14:paraId="43FC3A76">
      <w:pPr>
        <w:pStyle w:val="4"/>
        <w:spacing w:line="440" w:lineRule="exact"/>
        <w:rPr>
          <w:rFonts w:ascii="微软雅黑" w:hAnsi="微软雅黑" w:eastAsia="微软雅黑" w:cs="微软雅黑"/>
          <w:color w:val="auto"/>
          <w:sz w:val="22"/>
          <w:szCs w:val="22"/>
          <w:highlight w:val="none"/>
        </w:rPr>
      </w:pPr>
    </w:p>
    <w:p w14:paraId="6B46E59C">
      <w:pPr>
        <w:pStyle w:val="3"/>
        <w:spacing w:before="0" w:line="440" w:lineRule="exact"/>
        <w:ind w:left="1080" w:leftChars="257" w:hanging="540"/>
        <w:rPr>
          <w:rFonts w:ascii="微软雅黑" w:hAnsi="微软雅黑" w:eastAsia="微软雅黑" w:cs="微软雅黑"/>
          <w:b/>
          <w:bCs/>
          <w:color w:val="auto"/>
          <w:sz w:val="28"/>
          <w:szCs w:val="28"/>
          <w:highlight w:val="none"/>
        </w:rPr>
      </w:pPr>
      <w:bookmarkStart w:id="122" w:name="_Toc17149"/>
      <w:bookmarkStart w:id="123" w:name="_Toc30799"/>
      <w:bookmarkStart w:id="124" w:name="_Toc22317"/>
      <w:bookmarkStart w:id="125" w:name="_Toc27966"/>
      <w:bookmarkStart w:id="126" w:name="_Toc16504"/>
      <w:r>
        <w:rPr>
          <w:rFonts w:hint="eastAsia" w:ascii="微软雅黑" w:hAnsi="微软雅黑" w:eastAsia="微软雅黑" w:cs="微软雅黑"/>
          <w:b/>
          <w:bCs/>
          <w:color w:val="auto"/>
          <w:sz w:val="28"/>
          <w:szCs w:val="28"/>
          <w:highlight w:val="none"/>
        </w:rPr>
        <w:t>四</w:t>
      </w:r>
      <w:r>
        <w:rPr>
          <w:rFonts w:hint="eastAsia" w:ascii="微软雅黑" w:hAnsi="微软雅黑" w:eastAsia="微软雅黑" w:cs="微软雅黑"/>
          <w:b/>
          <w:bCs/>
          <w:color w:val="auto"/>
          <w:sz w:val="28"/>
          <w:szCs w:val="28"/>
          <w:highlight w:val="none"/>
          <w:lang w:val="en-US" w:eastAsia="zh-CN"/>
        </w:rPr>
        <w:t xml:space="preserve">   </w:t>
      </w:r>
      <w:r>
        <w:rPr>
          <w:rFonts w:hint="eastAsia" w:ascii="微软雅黑" w:hAnsi="微软雅黑" w:eastAsia="微软雅黑" w:cs="微软雅黑"/>
          <w:b/>
          <w:bCs/>
          <w:color w:val="auto"/>
          <w:sz w:val="28"/>
          <w:szCs w:val="28"/>
          <w:highlight w:val="none"/>
        </w:rPr>
        <w:t>投标文件的递交</w:t>
      </w:r>
      <w:bookmarkEnd w:id="122"/>
      <w:bookmarkEnd w:id="123"/>
      <w:bookmarkEnd w:id="124"/>
      <w:bookmarkEnd w:id="125"/>
      <w:bookmarkEnd w:id="126"/>
    </w:p>
    <w:p w14:paraId="74458E01">
      <w:pPr>
        <w:pStyle w:val="6"/>
        <w:spacing w:before="0" w:after="0" w:line="440" w:lineRule="exact"/>
        <w:rPr>
          <w:rFonts w:ascii="微软雅黑" w:hAnsi="微软雅黑" w:eastAsia="微软雅黑" w:cs="微软雅黑"/>
          <w:color w:val="auto"/>
          <w:sz w:val="22"/>
          <w:szCs w:val="22"/>
          <w:highlight w:val="none"/>
          <w:u w:val="none"/>
        </w:rPr>
      </w:pPr>
      <w:bookmarkStart w:id="127" w:name="_Toc21645"/>
      <w:bookmarkStart w:id="128" w:name="_Toc520356160"/>
      <w:bookmarkStart w:id="129" w:name="_Toc32337"/>
      <w:bookmarkStart w:id="130" w:name="_Toc31822"/>
      <w:bookmarkStart w:id="131" w:name="_Toc515647775"/>
      <w:bookmarkStart w:id="132" w:name="_Toc25849_WPSOffice_Level2"/>
      <w:bookmarkStart w:id="133" w:name="_Toc28066_WPSOffice_Level2"/>
      <w:r>
        <w:rPr>
          <w:rFonts w:hint="eastAsia" w:ascii="微软雅黑" w:hAnsi="微软雅黑" w:eastAsia="微软雅黑" w:cs="微软雅黑"/>
          <w:color w:val="auto"/>
          <w:sz w:val="22"/>
          <w:szCs w:val="22"/>
          <w:highlight w:val="none"/>
          <w:u w:val="none"/>
        </w:rPr>
        <w:t>15.投标文件的密封和标记</w:t>
      </w:r>
      <w:bookmarkEnd w:id="127"/>
      <w:bookmarkEnd w:id="128"/>
      <w:bookmarkEnd w:id="129"/>
      <w:bookmarkEnd w:id="130"/>
      <w:bookmarkEnd w:id="131"/>
      <w:bookmarkEnd w:id="132"/>
      <w:bookmarkEnd w:id="133"/>
    </w:p>
    <w:p w14:paraId="1D102AA2">
      <w:pPr>
        <w:spacing w:line="440" w:lineRule="exact"/>
        <w:ind w:left="825" w:hanging="825" w:hangingChars="375"/>
        <w:rPr>
          <w:rFonts w:ascii="微软雅黑" w:hAnsi="微软雅黑" w:eastAsia="微软雅黑" w:cs="微软雅黑"/>
          <w:b/>
          <w:bCs/>
          <w:color w:val="auto"/>
          <w:sz w:val="22"/>
          <w:szCs w:val="22"/>
          <w:highlight w:val="none"/>
          <w:u w:val="single"/>
        </w:rPr>
      </w:pPr>
      <w:r>
        <w:rPr>
          <w:rFonts w:hint="eastAsia" w:ascii="微软雅黑" w:hAnsi="微软雅黑" w:eastAsia="微软雅黑" w:cs="微软雅黑"/>
          <w:color w:val="auto"/>
          <w:sz w:val="22"/>
          <w:szCs w:val="22"/>
          <w:highlight w:val="none"/>
        </w:rPr>
        <w:t xml:space="preserve">15.1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b/>
          <w:bCs/>
          <w:color w:val="auto"/>
          <w:sz w:val="22"/>
          <w:szCs w:val="22"/>
          <w:highlight w:val="none"/>
          <w:u w:val="single"/>
        </w:rPr>
        <w:t>为方便评审及进行资格审查，供应商应完整地按招标文件提供的投标文件格式及要求编写投标文件， 供应商须在投标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p>
    <w:p w14:paraId="5EAAD9FA">
      <w:pPr>
        <w:pStyle w:val="23"/>
        <w:rPr>
          <w:rFonts w:ascii="微软雅黑" w:hAnsi="微软雅黑" w:eastAsia="微软雅黑" w:cs="微软雅黑"/>
          <w:color w:val="auto"/>
          <w:sz w:val="22"/>
          <w:szCs w:val="22"/>
          <w:highlight w:val="none"/>
        </w:rPr>
      </w:pPr>
      <w:bookmarkStart w:id="134" w:name="_Toc28106"/>
      <w:r>
        <w:rPr>
          <w:rFonts w:hint="eastAsia" w:ascii="微软雅黑" w:hAnsi="微软雅黑" w:eastAsia="微软雅黑" w:cs="微软雅黑"/>
          <w:color w:val="auto"/>
          <w:sz w:val="22"/>
          <w:szCs w:val="22"/>
          <w:highlight w:val="none"/>
        </w:rPr>
        <w:t xml:space="preserve">15.2 </w:t>
      </w:r>
      <w:bookmarkEnd w:id="134"/>
      <w:r>
        <w:rPr>
          <w:rFonts w:hint="eastAsia" w:ascii="微软雅黑" w:hAnsi="微软雅黑" w:eastAsia="微软雅黑" w:cs="微软雅黑"/>
          <w:color w:val="auto"/>
          <w:sz w:val="22"/>
          <w:szCs w:val="22"/>
          <w:highlight w:val="none"/>
        </w:rPr>
        <w:t xml:space="preserve">  供应商因自身原因导致电子投标文件无法导入电子评标系统的，该响应文件视为无效文件。</w:t>
      </w:r>
    </w:p>
    <w:p w14:paraId="1EBD9BC6">
      <w:pPr>
        <w:pStyle w:val="23"/>
        <w:ind w:left="660" w:hanging="660" w:hangingChars="300"/>
        <w:rPr>
          <w:color w:val="auto"/>
          <w:highlight w:val="none"/>
        </w:rPr>
      </w:pPr>
      <w:r>
        <w:rPr>
          <w:rFonts w:hint="eastAsia" w:ascii="微软雅黑" w:hAnsi="微软雅黑" w:eastAsia="微软雅黑" w:cs="微软雅黑"/>
          <w:color w:val="auto"/>
          <w:sz w:val="22"/>
          <w:szCs w:val="22"/>
          <w:highlight w:val="none"/>
        </w:rPr>
        <w:t>15.3   电子投标文件具有法律效力</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与其他形式的响应文件在内容和格式上等同，若投标文件与招标文件要求不一致，其内容影响成交结果时，责任由供应商自行承担。</w:t>
      </w:r>
    </w:p>
    <w:p w14:paraId="5E81FF9E">
      <w:pPr>
        <w:pStyle w:val="6"/>
        <w:spacing w:before="0" w:after="0" w:line="440" w:lineRule="exact"/>
        <w:rPr>
          <w:rFonts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16.投标截止</w:t>
      </w:r>
    </w:p>
    <w:p w14:paraId="517F488F">
      <w:pPr>
        <w:spacing w:line="440" w:lineRule="exact"/>
        <w:ind w:left="770" w:hanging="770" w:hangingChars="350"/>
        <w:rPr>
          <w:rFonts w:ascii="微软雅黑" w:hAnsi="微软雅黑" w:eastAsia="微软雅黑" w:cs="微软雅黑"/>
          <w:color w:val="auto"/>
          <w:sz w:val="22"/>
          <w:szCs w:val="22"/>
          <w:highlight w:val="none"/>
        </w:rPr>
      </w:pPr>
      <w:bookmarkStart w:id="135" w:name="_Toc24275"/>
      <w:bookmarkStart w:id="136" w:name="_Toc32303"/>
      <w:bookmarkStart w:id="137" w:name="_Toc515647777"/>
      <w:bookmarkStart w:id="138" w:name="_Toc18537"/>
      <w:bookmarkStart w:id="139" w:name="_Toc520356162"/>
      <w:r>
        <w:rPr>
          <w:rFonts w:hint="eastAsia" w:ascii="微软雅黑" w:hAnsi="微软雅黑" w:eastAsia="微软雅黑" w:cs="微软雅黑"/>
          <w:color w:val="auto"/>
          <w:sz w:val="22"/>
          <w:szCs w:val="22"/>
          <w:highlight w:val="none"/>
        </w:rPr>
        <w:t>16.1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供应商应在供应商须知资料表中规定的投标截止时间前，将投标文件上传到公开招标公告中规定的地点。</w:t>
      </w:r>
      <w:r>
        <w:rPr>
          <w:rFonts w:hint="eastAsia" w:ascii="微软雅黑" w:hAnsi="微软雅黑" w:eastAsia="微软雅黑" w:cs="微软雅黑"/>
          <w:b/>
          <w:bCs/>
          <w:color w:val="auto"/>
          <w:sz w:val="22"/>
          <w:szCs w:val="22"/>
          <w:highlight w:val="none"/>
        </w:rPr>
        <w:t>解密时间30分钟，逾期未解密的视为投标无效。</w:t>
      </w:r>
    </w:p>
    <w:p w14:paraId="6CDC1491">
      <w:pPr>
        <w:spacing w:line="440" w:lineRule="exact"/>
        <w:ind w:left="770" w:hanging="770" w:hangingChars="35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采购人和采购代理机构有权按本须知的规定，延迟投标截止时间。在此情况下，采购人、采购代理机构和供应商受投标截止时间制约的所有权利和义务均应延长至新的截止时间。</w:t>
      </w:r>
    </w:p>
    <w:p w14:paraId="4B4D27A3">
      <w:pPr>
        <w:spacing w:line="440" w:lineRule="exact"/>
        <w:ind w:left="770" w:hanging="770" w:hangingChars="35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采购人和采购代理机构将拒绝接收在投标截止时间后上传的投标文件。</w:t>
      </w:r>
    </w:p>
    <w:p w14:paraId="3B78409A">
      <w:pPr>
        <w:pStyle w:val="6"/>
        <w:spacing w:before="0" w:after="0" w:line="440" w:lineRule="exact"/>
        <w:rPr>
          <w:rFonts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17.投标文件的接收、修改与撤回</w:t>
      </w:r>
      <w:bookmarkEnd w:id="135"/>
      <w:bookmarkEnd w:id="136"/>
      <w:bookmarkEnd w:id="137"/>
      <w:bookmarkEnd w:id="138"/>
      <w:bookmarkEnd w:id="139"/>
    </w:p>
    <w:p w14:paraId="54A3520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17.1   在投标截止时间后上传投标文件的，采购人和采购代理机构将拒绝接收。</w:t>
      </w:r>
    </w:p>
    <w:p w14:paraId="70CEA8C5">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上传投标文件以后，如果供应商要进行修改或撤回投标，供应商对投标文件的修改或撤回通知应按本须知规定编制、标记。采购人和采购代理机构将予以接收，并视为投标文件的组成部分</w:t>
      </w:r>
      <w:r>
        <w:rPr>
          <w:rFonts w:hint="eastAsia" w:ascii="微软雅黑" w:hAnsi="微软雅黑" w:eastAsia="微软雅黑" w:cs="微软雅黑"/>
          <w:color w:val="auto"/>
          <w:sz w:val="22"/>
          <w:szCs w:val="22"/>
          <w:highlight w:val="none"/>
          <w:lang w:eastAsia="zh-CN"/>
        </w:rPr>
        <w:t>。</w:t>
      </w:r>
    </w:p>
    <w:p w14:paraId="76731E3E">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在投标截止期之后，采购人和采购代理机构不接受</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主动对其投标文件做任何修改。</w:t>
      </w:r>
    </w:p>
    <w:p w14:paraId="65D3B2E0">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采购人和采购代理机构对所接收投标文件概不退回。</w:t>
      </w:r>
    </w:p>
    <w:p w14:paraId="0B6F20EE">
      <w:pPr>
        <w:spacing w:line="440" w:lineRule="exact"/>
        <w:ind w:left="770" w:hanging="770" w:hangingChars="350"/>
        <w:rPr>
          <w:rFonts w:hint="eastAsia" w:ascii="微软雅黑" w:hAnsi="微软雅黑" w:eastAsia="微软雅黑" w:cs="微软雅黑"/>
          <w:color w:val="auto"/>
          <w:sz w:val="22"/>
          <w:szCs w:val="22"/>
          <w:highlight w:val="none"/>
        </w:rPr>
      </w:pPr>
    </w:p>
    <w:p w14:paraId="31B14FB1">
      <w:pPr>
        <w:pStyle w:val="3"/>
        <w:spacing w:before="0" w:line="440" w:lineRule="exact"/>
        <w:ind w:left="1080" w:leftChars="257" w:hanging="540"/>
        <w:rPr>
          <w:rFonts w:ascii="微软雅黑" w:hAnsi="微软雅黑" w:eastAsia="微软雅黑" w:cs="微软雅黑"/>
          <w:color w:val="auto"/>
          <w:sz w:val="28"/>
          <w:szCs w:val="28"/>
          <w:highlight w:val="none"/>
        </w:rPr>
      </w:pPr>
      <w:bookmarkStart w:id="140" w:name="_Toc28398"/>
      <w:bookmarkStart w:id="141" w:name="_Toc515647778"/>
      <w:bookmarkStart w:id="142" w:name="_Toc28934"/>
      <w:bookmarkStart w:id="143" w:name="_Toc12436"/>
      <w:bookmarkStart w:id="144" w:name="_Toc216582809"/>
      <w:bookmarkStart w:id="145" w:name="_Toc24022"/>
      <w:bookmarkStart w:id="146" w:name="_Toc28397"/>
      <w:bookmarkStart w:id="147" w:name="_Toc520356163"/>
      <w:bookmarkStart w:id="148" w:name="_Toc28911"/>
      <w:bookmarkStart w:id="149" w:name="_Toc13579"/>
      <w:r>
        <w:rPr>
          <w:rFonts w:hint="eastAsia" w:ascii="微软雅黑" w:hAnsi="微软雅黑" w:eastAsia="微软雅黑" w:cs="微软雅黑"/>
          <w:b/>
          <w:bCs/>
          <w:color w:val="auto"/>
          <w:sz w:val="28"/>
          <w:szCs w:val="28"/>
          <w:highlight w:val="none"/>
        </w:rPr>
        <w:t>五</w:t>
      </w:r>
      <w:r>
        <w:rPr>
          <w:rFonts w:hint="eastAsia" w:ascii="微软雅黑" w:hAnsi="微软雅黑" w:eastAsia="微软雅黑" w:cs="微软雅黑"/>
          <w:b/>
          <w:bCs/>
          <w:color w:val="auto"/>
          <w:sz w:val="28"/>
          <w:szCs w:val="28"/>
          <w:highlight w:val="none"/>
          <w:lang w:val="en-US" w:eastAsia="zh-CN"/>
        </w:rPr>
        <w:t xml:space="preserve">    </w:t>
      </w:r>
      <w:r>
        <w:rPr>
          <w:rFonts w:hint="eastAsia" w:ascii="微软雅黑" w:hAnsi="微软雅黑" w:eastAsia="微软雅黑" w:cs="微软雅黑"/>
          <w:b/>
          <w:bCs/>
          <w:color w:val="auto"/>
          <w:sz w:val="28"/>
          <w:szCs w:val="28"/>
          <w:highlight w:val="none"/>
        </w:rPr>
        <w:t>开标及评标</w:t>
      </w:r>
      <w:bookmarkEnd w:id="140"/>
      <w:bookmarkEnd w:id="141"/>
      <w:bookmarkEnd w:id="142"/>
      <w:bookmarkEnd w:id="143"/>
      <w:bookmarkEnd w:id="144"/>
      <w:bookmarkEnd w:id="145"/>
      <w:bookmarkEnd w:id="146"/>
      <w:bookmarkEnd w:id="147"/>
      <w:bookmarkEnd w:id="148"/>
      <w:bookmarkEnd w:id="149"/>
      <w:bookmarkStart w:id="150" w:name="_Toc7186"/>
      <w:bookmarkStart w:id="151" w:name="_Toc520356164"/>
      <w:bookmarkStart w:id="152" w:name="_Toc515647779"/>
      <w:bookmarkStart w:id="153" w:name="_Toc25345"/>
      <w:bookmarkStart w:id="154" w:name="_Toc31842"/>
    </w:p>
    <w:p w14:paraId="2CC2D4D1">
      <w:pPr>
        <w:pStyle w:val="6"/>
        <w:spacing w:line="440" w:lineRule="exac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none"/>
        </w:rPr>
        <w:t>18.开标</w:t>
      </w:r>
      <w:bookmarkEnd w:id="150"/>
      <w:bookmarkEnd w:id="151"/>
      <w:bookmarkEnd w:id="152"/>
      <w:bookmarkEnd w:id="153"/>
      <w:bookmarkEnd w:id="154"/>
    </w:p>
    <w:p w14:paraId="7A025399">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18.1   供应商按照须知资料表中规定的开标时间和地点，在规定时间内上传投标文件。</w:t>
      </w:r>
    </w:p>
    <w:p w14:paraId="3A9939FF">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18.2   到投标截止时间，对供应商上传的投标文件进行解密，解密时长为30分钟。供应商须在规定时间内使用CA锁在政采云平台解密，解密失败或未在规定时间内解密，将无法参加下一阶段的投标，将被认定为无效投标。请供应商提前调试好CA锁，确定在操作时能正常使用。  </w:t>
      </w:r>
    </w:p>
    <w:p w14:paraId="2F428A47">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18.3   在开标记录时，代理机构开启签字时段，须供应商使用CA锁在政采云平台进行签字确认报价。</w:t>
      </w:r>
    </w:p>
    <w:p w14:paraId="2B0066DB">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18.4   采购人登录政采云平台对供应商的资格证明材料进行审查。</w:t>
      </w:r>
    </w:p>
    <w:p w14:paraId="43BA9286">
      <w:pPr>
        <w:pStyle w:val="6"/>
        <w:spacing w:before="0" w:after="0" w:line="440" w:lineRule="exact"/>
        <w:rPr>
          <w:rFonts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19.资格审查及组建评标委员会</w:t>
      </w:r>
      <w:bookmarkEnd w:id="18"/>
      <w:bookmarkEnd w:id="19"/>
      <w:bookmarkEnd w:id="20"/>
      <w:bookmarkEnd w:id="21"/>
    </w:p>
    <w:p w14:paraId="35C60297">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19.1    采购人或采购代理机构依据法律法规和招标文件中规定的内容，对供应商的资格进行审查，未通过资格审查的</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不进入评标；进入评标的</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不足3家的，不得评标。</w:t>
      </w:r>
    </w:p>
    <w:p w14:paraId="50CE2FAD">
      <w:pPr>
        <w:keepNext w:val="0"/>
        <w:keepLines w:val="0"/>
        <w:pageBreakBefore w:val="0"/>
        <w:widowControl w:val="0"/>
        <w:kinsoku/>
        <w:wordWrap/>
        <w:overflowPunct/>
        <w:topLinePunct w:val="0"/>
        <w:autoSpaceDE/>
        <w:autoSpaceDN/>
        <w:bidi w:val="0"/>
        <w:adjustRightInd/>
        <w:snapToGrid/>
        <w:spacing w:line="440" w:lineRule="exact"/>
        <w:ind w:left="874" w:leftChars="416" w:firstLine="55" w:firstLineChars="2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合格供应商资格要求</w:t>
      </w:r>
      <w:r>
        <w:rPr>
          <w:rFonts w:hint="eastAsia" w:ascii="微软雅黑" w:hAnsi="微软雅黑" w:eastAsia="微软雅黑" w:cs="微软雅黑"/>
          <w:color w:val="auto"/>
          <w:sz w:val="22"/>
          <w:szCs w:val="22"/>
          <w:highlight w:val="none"/>
        </w:rPr>
        <w:t>：</w:t>
      </w:r>
    </w:p>
    <w:p w14:paraId="5F086AA6">
      <w:pPr>
        <w:pStyle w:val="4"/>
        <w:keepNext w:val="0"/>
        <w:keepLines w:val="0"/>
        <w:pageBreakBefore w:val="0"/>
        <w:widowControl w:val="0"/>
        <w:numPr>
          <w:ilvl w:val="0"/>
          <w:numId w:val="0"/>
        </w:numPr>
        <w:kinsoku/>
        <w:wordWrap/>
        <w:overflowPunct/>
        <w:topLinePunct w:val="0"/>
        <w:bidi w:val="0"/>
        <w:snapToGrid/>
        <w:spacing w:line="470" w:lineRule="exact"/>
        <w:ind w:leftChars="400"/>
        <w:textAlignment w:val="auto"/>
        <w:rPr>
          <w:rFonts w:hint="eastAsia"/>
          <w:color w:val="auto"/>
          <w:highlight w:val="none"/>
          <w:lang w:val="en-US" w:eastAsia="zh-CN"/>
        </w:rPr>
      </w:pPr>
      <w:r>
        <w:rPr>
          <w:rFonts w:hint="eastAsia" w:ascii="微软雅黑" w:hAnsi="微软雅黑" w:eastAsia="微软雅黑" w:cs="微软雅黑"/>
          <w:b/>
          <w:bCs/>
          <w:color w:val="auto"/>
          <w:kern w:val="2"/>
          <w:sz w:val="22"/>
          <w:szCs w:val="22"/>
          <w:highlight w:val="none"/>
          <w:lang w:val="en-US" w:eastAsia="zh-CN" w:bidi="ar-SA"/>
        </w:rPr>
        <w:t>1.满足《中华人民共和国政府采购法》第二十二条规定；</w:t>
      </w:r>
    </w:p>
    <w:p w14:paraId="37170D4E">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①具有独立承担民事责任的能力；（投标时，提供在中华人民共和国境内注册的法人或其他组织的营业执照或事业单位法人证书或社会团体法人登记证书）</w:t>
      </w:r>
    </w:p>
    <w:p w14:paraId="20B8C56F">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default"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②供应商为制造商的须提供《医疗器械生产许可证》、所投产品的《医疗器械产品注册证》；供应商为经销商的须提供包含所投产品相应经营范围的《医疗器械经营许可证》或《医疗器械经营备案凭证》。供应商所投产品非医疗器械的，无需提供。</w:t>
      </w:r>
    </w:p>
    <w:p w14:paraId="17AD99EB">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③提供法定代表人资格证明及授权书、被授权人身份证；（法定代表人投标需提供法定代表人身份证）；</w:t>
      </w:r>
    </w:p>
    <w:p w14:paraId="07C20559">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④提供本单位依法缴纳近三个月内任意一个月的社会保险证明（新成立公司提供相关证明文件）；</w:t>
      </w:r>
    </w:p>
    <w:p w14:paraId="3062DDE7">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⑤提供税务部门出具的本单位近六个月内任意一个月的完税证明（零申报需加盖税务机关章）；</w:t>
      </w:r>
    </w:p>
    <w:p w14:paraId="439DA5BE">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⑥提供近两年任意一年完整的财务审计报告（新成立公司不足一年的提供近三个月内有效的银行资信证明）；</w:t>
      </w:r>
    </w:p>
    <w:p w14:paraId="2CEB726D">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⑦参与政府采购活动前3年内未被列入失信、重大税收违法案件、财政部门禁止参加政府采购活动的承诺书；</w:t>
      </w:r>
    </w:p>
    <w:p w14:paraId="52E3E179">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⑧提供针对本次项目的反商业贿赂承诺书。</w:t>
      </w:r>
    </w:p>
    <w:p w14:paraId="166918D7">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⑨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1091328F">
      <w:pPr>
        <w:pStyle w:val="4"/>
        <w:keepNext w:val="0"/>
        <w:keepLines w:val="0"/>
        <w:pageBreakBefore w:val="0"/>
        <w:widowControl w:val="0"/>
        <w:numPr>
          <w:ilvl w:val="0"/>
          <w:numId w:val="0"/>
        </w:numPr>
        <w:kinsoku/>
        <w:wordWrap/>
        <w:overflowPunct/>
        <w:topLinePunct w:val="0"/>
        <w:bidi w:val="0"/>
        <w:snapToGrid/>
        <w:spacing w:line="470" w:lineRule="exact"/>
        <w:ind w:leftChars="200" w:firstLine="440" w:firstLineChars="20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⑩投标保证金有效凭证。</w:t>
      </w:r>
    </w:p>
    <w:p w14:paraId="0AA9C72E">
      <w:pPr>
        <w:pStyle w:val="4"/>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提示：①未通过资格审查的供应商不进入评标；通过资格审查的供应商少于不足三家的，不得评标。</w:t>
      </w:r>
    </w:p>
    <w:bookmarkEnd w:id="22"/>
    <w:bookmarkEnd w:id="23"/>
    <w:bookmarkEnd w:id="24"/>
    <w:bookmarkEnd w:id="25"/>
    <w:bookmarkEnd w:id="26"/>
    <w:p w14:paraId="655A7B8E">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   采购人或采购代理机构将在开标前1个工作日至投标截止后1小时的期间内查询供应商的信用记录。供应商存在不良信用记录的，其投标将被认定为投标无效。</w:t>
      </w:r>
    </w:p>
    <w:p w14:paraId="0E44F3AE">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将拒绝其参加本次招标活动。</w:t>
      </w:r>
    </w:p>
    <w:p w14:paraId="0F964FA1">
      <w:pPr>
        <w:keepNext w:val="0"/>
        <w:keepLines w:val="0"/>
        <w:pageBreakBefore w:val="0"/>
        <w:widowControl w:val="0"/>
        <w:kinsoku/>
        <w:wordWrap/>
        <w:overflowPunct/>
        <w:topLinePunct w:val="0"/>
        <w:autoSpaceDE/>
        <w:autoSpaceDN/>
        <w:bidi w:val="0"/>
        <w:adjustRightInd/>
        <w:snapToGrid/>
        <w:spacing w:line="440" w:lineRule="exact"/>
        <w:ind w:left="735" w:leftChars="350" w:firstLine="0" w:firstLine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以联合体形式参加投标的，联合体任何成员存在以上不良信用记录的，联合体投标将被认定为投标无效。</w:t>
      </w:r>
    </w:p>
    <w:p w14:paraId="11BBDC01">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19.2.2 查询及记录方式：采购人或采购代理机构经办人将查询网页打印、签字并存档备查。供应商不良信用记录以采购人或采购代理机构查询结果为准。在本招标文件规定的查询时间之后，网站信息发生的任何变更均不再作为评标依据。</w:t>
      </w:r>
    </w:p>
    <w:p w14:paraId="1E90534A">
      <w:pPr>
        <w:keepNext w:val="0"/>
        <w:keepLines w:val="0"/>
        <w:pageBreakBefore w:val="0"/>
        <w:widowControl w:val="0"/>
        <w:kinsoku/>
        <w:wordWrap/>
        <w:overflowPunct/>
        <w:topLinePunct w:val="0"/>
        <w:autoSpaceDE/>
        <w:autoSpaceDN/>
        <w:bidi w:val="0"/>
        <w:adjustRightInd/>
        <w:snapToGrid/>
        <w:spacing w:line="440" w:lineRule="exact"/>
        <w:ind w:left="735" w:leftChars="350" w:firstLine="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在本招标文件规定的查询时间之后，网站信息发生的任何变更均不再作为评标依据。供应商自行提供的与网站信息不一致的其他证明材料亦不作为资格审查依据。</w:t>
      </w:r>
    </w:p>
    <w:p w14:paraId="438F750C">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19.3   </w:t>
      </w:r>
      <w:r>
        <w:rPr>
          <w:rFonts w:hint="eastAsia" w:ascii="微软雅黑" w:hAnsi="微软雅黑" w:eastAsia="微软雅黑" w:cs="微软雅黑"/>
          <w:b/>
          <w:bCs/>
          <w:color w:val="auto"/>
          <w:sz w:val="22"/>
          <w:szCs w:val="22"/>
          <w:highlight w:val="none"/>
        </w:rPr>
        <w:t>按照《中华人民共和国政府采购法》《中华人民共和国政府采购法实施条例》及本项目本级和上级财政部门的有关规定依法</w:t>
      </w:r>
      <w:r>
        <w:rPr>
          <w:rFonts w:hint="eastAsia" w:ascii="微软雅黑" w:hAnsi="微软雅黑" w:eastAsia="微软雅黑" w:cs="微软雅黑"/>
          <w:b/>
          <w:bCs/>
          <w:color w:val="auto"/>
          <w:sz w:val="22"/>
          <w:szCs w:val="22"/>
          <w:highlight w:val="none"/>
          <w:lang w:eastAsia="zh-CN"/>
        </w:rPr>
        <w:t>组建</w:t>
      </w:r>
      <w:r>
        <w:rPr>
          <w:rFonts w:hint="eastAsia" w:ascii="微软雅黑" w:hAnsi="微软雅黑" w:eastAsia="微软雅黑" w:cs="微软雅黑"/>
          <w:b/>
          <w:bCs/>
          <w:color w:val="auto"/>
          <w:sz w:val="22"/>
          <w:szCs w:val="22"/>
          <w:highlight w:val="none"/>
          <w:lang w:val="en-US" w:eastAsia="zh-CN"/>
        </w:rPr>
        <w:t>5</w:t>
      </w:r>
      <w:r>
        <w:rPr>
          <w:rFonts w:hint="eastAsia" w:ascii="微软雅黑" w:hAnsi="微软雅黑" w:eastAsia="微软雅黑" w:cs="微软雅黑"/>
          <w:b/>
          <w:bCs/>
          <w:color w:val="auto"/>
          <w:sz w:val="22"/>
          <w:szCs w:val="22"/>
          <w:highlight w:val="none"/>
        </w:rPr>
        <w:t>人组成评标小组</w:t>
      </w:r>
      <w:r>
        <w:rPr>
          <w:rFonts w:hint="eastAsia" w:ascii="微软雅黑" w:hAnsi="微软雅黑" w:eastAsia="微软雅黑" w:cs="微软雅黑"/>
          <w:color w:val="auto"/>
          <w:sz w:val="22"/>
          <w:szCs w:val="22"/>
          <w:highlight w:val="none"/>
        </w:rPr>
        <w:t>，负责评标工作。</w:t>
      </w:r>
    </w:p>
    <w:p w14:paraId="2451675B">
      <w:pPr>
        <w:pStyle w:val="6"/>
        <w:spacing w:before="0" w:after="0" w:line="440" w:lineRule="exact"/>
        <w:rPr>
          <w:rFonts w:ascii="微软雅黑" w:hAnsi="微软雅黑" w:eastAsia="微软雅黑" w:cs="微软雅黑"/>
          <w:b w:val="0"/>
          <w:bCs w:val="0"/>
          <w:color w:val="auto"/>
          <w:sz w:val="22"/>
          <w:szCs w:val="22"/>
          <w:highlight w:val="none"/>
          <w:bdr w:val="single" w:color="auto" w:sz="4" w:space="0"/>
        </w:rPr>
      </w:pPr>
      <w:bookmarkStart w:id="155" w:name="_Toc520356166"/>
      <w:bookmarkStart w:id="156" w:name="_Toc19949"/>
      <w:bookmarkStart w:id="157" w:name="_Toc515647781"/>
      <w:bookmarkStart w:id="158" w:name="_Toc28479"/>
      <w:bookmarkStart w:id="159" w:name="_Toc25607"/>
      <w:r>
        <w:rPr>
          <w:rFonts w:hint="eastAsia" w:ascii="微软雅黑" w:hAnsi="微软雅黑" w:eastAsia="微软雅黑" w:cs="微软雅黑"/>
          <w:color w:val="auto"/>
          <w:sz w:val="22"/>
          <w:szCs w:val="22"/>
          <w:highlight w:val="none"/>
          <w:u w:val="none"/>
        </w:rPr>
        <w:t>20.投标文件</w:t>
      </w:r>
      <w:bookmarkEnd w:id="155"/>
      <w:r>
        <w:rPr>
          <w:rFonts w:hint="eastAsia" w:ascii="微软雅黑" w:hAnsi="微软雅黑" w:eastAsia="微软雅黑" w:cs="微软雅黑"/>
          <w:color w:val="auto"/>
          <w:sz w:val="22"/>
          <w:szCs w:val="22"/>
          <w:highlight w:val="none"/>
          <w:u w:val="none"/>
        </w:rPr>
        <w:t>符合性审查与澄清</w:t>
      </w:r>
      <w:bookmarkEnd w:id="156"/>
      <w:bookmarkEnd w:id="157"/>
      <w:bookmarkEnd w:id="158"/>
      <w:bookmarkEnd w:id="159"/>
    </w:p>
    <w:p w14:paraId="0F2D5BC6">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20.1   符合性审查是指依据招标文件的规定，从投标文件的有效性和完整性对招标文件的响应程度进行审查，以确定是否对招标文件的实质性要求做出响应。</w:t>
      </w:r>
      <w:bookmarkStart w:id="160" w:name="_Hlt522424701"/>
      <w:bookmarkEnd w:id="160"/>
      <w:bookmarkStart w:id="161" w:name="_Toc520356167"/>
    </w:p>
    <w:p w14:paraId="3719D3E7">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投标文件的澄清</w:t>
      </w:r>
    </w:p>
    <w:p w14:paraId="5FA9790F">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做必要的澄清、说明或补正。供应商的澄清、说明或补正应在评标委员会规定的时间内以书面方式进行，并不得超出投标文件范围或者改变投标文件的实质性内容。</w:t>
      </w:r>
    </w:p>
    <w:p w14:paraId="1DFC4348">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20.2.2 供应商的澄清、说明或补正将作为投标文件的一部分。</w:t>
      </w:r>
    </w:p>
    <w:p w14:paraId="40175F12">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20.3  投标文件报价出现前后不一致的，按照下列规定修正：</w:t>
      </w:r>
    </w:p>
    <w:p w14:paraId="790D7784">
      <w:pPr>
        <w:spacing w:line="440" w:lineRule="exact"/>
        <w:ind w:left="935" w:hanging="935" w:hangingChars="4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（一）投标文件中开标一览表（报价表）内容与投标文件中相应内容不一致的，以开标一览表（报价表）为准；</w:t>
      </w:r>
    </w:p>
    <w:p w14:paraId="5A829ECF">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（二）大写金额和小写金额不一致的，以大写金额为准；</w:t>
      </w:r>
    </w:p>
    <w:p w14:paraId="5CA42EBA">
      <w:pPr>
        <w:spacing w:line="440" w:lineRule="exact"/>
        <w:ind w:left="935" w:hanging="935" w:hangingChars="4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（三）单价金额小数点或者百分比有明显错位的，以开标一览表的总价为准，并修改单价；</w:t>
      </w:r>
    </w:p>
    <w:p w14:paraId="4469B357">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（四）总价金额与按单价汇总金额不一致的，以单价金额计算结果为准。</w:t>
      </w:r>
    </w:p>
    <w:p w14:paraId="388AB942">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443BDB96">
      <w:pPr>
        <w:spacing w:line="440" w:lineRule="exact"/>
        <w:ind w:firstLine="770" w:firstLineChars="35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对不同文字文本投标文件的解释发生异议的，以中文文本为准。</w:t>
      </w:r>
    </w:p>
    <w:p w14:paraId="51523E6F">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   如一个分包内只有一种产品，不同供应商所投产品为同一品牌的，按如下方式处理：</w:t>
      </w:r>
    </w:p>
    <w:p w14:paraId="1B6259A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20.4.1  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14:paraId="68BCFFC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14:paraId="50C70231">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如采购人所采购产品为政府强制采购的节能产品，供应商所投产品的品牌及型号必须为清单中有效期内产品并提供证明文件，否则其投标将被认定为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F126488">
      <w:pPr>
        <w:pStyle w:val="6"/>
        <w:spacing w:before="0" w:after="0" w:line="440" w:lineRule="exact"/>
        <w:rPr>
          <w:rFonts w:ascii="微软雅黑" w:hAnsi="微软雅黑" w:eastAsia="微软雅黑" w:cs="微软雅黑"/>
          <w:color w:val="auto"/>
          <w:sz w:val="22"/>
          <w:szCs w:val="22"/>
          <w:highlight w:val="none"/>
          <w:u w:val="none"/>
        </w:rPr>
      </w:pPr>
      <w:bookmarkStart w:id="162" w:name="_Toc28888"/>
      <w:bookmarkStart w:id="163" w:name="_Toc515647782"/>
      <w:bookmarkStart w:id="164" w:name="_Toc9469"/>
      <w:bookmarkStart w:id="165" w:name="_Toc6364"/>
      <w:r>
        <w:rPr>
          <w:rFonts w:hint="eastAsia" w:ascii="微软雅黑" w:hAnsi="微软雅黑" w:eastAsia="微软雅黑" w:cs="微软雅黑"/>
          <w:color w:val="auto"/>
          <w:sz w:val="22"/>
          <w:szCs w:val="22"/>
          <w:highlight w:val="none"/>
          <w:u w:val="none"/>
        </w:rPr>
        <w:t>21.投标偏离</w:t>
      </w:r>
      <w:bookmarkEnd w:id="162"/>
      <w:bookmarkEnd w:id="163"/>
      <w:bookmarkEnd w:id="164"/>
      <w:bookmarkEnd w:id="165"/>
    </w:p>
    <w:p w14:paraId="49337EBA">
      <w:pPr>
        <w:spacing w:line="440" w:lineRule="exact"/>
        <w:ind w:left="795" w:leftChars="99" w:hanging="587" w:hangingChars="267"/>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评标委员会可以接受投标文件中不构成实质性偏离的不正规或不一致。</w:t>
      </w:r>
      <w:bookmarkStart w:id="166" w:name="_Toc515647783"/>
      <w:bookmarkStart w:id="167" w:name="_Toc4950"/>
      <w:bookmarkStart w:id="168" w:name="_Toc6092"/>
    </w:p>
    <w:p w14:paraId="67B73357">
      <w:pPr>
        <w:pStyle w:val="6"/>
        <w:spacing w:before="0" w:after="0" w:line="440" w:lineRule="exact"/>
        <w:rPr>
          <w:rFonts w:ascii="微软雅黑" w:hAnsi="微软雅黑" w:eastAsia="微软雅黑" w:cs="微软雅黑"/>
          <w:color w:val="auto"/>
          <w:sz w:val="22"/>
          <w:szCs w:val="22"/>
          <w:highlight w:val="none"/>
          <w:u w:val="none"/>
        </w:rPr>
      </w:pPr>
      <w:bookmarkStart w:id="169" w:name="_Toc20254"/>
      <w:r>
        <w:rPr>
          <w:rFonts w:hint="eastAsia" w:ascii="微软雅黑" w:hAnsi="微软雅黑" w:eastAsia="微软雅黑" w:cs="微软雅黑"/>
          <w:color w:val="auto"/>
          <w:sz w:val="22"/>
          <w:szCs w:val="22"/>
          <w:highlight w:val="none"/>
          <w:u w:val="none"/>
        </w:rPr>
        <w:t>22.投标</w:t>
      </w:r>
      <w:bookmarkEnd w:id="166"/>
      <w:r>
        <w:rPr>
          <w:rFonts w:hint="eastAsia" w:ascii="微软雅黑" w:hAnsi="微软雅黑" w:eastAsia="微软雅黑" w:cs="微软雅黑"/>
          <w:color w:val="auto"/>
          <w:sz w:val="22"/>
          <w:szCs w:val="22"/>
          <w:highlight w:val="none"/>
          <w:u w:val="none"/>
        </w:rPr>
        <w:t>无效</w:t>
      </w:r>
      <w:bookmarkEnd w:id="167"/>
      <w:bookmarkEnd w:id="168"/>
      <w:bookmarkEnd w:id="169"/>
    </w:p>
    <w:p w14:paraId="35DB77CC">
      <w:pPr>
        <w:spacing w:line="440" w:lineRule="exact"/>
        <w:ind w:left="825" w:hanging="825" w:hangingChars="375"/>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供应商不得通过修正或撤销不符合要求的偏离，从而使其投标成为实质上响应的投标。</w:t>
      </w:r>
    </w:p>
    <w:p w14:paraId="361D845A">
      <w:pPr>
        <w:keepNext w:val="0"/>
        <w:keepLines w:val="0"/>
        <w:pageBreakBefore w:val="0"/>
        <w:widowControl w:val="0"/>
        <w:kinsoku/>
        <w:wordWrap/>
        <w:overflowPunct/>
        <w:topLinePunct w:val="0"/>
        <w:autoSpaceDE/>
        <w:autoSpaceDN/>
        <w:bidi w:val="0"/>
        <w:adjustRightInd/>
        <w:snapToGrid/>
        <w:spacing w:line="440" w:lineRule="exact"/>
        <w:ind w:left="735" w:leftChars="350" w:firstLine="0" w:firstLine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评标委员会决定投标的响应性只根据招标文件要求、投标文件内容及财政主管部门指定相关信息发布媒体。</w:t>
      </w:r>
    </w:p>
    <w:p w14:paraId="3E9B342E">
      <w:pPr>
        <w:spacing w:line="440" w:lineRule="exact"/>
        <w:ind w:left="825" w:hanging="825" w:hangingChars="375"/>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22.2</w:t>
      </w:r>
      <w:r>
        <w:rPr>
          <w:rFonts w:hint="eastAsia" w:ascii="微软雅黑" w:hAnsi="微软雅黑" w:eastAsia="微软雅黑" w:cs="微软雅黑"/>
          <w:b/>
          <w:bCs/>
          <w:color w:val="auto"/>
          <w:sz w:val="22"/>
          <w:szCs w:val="22"/>
          <w:highlight w:val="none"/>
          <w:lang w:val="en-US" w:eastAsia="zh-CN"/>
        </w:rPr>
        <w:t xml:space="preserve">   </w:t>
      </w:r>
      <w:r>
        <w:rPr>
          <w:rFonts w:hint="eastAsia" w:ascii="微软雅黑" w:hAnsi="微软雅黑" w:eastAsia="微软雅黑" w:cs="微软雅黑"/>
          <w:b/>
          <w:bCs/>
          <w:color w:val="auto"/>
          <w:sz w:val="22"/>
          <w:szCs w:val="22"/>
          <w:highlight w:val="none"/>
        </w:rPr>
        <w:t>如发现下列情况之一的，其投标将被认定为投标无效：</w:t>
      </w:r>
    </w:p>
    <w:p w14:paraId="3EA4730A">
      <w:pPr>
        <w:numPr>
          <w:ilvl w:val="0"/>
          <w:numId w:val="4"/>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未按招标文件规定的形式和金额提交投标保证金的；</w:t>
      </w:r>
    </w:p>
    <w:p w14:paraId="3AD68F00">
      <w:pPr>
        <w:numPr>
          <w:ilvl w:val="0"/>
          <w:numId w:val="4"/>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未按照招标文件规定要求签署、盖章的；</w:t>
      </w:r>
    </w:p>
    <w:p w14:paraId="0C7EF71F">
      <w:pPr>
        <w:numPr>
          <w:ilvl w:val="0"/>
          <w:numId w:val="4"/>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未满足招标文件中技术条款的实质性要求；</w:t>
      </w:r>
    </w:p>
    <w:p w14:paraId="51136370">
      <w:pPr>
        <w:numPr>
          <w:ilvl w:val="0"/>
          <w:numId w:val="4"/>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与其他供应商串通投标，或者与招标人串通投标；</w:t>
      </w:r>
    </w:p>
    <w:p w14:paraId="4EAFC0BB">
      <w:pPr>
        <w:numPr>
          <w:ilvl w:val="0"/>
          <w:numId w:val="4"/>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属于招标文件规定的其他投标无效情形；</w:t>
      </w:r>
    </w:p>
    <w:p w14:paraId="452207B7">
      <w:pPr>
        <w:numPr>
          <w:ilvl w:val="0"/>
          <w:numId w:val="4"/>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评标委员会认为供应商的报价明显低于其他通过符合性检查供应商的报价，有可能影响履约的，且供应商未按照规定证明其报价合理性的；</w:t>
      </w:r>
    </w:p>
    <w:p w14:paraId="68324716">
      <w:pPr>
        <w:numPr>
          <w:ilvl w:val="0"/>
          <w:numId w:val="4"/>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投标文件含有采购人不能接受的附加条件的；</w:t>
      </w:r>
    </w:p>
    <w:p w14:paraId="660BC9D5">
      <w:pPr>
        <w:numPr>
          <w:ilvl w:val="0"/>
          <w:numId w:val="4"/>
        </w:numPr>
        <w:tabs>
          <w:tab w:val="left" w:pos="0"/>
        </w:tabs>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不符合法规和招标文件中规定的其他实质性要求的。</w:t>
      </w:r>
    </w:p>
    <w:p w14:paraId="3FA95FD1">
      <w:pPr>
        <w:spacing w:line="440" w:lineRule="exact"/>
        <w:outlineLvl w:val="2"/>
        <w:rPr>
          <w:rFonts w:ascii="微软雅黑" w:hAnsi="微软雅黑" w:eastAsia="微软雅黑" w:cs="微软雅黑"/>
          <w:b/>
          <w:bCs/>
          <w:color w:val="auto"/>
          <w:sz w:val="22"/>
          <w:szCs w:val="22"/>
          <w:highlight w:val="none"/>
        </w:rPr>
      </w:pPr>
      <w:bookmarkStart w:id="170" w:name="_Toc10960"/>
      <w:bookmarkStart w:id="171" w:name="_Toc22941"/>
      <w:bookmarkStart w:id="172" w:name="_Toc13652"/>
      <w:bookmarkStart w:id="173" w:name="_Toc515647784"/>
      <w:r>
        <w:rPr>
          <w:rFonts w:hint="eastAsia" w:ascii="微软雅黑" w:hAnsi="微软雅黑" w:eastAsia="微软雅黑" w:cs="微软雅黑"/>
          <w:b/>
          <w:bCs/>
          <w:color w:val="auto"/>
          <w:sz w:val="22"/>
          <w:szCs w:val="22"/>
          <w:highlight w:val="none"/>
        </w:rPr>
        <w:t>23.</w:t>
      </w:r>
      <w:bookmarkEnd w:id="161"/>
      <w:r>
        <w:rPr>
          <w:rFonts w:hint="eastAsia" w:ascii="微软雅黑" w:hAnsi="微软雅黑" w:eastAsia="微软雅黑" w:cs="微软雅黑"/>
          <w:b/>
          <w:bCs/>
          <w:color w:val="auto"/>
          <w:sz w:val="22"/>
          <w:szCs w:val="22"/>
          <w:highlight w:val="none"/>
        </w:rPr>
        <w:t>比较与评价</w:t>
      </w:r>
      <w:bookmarkEnd w:id="170"/>
      <w:bookmarkEnd w:id="171"/>
      <w:bookmarkEnd w:id="172"/>
      <w:bookmarkEnd w:id="173"/>
    </w:p>
    <w:p w14:paraId="201C1254">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经符合性审查合格的投标文件，评标委员会将根据招标文件确定的评标方法和标准，对其技术部分和商务部分做进一步的比较和评价。</w:t>
      </w:r>
    </w:p>
    <w:p w14:paraId="46542EEC">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23.2  </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评标严格按照招标文件的要求和条件进行。根据实际情况，在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中规定采用下列评标方法，详细评标标准见招标文件第六章：</w:t>
      </w:r>
    </w:p>
    <w:p w14:paraId="42432E74">
      <w:pPr>
        <w:pStyle w:val="15"/>
        <w:pageBreakBefore w:val="0"/>
        <w:widowControl w:val="0"/>
        <w:kinsoku/>
        <w:wordWrap/>
        <w:overflowPunct/>
        <w:topLinePunct w:val="0"/>
        <w:bidi w:val="0"/>
        <w:snapToGrid/>
        <w:spacing w:line="440" w:lineRule="exact"/>
        <w:ind w:left="898" w:leftChars="342" w:hanging="180"/>
        <w:textAlignment w:val="auto"/>
        <w:rPr>
          <w:rFonts w:ascii="微软雅黑" w:hAnsi="微软雅黑" w:eastAsia="微软雅黑" w:cs="微软雅黑"/>
          <w:b/>
          <w:bCs/>
          <w:color w:val="auto"/>
          <w:sz w:val="22"/>
          <w:szCs w:val="22"/>
          <w:highlight w:val="yellow"/>
        </w:rPr>
      </w:pPr>
      <w:r>
        <w:rPr>
          <w:rFonts w:hint="eastAsia" w:ascii="微软雅黑" w:hAnsi="微软雅黑" w:eastAsia="微软雅黑" w:cs="微软雅黑"/>
          <w:b/>
          <w:bCs/>
          <w:color w:val="auto"/>
          <w:sz w:val="22"/>
          <w:szCs w:val="22"/>
          <w:highlight w:val="yellow"/>
        </w:rPr>
        <w:t>（1） 本项目采用综合评分法</w:t>
      </w:r>
      <w:r>
        <w:rPr>
          <w:rFonts w:hint="eastAsia" w:ascii="微软雅黑" w:hAnsi="微软雅黑" w:eastAsia="微软雅黑" w:cs="微软雅黑"/>
          <w:b/>
          <w:bCs/>
          <w:color w:val="auto"/>
          <w:sz w:val="22"/>
          <w:szCs w:val="22"/>
          <w:highlight w:val="yellow"/>
          <w:lang w:eastAsia="zh-CN"/>
        </w:rPr>
        <w:t>，其中价格</w:t>
      </w:r>
      <w:r>
        <w:rPr>
          <w:rFonts w:hint="eastAsia" w:ascii="微软雅黑" w:hAnsi="微软雅黑" w:eastAsia="微软雅黑" w:cs="微软雅黑"/>
          <w:b/>
          <w:bCs/>
          <w:color w:val="auto"/>
          <w:sz w:val="22"/>
          <w:szCs w:val="22"/>
          <w:highlight w:val="yellow"/>
          <w:lang w:val="en-US" w:eastAsia="zh-CN"/>
        </w:rPr>
        <w:t>30分，商务及技术70分</w:t>
      </w:r>
      <w:r>
        <w:rPr>
          <w:rFonts w:hint="eastAsia" w:ascii="微软雅黑" w:hAnsi="微软雅黑" w:eastAsia="微软雅黑" w:cs="微软雅黑"/>
          <w:b/>
          <w:bCs/>
          <w:color w:val="auto"/>
          <w:sz w:val="22"/>
          <w:szCs w:val="22"/>
          <w:highlight w:val="yellow"/>
        </w:rPr>
        <w:t>。</w:t>
      </w:r>
    </w:p>
    <w:p w14:paraId="29026B37">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b/>
          <w:bCs/>
          <w:color w:val="auto"/>
          <w:sz w:val="22"/>
          <w:szCs w:val="22"/>
          <w:highlight w:val="yellow"/>
        </w:rPr>
      </w:pPr>
      <w:r>
        <w:rPr>
          <w:rFonts w:hint="eastAsia" w:ascii="微软雅黑" w:hAnsi="微软雅黑" w:eastAsia="微软雅黑" w:cs="微软雅黑"/>
          <w:b/>
          <w:bCs/>
          <w:color w:val="auto"/>
          <w:sz w:val="22"/>
          <w:szCs w:val="22"/>
          <w:highlight w:val="yellow"/>
        </w:rPr>
        <w:t>23.3   根据《政府采购促进中小企业发展管理办法》（财库</w:t>
      </w:r>
      <w:r>
        <w:rPr>
          <w:rFonts w:hint="eastAsia" w:ascii="微软雅黑" w:hAnsi="微软雅黑" w:eastAsia="微软雅黑" w:cs="微软雅黑"/>
          <w:b/>
          <w:bCs/>
          <w:color w:val="auto"/>
          <w:sz w:val="22"/>
          <w:szCs w:val="22"/>
          <w:highlight w:val="yellow"/>
          <w:lang w:eastAsia="zh-CN"/>
        </w:rPr>
        <w:t>〔2020〕46号</w:t>
      </w:r>
      <w:r>
        <w:rPr>
          <w:rFonts w:hint="eastAsia" w:ascii="微软雅黑" w:hAnsi="微软雅黑" w:eastAsia="微软雅黑" w:cs="微软雅黑"/>
          <w:b/>
          <w:bCs/>
          <w:color w:val="auto"/>
          <w:sz w:val="22"/>
          <w:szCs w:val="22"/>
          <w:highlight w:val="yellow"/>
        </w:rPr>
        <w:t>）、《财政部 司法部关于政府采购支持监狱企业发展有关问题的通知》（财库〔2014〕68号）和《三部门联合发布关于促进残疾人就业政府采购政策的通知》（</w:t>
      </w:r>
      <w:bookmarkStart w:id="174" w:name="sendNo"/>
      <w:r>
        <w:rPr>
          <w:rFonts w:hint="eastAsia" w:ascii="微软雅黑" w:hAnsi="微软雅黑" w:eastAsia="微软雅黑" w:cs="微软雅黑"/>
          <w:b/>
          <w:bCs/>
          <w:color w:val="auto"/>
          <w:sz w:val="22"/>
          <w:szCs w:val="22"/>
          <w:highlight w:val="yellow"/>
        </w:rPr>
        <w:t>财库〔</w:t>
      </w:r>
      <w:bookmarkEnd w:id="174"/>
      <w:r>
        <w:rPr>
          <w:rFonts w:hint="eastAsia" w:ascii="微软雅黑" w:hAnsi="微软雅黑" w:eastAsia="微软雅黑" w:cs="微软雅黑"/>
          <w:b/>
          <w:bCs/>
          <w:color w:val="auto"/>
          <w:sz w:val="22"/>
          <w:szCs w:val="22"/>
          <w:highlight w:val="yellow"/>
        </w:rPr>
        <w:t>2017〕141号）、《关于进一步加大政府采购支持中小企业力度的通知》（财库〔2022〕19号）的规定，对满足价格扣除条件且在投标文件中提交了《中小企业声明函》或省级以上监狱管理局、戒毒管理局（含新疆生产建设兵团）出具的属于监狱企业的证明文件的供应商，其投标报价扣除10%—20%后参与评标。</w:t>
      </w:r>
    </w:p>
    <w:p w14:paraId="4327404B">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yellow"/>
        </w:rPr>
      </w:pPr>
      <w:r>
        <w:rPr>
          <w:rFonts w:hint="eastAsia" w:ascii="微软雅黑" w:hAnsi="微软雅黑" w:eastAsia="微软雅黑" w:cs="微软雅黑"/>
          <w:b/>
          <w:bCs/>
          <w:color w:val="auto"/>
          <w:sz w:val="22"/>
          <w:szCs w:val="22"/>
          <w:highlight w:val="yellow"/>
        </w:rPr>
        <w:t>23.4  根据《政府采购促进中小企业发展管理办法》（财库</w:t>
      </w:r>
      <w:r>
        <w:rPr>
          <w:rFonts w:hint="eastAsia" w:ascii="微软雅黑" w:hAnsi="微软雅黑" w:eastAsia="微软雅黑" w:cs="微软雅黑"/>
          <w:b/>
          <w:bCs/>
          <w:color w:val="auto"/>
          <w:sz w:val="22"/>
          <w:szCs w:val="22"/>
          <w:highlight w:val="yellow"/>
          <w:lang w:eastAsia="zh-CN"/>
        </w:rPr>
        <w:t>〔2020〕46号</w:t>
      </w:r>
      <w:r>
        <w:rPr>
          <w:rFonts w:hint="eastAsia" w:ascii="微软雅黑" w:hAnsi="微软雅黑" w:eastAsia="微软雅黑" w:cs="微软雅黑"/>
          <w:b/>
          <w:bCs/>
          <w:color w:val="auto"/>
          <w:sz w:val="22"/>
          <w:szCs w:val="22"/>
          <w:highlight w:val="yellow"/>
        </w:rPr>
        <w:t>），所采购产品需符合国家节能环保要求。结合本项目具体情况，根据财政部的相关规定符合政府采购促进中小企业发展政策的供应商为小、微型企业，产品有环境标志认证证书或节能标志认证证书的依据规定给予评审优惠。监狱企业及残疾人福利性单位视同小型、微型企业，享受预留份额、</w:t>
      </w:r>
      <w:r>
        <w:rPr>
          <w:rFonts w:hint="eastAsia" w:ascii="微软雅黑" w:hAnsi="微软雅黑" w:eastAsia="微软雅黑" w:cs="微软雅黑"/>
          <w:b/>
          <w:bCs/>
          <w:color w:val="auto"/>
          <w:sz w:val="22"/>
          <w:szCs w:val="22"/>
          <w:highlight w:val="yellow"/>
          <w:lang w:eastAsia="zh-CN"/>
        </w:rPr>
        <w:t>评审</w:t>
      </w:r>
      <w:r>
        <w:rPr>
          <w:rFonts w:hint="eastAsia" w:ascii="微软雅黑" w:hAnsi="微软雅黑" w:eastAsia="微软雅黑" w:cs="微软雅黑"/>
          <w:b/>
          <w:bCs/>
          <w:color w:val="auto"/>
          <w:sz w:val="22"/>
          <w:szCs w:val="22"/>
          <w:highlight w:val="yellow"/>
        </w:rPr>
        <w:t>价格扣除等政府采购促进中小企业发展的政府采购政策。</w:t>
      </w:r>
      <w:r>
        <w:rPr>
          <w:rFonts w:hint="eastAsia" w:ascii="微软雅黑" w:hAnsi="微软雅黑" w:eastAsia="微软雅黑" w:cs="微软雅黑"/>
          <w:color w:val="auto"/>
          <w:sz w:val="22"/>
          <w:szCs w:val="22"/>
          <w:highlight w:val="yellow"/>
        </w:rPr>
        <w:t>  </w:t>
      </w:r>
      <w:bookmarkStart w:id="871" w:name="_GoBack"/>
      <w:bookmarkEnd w:id="871"/>
    </w:p>
    <w:p w14:paraId="188EA2DE">
      <w:pPr>
        <w:pStyle w:val="6"/>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175" w:name="_Toc515647785"/>
      <w:bookmarkStart w:id="176" w:name="_Toc26143"/>
      <w:bookmarkStart w:id="177" w:name="_Toc9378"/>
      <w:bookmarkStart w:id="178" w:name="_Toc20227"/>
      <w:r>
        <w:rPr>
          <w:rFonts w:hint="eastAsia" w:ascii="微软雅黑" w:hAnsi="微软雅黑" w:eastAsia="微软雅黑" w:cs="微软雅黑"/>
          <w:color w:val="auto"/>
          <w:sz w:val="22"/>
          <w:szCs w:val="22"/>
          <w:highlight w:val="none"/>
          <w:u w:val="none"/>
        </w:rPr>
        <w:t>24.废标</w:t>
      </w:r>
      <w:bookmarkEnd w:id="175"/>
      <w:bookmarkEnd w:id="176"/>
      <w:bookmarkEnd w:id="177"/>
      <w:bookmarkEnd w:id="178"/>
    </w:p>
    <w:p w14:paraId="2E937EDD">
      <w:pPr>
        <w:pageBreakBefore w:val="0"/>
        <w:widowControl w:val="0"/>
        <w:kinsoku/>
        <w:wordWrap/>
        <w:overflowPunct/>
        <w:topLinePunct w:val="0"/>
        <w:bidi w:val="0"/>
        <w:snapToGrid/>
        <w:spacing w:line="440" w:lineRule="exact"/>
        <w:ind w:left="893" w:leftChars="399" w:hanging="55" w:hangingChars="25"/>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 xml:space="preserve">出现下列情形之一，将导致项目废标： </w:t>
      </w:r>
    </w:p>
    <w:p w14:paraId="19356175">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ab/>
      </w:r>
      <w:r>
        <w:rPr>
          <w:rFonts w:hint="eastAsia" w:ascii="微软雅黑" w:hAnsi="微软雅黑" w:eastAsia="微软雅黑" w:cs="微软雅黑"/>
          <w:b/>
          <w:bCs/>
          <w:color w:val="auto"/>
          <w:sz w:val="22"/>
          <w:szCs w:val="22"/>
          <w:highlight w:val="none"/>
        </w:rPr>
        <w:t>（1）符合专业条件的供应商或者对招标文件做实质性响应的供应商不足三家；</w:t>
      </w:r>
    </w:p>
    <w:p w14:paraId="3F28213D">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ab/>
      </w:r>
      <w:r>
        <w:rPr>
          <w:rFonts w:hint="eastAsia" w:ascii="微软雅黑" w:hAnsi="微软雅黑" w:eastAsia="微软雅黑" w:cs="微软雅黑"/>
          <w:b/>
          <w:bCs/>
          <w:color w:val="auto"/>
          <w:sz w:val="22"/>
          <w:szCs w:val="22"/>
          <w:highlight w:val="none"/>
        </w:rPr>
        <w:t>（2）出现影响采购公正的违法、违规行为的；</w:t>
      </w:r>
    </w:p>
    <w:p w14:paraId="20C7720D">
      <w:pPr>
        <w:pageBreakBefore w:val="0"/>
        <w:widowControl w:val="0"/>
        <w:kinsoku/>
        <w:wordWrap/>
        <w:overflowPunct/>
        <w:topLinePunct w:val="0"/>
        <w:bidi w:val="0"/>
        <w:snapToGrid/>
        <w:spacing w:line="440" w:lineRule="exact"/>
        <w:ind w:firstLine="880" w:firstLineChars="400"/>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（3）供应商的报价均超过了采购预算，采购人不能支付的；</w:t>
      </w:r>
    </w:p>
    <w:p w14:paraId="2299C3CA">
      <w:pPr>
        <w:pageBreakBefore w:val="0"/>
        <w:widowControl w:val="0"/>
        <w:kinsoku/>
        <w:wordWrap/>
        <w:overflowPunct/>
        <w:topLinePunct w:val="0"/>
        <w:bidi w:val="0"/>
        <w:snapToGrid/>
        <w:spacing w:line="440" w:lineRule="exact"/>
        <w:ind w:firstLine="880" w:firstLineChars="400"/>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 xml:space="preserve">（4）因重大变故，采购任务取消的。   </w:t>
      </w:r>
    </w:p>
    <w:p w14:paraId="67F9EB14">
      <w:pPr>
        <w:pStyle w:val="6"/>
        <w:spacing w:before="0" w:after="0" w:line="440" w:lineRule="exact"/>
        <w:rPr>
          <w:rFonts w:ascii="微软雅黑" w:hAnsi="微软雅黑" w:eastAsia="微软雅黑" w:cs="微软雅黑"/>
          <w:color w:val="auto"/>
          <w:sz w:val="22"/>
          <w:szCs w:val="22"/>
          <w:highlight w:val="none"/>
          <w:u w:val="none"/>
        </w:rPr>
      </w:pPr>
      <w:bookmarkStart w:id="179" w:name="_Toc8524"/>
      <w:bookmarkStart w:id="180" w:name="_Toc6923"/>
      <w:bookmarkStart w:id="181" w:name="_Toc7049"/>
      <w:bookmarkStart w:id="182" w:name="_Toc515647795"/>
      <w:bookmarkStart w:id="183" w:name="_Toc31289"/>
      <w:bookmarkStart w:id="184" w:name="_Toc24972"/>
      <w:bookmarkStart w:id="185" w:name="_Toc515647786"/>
      <w:bookmarkStart w:id="186" w:name="_Toc29491"/>
      <w:bookmarkStart w:id="187" w:name="_Toc520356169"/>
      <w:r>
        <w:rPr>
          <w:rFonts w:hint="eastAsia" w:ascii="微软雅黑" w:hAnsi="微软雅黑" w:eastAsia="微软雅黑" w:cs="微软雅黑"/>
          <w:color w:val="auto"/>
          <w:sz w:val="22"/>
          <w:szCs w:val="22"/>
          <w:highlight w:val="none"/>
          <w:u w:val="none"/>
        </w:rPr>
        <w:t>33.政府采购信用担保</w:t>
      </w:r>
      <w:bookmarkEnd w:id="179"/>
      <w:bookmarkEnd w:id="180"/>
      <w:bookmarkEnd w:id="181"/>
      <w:bookmarkEnd w:id="182"/>
    </w:p>
    <w:p w14:paraId="068DCA11">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33.1   本项目是否属于信用担保试点范围见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15388416">
      <w:pPr>
        <w:spacing w:line="440" w:lineRule="exact"/>
        <w:ind w:left="779" w:hanging="778" w:hangingChars="354"/>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   如属于政府采购信用担保试点范围内，中小型企业供应商可以自由按照财政部门的规定，采用投标担保、履约担保和融资担保。</w:t>
      </w:r>
    </w:p>
    <w:p w14:paraId="0C7C1F14">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33.2.1 供应商递交的投标担保函和履约担保函应符合本招标文件的规定。</w:t>
      </w:r>
    </w:p>
    <w:p w14:paraId="3108D81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33.2.2 中标人可以采取融资担保的形式为政府采购项目履约进行融资。</w:t>
      </w:r>
    </w:p>
    <w:p w14:paraId="5B4F2B28">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33.2.3 合格的政府采购专业信用担保机构名单见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1821327B">
      <w:pPr>
        <w:pStyle w:val="6"/>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25.保密原则</w:t>
      </w:r>
      <w:bookmarkEnd w:id="183"/>
      <w:bookmarkEnd w:id="184"/>
      <w:bookmarkEnd w:id="185"/>
      <w:bookmarkEnd w:id="186"/>
    </w:p>
    <w:p w14:paraId="1D35C4B3">
      <w:pPr>
        <w:spacing w:line="440" w:lineRule="exact"/>
        <w:ind w:left="825" w:hanging="825" w:hangingChars="375"/>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25.1</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评标将在严格保密的情况下进行。</w:t>
      </w:r>
    </w:p>
    <w:p w14:paraId="6BAAC196">
      <w:pPr>
        <w:spacing w:line="440" w:lineRule="exact"/>
        <w:ind w:left="825" w:hanging="825" w:hangingChars="375"/>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25.2</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政府采购评标专家应当遵守评审工作纪律，不得泄露评审文件、评审情况和评审中获悉的商业秘密。</w:t>
      </w:r>
    </w:p>
    <w:p w14:paraId="059F9DE0">
      <w:pPr>
        <w:pageBreakBefore w:val="0"/>
        <w:widowControl w:val="0"/>
        <w:kinsoku/>
        <w:wordWrap/>
        <w:overflowPunct/>
        <w:topLinePunct w:val="0"/>
        <w:bidi w:val="0"/>
        <w:snapToGrid/>
        <w:spacing w:line="440" w:lineRule="exact"/>
        <w:ind w:left="1080" w:leftChars="257" w:hanging="540"/>
        <w:textAlignment w:val="auto"/>
        <w:rPr>
          <w:rFonts w:ascii="微软雅黑" w:hAnsi="微软雅黑" w:eastAsia="微软雅黑" w:cs="微软雅黑"/>
          <w:color w:val="auto"/>
          <w:sz w:val="22"/>
          <w:szCs w:val="22"/>
          <w:highlight w:val="none"/>
        </w:rPr>
      </w:pPr>
    </w:p>
    <w:p w14:paraId="6D71D396">
      <w:pPr>
        <w:pStyle w:val="3"/>
        <w:pageBreakBefore w:val="0"/>
        <w:widowControl w:val="0"/>
        <w:kinsoku/>
        <w:wordWrap/>
        <w:overflowPunct/>
        <w:topLinePunct w:val="0"/>
        <w:bidi w:val="0"/>
        <w:snapToGrid/>
        <w:spacing w:before="0" w:line="440" w:lineRule="exact"/>
        <w:ind w:left="1080" w:leftChars="257" w:hanging="540"/>
        <w:textAlignment w:val="auto"/>
        <w:rPr>
          <w:rFonts w:ascii="微软雅黑" w:hAnsi="微软雅黑" w:eastAsia="微软雅黑" w:cs="微软雅黑"/>
          <w:b/>
          <w:bCs/>
          <w:color w:val="auto"/>
          <w:sz w:val="28"/>
          <w:szCs w:val="28"/>
          <w:highlight w:val="none"/>
        </w:rPr>
      </w:pPr>
      <w:bookmarkStart w:id="188" w:name="_Toc30610"/>
      <w:bookmarkStart w:id="189" w:name="_Toc12143"/>
      <w:bookmarkStart w:id="190" w:name="_Toc216582810"/>
      <w:bookmarkStart w:id="191" w:name="_Toc6929"/>
      <w:bookmarkStart w:id="192" w:name="_Toc20578"/>
      <w:bookmarkStart w:id="193" w:name="_Toc23904"/>
      <w:bookmarkStart w:id="194" w:name="_Toc515647787"/>
      <w:bookmarkStart w:id="195" w:name="_Toc23550"/>
      <w:bookmarkStart w:id="196" w:name="_Toc6753"/>
      <w:r>
        <w:rPr>
          <w:rFonts w:hint="eastAsia" w:ascii="微软雅黑" w:hAnsi="微软雅黑" w:eastAsia="微软雅黑" w:cs="微软雅黑"/>
          <w:b/>
          <w:bCs/>
          <w:color w:val="auto"/>
          <w:sz w:val="28"/>
          <w:szCs w:val="28"/>
          <w:highlight w:val="none"/>
        </w:rPr>
        <w:t>六</w:t>
      </w:r>
      <w:bookmarkEnd w:id="187"/>
      <w:r>
        <w:rPr>
          <w:rFonts w:hint="eastAsia" w:ascii="微软雅黑" w:hAnsi="微软雅黑" w:eastAsia="微软雅黑" w:cs="微软雅黑"/>
          <w:b/>
          <w:bCs/>
          <w:color w:val="auto"/>
          <w:sz w:val="28"/>
          <w:szCs w:val="28"/>
          <w:highlight w:val="none"/>
          <w:lang w:val="en-US" w:eastAsia="zh-CN"/>
        </w:rPr>
        <w:t xml:space="preserve">   </w:t>
      </w:r>
      <w:r>
        <w:rPr>
          <w:rFonts w:hint="eastAsia" w:ascii="微软雅黑" w:hAnsi="微软雅黑" w:eastAsia="微软雅黑" w:cs="微软雅黑"/>
          <w:b/>
          <w:bCs/>
          <w:color w:val="auto"/>
          <w:sz w:val="28"/>
          <w:szCs w:val="28"/>
          <w:highlight w:val="none"/>
        </w:rPr>
        <w:t>确定中标</w:t>
      </w:r>
      <w:bookmarkEnd w:id="188"/>
      <w:bookmarkEnd w:id="189"/>
      <w:bookmarkEnd w:id="190"/>
      <w:bookmarkEnd w:id="191"/>
      <w:bookmarkEnd w:id="192"/>
      <w:bookmarkEnd w:id="193"/>
      <w:bookmarkEnd w:id="194"/>
      <w:bookmarkEnd w:id="195"/>
      <w:bookmarkEnd w:id="196"/>
    </w:p>
    <w:p w14:paraId="29421226">
      <w:pPr>
        <w:pStyle w:val="4"/>
        <w:pageBreakBefore w:val="0"/>
        <w:widowControl w:val="0"/>
        <w:kinsoku/>
        <w:wordWrap/>
        <w:overflowPunct/>
        <w:topLinePunct w:val="0"/>
        <w:bidi w:val="0"/>
        <w:snapToGrid/>
        <w:spacing w:line="440" w:lineRule="exact"/>
        <w:textAlignment w:val="auto"/>
        <w:rPr>
          <w:rFonts w:ascii="微软雅黑" w:hAnsi="微软雅黑" w:eastAsia="微软雅黑" w:cs="微软雅黑"/>
          <w:color w:val="auto"/>
          <w:sz w:val="22"/>
          <w:szCs w:val="22"/>
          <w:highlight w:val="none"/>
        </w:rPr>
      </w:pPr>
    </w:p>
    <w:p w14:paraId="1F27D5C4">
      <w:pPr>
        <w:pStyle w:val="6"/>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197" w:name="_Ref467307010"/>
      <w:bookmarkStart w:id="198" w:name="_Toc515647788"/>
      <w:bookmarkStart w:id="199" w:name="_Toc23617"/>
      <w:bookmarkStart w:id="200" w:name="_Toc10050"/>
      <w:bookmarkStart w:id="201" w:name="_Toc23762"/>
      <w:bookmarkStart w:id="202" w:name="_Toc520356170"/>
      <w:r>
        <w:rPr>
          <w:rFonts w:hint="eastAsia" w:ascii="微软雅黑" w:hAnsi="微软雅黑" w:eastAsia="微软雅黑" w:cs="微软雅黑"/>
          <w:color w:val="auto"/>
          <w:sz w:val="22"/>
          <w:szCs w:val="22"/>
          <w:highlight w:val="none"/>
          <w:u w:val="none"/>
        </w:rPr>
        <w:t>26.中标候选人的确定原则及标准</w:t>
      </w:r>
      <w:bookmarkEnd w:id="197"/>
      <w:bookmarkEnd w:id="198"/>
      <w:bookmarkEnd w:id="199"/>
      <w:bookmarkEnd w:id="200"/>
      <w:bookmarkEnd w:id="201"/>
      <w:bookmarkEnd w:id="202"/>
    </w:p>
    <w:p w14:paraId="5CB370F7">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对实质上响应招标文件的供应商按下列方法进行排序，确定投标候选人：</w:t>
      </w:r>
    </w:p>
    <w:p w14:paraId="3431A6FD">
      <w:pPr>
        <w:pageBreakBefore w:val="0"/>
        <w:widowControl w:val="0"/>
        <w:kinsoku/>
        <w:wordWrap/>
        <w:overflowPunct/>
        <w:topLinePunct w:val="0"/>
        <w:bidi w:val="0"/>
        <w:snapToGrid/>
        <w:spacing w:line="440" w:lineRule="exact"/>
        <w:ind w:left="901"/>
        <w:textAlignment w:val="auto"/>
        <w:rPr>
          <w:rFonts w:ascii="微软雅黑" w:hAnsi="微软雅黑" w:eastAsia="微软雅黑" w:cs="微软雅黑"/>
          <w:color w:val="auto"/>
          <w:sz w:val="22"/>
          <w:szCs w:val="22"/>
          <w:highlight w:val="none"/>
        </w:rPr>
      </w:pPr>
      <w:bookmarkStart w:id="203" w:name="_Toc520356171"/>
      <w:bookmarkStart w:id="204" w:name="_Toc515647789"/>
      <w:r>
        <w:rPr>
          <w:rFonts w:hint="eastAsia" w:ascii="微软雅黑" w:hAnsi="微软雅黑" w:eastAsia="微软雅黑" w:cs="微软雅黑"/>
          <w:color w:val="auto"/>
          <w:sz w:val="22"/>
          <w:szCs w:val="22"/>
          <w:highlight w:val="none"/>
        </w:rPr>
        <w:t>（1）采用最低评标价法的，除了算术修正和落实政府采购政策需进行的价格扣除外，不对</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的投标价格进行任何调整。评标结果按修正和扣除后的投标报价由低到高顺序排列。报价相同的处理方式详见招标文件第6章。</w:t>
      </w:r>
    </w:p>
    <w:p w14:paraId="0B78620F">
      <w:pPr>
        <w:pageBreakBefore w:val="0"/>
        <w:widowControl w:val="0"/>
        <w:kinsoku/>
        <w:wordWrap/>
        <w:overflowPunct/>
        <w:topLinePunct w:val="0"/>
        <w:bidi w:val="0"/>
        <w:snapToGrid/>
        <w:spacing w:line="440" w:lineRule="exact"/>
        <w:ind w:left="901"/>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（2）采用综合评分法的，评标结果按评审后得分由高到低顺序排列。得分相同的，按修正和扣除后的投标报价由低到高顺序排列。得分与投标报价均相同的处理方式详见招标文件第6章。</w:t>
      </w:r>
    </w:p>
    <w:p w14:paraId="4EF41750">
      <w:pPr>
        <w:pageBreakBefore w:val="0"/>
        <w:widowControl w:val="0"/>
        <w:kinsoku/>
        <w:wordWrap/>
        <w:overflowPunct/>
        <w:topLinePunct w:val="0"/>
        <w:bidi w:val="0"/>
        <w:snapToGrid/>
        <w:spacing w:line="440" w:lineRule="exact"/>
        <w:ind w:left="901"/>
        <w:textAlignment w:val="auto"/>
        <w:rPr>
          <w:rFonts w:eastAsia="微软雅黑"/>
          <w:b/>
          <w:bCs/>
          <w:color w:val="auto"/>
          <w:highlight w:val="none"/>
        </w:rPr>
      </w:pPr>
      <w:r>
        <w:rPr>
          <w:rFonts w:hint="eastAsia" w:ascii="微软雅黑" w:hAnsi="微软雅黑" w:eastAsia="微软雅黑" w:cs="微软雅黑"/>
          <w:b/>
          <w:bCs/>
          <w:color w:val="auto"/>
          <w:sz w:val="22"/>
          <w:szCs w:val="22"/>
          <w:highlight w:val="none"/>
        </w:rPr>
        <w:t>本项目采用综合评分法。</w:t>
      </w:r>
      <w:bookmarkStart w:id="205" w:name="_Toc9653"/>
      <w:bookmarkStart w:id="206" w:name="_Toc9286"/>
      <w:bookmarkStart w:id="207" w:name="_Toc23951"/>
    </w:p>
    <w:p w14:paraId="4AF8A644">
      <w:pPr>
        <w:pageBreakBefore w:val="0"/>
        <w:widowControl w:val="0"/>
        <w:kinsoku/>
        <w:wordWrap/>
        <w:overflowPunct/>
        <w:topLinePunct w:val="0"/>
        <w:bidi w:val="0"/>
        <w:snapToGrid/>
        <w:spacing w:line="440" w:lineRule="exact"/>
        <w:ind w:left="901"/>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w:t>
      </w:r>
      <w:bookmarkEnd w:id="203"/>
      <w:r>
        <w:rPr>
          <w:rFonts w:hint="eastAsia" w:ascii="微软雅黑" w:hAnsi="微软雅黑" w:eastAsia="微软雅黑" w:cs="微软雅黑"/>
          <w:color w:val="auto"/>
          <w:sz w:val="22"/>
          <w:szCs w:val="22"/>
          <w:highlight w:val="none"/>
        </w:rPr>
        <w:t>7.确定中标候选人和中标人</w:t>
      </w:r>
      <w:bookmarkEnd w:id="204"/>
      <w:bookmarkEnd w:id="205"/>
      <w:bookmarkEnd w:id="206"/>
      <w:bookmarkEnd w:id="207"/>
    </w:p>
    <w:p w14:paraId="624CEC6E">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评标委员会将根据评标标准，按</w:t>
      </w:r>
      <w:r>
        <w:rPr>
          <w:rFonts w:hint="eastAsia" w:ascii="微软雅黑" w:hAnsi="微软雅黑" w:eastAsia="微软雅黑" w:cs="微软雅黑"/>
          <w:color w:val="auto"/>
          <w:sz w:val="22"/>
          <w:szCs w:val="22"/>
          <w:highlight w:val="none"/>
          <w:u w:val="single"/>
        </w:rPr>
        <w:t>供应商须知资料表中</w:t>
      </w:r>
      <w:r>
        <w:rPr>
          <w:rFonts w:hint="eastAsia" w:ascii="微软雅黑" w:hAnsi="微软雅黑" w:eastAsia="微软雅黑" w:cs="微软雅黑"/>
          <w:color w:val="auto"/>
          <w:sz w:val="22"/>
          <w:szCs w:val="22"/>
          <w:highlight w:val="none"/>
        </w:rPr>
        <w:t>规定数量推荐中标候选人；或根据采购人的委托，直接确定中标人。</w:t>
      </w:r>
    </w:p>
    <w:p w14:paraId="279A33D7">
      <w:pPr>
        <w:pStyle w:val="6"/>
        <w:pageBreakBefore w:val="0"/>
        <w:widowControl w:val="0"/>
        <w:tabs>
          <w:tab w:val="left" w:pos="900"/>
        </w:tabs>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208" w:name="_Ref467306874"/>
      <w:bookmarkStart w:id="209" w:name="_Toc520356173"/>
      <w:bookmarkStart w:id="210" w:name="_Toc380"/>
      <w:bookmarkStart w:id="211" w:name="_Toc8389"/>
      <w:bookmarkStart w:id="212" w:name="_Toc515647790"/>
      <w:bookmarkStart w:id="213" w:name="_Toc28562"/>
      <w:r>
        <w:rPr>
          <w:rFonts w:hint="eastAsia" w:ascii="微软雅黑" w:hAnsi="微软雅黑" w:eastAsia="微软雅黑" w:cs="微软雅黑"/>
          <w:color w:val="auto"/>
          <w:sz w:val="22"/>
          <w:szCs w:val="22"/>
          <w:highlight w:val="none"/>
          <w:u w:val="none"/>
        </w:rPr>
        <w:t>28.</w:t>
      </w:r>
      <w:bookmarkEnd w:id="208"/>
      <w:bookmarkEnd w:id="209"/>
      <w:r>
        <w:rPr>
          <w:rFonts w:hint="eastAsia" w:ascii="微软雅黑" w:hAnsi="微软雅黑" w:eastAsia="微软雅黑" w:cs="微软雅黑"/>
          <w:color w:val="auto"/>
          <w:sz w:val="22"/>
          <w:szCs w:val="22"/>
          <w:highlight w:val="none"/>
          <w:u w:val="none"/>
        </w:rPr>
        <w:t>采购任务取消</w:t>
      </w:r>
      <w:bookmarkEnd w:id="210"/>
      <w:bookmarkEnd w:id="211"/>
      <w:bookmarkEnd w:id="212"/>
      <w:bookmarkEnd w:id="213"/>
    </w:p>
    <w:p w14:paraId="4125712D">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因重大变故采购任务取消时，采购人有权拒绝任何供应商中标，且对受影响的供应商不承担任何责任。</w:t>
      </w:r>
      <w:bookmarkStart w:id="214" w:name="_Toc520356174"/>
    </w:p>
    <w:p w14:paraId="2FE1E483">
      <w:pPr>
        <w:pStyle w:val="6"/>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215" w:name="_Toc515647791"/>
      <w:bookmarkStart w:id="216" w:name="_Toc30170"/>
      <w:bookmarkStart w:id="217" w:name="_Toc8579"/>
      <w:bookmarkStart w:id="218" w:name="_Toc31099"/>
      <w:r>
        <w:rPr>
          <w:rFonts w:hint="eastAsia" w:ascii="微软雅黑" w:hAnsi="微软雅黑" w:eastAsia="微软雅黑" w:cs="微软雅黑"/>
          <w:color w:val="auto"/>
          <w:sz w:val="22"/>
          <w:szCs w:val="22"/>
          <w:highlight w:val="none"/>
          <w:u w:val="none"/>
        </w:rPr>
        <w:t>29.中标通知书</w:t>
      </w:r>
      <w:bookmarkEnd w:id="214"/>
      <w:r>
        <w:rPr>
          <w:rFonts w:hint="eastAsia" w:ascii="微软雅黑" w:hAnsi="微软雅黑" w:eastAsia="微软雅黑" w:cs="微软雅黑"/>
          <w:color w:val="auto"/>
          <w:sz w:val="22"/>
          <w:szCs w:val="22"/>
          <w:highlight w:val="none"/>
          <w:u w:val="none"/>
        </w:rPr>
        <w:t>和招标结果通知书</w:t>
      </w:r>
      <w:bookmarkEnd w:id="215"/>
      <w:bookmarkEnd w:id="216"/>
      <w:bookmarkEnd w:id="217"/>
      <w:bookmarkEnd w:id="218"/>
    </w:p>
    <w:p w14:paraId="6B098BF6">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在投标有效期内，中标人确定后，采购人或者采购代理机构发布中标公告，同时以书面形式向中标人发出中标通知书。</w:t>
      </w:r>
    </w:p>
    <w:p w14:paraId="48BBCA02">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中标通知书是合同的组成部分。</w:t>
      </w:r>
    </w:p>
    <w:p w14:paraId="5092AD7E">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29.3    招标结果通知书和中标通知书同时发出。招标结果通知书中将告知未通过资格审查的供应商未通过的原因；采用综合评分法评审的，还将告知未中标人本人的评审得分和排序。</w:t>
      </w:r>
    </w:p>
    <w:p w14:paraId="2E5319AE">
      <w:pPr>
        <w:pStyle w:val="6"/>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219" w:name="_Ref467306978"/>
      <w:bookmarkStart w:id="220" w:name="_Toc520356175"/>
      <w:bookmarkStart w:id="221" w:name="_Toc515647792"/>
      <w:bookmarkStart w:id="222" w:name="_Ref467306377"/>
      <w:bookmarkStart w:id="223" w:name="_Toc15653"/>
      <w:bookmarkStart w:id="224" w:name="_Toc7779"/>
      <w:bookmarkStart w:id="225" w:name="_Toc790"/>
      <w:bookmarkStart w:id="226" w:name="_Ref467307204"/>
      <w:bookmarkStart w:id="227" w:name="_Ref467307062"/>
      <w:r>
        <w:rPr>
          <w:rFonts w:hint="eastAsia" w:ascii="微软雅黑" w:hAnsi="微软雅黑" w:eastAsia="微软雅黑" w:cs="微软雅黑"/>
          <w:color w:val="auto"/>
          <w:sz w:val="22"/>
          <w:szCs w:val="22"/>
          <w:highlight w:val="none"/>
          <w:u w:val="none"/>
        </w:rPr>
        <w:t>30.签订合同</w:t>
      </w:r>
      <w:bookmarkEnd w:id="219"/>
      <w:bookmarkEnd w:id="220"/>
      <w:bookmarkEnd w:id="221"/>
      <w:bookmarkEnd w:id="222"/>
      <w:bookmarkEnd w:id="223"/>
      <w:bookmarkEnd w:id="224"/>
      <w:bookmarkEnd w:id="225"/>
      <w:bookmarkEnd w:id="226"/>
      <w:bookmarkEnd w:id="227"/>
    </w:p>
    <w:p w14:paraId="4B4322A0">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中标人应当自发出中标通知书之日起30日内，与采购人签订合同。</w:t>
      </w:r>
    </w:p>
    <w:p w14:paraId="4BDF5EF7">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30.2</w:t>
      </w:r>
      <w:r>
        <w:rPr>
          <w:rFonts w:hint="eastAsia" w:ascii="微软雅黑" w:hAnsi="微软雅黑" w:eastAsia="微软雅黑" w:cs="微软雅黑"/>
          <w:color w:val="auto"/>
          <w:sz w:val="22"/>
          <w:szCs w:val="22"/>
          <w:highlight w:val="none"/>
        </w:rPr>
        <w:tab/>
      </w:r>
      <w:bookmarkStart w:id="228" w:name="_Ref467307090"/>
      <w:bookmarkStart w:id="229" w:name="_Ref467306425"/>
      <w:bookmarkStart w:id="230" w:name="_Toc520356176"/>
      <w:r>
        <w:rPr>
          <w:rFonts w:hint="eastAsia" w:ascii="微软雅黑" w:hAnsi="微软雅黑" w:eastAsia="微软雅黑" w:cs="微软雅黑"/>
          <w:color w:val="auto"/>
          <w:sz w:val="22"/>
          <w:szCs w:val="22"/>
          <w:highlight w:val="none"/>
        </w:rPr>
        <w:t>招标文件、中标人的投标文件及其澄清文件等，均为签订合同的依据。</w:t>
      </w:r>
    </w:p>
    <w:p w14:paraId="06E3BC65">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30.3   中标人拒绝与采购人签订合同的，采购人可以按照评标报告推荐的中标候选人名单排序，确定下一中标候选人为中标人，也可以重新开展政府采购活动。</w:t>
      </w:r>
    </w:p>
    <w:p w14:paraId="33047202">
      <w:pPr>
        <w:pStyle w:val="6"/>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231" w:name="_Toc20240"/>
      <w:bookmarkStart w:id="232" w:name="_Toc22555"/>
      <w:bookmarkStart w:id="233" w:name="_Toc515647793"/>
      <w:bookmarkStart w:id="234" w:name="_Toc14080"/>
      <w:r>
        <w:rPr>
          <w:rFonts w:hint="eastAsia" w:ascii="微软雅黑" w:hAnsi="微软雅黑" w:eastAsia="微软雅黑" w:cs="微软雅黑"/>
          <w:color w:val="auto"/>
          <w:sz w:val="22"/>
          <w:szCs w:val="22"/>
          <w:highlight w:val="none"/>
        </w:rPr>
        <w:t>31</w:t>
      </w:r>
      <w:r>
        <w:rPr>
          <w:rFonts w:hint="eastAsia" w:ascii="微软雅黑" w:hAnsi="微软雅黑" w:eastAsia="微软雅黑" w:cs="微软雅黑"/>
          <w:color w:val="auto"/>
          <w:sz w:val="22"/>
          <w:szCs w:val="22"/>
          <w:highlight w:val="none"/>
          <w:u w:val="none"/>
        </w:rPr>
        <w:t>.履约保证金</w:t>
      </w:r>
      <w:bookmarkEnd w:id="228"/>
      <w:bookmarkEnd w:id="229"/>
      <w:bookmarkEnd w:id="230"/>
      <w:bookmarkEnd w:id="231"/>
      <w:bookmarkEnd w:id="232"/>
      <w:bookmarkEnd w:id="233"/>
      <w:bookmarkEnd w:id="234"/>
    </w:p>
    <w:p w14:paraId="00ABBD0C">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中标人应按照</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规定向采购人缴纳履约保证金。</w:t>
      </w:r>
    </w:p>
    <w:p w14:paraId="024220DD">
      <w:pPr>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政府采购利用担保试点范围内的项目，除31.1规定的情形外，中标人也可以按照财政部门的规定，向采购人提供合格的履约担保函。</w:t>
      </w:r>
    </w:p>
    <w:p w14:paraId="6A5EF949">
      <w:pPr>
        <w:pageBreakBefore w:val="0"/>
        <w:widowControl w:val="0"/>
        <w:kinsoku/>
        <w:wordWrap/>
        <w:overflowPunct/>
        <w:topLinePunct w:val="0"/>
        <w:bidi w:val="0"/>
        <w:snapToGrid/>
        <w:spacing w:line="46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31.3   如果中标人没有按照上述履约保证金的规定执行，将视为放弃中标资格，中标人的投标保证金将不予退还。在此情况下，采购人</w:t>
      </w:r>
      <w:r>
        <w:rPr>
          <w:rFonts w:hint="eastAsia" w:ascii="微软雅黑" w:hAnsi="微软雅黑" w:eastAsia="微软雅黑" w:cs="微软雅黑"/>
          <w:color w:val="auto"/>
          <w:sz w:val="22"/>
          <w:szCs w:val="22"/>
          <w:highlight w:val="none"/>
          <w:lang w:eastAsia="zh-CN"/>
        </w:rPr>
        <w:t>可以</w:t>
      </w:r>
      <w:r>
        <w:rPr>
          <w:rFonts w:hint="eastAsia" w:ascii="微软雅黑" w:hAnsi="微软雅黑" w:eastAsia="微软雅黑" w:cs="微软雅黑"/>
          <w:color w:val="auto"/>
          <w:sz w:val="22"/>
          <w:szCs w:val="22"/>
          <w:highlight w:val="none"/>
        </w:rPr>
        <w:t>确定下一候选人为中标人，也可以重新开展采购活动。</w:t>
      </w:r>
    </w:p>
    <w:p w14:paraId="6351D0A6">
      <w:pPr>
        <w:pStyle w:val="6"/>
        <w:spacing w:before="0" w:after="0" w:line="440" w:lineRule="exact"/>
        <w:rPr>
          <w:rFonts w:ascii="微软雅黑" w:hAnsi="微软雅黑" w:eastAsia="微软雅黑" w:cs="微软雅黑"/>
          <w:color w:val="auto"/>
          <w:sz w:val="22"/>
          <w:szCs w:val="22"/>
          <w:highlight w:val="none"/>
          <w:u w:val="none"/>
        </w:rPr>
      </w:pPr>
      <w:bookmarkStart w:id="235" w:name="_Toc8972"/>
      <w:bookmarkStart w:id="236" w:name="_Toc29408"/>
      <w:bookmarkStart w:id="237" w:name="_Toc515647794"/>
      <w:bookmarkStart w:id="238" w:name="_Toc3090"/>
      <w:r>
        <w:rPr>
          <w:rFonts w:hint="eastAsia" w:ascii="微软雅黑" w:hAnsi="微软雅黑" w:eastAsia="微软雅黑" w:cs="微软雅黑"/>
          <w:color w:val="auto"/>
          <w:sz w:val="22"/>
          <w:szCs w:val="22"/>
          <w:highlight w:val="none"/>
          <w:u w:val="none"/>
        </w:rPr>
        <w:t>32.中标服务费</w:t>
      </w:r>
      <w:bookmarkEnd w:id="235"/>
      <w:bookmarkEnd w:id="236"/>
      <w:bookmarkEnd w:id="237"/>
      <w:bookmarkEnd w:id="238"/>
    </w:p>
    <w:p w14:paraId="6E6FF13B">
      <w:pPr>
        <w:spacing w:line="440" w:lineRule="exact"/>
        <w:ind w:left="805" w:leftChars="200" w:hanging="385" w:hangingChars="175"/>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中标人须按照</w:t>
      </w:r>
      <w:r>
        <w:rPr>
          <w:rFonts w:hint="eastAsia" w:ascii="微软雅黑" w:hAnsi="微软雅黑" w:eastAsia="微软雅黑" w:cs="微软雅黑"/>
          <w:color w:val="auto"/>
          <w:sz w:val="22"/>
          <w:szCs w:val="22"/>
          <w:highlight w:val="none"/>
          <w:u w:val="single"/>
        </w:rPr>
        <w:t>投标须知资料表</w:t>
      </w:r>
      <w:r>
        <w:rPr>
          <w:rFonts w:hint="eastAsia" w:ascii="微软雅黑" w:hAnsi="微软雅黑" w:eastAsia="微软雅黑" w:cs="微软雅黑"/>
          <w:color w:val="auto"/>
          <w:sz w:val="22"/>
          <w:szCs w:val="22"/>
          <w:highlight w:val="none"/>
        </w:rPr>
        <w:t>规定，向采购代理机构支付中标服务费。</w:t>
      </w:r>
    </w:p>
    <w:p w14:paraId="173ED300">
      <w:pPr>
        <w:pStyle w:val="6"/>
        <w:spacing w:before="0" w:after="0" w:line="440" w:lineRule="exact"/>
        <w:rPr>
          <w:rFonts w:ascii="微软雅黑" w:hAnsi="微软雅黑" w:eastAsia="微软雅黑" w:cs="微软雅黑"/>
          <w:color w:val="auto"/>
          <w:sz w:val="22"/>
          <w:szCs w:val="22"/>
          <w:u w:val="none"/>
        </w:rPr>
      </w:pPr>
      <w:r>
        <w:rPr>
          <w:rFonts w:hint="eastAsia" w:ascii="微软雅黑" w:hAnsi="微软雅黑" w:eastAsia="微软雅黑" w:cs="微软雅黑"/>
          <w:color w:val="auto"/>
          <w:sz w:val="22"/>
          <w:szCs w:val="22"/>
          <w:u w:val="none"/>
        </w:rPr>
        <w:t>33.政府采购信用担保</w:t>
      </w:r>
    </w:p>
    <w:p w14:paraId="6F29D96E">
      <w:pPr>
        <w:spacing w:line="440" w:lineRule="exact"/>
        <w:ind w:left="825" w:hanging="825" w:hangingChars="375"/>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33.1   本项目是否属于信用担保试点范围见</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w:t>
      </w:r>
    </w:p>
    <w:p w14:paraId="0DD1300D">
      <w:pPr>
        <w:spacing w:line="440" w:lineRule="exact"/>
        <w:ind w:left="779" w:hanging="778" w:hangingChars="354"/>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33.2   如属于政府采购信用担保试点范围内，中小型企业供应商可以自由按照财政部门的规定，采用投标担保、履约担保和融资担保。</w:t>
      </w:r>
    </w:p>
    <w:p w14:paraId="08F5BF63">
      <w:pPr>
        <w:spacing w:line="440" w:lineRule="exact"/>
        <w:ind w:left="825" w:hanging="825" w:hangingChars="375"/>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33.2.1 供应商递交的投标担保函和履约担保函应符合本招标文件的规定。</w:t>
      </w:r>
    </w:p>
    <w:p w14:paraId="7D47F3AB">
      <w:pPr>
        <w:spacing w:line="440" w:lineRule="exact"/>
        <w:ind w:left="825" w:hanging="825" w:hangingChars="375"/>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33.2.2 中标人可以采取融资担保的形式为政府采购项目履约进行融资。</w:t>
      </w:r>
    </w:p>
    <w:p w14:paraId="272E806E">
      <w:pPr>
        <w:spacing w:line="44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rPr>
        <w:t>33.2.3 合格的政府采购专业信用担保机构名单见</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w:t>
      </w:r>
    </w:p>
    <w:p w14:paraId="3D58D3AA">
      <w:pPr>
        <w:pStyle w:val="6"/>
        <w:spacing w:before="0" w:after="0" w:line="440" w:lineRule="exact"/>
        <w:rPr>
          <w:rFonts w:ascii="微软雅黑" w:hAnsi="微软雅黑" w:eastAsia="微软雅黑" w:cs="微软雅黑"/>
          <w:color w:val="auto"/>
          <w:sz w:val="22"/>
          <w:szCs w:val="22"/>
          <w:highlight w:val="none"/>
          <w:u w:val="none"/>
        </w:rPr>
      </w:pPr>
      <w:bookmarkStart w:id="239" w:name="_Toc515647796"/>
      <w:bookmarkStart w:id="240" w:name="_Toc2133"/>
      <w:bookmarkStart w:id="241" w:name="_Toc23999"/>
      <w:bookmarkStart w:id="242" w:name="_Toc12709"/>
      <w:r>
        <w:rPr>
          <w:rFonts w:hint="eastAsia" w:ascii="微软雅黑" w:hAnsi="微软雅黑" w:eastAsia="微软雅黑" w:cs="微软雅黑"/>
          <w:color w:val="auto"/>
          <w:sz w:val="22"/>
          <w:szCs w:val="22"/>
          <w:highlight w:val="none"/>
          <w:u w:val="none"/>
        </w:rPr>
        <w:t>34.廉洁自律规定</w:t>
      </w:r>
      <w:bookmarkEnd w:id="239"/>
      <w:bookmarkEnd w:id="240"/>
      <w:bookmarkEnd w:id="241"/>
      <w:bookmarkEnd w:id="242"/>
    </w:p>
    <w:p w14:paraId="4A8125C4">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34.1   采购代理机构工作人员不得以不正当手段获取政府采购代理业务，不得与采购人、供应商恶意串通操纵政府采购活动。</w:t>
      </w:r>
    </w:p>
    <w:p w14:paraId="687B085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34.2   采购代理机构工作人员不得接受采购人或者供应商组织的宴请、旅游、娱乐，不得收受礼品、现金、有价证券等，不得向采购人或者供应商报销应当由个人承担的费用。</w:t>
      </w:r>
    </w:p>
    <w:p w14:paraId="4446AB4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34.3   为强化采购代理机构内部监督机制，供应商可按</w:t>
      </w:r>
      <w:r>
        <w:rPr>
          <w:rFonts w:hint="eastAsia" w:ascii="微软雅黑" w:hAnsi="微软雅黑" w:eastAsia="微软雅黑" w:cs="微软雅黑"/>
          <w:color w:val="auto"/>
          <w:sz w:val="22"/>
          <w:szCs w:val="22"/>
          <w:highlight w:val="none"/>
          <w:u w:val="single"/>
        </w:rPr>
        <w:t>供应商须知资料表中的</w:t>
      </w:r>
      <w:r>
        <w:rPr>
          <w:rFonts w:hint="eastAsia" w:ascii="微软雅黑" w:hAnsi="微软雅黑" w:eastAsia="微软雅黑" w:cs="微软雅黑"/>
          <w:color w:val="auto"/>
          <w:sz w:val="22"/>
          <w:szCs w:val="22"/>
          <w:highlight w:val="none"/>
        </w:rPr>
        <w:t>监督电话和邮箱，反映采购代理机构的廉洁自律等问题。</w:t>
      </w:r>
    </w:p>
    <w:p w14:paraId="673C3026">
      <w:pPr>
        <w:pStyle w:val="6"/>
        <w:spacing w:before="0" w:after="0" w:line="440" w:lineRule="exact"/>
        <w:rPr>
          <w:rFonts w:ascii="微软雅黑" w:hAnsi="微软雅黑" w:eastAsia="微软雅黑" w:cs="微软雅黑"/>
          <w:color w:val="auto"/>
          <w:sz w:val="22"/>
          <w:szCs w:val="22"/>
          <w:highlight w:val="none"/>
          <w:u w:val="none"/>
        </w:rPr>
      </w:pPr>
      <w:bookmarkStart w:id="243" w:name="_Toc515647797"/>
      <w:bookmarkStart w:id="244" w:name="_Toc11586"/>
      <w:bookmarkStart w:id="245" w:name="_Toc25480"/>
      <w:bookmarkStart w:id="246" w:name="_Toc12865"/>
      <w:r>
        <w:rPr>
          <w:rFonts w:hint="eastAsia" w:ascii="微软雅黑" w:hAnsi="微软雅黑" w:eastAsia="微软雅黑" w:cs="微软雅黑"/>
          <w:color w:val="auto"/>
          <w:sz w:val="22"/>
          <w:szCs w:val="22"/>
          <w:highlight w:val="none"/>
          <w:u w:val="none"/>
        </w:rPr>
        <w:t>35.人员回避</w:t>
      </w:r>
      <w:bookmarkEnd w:id="243"/>
      <w:bookmarkEnd w:id="244"/>
      <w:bookmarkEnd w:id="245"/>
      <w:bookmarkEnd w:id="246"/>
    </w:p>
    <w:p w14:paraId="173AC1A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供应商认为采购人员及其相关人员有法律法规所列与其他供应商有利害关系的，可以向采购人或采购代理机构书面提出回避申请，并说明理由。</w:t>
      </w:r>
    </w:p>
    <w:p w14:paraId="78E8D663">
      <w:pPr>
        <w:spacing w:line="440" w:lineRule="exact"/>
        <w:ind w:left="825" w:hanging="825" w:hangingChars="375"/>
        <w:jc w:val="left"/>
        <w:outlineLvl w:val="2"/>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36.质疑与接收</w:t>
      </w:r>
    </w:p>
    <w:p w14:paraId="59B681C2">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68452EA">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2970AB38">
      <w:pPr>
        <w:keepNext w:val="0"/>
        <w:keepLines w:val="0"/>
        <w:pageBreakBefore w:val="0"/>
        <w:widowControl w:val="0"/>
        <w:kinsoku/>
        <w:wordWrap/>
        <w:overflowPunct/>
        <w:topLinePunct w:val="0"/>
        <w:autoSpaceDE/>
        <w:autoSpaceDN/>
        <w:bidi w:val="0"/>
        <w:adjustRightInd/>
        <w:snapToGrid/>
        <w:spacing w:line="440" w:lineRule="exact"/>
        <w:ind w:left="840" w:leftChars="400" w:firstLine="0" w:firstLineChars="0"/>
        <w:jc w:val="lef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超出法定质疑期的、重复提出的、分次提出的或内容、形式不符合《政府采购质疑和投诉办法》的，质疑供应商将依法承担不利后果。</w:t>
      </w:r>
    </w:p>
    <w:p w14:paraId="18814796">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36.3    采购代理机构质疑函接收部门、联系电话和通讯地址， 见供应商须知资料表。</w:t>
      </w:r>
    </w:p>
    <w:p w14:paraId="279D187A">
      <w:pPr>
        <w:spacing w:line="440" w:lineRule="exact"/>
        <w:ind w:left="825" w:hanging="825" w:hangingChars="375"/>
        <w:jc w:val="left"/>
        <w:outlineLvl w:val="2"/>
        <w:rPr>
          <w:rFonts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2"/>
          <w:szCs w:val="22"/>
          <w:highlight w:val="none"/>
        </w:rPr>
        <w:t>37.</w:t>
      </w:r>
      <w:r>
        <w:rPr>
          <w:rFonts w:hint="eastAsia" w:ascii="微软雅黑" w:hAnsi="微软雅黑" w:eastAsia="微软雅黑" w:cs="微软雅黑"/>
          <w:b/>
          <w:bCs/>
          <w:color w:val="auto"/>
          <w:sz w:val="22"/>
          <w:szCs w:val="22"/>
          <w:highlight w:val="none"/>
        </w:rPr>
        <w:t>质疑的提出</w:t>
      </w:r>
    </w:p>
    <w:p w14:paraId="5B47FC2F">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   本采购文件中所称质疑及答复，是指参加本次采购活动的供应商对政府采购活动中的采购文件、采购过程和中标结果向采购方提出质疑，采购方答复质疑的行为。</w:t>
      </w:r>
    </w:p>
    <w:p w14:paraId="749F277B">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37.2   供应商认为采购文件、采购过程和中标结果使自己的权益受到损害的，可以在知道或者应知其权益受到损害之日起7个工作日内，以书面形式向采购方提出质疑。供应商应知其权益受到损害之日，是指：</w:t>
      </w:r>
    </w:p>
    <w:p w14:paraId="31F34833">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（一）对可以质疑的采购文件提出质疑的，为收到采购文件之日或者采购文件公告期限届满之日；</w:t>
      </w:r>
    </w:p>
    <w:p w14:paraId="154FEFD4">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（二）对采购过程提出质疑的，为各采购程序环节结束之日；</w:t>
      </w:r>
    </w:p>
    <w:p w14:paraId="533AD1FF">
      <w:pPr>
        <w:spacing w:line="440" w:lineRule="exact"/>
        <w:ind w:firstLine="660" w:firstLineChars="300"/>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（三）对中标结果提出质疑的，为中标结果公告期限届满之日。</w:t>
      </w:r>
    </w:p>
    <w:p w14:paraId="68167430">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37.3   对可以质疑的采购文件提出质疑的，质疑人为参与本项目的报价方或潜在报价方。可质疑的文件为采购公告以及采购文件（包括属于其组成部分的澄清、修改、补充文件和评审标准、合同文本等）。</w:t>
      </w:r>
    </w:p>
    <w:p w14:paraId="2994C14A">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37.4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4CF5DA75">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37.5   提出质疑应当符合下列条件：</w:t>
      </w:r>
    </w:p>
    <w:p w14:paraId="018A450F">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（一）质疑主体应当符合有关规定；</w:t>
      </w:r>
    </w:p>
    <w:p w14:paraId="430FDCF0">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（二）在质疑法定期限内提出；</w:t>
      </w:r>
    </w:p>
    <w:p w14:paraId="67E0D5A9">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（三）属于可以提出质疑的政府采购事项受理范围和本项目采购人的管辖权范围；</w:t>
      </w:r>
    </w:p>
    <w:p w14:paraId="4BAC4970">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（四）政府采购</w:t>
      </w:r>
      <w:r>
        <w:rPr>
          <w:rFonts w:hint="eastAsia" w:ascii="微软雅黑" w:hAnsi="微软雅黑" w:eastAsia="微软雅黑" w:cs="微软雅黑"/>
          <w:color w:val="auto"/>
          <w:sz w:val="22"/>
          <w:szCs w:val="22"/>
          <w:highlight w:val="none"/>
          <w:lang w:eastAsia="zh-CN"/>
        </w:rPr>
        <w:t>法律法规</w:t>
      </w:r>
      <w:r>
        <w:rPr>
          <w:rFonts w:hint="eastAsia" w:ascii="微软雅黑" w:hAnsi="微软雅黑" w:eastAsia="微软雅黑" w:cs="微软雅黑"/>
          <w:color w:val="auto"/>
          <w:sz w:val="22"/>
          <w:szCs w:val="22"/>
          <w:highlight w:val="none"/>
        </w:rPr>
        <w:t>、规章规定的其他条件。</w:t>
      </w:r>
    </w:p>
    <w:p w14:paraId="30333828">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10E6EFF">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37.7   质疑人所提供的证明材料应当具有真实性、合法性以及与质疑事项的关联性和证明力，否则不能作为认定该质疑事项成立的依据。</w:t>
      </w:r>
    </w:p>
    <w:p w14:paraId="0937C8D5">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37.8   质疑人提出质疑时应当提交质疑函。质疑函包括下列内容：</w:t>
      </w:r>
    </w:p>
    <w:p w14:paraId="3E87933D">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（一）提出质疑的质疑人的名称、地址、邮编、联系人及联系电话等；</w:t>
      </w:r>
    </w:p>
    <w:p w14:paraId="5BFD6EFC">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（二）质疑项目的名称、编号；</w:t>
      </w:r>
    </w:p>
    <w:p w14:paraId="5187BCB0">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（三）质疑事项；</w:t>
      </w:r>
    </w:p>
    <w:p w14:paraId="12F2C32F">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（四）事实依据和证明材料；</w:t>
      </w:r>
    </w:p>
    <w:p w14:paraId="333BE47F">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（五）法律依据；</w:t>
      </w:r>
    </w:p>
    <w:p w14:paraId="1F5064E6">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（六）提出质疑的日期。</w:t>
      </w:r>
    </w:p>
    <w:p w14:paraId="421B4890">
      <w:pPr>
        <w:spacing w:line="440" w:lineRule="exact"/>
        <w:ind w:left="958" w:leftChars="456" w:firstLine="55" w:firstLineChars="2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3FE9DDBC">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37.9   质疑人可以委托代理人进行质疑。代理人应当提交授权委托书。授权委托书应当载明委托代理的具体权限、期限和相关事项。</w:t>
      </w:r>
    </w:p>
    <w:p w14:paraId="13250020">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37.10  质疑的审查和受理。采购方在收到质疑函后应当及时审查是否符合质疑受理条件，对符合质疑受理条件的，及时予以受理。</w:t>
      </w:r>
    </w:p>
    <w:p w14:paraId="2F8F8408">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37.11  对不符合质疑受理条件的，分别按照下列不同情形予以处理：</w:t>
      </w:r>
    </w:p>
    <w:p w14:paraId="43225BE1">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（一）质疑函内容不符合规定的，告知质疑人进行修改并重新提出质疑。修改后质疑事项仍不具体、不明确或者最终递交质疑函的时间超过质疑法定期限的，不予受理；</w:t>
      </w:r>
    </w:p>
    <w:p w14:paraId="3CDCC916">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（二）质疑主体不符合有关规定的，告知质疑人不予受理；</w:t>
      </w:r>
    </w:p>
    <w:p w14:paraId="6443E0D5">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（三）超过质疑法定期限提出质疑的，告知质疑人不予受理；</w:t>
      </w:r>
    </w:p>
    <w:p w14:paraId="6356FF04">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（四）对不属于可以提出质疑的政府采购事项提出质疑的，告知质疑人不予受理；</w:t>
      </w:r>
    </w:p>
    <w:p w14:paraId="5E0CDED5">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（五）质疑不属于本项目采购方管辖的，告知质疑人向有管辖权的采购人提出质疑；</w:t>
      </w:r>
    </w:p>
    <w:p w14:paraId="5A874E62">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（六）质疑不符合其他条件的，告知质疑人不予受理。</w:t>
      </w:r>
    </w:p>
    <w:p w14:paraId="0B571F42">
      <w:pPr>
        <w:spacing w:line="440" w:lineRule="exact"/>
        <w:ind w:left="825" w:hanging="825" w:hangingChars="375"/>
        <w:jc w:val="left"/>
        <w:outlineLvl w:val="2"/>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38.质疑的处理和答复</w:t>
      </w:r>
    </w:p>
    <w:p w14:paraId="40C017DD">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 xml:space="preserve"> 采购方受理质疑后，将及时把质疑函发送给被质疑人，并要求其在一定限期内提交书面答复，同时提供有关证据、依据和相关材料。</w:t>
      </w:r>
    </w:p>
    <w:p w14:paraId="4FAFC102">
      <w:pPr>
        <w:keepNext w:val="0"/>
        <w:keepLines w:val="0"/>
        <w:pageBreakBefore w:val="0"/>
        <w:widowControl w:val="0"/>
        <w:kinsoku/>
        <w:wordWrap/>
        <w:overflowPunct/>
        <w:topLinePunct w:val="0"/>
        <w:autoSpaceDE/>
        <w:autoSpaceDN/>
        <w:bidi w:val="0"/>
        <w:adjustRightInd/>
        <w:snapToGrid/>
        <w:spacing w:line="440" w:lineRule="exact"/>
        <w:ind w:left="778" w:hanging="778" w:hangingChars="354"/>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38.1   对于质疑事项中涉及的问题较多、情况比较复杂的，为了全面查清事实、取得充分的证据，采购方认为有必要时，可以进行调查取证或者组织质证。</w:t>
      </w:r>
    </w:p>
    <w:p w14:paraId="233A571B">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38.2  对评审过程、中标结果提出质疑的，采购方可以组织原评审委员会协助答复质疑。</w:t>
      </w:r>
    </w:p>
    <w:p w14:paraId="748E8302">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38.3  质疑处理过程中，质疑人书面申请撤回质疑的，将终止质疑处理程序。</w:t>
      </w:r>
    </w:p>
    <w:p w14:paraId="6FC69A30">
      <w:pPr>
        <w:keepNext w:val="0"/>
        <w:keepLines w:val="0"/>
        <w:pageBreakBefore w:val="0"/>
        <w:widowControl w:val="0"/>
        <w:kinsoku/>
        <w:wordWrap/>
        <w:overflowPunct/>
        <w:topLinePunct w:val="0"/>
        <w:autoSpaceDE/>
        <w:autoSpaceDN/>
        <w:bidi w:val="0"/>
        <w:adjustRightInd/>
        <w:snapToGrid/>
        <w:spacing w:line="440" w:lineRule="exact"/>
        <w:ind w:left="778" w:hanging="778" w:hangingChars="354"/>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38.4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质疑人拒绝配合采购方依法对质疑进行调查处理的，采购方将按质疑人自动撤回质疑处理；被质疑人拒绝配合采购方依法对质疑进行调查处理的，采购方将视同其认可质疑事项。</w:t>
      </w:r>
    </w:p>
    <w:p w14:paraId="0EC549B9">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 xml:space="preserve">  采购方将在正式受理质疑后7个工作日内作出答复。</w:t>
      </w:r>
    </w:p>
    <w:p w14:paraId="66BE0D4E">
      <w:pPr>
        <w:spacing w:line="440" w:lineRule="exact"/>
        <w:ind w:left="825" w:hanging="825" w:hangingChars="375"/>
        <w:jc w:val="left"/>
        <w:rPr>
          <w:rFonts w:hint="eastAsia" w:ascii="微软雅黑" w:hAnsi="微软雅黑" w:eastAsia="微软雅黑" w:cs="微软雅黑"/>
          <w:color w:val="auto"/>
          <w:sz w:val="22"/>
          <w:szCs w:val="22"/>
          <w:highlight w:val="none"/>
        </w:rPr>
      </w:pPr>
      <w:bookmarkStart w:id="247" w:name="_Toc13704"/>
      <w:bookmarkStart w:id="248" w:name="_Toc7506"/>
      <w:bookmarkStart w:id="249" w:name="_Toc1795"/>
      <w:bookmarkStart w:id="250" w:name="_Toc25913"/>
      <w:bookmarkStart w:id="251" w:name="_Toc12696"/>
      <w:bookmarkStart w:id="252" w:name="_Toc21157"/>
      <w:bookmarkStart w:id="253" w:name="_Toc30841"/>
      <w:bookmarkStart w:id="254" w:name="_Toc17738"/>
      <w:bookmarkStart w:id="255" w:name="_Toc68"/>
      <w:bookmarkStart w:id="256" w:name="_Toc19087"/>
      <w:bookmarkStart w:id="257" w:name="_Toc24278"/>
      <w:r>
        <w:rPr>
          <w:rFonts w:hint="eastAsia" w:ascii="微软雅黑" w:hAnsi="微软雅黑" w:eastAsia="微软雅黑" w:cs="微软雅黑"/>
          <w:color w:val="auto"/>
          <w:sz w:val="22"/>
          <w:szCs w:val="22"/>
          <w:highlight w:val="none"/>
        </w:rPr>
        <w:t>38.</w:t>
      </w:r>
      <w:r>
        <w:rPr>
          <w:rFonts w:hint="eastAsia" w:ascii="微软雅黑" w:hAnsi="微软雅黑" w:eastAsia="微软雅黑" w:cs="微软雅黑"/>
          <w:color w:val="auto"/>
          <w:sz w:val="22"/>
          <w:szCs w:val="22"/>
          <w:highlight w:val="none"/>
          <w:lang w:val="en-US" w:eastAsia="zh-CN"/>
        </w:rPr>
        <w:t>6</w:t>
      </w:r>
      <w:r>
        <w:rPr>
          <w:rFonts w:hint="eastAsia" w:ascii="微软雅黑" w:hAnsi="微软雅黑" w:eastAsia="微软雅黑" w:cs="微软雅黑"/>
          <w:color w:val="auto"/>
          <w:sz w:val="22"/>
          <w:szCs w:val="22"/>
          <w:highlight w:val="none"/>
        </w:rPr>
        <w:t xml:space="preserve">  质疑答复应当包括下列内容：</w:t>
      </w:r>
      <w:bookmarkEnd w:id="247"/>
      <w:bookmarkEnd w:id="248"/>
      <w:bookmarkEnd w:id="249"/>
      <w:bookmarkEnd w:id="250"/>
      <w:bookmarkEnd w:id="251"/>
      <w:bookmarkEnd w:id="252"/>
      <w:bookmarkEnd w:id="253"/>
      <w:bookmarkEnd w:id="254"/>
      <w:bookmarkEnd w:id="255"/>
      <w:bookmarkEnd w:id="256"/>
      <w:bookmarkEnd w:id="257"/>
    </w:p>
    <w:p w14:paraId="6BCD2024">
      <w:pPr>
        <w:pStyle w:val="54"/>
        <w:keepNext w:val="0"/>
        <w:keepLines w:val="0"/>
        <w:pageBreakBefore w:val="0"/>
        <w:widowControl w:val="0"/>
        <w:kinsoku/>
        <w:wordWrap/>
        <w:overflowPunct/>
        <w:topLinePunct w:val="0"/>
        <w:bidi w:val="0"/>
        <w:adjustRightInd/>
        <w:snapToGrid/>
        <w:spacing w:line="320" w:lineRule="exact"/>
        <w:ind w:left="860" w:hanging="440"/>
        <w:jc w:val="left"/>
        <w:textAlignment w:val="auto"/>
        <w:outlineLvl w:val="9"/>
        <w:rPr>
          <w:rFonts w:hint="eastAsia" w:ascii="微软雅黑" w:hAnsi="微软雅黑" w:eastAsia="微软雅黑" w:cs="微软雅黑"/>
          <w:color w:val="auto"/>
          <w:sz w:val="22"/>
          <w:szCs w:val="22"/>
          <w:highlight w:val="none"/>
        </w:rPr>
      </w:pPr>
      <w:bookmarkStart w:id="258" w:name="_Toc27"/>
      <w:bookmarkStart w:id="259" w:name="_Toc26125"/>
      <w:bookmarkStart w:id="260" w:name="_Toc27598"/>
      <w:bookmarkStart w:id="261" w:name="_Toc22087"/>
      <w:bookmarkStart w:id="262" w:name="_Toc21851"/>
      <w:bookmarkStart w:id="263" w:name="_Toc3695"/>
      <w:bookmarkStart w:id="264" w:name="_Toc19393"/>
      <w:bookmarkStart w:id="265" w:name="_Toc28410"/>
      <w:bookmarkStart w:id="266" w:name="_Toc32456"/>
      <w:bookmarkStart w:id="267" w:name="_Toc17168"/>
      <w:bookmarkStart w:id="268" w:name="_Toc25836"/>
      <w:bookmarkStart w:id="269" w:name="_Toc24857"/>
      <w:bookmarkStart w:id="270" w:name="_Toc28483"/>
      <w:bookmarkStart w:id="271" w:name="_Toc14025"/>
      <w:bookmarkStart w:id="272" w:name="_Toc15502"/>
      <w:r>
        <w:rPr>
          <w:rFonts w:hint="eastAsia" w:ascii="微软雅黑" w:hAnsi="微软雅黑" w:eastAsia="微软雅黑" w:cs="微软雅黑"/>
          <w:color w:val="auto"/>
          <w:sz w:val="22"/>
          <w:szCs w:val="22"/>
          <w:highlight w:val="none"/>
        </w:rPr>
        <w:t>（一）质疑人的姓名或者名称；</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Start w:id="273" w:name="_Toc15892"/>
      <w:bookmarkStart w:id="274" w:name="_Toc16472"/>
      <w:bookmarkStart w:id="275" w:name="_Toc24536"/>
      <w:bookmarkStart w:id="276" w:name="_Toc1855"/>
      <w:bookmarkStart w:id="277" w:name="_Toc14680"/>
      <w:bookmarkStart w:id="278" w:name="_Toc3660"/>
      <w:bookmarkStart w:id="279" w:name="_Toc58"/>
      <w:bookmarkStart w:id="280" w:name="_Toc5988"/>
      <w:bookmarkStart w:id="281" w:name="_Toc5588"/>
      <w:bookmarkStart w:id="282" w:name="_Toc23335"/>
      <w:bookmarkStart w:id="283" w:name="_Toc21560"/>
      <w:bookmarkStart w:id="284" w:name="_Toc1281"/>
      <w:bookmarkStart w:id="285" w:name="_Toc30326"/>
      <w:bookmarkStart w:id="286" w:name="_Toc27255"/>
    </w:p>
    <w:p w14:paraId="3802DAE7">
      <w:pPr>
        <w:pStyle w:val="54"/>
        <w:keepNext w:val="0"/>
        <w:keepLines w:val="0"/>
        <w:pageBreakBefore w:val="0"/>
        <w:widowControl w:val="0"/>
        <w:kinsoku/>
        <w:wordWrap/>
        <w:overflowPunct/>
        <w:topLinePunct w:val="0"/>
        <w:bidi w:val="0"/>
        <w:adjustRightInd/>
        <w:snapToGrid/>
        <w:spacing w:line="320" w:lineRule="exact"/>
        <w:ind w:left="860" w:hanging="440"/>
        <w:jc w:val="left"/>
        <w:textAlignment w:val="auto"/>
        <w:outlineLvl w:val="9"/>
        <w:rPr>
          <w:rFonts w:ascii="微软雅黑" w:hAnsi="微软雅黑" w:eastAsia="微软雅黑" w:cs="微软雅黑"/>
          <w:color w:val="auto"/>
          <w:sz w:val="22"/>
          <w:szCs w:val="22"/>
          <w:highlight w:val="none"/>
        </w:rPr>
      </w:pPr>
      <w:bookmarkStart w:id="287" w:name="_Toc7951"/>
      <w:r>
        <w:rPr>
          <w:rFonts w:hint="eastAsia" w:ascii="微软雅黑" w:hAnsi="微软雅黑" w:eastAsia="微软雅黑" w:cs="微软雅黑"/>
          <w:color w:val="auto"/>
          <w:sz w:val="22"/>
          <w:szCs w:val="22"/>
          <w:highlight w:val="none"/>
        </w:rPr>
        <w:t>（二）收到质疑函的日期、质疑项目名称及编号；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FD54296">
      <w:pPr>
        <w:pStyle w:val="54"/>
        <w:keepNext w:val="0"/>
        <w:keepLines w:val="0"/>
        <w:pageBreakBefore w:val="0"/>
        <w:widowControl w:val="0"/>
        <w:kinsoku/>
        <w:wordWrap/>
        <w:overflowPunct/>
        <w:topLinePunct w:val="0"/>
        <w:bidi w:val="0"/>
        <w:adjustRightInd/>
        <w:snapToGrid/>
        <w:spacing w:line="320" w:lineRule="exact"/>
        <w:ind w:left="860" w:hanging="440"/>
        <w:jc w:val="left"/>
        <w:textAlignment w:val="auto"/>
        <w:outlineLvl w:val="9"/>
        <w:rPr>
          <w:rFonts w:ascii="微软雅黑" w:hAnsi="微软雅黑" w:eastAsia="微软雅黑" w:cs="微软雅黑"/>
          <w:color w:val="auto"/>
          <w:sz w:val="22"/>
          <w:szCs w:val="22"/>
          <w:highlight w:val="none"/>
        </w:rPr>
      </w:pPr>
      <w:bookmarkStart w:id="288" w:name="_Toc19386"/>
      <w:bookmarkStart w:id="289" w:name="_Toc24109"/>
      <w:bookmarkStart w:id="290" w:name="_Toc25292"/>
      <w:bookmarkStart w:id="291" w:name="_Toc31036"/>
      <w:bookmarkStart w:id="292" w:name="_Toc6167"/>
      <w:bookmarkStart w:id="293" w:name="_Toc4645"/>
      <w:bookmarkStart w:id="294" w:name="_Toc31737"/>
      <w:bookmarkStart w:id="295" w:name="_Toc32717"/>
      <w:bookmarkStart w:id="296" w:name="_Toc31005"/>
      <w:bookmarkStart w:id="297" w:name="_Toc26109"/>
      <w:bookmarkStart w:id="298" w:name="_Toc2597"/>
      <w:bookmarkStart w:id="299" w:name="_Toc26190"/>
      <w:bookmarkStart w:id="300" w:name="_Toc15439"/>
      <w:bookmarkStart w:id="301" w:name="_Toc7818"/>
      <w:bookmarkStart w:id="302" w:name="_Toc1690"/>
      <w:r>
        <w:rPr>
          <w:rFonts w:hint="eastAsia" w:ascii="微软雅黑" w:hAnsi="微软雅黑" w:eastAsia="微软雅黑" w:cs="微软雅黑"/>
          <w:color w:val="auto"/>
          <w:sz w:val="22"/>
          <w:szCs w:val="22"/>
          <w:highlight w:val="none"/>
        </w:rPr>
        <w:t>（三）质疑事项、质疑答复的具体内容、事实依据和法律依据；</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6C84168A">
      <w:pPr>
        <w:pStyle w:val="54"/>
        <w:keepNext w:val="0"/>
        <w:keepLines w:val="0"/>
        <w:pageBreakBefore w:val="0"/>
        <w:widowControl w:val="0"/>
        <w:kinsoku/>
        <w:wordWrap/>
        <w:overflowPunct/>
        <w:topLinePunct w:val="0"/>
        <w:bidi w:val="0"/>
        <w:adjustRightInd/>
        <w:snapToGrid/>
        <w:spacing w:line="320" w:lineRule="exact"/>
        <w:ind w:left="860" w:hanging="440"/>
        <w:jc w:val="left"/>
        <w:textAlignment w:val="auto"/>
        <w:outlineLvl w:val="9"/>
        <w:rPr>
          <w:rFonts w:hint="eastAsia" w:ascii="微软雅黑" w:hAnsi="微软雅黑" w:eastAsia="微软雅黑" w:cs="微软雅黑"/>
          <w:color w:val="auto"/>
          <w:sz w:val="22"/>
          <w:szCs w:val="22"/>
          <w:highlight w:val="none"/>
        </w:rPr>
      </w:pPr>
      <w:bookmarkStart w:id="303" w:name="_Toc14807"/>
      <w:bookmarkStart w:id="304" w:name="_Toc19294"/>
      <w:bookmarkStart w:id="305" w:name="_Toc2571"/>
      <w:bookmarkStart w:id="306" w:name="_Toc3887"/>
      <w:bookmarkStart w:id="307" w:name="_Toc26280"/>
      <w:bookmarkStart w:id="308" w:name="_Toc6990"/>
      <w:bookmarkStart w:id="309" w:name="_Toc18547"/>
      <w:bookmarkStart w:id="310" w:name="_Toc18453"/>
      <w:bookmarkStart w:id="311" w:name="_Toc30282"/>
      <w:bookmarkStart w:id="312" w:name="_Toc11908"/>
      <w:bookmarkStart w:id="313" w:name="_Toc22871"/>
      <w:bookmarkStart w:id="314" w:name="_Toc10962"/>
      <w:bookmarkStart w:id="315" w:name="_Toc15075"/>
      <w:bookmarkStart w:id="316" w:name="_Toc22889"/>
      <w:bookmarkStart w:id="317" w:name="_Toc5782"/>
      <w:r>
        <w:rPr>
          <w:rFonts w:hint="eastAsia" w:ascii="微软雅黑" w:hAnsi="微软雅黑" w:eastAsia="微软雅黑" w:cs="微软雅黑"/>
          <w:color w:val="auto"/>
          <w:sz w:val="22"/>
          <w:szCs w:val="22"/>
          <w:highlight w:val="none"/>
        </w:rPr>
        <w:t>（四）告知质疑供应商依法投诉的权利；</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Start w:id="318" w:name="_Toc22758"/>
      <w:bookmarkStart w:id="319" w:name="_Toc15258"/>
      <w:bookmarkStart w:id="320" w:name="_Toc9346"/>
      <w:bookmarkStart w:id="321" w:name="_Toc5262"/>
      <w:bookmarkStart w:id="322" w:name="_Toc30630"/>
      <w:bookmarkStart w:id="323" w:name="_Toc28360"/>
      <w:bookmarkStart w:id="324" w:name="_Toc1209"/>
      <w:bookmarkStart w:id="325" w:name="_Toc14110"/>
      <w:bookmarkStart w:id="326" w:name="_Toc23567"/>
      <w:bookmarkStart w:id="327" w:name="_Toc13275"/>
      <w:bookmarkStart w:id="328" w:name="_Toc11503"/>
      <w:bookmarkStart w:id="329" w:name="_Toc10383"/>
      <w:bookmarkStart w:id="330" w:name="_Toc31598"/>
      <w:bookmarkStart w:id="331" w:name="_Toc22838"/>
    </w:p>
    <w:p w14:paraId="40B7D077">
      <w:pPr>
        <w:pStyle w:val="54"/>
        <w:keepNext w:val="0"/>
        <w:keepLines w:val="0"/>
        <w:pageBreakBefore w:val="0"/>
        <w:widowControl w:val="0"/>
        <w:kinsoku/>
        <w:wordWrap/>
        <w:overflowPunct/>
        <w:topLinePunct w:val="0"/>
        <w:bidi w:val="0"/>
        <w:adjustRightInd/>
        <w:snapToGrid/>
        <w:spacing w:line="320" w:lineRule="exact"/>
        <w:ind w:left="860" w:hanging="440"/>
        <w:jc w:val="left"/>
        <w:textAlignment w:val="auto"/>
        <w:outlineLvl w:val="9"/>
        <w:rPr>
          <w:rFonts w:hint="eastAsia" w:ascii="微软雅黑" w:hAnsi="微软雅黑" w:eastAsia="微软雅黑" w:cs="微软雅黑"/>
          <w:color w:val="auto"/>
          <w:sz w:val="22"/>
          <w:szCs w:val="22"/>
          <w:highlight w:val="none"/>
        </w:rPr>
      </w:pPr>
      <w:bookmarkStart w:id="332" w:name="_Toc27933"/>
      <w:r>
        <w:rPr>
          <w:rFonts w:hint="eastAsia" w:ascii="微软雅黑" w:hAnsi="微软雅黑" w:eastAsia="微软雅黑" w:cs="微软雅黑"/>
          <w:color w:val="auto"/>
          <w:sz w:val="22"/>
          <w:szCs w:val="22"/>
          <w:highlight w:val="none"/>
        </w:rPr>
        <w:t>（五）质疑答复人名称；</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32AD50F2">
      <w:pPr>
        <w:pStyle w:val="54"/>
        <w:keepNext w:val="0"/>
        <w:keepLines w:val="0"/>
        <w:pageBreakBefore w:val="0"/>
        <w:widowControl w:val="0"/>
        <w:kinsoku/>
        <w:wordWrap/>
        <w:overflowPunct/>
        <w:topLinePunct w:val="0"/>
        <w:bidi w:val="0"/>
        <w:adjustRightInd/>
        <w:snapToGrid/>
        <w:spacing w:line="320" w:lineRule="exact"/>
        <w:ind w:left="860" w:hanging="440"/>
        <w:jc w:val="left"/>
        <w:textAlignment w:val="auto"/>
        <w:outlineLvl w:val="9"/>
        <w:rPr>
          <w:rFonts w:ascii="微软雅黑" w:hAnsi="微软雅黑" w:eastAsia="微软雅黑" w:cs="微软雅黑"/>
          <w:color w:val="auto"/>
          <w:sz w:val="22"/>
          <w:szCs w:val="22"/>
          <w:highlight w:val="none"/>
        </w:rPr>
      </w:pPr>
      <w:bookmarkStart w:id="333" w:name="_Toc3113"/>
      <w:r>
        <w:rPr>
          <w:rFonts w:hint="eastAsia" w:ascii="微软雅黑" w:hAnsi="微软雅黑" w:eastAsia="微软雅黑" w:cs="微软雅黑"/>
          <w:color w:val="auto"/>
          <w:sz w:val="22"/>
          <w:szCs w:val="22"/>
          <w:highlight w:val="none"/>
        </w:rPr>
        <w:t>（六）答复质疑的日期。</w:t>
      </w:r>
      <w:bookmarkEnd w:id="333"/>
    </w:p>
    <w:p w14:paraId="2B25106D">
      <w:pPr>
        <w:keepNext w:val="0"/>
        <w:keepLines w:val="0"/>
        <w:pageBreakBefore w:val="0"/>
        <w:kinsoku/>
        <w:wordWrap/>
        <w:overflowPunct/>
        <w:topLinePunct w:val="0"/>
        <w:autoSpaceDE/>
        <w:autoSpaceDN/>
        <w:bidi w:val="0"/>
        <w:spacing w:line="320" w:lineRule="exact"/>
        <w:jc w:val="center"/>
        <w:textAlignment w:val="auto"/>
        <w:outlineLvl w:val="9"/>
        <w:rPr>
          <w:rFonts w:hint="eastAsia" w:ascii="微软雅黑" w:hAnsi="微软雅黑" w:eastAsia="微软雅黑" w:cs="微软雅黑"/>
          <w:b/>
          <w:bCs/>
          <w:color w:val="auto"/>
          <w:sz w:val="22"/>
          <w:szCs w:val="22"/>
          <w:highlight w:val="none"/>
        </w:rPr>
        <w:sectPr>
          <w:pgSz w:w="11905" w:h="16838"/>
          <w:pgMar w:top="1440" w:right="1080" w:bottom="1440" w:left="1080" w:header="851" w:footer="992" w:gutter="0"/>
          <w:cols w:space="0" w:num="1"/>
          <w:docGrid w:linePitch="312" w:charSpace="0"/>
        </w:sectPr>
      </w:pPr>
      <w:bookmarkStart w:id="334" w:name="_Toc12854"/>
      <w:bookmarkStart w:id="335" w:name="_Toc28257"/>
      <w:bookmarkStart w:id="336" w:name="_Toc29161"/>
      <w:bookmarkStart w:id="337" w:name="_Toc32307"/>
      <w:bookmarkStart w:id="338" w:name="_Toc2845"/>
      <w:bookmarkStart w:id="339" w:name="_Toc9773"/>
      <w:bookmarkStart w:id="340" w:name="_Toc7867"/>
      <w:bookmarkStart w:id="341" w:name="_Toc27626"/>
      <w:bookmarkStart w:id="342" w:name="_Toc30870"/>
      <w:bookmarkStart w:id="343" w:name="_Toc19480"/>
      <w:bookmarkStart w:id="344" w:name="_Toc2335"/>
      <w:bookmarkStart w:id="345" w:name="_Toc11739"/>
      <w:bookmarkStart w:id="346" w:name="_Toc4329"/>
      <w:bookmarkStart w:id="347" w:name="_Toc9225"/>
      <w:bookmarkStart w:id="348" w:name="_Toc2251"/>
      <w:bookmarkStart w:id="349" w:name="_Toc4670"/>
      <w:bookmarkStart w:id="350" w:name="_Toc32151"/>
      <w:bookmarkStart w:id="351" w:name="_Toc20927"/>
      <w:bookmarkStart w:id="352" w:name="_Toc13444"/>
      <w:bookmarkStart w:id="353" w:name="_Toc435"/>
      <w:bookmarkStart w:id="354" w:name="_Toc25296"/>
      <w:bookmarkStart w:id="355" w:name="_Toc25944"/>
      <w:bookmarkStart w:id="356" w:name="_Toc23939"/>
      <w:bookmarkStart w:id="357" w:name="_Toc11563"/>
      <w:bookmarkStart w:id="358" w:name="_Toc25761"/>
      <w:bookmarkStart w:id="359" w:name="_Toc582"/>
      <w:bookmarkStart w:id="360" w:name="_Toc7782"/>
      <w:bookmarkStart w:id="361" w:name="_Toc12135"/>
      <w:bookmarkStart w:id="362" w:name="_Toc27462"/>
      <w:bookmarkStart w:id="363" w:name="_Toc8078"/>
      <w:bookmarkStart w:id="364" w:name="_Toc20680"/>
      <w:bookmarkStart w:id="365" w:name="_Toc15048"/>
      <w:bookmarkStart w:id="366" w:name="_Toc24430"/>
      <w:bookmarkStart w:id="367" w:name="_Toc7302"/>
      <w:bookmarkStart w:id="368" w:name="_Toc3750"/>
      <w:bookmarkStart w:id="369" w:name="_Toc10071"/>
      <w:bookmarkStart w:id="370" w:name="_Toc11576"/>
    </w:p>
    <w:p w14:paraId="24AC3FD9">
      <w:pPr>
        <w:keepNext w:val="0"/>
        <w:keepLines w:val="0"/>
        <w:pageBreakBefore w:val="0"/>
        <w:kinsoku/>
        <w:wordWrap/>
        <w:overflowPunct/>
        <w:topLinePunct w:val="0"/>
        <w:autoSpaceDE/>
        <w:autoSpaceDN/>
        <w:bidi w:val="0"/>
        <w:spacing w:line="320" w:lineRule="exact"/>
        <w:jc w:val="center"/>
        <w:textAlignment w:val="auto"/>
        <w:outlineLvl w:val="9"/>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质疑函范本</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4950C152">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rPr>
      </w:pPr>
      <w:bookmarkStart w:id="371" w:name="_Toc28797"/>
      <w:bookmarkStart w:id="372" w:name="_Toc29534"/>
      <w:bookmarkStart w:id="373" w:name="_Toc9536"/>
      <w:bookmarkStart w:id="374" w:name="_Toc17890"/>
      <w:bookmarkStart w:id="375" w:name="_Toc6259"/>
      <w:bookmarkStart w:id="376" w:name="_Toc5228"/>
      <w:bookmarkStart w:id="377" w:name="_Toc10187"/>
      <w:bookmarkStart w:id="378" w:name="_Toc25883"/>
      <w:bookmarkStart w:id="379" w:name="_Toc20504"/>
      <w:bookmarkStart w:id="380" w:name="_Toc13616"/>
      <w:bookmarkStart w:id="381" w:name="_Toc13890"/>
      <w:bookmarkStart w:id="382" w:name="_Toc4348"/>
      <w:bookmarkStart w:id="383" w:name="_Toc7517"/>
      <w:bookmarkStart w:id="384" w:name="_Toc18345"/>
      <w:bookmarkStart w:id="385" w:name="_Toc26321"/>
      <w:bookmarkStart w:id="386" w:name="_Toc31020"/>
      <w:bookmarkStart w:id="387" w:name="_Toc9787"/>
      <w:bookmarkStart w:id="388" w:name="_Toc3250"/>
      <w:bookmarkStart w:id="389" w:name="_Toc24160"/>
      <w:bookmarkStart w:id="390" w:name="_Toc12932"/>
      <w:bookmarkStart w:id="391" w:name="_Toc17444"/>
      <w:bookmarkStart w:id="392" w:name="_Toc9491"/>
      <w:bookmarkStart w:id="393" w:name="_Toc24926"/>
      <w:bookmarkStart w:id="394" w:name="_Toc10887"/>
      <w:bookmarkStart w:id="395" w:name="_Toc6833"/>
      <w:bookmarkStart w:id="396" w:name="_Toc17791"/>
      <w:bookmarkStart w:id="397" w:name="_Toc22805"/>
      <w:bookmarkStart w:id="398" w:name="_Toc14896"/>
      <w:bookmarkStart w:id="399" w:name="_Toc3356"/>
      <w:bookmarkStart w:id="400" w:name="_Toc7044"/>
      <w:bookmarkStart w:id="401" w:name="_Toc23190"/>
      <w:bookmarkStart w:id="402" w:name="_Toc32439"/>
      <w:bookmarkStart w:id="403" w:name="_Toc8620"/>
      <w:bookmarkStart w:id="404" w:name="_Toc13218"/>
      <w:bookmarkStart w:id="405" w:name="_Toc24391"/>
      <w:bookmarkStart w:id="406" w:name="_Toc6943"/>
      <w:bookmarkStart w:id="407" w:name="_Toc28837"/>
      <w:bookmarkStart w:id="408" w:name="_Toc7313"/>
      <w:r>
        <w:rPr>
          <w:rFonts w:hint="eastAsia" w:ascii="微软雅黑" w:hAnsi="微软雅黑" w:eastAsia="微软雅黑" w:cs="微软雅黑"/>
          <w:color w:val="auto"/>
          <w:sz w:val="22"/>
          <w:szCs w:val="22"/>
          <w:highlight w:val="none"/>
        </w:rPr>
        <w:t>一、质疑供应商基本信息</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2AC2D64F">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质疑供应商：</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13188FF7">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地址：</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3A053534">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联系人：</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6FCA0243">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授权代表：</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548E039A">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 xml:space="preserve"> </w:t>
      </w:r>
    </w:p>
    <w:p w14:paraId="7B75FD61">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地址： </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p>
    <w:p w14:paraId="1960E9A4">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rPr>
      </w:pPr>
      <w:bookmarkStart w:id="409" w:name="_Toc27681"/>
      <w:bookmarkStart w:id="410" w:name="_Toc21513"/>
      <w:bookmarkStart w:id="411" w:name="_Toc3694"/>
      <w:bookmarkStart w:id="412" w:name="_Toc17094"/>
      <w:bookmarkStart w:id="413" w:name="_Toc4409"/>
      <w:bookmarkStart w:id="414" w:name="_Toc12179"/>
      <w:bookmarkStart w:id="415" w:name="_Toc13889"/>
      <w:bookmarkStart w:id="416" w:name="_Toc17897"/>
      <w:bookmarkStart w:id="417" w:name="_Toc226"/>
      <w:bookmarkStart w:id="418" w:name="_Toc22030"/>
      <w:bookmarkStart w:id="419" w:name="_Toc26550"/>
      <w:bookmarkStart w:id="420" w:name="_Toc9137"/>
      <w:bookmarkStart w:id="421" w:name="_Toc21544"/>
      <w:bookmarkStart w:id="422" w:name="_Toc2978"/>
      <w:bookmarkStart w:id="423" w:name="_Toc8393"/>
      <w:bookmarkStart w:id="424" w:name="_Toc663"/>
      <w:bookmarkStart w:id="425" w:name="_Toc15828"/>
      <w:bookmarkStart w:id="426" w:name="_Toc14841"/>
      <w:bookmarkStart w:id="427" w:name="_Toc11512"/>
      <w:bookmarkStart w:id="428" w:name="_Toc27007"/>
      <w:bookmarkStart w:id="429" w:name="_Toc12957"/>
      <w:bookmarkStart w:id="430" w:name="_Toc29791"/>
      <w:bookmarkStart w:id="431" w:name="_Toc26704"/>
      <w:bookmarkStart w:id="432" w:name="_Toc9221"/>
      <w:bookmarkStart w:id="433" w:name="_Toc25142"/>
      <w:bookmarkStart w:id="434" w:name="_Toc32219"/>
      <w:bookmarkStart w:id="435" w:name="_Toc21282"/>
      <w:bookmarkStart w:id="436" w:name="_Toc31363"/>
      <w:bookmarkStart w:id="437" w:name="_Toc26685"/>
      <w:bookmarkStart w:id="438" w:name="_Toc30222"/>
      <w:bookmarkStart w:id="439" w:name="_Toc32138"/>
      <w:bookmarkStart w:id="440" w:name="_Toc20994"/>
      <w:bookmarkStart w:id="441" w:name="_Toc4127"/>
      <w:bookmarkStart w:id="442" w:name="_Toc74"/>
      <w:bookmarkStart w:id="443" w:name="_Toc20123"/>
      <w:bookmarkStart w:id="444" w:name="_Toc13274"/>
      <w:bookmarkStart w:id="445" w:name="_Toc32083"/>
      <w:bookmarkStart w:id="446" w:name="_Toc14030"/>
      <w:r>
        <w:rPr>
          <w:rFonts w:hint="eastAsia" w:ascii="微软雅黑" w:hAnsi="微软雅黑" w:eastAsia="微软雅黑" w:cs="微软雅黑"/>
          <w:color w:val="auto"/>
          <w:sz w:val="22"/>
          <w:szCs w:val="22"/>
          <w:highlight w:val="none"/>
        </w:rPr>
        <w:t>二、质疑项目基本情况</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39B0FB47">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质疑项目的名称：</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6B2CC296">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质疑项目的编号：</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包号：</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37E274F3">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采购人名称：</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160C8C09">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采购文件获取日期：</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59F73F6D">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rPr>
      </w:pPr>
      <w:bookmarkStart w:id="447" w:name="_Toc21644"/>
      <w:bookmarkStart w:id="448" w:name="_Toc16865"/>
      <w:bookmarkStart w:id="449" w:name="_Toc21917"/>
      <w:bookmarkStart w:id="450" w:name="_Toc3292"/>
      <w:bookmarkStart w:id="451" w:name="_Toc25211"/>
      <w:bookmarkStart w:id="452" w:name="_Toc9363"/>
      <w:bookmarkStart w:id="453" w:name="_Toc3773"/>
      <w:bookmarkStart w:id="454" w:name="_Toc11812"/>
      <w:bookmarkStart w:id="455" w:name="_Toc17475"/>
      <w:bookmarkStart w:id="456" w:name="_Toc4978"/>
      <w:bookmarkStart w:id="457" w:name="_Toc2701"/>
      <w:bookmarkStart w:id="458" w:name="_Toc29781"/>
      <w:bookmarkStart w:id="459" w:name="_Toc12401"/>
      <w:bookmarkStart w:id="460" w:name="_Toc10982"/>
      <w:bookmarkStart w:id="461" w:name="_Toc10476"/>
      <w:bookmarkStart w:id="462" w:name="_Toc12127"/>
      <w:bookmarkStart w:id="463" w:name="_Toc25561"/>
      <w:bookmarkStart w:id="464" w:name="_Toc2143"/>
      <w:bookmarkStart w:id="465" w:name="_Toc17103"/>
      <w:bookmarkStart w:id="466" w:name="_Toc9961"/>
      <w:bookmarkStart w:id="467" w:name="_Toc6588"/>
      <w:bookmarkStart w:id="468" w:name="_Toc29141"/>
      <w:bookmarkStart w:id="469" w:name="_Toc21764"/>
      <w:bookmarkStart w:id="470" w:name="_Toc11713"/>
      <w:bookmarkStart w:id="471" w:name="_Toc5794"/>
      <w:bookmarkStart w:id="472" w:name="_Toc809"/>
      <w:bookmarkStart w:id="473" w:name="_Toc14879"/>
      <w:bookmarkStart w:id="474" w:name="_Toc27984"/>
      <w:bookmarkStart w:id="475" w:name="_Toc17609"/>
      <w:bookmarkStart w:id="476" w:name="_Toc4484"/>
      <w:bookmarkStart w:id="477" w:name="_Toc13877"/>
      <w:bookmarkStart w:id="478" w:name="_Toc29981"/>
      <w:bookmarkStart w:id="479" w:name="_Toc12111"/>
      <w:bookmarkStart w:id="480" w:name="_Toc27270"/>
      <w:bookmarkStart w:id="481" w:name="_Toc28889"/>
      <w:bookmarkStart w:id="482" w:name="_Toc4900"/>
      <w:bookmarkStart w:id="483" w:name="_Toc1349"/>
      <w:bookmarkStart w:id="484" w:name="_Toc22928"/>
      <w:r>
        <w:rPr>
          <w:rFonts w:hint="eastAsia" w:ascii="微软雅黑" w:hAnsi="微软雅黑" w:eastAsia="微软雅黑" w:cs="微软雅黑"/>
          <w:color w:val="auto"/>
          <w:sz w:val="22"/>
          <w:szCs w:val="22"/>
          <w:highlight w:val="none"/>
        </w:rPr>
        <w:t>三、质疑事项具体内容</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6FF19276">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质疑事项1：</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4B35635B">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事实依据：</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39F901B6">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673E890F">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法律依据：</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0F86613F">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39D2EFAD">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质疑事项2</w:t>
      </w:r>
    </w:p>
    <w:p w14:paraId="3AE2E9FD">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p>
    <w:p w14:paraId="407110AE">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rPr>
      </w:pPr>
      <w:bookmarkStart w:id="485" w:name="_Toc11725"/>
      <w:bookmarkStart w:id="486" w:name="_Toc8209"/>
      <w:bookmarkStart w:id="487" w:name="_Toc29909"/>
      <w:bookmarkStart w:id="488" w:name="_Toc19561"/>
      <w:bookmarkStart w:id="489" w:name="_Toc28825"/>
      <w:bookmarkStart w:id="490" w:name="_Toc20101"/>
      <w:bookmarkStart w:id="491" w:name="_Toc25475"/>
      <w:bookmarkStart w:id="492" w:name="_Toc20492"/>
      <w:bookmarkStart w:id="493" w:name="_Toc31962"/>
      <w:bookmarkStart w:id="494" w:name="_Toc19163"/>
      <w:bookmarkStart w:id="495" w:name="_Toc11936"/>
      <w:bookmarkStart w:id="496" w:name="_Toc19138"/>
      <w:bookmarkStart w:id="497" w:name="_Toc14716"/>
      <w:bookmarkStart w:id="498" w:name="_Toc23756"/>
      <w:bookmarkStart w:id="499" w:name="_Toc11711"/>
      <w:bookmarkStart w:id="500" w:name="_Toc1624"/>
      <w:bookmarkStart w:id="501" w:name="_Toc24954"/>
      <w:bookmarkStart w:id="502" w:name="_Toc21526"/>
      <w:bookmarkStart w:id="503" w:name="_Toc19830"/>
      <w:bookmarkStart w:id="504" w:name="_Toc4583"/>
      <w:bookmarkStart w:id="505" w:name="_Toc13154"/>
      <w:bookmarkStart w:id="506" w:name="_Toc11900"/>
      <w:bookmarkStart w:id="507" w:name="_Toc25423"/>
      <w:bookmarkStart w:id="508" w:name="_Toc15774"/>
      <w:bookmarkStart w:id="509" w:name="_Toc14902"/>
      <w:bookmarkStart w:id="510" w:name="_Toc2037"/>
      <w:bookmarkStart w:id="511" w:name="_Toc14232"/>
      <w:bookmarkStart w:id="512" w:name="_Toc21477"/>
      <w:bookmarkStart w:id="513" w:name="_Toc30785"/>
      <w:bookmarkStart w:id="514" w:name="_Toc15359"/>
      <w:bookmarkStart w:id="515" w:name="_Toc3956"/>
      <w:bookmarkStart w:id="516" w:name="_Toc30617"/>
      <w:bookmarkStart w:id="517" w:name="_Toc6582"/>
      <w:bookmarkStart w:id="518" w:name="_Toc1378"/>
      <w:bookmarkStart w:id="519" w:name="_Toc12953"/>
      <w:bookmarkStart w:id="520" w:name="_Toc23515"/>
      <w:bookmarkStart w:id="521" w:name="_Toc843"/>
      <w:bookmarkStart w:id="522" w:name="_Toc17471"/>
      <w:bookmarkStart w:id="523" w:name="_Toc216582812"/>
      <w:bookmarkStart w:id="524" w:name="_Toc515647802"/>
      <w:bookmarkStart w:id="525" w:name="_Toc728"/>
      <w:bookmarkStart w:id="526" w:name="_Toc702"/>
      <w:bookmarkStart w:id="527" w:name="_Toc29770"/>
      <w:r>
        <w:rPr>
          <w:rFonts w:hint="eastAsia" w:ascii="微软雅黑" w:hAnsi="微软雅黑" w:eastAsia="微软雅黑" w:cs="微软雅黑"/>
          <w:color w:val="auto"/>
          <w:sz w:val="22"/>
          <w:szCs w:val="22"/>
          <w:highlight w:val="none"/>
        </w:rPr>
        <w:t>四、与质疑事项相关的质疑请求</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72AECDE">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请求：</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4F29B566">
      <w:pPr>
        <w:keepNext w:val="0"/>
        <w:keepLines w:val="0"/>
        <w:pageBreakBefore w:val="0"/>
        <w:widowControl w:val="0"/>
        <w:kinsoku/>
        <w:wordWrap/>
        <w:overflowPunct/>
        <w:topLinePunct w:val="0"/>
        <w:autoSpaceDE/>
        <w:autoSpaceDN/>
        <w:bidi w:val="0"/>
        <w:spacing w:line="360" w:lineRule="exact"/>
        <w:ind w:firstLine="440" w:firstLineChars="200"/>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签字（签章）：                   公章：                      </w:t>
      </w:r>
    </w:p>
    <w:p w14:paraId="0703EE80">
      <w:pPr>
        <w:keepNext w:val="0"/>
        <w:keepLines w:val="0"/>
        <w:pageBreakBefore w:val="0"/>
        <w:widowControl w:val="0"/>
        <w:kinsoku/>
        <w:wordWrap/>
        <w:overflowPunct/>
        <w:topLinePunct w:val="0"/>
        <w:autoSpaceDE/>
        <w:autoSpaceDN/>
        <w:bidi w:val="0"/>
        <w:spacing w:line="360" w:lineRule="exact"/>
        <w:ind w:firstLine="440" w:firstLineChars="200"/>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日期：    </w:t>
      </w:r>
    </w:p>
    <w:p w14:paraId="4F79733D">
      <w:pPr>
        <w:keepNext w:val="0"/>
        <w:keepLines w:val="0"/>
        <w:pageBreakBefore w:val="0"/>
        <w:widowControl w:val="0"/>
        <w:kinsoku/>
        <w:wordWrap/>
        <w:overflowPunct/>
        <w:topLinePunct w:val="0"/>
        <w:autoSpaceDE/>
        <w:autoSpaceDN/>
        <w:bidi w:val="0"/>
        <w:spacing w:line="360" w:lineRule="exact"/>
        <w:ind w:firstLine="440" w:firstLineChars="200"/>
        <w:textAlignment w:val="auto"/>
        <w:outlineLvl w:val="9"/>
        <w:rPr>
          <w:rFonts w:hint="eastAsia" w:ascii="微软雅黑" w:hAnsi="微软雅黑" w:eastAsia="微软雅黑" w:cs="微软雅黑"/>
          <w:b/>
          <w:bCs/>
          <w:color w:val="auto"/>
          <w:sz w:val="22"/>
          <w:szCs w:val="22"/>
          <w:highlight w:val="none"/>
        </w:rPr>
      </w:pPr>
    </w:p>
    <w:p w14:paraId="15936C9D">
      <w:pPr>
        <w:keepNext w:val="0"/>
        <w:keepLines w:val="0"/>
        <w:pageBreakBefore w:val="0"/>
        <w:kinsoku/>
        <w:wordWrap/>
        <w:overflowPunct/>
        <w:topLinePunct w:val="0"/>
        <w:autoSpaceDE/>
        <w:autoSpaceDN/>
        <w:bidi w:val="0"/>
        <w:spacing w:line="320" w:lineRule="exact"/>
        <w:textAlignment w:val="auto"/>
        <w:outlineLvl w:val="9"/>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质疑函制作说明：</w:t>
      </w:r>
    </w:p>
    <w:p w14:paraId="602DDDC0">
      <w:pPr>
        <w:keepNext w:val="0"/>
        <w:keepLines w:val="0"/>
        <w:pageBreakBefore w:val="0"/>
        <w:widowControl/>
        <w:kinsoku/>
        <w:wordWrap/>
        <w:overflowPunct/>
        <w:topLinePunct w:val="0"/>
        <w:autoSpaceDE/>
        <w:autoSpaceDN/>
        <w:bidi w:val="0"/>
        <w:spacing w:line="320" w:lineRule="exact"/>
        <w:ind w:firstLine="440" w:firstLineChars="200"/>
        <w:jc w:val="lef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1.供应商提出质疑时，应提交质疑函和必要的证明材料。</w:t>
      </w:r>
    </w:p>
    <w:p w14:paraId="0534C9A8">
      <w:pPr>
        <w:keepNext w:val="0"/>
        <w:keepLines w:val="0"/>
        <w:pageBreakBefore w:val="0"/>
        <w:widowControl/>
        <w:kinsoku/>
        <w:wordWrap/>
        <w:overflowPunct/>
        <w:topLinePunct w:val="0"/>
        <w:autoSpaceDE/>
        <w:autoSpaceDN/>
        <w:bidi w:val="0"/>
        <w:spacing w:line="320" w:lineRule="exact"/>
        <w:ind w:firstLine="440" w:firstLineChars="200"/>
        <w:jc w:val="lef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2"/>
          <w:szCs w:val="22"/>
          <w:highlight w:val="none"/>
        </w:rPr>
        <w:t>供应商签署的授权委托书。授权委托书应载明代理人的姓名或者名称、代理事项、具体权限、期限和相关事项。</w:t>
      </w:r>
    </w:p>
    <w:p w14:paraId="70D40AEB">
      <w:pPr>
        <w:keepNext w:val="0"/>
        <w:keepLines w:val="0"/>
        <w:pageBreakBefore w:val="0"/>
        <w:widowControl/>
        <w:kinsoku/>
        <w:wordWrap/>
        <w:overflowPunct/>
        <w:topLinePunct w:val="0"/>
        <w:autoSpaceDE/>
        <w:autoSpaceDN/>
        <w:bidi w:val="0"/>
        <w:spacing w:line="320" w:lineRule="exact"/>
        <w:ind w:firstLine="440" w:firstLineChars="200"/>
        <w:jc w:val="lef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3.质疑供应商若对项目的某一分包进行质疑，质疑函中应列明具体分包号。</w:t>
      </w:r>
    </w:p>
    <w:p w14:paraId="000EB04C">
      <w:pPr>
        <w:keepNext w:val="0"/>
        <w:keepLines w:val="0"/>
        <w:pageBreakBefore w:val="0"/>
        <w:widowControl/>
        <w:kinsoku/>
        <w:wordWrap/>
        <w:overflowPunct/>
        <w:topLinePunct w:val="0"/>
        <w:autoSpaceDE/>
        <w:autoSpaceDN/>
        <w:bidi w:val="0"/>
        <w:spacing w:line="320" w:lineRule="exact"/>
        <w:ind w:firstLine="440" w:firstLineChars="200"/>
        <w:jc w:val="lef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4.质疑函的质疑事项应具体、明确，并有必要的事实依据和法律依据。</w:t>
      </w:r>
    </w:p>
    <w:p w14:paraId="1A022FAE">
      <w:pPr>
        <w:keepNext w:val="0"/>
        <w:keepLines w:val="0"/>
        <w:pageBreakBefore w:val="0"/>
        <w:widowControl/>
        <w:kinsoku/>
        <w:wordWrap/>
        <w:overflowPunct/>
        <w:topLinePunct w:val="0"/>
        <w:autoSpaceDE/>
        <w:autoSpaceDN/>
        <w:bidi w:val="0"/>
        <w:spacing w:line="320" w:lineRule="exact"/>
        <w:ind w:firstLine="440" w:firstLineChars="200"/>
        <w:jc w:val="lef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5.质疑函的质疑请求应与质疑事项相关。</w:t>
      </w:r>
    </w:p>
    <w:p w14:paraId="009DB713">
      <w:pPr>
        <w:keepNext w:val="0"/>
        <w:keepLines w:val="0"/>
        <w:pageBreakBefore w:val="0"/>
        <w:widowControl/>
        <w:kinsoku/>
        <w:wordWrap/>
        <w:overflowPunct/>
        <w:topLinePunct w:val="0"/>
        <w:autoSpaceDE/>
        <w:autoSpaceDN/>
        <w:bidi w:val="0"/>
        <w:spacing w:line="320" w:lineRule="exact"/>
        <w:ind w:firstLine="440" w:firstLineChars="200"/>
        <w:jc w:val="left"/>
        <w:textAlignment w:val="auto"/>
        <w:outlineLvl w:val="9"/>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6.质疑供应商为自然人的，质疑函应由本人签字；质疑供应商为法人或者其他组织的，质疑函应由法定代表人、主要负责人，或者其授权代表签字或者盖章，并加盖公章。</w:t>
      </w:r>
    </w:p>
    <w:p w14:paraId="59F4630D">
      <w:pPr>
        <w:keepNext w:val="0"/>
        <w:keepLines w:val="0"/>
        <w:pageBreakBefore w:val="0"/>
        <w:widowControl w:val="0"/>
        <w:kinsoku/>
        <w:wordWrap/>
        <w:overflowPunct/>
        <w:topLinePunct w:val="0"/>
        <w:autoSpaceDE/>
        <w:autoSpaceDN/>
        <w:bidi w:val="0"/>
        <w:spacing w:line="360" w:lineRule="exact"/>
        <w:ind w:firstLine="440" w:firstLineChars="200"/>
        <w:textAlignment w:val="auto"/>
        <w:outlineLvl w:val="9"/>
        <w:rPr>
          <w:rFonts w:hint="eastAsia" w:ascii="微软雅黑" w:hAnsi="微软雅黑" w:eastAsia="微软雅黑" w:cs="微软雅黑"/>
          <w:b/>
          <w:bCs/>
          <w:color w:val="auto"/>
          <w:sz w:val="22"/>
          <w:szCs w:val="22"/>
          <w:highlight w:val="none"/>
        </w:rPr>
        <w:sectPr>
          <w:pgSz w:w="11905" w:h="16838"/>
          <w:pgMar w:top="1440" w:right="1080" w:bottom="1440" w:left="1080" w:header="851" w:footer="992" w:gutter="0"/>
          <w:cols w:space="0" w:num="1"/>
          <w:docGrid w:linePitch="312" w:charSpace="0"/>
        </w:sectPr>
      </w:pPr>
    </w:p>
    <w:p w14:paraId="76EC9BB8">
      <w:pPr>
        <w:pStyle w:val="2"/>
        <w:spacing w:before="0" w:after="0" w:line="240" w:lineRule="auto"/>
        <w:rPr>
          <w:rFonts w:ascii="微软雅黑" w:hAnsi="微软雅黑" w:eastAsia="微软雅黑" w:cs="微软雅黑"/>
          <w:b/>
          <w:bCs/>
          <w:color w:val="auto"/>
          <w:sz w:val="32"/>
          <w:szCs w:val="32"/>
          <w:highlight w:val="none"/>
        </w:rPr>
      </w:pPr>
      <w:bookmarkStart w:id="528" w:name="_Toc18546"/>
      <w:bookmarkStart w:id="529" w:name="_Toc5012"/>
      <w:bookmarkStart w:id="530" w:name="_Toc1929"/>
      <w:r>
        <w:rPr>
          <w:rFonts w:hint="eastAsia" w:ascii="微软雅黑" w:hAnsi="微软雅黑" w:eastAsia="微软雅黑" w:cs="微软雅黑"/>
          <w:b/>
          <w:bCs/>
          <w:color w:val="auto"/>
          <w:sz w:val="32"/>
          <w:szCs w:val="32"/>
          <w:highlight w:val="none"/>
        </w:rPr>
        <w:t>第2章</w:t>
      </w:r>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rPr>
        <w:t>投标文件格式</w:t>
      </w:r>
      <w:bookmarkEnd w:id="523"/>
      <w:bookmarkEnd w:id="524"/>
      <w:bookmarkEnd w:id="525"/>
      <w:bookmarkEnd w:id="526"/>
      <w:bookmarkEnd w:id="527"/>
      <w:bookmarkEnd w:id="528"/>
      <w:bookmarkEnd w:id="529"/>
      <w:bookmarkEnd w:id="530"/>
    </w:p>
    <w:p w14:paraId="44455924">
      <w:pPr>
        <w:pStyle w:val="3"/>
        <w:spacing w:before="0" w:line="240" w:lineRule="auto"/>
        <w:ind w:left="1080" w:leftChars="257" w:hanging="540"/>
        <w:rPr>
          <w:rFonts w:ascii="微软雅黑" w:hAnsi="微软雅黑" w:eastAsia="微软雅黑" w:cs="微软雅黑"/>
          <w:color w:val="auto"/>
          <w:kern w:val="2"/>
          <w:sz w:val="28"/>
          <w:szCs w:val="28"/>
          <w:highlight w:val="none"/>
        </w:rPr>
      </w:pPr>
      <w:bookmarkStart w:id="531" w:name="_Toc5209"/>
      <w:bookmarkStart w:id="532" w:name="_Toc22572"/>
      <w:bookmarkStart w:id="533" w:name="_Toc515647803"/>
      <w:bookmarkStart w:id="534" w:name="_Toc8728"/>
      <w:bookmarkStart w:id="535" w:name="_Toc26457"/>
      <w:bookmarkStart w:id="536" w:name="_Toc18974"/>
      <w:bookmarkStart w:id="537" w:name="_Toc18694"/>
      <w:r>
        <w:rPr>
          <w:rFonts w:hint="eastAsia" w:ascii="微软雅黑" w:hAnsi="微软雅黑" w:eastAsia="微软雅黑" w:cs="微软雅黑"/>
          <w:color w:val="auto"/>
          <w:kern w:val="2"/>
          <w:sz w:val="28"/>
          <w:szCs w:val="28"/>
          <w:highlight w:val="none"/>
        </w:rPr>
        <w:t>第一部分开标一览表及资格证明文件</w:t>
      </w:r>
      <w:bookmarkEnd w:id="531"/>
      <w:bookmarkEnd w:id="532"/>
      <w:bookmarkEnd w:id="533"/>
      <w:bookmarkEnd w:id="534"/>
      <w:bookmarkEnd w:id="535"/>
      <w:bookmarkEnd w:id="536"/>
      <w:bookmarkEnd w:id="537"/>
    </w:p>
    <w:p w14:paraId="28254AB7">
      <w:pPr>
        <w:pStyle w:val="15"/>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1.</w:t>
      </w:r>
      <w:r>
        <w:rPr>
          <w:rFonts w:hint="eastAsia" w:ascii="微软雅黑" w:hAnsi="微软雅黑" w:eastAsia="微软雅黑" w:cs="微软雅黑"/>
          <w:color w:val="auto"/>
          <w:sz w:val="24"/>
          <w:szCs w:val="24"/>
          <w:highlight w:val="none"/>
        </w:rPr>
        <w:t>开标一览表；</w:t>
      </w:r>
    </w:p>
    <w:p w14:paraId="5B6B95D9">
      <w:pPr>
        <w:pStyle w:val="15"/>
        <w:ind w:firstLine="480" w:firstLineChars="200"/>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w:t>
      </w:r>
      <w:r>
        <w:rPr>
          <w:rFonts w:hint="eastAsia" w:ascii="微软雅黑" w:hAnsi="微软雅黑" w:eastAsia="微软雅黑" w:cs="微软雅黑"/>
          <w:color w:val="auto"/>
          <w:sz w:val="24"/>
          <w:szCs w:val="24"/>
          <w:highlight w:val="none"/>
        </w:rPr>
        <w:t>符合《中华人民共和国政府采购法》第二十二条的规定</w:t>
      </w:r>
      <w:r>
        <w:rPr>
          <w:rFonts w:hint="eastAsia" w:ascii="微软雅黑" w:hAnsi="微软雅黑" w:eastAsia="微软雅黑" w:cs="微软雅黑"/>
          <w:color w:val="auto"/>
          <w:sz w:val="24"/>
          <w:szCs w:val="24"/>
          <w:highlight w:val="none"/>
          <w:lang w:eastAsia="zh-CN"/>
        </w:rPr>
        <w:t>；</w:t>
      </w:r>
    </w:p>
    <w:p w14:paraId="208477C9">
      <w:pPr>
        <w:pStyle w:val="15"/>
        <w:keepNext w:val="0"/>
        <w:keepLines w:val="0"/>
        <w:pageBreakBefore w:val="0"/>
        <w:widowControl w:val="0"/>
        <w:kinsoku/>
        <w:wordWrap/>
        <w:overflowPunct/>
        <w:topLinePunct w:val="0"/>
        <w:autoSpaceDE/>
        <w:autoSpaceDN/>
        <w:bidi w:val="0"/>
        <w:adjustRightInd/>
        <w:snapToGrid/>
        <w:ind w:left="420" w:leftChars="200"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r>
        <w:rPr>
          <w:rFonts w:hint="eastAsia" w:ascii="微软雅黑" w:hAnsi="微软雅黑" w:eastAsia="微软雅黑" w:cs="微软雅黑"/>
          <w:color w:val="auto"/>
          <w:sz w:val="24"/>
          <w:szCs w:val="24"/>
          <w:highlight w:val="none"/>
          <w:lang w:eastAsia="zh-CN"/>
        </w:rPr>
        <w:t>；</w:t>
      </w:r>
    </w:p>
    <w:p w14:paraId="606AD6EE">
      <w:pPr>
        <w:pStyle w:val="15"/>
        <w:keepNext w:val="0"/>
        <w:keepLines w:val="0"/>
        <w:pageBreakBefore w:val="0"/>
        <w:widowControl w:val="0"/>
        <w:kinsoku/>
        <w:wordWrap/>
        <w:overflowPunct/>
        <w:topLinePunct w:val="0"/>
        <w:autoSpaceDE/>
        <w:autoSpaceDN/>
        <w:bidi w:val="0"/>
        <w:adjustRightInd/>
        <w:snapToGrid/>
        <w:ind w:left="420" w:leftChars="200" w:firstLine="480" w:firstLineChars="200"/>
        <w:jc w:val="left"/>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供应商为制造商的须提供《医疗器械生产许可证》、所投产品的《医疗器械产品注册证》；供应商为经销商的须提供包含所投产品相应经营范围的《医疗器械经营许可证》或《医疗器械经营备案凭证》。供应商所投产品非医疗器械的，无需提供</w:t>
      </w:r>
      <w:r>
        <w:rPr>
          <w:rFonts w:hint="eastAsia" w:ascii="微软雅黑" w:hAnsi="微软雅黑" w:eastAsia="微软雅黑" w:cs="微软雅黑"/>
          <w:color w:val="auto"/>
          <w:sz w:val="24"/>
          <w:szCs w:val="24"/>
          <w:highlight w:val="none"/>
          <w:lang w:eastAsia="zh-CN"/>
        </w:rPr>
        <w:t>；</w:t>
      </w:r>
    </w:p>
    <w:p w14:paraId="66B3457E">
      <w:pPr>
        <w:pStyle w:val="15"/>
        <w:keepNext w:val="0"/>
        <w:keepLines w:val="0"/>
        <w:pageBreakBefore w:val="0"/>
        <w:widowControl w:val="0"/>
        <w:kinsoku/>
        <w:wordWrap/>
        <w:overflowPunct/>
        <w:topLinePunct w:val="0"/>
        <w:autoSpaceDE/>
        <w:autoSpaceDN/>
        <w:bidi w:val="0"/>
        <w:adjustRightInd/>
        <w:snapToGrid/>
        <w:ind w:left="420" w:leftChars="200"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③提供法定代表人资格证明及授权书、被授权人身份证；（法定代表人投标需提供法定代表人身份证）；</w:t>
      </w:r>
    </w:p>
    <w:p w14:paraId="5AA6EA61">
      <w:pPr>
        <w:pStyle w:val="15"/>
        <w:keepNext w:val="0"/>
        <w:keepLines w:val="0"/>
        <w:pageBreakBefore w:val="0"/>
        <w:widowControl w:val="0"/>
        <w:kinsoku/>
        <w:wordWrap/>
        <w:overflowPunct/>
        <w:topLinePunct w:val="0"/>
        <w:autoSpaceDE/>
        <w:autoSpaceDN/>
        <w:bidi w:val="0"/>
        <w:adjustRightInd/>
        <w:snapToGrid/>
        <w:ind w:left="420" w:leftChars="200"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④提供本单位依法缴纳近三个月内任意一个月的社会保险证明（新成立公司提供相关证明文件）；</w:t>
      </w:r>
    </w:p>
    <w:p w14:paraId="197A6903">
      <w:pPr>
        <w:pStyle w:val="15"/>
        <w:keepNext w:val="0"/>
        <w:keepLines w:val="0"/>
        <w:pageBreakBefore w:val="0"/>
        <w:widowControl w:val="0"/>
        <w:kinsoku/>
        <w:wordWrap/>
        <w:overflowPunct/>
        <w:topLinePunct w:val="0"/>
        <w:autoSpaceDE/>
        <w:autoSpaceDN/>
        <w:bidi w:val="0"/>
        <w:adjustRightInd/>
        <w:snapToGrid/>
        <w:ind w:left="420" w:leftChars="200"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⑤提供税务部门出具的本单位近六个月内任意一个月的完税证明（零申报需加盖税务机关章）；</w:t>
      </w:r>
    </w:p>
    <w:p w14:paraId="5474393F">
      <w:pPr>
        <w:pStyle w:val="15"/>
        <w:keepNext w:val="0"/>
        <w:keepLines w:val="0"/>
        <w:pageBreakBefore w:val="0"/>
        <w:widowControl w:val="0"/>
        <w:kinsoku/>
        <w:wordWrap/>
        <w:overflowPunct/>
        <w:topLinePunct w:val="0"/>
        <w:autoSpaceDE/>
        <w:autoSpaceDN/>
        <w:bidi w:val="0"/>
        <w:adjustRightInd/>
        <w:snapToGrid/>
        <w:ind w:left="420" w:leftChars="200"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⑥提供近两年任意一年完整的财务审计报告（新成立公司不足一年的提供近三个月内有效的银行资信证明）；</w:t>
      </w:r>
    </w:p>
    <w:p w14:paraId="194A194F">
      <w:pPr>
        <w:pStyle w:val="15"/>
        <w:keepNext w:val="0"/>
        <w:keepLines w:val="0"/>
        <w:pageBreakBefore w:val="0"/>
        <w:widowControl w:val="0"/>
        <w:kinsoku/>
        <w:wordWrap/>
        <w:overflowPunct/>
        <w:topLinePunct w:val="0"/>
        <w:autoSpaceDE/>
        <w:autoSpaceDN/>
        <w:bidi w:val="0"/>
        <w:adjustRightInd/>
        <w:snapToGrid/>
        <w:ind w:left="420" w:leftChars="200"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⑦参与政府采购活动前3年内未被列入失信、重大税收违法案件、财政部门禁止参加政府采购活动的承诺书；</w:t>
      </w:r>
    </w:p>
    <w:p w14:paraId="376694AE">
      <w:pPr>
        <w:pStyle w:val="15"/>
        <w:keepNext w:val="0"/>
        <w:keepLines w:val="0"/>
        <w:pageBreakBefore w:val="0"/>
        <w:widowControl w:val="0"/>
        <w:kinsoku/>
        <w:wordWrap/>
        <w:overflowPunct/>
        <w:topLinePunct w:val="0"/>
        <w:autoSpaceDE/>
        <w:autoSpaceDN/>
        <w:bidi w:val="0"/>
        <w:adjustRightInd/>
        <w:snapToGrid/>
        <w:ind w:left="420" w:leftChars="200"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⑧提供针对本次项目的反商业贿赂承诺书</w:t>
      </w:r>
      <w:r>
        <w:rPr>
          <w:rFonts w:hint="eastAsia" w:ascii="微软雅黑" w:hAnsi="微软雅黑" w:eastAsia="微软雅黑" w:cs="微软雅黑"/>
          <w:color w:val="auto"/>
          <w:sz w:val="24"/>
          <w:szCs w:val="24"/>
          <w:highlight w:val="none"/>
          <w:lang w:eastAsia="zh-CN"/>
        </w:rPr>
        <w:t>；</w:t>
      </w:r>
    </w:p>
    <w:p w14:paraId="2FDA019C">
      <w:pPr>
        <w:pStyle w:val="15"/>
        <w:keepNext w:val="0"/>
        <w:keepLines w:val="0"/>
        <w:pageBreakBefore w:val="0"/>
        <w:widowControl w:val="0"/>
        <w:kinsoku/>
        <w:wordWrap/>
        <w:overflowPunct/>
        <w:topLinePunct w:val="0"/>
        <w:autoSpaceDE/>
        <w:autoSpaceDN/>
        <w:bidi w:val="0"/>
        <w:adjustRightInd/>
        <w:snapToGrid/>
        <w:ind w:left="420" w:leftChars="200"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⑨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r>
        <w:rPr>
          <w:rFonts w:hint="eastAsia" w:ascii="微软雅黑" w:hAnsi="微软雅黑" w:eastAsia="微软雅黑" w:cs="微软雅黑"/>
          <w:color w:val="auto"/>
          <w:sz w:val="24"/>
          <w:szCs w:val="24"/>
          <w:highlight w:val="none"/>
          <w:lang w:eastAsia="zh-CN"/>
        </w:rPr>
        <w:t>；</w:t>
      </w:r>
    </w:p>
    <w:p w14:paraId="3354E2AF">
      <w:pPr>
        <w:pStyle w:val="15"/>
        <w:keepNext w:val="0"/>
        <w:keepLines w:val="0"/>
        <w:pageBreakBefore w:val="0"/>
        <w:widowControl w:val="0"/>
        <w:kinsoku/>
        <w:wordWrap/>
        <w:overflowPunct/>
        <w:topLinePunct w:val="0"/>
        <w:autoSpaceDE/>
        <w:autoSpaceDN/>
        <w:bidi w:val="0"/>
        <w:adjustRightInd/>
        <w:snapToGrid/>
        <w:ind w:left="420" w:leftChars="200" w:firstLine="480" w:firstLineChars="200"/>
        <w:jc w:val="left"/>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⑩投标保证金有效凭证。</w:t>
      </w:r>
    </w:p>
    <w:p w14:paraId="67F41C62">
      <w:pPr>
        <w:pStyle w:val="15"/>
        <w:ind w:firstLine="480" w:firstLineChars="200"/>
        <w:jc w:val="left"/>
        <w:rPr>
          <w:rFonts w:ascii="微软雅黑" w:hAnsi="微软雅黑" w:eastAsia="微软雅黑" w:cs="微软雅黑"/>
          <w:color w:val="auto"/>
          <w:sz w:val="24"/>
          <w:szCs w:val="24"/>
          <w:highlight w:val="none"/>
        </w:rPr>
      </w:pPr>
    </w:p>
    <w:p w14:paraId="78A403F8">
      <w:pPr>
        <w:pStyle w:val="15"/>
        <w:ind w:firstLine="480" w:firstLineChars="200"/>
        <w:jc w:val="left"/>
        <w:rPr>
          <w:rFonts w:ascii="微软雅黑" w:hAnsi="微软雅黑" w:eastAsia="微软雅黑" w:cs="微软雅黑"/>
          <w:color w:val="auto"/>
          <w:sz w:val="24"/>
          <w:szCs w:val="24"/>
          <w:highlight w:val="none"/>
        </w:rPr>
      </w:pPr>
    </w:p>
    <w:p w14:paraId="71002071">
      <w:pPr>
        <w:pStyle w:val="15"/>
        <w:ind w:firstLine="480" w:firstLineChars="200"/>
        <w:jc w:val="left"/>
        <w:rPr>
          <w:rFonts w:ascii="微软雅黑" w:hAnsi="微软雅黑" w:eastAsia="微软雅黑" w:cs="微软雅黑"/>
          <w:color w:val="auto"/>
          <w:sz w:val="24"/>
          <w:szCs w:val="24"/>
          <w:highlight w:val="none"/>
        </w:rPr>
      </w:pPr>
    </w:p>
    <w:p w14:paraId="260562EF">
      <w:pPr>
        <w:pStyle w:val="15"/>
        <w:ind w:firstLine="480" w:firstLineChars="200"/>
        <w:jc w:val="left"/>
        <w:rPr>
          <w:rFonts w:ascii="微软雅黑" w:hAnsi="微软雅黑" w:eastAsia="微软雅黑" w:cs="微软雅黑"/>
          <w:color w:val="auto"/>
          <w:sz w:val="24"/>
          <w:szCs w:val="24"/>
          <w:highlight w:val="none"/>
        </w:rPr>
      </w:pPr>
    </w:p>
    <w:p w14:paraId="2578B0E0">
      <w:pPr>
        <w:pStyle w:val="15"/>
        <w:ind w:firstLine="480" w:firstLineChars="200"/>
        <w:jc w:val="left"/>
        <w:rPr>
          <w:rFonts w:ascii="微软雅黑" w:hAnsi="微软雅黑" w:eastAsia="微软雅黑" w:cs="微软雅黑"/>
          <w:color w:val="auto"/>
          <w:sz w:val="24"/>
          <w:szCs w:val="24"/>
          <w:highlight w:val="none"/>
        </w:rPr>
      </w:pPr>
    </w:p>
    <w:p w14:paraId="409C2EB4">
      <w:pPr>
        <w:pStyle w:val="15"/>
        <w:ind w:firstLine="480" w:firstLineChars="200"/>
        <w:jc w:val="left"/>
        <w:rPr>
          <w:rFonts w:ascii="微软雅黑" w:hAnsi="微软雅黑" w:eastAsia="微软雅黑" w:cs="微软雅黑"/>
          <w:color w:val="auto"/>
          <w:sz w:val="24"/>
          <w:szCs w:val="24"/>
          <w:highlight w:val="none"/>
        </w:rPr>
      </w:pPr>
    </w:p>
    <w:p w14:paraId="2CE9DF58">
      <w:pPr>
        <w:pStyle w:val="15"/>
        <w:jc w:val="left"/>
        <w:rPr>
          <w:rFonts w:ascii="微软雅黑" w:hAnsi="微软雅黑" w:eastAsia="微软雅黑" w:cs="微软雅黑"/>
          <w:color w:val="auto"/>
          <w:sz w:val="24"/>
          <w:szCs w:val="24"/>
          <w:highlight w:val="none"/>
        </w:rPr>
      </w:pPr>
    </w:p>
    <w:p w14:paraId="57002745">
      <w:pPr>
        <w:rPr>
          <w:color w:val="auto"/>
          <w:highlight w:val="none"/>
        </w:rPr>
      </w:pPr>
      <w:bookmarkStart w:id="538" w:name="_Toc16568"/>
      <w:bookmarkStart w:id="539" w:name="_Toc15286"/>
      <w:bookmarkStart w:id="540" w:name="_Toc10957"/>
      <w:bookmarkStart w:id="541" w:name="_Toc515647804"/>
      <w:bookmarkStart w:id="542" w:name="_Toc5230"/>
      <w:bookmarkStart w:id="543" w:name="_Toc2679"/>
      <w:bookmarkStart w:id="544" w:name="_Toc30524"/>
      <w:bookmarkStart w:id="545" w:name="_Toc8165"/>
    </w:p>
    <w:p w14:paraId="2F464FC2">
      <w:pPr>
        <w:pStyle w:val="3"/>
        <w:spacing w:before="0" w:line="240" w:lineRule="auto"/>
        <w:ind w:firstLine="3362" w:firstLineChars="1400"/>
        <w:jc w:val="both"/>
        <w:rPr>
          <w:rFonts w:ascii="微软雅黑" w:hAnsi="微软雅黑" w:eastAsia="微软雅黑" w:cs="微软雅黑"/>
          <w:b/>
          <w:bCs/>
          <w:color w:val="auto"/>
          <w:sz w:val="24"/>
          <w:szCs w:val="24"/>
          <w:highlight w:val="none"/>
        </w:rPr>
      </w:pPr>
      <w:bookmarkStart w:id="546" w:name="_Toc3381"/>
      <w:bookmarkStart w:id="547" w:name="_Toc8145"/>
      <w:bookmarkStart w:id="548" w:name="_Toc18234"/>
      <w:bookmarkStart w:id="549" w:name="_Toc25917"/>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开标一览表</w:t>
      </w:r>
      <w:bookmarkEnd w:id="538"/>
      <w:bookmarkEnd w:id="539"/>
      <w:bookmarkEnd w:id="540"/>
      <w:bookmarkEnd w:id="541"/>
      <w:bookmarkEnd w:id="542"/>
      <w:bookmarkEnd w:id="543"/>
      <w:bookmarkEnd w:id="544"/>
      <w:bookmarkEnd w:id="545"/>
      <w:bookmarkEnd w:id="546"/>
      <w:bookmarkEnd w:id="547"/>
      <w:bookmarkEnd w:id="548"/>
      <w:bookmarkEnd w:id="549"/>
      <w:bookmarkStart w:id="550" w:name="_Hlt520356241"/>
      <w:bookmarkEnd w:id="550"/>
      <w:bookmarkStart w:id="551" w:name="_Toc494296984"/>
      <w:bookmarkStart w:id="552" w:name="_Ref467988698"/>
      <w:bookmarkStart w:id="553" w:name="_Toc480942349"/>
      <w:bookmarkStart w:id="554" w:name="_Toc216582813"/>
      <w:bookmarkStart w:id="555" w:name="_Toc520356217"/>
    </w:p>
    <w:p w14:paraId="4AF3DBEC">
      <w:pPr>
        <w:pStyle w:val="4"/>
        <w:tabs>
          <w:tab w:val="left" w:pos="5580"/>
        </w:tabs>
        <w:ind w:left="1080" w:leftChars="257" w:hanging="540"/>
        <w:rPr>
          <w:rFonts w:ascii="微软雅黑" w:hAnsi="微软雅黑" w:eastAsia="微软雅黑" w:cs="微软雅黑"/>
          <w:color w:val="auto"/>
          <w:highlight w:val="none"/>
        </w:rPr>
      </w:pPr>
    </w:p>
    <w:p w14:paraId="796EB324">
      <w:pPr>
        <w:tabs>
          <w:tab w:val="left" w:pos="1800"/>
          <w:tab w:val="left" w:pos="5580"/>
        </w:tabs>
        <w:ind w:right="-867" w:rightChars="-413"/>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p>
    <w:p w14:paraId="7E4A9CD7">
      <w:pPr>
        <w:tabs>
          <w:tab w:val="left" w:pos="1800"/>
          <w:tab w:val="left" w:pos="5580"/>
        </w:tabs>
        <w:ind w:right="-867" w:rightChars="-413"/>
        <w:rPr>
          <w:rFonts w:ascii="微软雅黑" w:hAnsi="微软雅黑" w:eastAsia="微软雅黑" w:cs="微软雅黑"/>
          <w:color w:val="auto"/>
          <w:sz w:val="24"/>
          <w:szCs w:val="24"/>
          <w:highlight w:val="none"/>
        </w:rPr>
      </w:pPr>
    </w:p>
    <w:p w14:paraId="1678C9FB">
      <w:pPr>
        <w:tabs>
          <w:tab w:val="left" w:pos="1800"/>
          <w:tab w:val="left" w:pos="5580"/>
        </w:tabs>
        <w:ind w:right="-867" w:rightChars="-413"/>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报价单位：人民币  </w:t>
      </w:r>
      <w:r>
        <w:rPr>
          <w:rFonts w:hint="eastAsia" w:ascii="微软雅黑" w:hAnsi="微软雅黑" w:eastAsia="微软雅黑" w:cs="微软雅黑"/>
          <w:b/>
          <w:bCs/>
          <w:color w:val="auto"/>
          <w:sz w:val="24"/>
          <w:szCs w:val="24"/>
          <w:highlight w:val="none"/>
        </w:rPr>
        <w:t xml:space="preserve">元                 </w:t>
      </w:r>
      <w:r>
        <w:rPr>
          <w:rFonts w:hint="eastAsia" w:ascii="微软雅黑" w:hAnsi="微软雅黑" w:eastAsia="微软雅黑" w:cs="微软雅黑"/>
          <w:color w:val="auto"/>
          <w:sz w:val="24"/>
          <w:szCs w:val="24"/>
          <w:highlight w:val="none"/>
        </w:rPr>
        <w:t xml:space="preserve">包号：       </w:t>
      </w:r>
    </w:p>
    <w:tbl>
      <w:tblPr>
        <w:tblStyle w:val="30"/>
        <w:tblW w:w="9358" w:type="dxa"/>
        <w:tblInd w:w="2" w:type="dxa"/>
        <w:tblLayout w:type="fixed"/>
        <w:tblCellMar>
          <w:top w:w="0" w:type="dxa"/>
          <w:left w:w="0" w:type="dxa"/>
          <w:bottom w:w="0" w:type="dxa"/>
          <w:right w:w="0" w:type="dxa"/>
        </w:tblCellMar>
      </w:tblPr>
      <w:tblGrid>
        <w:gridCol w:w="2021"/>
        <w:gridCol w:w="1830"/>
        <w:gridCol w:w="1794"/>
        <w:gridCol w:w="1586"/>
        <w:gridCol w:w="2127"/>
      </w:tblGrid>
      <w:tr w14:paraId="3227D908">
        <w:tblPrEx>
          <w:tblCellMar>
            <w:top w:w="0" w:type="dxa"/>
            <w:left w:w="0" w:type="dxa"/>
            <w:bottom w:w="0" w:type="dxa"/>
            <w:right w:w="0" w:type="dxa"/>
          </w:tblCellMar>
        </w:tblPrEx>
        <w:trPr>
          <w:trHeight w:val="631" w:hRule="atLeast"/>
        </w:trPr>
        <w:tc>
          <w:tcPr>
            <w:tcW w:w="2021" w:type="dxa"/>
            <w:tcBorders>
              <w:top w:val="single" w:color="auto" w:sz="4" w:space="0"/>
              <w:left w:val="single" w:color="auto" w:sz="4" w:space="0"/>
              <w:bottom w:val="single" w:color="auto" w:sz="8" w:space="0"/>
              <w:right w:val="single" w:color="auto" w:sz="4" w:space="0"/>
            </w:tcBorders>
            <w:vAlign w:val="center"/>
          </w:tcPr>
          <w:p w14:paraId="4EA4406E">
            <w:pPr>
              <w:tabs>
                <w:tab w:val="left" w:pos="5580"/>
              </w:tabs>
              <w:ind w:right="-199"/>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项目名称</w:t>
            </w:r>
          </w:p>
        </w:tc>
        <w:tc>
          <w:tcPr>
            <w:tcW w:w="1830" w:type="dxa"/>
            <w:tcBorders>
              <w:top w:val="single" w:color="auto" w:sz="4" w:space="0"/>
              <w:left w:val="single" w:color="auto" w:sz="8" w:space="0"/>
              <w:bottom w:val="single" w:color="auto" w:sz="8" w:space="0"/>
              <w:right w:val="single" w:color="auto" w:sz="4" w:space="0"/>
            </w:tcBorders>
            <w:vAlign w:val="center"/>
          </w:tcPr>
          <w:p w14:paraId="76768537">
            <w:pPr>
              <w:tabs>
                <w:tab w:val="left" w:pos="5580"/>
              </w:tabs>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投标总报价</w:t>
            </w:r>
          </w:p>
        </w:tc>
        <w:tc>
          <w:tcPr>
            <w:tcW w:w="1794" w:type="dxa"/>
            <w:tcBorders>
              <w:top w:val="single" w:color="auto" w:sz="8" w:space="0"/>
              <w:left w:val="nil"/>
              <w:bottom w:val="single" w:color="auto" w:sz="8" w:space="0"/>
              <w:right w:val="single" w:color="auto" w:sz="4" w:space="0"/>
            </w:tcBorders>
            <w:vAlign w:val="center"/>
          </w:tcPr>
          <w:p w14:paraId="19BFBAE8">
            <w:pPr>
              <w:tabs>
                <w:tab w:val="left" w:pos="5580"/>
              </w:tabs>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投标保证金</w:t>
            </w:r>
          </w:p>
        </w:tc>
        <w:tc>
          <w:tcPr>
            <w:tcW w:w="1586" w:type="dxa"/>
            <w:tcBorders>
              <w:top w:val="single" w:color="auto" w:sz="8" w:space="0"/>
              <w:left w:val="nil"/>
              <w:bottom w:val="single" w:color="auto" w:sz="8" w:space="0"/>
              <w:right w:val="single" w:color="auto" w:sz="4" w:space="0"/>
            </w:tcBorders>
            <w:vAlign w:val="center"/>
          </w:tcPr>
          <w:p w14:paraId="2C59D7F8">
            <w:pPr>
              <w:tabs>
                <w:tab w:val="left" w:pos="5580"/>
              </w:tabs>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交货期</w:t>
            </w:r>
          </w:p>
        </w:tc>
        <w:tc>
          <w:tcPr>
            <w:tcW w:w="2127" w:type="dxa"/>
            <w:tcBorders>
              <w:top w:val="single" w:color="auto" w:sz="8" w:space="0"/>
              <w:left w:val="nil"/>
              <w:bottom w:val="single" w:color="auto" w:sz="8" w:space="0"/>
              <w:right w:val="single" w:color="auto" w:sz="4" w:space="0"/>
            </w:tcBorders>
            <w:vAlign w:val="center"/>
          </w:tcPr>
          <w:p w14:paraId="60FA57FE">
            <w:pPr>
              <w:tabs>
                <w:tab w:val="left" w:pos="5580"/>
              </w:tabs>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15C42CA7">
        <w:tblPrEx>
          <w:tblCellMar>
            <w:top w:w="0" w:type="dxa"/>
            <w:left w:w="0" w:type="dxa"/>
            <w:bottom w:w="0" w:type="dxa"/>
            <w:right w:w="0" w:type="dxa"/>
          </w:tblCellMar>
        </w:tblPrEx>
        <w:trPr>
          <w:cantSplit/>
          <w:trHeight w:val="1545" w:hRule="atLeast"/>
        </w:trPr>
        <w:tc>
          <w:tcPr>
            <w:tcW w:w="2021" w:type="dxa"/>
            <w:tcBorders>
              <w:top w:val="single" w:color="auto" w:sz="8" w:space="0"/>
              <w:left w:val="single" w:color="auto" w:sz="4" w:space="0"/>
              <w:bottom w:val="single" w:color="auto" w:sz="4" w:space="0"/>
              <w:right w:val="single" w:color="auto" w:sz="4" w:space="0"/>
            </w:tcBorders>
            <w:vAlign w:val="center"/>
          </w:tcPr>
          <w:p w14:paraId="21693DEF">
            <w:pPr>
              <w:tabs>
                <w:tab w:val="left" w:pos="5580"/>
              </w:tabs>
              <w:ind w:left="1080" w:leftChars="257" w:hanging="540"/>
              <w:jc w:val="center"/>
              <w:rPr>
                <w:rFonts w:ascii="微软雅黑" w:hAnsi="微软雅黑" w:eastAsia="微软雅黑" w:cs="微软雅黑"/>
                <w:color w:val="auto"/>
                <w:sz w:val="24"/>
                <w:szCs w:val="24"/>
                <w:highlight w:val="none"/>
              </w:rPr>
            </w:pPr>
          </w:p>
        </w:tc>
        <w:tc>
          <w:tcPr>
            <w:tcW w:w="1830" w:type="dxa"/>
            <w:tcBorders>
              <w:top w:val="single" w:color="auto" w:sz="8" w:space="0"/>
              <w:left w:val="single" w:color="auto" w:sz="8" w:space="0"/>
              <w:bottom w:val="single" w:color="auto" w:sz="4" w:space="0"/>
              <w:right w:val="single" w:color="auto" w:sz="4" w:space="0"/>
            </w:tcBorders>
            <w:vAlign w:val="center"/>
          </w:tcPr>
          <w:p w14:paraId="72668F7F">
            <w:pPr>
              <w:tabs>
                <w:tab w:val="left" w:pos="5580"/>
              </w:tabs>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大写：</w:t>
            </w:r>
          </w:p>
          <w:p w14:paraId="64CD46F2">
            <w:pPr>
              <w:tabs>
                <w:tab w:val="left" w:pos="5580"/>
              </w:tabs>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小写：</w:t>
            </w:r>
          </w:p>
        </w:tc>
        <w:tc>
          <w:tcPr>
            <w:tcW w:w="1794" w:type="dxa"/>
            <w:tcBorders>
              <w:top w:val="single" w:color="auto" w:sz="8" w:space="0"/>
              <w:left w:val="nil"/>
              <w:bottom w:val="single" w:color="auto" w:sz="4" w:space="0"/>
              <w:right w:val="single" w:color="auto" w:sz="4" w:space="0"/>
            </w:tcBorders>
            <w:vAlign w:val="center"/>
          </w:tcPr>
          <w:p w14:paraId="55393C4B">
            <w:pPr>
              <w:tabs>
                <w:tab w:val="left" w:pos="5580"/>
              </w:tabs>
              <w:ind w:left="1080" w:leftChars="257" w:hanging="540"/>
              <w:jc w:val="center"/>
              <w:rPr>
                <w:rFonts w:ascii="微软雅黑" w:hAnsi="微软雅黑" w:eastAsia="微软雅黑" w:cs="微软雅黑"/>
                <w:color w:val="auto"/>
                <w:sz w:val="24"/>
                <w:szCs w:val="24"/>
                <w:highlight w:val="none"/>
              </w:rPr>
            </w:pPr>
          </w:p>
        </w:tc>
        <w:tc>
          <w:tcPr>
            <w:tcW w:w="1586" w:type="dxa"/>
            <w:tcBorders>
              <w:top w:val="single" w:color="auto" w:sz="8" w:space="0"/>
              <w:left w:val="nil"/>
              <w:bottom w:val="single" w:color="auto" w:sz="4" w:space="0"/>
              <w:right w:val="single" w:color="auto" w:sz="4" w:space="0"/>
            </w:tcBorders>
            <w:vAlign w:val="center"/>
          </w:tcPr>
          <w:p w14:paraId="70CC6ABB">
            <w:pPr>
              <w:tabs>
                <w:tab w:val="left" w:pos="5580"/>
              </w:tabs>
              <w:jc w:val="center"/>
              <w:rPr>
                <w:rFonts w:ascii="微软雅黑" w:hAnsi="微软雅黑" w:eastAsia="微软雅黑" w:cs="微软雅黑"/>
                <w:color w:val="auto"/>
                <w:sz w:val="24"/>
                <w:szCs w:val="24"/>
                <w:highlight w:val="none"/>
              </w:rPr>
            </w:pPr>
          </w:p>
        </w:tc>
        <w:tc>
          <w:tcPr>
            <w:tcW w:w="2127" w:type="dxa"/>
            <w:tcBorders>
              <w:top w:val="single" w:color="auto" w:sz="8" w:space="0"/>
              <w:left w:val="nil"/>
              <w:bottom w:val="single" w:color="auto" w:sz="4" w:space="0"/>
              <w:right w:val="single" w:color="auto" w:sz="4" w:space="0"/>
            </w:tcBorders>
            <w:vAlign w:val="center"/>
          </w:tcPr>
          <w:p w14:paraId="2E978136">
            <w:pPr>
              <w:tabs>
                <w:tab w:val="left" w:pos="5580"/>
              </w:tabs>
              <w:jc w:val="center"/>
              <w:rPr>
                <w:rFonts w:ascii="微软雅黑" w:hAnsi="微软雅黑" w:eastAsia="微软雅黑" w:cs="微软雅黑"/>
                <w:color w:val="auto"/>
                <w:sz w:val="24"/>
                <w:szCs w:val="24"/>
                <w:highlight w:val="none"/>
              </w:rPr>
            </w:pPr>
          </w:p>
        </w:tc>
      </w:tr>
    </w:tbl>
    <w:p w14:paraId="6AF0DBBC">
      <w:pPr>
        <w:pStyle w:val="15"/>
        <w:tabs>
          <w:tab w:val="left" w:pos="5580"/>
        </w:tabs>
        <w:ind w:left="1080" w:leftChars="257" w:hanging="540"/>
        <w:rPr>
          <w:rFonts w:ascii="微软雅黑" w:hAnsi="微软雅黑" w:eastAsia="微软雅黑" w:cs="微软雅黑"/>
          <w:color w:val="auto"/>
          <w:sz w:val="24"/>
          <w:szCs w:val="24"/>
          <w:highlight w:val="none"/>
        </w:rPr>
      </w:pPr>
    </w:p>
    <w:p w14:paraId="2DDDF3F8">
      <w:pPr>
        <w:pStyle w:val="15"/>
        <w:tabs>
          <w:tab w:val="left" w:pos="5580"/>
        </w:tabs>
        <w:ind w:left="1080" w:leftChars="257" w:hanging="540"/>
        <w:rPr>
          <w:rFonts w:ascii="微软雅黑" w:hAnsi="微软雅黑" w:eastAsia="微软雅黑" w:cs="微软雅黑"/>
          <w:color w:val="auto"/>
          <w:sz w:val="24"/>
          <w:szCs w:val="24"/>
          <w:highlight w:val="none"/>
          <w:u w:val="single"/>
        </w:rPr>
      </w:pPr>
    </w:p>
    <w:p w14:paraId="42A9C632">
      <w:pPr>
        <w:pStyle w:val="15"/>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p>
    <w:p w14:paraId="7E04311C">
      <w:pPr>
        <w:pStyle w:val="15"/>
        <w:tabs>
          <w:tab w:val="left" w:pos="5580"/>
        </w:tabs>
        <w:ind w:left="1080" w:leftChars="257" w:hanging="54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法定代表人或委托代理人</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签字或盖章</w:t>
      </w:r>
      <w:r>
        <w:rPr>
          <w:rFonts w:hint="eastAsia" w:ascii="微软雅黑" w:hAnsi="微软雅黑" w:eastAsia="微软雅黑" w:cs="微软雅黑"/>
          <w:color w:val="auto"/>
          <w:sz w:val="24"/>
          <w:szCs w:val="24"/>
          <w:highlight w:val="none"/>
          <w:lang w:eastAsia="zh-CN"/>
        </w:rPr>
        <w:t>）：</w:t>
      </w:r>
    </w:p>
    <w:p w14:paraId="489F026B">
      <w:pPr>
        <w:pStyle w:val="15"/>
        <w:tabs>
          <w:tab w:val="left" w:pos="5580"/>
        </w:tabs>
        <w:ind w:left="1080" w:leftChars="257" w:hanging="540"/>
        <w:rPr>
          <w:rFonts w:ascii="微软雅黑" w:hAnsi="微软雅黑" w:eastAsia="微软雅黑" w:cs="微软雅黑"/>
          <w:color w:val="auto"/>
          <w:sz w:val="24"/>
          <w:szCs w:val="24"/>
          <w:highlight w:val="none"/>
        </w:rPr>
      </w:pPr>
    </w:p>
    <w:p w14:paraId="2902DAE5">
      <w:pPr>
        <w:pStyle w:val="15"/>
        <w:tabs>
          <w:tab w:val="left" w:pos="5580"/>
        </w:tabs>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注</w:t>
      </w:r>
      <w:r>
        <w:rPr>
          <w:rFonts w:hint="eastAsia" w:ascii="微软雅黑" w:hAnsi="微软雅黑" w:eastAsia="微软雅黑" w:cs="微软雅黑"/>
          <w:color w:val="auto"/>
          <w:sz w:val="24"/>
          <w:szCs w:val="24"/>
          <w:highlight w:val="none"/>
          <w:lang w:eastAsia="zh-CN"/>
        </w:rPr>
        <w:t>：</w:t>
      </w:r>
    </w:p>
    <w:p w14:paraId="767401CA">
      <w:pPr>
        <w:pStyle w:val="15"/>
        <w:tabs>
          <w:tab w:val="left" w:pos="5580"/>
        </w:tabs>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1、此表中，投标总价应和投标分项报价表的总价相一致。</w:t>
      </w:r>
    </w:p>
    <w:p w14:paraId="04415F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2、本次报价为人民币报价，供应商报价包括主设备、辅助设备、辅材和设备安装费、配 套设施施工材料及施工费、运输费、吊装费、验收及税费、代理服务费等直至本项目交付使 用相关所有费用。</w:t>
      </w:r>
    </w:p>
    <w:p w14:paraId="103A55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3、根据《政府采购促进中小企业发展管理办法》（财库〔2020〕46号）、《财政部 司法部关于政府采购支持监狱企业发展有关问题的通知》（财库〔2014〕68号）和《三部门联合发布关于促进残疾人就业政府采购政策的通知》（财库〔2017〕141号）、《关于进一步加大政府采购支持中小企业力度的通知》（财库〔2022〕19号）的规定，对满足价格扣除条件且在投标文件中提交了《中小企业声明函》或省级以上监狱管理局、戒毒管理局（含新疆生产建设兵团）出具的属于监狱企业的证明文件的供应商，其投标报价扣除10%—20%后参与评。对于同时属于小微企业、监狱企业或残疾人福利性单位的，不重复进行投标报价扣除</w:t>
      </w:r>
      <w:r>
        <w:rPr>
          <w:rFonts w:hint="eastAsia" w:ascii="微软雅黑" w:hAnsi="微软雅黑" w:eastAsia="微软雅黑" w:cs="微软雅黑"/>
          <w:b/>
          <w:bCs/>
          <w:color w:val="auto"/>
          <w:sz w:val="24"/>
          <w:szCs w:val="24"/>
          <w:highlight w:val="none"/>
        </w:rPr>
        <w:t>。</w:t>
      </w:r>
    </w:p>
    <w:p w14:paraId="530A38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b/>
          <w:bCs/>
          <w:color w:val="auto"/>
          <w:sz w:val="24"/>
          <w:szCs w:val="24"/>
          <w:highlight w:val="yellow"/>
          <w:lang w:val="en-US" w:eastAsia="zh-CN"/>
        </w:rPr>
      </w:pPr>
      <w:r>
        <w:rPr>
          <w:rFonts w:hint="eastAsia" w:ascii="微软雅黑" w:hAnsi="微软雅黑" w:eastAsia="微软雅黑" w:cs="微软雅黑"/>
          <w:b/>
          <w:bCs/>
          <w:color w:val="auto"/>
          <w:sz w:val="24"/>
          <w:szCs w:val="24"/>
          <w:highlight w:val="yellow"/>
          <w:lang w:val="en-US" w:eastAsia="zh-CN"/>
        </w:rPr>
        <w:t>注：  本项目不专门面向中小企业采购，供应商所投货物制造商均为小型企业或微型企业的可享受价10%的价格扣除后参与评审。须根据招标文件中的法定格式提供中小企业声明函。</w:t>
      </w:r>
    </w:p>
    <w:p w14:paraId="69C9A8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b/>
          <w:bCs/>
          <w:i w:val="0"/>
          <w:iCs w:val="0"/>
          <w:caps w:val="0"/>
          <w:color w:val="auto"/>
          <w:spacing w:val="0"/>
          <w:sz w:val="24"/>
          <w:szCs w:val="24"/>
          <w:highlight w:val="yellow"/>
          <w:shd w:val="clear" w:color="auto" w:fill="auto"/>
        </w:rPr>
      </w:pPr>
      <w:r>
        <w:rPr>
          <w:rFonts w:hint="eastAsia" w:ascii="微软雅黑" w:hAnsi="微软雅黑" w:eastAsia="微软雅黑" w:cs="微软雅黑"/>
          <w:color w:val="auto"/>
          <w:sz w:val="24"/>
          <w:szCs w:val="24"/>
          <w:highlight w:val="yellow"/>
          <w:lang w:val="en-US" w:eastAsia="zh-CN"/>
        </w:rPr>
        <w:t>4、</w:t>
      </w:r>
      <w:r>
        <w:rPr>
          <w:rFonts w:hint="eastAsia" w:ascii="微软雅黑" w:hAnsi="微软雅黑" w:eastAsia="微软雅黑" w:cs="微软雅黑"/>
          <w:b/>
          <w:bCs/>
          <w:color w:val="auto"/>
          <w:sz w:val="24"/>
          <w:szCs w:val="24"/>
          <w:highlight w:val="yellow"/>
          <w:lang w:val="en-US" w:eastAsia="zh-CN"/>
        </w:rPr>
        <w:t>根据财库〔2026〕2号《关于推动解决政府采购异常低价问题的通知》，</w:t>
      </w:r>
      <w:r>
        <w:rPr>
          <w:rFonts w:hint="eastAsia" w:ascii="微软雅黑" w:hAnsi="微软雅黑" w:eastAsia="微软雅黑" w:cs="微软雅黑"/>
          <w:b/>
          <w:bCs/>
          <w:i w:val="0"/>
          <w:iCs w:val="0"/>
          <w:caps w:val="0"/>
          <w:color w:val="auto"/>
          <w:spacing w:val="0"/>
          <w:sz w:val="24"/>
          <w:szCs w:val="24"/>
          <w:highlight w:val="yellow"/>
          <w:shd w:val="clear" w:color="auto" w:fill="auto"/>
        </w:rPr>
        <w:t>评审中出现下列情形之一的，评审委员会应当启动异常低价投标（响应）审查程序：</w:t>
      </w:r>
    </w:p>
    <w:p w14:paraId="5B873D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yellow"/>
          <w:shd w:val="clear" w:color="auto" w:fill="auto"/>
        </w:rPr>
      </w:pPr>
      <w:r>
        <w:rPr>
          <w:rFonts w:hint="eastAsia" w:ascii="微软雅黑" w:hAnsi="微软雅黑" w:eastAsia="微软雅黑" w:cs="微软雅黑"/>
          <w:i w:val="0"/>
          <w:iCs w:val="0"/>
          <w:caps w:val="0"/>
          <w:color w:val="auto"/>
          <w:spacing w:val="0"/>
          <w:kern w:val="2"/>
          <w:sz w:val="24"/>
          <w:szCs w:val="24"/>
          <w:highlight w:val="yellow"/>
          <w:shd w:val="clear" w:fill="auto"/>
          <w:lang w:val="en-US" w:eastAsia="zh-CN" w:bidi="ar-SA"/>
        </w:rPr>
        <w:t>①.</w:t>
      </w:r>
      <w:r>
        <w:rPr>
          <w:rFonts w:hint="eastAsia" w:ascii="微软雅黑" w:hAnsi="微软雅黑" w:eastAsia="微软雅黑" w:cs="微软雅黑"/>
          <w:i w:val="0"/>
          <w:iCs w:val="0"/>
          <w:caps w:val="0"/>
          <w:color w:val="auto"/>
          <w:spacing w:val="0"/>
          <w:sz w:val="24"/>
          <w:szCs w:val="24"/>
          <w:highlight w:val="yellow"/>
          <w:shd w:val="clear" w:color="auto" w:fill="auto"/>
        </w:rPr>
        <w:t xml:space="preserve">投标（响应）报价低于全部通过符合性审查供应商投标（响应）报价平均值50%的，即投标（响应）报价&lt;全部通过符合性审查供应商投标（响应）报价平均值×50%； </w:t>
      </w:r>
    </w:p>
    <w:p w14:paraId="4A7BB8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yellow"/>
          <w:shd w:val="clear" w:color="auto" w:fill="auto"/>
        </w:rPr>
      </w:pPr>
      <w:r>
        <w:rPr>
          <w:rFonts w:hint="eastAsia" w:ascii="微软雅黑" w:hAnsi="微软雅黑" w:eastAsia="微软雅黑" w:cs="微软雅黑"/>
          <w:i w:val="0"/>
          <w:iCs w:val="0"/>
          <w:caps w:val="0"/>
          <w:color w:val="auto"/>
          <w:spacing w:val="0"/>
          <w:kern w:val="2"/>
          <w:sz w:val="24"/>
          <w:szCs w:val="24"/>
          <w:highlight w:val="yellow"/>
          <w:shd w:val="clear" w:fill="auto"/>
          <w:lang w:val="en-US" w:eastAsia="zh-CN" w:bidi="ar-SA"/>
        </w:rPr>
        <w:t>②.</w:t>
      </w:r>
      <w:r>
        <w:rPr>
          <w:rFonts w:hint="eastAsia" w:ascii="微软雅黑" w:hAnsi="微软雅黑" w:eastAsia="微软雅黑" w:cs="微软雅黑"/>
          <w:i w:val="0"/>
          <w:iCs w:val="0"/>
          <w:caps w:val="0"/>
          <w:color w:val="auto"/>
          <w:spacing w:val="0"/>
          <w:sz w:val="24"/>
          <w:szCs w:val="24"/>
          <w:highlight w:val="yellow"/>
          <w:shd w:val="clear" w:color="auto" w:fill="auto"/>
        </w:rPr>
        <w:t xml:space="preserve">投标（响应）报价低于通过符合性审查的次低报价供应商投标（响应）报价50%的，即投标（响应）报价&lt;通过符合性审查的次低报价供应商投标（响应）报价×50%； </w:t>
      </w:r>
    </w:p>
    <w:p w14:paraId="01E44B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yellow"/>
          <w:shd w:val="clear" w:color="auto" w:fill="auto"/>
        </w:rPr>
      </w:pPr>
      <w:r>
        <w:rPr>
          <w:rFonts w:hint="eastAsia" w:ascii="微软雅黑" w:hAnsi="微软雅黑" w:eastAsia="微软雅黑" w:cs="微软雅黑"/>
          <w:i w:val="0"/>
          <w:iCs w:val="0"/>
          <w:caps w:val="0"/>
          <w:color w:val="auto"/>
          <w:spacing w:val="0"/>
          <w:kern w:val="2"/>
          <w:sz w:val="24"/>
          <w:szCs w:val="24"/>
          <w:highlight w:val="yellow"/>
          <w:shd w:val="clear" w:fill="auto"/>
          <w:lang w:val="en-US" w:eastAsia="zh-CN" w:bidi="ar-SA"/>
        </w:rPr>
        <w:t>③.</w:t>
      </w:r>
      <w:r>
        <w:rPr>
          <w:rFonts w:hint="eastAsia" w:ascii="微软雅黑" w:hAnsi="微软雅黑" w:eastAsia="微软雅黑" w:cs="微软雅黑"/>
          <w:i w:val="0"/>
          <w:iCs w:val="0"/>
          <w:caps w:val="0"/>
          <w:color w:val="auto"/>
          <w:spacing w:val="0"/>
          <w:sz w:val="24"/>
          <w:szCs w:val="24"/>
          <w:highlight w:val="yellow"/>
          <w:shd w:val="clear" w:color="auto" w:fill="auto"/>
        </w:rPr>
        <w:t>投标（响应）报价低于采购项目最高限价45%的，即投标（响应）报价&lt;采购项目最高限价×45%；</w:t>
      </w:r>
    </w:p>
    <w:p w14:paraId="351ACB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yellow"/>
          <w:shd w:val="clear" w:color="auto" w:fill="auto"/>
        </w:rPr>
      </w:pPr>
      <w:r>
        <w:rPr>
          <w:rFonts w:hint="eastAsia" w:ascii="微软雅黑" w:hAnsi="微软雅黑" w:eastAsia="微软雅黑" w:cs="微软雅黑"/>
          <w:i w:val="0"/>
          <w:iCs w:val="0"/>
          <w:caps w:val="0"/>
          <w:color w:val="auto"/>
          <w:spacing w:val="0"/>
          <w:kern w:val="2"/>
          <w:sz w:val="24"/>
          <w:szCs w:val="24"/>
          <w:highlight w:val="yellow"/>
          <w:shd w:val="clear" w:fill="auto"/>
          <w:lang w:val="en-US" w:eastAsia="zh-CN" w:bidi="ar-SA"/>
        </w:rPr>
        <w:t>④.</w:t>
      </w:r>
      <w:r>
        <w:rPr>
          <w:rFonts w:hint="eastAsia" w:ascii="微软雅黑" w:hAnsi="微软雅黑" w:eastAsia="微软雅黑" w:cs="微软雅黑"/>
          <w:i w:val="0"/>
          <w:iCs w:val="0"/>
          <w:caps w:val="0"/>
          <w:color w:val="auto"/>
          <w:spacing w:val="0"/>
          <w:sz w:val="24"/>
          <w:szCs w:val="24"/>
          <w:highlight w:val="yellow"/>
          <w:shd w:val="clear" w:color="auto" w:fill="auto"/>
        </w:rPr>
        <w:t>评审委员会基于专业判断，认为供应商报价过低，有可能影响产品质量或者不能诚信履约的其他情形。</w:t>
      </w:r>
    </w:p>
    <w:p w14:paraId="7FAA31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yellow"/>
          <w:shd w:val="clear" w:color="auto" w:fill="auto"/>
        </w:rPr>
      </w:pPr>
      <w:r>
        <w:rPr>
          <w:rFonts w:hint="eastAsia" w:ascii="微软雅黑" w:hAnsi="微软雅黑" w:eastAsia="微软雅黑" w:cs="微软雅黑"/>
          <w:i w:val="0"/>
          <w:iCs w:val="0"/>
          <w:caps w:val="0"/>
          <w:color w:val="auto"/>
          <w:spacing w:val="0"/>
          <w:sz w:val="24"/>
          <w:szCs w:val="24"/>
          <w:highlight w:val="yellow"/>
          <w:shd w:val="clear" w:color="auto" w:fill="auto"/>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51D2F1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yellow"/>
          <w:shd w:val="clear" w:color="auto" w:fill="auto"/>
        </w:rPr>
      </w:pPr>
      <w:r>
        <w:rPr>
          <w:rFonts w:hint="eastAsia" w:ascii="微软雅黑" w:hAnsi="微软雅黑" w:eastAsia="微软雅黑" w:cs="微软雅黑"/>
          <w:i w:val="0"/>
          <w:iCs w:val="0"/>
          <w:caps w:val="0"/>
          <w:color w:val="auto"/>
          <w:spacing w:val="0"/>
          <w:sz w:val="24"/>
          <w:szCs w:val="24"/>
          <w:highlight w:val="yellow"/>
          <w:shd w:val="clear" w:color="auto" w:fill="auto"/>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微软雅黑" w:hAnsi="微软雅黑" w:eastAsia="微软雅黑" w:cs="微软雅黑"/>
          <w:b/>
          <w:bCs/>
          <w:i w:val="0"/>
          <w:iCs w:val="0"/>
          <w:caps w:val="0"/>
          <w:color w:val="auto"/>
          <w:spacing w:val="0"/>
          <w:sz w:val="24"/>
          <w:szCs w:val="24"/>
          <w:highlight w:val="yellow"/>
          <w:shd w:val="clear" w:color="auto" w:fill="auto"/>
        </w:rPr>
        <w:t>无效投标</w:t>
      </w:r>
      <w:r>
        <w:rPr>
          <w:rFonts w:hint="eastAsia" w:ascii="微软雅黑" w:hAnsi="微软雅黑" w:eastAsia="微软雅黑" w:cs="微软雅黑"/>
          <w:i w:val="0"/>
          <w:iCs w:val="0"/>
          <w:caps w:val="0"/>
          <w:color w:val="auto"/>
          <w:spacing w:val="0"/>
          <w:sz w:val="24"/>
          <w:szCs w:val="24"/>
          <w:highlight w:val="yellow"/>
          <w:shd w:val="clear" w:color="auto" w:fill="auto"/>
        </w:rPr>
        <w:t>（响应）处理。</w:t>
      </w:r>
    </w:p>
    <w:p w14:paraId="4FE2F618">
      <w:pPr>
        <w:pStyle w:val="16"/>
        <w:rPr>
          <w:rFonts w:hint="eastAsia"/>
          <w:highlight w:val="none"/>
          <w:lang w:val="en-US" w:eastAsia="zh-CN"/>
        </w:rPr>
      </w:pPr>
    </w:p>
    <w:p w14:paraId="294FED82">
      <w:pPr>
        <w:pStyle w:val="15"/>
        <w:tabs>
          <w:tab w:val="left" w:pos="5580"/>
        </w:tabs>
        <w:rPr>
          <w:rFonts w:ascii="微软雅黑" w:hAnsi="微软雅黑" w:eastAsia="微软雅黑" w:cs="微软雅黑"/>
          <w:b/>
          <w:bCs/>
          <w:color w:val="auto"/>
          <w:sz w:val="24"/>
          <w:szCs w:val="24"/>
          <w:highlight w:val="none"/>
        </w:rPr>
      </w:pPr>
    </w:p>
    <w:p w14:paraId="6BD1FD38">
      <w:pPr>
        <w:pStyle w:val="16"/>
        <w:ind w:left="2520"/>
        <w:rPr>
          <w:rFonts w:ascii="微软雅黑" w:hAnsi="微软雅黑" w:eastAsia="微软雅黑" w:cs="微软雅黑"/>
          <w:b/>
          <w:bCs/>
          <w:color w:val="auto"/>
          <w:sz w:val="24"/>
          <w:highlight w:val="none"/>
        </w:rPr>
      </w:pPr>
    </w:p>
    <w:bookmarkEnd w:id="551"/>
    <w:p w14:paraId="12D9E7C1">
      <w:pPr>
        <w:rPr>
          <w:rFonts w:hint="eastAsia" w:ascii="微软雅黑" w:hAnsi="微软雅黑" w:eastAsia="微软雅黑" w:cs="微软雅黑"/>
          <w:b/>
          <w:bCs/>
          <w:color w:val="auto"/>
          <w:highlight w:val="none"/>
        </w:rPr>
      </w:pPr>
      <w:bookmarkStart w:id="556" w:name="_Toc32348"/>
      <w:r>
        <w:rPr>
          <w:rFonts w:hint="eastAsia" w:ascii="微软雅黑" w:hAnsi="微软雅黑" w:eastAsia="微软雅黑" w:cs="微软雅黑"/>
          <w:b/>
          <w:bCs/>
          <w:color w:val="auto"/>
          <w:highlight w:val="none"/>
        </w:rPr>
        <w:br w:type="page"/>
      </w:r>
    </w:p>
    <w:p w14:paraId="2185EA6C">
      <w:pPr>
        <w:pStyle w:val="4"/>
        <w:outlineLvl w:val="1"/>
        <w:rPr>
          <w:rFonts w:ascii="微软雅黑" w:hAnsi="微软雅黑" w:eastAsia="微软雅黑" w:cs="微软雅黑"/>
          <w:b/>
          <w:bCs/>
          <w:color w:val="auto"/>
          <w:highlight w:val="none"/>
        </w:rPr>
      </w:pPr>
      <w:bookmarkStart w:id="557" w:name="_Toc6855"/>
      <w:bookmarkStart w:id="558" w:name="_Toc19308"/>
      <w:bookmarkStart w:id="559" w:name="_Toc20997"/>
      <w:r>
        <w:rPr>
          <w:rFonts w:hint="eastAsia" w:ascii="微软雅黑" w:hAnsi="微软雅黑" w:eastAsia="微软雅黑" w:cs="微软雅黑"/>
          <w:b/>
          <w:bCs/>
          <w:color w:val="auto"/>
          <w:highlight w:val="none"/>
        </w:rPr>
        <w:t>2</w:t>
      </w:r>
      <w:bookmarkEnd w:id="556"/>
      <w:r>
        <w:rPr>
          <w:rFonts w:hint="eastAsia" w:ascii="微软雅黑" w:hAnsi="微软雅黑" w:eastAsia="微软雅黑" w:cs="微软雅黑"/>
          <w:b/>
          <w:bCs/>
          <w:color w:val="auto"/>
          <w:highlight w:val="none"/>
          <w:lang w:val="en-US" w:eastAsia="zh-CN"/>
        </w:rPr>
        <w:t xml:space="preserve">   </w:t>
      </w:r>
      <w:r>
        <w:rPr>
          <w:rFonts w:hint="eastAsia" w:ascii="微软雅黑" w:hAnsi="微软雅黑" w:eastAsia="微软雅黑" w:cs="微软雅黑"/>
          <w:b/>
          <w:bCs/>
          <w:color w:val="auto"/>
          <w:highlight w:val="none"/>
        </w:rPr>
        <w:t>符合《中华人民共和国政府采购法》第二十二条的规定</w:t>
      </w:r>
      <w:bookmarkEnd w:id="557"/>
      <w:bookmarkEnd w:id="558"/>
      <w:bookmarkEnd w:id="559"/>
    </w:p>
    <w:p w14:paraId="455340C7">
      <w:pPr>
        <w:pStyle w:val="4"/>
        <w:rPr>
          <w:rFonts w:ascii="微软雅黑" w:hAnsi="微软雅黑" w:eastAsia="微软雅黑" w:cs="微软雅黑"/>
          <w:b/>
          <w:bCs/>
          <w:color w:val="auto"/>
          <w:highlight w:val="none"/>
        </w:rPr>
      </w:pPr>
    </w:p>
    <w:p w14:paraId="6A21657D">
      <w:pPr>
        <w:pStyle w:val="4"/>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①具有独立承担民事责任的能力；（投标时，提供在中华人民共和国境内注册的法人或其他组织的营业执照或事业单位法人证书或社会团体法人登记证书）</w:t>
      </w:r>
    </w:p>
    <w:p w14:paraId="445A6BE4">
      <w:pPr>
        <w:pStyle w:val="4"/>
        <w:rPr>
          <w:rFonts w:ascii="微软雅黑" w:hAnsi="微软雅黑" w:eastAsia="微软雅黑" w:cs="微软雅黑"/>
          <w:b/>
          <w:bCs/>
          <w:color w:val="auto"/>
          <w:highlight w:val="none"/>
        </w:rPr>
      </w:pPr>
      <w:r>
        <w:rPr>
          <w:rFonts w:hint="eastAsia" w:ascii="微软雅黑" w:hAnsi="微软雅黑" w:eastAsia="微软雅黑" w:cs="微软雅黑"/>
          <w:color w:val="auto"/>
          <w:kern w:val="2"/>
          <w:highlight w:val="none"/>
        </w:rPr>
        <w:t>说明：营业执照正本或副本，须上传扫描件并加盖本单位公章。</w:t>
      </w:r>
    </w:p>
    <w:p w14:paraId="77B26A0A">
      <w:pPr>
        <w:pStyle w:val="4"/>
        <w:rPr>
          <w:rFonts w:ascii="微软雅黑" w:hAnsi="微软雅黑" w:eastAsia="微软雅黑" w:cs="微软雅黑"/>
          <w:b/>
          <w:bCs/>
          <w:color w:val="auto"/>
          <w:highlight w:val="none"/>
        </w:rPr>
      </w:pPr>
    </w:p>
    <w:p w14:paraId="5266D3EE">
      <w:pPr>
        <w:pStyle w:val="5"/>
        <w:rPr>
          <w:rFonts w:ascii="微软雅黑" w:hAnsi="微软雅黑" w:eastAsia="微软雅黑" w:cs="微软雅黑"/>
          <w:b/>
          <w:bCs/>
          <w:color w:val="auto"/>
          <w:highlight w:val="none"/>
        </w:rPr>
      </w:pPr>
    </w:p>
    <w:p w14:paraId="7789F0B2">
      <w:pPr>
        <w:pStyle w:val="29"/>
        <w:spacing w:line="240" w:lineRule="auto"/>
        <w:ind w:firstLine="480"/>
        <w:rPr>
          <w:rFonts w:ascii="微软雅黑" w:hAnsi="微软雅黑" w:eastAsia="微软雅黑" w:cs="微软雅黑"/>
          <w:b/>
          <w:bCs/>
          <w:color w:val="auto"/>
          <w:kern w:val="0"/>
          <w:highlight w:val="none"/>
        </w:rPr>
      </w:pPr>
    </w:p>
    <w:p w14:paraId="07A55DAF">
      <w:pPr>
        <w:pStyle w:val="29"/>
        <w:spacing w:line="240" w:lineRule="auto"/>
        <w:ind w:firstLine="480"/>
        <w:rPr>
          <w:rFonts w:ascii="微软雅黑" w:hAnsi="微软雅黑" w:eastAsia="微软雅黑" w:cs="微软雅黑"/>
          <w:b/>
          <w:bCs/>
          <w:color w:val="auto"/>
          <w:kern w:val="0"/>
          <w:highlight w:val="none"/>
        </w:rPr>
      </w:pPr>
    </w:p>
    <w:p w14:paraId="5C3908C2">
      <w:pPr>
        <w:pStyle w:val="29"/>
        <w:spacing w:line="240" w:lineRule="auto"/>
        <w:ind w:firstLine="480"/>
        <w:rPr>
          <w:rFonts w:ascii="微软雅黑" w:hAnsi="微软雅黑" w:eastAsia="微软雅黑" w:cs="微软雅黑"/>
          <w:b/>
          <w:bCs/>
          <w:color w:val="auto"/>
          <w:kern w:val="0"/>
          <w:highlight w:val="none"/>
        </w:rPr>
      </w:pPr>
    </w:p>
    <w:p w14:paraId="2ED50A47">
      <w:pPr>
        <w:pStyle w:val="29"/>
        <w:spacing w:line="240" w:lineRule="auto"/>
        <w:ind w:firstLine="480"/>
        <w:rPr>
          <w:rFonts w:ascii="微软雅黑" w:hAnsi="微软雅黑" w:eastAsia="微软雅黑" w:cs="微软雅黑"/>
          <w:b/>
          <w:bCs/>
          <w:color w:val="auto"/>
          <w:kern w:val="0"/>
          <w:highlight w:val="none"/>
        </w:rPr>
      </w:pPr>
    </w:p>
    <w:p w14:paraId="5EE3E752">
      <w:pPr>
        <w:pStyle w:val="29"/>
        <w:spacing w:line="240" w:lineRule="auto"/>
        <w:ind w:firstLine="480"/>
        <w:rPr>
          <w:rFonts w:ascii="微软雅黑" w:hAnsi="微软雅黑" w:eastAsia="微软雅黑" w:cs="微软雅黑"/>
          <w:b/>
          <w:bCs/>
          <w:color w:val="auto"/>
          <w:kern w:val="0"/>
          <w:highlight w:val="none"/>
        </w:rPr>
      </w:pPr>
    </w:p>
    <w:p w14:paraId="47A3C49F">
      <w:pPr>
        <w:pStyle w:val="29"/>
        <w:spacing w:line="240" w:lineRule="auto"/>
        <w:ind w:firstLine="480"/>
        <w:rPr>
          <w:rFonts w:ascii="微软雅黑" w:hAnsi="微软雅黑" w:eastAsia="微软雅黑" w:cs="微软雅黑"/>
          <w:b/>
          <w:bCs/>
          <w:color w:val="auto"/>
          <w:kern w:val="0"/>
          <w:highlight w:val="none"/>
        </w:rPr>
      </w:pPr>
    </w:p>
    <w:p w14:paraId="15D95FF1">
      <w:pPr>
        <w:pStyle w:val="29"/>
        <w:spacing w:line="240" w:lineRule="auto"/>
        <w:ind w:firstLine="480"/>
        <w:rPr>
          <w:rFonts w:ascii="微软雅黑" w:hAnsi="微软雅黑" w:eastAsia="微软雅黑" w:cs="微软雅黑"/>
          <w:b/>
          <w:bCs/>
          <w:color w:val="auto"/>
          <w:kern w:val="0"/>
          <w:highlight w:val="none"/>
        </w:rPr>
      </w:pPr>
    </w:p>
    <w:p w14:paraId="161EB679">
      <w:pPr>
        <w:pStyle w:val="29"/>
        <w:spacing w:line="240" w:lineRule="auto"/>
        <w:ind w:firstLine="480"/>
        <w:rPr>
          <w:rFonts w:ascii="微软雅黑" w:hAnsi="微软雅黑" w:eastAsia="微软雅黑" w:cs="微软雅黑"/>
          <w:b/>
          <w:bCs/>
          <w:color w:val="auto"/>
          <w:kern w:val="0"/>
          <w:highlight w:val="none"/>
        </w:rPr>
      </w:pPr>
    </w:p>
    <w:p w14:paraId="5D5F14FA">
      <w:pPr>
        <w:pStyle w:val="29"/>
        <w:spacing w:line="240" w:lineRule="auto"/>
        <w:ind w:firstLine="480"/>
        <w:rPr>
          <w:rFonts w:ascii="微软雅黑" w:hAnsi="微软雅黑" w:eastAsia="微软雅黑" w:cs="微软雅黑"/>
          <w:b/>
          <w:bCs/>
          <w:color w:val="auto"/>
          <w:kern w:val="0"/>
          <w:highlight w:val="none"/>
        </w:rPr>
      </w:pPr>
    </w:p>
    <w:p w14:paraId="34765A95">
      <w:pPr>
        <w:pStyle w:val="29"/>
        <w:spacing w:line="240" w:lineRule="auto"/>
        <w:ind w:firstLine="480"/>
        <w:rPr>
          <w:rFonts w:ascii="微软雅黑" w:hAnsi="微软雅黑" w:eastAsia="微软雅黑" w:cs="微软雅黑"/>
          <w:b/>
          <w:bCs/>
          <w:color w:val="auto"/>
          <w:kern w:val="0"/>
          <w:highlight w:val="none"/>
        </w:rPr>
      </w:pPr>
    </w:p>
    <w:p w14:paraId="485C0DDD">
      <w:pPr>
        <w:pStyle w:val="29"/>
        <w:spacing w:line="240" w:lineRule="auto"/>
        <w:ind w:firstLine="480"/>
        <w:rPr>
          <w:rFonts w:ascii="微软雅黑" w:hAnsi="微软雅黑" w:eastAsia="微软雅黑" w:cs="微软雅黑"/>
          <w:b/>
          <w:bCs/>
          <w:color w:val="auto"/>
          <w:kern w:val="0"/>
          <w:highlight w:val="none"/>
        </w:rPr>
      </w:pPr>
    </w:p>
    <w:p w14:paraId="5CEA747D">
      <w:pPr>
        <w:pStyle w:val="29"/>
        <w:spacing w:line="240" w:lineRule="auto"/>
        <w:ind w:firstLine="480"/>
        <w:rPr>
          <w:rFonts w:ascii="微软雅黑" w:hAnsi="微软雅黑" w:eastAsia="微软雅黑" w:cs="微软雅黑"/>
          <w:b/>
          <w:bCs/>
          <w:color w:val="auto"/>
          <w:kern w:val="0"/>
          <w:highlight w:val="none"/>
        </w:rPr>
      </w:pPr>
    </w:p>
    <w:p w14:paraId="0C4C65AB">
      <w:pPr>
        <w:pStyle w:val="29"/>
        <w:spacing w:line="240" w:lineRule="auto"/>
        <w:ind w:firstLine="480"/>
        <w:rPr>
          <w:rFonts w:ascii="微软雅黑" w:hAnsi="微软雅黑" w:eastAsia="微软雅黑" w:cs="微软雅黑"/>
          <w:b/>
          <w:bCs/>
          <w:color w:val="auto"/>
          <w:kern w:val="0"/>
          <w:highlight w:val="none"/>
        </w:rPr>
      </w:pPr>
    </w:p>
    <w:p w14:paraId="3A80D734">
      <w:pPr>
        <w:pStyle w:val="29"/>
        <w:spacing w:line="240" w:lineRule="auto"/>
        <w:ind w:firstLine="480"/>
        <w:rPr>
          <w:rFonts w:ascii="微软雅黑" w:hAnsi="微软雅黑" w:eastAsia="微软雅黑" w:cs="微软雅黑"/>
          <w:b/>
          <w:bCs/>
          <w:color w:val="auto"/>
          <w:kern w:val="0"/>
          <w:highlight w:val="none"/>
        </w:rPr>
      </w:pPr>
    </w:p>
    <w:p w14:paraId="2418D311">
      <w:pPr>
        <w:pStyle w:val="29"/>
        <w:spacing w:line="240" w:lineRule="auto"/>
        <w:ind w:firstLine="480"/>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0"/>
          <w:highlight w:val="none"/>
          <w:lang w:val="en-US" w:eastAsia="zh-CN"/>
        </w:rPr>
        <w:t>②</w:t>
      </w:r>
      <w:r>
        <w:rPr>
          <w:rFonts w:hint="eastAsia" w:ascii="微软雅黑" w:hAnsi="微软雅黑" w:eastAsia="微软雅黑" w:cs="微软雅黑"/>
          <w:b/>
          <w:bCs/>
          <w:color w:val="auto"/>
          <w:kern w:val="2"/>
          <w:sz w:val="22"/>
          <w:szCs w:val="22"/>
          <w:highlight w:val="none"/>
          <w:lang w:val="en-US" w:eastAsia="zh-CN" w:bidi="ar-SA"/>
        </w:rPr>
        <w:t>供应商为制造商的须提供《医疗器械生产许可证》、所投产品的《医疗器械产品注册证》；供应商为经销商的须提供包含所投产品相应经营范围的《医疗器械经营许可证》或《医疗器械经营备案凭证》。供应商所投产品非医疗器械的，无需提供。</w:t>
      </w:r>
    </w:p>
    <w:p w14:paraId="786AE3CB">
      <w:pPr>
        <w:rPr>
          <w:rFonts w:hint="default" w:ascii="微软雅黑" w:hAnsi="微软雅黑" w:eastAsia="微软雅黑" w:cs="微软雅黑"/>
          <w:b w:val="0"/>
          <w:bCs w:val="0"/>
          <w:color w:val="auto"/>
          <w:kern w:val="2"/>
          <w:sz w:val="22"/>
          <w:szCs w:val="22"/>
          <w:highlight w:val="none"/>
          <w:lang w:val="en-US" w:eastAsia="zh-CN" w:bidi="ar-SA"/>
        </w:rPr>
      </w:pPr>
      <w:r>
        <w:rPr>
          <w:rFonts w:hint="eastAsia" w:ascii="微软雅黑" w:hAnsi="微软雅黑" w:eastAsia="微软雅黑" w:cs="微软雅黑"/>
          <w:b w:val="0"/>
          <w:bCs w:val="0"/>
          <w:color w:val="auto"/>
          <w:kern w:val="2"/>
          <w:sz w:val="22"/>
          <w:szCs w:val="22"/>
          <w:highlight w:val="none"/>
          <w:lang w:val="en-US" w:eastAsia="zh-CN" w:bidi="ar-SA"/>
        </w:rPr>
        <w:t>说明：提供相关证件扫描件。</w:t>
      </w:r>
    </w:p>
    <w:p w14:paraId="36CCCF00">
      <w:pPr>
        <w:pStyle w:val="29"/>
        <w:spacing w:line="240" w:lineRule="auto"/>
        <w:ind w:firstLine="480"/>
        <w:rPr>
          <w:rFonts w:ascii="微软雅黑" w:hAnsi="微软雅黑" w:eastAsia="微软雅黑" w:cs="微软雅黑"/>
          <w:b/>
          <w:bCs/>
          <w:color w:val="auto"/>
          <w:kern w:val="0"/>
          <w:highlight w:val="none"/>
        </w:rPr>
      </w:pPr>
    </w:p>
    <w:p w14:paraId="358143FB">
      <w:pPr>
        <w:pStyle w:val="29"/>
        <w:spacing w:line="240" w:lineRule="auto"/>
        <w:ind w:firstLine="480"/>
        <w:rPr>
          <w:rFonts w:ascii="微软雅黑" w:hAnsi="微软雅黑" w:eastAsia="微软雅黑" w:cs="微软雅黑"/>
          <w:b/>
          <w:bCs/>
          <w:color w:val="auto"/>
          <w:kern w:val="0"/>
          <w:highlight w:val="none"/>
        </w:rPr>
      </w:pPr>
    </w:p>
    <w:p w14:paraId="31AFC17F">
      <w:pPr>
        <w:pStyle w:val="29"/>
        <w:spacing w:line="240" w:lineRule="auto"/>
        <w:ind w:firstLine="480"/>
        <w:rPr>
          <w:rFonts w:ascii="微软雅黑" w:hAnsi="微软雅黑" w:eastAsia="微软雅黑" w:cs="微软雅黑"/>
          <w:b/>
          <w:bCs/>
          <w:color w:val="auto"/>
          <w:kern w:val="0"/>
          <w:highlight w:val="none"/>
        </w:rPr>
      </w:pPr>
    </w:p>
    <w:p w14:paraId="3295DFFF">
      <w:pPr>
        <w:pStyle w:val="29"/>
        <w:spacing w:line="240" w:lineRule="auto"/>
        <w:ind w:firstLine="480"/>
        <w:rPr>
          <w:rFonts w:ascii="微软雅黑" w:hAnsi="微软雅黑" w:eastAsia="微软雅黑" w:cs="微软雅黑"/>
          <w:b/>
          <w:bCs/>
          <w:color w:val="auto"/>
          <w:kern w:val="0"/>
          <w:highlight w:val="none"/>
        </w:rPr>
      </w:pPr>
    </w:p>
    <w:p w14:paraId="77EEF4C4">
      <w:pPr>
        <w:pStyle w:val="29"/>
        <w:spacing w:line="240" w:lineRule="auto"/>
        <w:ind w:firstLine="480"/>
        <w:rPr>
          <w:rFonts w:ascii="微软雅黑" w:hAnsi="微软雅黑" w:eastAsia="微软雅黑" w:cs="微软雅黑"/>
          <w:b/>
          <w:bCs/>
          <w:color w:val="auto"/>
          <w:kern w:val="0"/>
          <w:highlight w:val="none"/>
        </w:rPr>
      </w:pPr>
    </w:p>
    <w:p w14:paraId="2A7D0A41">
      <w:pPr>
        <w:pStyle w:val="29"/>
        <w:spacing w:line="240" w:lineRule="auto"/>
        <w:ind w:firstLine="480"/>
        <w:rPr>
          <w:rFonts w:ascii="微软雅黑" w:hAnsi="微软雅黑" w:eastAsia="微软雅黑" w:cs="微软雅黑"/>
          <w:b/>
          <w:bCs/>
          <w:color w:val="auto"/>
          <w:kern w:val="0"/>
          <w:highlight w:val="none"/>
        </w:rPr>
      </w:pPr>
    </w:p>
    <w:p w14:paraId="6464F1DB">
      <w:pPr>
        <w:pStyle w:val="29"/>
        <w:spacing w:line="240" w:lineRule="auto"/>
        <w:ind w:firstLine="480"/>
        <w:rPr>
          <w:rFonts w:ascii="微软雅黑" w:hAnsi="微软雅黑" w:eastAsia="微软雅黑" w:cs="微软雅黑"/>
          <w:b/>
          <w:bCs/>
          <w:color w:val="auto"/>
          <w:kern w:val="0"/>
          <w:highlight w:val="none"/>
        </w:rPr>
      </w:pPr>
    </w:p>
    <w:p w14:paraId="04C96BC0">
      <w:pPr>
        <w:pStyle w:val="29"/>
        <w:spacing w:line="240" w:lineRule="auto"/>
        <w:ind w:firstLine="480"/>
        <w:rPr>
          <w:rFonts w:ascii="微软雅黑" w:hAnsi="微软雅黑" w:eastAsia="微软雅黑" w:cs="微软雅黑"/>
          <w:b/>
          <w:bCs/>
          <w:color w:val="auto"/>
          <w:kern w:val="0"/>
          <w:highlight w:val="none"/>
        </w:rPr>
      </w:pPr>
    </w:p>
    <w:p w14:paraId="7FC2AE87">
      <w:pPr>
        <w:adjustRightInd w:val="0"/>
        <w:snapToGrid w:val="0"/>
        <w:spacing w:beforeLines="100" w:afterLines="100"/>
        <w:ind w:firstLine="480" w:firstLineChars="200"/>
        <w:rPr>
          <w:rFonts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lang w:val="en-US" w:eastAsia="zh-CN"/>
        </w:rPr>
        <w:t>③</w:t>
      </w:r>
      <w:r>
        <w:rPr>
          <w:rFonts w:hint="eastAsia" w:ascii="微软雅黑" w:hAnsi="微软雅黑" w:eastAsia="微软雅黑" w:cs="微软雅黑"/>
          <w:b/>
          <w:bCs/>
          <w:color w:val="auto"/>
          <w:kern w:val="0"/>
          <w:sz w:val="24"/>
          <w:szCs w:val="24"/>
          <w:highlight w:val="none"/>
        </w:rPr>
        <w:t>法人投标须提供法人身份证明及法人身份证，被授权委托人须提供法人身份证明、授权委托书及身份证复印件；</w:t>
      </w:r>
    </w:p>
    <w:p w14:paraId="62C29E40">
      <w:pPr>
        <w:adjustRightInd w:val="0"/>
        <w:snapToGrid w:val="0"/>
        <w:spacing w:beforeLines="100" w:afterLines="100" w:line="360" w:lineRule="auto"/>
        <w:rPr>
          <w:rFonts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（一）法定代表人身份证</w:t>
      </w:r>
    </w:p>
    <w:p w14:paraId="121ABDC5">
      <w:pPr>
        <w:spacing w:line="360" w:lineRule="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同志，现任我单位</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职务，为法定代表人，特此</w:t>
      </w:r>
      <w:r>
        <w:rPr>
          <w:rFonts w:hint="eastAsia" w:ascii="微软雅黑" w:hAnsi="微软雅黑" w:eastAsia="微软雅黑" w:cs="微软雅黑"/>
          <w:color w:val="auto"/>
          <w:sz w:val="22"/>
          <w:szCs w:val="22"/>
          <w:highlight w:val="none"/>
          <w:lang w:eastAsia="zh-CN"/>
        </w:rPr>
        <w:t>声明</w:t>
      </w:r>
      <w:r>
        <w:rPr>
          <w:rFonts w:hint="eastAsia" w:ascii="微软雅黑" w:hAnsi="微软雅黑" w:eastAsia="微软雅黑" w:cs="微软雅黑"/>
          <w:color w:val="auto"/>
          <w:sz w:val="22"/>
          <w:szCs w:val="22"/>
          <w:highlight w:val="none"/>
        </w:rPr>
        <w:t>。</w:t>
      </w:r>
    </w:p>
    <w:p w14:paraId="7A3879BE">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签发日期：                  单位：        </w:t>
      </w:r>
    </w:p>
    <w:p w14:paraId="0D93C95B">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附：代表人性别：            年龄：           身份证号码：</w:t>
      </w:r>
    </w:p>
    <w:p w14:paraId="108AB385">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联系电话：</w:t>
      </w:r>
    </w:p>
    <w:p w14:paraId="31C7AE93">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营业执照号码：              经济性质：</w:t>
      </w:r>
    </w:p>
    <w:p w14:paraId="54B79678">
      <w:pPr>
        <w:spacing w:line="360" w:lineRule="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说明：</w:t>
      </w:r>
    </w:p>
    <w:p w14:paraId="3418915C">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1.</w:t>
      </w:r>
      <w:r>
        <w:rPr>
          <w:rFonts w:hint="eastAsia" w:ascii="微软雅黑" w:hAnsi="微软雅黑" w:eastAsia="微软雅黑" w:cs="微软雅黑"/>
          <w:color w:val="auto"/>
          <w:sz w:val="22"/>
          <w:szCs w:val="22"/>
          <w:highlight w:val="none"/>
        </w:rPr>
        <w:t>法定代表人为企业事业单位、国家机关、社会团体的主要行政负责人。</w:t>
      </w:r>
    </w:p>
    <w:p w14:paraId="15CFCD33">
      <w:pPr>
        <w:spacing w:line="360" w:lineRule="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lang w:eastAsia="zh-CN"/>
        </w:rPr>
        <w:t>2.</w:t>
      </w:r>
      <w:r>
        <w:rPr>
          <w:rFonts w:hint="eastAsia" w:ascii="微软雅黑" w:hAnsi="微软雅黑" w:eastAsia="微软雅黑" w:cs="微软雅黑"/>
          <w:color w:val="auto"/>
          <w:sz w:val="22"/>
          <w:szCs w:val="22"/>
          <w:highlight w:val="none"/>
        </w:rPr>
        <w:t>内容必须填写真实、清楚、涂改无效，不得转让。</w:t>
      </w:r>
    </w:p>
    <w:p w14:paraId="6EC9D8C0">
      <w:pPr>
        <w:spacing w:line="360" w:lineRule="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p>
    <w:p w14:paraId="6FF7EC2B">
      <w:pPr>
        <w:spacing w:line="360" w:lineRule="auto"/>
        <w:rPr>
          <w:rFonts w:ascii="微软雅黑" w:hAnsi="微软雅黑" w:eastAsia="微软雅黑" w:cs="微软雅黑"/>
          <w:color w:val="auto"/>
          <w:sz w:val="22"/>
          <w:szCs w:val="22"/>
          <w:highlight w:val="none"/>
        </w:rPr>
      </w:pPr>
      <w:r>
        <w:rPr>
          <w:rFonts w:ascii="微软雅黑" w:hAnsi="微软雅黑" w:eastAsia="微软雅黑" w:cs="微软雅黑"/>
          <w:color w:val="auto"/>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7" name="102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4EBB4DC">
                            <w:pPr>
                              <w:jc w:val="center"/>
                              <w:rPr>
                                <w:rFonts w:hAnsi="宋体"/>
                              </w:rPr>
                            </w:pPr>
                          </w:p>
                          <w:p w14:paraId="2F286F77">
                            <w:pPr>
                              <w:jc w:val="center"/>
                              <w:rPr>
                                <w:rFonts w:hAnsi="宋体"/>
                              </w:rPr>
                            </w:pPr>
                          </w:p>
                          <w:p w14:paraId="59B9C1D1">
                            <w:pPr>
                              <w:jc w:val="center"/>
                              <w:rPr>
                                <w:rFonts w:hAnsi="宋体"/>
                              </w:rPr>
                            </w:pPr>
                          </w:p>
                          <w:p w14:paraId="76549113">
                            <w:pPr>
                              <w:jc w:val="center"/>
                            </w:pPr>
                            <w:r>
                              <w:rPr>
                                <w:rFonts w:hint="eastAsia" w:hAnsi="宋体" w:cs="宋体"/>
                              </w:rPr>
                              <w:t>法定代表人身份证</w:t>
                            </w:r>
                          </w:p>
                        </w:txbxContent>
                      </wps:txbx>
                      <wps:bodyPr upright="1"/>
                    </wps:wsp>
                  </a:graphicData>
                </a:graphic>
              </wp:anchor>
            </w:drawing>
          </mc:Choice>
          <mc:Fallback>
            <w:pict>
              <v:shape id="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ZOvXWAAAACAEAAA8AAAAAAAAAAQAgAAAAIgAAAGRy&#10;cy9kb3ducmV2LnhtbFBLAQIUABQAAAAIAIdO4kCJE288BwIAAEwEAAAOAAAAAAAAAAEAIAAAACUB&#10;AABkcnMvZTJvRG9jLnhtbFBLBQYAAAAABgAGAFkBAACeBQAAAAA=&#10;">
                <v:fill on="t" focussize="0,0"/>
                <v:stroke color="#000000" joinstyle="miter"/>
                <v:imagedata o:title=""/>
                <o:lock v:ext="edit" aspectratio="f"/>
                <v:textbox>
                  <w:txbxContent>
                    <w:p w14:paraId="54EBB4DC">
                      <w:pPr>
                        <w:jc w:val="center"/>
                        <w:rPr>
                          <w:rFonts w:hAnsi="宋体"/>
                        </w:rPr>
                      </w:pPr>
                    </w:p>
                    <w:p w14:paraId="2F286F77">
                      <w:pPr>
                        <w:jc w:val="center"/>
                        <w:rPr>
                          <w:rFonts w:hAnsi="宋体"/>
                        </w:rPr>
                      </w:pPr>
                    </w:p>
                    <w:p w14:paraId="59B9C1D1">
                      <w:pPr>
                        <w:jc w:val="center"/>
                        <w:rPr>
                          <w:rFonts w:hAnsi="宋体"/>
                        </w:rPr>
                      </w:pPr>
                    </w:p>
                    <w:p w14:paraId="76549113">
                      <w:pPr>
                        <w:jc w:val="center"/>
                      </w:pPr>
                      <w:r>
                        <w:rPr>
                          <w:rFonts w:hint="eastAsia" w:hAnsi="宋体" w:cs="宋体"/>
                        </w:rPr>
                        <w:t>法定代表人身份证</w:t>
                      </w:r>
                    </w:p>
                  </w:txbxContent>
                </v:textbox>
              </v:shape>
            </w:pict>
          </mc:Fallback>
        </mc:AlternateContent>
      </w:r>
      <w:r>
        <w:rPr>
          <w:rFonts w:ascii="微软雅黑" w:hAnsi="微软雅黑" w:eastAsia="微软雅黑" w:cs="微软雅黑"/>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028" name="1027"/>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253AB78D">
                            <w:pPr>
                              <w:jc w:val="center"/>
                              <w:rPr>
                                <w:rFonts w:hAnsi="宋体"/>
                              </w:rPr>
                            </w:pPr>
                            <w:r>
                              <w:rPr>
                                <w:rFonts w:hAnsi="宋体"/>
                              </w:rPr>
                              <w:t xml:space="preserve">  </w:t>
                            </w:r>
                          </w:p>
                          <w:p w14:paraId="6CA25ED0">
                            <w:pPr>
                              <w:jc w:val="center"/>
                              <w:rPr>
                                <w:rFonts w:hAnsi="宋体"/>
                              </w:rPr>
                            </w:pPr>
                          </w:p>
                          <w:p w14:paraId="3EC364BD">
                            <w:pPr>
                              <w:jc w:val="center"/>
                              <w:rPr>
                                <w:rFonts w:hAnsi="宋体"/>
                              </w:rPr>
                            </w:pPr>
                          </w:p>
                          <w:p w14:paraId="485A745E">
                            <w:pPr>
                              <w:jc w:val="center"/>
                            </w:pPr>
                            <w:r>
                              <w:rPr>
                                <w:rFonts w:hint="eastAsia" w:hAnsi="宋体" w:cs="宋体"/>
                              </w:rPr>
                              <w:t>法定代表人身份证</w:t>
                            </w:r>
                          </w:p>
                          <w:p w14:paraId="5D645E5C"/>
                          <w:p w14:paraId="63BF3D11">
                            <w:pPr>
                              <w:pStyle w:val="4"/>
                              <w:rPr>
                                <w:rFonts w:cs="Times New Roman"/>
                              </w:rPr>
                            </w:pPr>
                          </w:p>
                          <w:p w14:paraId="569764BF">
                            <w:pPr>
                              <w:pStyle w:val="4"/>
                              <w:rPr>
                                <w:rFonts w:cs="Times New Roman"/>
                              </w:rPr>
                            </w:pPr>
                          </w:p>
                          <w:p w14:paraId="7B99CFD0">
                            <w:pPr>
                              <w:pStyle w:val="4"/>
                              <w:rPr>
                                <w:rFonts w:cs="Times New Roman"/>
                              </w:rPr>
                            </w:pPr>
                          </w:p>
                          <w:p w14:paraId="459A97AF">
                            <w:pPr>
                              <w:pStyle w:val="4"/>
                              <w:rPr>
                                <w:rFonts w:cs="Times New Roman"/>
                              </w:rPr>
                            </w:pPr>
                          </w:p>
                        </w:txbxContent>
                      </wps:txbx>
                      <wps:bodyPr upright="1"/>
                    </wps:wsp>
                  </a:graphicData>
                </a:graphic>
              </wp:anchor>
            </w:drawing>
          </mc:Choice>
          <mc:Fallback>
            <w:pict>
              <v:roundrect id="1027"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L2Nf2gAAAAkBAAAP&#10;AAAAAAAAAAEAIAAAACIAAABkcnMvZG93bnJldi54bWxQSwECFAAUAAAACACHTuJAVQED/RYCAABp&#10;BAAADgAAAAAAAAABACAAAAApAQAAZHJzL2Uyb0RvYy54bWxQSwUGAAAAAAYABgBZAQAAsQUAAAAA&#10;">
                <v:fill on="t" focussize="0,0"/>
                <v:stroke weight="1.25pt" color="#808080" joinstyle="round"/>
                <v:imagedata o:title=""/>
                <o:lock v:ext="edit" aspectratio="f"/>
                <v:textbox>
                  <w:txbxContent>
                    <w:p w14:paraId="253AB78D">
                      <w:pPr>
                        <w:jc w:val="center"/>
                        <w:rPr>
                          <w:rFonts w:hAnsi="宋体"/>
                        </w:rPr>
                      </w:pPr>
                      <w:r>
                        <w:rPr>
                          <w:rFonts w:hAnsi="宋体"/>
                        </w:rPr>
                        <w:t xml:space="preserve">  </w:t>
                      </w:r>
                    </w:p>
                    <w:p w14:paraId="6CA25ED0">
                      <w:pPr>
                        <w:jc w:val="center"/>
                        <w:rPr>
                          <w:rFonts w:hAnsi="宋体"/>
                        </w:rPr>
                      </w:pPr>
                    </w:p>
                    <w:p w14:paraId="3EC364BD">
                      <w:pPr>
                        <w:jc w:val="center"/>
                        <w:rPr>
                          <w:rFonts w:hAnsi="宋体"/>
                        </w:rPr>
                      </w:pPr>
                    </w:p>
                    <w:p w14:paraId="485A745E">
                      <w:pPr>
                        <w:jc w:val="center"/>
                      </w:pPr>
                      <w:r>
                        <w:rPr>
                          <w:rFonts w:hint="eastAsia" w:hAnsi="宋体" w:cs="宋体"/>
                        </w:rPr>
                        <w:t>法定代表人身份证</w:t>
                      </w:r>
                    </w:p>
                    <w:p w14:paraId="5D645E5C"/>
                    <w:p w14:paraId="63BF3D11">
                      <w:pPr>
                        <w:pStyle w:val="4"/>
                        <w:rPr>
                          <w:rFonts w:cs="Times New Roman"/>
                        </w:rPr>
                      </w:pPr>
                    </w:p>
                    <w:p w14:paraId="569764BF">
                      <w:pPr>
                        <w:pStyle w:val="4"/>
                        <w:rPr>
                          <w:rFonts w:cs="Times New Roman"/>
                        </w:rPr>
                      </w:pPr>
                    </w:p>
                    <w:p w14:paraId="7B99CFD0">
                      <w:pPr>
                        <w:pStyle w:val="4"/>
                        <w:rPr>
                          <w:rFonts w:cs="Times New Roman"/>
                        </w:rPr>
                      </w:pPr>
                    </w:p>
                    <w:p w14:paraId="459A97AF">
                      <w:pPr>
                        <w:pStyle w:val="4"/>
                        <w:rPr>
                          <w:rFonts w:cs="Times New Roman"/>
                        </w:rPr>
                      </w:pPr>
                    </w:p>
                  </w:txbxContent>
                </v:textbox>
              </v:roundrect>
            </w:pict>
          </mc:Fallback>
        </mc:AlternateContent>
      </w:r>
    </w:p>
    <w:p w14:paraId="320AD498">
      <w:pPr>
        <w:spacing w:line="360" w:lineRule="auto"/>
        <w:rPr>
          <w:rFonts w:ascii="微软雅黑" w:hAnsi="微软雅黑" w:eastAsia="微软雅黑" w:cs="微软雅黑"/>
          <w:color w:val="auto"/>
          <w:sz w:val="22"/>
          <w:szCs w:val="22"/>
          <w:highlight w:val="none"/>
        </w:rPr>
      </w:pPr>
    </w:p>
    <w:p w14:paraId="32F7FFF7">
      <w:pPr>
        <w:spacing w:line="360" w:lineRule="auto"/>
        <w:rPr>
          <w:rFonts w:ascii="微软雅黑" w:hAnsi="微软雅黑" w:eastAsia="微软雅黑" w:cs="微软雅黑"/>
          <w:color w:val="auto"/>
          <w:sz w:val="22"/>
          <w:szCs w:val="22"/>
          <w:highlight w:val="none"/>
        </w:rPr>
      </w:pPr>
    </w:p>
    <w:p w14:paraId="1F0D483C">
      <w:pPr>
        <w:tabs>
          <w:tab w:val="left" w:pos="654"/>
          <w:tab w:val="left" w:pos="1734"/>
          <w:tab w:val="left" w:pos="2814"/>
          <w:tab w:val="left" w:pos="3894"/>
          <w:tab w:val="left" w:pos="5334"/>
          <w:tab w:val="left" w:pos="6414"/>
          <w:tab w:val="left" w:pos="7254"/>
          <w:tab w:val="left" w:pos="8574"/>
          <w:tab w:val="left" w:pos="9654"/>
        </w:tabs>
        <w:spacing w:line="360" w:lineRule="auto"/>
        <w:rPr>
          <w:rFonts w:ascii="微软雅黑" w:hAnsi="微软雅黑" w:eastAsia="微软雅黑" w:cs="微软雅黑"/>
          <w:color w:val="auto"/>
          <w:sz w:val="22"/>
          <w:szCs w:val="22"/>
          <w:highlight w:val="none"/>
        </w:rPr>
      </w:pPr>
    </w:p>
    <w:p w14:paraId="0A9A68D5">
      <w:pPr>
        <w:autoSpaceDE w:val="0"/>
        <w:autoSpaceDN w:val="0"/>
        <w:adjustRightInd w:val="0"/>
        <w:spacing w:line="360" w:lineRule="auto"/>
        <w:ind w:right="246"/>
        <w:rPr>
          <w:rFonts w:ascii="微软雅黑" w:hAnsi="微软雅黑" w:eastAsia="微软雅黑" w:cs="微软雅黑"/>
          <w:color w:val="auto"/>
          <w:kern w:val="0"/>
          <w:sz w:val="22"/>
          <w:szCs w:val="22"/>
          <w:highlight w:val="none"/>
        </w:rPr>
      </w:pPr>
    </w:p>
    <w:p w14:paraId="3CD17D2F">
      <w:pPr>
        <w:autoSpaceDE w:val="0"/>
        <w:autoSpaceDN w:val="0"/>
        <w:adjustRightInd w:val="0"/>
        <w:spacing w:line="360" w:lineRule="auto"/>
        <w:ind w:right="246" w:firstLine="719" w:firstLineChars="327"/>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kern w:val="0"/>
          <w:sz w:val="22"/>
          <w:szCs w:val="22"/>
          <w:highlight w:val="none"/>
        </w:rPr>
        <w:t>供应商（公章）：</w:t>
      </w:r>
    </w:p>
    <w:p w14:paraId="2C99F0A0">
      <w:pPr>
        <w:adjustRightInd w:val="0"/>
        <w:snapToGrid w:val="0"/>
        <w:spacing w:line="360" w:lineRule="auto"/>
        <w:ind w:firstLine="719" w:firstLineChars="327"/>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kern w:val="0"/>
          <w:sz w:val="22"/>
          <w:szCs w:val="22"/>
          <w:highlight w:val="none"/>
        </w:rPr>
        <w:t>法定代表人（签字或盖章）：</w:t>
      </w:r>
    </w:p>
    <w:p w14:paraId="28B42C35">
      <w:pPr>
        <w:adjustRightInd w:val="0"/>
        <w:snapToGrid w:val="0"/>
        <w:spacing w:line="360" w:lineRule="auto"/>
        <w:ind w:firstLine="719" w:firstLineChars="327"/>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日期：</w:t>
      </w:r>
      <w:bookmarkStart w:id="560" w:name="_Toc22472"/>
      <w:bookmarkStart w:id="561" w:name="_Toc515647807"/>
      <w:bookmarkStart w:id="562" w:name="_Toc1083"/>
    </w:p>
    <w:p w14:paraId="286199E4">
      <w:pPr>
        <w:spacing w:line="360" w:lineRule="auto"/>
        <w:rPr>
          <w:color w:val="auto"/>
          <w:highlight w:val="none"/>
        </w:rPr>
      </w:pPr>
    </w:p>
    <w:p w14:paraId="76C78032">
      <w:pPr>
        <w:pStyle w:val="4"/>
        <w:rPr>
          <w:color w:val="auto"/>
          <w:highlight w:val="none"/>
        </w:rPr>
      </w:pPr>
    </w:p>
    <w:p w14:paraId="7DC03FB8">
      <w:pPr>
        <w:rPr>
          <w:color w:val="auto"/>
          <w:highlight w:val="none"/>
        </w:rPr>
      </w:pPr>
    </w:p>
    <w:p w14:paraId="3041DE19">
      <w:pPr>
        <w:pStyle w:val="23"/>
        <w:rPr>
          <w:rFonts w:ascii="微软雅黑" w:hAnsi="微软雅黑" w:eastAsia="微软雅黑" w:cs="微软雅黑"/>
          <w:b/>
          <w:bCs/>
          <w:color w:val="auto"/>
          <w:sz w:val="24"/>
          <w:szCs w:val="24"/>
          <w:highlight w:val="none"/>
        </w:rPr>
      </w:pPr>
    </w:p>
    <w:p w14:paraId="2340DC46">
      <w:pPr>
        <w:pStyle w:val="23"/>
        <w:rPr>
          <w:rFonts w:ascii="微软雅黑" w:hAnsi="微软雅黑" w:eastAsia="微软雅黑" w:cs="微软雅黑"/>
          <w:b/>
          <w:bCs/>
          <w:color w:val="auto"/>
          <w:sz w:val="24"/>
          <w:szCs w:val="24"/>
          <w:highlight w:val="none"/>
        </w:rPr>
      </w:pPr>
    </w:p>
    <w:p w14:paraId="46AFEA55">
      <w:pPr>
        <w:pStyle w:val="23"/>
        <w:rPr>
          <w:rFonts w:ascii="微软雅黑" w:hAnsi="微软雅黑" w:eastAsia="微软雅黑" w:cs="微软雅黑"/>
          <w:b/>
          <w:bCs/>
          <w:color w:val="auto"/>
          <w:sz w:val="24"/>
          <w:szCs w:val="24"/>
          <w:highlight w:val="none"/>
        </w:rPr>
      </w:pPr>
    </w:p>
    <w:p w14:paraId="780E7F38">
      <w:pPr>
        <w:spacing w:line="360" w:lineRule="auto"/>
        <w:rPr>
          <w:rFonts w:ascii="微软雅黑" w:hAnsi="微软雅黑" w:eastAsia="微软雅黑" w:cs="微软雅黑"/>
          <w:b/>
          <w:bCs/>
          <w:color w:val="auto"/>
          <w:sz w:val="28"/>
          <w:szCs w:val="28"/>
          <w:highlight w:val="none"/>
          <w:u w:val="single"/>
        </w:rPr>
      </w:pPr>
      <w:r>
        <w:rPr>
          <w:rFonts w:hint="eastAsia" w:ascii="微软雅黑" w:hAnsi="微软雅黑" w:eastAsia="微软雅黑" w:cs="微软雅黑"/>
          <w:b/>
          <w:bCs/>
          <w:color w:val="auto"/>
          <w:sz w:val="28"/>
          <w:szCs w:val="28"/>
          <w:highlight w:val="none"/>
        </w:rPr>
        <w:t>（二）法定代表人授权委托书</w:t>
      </w:r>
      <w:bookmarkEnd w:id="560"/>
      <w:bookmarkEnd w:id="561"/>
      <w:bookmarkEnd w:id="562"/>
    </w:p>
    <w:p w14:paraId="5B627D31">
      <w:pPr>
        <w:spacing w:line="360" w:lineRule="auto"/>
        <w:ind w:firstLine="24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2"/>
          <w:szCs w:val="22"/>
          <w:highlight w:val="none"/>
        </w:rPr>
        <w:t>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14:paraId="270371FE">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本授权书于           年     月     日签字生效</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特此声明。</w:t>
      </w:r>
    </w:p>
    <w:p w14:paraId="76C6A903">
      <w:pPr>
        <w:pStyle w:val="15"/>
        <w:tabs>
          <w:tab w:val="left" w:pos="5580"/>
        </w:tabs>
        <w:spacing w:line="360" w:lineRule="auto"/>
        <w:ind w:left="-540" w:leftChars="-257" w:firstLine="900" w:firstLineChars="375"/>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3039110</wp:posOffset>
                </wp:positionH>
                <wp:positionV relativeFrom="paragraph">
                  <wp:posOffset>167640</wp:posOffset>
                </wp:positionV>
                <wp:extent cx="2478405" cy="1295400"/>
                <wp:effectExtent l="7620" t="7620" r="9525" b="11430"/>
                <wp:wrapNone/>
                <wp:docPr id="1029" name="1028"/>
                <wp:cNvGraphicFramePr/>
                <a:graphic xmlns:a="http://schemas.openxmlformats.org/drawingml/2006/main">
                  <a:graphicData uri="http://schemas.microsoft.com/office/word/2010/wordprocessingShape">
                    <wps:wsp>
                      <wps:cNvSpPr/>
                      <wps:spPr>
                        <a:xfrm>
                          <a:off x="0" y="0"/>
                          <a:ext cx="2478405" cy="129540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3CBFCEC0">
                            <w:pPr>
                              <w:rPr>
                                <w:rFonts w:hAnsi="宋体"/>
                              </w:rPr>
                            </w:pPr>
                          </w:p>
                          <w:p w14:paraId="1159A573">
                            <w:pPr>
                              <w:rPr>
                                <w:rFonts w:hAnsi="宋体"/>
                              </w:rPr>
                            </w:pPr>
                          </w:p>
                          <w:p w14:paraId="56A03E8B">
                            <w:pPr>
                              <w:rPr>
                                <w:rFonts w:hAnsi="宋体"/>
                              </w:rPr>
                            </w:pPr>
                          </w:p>
                          <w:p w14:paraId="57D9A59F">
                            <w:r>
                              <w:rPr>
                                <w:rFonts w:hint="eastAsia" w:hAnsi="宋体" w:cs="宋体"/>
                              </w:rPr>
                              <w:t>授权委托人身份证复印件</w:t>
                            </w:r>
                          </w:p>
                          <w:p w14:paraId="343DB181"/>
                        </w:txbxContent>
                      </wps:txbx>
                      <wps:bodyPr upright="1"/>
                    </wps:wsp>
                  </a:graphicData>
                </a:graphic>
              </wp:anchor>
            </w:drawing>
          </mc:Choice>
          <mc:Fallback>
            <w:pict>
              <v:roundrect id="1028" o:spid="_x0000_s1026" o:spt="2" style="position:absolute;left:0pt;margin-left:239.3pt;margin-top:13.2pt;height:102pt;width:195.15pt;z-index:251661312;mso-width-relative:page;mso-height-relative:page;" fillcolor="#FFFFFF" filled="t" stroked="t" coordsize="21600,21600" arcsize="0.166666666666667" o:gfxdata="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kzKgtsAAAAKAQAA&#10;DwAAAAAAAAABACAAAAAiAAAAZHJzL2Rvd25yZXYueG1sUEsBAhQAFAAAAAgAh07iQLsPkIcWAgAA&#10;aQQAAA4AAAAAAAAAAQAgAAAAKgEAAGRycy9lMm9Eb2MueG1sUEsFBgAAAAAGAAYAWQEAALIFAAAA&#10;AA==&#10;">
                <v:fill on="t" focussize="0,0"/>
                <v:stroke weight="1.25pt" color="#808080" joinstyle="round"/>
                <v:imagedata o:title=""/>
                <o:lock v:ext="edit" aspectratio="f"/>
                <v:textbox>
                  <w:txbxContent>
                    <w:p w14:paraId="3CBFCEC0">
                      <w:pPr>
                        <w:rPr>
                          <w:rFonts w:hAnsi="宋体"/>
                        </w:rPr>
                      </w:pPr>
                    </w:p>
                    <w:p w14:paraId="1159A573">
                      <w:pPr>
                        <w:rPr>
                          <w:rFonts w:hAnsi="宋体"/>
                        </w:rPr>
                      </w:pPr>
                    </w:p>
                    <w:p w14:paraId="56A03E8B">
                      <w:pPr>
                        <w:rPr>
                          <w:rFonts w:hAnsi="宋体"/>
                        </w:rPr>
                      </w:pPr>
                    </w:p>
                    <w:p w14:paraId="57D9A59F">
                      <w:r>
                        <w:rPr>
                          <w:rFonts w:hint="eastAsia" w:hAnsi="宋体" w:cs="宋体"/>
                        </w:rPr>
                        <w:t>授权委托人身份证复印件</w:t>
                      </w:r>
                    </w:p>
                    <w:p w14:paraId="343DB181"/>
                  </w:txbxContent>
                </v:textbox>
              </v:roundrect>
            </w:pict>
          </mc:Fallback>
        </mc:AlternateContent>
      </w:r>
      <w:r>
        <w:rPr>
          <w:rFonts w:ascii="微软雅黑" w:hAnsi="微软雅黑" w:eastAsia="微软雅黑" w:cs="微软雅黑"/>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2317750" cy="1240790"/>
                <wp:effectExtent l="4445" t="4445" r="20955" b="12065"/>
                <wp:wrapNone/>
                <wp:docPr id="1030" name="1029"/>
                <wp:cNvGraphicFramePr/>
                <a:graphic xmlns:a="http://schemas.openxmlformats.org/drawingml/2006/main">
                  <a:graphicData uri="http://schemas.microsoft.com/office/word/2010/wordprocessingShape">
                    <wps:wsp>
                      <wps:cNvSpPr/>
                      <wps:spPr>
                        <a:xfrm>
                          <a:off x="0" y="0"/>
                          <a:ext cx="2317750" cy="12407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FFAAA3A">
                            <w:pPr>
                              <w:jc w:val="center"/>
                              <w:rPr>
                                <w:rFonts w:hAnsi="宋体"/>
                              </w:rPr>
                            </w:pPr>
                          </w:p>
                          <w:p w14:paraId="70FB5EBA">
                            <w:pPr>
                              <w:jc w:val="center"/>
                              <w:rPr>
                                <w:rFonts w:hAnsi="宋体"/>
                              </w:rPr>
                            </w:pPr>
                          </w:p>
                          <w:p w14:paraId="009A5EB2">
                            <w:pPr>
                              <w:jc w:val="center"/>
                              <w:rPr>
                                <w:rFonts w:hAnsi="宋体"/>
                              </w:rPr>
                            </w:pPr>
                          </w:p>
                          <w:p w14:paraId="254F4C4E">
                            <w:pPr>
                              <w:jc w:val="center"/>
                            </w:pPr>
                            <w:r>
                              <w:rPr>
                                <w:rFonts w:hint="eastAsia" w:hAnsi="宋体" w:cs="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97.7pt;width:182.5pt;z-index:251662336;mso-width-relative:page;mso-height-relative:page;" fillcolor="#FFFFFF" filled="t" stroked="t" coordsize="21600,21600" o:gfxdata="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m2EItUAAAAIAQAADwAAAAAAAAABACAAAAAiAAAA&#10;ZHJzL2Rvd25yZXYueG1sUEsBAhQAFAAAAAgAh07iQNsaN5UKAgAATAQAAA4AAAAAAAAAAQAgAAAA&#10;JAEAAGRycy9lMm9Eb2MueG1sUEsFBgAAAAAGAAYAWQEAAKAFAAAAAA==&#10;">
                <v:fill on="t" focussize="0,0"/>
                <v:stroke color="#000000" joinstyle="miter"/>
                <v:imagedata o:title=""/>
                <o:lock v:ext="edit" aspectratio="f"/>
                <v:textbox>
                  <w:txbxContent>
                    <w:p w14:paraId="3FFAAA3A">
                      <w:pPr>
                        <w:jc w:val="center"/>
                        <w:rPr>
                          <w:rFonts w:hAnsi="宋体"/>
                        </w:rPr>
                      </w:pPr>
                    </w:p>
                    <w:p w14:paraId="70FB5EBA">
                      <w:pPr>
                        <w:jc w:val="center"/>
                        <w:rPr>
                          <w:rFonts w:hAnsi="宋体"/>
                        </w:rPr>
                      </w:pPr>
                    </w:p>
                    <w:p w14:paraId="009A5EB2">
                      <w:pPr>
                        <w:jc w:val="center"/>
                        <w:rPr>
                          <w:rFonts w:hAnsi="宋体"/>
                        </w:rPr>
                      </w:pPr>
                    </w:p>
                    <w:p w14:paraId="254F4C4E">
                      <w:pPr>
                        <w:jc w:val="center"/>
                      </w:pPr>
                      <w:r>
                        <w:rPr>
                          <w:rFonts w:hint="eastAsia" w:hAnsi="宋体" w:cs="宋体"/>
                        </w:rPr>
                        <w:t>授权委托人身份证复印件</w:t>
                      </w:r>
                    </w:p>
                  </w:txbxContent>
                </v:textbox>
              </v:shape>
            </w:pict>
          </mc:Fallback>
        </mc:AlternateContent>
      </w:r>
    </w:p>
    <w:p w14:paraId="3898B1BE">
      <w:pPr>
        <w:spacing w:line="360" w:lineRule="auto"/>
        <w:ind w:firstLine="240" w:firstLineChars="100"/>
        <w:rPr>
          <w:rFonts w:ascii="微软雅黑" w:hAnsi="微软雅黑" w:eastAsia="微软雅黑" w:cs="微软雅黑"/>
          <w:color w:val="auto"/>
          <w:sz w:val="24"/>
          <w:szCs w:val="24"/>
          <w:highlight w:val="none"/>
        </w:rPr>
      </w:pPr>
    </w:p>
    <w:p w14:paraId="46E1DECB">
      <w:pPr>
        <w:spacing w:line="360" w:lineRule="auto"/>
        <w:ind w:firstLine="240" w:firstLineChars="100"/>
        <w:rPr>
          <w:rFonts w:ascii="微软雅黑" w:hAnsi="微软雅黑" w:eastAsia="微软雅黑" w:cs="微软雅黑"/>
          <w:color w:val="auto"/>
          <w:sz w:val="24"/>
          <w:szCs w:val="24"/>
          <w:highlight w:val="none"/>
        </w:rPr>
      </w:pPr>
    </w:p>
    <w:p w14:paraId="3B8593FD">
      <w:pPr>
        <w:spacing w:line="360" w:lineRule="auto"/>
        <w:ind w:firstLine="240" w:firstLineChars="100"/>
        <w:rPr>
          <w:rFonts w:ascii="微软雅黑" w:hAnsi="微软雅黑" w:eastAsia="微软雅黑" w:cs="微软雅黑"/>
          <w:color w:val="auto"/>
          <w:sz w:val="24"/>
          <w:szCs w:val="24"/>
          <w:highlight w:val="none"/>
        </w:rPr>
      </w:pPr>
    </w:p>
    <w:p w14:paraId="1EF6BA80">
      <w:pPr>
        <w:spacing w:line="360" w:lineRule="auto"/>
        <w:ind w:firstLine="240" w:firstLineChars="100"/>
        <w:rPr>
          <w:rFonts w:ascii="微软雅黑" w:hAnsi="微软雅黑" w:eastAsia="微软雅黑" w:cs="微软雅黑"/>
          <w:color w:val="auto"/>
          <w:sz w:val="24"/>
          <w:szCs w:val="24"/>
          <w:highlight w:val="none"/>
        </w:rPr>
      </w:pPr>
    </w:p>
    <w:p w14:paraId="5D377236">
      <w:pPr>
        <w:spacing w:line="360" w:lineRule="auto"/>
        <w:ind w:firstLine="240" w:firstLineChars="100"/>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3018155</wp:posOffset>
                </wp:positionH>
                <wp:positionV relativeFrom="paragraph">
                  <wp:posOffset>96520</wp:posOffset>
                </wp:positionV>
                <wp:extent cx="2535555" cy="1221105"/>
                <wp:effectExtent l="7620" t="7620" r="9525" b="9525"/>
                <wp:wrapNone/>
                <wp:docPr id="1031" name="1030"/>
                <wp:cNvGraphicFramePr/>
                <a:graphic xmlns:a="http://schemas.openxmlformats.org/drawingml/2006/main">
                  <a:graphicData uri="http://schemas.microsoft.com/office/word/2010/wordprocessingShape">
                    <wps:wsp>
                      <wps:cNvSpPr/>
                      <wps:spPr>
                        <a:xfrm>
                          <a:off x="0" y="0"/>
                          <a:ext cx="2535555" cy="122110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0471231B">
                            <w:pPr>
                              <w:jc w:val="center"/>
                              <w:rPr>
                                <w:rFonts w:hAnsi="宋体"/>
                              </w:rPr>
                            </w:pPr>
                            <w:r>
                              <w:rPr>
                                <w:rFonts w:hAnsi="宋体"/>
                              </w:rPr>
                              <w:t xml:space="preserve">  </w:t>
                            </w:r>
                          </w:p>
                          <w:p w14:paraId="7D7C2B1C">
                            <w:pPr>
                              <w:rPr>
                                <w:rFonts w:hAnsi="宋体"/>
                              </w:rPr>
                            </w:pPr>
                          </w:p>
                          <w:p w14:paraId="4CF30FEE">
                            <w:r>
                              <w:rPr>
                                <w:rFonts w:hint="eastAsia" w:hAnsi="宋体" w:cs="宋体"/>
                              </w:rPr>
                              <w:t>法人身份证复印件</w:t>
                            </w:r>
                          </w:p>
                          <w:p w14:paraId="47A97667"/>
                        </w:txbxContent>
                      </wps:txbx>
                      <wps:bodyPr upright="1"/>
                    </wps:wsp>
                  </a:graphicData>
                </a:graphic>
              </wp:anchor>
            </w:drawing>
          </mc:Choice>
          <mc:Fallback>
            <w:pict>
              <v:roundrect id="1030" o:spid="_x0000_s1026" o:spt="2" style="position:absolute;left:0pt;margin-left:237.65pt;margin-top:7.6pt;height:96.15pt;width:199.65pt;z-index:251663360;mso-width-relative:page;mso-height-relative:page;" fillcolor="#FFFFFF" filled="t" stroked="t" coordsize="21600,21600" arcsize="0.166666666666667" o:gfxdata="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XXaetsAAAAKAQAADwAA&#10;AAAAAAABACAAAAAiAAAAZHJzL2Rvd25yZXYueG1sUEsBAhQAFAAAAAgAh07iQLWaoBATAgAAaQQA&#10;AA4AAAAAAAAAAQAgAAAAKgEAAGRycy9lMm9Eb2MueG1sUEsFBgAAAAAGAAYAWQEAAK8FAAAAAA==&#10;">
                <v:fill on="t" focussize="0,0"/>
                <v:stroke weight="1.25pt" color="#808080" joinstyle="round"/>
                <v:imagedata o:title=""/>
                <o:lock v:ext="edit" aspectratio="f"/>
                <v:textbox>
                  <w:txbxContent>
                    <w:p w14:paraId="0471231B">
                      <w:pPr>
                        <w:jc w:val="center"/>
                        <w:rPr>
                          <w:rFonts w:hAnsi="宋体"/>
                        </w:rPr>
                      </w:pPr>
                      <w:r>
                        <w:rPr>
                          <w:rFonts w:hAnsi="宋体"/>
                        </w:rPr>
                        <w:t xml:space="preserve">  </w:t>
                      </w:r>
                    </w:p>
                    <w:p w14:paraId="7D7C2B1C">
                      <w:pPr>
                        <w:rPr>
                          <w:rFonts w:hAnsi="宋体"/>
                        </w:rPr>
                      </w:pPr>
                    </w:p>
                    <w:p w14:paraId="4CF30FEE">
                      <w:r>
                        <w:rPr>
                          <w:rFonts w:hint="eastAsia" w:hAnsi="宋体" w:cs="宋体"/>
                        </w:rPr>
                        <w:t>法人身份证复印件</w:t>
                      </w:r>
                    </w:p>
                    <w:p w14:paraId="47A97667"/>
                  </w:txbxContent>
                </v:textbox>
              </v:roundrect>
            </w:pict>
          </mc:Fallback>
        </mc:AlternateContent>
      </w:r>
      <w:r>
        <w:rPr>
          <w:rFonts w:ascii="微软雅黑" w:hAnsi="微软雅黑" w:eastAsia="微软雅黑" w:cs="微软雅黑"/>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29845</wp:posOffset>
                </wp:positionV>
                <wp:extent cx="2555240" cy="1283335"/>
                <wp:effectExtent l="7620" t="7620" r="8890" b="23495"/>
                <wp:wrapNone/>
                <wp:docPr id="1032" name="1031"/>
                <wp:cNvGraphicFramePr/>
                <a:graphic xmlns:a="http://schemas.openxmlformats.org/drawingml/2006/main">
                  <a:graphicData uri="http://schemas.microsoft.com/office/word/2010/wordprocessingShape">
                    <wps:wsp>
                      <wps:cNvSpPr/>
                      <wps:spPr>
                        <a:xfrm>
                          <a:off x="0" y="0"/>
                          <a:ext cx="2555240" cy="128333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1A17C248">
                            <w:pPr>
                              <w:jc w:val="center"/>
                              <w:rPr>
                                <w:rFonts w:hAnsi="宋体"/>
                              </w:rPr>
                            </w:pPr>
                          </w:p>
                          <w:p w14:paraId="495B2BB0">
                            <w:pPr>
                              <w:rPr>
                                <w:rFonts w:hAnsi="宋体"/>
                              </w:rPr>
                            </w:pPr>
                          </w:p>
                          <w:p w14:paraId="4AB53ECE">
                            <w:r>
                              <w:rPr>
                                <w:rFonts w:hint="eastAsia" w:hAnsi="宋体" w:cs="宋体"/>
                              </w:rPr>
                              <w:t>法人身份证复印件</w:t>
                            </w:r>
                          </w:p>
                          <w:p w14:paraId="72AAF8A7"/>
                        </w:txbxContent>
                      </wps:txbx>
                      <wps:bodyPr upright="1"/>
                    </wps:wsp>
                  </a:graphicData>
                </a:graphic>
              </wp:anchor>
            </w:drawing>
          </mc:Choice>
          <mc:Fallback>
            <w:pict>
              <v:roundrect id="1031" o:spid="_x0000_s1026" o:spt="2" style="position:absolute;left:0pt;margin-left:-0.85pt;margin-top:2.35pt;height:101.05pt;width:201.2pt;z-index:251664384;mso-width-relative:page;mso-height-relative:page;" fillcolor="#FFFFFF" filled="t" stroked="t" coordsize="21600,21600" arcsize="0.166666666666667" o:gfxdata="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iLDWrZAAAACAEAAA8A&#10;AAAAAAAAAQAgAAAAIgAAAGRycy9kb3ducmV2LnhtbFBLAQIUABQAAAAIAIdO4kB3JWpVFgIAAGkE&#10;AAAOAAAAAAAAAAEAIAAAACgBAABkcnMvZTJvRG9jLnhtbFBLBQYAAAAABgAGAFkBAACwBQAAAAA=&#10;">
                <v:fill on="t" focussize="0,0"/>
                <v:stroke weight="1.25pt" color="#808080" joinstyle="round"/>
                <v:imagedata o:title=""/>
                <o:lock v:ext="edit" aspectratio="f"/>
                <v:textbox>
                  <w:txbxContent>
                    <w:p w14:paraId="1A17C248">
                      <w:pPr>
                        <w:jc w:val="center"/>
                        <w:rPr>
                          <w:rFonts w:hAnsi="宋体"/>
                        </w:rPr>
                      </w:pPr>
                    </w:p>
                    <w:p w14:paraId="495B2BB0">
                      <w:pPr>
                        <w:rPr>
                          <w:rFonts w:hAnsi="宋体"/>
                        </w:rPr>
                      </w:pPr>
                    </w:p>
                    <w:p w14:paraId="4AB53ECE">
                      <w:r>
                        <w:rPr>
                          <w:rFonts w:hint="eastAsia" w:hAnsi="宋体" w:cs="宋体"/>
                        </w:rPr>
                        <w:t>法人身份证复印件</w:t>
                      </w:r>
                    </w:p>
                    <w:p w14:paraId="72AAF8A7"/>
                  </w:txbxContent>
                </v:textbox>
              </v:roundrect>
            </w:pict>
          </mc:Fallback>
        </mc:AlternateContent>
      </w:r>
    </w:p>
    <w:p w14:paraId="4E3419A4">
      <w:pPr>
        <w:spacing w:line="360" w:lineRule="auto"/>
        <w:ind w:firstLine="240" w:firstLineChars="100"/>
        <w:rPr>
          <w:rFonts w:ascii="微软雅黑" w:hAnsi="微软雅黑" w:eastAsia="微软雅黑" w:cs="微软雅黑"/>
          <w:color w:val="auto"/>
          <w:sz w:val="24"/>
          <w:szCs w:val="24"/>
          <w:highlight w:val="none"/>
        </w:rPr>
      </w:pPr>
    </w:p>
    <w:p w14:paraId="25709FEB">
      <w:pPr>
        <w:spacing w:line="360" w:lineRule="auto"/>
        <w:ind w:firstLine="240" w:firstLineChars="100"/>
        <w:rPr>
          <w:rFonts w:ascii="微软雅黑" w:hAnsi="微软雅黑" w:eastAsia="微软雅黑" w:cs="微软雅黑"/>
          <w:color w:val="auto"/>
          <w:sz w:val="24"/>
          <w:szCs w:val="24"/>
          <w:highlight w:val="none"/>
        </w:rPr>
      </w:pPr>
    </w:p>
    <w:p w14:paraId="57E930F4">
      <w:pPr>
        <w:spacing w:line="360" w:lineRule="auto"/>
        <w:rPr>
          <w:rFonts w:ascii="微软雅黑" w:hAnsi="微软雅黑" w:eastAsia="微软雅黑" w:cs="微软雅黑"/>
          <w:color w:val="auto"/>
          <w:sz w:val="22"/>
          <w:szCs w:val="22"/>
          <w:highlight w:val="none"/>
        </w:rPr>
      </w:pPr>
    </w:p>
    <w:p w14:paraId="0AFEC5F7">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供应商（公章）</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 xml:space="preserve">                       </w:t>
      </w:r>
    </w:p>
    <w:p w14:paraId="40366A48">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法定代表人（签字或盖章）：                     </w:t>
      </w:r>
    </w:p>
    <w:p w14:paraId="18E680BC">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身份证号码：</w:t>
      </w:r>
    </w:p>
    <w:p w14:paraId="4D37502D">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委托代理人（签字或盖章）：                                   </w:t>
      </w:r>
    </w:p>
    <w:p w14:paraId="07F16096">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身份证号码：                                   </w:t>
      </w:r>
    </w:p>
    <w:p w14:paraId="3420492C">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详细通讯地址：                                 </w:t>
      </w:r>
    </w:p>
    <w:p w14:paraId="5C711AFB">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邮 政 编 码 ：                                 </w:t>
      </w:r>
    </w:p>
    <w:p w14:paraId="7148B1D1">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传　　　　真：                                  </w:t>
      </w:r>
    </w:p>
    <w:p w14:paraId="5558F32D">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电　　　　话：                                 </w:t>
      </w:r>
    </w:p>
    <w:p w14:paraId="14089661">
      <w:pPr>
        <w:ind w:firstLine="220" w:firstLineChars="100"/>
        <w:rPr>
          <w:rFonts w:ascii="微软雅黑" w:hAnsi="微软雅黑" w:eastAsia="微软雅黑" w:cs="微软雅黑"/>
          <w:color w:val="auto"/>
          <w:sz w:val="22"/>
          <w:szCs w:val="22"/>
          <w:highlight w:val="none"/>
        </w:rPr>
      </w:pPr>
    </w:p>
    <w:p w14:paraId="473F8773">
      <w:pPr>
        <w:ind w:firstLine="220" w:firstLineChars="100"/>
        <w:jc w:val="righ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年   月   日 </w:t>
      </w:r>
    </w:p>
    <w:p w14:paraId="3D12314B">
      <w:pPr>
        <w:pStyle w:val="28"/>
        <w:spacing w:line="240" w:lineRule="auto"/>
        <w:rPr>
          <w:color w:val="auto"/>
          <w:highlight w:val="none"/>
        </w:rPr>
      </w:pPr>
    </w:p>
    <w:p w14:paraId="029D1E09">
      <w:pPr>
        <w:rPr>
          <w:color w:val="auto"/>
          <w:highlight w:val="none"/>
        </w:rPr>
      </w:pPr>
    </w:p>
    <w:p w14:paraId="2B141F67">
      <w:pPr>
        <w:pStyle w:val="23"/>
        <w:rPr>
          <w:color w:val="auto"/>
          <w:highlight w:val="none"/>
        </w:rPr>
      </w:pPr>
    </w:p>
    <w:p w14:paraId="16D5EBBC">
      <w:pPr>
        <w:pStyle w:val="11"/>
        <w:rPr>
          <w:color w:val="auto"/>
          <w:highlight w:val="none"/>
        </w:rPr>
      </w:pPr>
    </w:p>
    <w:p w14:paraId="75DA43EF">
      <w:pPr>
        <w:pStyle w:val="26"/>
        <w:widowControl/>
        <w:spacing w:before="75" w:beforeAutospacing="0" w:after="75" w:afterAutospacing="0"/>
        <w:ind w:firstLine="440" w:firstLineChars="200"/>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2"/>
          <w:sz w:val="22"/>
          <w:szCs w:val="22"/>
          <w:highlight w:val="none"/>
          <w:lang w:val="en-US" w:eastAsia="zh-CN" w:bidi="ar-SA"/>
        </w:rPr>
        <w:t>④提供本单位依法缴纳近三个月内任意一个月的社会保险证明（新成立公司提供相关证明文件）</w:t>
      </w:r>
      <w:r>
        <w:rPr>
          <w:rFonts w:hint="eastAsia" w:ascii="微软雅黑" w:hAnsi="微软雅黑" w:eastAsia="微软雅黑" w:cs="微软雅黑"/>
          <w:b/>
          <w:bCs/>
          <w:color w:val="auto"/>
          <w:highlight w:val="none"/>
          <w:lang w:val="en-US" w:eastAsia="zh-CN"/>
        </w:rPr>
        <w:t>；</w:t>
      </w:r>
    </w:p>
    <w:p w14:paraId="5B46D49B">
      <w:pPr>
        <w:pStyle w:val="29"/>
        <w:snapToGrid w:val="0"/>
        <w:spacing w:line="240" w:lineRule="auto"/>
        <w:ind w:left="0" w:leftChars="0" w:firstLine="480" w:firstLineChars="200"/>
        <w:textAlignment w:val="baseline"/>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说明：1.社保证明可含：社保缴费凭证或社保缴费证明或社保缴费汇总单或依法缴纳社保的完税证明。</w:t>
      </w:r>
    </w:p>
    <w:p w14:paraId="14B125E1">
      <w:pPr>
        <w:pStyle w:val="29"/>
        <w:numPr>
          <w:ilvl w:val="0"/>
          <w:numId w:val="5"/>
        </w:numPr>
        <w:snapToGrid w:val="0"/>
        <w:spacing w:line="240" w:lineRule="auto"/>
        <w:ind w:firstLine="1200" w:firstLineChars="500"/>
        <w:textAlignment w:val="baseline"/>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近</w:t>
      </w:r>
      <w:r>
        <w:rPr>
          <w:rFonts w:hint="eastAsia" w:ascii="微软雅黑" w:hAnsi="微软雅黑" w:eastAsia="微软雅黑" w:cs="微软雅黑"/>
          <w:bCs/>
          <w:color w:val="auto"/>
          <w:kern w:val="0"/>
          <w:highlight w:val="none"/>
          <w:lang w:val="en-US" w:eastAsia="zh-CN"/>
        </w:rPr>
        <w:t>3</w:t>
      </w:r>
      <w:r>
        <w:rPr>
          <w:rFonts w:hint="eastAsia" w:ascii="微软雅黑" w:hAnsi="微软雅黑" w:eastAsia="微软雅黑" w:cs="微软雅黑"/>
          <w:bCs/>
          <w:color w:val="auto"/>
          <w:kern w:val="0"/>
          <w:highlight w:val="none"/>
        </w:rPr>
        <w:t>个月是指投标文件开启之日前的</w:t>
      </w:r>
      <w:r>
        <w:rPr>
          <w:rFonts w:hint="eastAsia" w:ascii="微软雅黑" w:hAnsi="微软雅黑" w:eastAsia="微软雅黑" w:cs="微软雅黑"/>
          <w:bCs/>
          <w:color w:val="auto"/>
          <w:kern w:val="0"/>
          <w:highlight w:val="none"/>
          <w:lang w:val="en-US" w:eastAsia="zh-CN"/>
        </w:rPr>
        <w:t>3</w:t>
      </w:r>
      <w:r>
        <w:rPr>
          <w:rFonts w:hint="eastAsia" w:ascii="微软雅黑" w:hAnsi="微软雅黑" w:eastAsia="微软雅黑" w:cs="微软雅黑"/>
          <w:bCs/>
          <w:color w:val="auto"/>
          <w:kern w:val="0"/>
          <w:highlight w:val="none"/>
        </w:rPr>
        <w:t>个月。</w:t>
      </w:r>
    </w:p>
    <w:p w14:paraId="28C30864">
      <w:pPr>
        <w:pStyle w:val="29"/>
        <w:snapToGrid w:val="0"/>
        <w:spacing w:line="240" w:lineRule="auto"/>
        <w:ind w:firstLine="0" w:firstLineChars="0"/>
        <w:textAlignment w:val="baseline"/>
        <w:rPr>
          <w:rFonts w:ascii="微软雅黑" w:hAnsi="微软雅黑" w:eastAsia="微软雅黑" w:cs="微软雅黑"/>
          <w:bCs/>
          <w:color w:val="auto"/>
          <w:kern w:val="0"/>
          <w:highlight w:val="none"/>
        </w:rPr>
      </w:pPr>
    </w:p>
    <w:p w14:paraId="0A128AA2">
      <w:pPr>
        <w:pStyle w:val="26"/>
        <w:widowControl/>
        <w:spacing w:before="75" w:beforeAutospacing="0" w:after="75" w:afterAutospacing="0"/>
        <w:ind w:firstLine="440" w:firstLineChars="200"/>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2"/>
          <w:sz w:val="22"/>
          <w:szCs w:val="22"/>
          <w:highlight w:val="none"/>
          <w:lang w:val="en-US" w:eastAsia="zh-CN" w:bidi="ar-SA"/>
        </w:rPr>
        <w:t>⑤提供税务部门出具的本单位近六个月内任意一个月的完税证明（零申报需加盖税务机关章）</w:t>
      </w:r>
      <w:r>
        <w:rPr>
          <w:rFonts w:hint="eastAsia" w:ascii="微软雅黑" w:hAnsi="微软雅黑" w:eastAsia="微软雅黑" w:cs="微软雅黑"/>
          <w:b/>
          <w:bCs/>
          <w:color w:val="auto"/>
          <w:highlight w:val="none"/>
        </w:rPr>
        <w:t>；</w:t>
      </w:r>
    </w:p>
    <w:p w14:paraId="3C219D5E">
      <w:pPr>
        <w:pStyle w:val="29"/>
        <w:snapToGrid w:val="0"/>
        <w:spacing w:line="240" w:lineRule="auto"/>
        <w:ind w:left="0" w:leftChars="0" w:firstLine="480" w:firstLineChars="200"/>
        <w:textAlignment w:val="baseline"/>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说明：1、新成立公司若无纳税记录，可开具无欠税证明或零申报报表。</w:t>
      </w:r>
    </w:p>
    <w:p w14:paraId="1885EC1C">
      <w:pPr>
        <w:pStyle w:val="29"/>
        <w:snapToGrid w:val="0"/>
        <w:spacing w:line="240" w:lineRule="auto"/>
        <w:ind w:firstLine="1200" w:firstLineChars="500"/>
        <w:textAlignment w:val="baseline"/>
        <w:rPr>
          <w:rFonts w:ascii="微软雅黑" w:hAnsi="微软雅黑" w:eastAsia="微软雅黑" w:cs="微软雅黑"/>
          <w:b/>
          <w:bCs/>
          <w:color w:val="auto"/>
          <w:highlight w:val="none"/>
        </w:rPr>
      </w:pPr>
      <w:r>
        <w:rPr>
          <w:rFonts w:hint="eastAsia" w:ascii="微软雅黑" w:hAnsi="微软雅黑" w:eastAsia="微软雅黑" w:cs="微软雅黑"/>
          <w:bCs/>
          <w:color w:val="auto"/>
          <w:kern w:val="0"/>
          <w:highlight w:val="none"/>
          <w:lang w:eastAsia="zh-CN"/>
        </w:rPr>
        <w:t>2、</w:t>
      </w:r>
      <w:r>
        <w:rPr>
          <w:rFonts w:hint="eastAsia" w:ascii="微软雅黑" w:hAnsi="微软雅黑" w:eastAsia="微软雅黑" w:cs="微软雅黑"/>
          <w:bCs/>
          <w:color w:val="auto"/>
          <w:kern w:val="0"/>
          <w:highlight w:val="none"/>
        </w:rPr>
        <w:t>近</w:t>
      </w:r>
      <w:r>
        <w:rPr>
          <w:rFonts w:hint="eastAsia" w:ascii="微软雅黑" w:hAnsi="微软雅黑" w:eastAsia="微软雅黑" w:cs="微软雅黑"/>
          <w:bCs/>
          <w:color w:val="auto"/>
          <w:kern w:val="0"/>
          <w:highlight w:val="none"/>
          <w:lang w:val="en-US" w:eastAsia="zh-CN"/>
        </w:rPr>
        <w:t>6</w:t>
      </w:r>
      <w:r>
        <w:rPr>
          <w:rFonts w:hint="eastAsia" w:ascii="微软雅黑" w:hAnsi="微软雅黑" w:eastAsia="微软雅黑" w:cs="微软雅黑"/>
          <w:bCs/>
          <w:color w:val="auto"/>
          <w:kern w:val="0"/>
          <w:highlight w:val="none"/>
        </w:rPr>
        <w:t>个月是指投标文件开启之日前的</w:t>
      </w:r>
      <w:r>
        <w:rPr>
          <w:rFonts w:hint="eastAsia" w:ascii="微软雅黑" w:hAnsi="微软雅黑" w:eastAsia="微软雅黑" w:cs="微软雅黑"/>
          <w:bCs/>
          <w:color w:val="auto"/>
          <w:kern w:val="0"/>
          <w:highlight w:val="none"/>
          <w:lang w:val="en-US" w:eastAsia="zh-CN"/>
        </w:rPr>
        <w:t>6</w:t>
      </w:r>
      <w:r>
        <w:rPr>
          <w:rFonts w:hint="eastAsia" w:ascii="微软雅黑" w:hAnsi="微软雅黑" w:eastAsia="微软雅黑" w:cs="微软雅黑"/>
          <w:bCs/>
          <w:color w:val="auto"/>
          <w:kern w:val="0"/>
          <w:highlight w:val="none"/>
        </w:rPr>
        <w:t>个月。</w:t>
      </w:r>
    </w:p>
    <w:p w14:paraId="17B12D97">
      <w:pPr>
        <w:pStyle w:val="26"/>
        <w:widowControl/>
        <w:spacing w:before="75" w:beforeAutospacing="0" w:after="75" w:afterAutospacing="0"/>
        <w:ind w:firstLine="480" w:firstLineChars="200"/>
        <w:rPr>
          <w:rFonts w:ascii="微软雅黑" w:hAnsi="微软雅黑" w:eastAsia="微软雅黑" w:cs="微软雅黑"/>
          <w:b/>
          <w:bCs/>
          <w:color w:val="auto"/>
          <w:highlight w:val="none"/>
        </w:rPr>
      </w:pPr>
    </w:p>
    <w:p w14:paraId="6A6B24A3">
      <w:pPr>
        <w:pStyle w:val="26"/>
        <w:widowControl/>
        <w:spacing w:before="75" w:beforeAutospacing="0" w:after="75" w:afterAutospacing="0"/>
        <w:ind w:firstLine="440" w:firstLineChars="200"/>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2"/>
          <w:sz w:val="22"/>
          <w:szCs w:val="22"/>
          <w:highlight w:val="none"/>
          <w:lang w:val="en-US" w:eastAsia="zh-CN" w:bidi="ar-SA"/>
        </w:rPr>
        <w:t>⑥提供近两年任意一年完整的财务审计报告（新成立公司不足一年的提供近三个月内有效的银行资信证明）</w:t>
      </w:r>
      <w:r>
        <w:rPr>
          <w:rFonts w:hint="eastAsia" w:ascii="微软雅黑" w:hAnsi="微软雅黑" w:eastAsia="微软雅黑" w:cs="微软雅黑"/>
          <w:b/>
          <w:bCs/>
          <w:color w:val="auto"/>
          <w:highlight w:val="none"/>
        </w:rPr>
        <w:t>；</w:t>
      </w:r>
    </w:p>
    <w:p w14:paraId="0160FC32">
      <w:pPr>
        <w:tabs>
          <w:tab w:val="left" w:pos="5580"/>
        </w:tabs>
        <w:ind w:firstLine="480" w:firstLineChars="200"/>
        <w:rPr>
          <w:rFonts w:ascii="微软雅黑" w:hAnsi="微软雅黑" w:eastAsia="微软雅黑" w:cs="微软雅黑"/>
          <w:bCs/>
          <w:color w:val="auto"/>
          <w:kern w:val="0"/>
          <w:sz w:val="24"/>
          <w:szCs w:val="20"/>
          <w:highlight w:val="none"/>
        </w:rPr>
      </w:pPr>
      <w:r>
        <w:rPr>
          <w:rFonts w:hint="eastAsia" w:ascii="微软雅黑" w:hAnsi="微软雅黑" w:eastAsia="微软雅黑" w:cs="微软雅黑"/>
          <w:bCs/>
          <w:color w:val="auto"/>
          <w:kern w:val="0"/>
          <w:sz w:val="24"/>
          <w:szCs w:val="20"/>
          <w:highlight w:val="none"/>
        </w:rPr>
        <w:t>说明：</w:t>
      </w:r>
    </w:p>
    <w:p w14:paraId="2BE5EEDE">
      <w:pPr>
        <w:tabs>
          <w:tab w:val="left" w:pos="5580"/>
        </w:tabs>
        <w:ind w:firstLine="480" w:firstLineChars="200"/>
        <w:rPr>
          <w:rFonts w:ascii="微软雅黑" w:hAnsi="微软雅黑" w:eastAsia="微软雅黑" w:cs="微软雅黑"/>
          <w:bCs/>
          <w:color w:val="auto"/>
          <w:kern w:val="0"/>
          <w:sz w:val="24"/>
          <w:szCs w:val="20"/>
          <w:highlight w:val="none"/>
        </w:rPr>
      </w:pPr>
      <w:r>
        <w:rPr>
          <w:rFonts w:hint="eastAsia" w:ascii="微软雅黑" w:hAnsi="微软雅黑" w:eastAsia="微软雅黑" w:cs="微软雅黑"/>
          <w:bCs/>
          <w:color w:val="auto"/>
          <w:kern w:val="0"/>
          <w:sz w:val="24"/>
          <w:szCs w:val="20"/>
          <w:highlight w:val="none"/>
          <w:lang w:eastAsia="zh-CN"/>
        </w:rPr>
        <w:t>1.</w:t>
      </w:r>
      <w:r>
        <w:rPr>
          <w:rFonts w:hint="eastAsia" w:ascii="微软雅黑" w:hAnsi="微软雅黑" w:eastAsia="微软雅黑" w:cs="微软雅黑"/>
          <w:bCs/>
          <w:color w:val="auto"/>
          <w:kern w:val="0"/>
          <w:sz w:val="24"/>
          <w:szCs w:val="20"/>
          <w:highlight w:val="none"/>
        </w:rPr>
        <w:t>如提供本单位上年度经会计师事务所出具的完整审计报告复印件须加盖本单</w:t>
      </w:r>
      <w:r>
        <w:rPr>
          <w:rFonts w:hint="eastAsia" w:ascii="微软雅黑" w:hAnsi="微软雅黑" w:eastAsia="微软雅黑" w:cs="微软雅黑"/>
          <w:bCs/>
          <w:color w:val="auto"/>
          <w:kern w:val="0"/>
          <w:sz w:val="24"/>
          <w:szCs w:val="20"/>
          <w:highlight w:val="none"/>
          <w:lang w:eastAsia="zh-CN"/>
        </w:rPr>
        <w:t>位公</w:t>
      </w:r>
      <w:r>
        <w:rPr>
          <w:rFonts w:hint="eastAsia" w:ascii="微软雅黑" w:hAnsi="微软雅黑" w:eastAsia="微软雅黑" w:cs="微软雅黑"/>
          <w:bCs/>
          <w:color w:val="auto"/>
          <w:kern w:val="0"/>
          <w:sz w:val="24"/>
          <w:szCs w:val="20"/>
          <w:highlight w:val="none"/>
        </w:rPr>
        <w:t>章。</w:t>
      </w:r>
    </w:p>
    <w:p w14:paraId="3EBB8CAF">
      <w:pPr>
        <w:pStyle w:val="4"/>
        <w:ind w:left="0" w:leftChars="0" w:firstLine="480" w:firstLineChars="200"/>
        <w:rPr>
          <w:rFonts w:ascii="微软雅黑" w:hAnsi="微软雅黑" w:eastAsia="微软雅黑" w:cs="微软雅黑"/>
          <w:bCs/>
          <w:color w:val="auto"/>
          <w:szCs w:val="20"/>
          <w:highlight w:val="none"/>
        </w:rPr>
      </w:pPr>
      <w:r>
        <w:rPr>
          <w:rFonts w:hint="eastAsia" w:ascii="微软雅黑" w:hAnsi="微软雅黑" w:eastAsia="微软雅黑" w:cs="微软雅黑"/>
          <w:bCs/>
          <w:color w:val="auto"/>
          <w:szCs w:val="20"/>
          <w:highlight w:val="none"/>
          <w:lang w:eastAsia="zh-CN"/>
        </w:rPr>
        <w:t>2.</w:t>
      </w:r>
      <w:r>
        <w:rPr>
          <w:rFonts w:hint="eastAsia" w:ascii="微软雅黑" w:hAnsi="微软雅黑" w:eastAsia="微软雅黑" w:cs="微软雅黑"/>
          <w:bCs/>
          <w:color w:val="auto"/>
          <w:szCs w:val="20"/>
          <w:highlight w:val="none"/>
        </w:rPr>
        <w:t>如果是联合体投标，联合体各方均需提供上述证明</w:t>
      </w:r>
      <w:r>
        <w:rPr>
          <w:rFonts w:hint="eastAsia" w:ascii="微软雅黑" w:hAnsi="微软雅黑" w:eastAsia="微软雅黑" w:cs="微软雅黑"/>
          <w:bCs/>
          <w:color w:val="auto"/>
          <w:szCs w:val="20"/>
          <w:highlight w:val="none"/>
          <w:lang w:eastAsia="zh-CN"/>
        </w:rPr>
        <w:t>（本项目不适用）</w:t>
      </w:r>
      <w:r>
        <w:rPr>
          <w:rFonts w:hint="eastAsia" w:ascii="微软雅黑" w:hAnsi="微软雅黑" w:eastAsia="微软雅黑" w:cs="微软雅黑"/>
          <w:bCs/>
          <w:color w:val="auto"/>
          <w:szCs w:val="20"/>
          <w:highlight w:val="none"/>
        </w:rPr>
        <w:t>。</w:t>
      </w:r>
    </w:p>
    <w:p w14:paraId="4854BA6F">
      <w:pPr>
        <w:pStyle w:val="5"/>
        <w:ind w:firstLine="480" w:firstLineChars="200"/>
        <w:rPr>
          <w:rFonts w:hint="eastAsia" w:eastAsia="微软雅黑"/>
          <w:color w:val="auto"/>
          <w:highlight w:val="none"/>
          <w:lang w:val="en-US" w:eastAsia="zh-CN"/>
        </w:rPr>
      </w:pPr>
      <w:r>
        <w:rPr>
          <w:rFonts w:hint="eastAsia" w:ascii="微软雅黑" w:hAnsi="微软雅黑" w:eastAsia="微软雅黑" w:cs="微软雅黑"/>
          <w:bCs/>
          <w:color w:val="auto"/>
          <w:kern w:val="0"/>
          <w:szCs w:val="20"/>
          <w:highlight w:val="none"/>
          <w:lang w:eastAsia="zh-CN"/>
        </w:rPr>
        <w:t>3.</w:t>
      </w:r>
      <w:r>
        <w:rPr>
          <w:rFonts w:hint="eastAsia" w:ascii="微软雅黑" w:hAnsi="微软雅黑" w:eastAsia="微软雅黑" w:cs="微软雅黑"/>
          <w:bCs/>
          <w:color w:val="auto"/>
          <w:kern w:val="0"/>
          <w:szCs w:val="20"/>
        </w:rPr>
        <w:t>近两年任意一年指202</w:t>
      </w:r>
      <w:r>
        <w:rPr>
          <w:rFonts w:hint="eastAsia" w:ascii="微软雅黑" w:hAnsi="微软雅黑" w:eastAsia="微软雅黑" w:cs="微软雅黑"/>
          <w:bCs/>
          <w:color w:val="auto"/>
          <w:kern w:val="0"/>
          <w:szCs w:val="20"/>
          <w:lang w:val="en-US" w:eastAsia="zh-CN"/>
        </w:rPr>
        <w:t>4</w:t>
      </w:r>
      <w:r>
        <w:rPr>
          <w:rFonts w:hint="eastAsia" w:ascii="微软雅黑" w:hAnsi="微软雅黑" w:eastAsia="微软雅黑" w:cs="微软雅黑"/>
          <w:bCs/>
          <w:color w:val="auto"/>
          <w:kern w:val="0"/>
          <w:szCs w:val="20"/>
        </w:rPr>
        <w:t>年或202</w:t>
      </w:r>
      <w:r>
        <w:rPr>
          <w:rFonts w:hint="eastAsia" w:ascii="微软雅黑" w:hAnsi="微软雅黑" w:eastAsia="微软雅黑" w:cs="微软雅黑"/>
          <w:bCs/>
          <w:color w:val="auto"/>
          <w:kern w:val="0"/>
          <w:szCs w:val="20"/>
          <w:lang w:val="en-US" w:eastAsia="zh-CN"/>
        </w:rPr>
        <w:t>5</w:t>
      </w:r>
      <w:r>
        <w:rPr>
          <w:rFonts w:hint="eastAsia" w:ascii="微软雅黑" w:hAnsi="微软雅黑" w:eastAsia="微软雅黑" w:cs="微软雅黑"/>
          <w:bCs/>
          <w:color w:val="auto"/>
          <w:kern w:val="0"/>
          <w:szCs w:val="20"/>
        </w:rPr>
        <w:t>年，近</w:t>
      </w:r>
      <w:r>
        <w:rPr>
          <w:rFonts w:hint="eastAsia" w:ascii="微软雅黑" w:hAnsi="微软雅黑" w:eastAsia="微软雅黑" w:cs="微软雅黑"/>
          <w:bCs/>
          <w:color w:val="auto"/>
          <w:kern w:val="0"/>
          <w:szCs w:val="20"/>
          <w:lang w:val="en-US" w:eastAsia="zh-CN"/>
        </w:rPr>
        <w:t>三</w:t>
      </w:r>
      <w:r>
        <w:rPr>
          <w:rFonts w:hint="eastAsia" w:ascii="微软雅黑" w:hAnsi="微软雅黑" w:eastAsia="微软雅黑" w:cs="微软雅黑"/>
          <w:bCs/>
          <w:color w:val="auto"/>
          <w:kern w:val="0"/>
          <w:szCs w:val="20"/>
        </w:rPr>
        <w:t>个月是指投标文件开启之日前的</w:t>
      </w:r>
      <w:r>
        <w:rPr>
          <w:rFonts w:hint="eastAsia" w:ascii="微软雅黑" w:hAnsi="微软雅黑" w:eastAsia="微软雅黑" w:cs="微软雅黑"/>
          <w:bCs/>
          <w:color w:val="auto"/>
          <w:kern w:val="0"/>
          <w:szCs w:val="20"/>
          <w:lang w:val="en-US" w:eastAsia="zh-CN"/>
        </w:rPr>
        <w:t>三</w:t>
      </w:r>
      <w:r>
        <w:rPr>
          <w:rFonts w:hint="eastAsia" w:ascii="微软雅黑" w:hAnsi="微软雅黑" w:eastAsia="微软雅黑" w:cs="微软雅黑"/>
          <w:bCs/>
          <w:color w:val="auto"/>
          <w:kern w:val="0"/>
          <w:szCs w:val="20"/>
        </w:rPr>
        <w:t>个月</w:t>
      </w:r>
      <w:r>
        <w:rPr>
          <w:rFonts w:hint="eastAsia" w:ascii="微软雅黑" w:hAnsi="微软雅黑" w:eastAsia="微软雅黑" w:cs="微软雅黑"/>
          <w:bCs/>
          <w:color w:val="auto"/>
          <w:kern w:val="0"/>
          <w:szCs w:val="20"/>
          <w:lang w:val="en-US" w:eastAsia="zh-CN"/>
        </w:rPr>
        <w:t>.</w:t>
      </w:r>
    </w:p>
    <w:p w14:paraId="52D4747E">
      <w:pPr>
        <w:pStyle w:val="15"/>
        <w:tabs>
          <w:tab w:val="left" w:pos="5580"/>
        </w:tabs>
        <w:rPr>
          <w:rFonts w:ascii="微软雅黑" w:hAnsi="微软雅黑" w:eastAsia="微软雅黑" w:cs="微软雅黑"/>
          <w:b/>
          <w:bCs/>
          <w:color w:val="auto"/>
          <w:highlight w:val="none"/>
        </w:rPr>
      </w:pPr>
    </w:p>
    <w:p w14:paraId="52D01882">
      <w:pPr>
        <w:pStyle w:val="26"/>
        <w:widowControl/>
        <w:spacing w:before="75" w:beforeAutospacing="0" w:after="75" w:afterAutospacing="0"/>
        <w:ind w:firstLine="480" w:firstLineChars="200"/>
        <w:rPr>
          <w:rFonts w:ascii="微软雅黑" w:hAnsi="微软雅黑" w:eastAsia="微软雅黑" w:cs="微软雅黑"/>
          <w:b/>
          <w:bCs/>
          <w:color w:val="auto"/>
          <w:highlight w:val="none"/>
        </w:rPr>
      </w:pPr>
    </w:p>
    <w:p w14:paraId="1F313DE7">
      <w:pPr>
        <w:pStyle w:val="26"/>
        <w:widowControl/>
        <w:spacing w:before="75" w:beforeAutospacing="0" w:after="75" w:afterAutospacing="0"/>
        <w:ind w:firstLine="440" w:firstLineChars="200"/>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2"/>
          <w:sz w:val="22"/>
          <w:szCs w:val="22"/>
          <w:highlight w:val="none"/>
          <w:lang w:val="en-US" w:eastAsia="zh-CN" w:bidi="ar-SA"/>
        </w:rPr>
        <w:t>⑦参与政府采购活动前3年内未被列入失信、重大税收违法案件、财政部门禁止参加政府采购活动的承诺书</w:t>
      </w:r>
      <w:r>
        <w:rPr>
          <w:rFonts w:hint="eastAsia" w:ascii="微软雅黑" w:hAnsi="微软雅黑" w:eastAsia="微软雅黑" w:cs="微软雅黑"/>
          <w:b/>
          <w:bCs/>
          <w:color w:val="auto"/>
          <w:highlight w:val="none"/>
          <w:lang w:val="en-US" w:eastAsia="zh-CN"/>
        </w:rPr>
        <w:t>；</w:t>
      </w:r>
    </w:p>
    <w:p w14:paraId="504171C4">
      <w:pPr>
        <w:pStyle w:val="4"/>
        <w:ind w:left="0" w:leftChars="0" w:firstLine="480" w:firstLineChars="200"/>
        <w:rPr>
          <w:rFonts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说明：1.供应商应按照相关法规规定如实作出说明，格式自拟。</w:t>
      </w:r>
    </w:p>
    <w:p w14:paraId="73E2118A">
      <w:pPr>
        <w:pStyle w:val="26"/>
        <w:widowControl/>
        <w:spacing w:before="75" w:beforeAutospacing="0" w:after="75" w:afterAutospacing="0"/>
        <w:ind w:firstLine="480" w:firstLineChars="200"/>
        <w:rPr>
          <w:rFonts w:ascii="微软雅黑" w:hAnsi="微软雅黑" w:eastAsia="微软雅黑" w:cs="微软雅黑"/>
          <w:b/>
          <w:bCs/>
          <w:color w:val="auto"/>
          <w:highlight w:val="none"/>
        </w:rPr>
      </w:pPr>
    </w:p>
    <w:p w14:paraId="5637080E">
      <w:pPr>
        <w:pStyle w:val="26"/>
        <w:widowControl/>
        <w:spacing w:before="75" w:beforeAutospacing="0" w:after="75" w:afterAutospacing="0"/>
        <w:ind w:firstLine="440" w:firstLineChars="200"/>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2"/>
          <w:sz w:val="22"/>
          <w:szCs w:val="22"/>
          <w:highlight w:val="none"/>
          <w:lang w:val="en-US" w:eastAsia="zh-CN" w:bidi="ar-SA"/>
        </w:rPr>
        <w:t>⑧提供针对本次项目的反商业贿赂承诺书</w:t>
      </w:r>
      <w:r>
        <w:rPr>
          <w:rFonts w:hint="eastAsia" w:ascii="微软雅黑" w:hAnsi="微软雅黑" w:eastAsia="微软雅黑" w:cs="微软雅黑"/>
          <w:b/>
          <w:bCs/>
          <w:color w:val="auto"/>
          <w:highlight w:val="none"/>
        </w:rPr>
        <w:t>。</w:t>
      </w:r>
    </w:p>
    <w:p w14:paraId="6AB46958">
      <w:pPr>
        <w:pStyle w:val="4"/>
        <w:ind w:left="0" w:leftChars="0" w:firstLine="480" w:firstLineChars="200"/>
        <w:rPr>
          <w:rFonts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说明：1.供应商应按照相关法规规定如实作出承诺，格式自拟。</w:t>
      </w:r>
    </w:p>
    <w:p w14:paraId="1787480F">
      <w:pPr>
        <w:pStyle w:val="26"/>
        <w:widowControl/>
        <w:spacing w:before="75" w:beforeAutospacing="0" w:after="75" w:afterAutospacing="0"/>
        <w:rPr>
          <w:rFonts w:ascii="微软雅黑" w:hAnsi="微软雅黑" w:eastAsia="微软雅黑" w:cs="微软雅黑"/>
          <w:b/>
          <w:bCs/>
          <w:color w:val="auto"/>
          <w:highlight w:val="none"/>
        </w:rPr>
      </w:pPr>
    </w:p>
    <w:p w14:paraId="3311D095">
      <w:pPr>
        <w:pStyle w:val="26"/>
        <w:widowControl/>
        <w:spacing w:before="75" w:beforeAutospacing="0" w:after="75" w:afterAutospacing="0"/>
        <w:rPr>
          <w:rFonts w:ascii="微软雅黑" w:hAnsi="微软雅黑" w:eastAsia="微软雅黑" w:cs="微软雅黑"/>
          <w:b/>
          <w:bCs/>
          <w:color w:val="auto"/>
          <w:highlight w:val="none"/>
        </w:rPr>
      </w:pPr>
    </w:p>
    <w:p w14:paraId="7ABA6EFF">
      <w:pPr>
        <w:pStyle w:val="26"/>
        <w:widowControl/>
        <w:spacing w:before="75" w:beforeAutospacing="0" w:after="75" w:afterAutospacing="0"/>
        <w:rPr>
          <w:rFonts w:ascii="微软雅黑" w:hAnsi="微软雅黑" w:eastAsia="微软雅黑" w:cs="微软雅黑"/>
          <w:b/>
          <w:bCs/>
          <w:color w:val="auto"/>
          <w:highlight w:val="none"/>
        </w:rPr>
      </w:pPr>
    </w:p>
    <w:p w14:paraId="5864496E">
      <w:pPr>
        <w:pStyle w:val="26"/>
        <w:widowControl/>
        <w:spacing w:before="75" w:beforeAutospacing="0" w:after="75" w:afterAutospacing="0"/>
        <w:rPr>
          <w:rFonts w:ascii="微软雅黑" w:hAnsi="微软雅黑" w:eastAsia="微软雅黑" w:cs="微软雅黑"/>
          <w:b/>
          <w:bCs/>
          <w:color w:val="auto"/>
          <w:highlight w:val="none"/>
        </w:rPr>
      </w:pPr>
    </w:p>
    <w:p w14:paraId="2801DDF3">
      <w:pPr>
        <w:pStyle w:val="26"/>
        <w:widowControl/>
        <w:spacing w:before="75" w:beforeAutospacing="0" w:after="75" w:afterAutospacing="0"/>
        <w:rPr>
          <w:rFonts w:ascii="微软雅黑" w:hAnsi="微软雅黑" w:eastAsia="微软雅黑" w:cs="微软雅黑"/>
          <w:b/>
          <w:bCs/>
          <w:color w:val="auto"/>
          <w:highlight w:val="none"/>
        </w:rPr>
      </w:pPr>
    </w:p>
    <w:p w14:paraId="2E30CFEF">
      <w:pPr>
        <w:pStyle w:val="26"/>
        <w:widowControl/>
        <w:spacing w:before="75" w:beforeAutospacing="0" w:after="75" w:afterAutospacing="0"/>
        <w:rPr>
          <w:rFonts w:ascii="微软雅黑" w:hAnsi="微软雅黑" w:eastAsia="微软雅黑" w:cs="微软雅黑"/>
          <w:b/>
          <w:bCs/>
          <w:color w:val="auto"/>
          <w:highlight w:val="none"/>
        </w:rPr>
      </w:pPr>
    </w:p>
    <w:p w14:paraId="1BBDCBF6">
      <w:pPr>
        <w:pStyle w:val="26"/>
        <w:widowControl/>
        <w:spacing w:before="75" w:beforeAutospacing="0" w:after="75" w:afterAutospacing="0"/>
        <w:rPr>
          <w:rFonts w:hint="eastAsia" w:ascii="微软雅黑" w:hAnsi="微软雅黑" w:eastAsia="微软雅黑" w:cs="微软雅黑"/>
          <w:b/>
          <w:bCs/>
          <w:color w:val="auto"/>
          <w:highlight w:val="none"/>
        </w:rPr>
      </w:pPr>
      <w:bookmarkStart w:id="563" w:name="_Toc24428"/>
      <w:bookmarkStart w:id="564" w:name="_Toc515647811"/>
      <w:bookmarkStart w:id="565" w:name="_Toc32670"/>
      <w:r>
        <w:rPr>
          <w:rFonts w:hint="eastAsia" w:ascii="微软雅黑" w:hAnsi="微软雅黑" w:eastAsia="微软雅黑" w:cs="微软雅黑"/>
          <w:b/>
          <w:bCs/>
          <w:color w:val="auto"/>
          <w:highlight w:val="none"/>
          <w:lang w:val="en-US" w:eastAsia="zh-CN"/>
        </w:rPr>
        <w:t>⑨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r>
        <w:rPr>
          <w:rFonts w:hint="eastAsia" w:ascii="微软雅黑" w:hAnsi="微软雅黑" w:eastAsia="微软雅黑" w:cs="微软雅黑"/>
          <w:b/>
          <w:bCs/>
          <w:color w:val="auto"/>
          <w:highlight w:val="none"/>
        </w:rPr>
        <w:t>；</w:t>
      </w:r>
    </w:p>
    <w:p w14:paraId="53BF1A21">
      <w:pPr>
        <w:pStyle w:val="26"/>
        <w:widowControl/>
        <w:spacing w:before="75" w:beforeAutospacing="0" w:after="75" w:afterAutospacing="0"/>
        <w:rPr>
          <w:rFonts w:hint="eastAsia" w:ascii="微软雅黑" w:hAnsi="微软雅黑" w:eastAsia="微软雅黑" w:cs="微软雅黑"/>
          <w:b/>
          <w:bCs/>
          <w:color w:val="auto"/>
          <w:highlight w:val="none"/>
        </w:rPr>
      </w:pPr>
    </w:p>
    <w:p w14:paraId="234F62BB">
      <w:pPr>
        <w:pStyle w:val="26"/>
        <w:widowControl/>
        <w:spacing w:before="75" w:beforeAutospacing="0" w:after="75" w:afterAutospacing="0"/>
        <w:rPr>
          <w:rFonts w:hint="eastAsia" w:ascii="微软雅黑" w:hAnsi="微软雅黑" w:eastAsia="微软雅黑" w:cs="微软雅黑"/>
          <w:b/>
          <w:bCs/>
          <w:color w:val="auto"/>
          <w:highlight w:val="none"/>
        </w:rPr>
      </w:pPr>
    </w:p>
    <w:p w14:paraId="20B95A35">
      <w:pPr>
        <w:pStyle w:val="26"/>
        <w:widowControl/>
        <w:spacing w:before="75" w:beforeAutospacing="0" w:after="75" w:afterAutospacing="0"/>
        <w:rPr>
          <w:rFonts w:hint="eastAsia" w:ascii="微软雅黑" w:hAnsi="微软雅黑" w:eastAsia="微软雅黑" w:cs="微软雅黑"/>
          <w:b/>
          <w:bCs/>
          <w:color w:val="auto"/>
          <w:highlight w:val="none"/>
        </w:rPr>
      </w:pPr>
    </w:p>
    <w:p w14:paraId="1DD92864">
      <w:pPr>
        <w:pStyle w:val="26"/>
        <w:widowControl/>
        <w:spacing w:before="75" w:beforeAutospacing="0" w:after="75" w:afterAutospacing="0"/>
        <w:rPr>
          <w:rFonts w:hint="eastAsia" w:ascii="微软雅黑" w:hAnsi="微软雅黑" w:eastAsia="微软雅黑" w:cs="微软雅黑"/>
          <w:b/>
          <w:bCs/>
          <w:color w:val="auto"/>
          <w:highlight w:val="none"/>
        </w:rPr>
      </w:pPr>
    </w:p>
    <w:p w14:paraId="44A2D47F">
      <w:pPr>
        <w:pStyle w:val="4"/>
        <w:ind w:firstLine="0"/>
        <w:rPr>
          <w:rFonts w:ascii="微软雅黑" w:hAnsi="微软雅黑" w:eastAsia="微软雅黑" w:cs="微软雅黑"/>
          <w:b/>
          <w:bCs/>
          <w:color w:val="auto"/>
          <w:sz w:val="21"/>
          <w:szCs w:val="21"/>
          <w:highlight w:val="none"/>
        </w:rPr>
      </w:pPr>
    </w:p>
    <w:p w14:paraId="65ABB2CF">
      <w:pPr>
        <w:pStyle w:val="4"/>
        <w:keepNext w:val="0"/>
        <w:keepLines w:val="0"/>
        <w:pageBreakBefore w:val="0"/>
        <w:widowControl w:val="0"/>
        <w:numPr>
          <w:ilvl w:val="0"/>
          <w:numId w:val="0"/>
        </w:numPr>
        <w:kinsoku/>
        <w:wordWrap/>
        <w:overflowPunct/>
        <w:topLinePunct w:val="0"/>
        <w:bidi w:val="0"/>
        <w:snapToGrid/>
        <w:spacing w:line="470" w:lineRule="exact"/>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⑩投标保证金有效凭证。</w:t>
      </w:r>
    </w:p>
    <w:p w14:paraId="719A3504"/>
    <w:p w14:paraId="1F3A4E71">
      <w:pPr>
        <w:pStyle w:val="4"/>
        <w:rPr>
          <w:rFonts w:ascii="微软雅黑" w:hAnsi="微软雅黑" w:eastAsia="微软雅黑" w:cs="微软雅黑"/>
          <w:b/>
          <w:bCs/>
          <w:color w:val="auto"/>
          <w:highlight w:val="none"/>
        </w:rPr>
      </w:pPr>
      <w:bookmarkStart w:id="566" w:name="_Toc3829"/>
      <w:bookmarkStart w:id="567" w:name="_Toc28906"/>
      <w:bookmarkStart w:id="568" w:name="_Toc26152"/>
    </w:p>
    <w:bookmarkEnd w:id="566"/>
    <w:bookmarkEnd w:id="567"/>
    <w:bookmarkEnd w:id="568"/>
    <w:p w14:paraId="72CFCBA2">
      <w:pPr>
        <w:rPr>
          <w:rFonts w:ascii="微软雅黑" w:hAnsi="微软雅黑" w:eastAsia="微软雅黑" w:cs="微软雅黑"/>
          <w:color w:val="auto"/>
          <w:highlight w:val="none"/>
        </w:rPr>
      </w:pPr>
      <w:r>
        <w:rPr>
          <w:rFonts w:ascii="微软雅黑" w:hAnsi="微软雅黑" w:eastAsia="微软雅黑" w:cs="微软雅黑"/>
          <w:color w:val="auto"/>
          <w:highlight w:val="none"/>
        </w:rPr>
        <w:br w:type="page"/>
      </w:r>
    </w:p>
    <w:p w14:paraId="7941635A">
      <w:pPr>
        <w:pStyle w:val="23"/>
        <w:rPr>
          <w:rFonts w:ascii="微软雅黑" w:hAnsi="微软雅黑" w:eastAsia="微软雅黑" w:cs="微软雅黑"/>
          <w:color w:val="auto"/>
          <w:highlight w:val="none"/>
        </w:rPr>
      </w:pPr>
    </w:p>
    <w:p w14:paraId="03B49DBA">
      <w:pPr>
        <w:pStyle w:val="23"/>
        <w:rPr>
          <w:rFonts w:ascii="微软雅黑" w:hAnsi="微软雅黑" w:eastAsia="微软雅黑" w:cs="微软雅黑"/>
          <w:color w:val="auto"/>
          <w:highlight w:val="none"/>
        </w:rPr>
      </w:pPr>
    </w:p>
    <w:bookmarkEnd w:id="563"/>
    <w:bookmarkEnd w:id="564"/>
    <w:bookmarkEnd w:id="565"/>
    <w:p w14:paraId="03A6A9CF">
      <w:pPr>
        <w:pStyle w:val="3"/>
        <w:numPr>
          <w:ilvl w:val="0"/>
          <w:numId w:val="6"/>
        </w:numPr>
        <w:spacing w:before="0" w:line="360" w:lineRule="auto"/>
        <w:ind w:left="1080" w:leftChars="257" w:hanging="540"/>
        <w:jc w:val="center"/>
        <w:rPr>
          <w:rFonts w:ascii="微软雅黑" w:hAnsi="微软雅黑" w:eastAsia="微软雅黑" w:cs="微软雅黑"/>
          <w:b/>
          <w:bCs/>
          <w:color w:val="auto"/>
          <w:kern w:val="2"/>
          <w:sz w:val="28"/>
          <w:szCs w:val="28"/>
          <w:highlight w:val="none"/>
        </w:rPr>
      </w:pPr>
      <w:bookmarkStart w:id="569" w:name="_Toc22967"/>
      <w:bookmarkStart w:id="570" w:name="_Toc16972"/>
      <w:bookmarkStart w:id="571" w:name="_Toc3011"/>
      <w:bookmarkStart w:id="572" w:name="_Toc515647816"/>
      <w:bookmarkStart w:id="573" w:name="_Toc30653"/>
      <w:bookmarkStart w:id="574" w:name="_Toc11180"/>
      <w:bookmarkStart w:id="575" w:name="_Toc966"/>
      <w:r>
        <w:rPr>
          <w:rFonts w:hint="eastAsia" w:ascii="微软雅黑" w:hAnsi="微软雅黑" w:eastAsia="微软雅黑" w:cs="微软雅黑"/>
          <w:b/>
          <w:bCs/>
          <w:color w:val="auto"/>
          <w:kern w:val="2"/>
          <w:sz w:val="28"/>
          <w:szCs w:val="28"/>
          <w:highlight w:val="none"/>
        </w:rPr>
        <w:t>商务及技术文件</w:t>
      </w:r>
      <w:bookmarkEnd w:id="569"/>
      <w:bookmarkEnd w:id="570"/>
      <w:bookmarkEnd w:id="571"/>
      <w:bookmarkEnd w:id="572"/>
      <w:bookmarkEnd w:id="573"/>
      <w:bookmarkEnd w:id="574"/>
      <w:bookmarkEnd w:id="575"/>
    </w:p>
    <w:p w14:paraId="6B79E2C0">
      <w:pPr>
        <w:pStyle w:val="15"/>
        <w:spacing w:line="360" w:lineRule="auto"/>
        <w:ind w:left="1079" w:leftChars="257" w:hanging="539"/>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1.</w:t>
      </w:r>
      <w:r>
        <w:rPr>
          <w:rFonts w:hint="eastAsia" w:ascii="微软雅黑" w:hAnsi="微软雅黑" w:eastAsia="微软雅黑" w:cs="微软雅黑"/>
          <w:color w:val="auto"/>
          <w:sz w:val="28"/>
          <w:szCs w:val="28"/>
          <w:highlight w:val="none"/>
        </w:rPr>
        <w:t>投标书</w:t>
      </w:r>
    </w:p>
    <w:p w14:paraId="20C2C829">
      <w:pPr>
        <w:pStyle w:val="15"/>
        <w:spacing w:line="360" w:lineRule="auto"/>
        <w:ind w:left="1080" w:leftChars="257" w:hanging="540"/>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2.</w:t>
      </w:r>
      <w:r>
        <w:rPr>
          <w:rFonts w:hint="eastAsia" w:ascii="微软雅黑" w:hAnsi="微软雅黑" w:eastAsia="微软雅黑" w:cs="微软雅黑"/>
          <w:color w:val="auto"/>
          <w:sz w:val="28"/>
          <w:szCs w:val="28"/>
          <w:highlight w:val="none"/>
        </w:rPr>
        <w:t>投标分项报价表</w:t>
      </w:r>
    </w:p>
    <w:p w14:paraId="59AAB71E">
      <w:pPr>
        <w:pStyle w:val="15"/>
        <w:spacing w:line="360" w:lineRule="auto"/>
        <w:ind w:left="1080" w:leftChars="257" w:hanging="540"/>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3.</w:t>
      </w:r>
      <w:r>
        <w:rPr>
          <w:rFonts w:hint="eastAsia" w:ascii="微软雅黑" w:hAnsi="微软雅黑" w:eastAsia="微软雅黑" w:cs="微软雅黑"/>
          <w:color w:val="auto"/>
          <w:sz w:val="28"/>
          <w:szCs w:val="28"/>
          <w:highlight w:val="none"/>
        </w:rPr>
        <w:t>货物说明一览表</w:t>
      </w:r>
    </w:p>
    <w:p w14:paraId="03774200">
      <w:pPr>
        <w:pStyle w:val="15"/>
        <w:spacing w:line="360" w:lineRule="auto"/>
        <w:ind w:left="1080" w:leftChars="257" w:hanging="540"/>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4.</w:t>
      </w:r>
      <w:r>
        <w:rPr>
          <w:rFonts w:hint="eastAsia" w:ascii="微软雅黑" w:hAnsi="微软雅黑" w:eastAsia="微软雅黑" w:cs="微软雅黑"/>
          <w:color w:val="auto"/>
          <w:sz w:val="28"/>
          <w:szCs w:val="28"/>
          <w:highlight w:val="none"/>
        </w:rPr>
        <w:t>技术规格偏离表</w:t>
      </w:r>
    </w:p>
    <w:p w14:paraId="79012C90">
      <w:pPr>
        <w:pStyle w:val="15"/>
        <w:spacing w:line="360" w:lineRule="auto"/>
        <w:ind w:left="1080" w:leftChars="257" w:hanging="54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5.</w:t>
      </w:r>
      <w:r>
        <w:rPr>
          <w:rFonts w:hint="eastAsia" w:ascii="微软雅黑" w:hAnsi="微软雅黑" w:eastAsia="微软雅黑" w:cs="微软雅黑"/>
          <w:color w:val="auto"/>
          <w:sz w:val="28"/>
          <w:szCs w:val="28"/>
          <w:highlight w:val="none"/>
        </w:rPr>
        <w:t>商务条款偏离表</w:t>
      </w:r>
    </w:p>
    <w:p w14:paraId="73902FBB">
      <w:pPr>
        <w:pStyle w:val="15"/>
        <w:spacing w:line="360" w:lineRule="auto"/>
        <w:ind w:left="1080" w:leftChars="257" w:hanging="540"/>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val="en-US" w:eastAsia="zh-CN"/>
        </w:rPr>
        <w:t>6.1</w:t>
      </w:r>
      <w:r>
        <w:rPr>
          <w:rFonts w:hint="eastAsia" w:ascii="微软雅黑" w:hAnsi="微软雅黑" w:eastAsia="微软雅黑" w:cs="微软雅黑"/>
          <w:color w:val="auto"/>
          <w:sz w:val="28"/>
          <w:szCs w:val="28"/>
          <w:highlight w:val="none"/>
          <w:lang w:eastAsia="zh-CN"/>
        </w:rPr>
        <w:t>中小企业声明函（货物）（</w:t>
      </w:r>
      <w:r>
        <w:rPr>
          <w:rFonts w:hint="eastAsia" w:ascii="微软雅黑" w:hAnsi="微软雅黑" w:eastAsia="微软雅黑" w:cs="微软雅黑"/>
          <w:color w:val="auto"/>
          <w:sz w:val="28"/>
          <w:szCs w:val="28"/>
          <w:highlight w:val="none"/>
          <w:lang w:val="en-US" w:eastAsia="zh-CN"/>
        </w:rPr>
        <w:t>可选填</w:t>
      </w:r>
      <w:r>
        <w:rPr>
          <w:rFonts w:hint="eastAsia" w:ascii="微软雅黑" w:hAnsi="微软雅黑" w:eastAsia="微软雅黑" w:cs="微软雅黑"/>
          <w:color w:val="auto"/>
          <w:sz w:val="28"/>
          <w:szCs w:val="28"/>
          <w:highlight w:val="none"/>
          <w:lang w:eastAsia="zh-CN"/>
        </w:rPr>
        <w:t>）</w:t>
      </w:r>
    </w:p>
    <w:p w14:paraId="1EA73422">
      <w:pPr>
        <w:pStyle w:val="15"/>
        <w:spacing w:line="360" w:lineRule="auto"/>
        <w:ind w:left="1080" w:leftChars="257" w:hanging="54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6.2关于符合本国产品标准的声明函</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lang w:val="en-US" w:eastAsia="zh-CN"/>
        </w:rPr>
        <w:t>本项目不适用</w:t>
      </w:r>
      <w:r>
        <w:rPr>
          <w:rFonts w:hint="eastAsia" w:ascii="微软雅黑" w:hAnsi="微软雅黑" w:eastAsia="微软雅黑" w:cs="微软雅黑"/>
          <w:color w:val="auto"/>
          <w:sz w:val="28"/>
          <w:szCs w:val="28"/>
          <w:highlight w:val="none"/>
          <w:lang w:eastAsia="zh-CN"/>
        </w:rPr>
        <w:t>）</w:t>
      </w:r>
    </w:p>
    <w:p w14:paraId="50BD7E00">
      <w:pPr>
        <w:pStyle w:val="15"/>
        <w:spacing w:line="360" w:lineRule="auto"/>
        <w:ind w:left="1080" w:leftChars="257" w:hanging="540"/>
        <w:rPr>
          <w:rFonts w:hint="default"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6.3</w:t>
      </w:r>
      <w:r>
        <w:rPr>
          <w:rFonts w:hint="eastAsia" w:ascii="微软雅黑" w:hAnsi="微软雅黑" w:eastAsia="微软雅黑" w:cs="微软雅黑"/>
          <w:color w:val="auto"/>
          <w:sz w:val="28"/>
          <w:szCs w:val="28"/>
          <w:highlight w:val="none"/>
          <w:lang w:eastAsia="zh-CN"/>
        </w:rPr>
        <w:t>残疾人福利性单位声明函（若无，可不填）</w:t>
      </w:r>
    </w:p>
    <w:p w14:paraId="5CAA776F">
      <w:pPr>
        <w:pStyle w:val="15"/>
        <w:spacing w:line="360" w:lineRule="auto"/>
        <w:ind w:left="1080" w:leftChars="257" w:hanging="54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6.4《监狱企业声明函》（若无，可不填）</w:t>
      </w:r>
    </w:p>
    <w:p w14:paraId="1A1149CB">
      <w:pPr>
        <w:pStyle w:val="15"/>
        <w:spacing w:line="360" w:lineRule="auto"/>
        <w:ind w:left="1080" w:leftChars="257" w:hanging="54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6.5节能、环境标志产品（若本项目采购内容中无以下清单货物，可不填）</w:t>
      </w:r>
    </w:p>
    <w:p w14:paraId="7F420548">
      <w:pPr>
        <w:pStyle w:val="15"/>
        <w:spacing w:line="360" w:lineRule="auto"/>
        <w:ind w:left="311" w:leftChars="148" w:firstLine="228"/>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val="en-US" w:eastAsia="zh-CN"/>
        </w:rPr>
        <w:t>7.</w:t>
      </w:r>
      <w:r>
        <w:rPr>
          <w:rFonts w:hint="eastAsia" w:ascii="微软雅黑" w:hAnsi="微软雅黑" w:eastAsia="微软雅黑" w:cs="微软雅黑"/>
          <w:color w:val="auto"/>
          <w:sz w:val="28"/>
          <w:szCs w:val="28"/>
          <w:highlight w:val="none"/>
        </w:rPr>
        <w:t>供应商关联单位的说明（格式自拟）</w:t>
      </w:r>
    </w:p>
    <w:p w14:paraId="381D833D">
      <w:pPr>
        <w:pStyle w:val="15"/>
        <w:spacing w:line="360" w:lineRule="auto"/>
        <w:ind w:left="1080" w:leftChars="257" w:hanging="540"/>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val="en-US" w:eastAsia="zh-CN"/>
        </w:rPr>
        <w:t>8.</w:t>
      </w:r>
      <w:bookmarkStart w:id="576" w:name="_Toc515647817"/>
      <w:bookmarkStart w:id="577" w:name="_Toc2041"/>
      <w:bookmarkStart w:id="578" w:name="_Toc14915"/>
      <w:r>
        <w:rPr>
          <w:rFonts w:hint="eastAsia" w:ascii="微软雅黑" w:hAnsi="微软雅黑" w:eastAsia="微软雅黑" w:cs="微软雅黑"/>
          <w:color w:val="auto"/>
          <w:sz w:val="28"/>
          <w:szCs w:val="28"/>
          <w:highlight w:val="none"/>
          <w:lang w:val="en-US" w:eastAsia="zh-CN"/>
        </w:rPr>
        <w:t>其他有利于供应商投标的文件或证明材料</w:t>
      </w:r>
    </w:p>
    <w:p w14:paraId="406E0244">
      <w:pPr>
        <w:pStyle w:val="15"/>
        <w:spacing w:line="360" w:lineRule="auto"/>
        <w:ind w:left="1080" w:leftChars="257" w:hanging="540"/>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val="en-US" w:eastAsia="zh-CN"/>
        </w:rPr>
        <w:t>9.</w:t>
      </w:r>
      <w:r>
        <w:rPr>
          <w:rFonts w:hint="eastAsia" w:ascii="微软雅黑" w:hAnsi="微软雅黑" w:eastAsia="微软雅黑" w:cs="微软雅黑"/>
          <w:color w:val="auto"/>
          <w:sz w:val="28"/>
          <w:szCs w:val="28"/>
          <w:highlight w:val="none"/>
        </w:rPr>
        <w:t>投标文件格式范本</w:t>
      </w:r>
    </w:p>
    <w:p w14:paraId="311A84E5">
      <w:pPr>
        <w:pStyle w:val="15"/>
        <w:tabs>
          <w:tab w:val="left" w:pos="5580"/>
        </w:tabs>
        <w:rPr>
          <w:rFonts w:ascii="微软雅黑" w:hAnsi="微软雅黑" w:eastAsia="微软雅黑" w:cs="微软雅黑"/>
          <w:color w:val="auto"/>
          <w:sz w:val="24"/>
          <w:szCs w:val="24"/>
          <w:highlight w:val="none"/>
        </w:rPr>
      </w:pPr>
    </w:p>
    <w:p w14:paraId="11A45008">
      <w:pPr>
        <w:rPr>
          <w:rFonts w:ascii="微软雅黑" w:hAnsi="微软雅黑" w:eastAsia="微软雅黑" w:cs="微软雅黑"/>
          <w:b/>
          <w:bCs/>
          <w:color w:val="auto"/>
          <w:highlight w:val="none"/>
        </w:rPr>
      </w:pPr>
    </w:p>
    <w:p w14:paraId="28DCAB23">
      <w:pPr>
        <w:pStyle w:val="4"/>
        <w:rPr>
          <w:rFonts w:ascii="微软雅黑" w:hAnsi="微软雅黑" w:eastAsia="微软雅黑" w:cs="微软雅黑"/>
          <w:b/>
          <w:bCs/>
          <w:color w:val="auto"/>
          <w:highlight w:val="none"/>
        </w:rPr>
      </w:pPr>
    </w:p>
    <w:p w14:paraId="575EBE39">
      <w:pPr>
        <w:pStyle w:val="4"/>
        <w:rPr>
          <w:rFonts w:ascii="微软雅黑" w:hAnsi="微软雅黑" w:eastAsia="微软雅黑" w:cs="微软雅黑"/>
          <w:b/>
          <w:bCs/>
          <w:color w:val="auto"/>
          <w:highlight w:val="none"/>
        </w:rPr>
      </w:pPr>
    </w:p>
    <w:p w14:paraId="605291DA">
      <w:pPr>
        <w:pStyle w:val="4"/>
        <w:rPr>
          <w:rFonts w:ascii="微软雅黑" w:hAnsi="微软雅黑" w:eastAsia="微软雅黑" w:cs="微软雅黑"/>
          <w:b/>
          <w:bCs/>
          <w:color w:val="auto"/>
          <w:highlight w:val="none"/>
        </w:rPr>
      </w:pPr>
    </w:p>
    <w:p w14:paraId="5572120E">
      <w:pPr>
        <w:jc w:val="both"/>
        <w:rPr>
          <w:rFonts w:ascii="微软雅黑" w:hAnsi="微软雅黑" w:eastAsia="微软雅黑" w:cs="微软雅黑"/>
          <w:b/>
          <w:bCs/>
          <w:color w:val="auto"/>
          <w:sz w:val="24"/>
          <w:szCs w:val="24"/>
          <w:highlight w:val="none"/>
        </w:rPr>
      </w:pPr>
      <w:bookmarkStart w:id="579" w:name="_Toc12580"/>
      <w:bookmarkStart w:id="580" w:name="_Toc30408"/>
      <w:bookmarkStart w:id="581" w:name="_Toc30922"/>
      <w:bookmarkStart w:id="582" w:name="_Toc2305"/>
      <w:bookmarkStart w:id="583" w:name="_Toc17344"/>
      <w:bookmarkStart w:id="584" w:name="_Toc28678"/>
      <w:bookmarkStart w:id="585" w:name="_Toc27134"/>
      <w:bookmarkStart w:id="586" w:name="_Toc695"/>
    </w:p>
    <w:p w14:paraId="2F88BDA1">
      <w:pP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br w:type="page"/>
      </w:r>
    </w:p>
    <w:p w14:paraId="6728B451">
      <w:pPr>
        <w:jc w:val="center"/>
        <w:outlineLvl w:val="1"/>
        <w:rPr>
          <w:rFonts w:ascii="微软雅黑" w:hAnsi="微软雅黑" w:eastAsia="微软雅黑" w:cs="微软雅黑"/>
          <w:color w:val="auto"/>
          <w:sz w:val="24"/>
          <w:szCs w:val="24"/>
          <w:highlight w:val="none"/>
        </w:rPr>
      </w:pPr>
      <w:bookmarkStart w:id="587" w:name="_Toc26202"/>
      <w:bookmarkStart w:id="588" w:name="_Toc733"/>
      <w:bookmarkStart w:id="589" w:name="_Toc30861"/>
      <w:r>
        <w:rPr>
          <w:rFonts w:hint="eastAsia" w:ascii="微软雅黑" w:hAnsi="微软雅黑" w:eastAsia="微软雅黑" w:cs="微软雅黑"/>
          <w:b/>
          <w:bCs/>
          <w:color w:val="auto"/>
          <w:sz w:val="24"/>
          <w:szCs w:val="24"/>
          <w:highlight w:val="none"/>
          <w:lang w:eastAsia="zh-CN"/>
        </w:rPr>
        <w:t>1</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投标</w:t>
      </w:r>
      <w:bookmarkEnd w:id="552"/>
      <w:bookmarkEnd w:id="553"/>
      <w:r>
        <w:rPr>
          <w:rFonts w:hint="eastAsia" w:ascii="微软雅黑" w:hAnsi="微软雅黑" w:eastAsia="微软雅黑" w:cs="微软雅黑"/>
          <w:b/>
          <w:bCs/>
          <w:color w:val="auto"/>
          <w:sz w:val="24"/>
          <w:szCs w:val="24"/>
          <w:highlight w:val="none"/>
        </w:rPr>
        <w:t>书</w:t>
      </w:r>
      <w:bookmarkEnd w:id="554"/>
      <w:bookmarkEnd w:id="55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6C664D8C">
      <w:pPr>
        <w:tabs>
          <w:tab w:val="left" w:pos="5580"/>
        </w:tabs>
        <w:ind w:left="1080" w:hanging="108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p>
    <w:p w14:paraId="1DD189DF">
      <w:pPr>
        <w:pStyle w:val="15"/>
        <w:tabs>
          <w:tab w:val="left" w:pos="5580"/>
        </w:tabs>
        <w:ind w:left="1080" w:leftChars="257" w:hanging="540"/>
        <w:rPr>
          <w:rFonts w:ascii="微软雅黑" w:hAnsi="微软雅黑" w:eastAsia="微软雅黑" w:cs="微软雅黑"/>
          <w:color w:val="auto"/>
          <w:sz w:val="24"/>
          <w:szCs w:val="24"/>
          <w:highlight w:val="none"/>
        </w:rPr>
      </w:pPr>
    </w:p>
    <w:p w14:paraId="7717F98F">
      <w:pPr>
        <w:pStyle w:val="15"/>
        <w:tabs>
          <w:tab w:val="left" w:pos="5580"/>
        </w:tabs>
        <w:ind w:left="2" w:leftChars="1"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根据贵方</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i/>
          <w:iCs/>
          <w:color w:val="auto"/>
          <w:sz w:val="24"/>
          <w:szCs w:val="24"/>
          <w:highlight w:val="none"/>
          <w:u w:val="single"/>
        </w:rPr>
        <w:t>项目名称、包号</w:t>
      </w:r>
      <w:r>
        <w:rPr>
          <w:rFonts w:hint="eastAsia" w:ascii="微软雅黑" w:hAnsi="微软雅黑" w:eastAsia="微软雅黑" w:cs="微软雅黑"/>
          <w:i/>
          <w:iCs/>
          <w:color w:val="auto"/>
          <w:sz w:val="24"/>
          <w:szCs w:val="24"/>
          <w:highlight w:val="none"/>
          <w:u w:val="single"/>
          <w:lang w:eastAsia="zh-CN"/>
        </w:rPr>
        <w:t>）</w:t>
      </w:r>
      <w:r>
        <w:rPr>
          <w:rFonts w:hint="eastAsia" w:ascii="微软雅黑" w:hAnsi="微软雅黑" w:eastAsia="微软雅黑" w:cs="微软雅黑"/>
          <w:color w:val="auto"/>
          <w:sz w:val="24"/>
          <w:szCs w:val="24"/>
          <w:highlight w:val="none"/>
        </w:rPr>
        <w:t>项目的投标邀请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i/>
          <w:iCs/>
          <w:color w:val="auto"/>
          <w:sz w:val="24"/>
          <w:szCs w:val="24"/>
          <w:highlight w:val="none"/>
          <w:u w:val="single"/>
        </w:rPr>
        <w:t>项目编号</w:t>
      </w:r>
      <w:r>
        <w:rPr>
          <w:rFonts w:hint="eastAsia" w:ascii="微软雅黑" w:hAnsi="微软雅黑" w:eastAsia="微软雅黑" w:cs="微软雅黑"/>
          <w:i/>
          <w:iCs/>
          <w:color w:val="auto"/>
          <w:sz w:val="24"/>
          <w:szCs w:val="24"/>
          <w:highlight w:val="none"/>
          <w:u w:val="single"/>
          <w:lang w:eastAsia="zh-CN"/>
        </w:rPr>
        <w:t>），</w:t>
      </w:r>
      <w:r>
        <w:rPr>
          <w:rFonts w:hint="eastAsia" w:ascii="微软雅黑" w:hAnsi="微软雅黑" w:eastAsia="微软雅黑" w:cs="微软雅黑"/>
          <w:color w:val="auto"/>
          <w:sz w:val="24"/>
          <w:szCs w:val="24"/>
          <w:highlight w:val="none"/>
        </w:rPr>
        <w:t>签字代表</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i/>
          <w:iCs/>
          <w:color w:val="auto"/>
          <w:sz w:val="24"/>
          <w:szCs w:val="24"/>
          <w:highlight w:val="none"/>
          <w:u w:val="single"/>
        </w:rPr>
        <w:t>姓名、职务</w:t>
      </w:r>
      <w:r>
        <w:rPr>
          <w:rFonts w:hint="eastAsia" w:ascii="微软雅黑" w:hAnsi="微软雅黑" w:eastAsia="微软雅黑" w:cs="微软雅黑"/>
          <w:i/>
          <w:iCs/>
          <w:color w:val="auto"/>
          <w:sz w:val="24"/>
          <w:szCs w:val="24"/>
          <w:highlight w:val="none"/>
          <w:u w:val="single"/>
          <w:lang w:eastAsia="zh-CN"/>
        </w:rPr>
        <w:t>）</w:t>
      </w:r>
      <w:r>
        <w:rPr>
          <w:rFonts w:hint="eastAsia" w:ascii="微软雅黑" w:hAnsi="微软雅黑" w:eastAsia="微软雅黑" w:cs="微软雅黑"/>
          <w:color w:val="auto"/>
          <w:sz w:val="24"/>
          <w:szCs w:val="24"/>
          <w:highlight w:val="none"/>
        </w:rPr>
        <w:t>经正式授权并代表供应商（</w:t>
      </w:r>
      <w:r>
        <w:rPr>
          <w:rFonts w:hint="eastAsia" w:ascii="微软雅黑" w:hAnsi="微软雅黑" w:eastAsia="微软雅黑" w:cs="微软雅黑"/>
          <w:i/>
          <w:iCs/>
          <w:color w:val="auto"/>
          <w:sz w:val="24"/>
          <w:szCs w:val="24"/>
          <w:highlight w:val="none"/>
          <w:u w:val="single"/>
        </w:rPr>
        <w:t>名称、地址</w:t>
      </w:r>
      <w:r>
        <w:rPr>
          <w:rFonts w:hint="eastAsia" w:ascii="微软雅黑" w:hAnsi="微软雅黑" w:eastAsia="微软雅黑" w:cs="微软雅黑"/>
          <w:color w:val="auto"/>
          <w:sz w:val="24"/>
          <w:szCs w:val="24"/>
          <w:highlight w:val="none"/>
        </w:rPr>
        <w:t>）上传并签署投标文件，并以</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形式出具的金额为人民币</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元的投标保证金。</w:t>
      </w:r>
    </w:p>
    <w:p w14:paraId="14D852CA">
      <w:pPr>
        <w:pStyle w:val="15"/>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据此，签字代表宣布同意如下：</w:t>
      </w:r>
    </w:p>
    <w:p w14:paraId="6F27BEE4">
      <w:pPr>
        <w:pStyle w:val="15"/>
        <w:tabs>
          <w:tab w:val="left" w:pos="720"/>
          <w:tab w:val="left" w:pos="900"/>
        </w:tabs>
        <w:ind w:left="769" w:leftChars="257" w:hanging="229"/>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（1）附投标价格表中规定的应提供货物的投标总价为</w:t>
      </w:r>
      <w:r>
        <w:rPr>
          <w:rFonts w:hint="eastAsia" w:ascii="微软雅黑" w:hAnsi="微软雅黑" w:eastAsia="微软雅黑" w:cs="微软雅黑"/>
          <w:color w:val="auto"/>
          <w:sz w:val="24"/>
          <w:szCs w:val="24"/>
          <w:highlight w:val="none"/>
          <w:u w:val="single"/>
        </w:rPr>
        <w:t>　　  （用文字和数字表示）</w:t>
      </w:r>
      <w:r>
        <w:rPr>
          <w:rFonts w:hint="eastAsia" w:ascii="微软雅黑" w:hAnsi="微软雅黑" w:eastAsia="微软雅黑" w:cs="微软雅黑"/>
          <w:color w:val="auto"/>
          <w:sz w:val="24"/>
          <w:szCs w:val="24"/>
          <w:highlight w:val="none"/>
        </w:rPr>
        <w:t>。</w:t>
      </w:r>
    </w:p>
    <w:p w14:paraId="6B3F1F06">
      <w:pPr>
        <w:pStyle w:val="15"/>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（2）本投标有效期为自投标截止之日起</w:t>
      </w:r>
      <w:r>
        <w:rPr>
          <w:rFonts w:hint="eastAsia" w:ascii="微软雅黑" w:hAnsi="微软雅黑" w:eastAsia="微软雅黑" w:cs="微软雅黑"/>
          <w:color w:val="auto"/>
          <w:sz w:val="24"/>
          <w:szCs w:val="24"/>
          <w:highlight w:val="none"/>
          <w:u w:val="single"/>
        </w:rPr>
        <w:t xml:space="preserve">  90 </w:t>
      </w:r>
      <w:r>
        <w:rPr>
          <w:rFonts w:hint="eastAsia" w:ascii="微软雅黑" w:hAnsi="微软雅黑" w:eastAsia="微软雅黑" w:cs="微软雅黑"/>
          <w:color w:val="auto"/>
          <w:sz w:val="24"/>
          <w:szCs w:val="24"/>
          <w:highlight w:val="none"/>
        </w:rPr>
        <w:t>个日历日。</w:t>
      </w:r>
    </w:p>
    <w:p w14:paraId="32E2D7E8">
      <w:pPr>
        <w:pStyle w:val="15"/>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（3）联合体中的大中型企业和其他自然人、法人或者非法人组织，与联合体中的小型、微型企业之间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存在、不存在）投资关系（如果是联合体的话）。</w:t>
      </w:r>
    </w:p>
    <w:p w14:paraId="67526430">
      <w:pPr>
        <w:pStyle w:val="15"/>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（4）已详细审查全部招标文件，包括所有补充通知（如果有的话），完全理解并同意放弃对这方面有不明、误解和质疑的权力。</w:t>
      </w:r>
    </w:p>
    <w:p w14:paraId="25FC85ED">
      <w:pPr>
        <w:pStyle w:val="15"/>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（5）在规定的开标时间后，遵守招标文件中有关保证金的规定。</w:t>
      </w:r>
    </w:p>
    <w:p w14:paraId="55BC85DD">
      <w:pPr>
        <w:pStyle w:val="15"/>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（6）我方不是为本项目提供整体设计、规范编制或者项目管理、监理、检测等服务的供应商，我方不是采购代理机构的附属机构。</w:t>
      </w:r>
    </w:p>
    <w:p w14:paraId="5EFD5A4C">
      <w:pPr>
        <w:pStyle w:val="15"/>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（7）在领取中标通知书的同时按招标文件规定的形式，向贵方一次性支付中标服务费。</w:t>
      </w:r>
    </w:p>
    <w:p w14:paraId="45478BDB">
      <w:pPr>
        <w:pStyle w:val="15"/>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（8）按照贵方可能要求，提供与其投标有关的一切数据或资料，完全理解贵方不一定接受最低价的投标或收到的任何投标。</w:t>
      </w:r>
    </w:p>
    <w:p w14:paraId="25F18960">
      <w:pPr>
        <w:pStyle w:val="15"/>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（9）按照招标文件的规定履行合同责任和义务。</w:t>
      </w:r>
    </w:p>
    <w:p w14:paraId="0F1BD546">
      <w:pPr>
        <w:pStyle w:val="15"/>
        <w:tabs>
          <w:tab w:val="left" w:pos="5580"/>
        </w:tabs>
        <w:ind w:left="359" w:leftChars="68" w:hanging="216" w:hangingChars="9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与本投标有关的一切正式往来信函请寄：</w:t>
      </w:r>
    </w:p>
    <w:p w14:paraId="6E86F0D8">
      <w:pPr>
        <w:pStyle w:val="15"/>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传真</w:t>
      </w:r>
      <w:r>
        <w:rPr>
          <w:rFonts w:hint="eastAsia" w:ascii="微软雅黑" w:hAnsi="微软雅黑" w:eastAsia="微软雅黑" w:cs="微软雅黑"/>
          <w:color w:val="auto"/>
          <w:sz w:val="24"/>
          <w:szCs w:val="24"/>
          <w:highlight w:val="none"/>
          <w:u w:val="single"/>
        </w:rPr>
        <w:t xml:space="preserve">                             </w:t>
      </w:r>
    </w:p>
    <w:p w14:paraId="69B1C178">
      <w:pPr>
        <w:pStyle w:val="15"/>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电子函件</w:t>
      </w:r>
      <w:r>
        <w:rPr>
          <w:rFonts w:hint="eastAsia" w:ascii="微软雅黑" w:hAnsi="微软雅黑" w:eastAsia="微软雅黑" w:cs="微软雅黑"/>
          <w:color w:val="auto"/>
          <w:sz w:val="24"/>
          <w:szCs w:val="24"/>
          <w:highlight w:val="none"/>
          <w:u w:val="single"/>
        </w:rPr>
        <w:t xml:space="preserve">                         </w:t>
      </w:r>
    </w:p>
    <w:p w14:paraId="038A5B07">
      <w:pPr>
        <w:pStyle w:val="15"/>
        <w:tabs>
          <w:tab w:val="left" w:pos="5580"/>
        </w:tabs>
        <w:ind w:left="1080" w:leftChars="257" w:hanging="54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u w:val="single"/>
        </w:rPr>
        <w:t xml:space="preserve">                </w:t>
      </w:r>
    </w:p>
    <w:p w14:paraId="3227A61C">
      <w:pPr>
        <w:pStyle w:val="15"/>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 xml:space="preserve">                  </w:t>
      </w:r>
    </w:p>
    <w:p w14:paraId="38A802B4">
      <w:pPr>
        <w:pStyle w:val="15"/>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供应商开户银行（全称）</w:t>
      </w:r>
      <w:r>
        <w:rPr>
          <w:rFonts w:hint="eastAsia" w:ascii="微软雅黑" w:hAnsi="微软雅黑" w:eastAsia="微软雅黑" w:cs="微软雅黑"/>
          <w:color w:val="auto"/>
          <w:sz w:val="24"/>
          <w:szCs w:val="24"/>
          <w:highlight w:val="none"/>
          <w:u w:val="single"/>
        </w:rPr>
        <w:t xml:space="preserve">　　　　　　 </w:t>
      </w:r>
    </w:p>
    <w:p w14:paraId="11C7E4E1">
      <w:pPr>
        <w:pStyle w:val="15"/>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银行账号</w:t>
      </w:r>
      <w:r>
        <w:rPr>
          <w:rFonts w:hint="eastAsia" w:ascii="微软雅黑" w:hAnsi="微软雅黑" w:eastAsia="微软雅黑" w:cs="微软雅黑"/>
          <w:color w:val="auto"/>
          <w:sz w:val="24"/>
          <w:szCs w:val="24"/>
          <w:highlight w:val="none"/>
          <w:u w:val="single"/>
        </w:rPr>
        <w:t>　　　　　　　　 　　</w:t>
      </w:r>
    </w:p>
    <w:p w14:paraId="7C5D02BB">
      <w:pPr>
        <w:pStyle w:val="15"/>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日期 </w:t>
      </w:r>
      <w:r>
        <w:rPr>
          <w:rFonts w:hint="eastAsia" w:ascii="微软雅黑" w:hAnsi="微软雅黑" w:eastAsia="微软雅黑" w:cs="微软雅黑"/>
          <w:color w:val="auto"/>
          <w:sz w:val="24"/>
          <w:szCs w:val="24"/>
          <w:highlight w:val="none"/>
          <w:u w:val="single"/>
        </w:rPr>
        <w:t xml:space="preserve">                      </w:t>
      </w:r>
    </w:p>
    <w:p w14:paraId="2F80855C">
      <w:pPr>
        <w:pStyle w:val="3"/>
        <w:spacing w:before="0" w:line="240" w:lineRule="auto"/>
        <w:ind w:left="1080" w:leftChars="257" w:hanging="540"/>
        <w:rPr>
          <w:rFonts w:ascii="微软雅黑" w:hAnsi="微软雅黑" w:eastAsia="微软雅黑" w:cs="微软雅黑"/>
          <w:color w:val="auto"/>
          <w:sz w:val="21"/>
          <w:szCs w:val="21"/>
          <w:highlight w:val="none"/>
        </w:rPr>
        <w:sectPr>
          <w:pgSz w:w="11905" w:h="16838"/>
          <w:pgMar w:top="1440" w:right="1080" w:bottom="1440" w:left="1080" w:header="851" w:footer="992" w:gutter="0"/>
          <w:cols w:space="0" w:num="1"/>
          <w:docGrid w:linePitch="312" w:charSpace="0"/>
        </w:sectPr>
      </w:pPr>
      <w:r>
        <w:rPr>
          <w:rFonts w:hint="eastAsia" w:ascii="微软雅黑" w:hAnsi="微软雅黑" w:eastAsia="微软雅黑" w:cs="微软雅黑"/>
          <w:color w:val="auto"/>
          <w:sz w:val="21"/>
          <w:szCs w:val="21"/>
          <w:highlight w:val="none"/>
        </w:rPr>
        <w:br w:type="page"/>
      </w:r>
      <w:bookmarkStart w:id="590" w:name="_Toc19819"/>
      <w:bookmarkStart w:id="591" w:name="_Toc1266"/>
      <w:bookmarkStart w:id="592" w:name="_Toc23473"/>
      <w:bookmarkStart w:id="593" w:name="_Toc12429"/>
      <w:bookmarkStart w:id="594" w:name="_Toc19746"/>
      <w:bookmarkStart w:id="595" w:name="_Toc30247"/>
      <w:bookmarkStart w:id="596" w:name="_Toc213"/>
      <w:bookmarkStart w:id="597" w:name="_Toc4976"/>
      <w:bookmarkStart w:id="598" w:name="_Toc19539"/>
      <w:bookmarkStart w:id="599" w:name="_Toc23851"/>
    </w:p>
    <w:p w14:paraId="0D1AB873">
      <w:pPr>
        <w:pStyle w:val="3"/>
        <w:spacing w:before="0" w:line="240" w:lineRule="auto"/>
        <w:ind w:left="1080" w:leftChars="257" w:hanging="540"/>
        <w:rPr>
          <w:rFonts w:hint="eastAsia" w:ascii="微软雅黑" w:hAnsi="微软雅黑" w:eastAsia="微软雅黑" w:cs="微软雅黑"/>
          <w:b/>
          <w:bCs/>
          <w:color w:val="auto"/>
          <w:sz w:val="24"/>
          <w:szCs w:val="24"/>
          <w:highlight w:val="none"/>
        </w:rPr>
      </w:pPr>
      <w:bookmarkStart w:id="600" w:name="_Toc14041"/>
      <w:bookmarkStart w:id="601" w:name="_Toc15521"/>
      <w:bookmarkStart w:id="602" w:name="_Toc16441"/>
      <w:r>
        <w:rPr>
          <w:rFonts w:hint="eastAsia" w:ascii="微软雅黑" w:hAnsi="微软雅黑" w:eastAsia="微软雅黑" w:cs="微软雅黑"/>
          <w:b/>
          <w:bCs/>
          <w:color w:val="auto"/>
          <w:sz w:val="24"/>
          <w:szCs w:val="24"/>
          <w:highlight w:val="none"/>
          <w:lang w:eastAsia="zh-CN"/>
        </w:rPr>
        <w:t>2</w:t>
      </w:r>
      <w:bookmarkEnd w:id="590"/>
      <w:bookmarkEnd w:id="591"/>
      <w:bookmarkEnd w:id="592"/>
      <w:bookmarkStart w:id="603" w:name="_Toc5101"/>
      <w:bookmarkStart w:id="604" w:name="_Toc1881"/>
      <w:bookmarkStart w:id="605" w:name="_Toc216582815"/>
      <w:bookmarkStart w:id="606" w:name="_Toc515647818"/>
      <w:bookmarkStart w:id="607" w:name="_Toc20897"/>
      <w:bookmarkStart w:id="608" w:name="_Toc216582817"/>
      <w:bookmarkStart w:id="609" w:name="_Toc22563"/>
      <w:bookmarkStart w:id="610" w:name="_Toc515647820"/>
      <w:bookmarkStart w:id="611" w:name="_Toc28959"/>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投标分项报价表</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6D2C1493">
      <w:pPr>
        <w:pStyle w:val="4"/>
        <w:ind w:left="0" w:leftChars="0" w:firstLine="0" w:firstLineChars="0"/>
        <w:jc w:val="center"/>
        <w:outlineLvl w:val="1"/>
        <w:rPr>
          <w:rFonts w:hint="default" w:eastAsia="微软雅黑"/>
          <w:lang w:val="en-US" w:eastAsia="zh-CN"/>
        </w:rPr>
      </w:pPr>
      <w:bookmarkStart w:id="612" w:name="_Toc955"/>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一</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投标分项报价表</w:t>
      </w:r>
      <w:bookmarkEnd w:id="612"/>
    </w:p>
    <w:p w14:paraId="792F008F">
      <w:pPr>
        <w:pStyle w:val="15"/>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w:t>
      </w:r>
    </w:p>
    <w:p w14:paraId="286C8C91">
      <w:pPr>
        <w:pStyle w:val="15"/>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w:t>
      </w:r>
    </w:p>
    <w:p w14:paraId="6386B1A2">
      <w:pPr>
        <w:pStyle w:val="15"/>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包号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报价单位：人民币  元</w:t>
      </w:r>
    </w:p>
    <w:tbl>
      <w:tblPr>
        <w:tblStyle w:val="30"/>
        <w:tblpPr w:leftFromText="180" w:rightFromText="180" w:vertAnchor="text" w:horzAnchor="page" w:tblpXSpec="center" w:tblpY="386"/>
        <w:tblOverlap w:val="never"/>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10"/>
        <w:gridCol w:w="1509"/>
        <w:gridCol w:w="753"/>
        <w:gridCol w:w="678"/>
        <w:gridCol w:w="678"/>
        <w:gridCol w:w="995"/>
        <w:gridCol w:w="677"/>
        <w:gridCol w:w="677"/>
        <w:gridCol w:w="827"/>
        <w:gridCol w:w="784"/>
      </w:tblGrid>
      <w:tr w14:paraId="2269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544" w:type="dxa"/>
            <w:noWrap w:val="0"/>
            <w:vAlign w:val="center"/>
          </w:tcPr>
          <w:p w14:paraId="2D809E37">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序号</w:t>
            </w:r>
          </w:p>
        </w:tc>
        <w:tc>
          <w:tcPr>
            <w:tcW w:w="1310" w:type="dxa"/>
            <w:noWrap w:val="0"/>
            <w:vAlign w:val="center"/>
          </w:tcPr>
          <w:p w14:paraId="6977F70D">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货物名称</w:t>
            </w:r>
          </w:p>
        </w:tc>
        <w:tc>
          <w:tcPr>
            <w:tcW w:w="1509" w:type="dxa"/>
            <w:noWrap w:val="0"/>
            <w:vAlign w:val="center"/>
          </w:tcPr>
          <w:p w14:paraId="56F30ED3">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规格和型号</w:t>
            </w:r>
          </w:p>
        </w:tc>
        <w:tc>
          <w:tcPr>
            <w:tcW w:w="753" w:type="dxa"/>
            <w:noWrap w:val="0"/>
            <w:vAlign w:val="center"/>
          </w:tcPr>
          <w:p w14:paraId="31FFC8F0">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数量</w:t>
            </w:r>
          </w:p>
        </w:tc>
        <w:tc>
          <w:tcPr>
            <w:tcW w:w="678" w:type="dxa"/>
            <w:noWrap w:val="0"/>
            <w:vAlign w:val="center"/>
          </w:tcPr>
          <w:p w14:paraId="6C94DBB9">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单位</w:t>
            </w:r>
          </w:p>
        </w:tc>
        <w:tc>
          <w:tcPr>
            <w:tcW w:w="678" w:type="dxa"/>
            <w:noWrap w:val="0"/>
            <w:vAlign w:val="center"/>
          </w:tcPr>
          <w:p w14:paraId="69CD4824">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品牌</w:t>
            </w:r>
          </w:p>
        </w:tc>
        <w:tc>
          <w:tcPr>
            <w:tcW w:w="995" w:type="dxa"/>
            <w:noWrap w:val="0"/>
            <w:vAlign w:val="center"/>
          </w:tcPr>
          <w:p w14:paraId="38E82ED4">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原产地</w:t>
            </w:r>
          </w:p>
        </w:tc>
        <w:tc>
          <w:tcPr>
            <w:tcW w:w="677" w:type="dxa"/>
            <w:noWrap w:val="0"/>
            <w:vAlign w:val="center"/>
          </w:tcPr>
          <w:p w14:paraId="43B9DC27">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生产厂家名称</w:t>
            </w:r>
          </w:p>
        </w:tc>
        <w:tc>
          <w:tcPr>
            <w:tcW w:w="677" w:type="dxa"/>
            <w:noWrap w:val="0"/>
            <w:vAlign w:val="center"/>
          </w:tcPr>
          <w:p w14:paraId="7EBC5408">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单价</w:t>
            </w:r>
          </w:p>
        </w:tc>
        <w:tc>
          <w:tcPr>
            <w:tcW w:w="827" w:type="dxa"/>
            <w:noWrap w:val="0"/>
            <w:vAlign w:val="center"/>
          </w:tcPr>
          <w:p w14:paraId="18A25516">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总价</w:t>
            </w:r>
          </w:p>
        </w:tc>
        <w:tc>
          <w:tcPr>
            <w:tcW w:w="784" w:type="dxa"/>
            <w:noWrap w:val="0"/>
            <w:vAlign w:val="center"/>
          </w:tcPr>
          <w:p w14:paraId="6FB82DC8">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备注</w:t>
            </w:r>
          </w:p>
        </w:tc>
      </w:tr>
      <w:tr w14:paraId="1905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44" w:type="dxa"/>
            <w:noWrap w:val="0"/>
            <w:vAlign w:val="center"/>
          </w:tcPr>
          <w:p w14:paraId="439BE8D3">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w:t>
            </w:r>
          </w:p>
        </w:tc>
        <w:tc>
          <w:tcPr>
            <w:tcW w:w="1310" w:type="dxa"/>
            <w:noWrap w:val="0"/>
            <w:vAlign w:val="center"/>
          </w:tcPr>
          <w:p w14:paraId="1CA9EB60">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p>
        </w:tc>
        <w:tc>
          <w:tcPr>
            <w:tcW w:w="1509" w:type="dxa"/>
            <w:noWrap w:val="0"/>
            <w:vAlign w:val="center"/>
          </w:tcPr>
          <w:p w14:paraId="7A76BA9F">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53" w:type="dxa"/>
            <w:noWrap w:val="0"/>
            <w:vAlign w:val="center"/>
          </w:tcPr>
          <w:p w14:paraId="33091784">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678" w:type="dxa"/>
            <w:noWrap w:val="0"/>
            <w:vAlign w:val="center"/>
          </w:tcPr>
          <w:p w14:paraId="71E23B29">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678" w:type="dxa"/>
            <w:noWrap w:val="0"/>
            <w:vAlign w:val="center"/>
          </w:tcPr>
          <w:p w14:paraId="7690A9FC">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995" w:type="dxa"/>
            <w:noWrap w:val="0"/>
            <w:vAlign w:val="center"/>
          </w:tcPr>
          <w:p w14:paraId="7CE42EC3">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677" w:type="dxa"/>
            <w:noWrap w:val="0"/>
            <w:vAlign w:val="center"/>
          </w:tcPr>
          <w:p w14:paraId="261552E1">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677" w:type="dxa"/>
            <w:noWrap w:val="0"/>
            <w:vAlign w:val="center"/>
          </w:tcPr>
          <w:p w14:paraId="4F241FE9">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827" w:type="dxa"/>
            <w:noWrap w:val="0"/>
            <w:vAlign w:val="center"/>
          </w:tcPr>
          <w:p w14:paraId="1DD43DE3">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84" w:type="dxa"/>
            <w:noWrap w:val="0"/>
            <w:vAlign w:val="center"/>
          </w:tcPr>
          <w:p w14:paraId="7AB0B5E5">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r w14:paraId="7F1C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544" w:type="dxa"/>
            <w:noWrap w:val="0"/>
            <w:vAlign w:val="center"/>
          </w:tcPr>
          <w:p w14:paraId="69817CBC">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w:t>
            </w:r>
          </w:p>
        </w:tc>
        <w:tc>
          <w:tcPr>
            <w:tcW w:w="1310" w:type="dxa"/>
            <w:noWrap w:val="0"/>
            <w:vAlign w:val="center"/>
          </w:tcPr>
          <w:p w14:paraId="0BC1558C">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p>
        </w:tc>
        <w:tc>
          <w:tcPr>
            <w:tcW w:w="1509" w:type="dxa"/>
            <w:noWrap w:val="0"/>
            <w:vAlign w:val="center"/>
          </w:tcPr>
          <w:p w14:paraId="4B52E7E1">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53" w:type="dxa"/>
            <w:noWrap w:val="0"/>
            <w:vAlign w:val="center"/>
          </w:tcPr>
          <w:p w14:paraId="48F1CAD4">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678" w:type="dxa"/>
            <w:noWrap w:val="0"/>
            <w:vAlign w:val="center"/>
          </w:tcPr>
          <w:p w14:paraId="0083C385">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678" w:type="dxa"/>
            <w:noWrap w:val="0"/>
            <w:vAlign w:val="center"/>
          </w:tcPr>
          <w:p w14:paraId="60AA9FAE">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995" w:type="dxa"/>
            <w:noWrap w:val="0"/>
            <w:vAlign w:val="center"/>
          </w:tcPr>
          <w:p w14:paraId="1B958909">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677" w:type="dxa"/>
            <w:noWrap w:val="0"/>
            <w:vAlign w:val="center"/>
          </w:tcPr>
          <w:p w14:paraId="0417E763">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677" w:type="dxa"/>
            <w:noWrap w:val="0"/>
            <w:vAlign w:val="center"/>
          </w:tcPr>
          <w:p w14:paraId="01105480">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827" w:type="dxa"/>
            <w:noWrap w:val="0"/>
            <w:vAlign w:val="center"/>
          </w:tcPr>
          <w:p w14:paraId="6F31407F">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84" w:type="dxa"/>
            <w:noWrap w:val="0"/>
            <w:vAlign w:val="center"/>
          </w:tcPr>
          <w:p w14:paraId="31128C4B">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r w14:paraId="6928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544" w:type="dxa"/>
            <w:noWrap w:val="0"/>
            <w:vAlign w:val="center"/>
          </w:tcPr>
          <w:p w14:paraId="7F9E099A">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w:t>
            </w:r>
          </w:p>
        </w:tc>
        <w:tc>
          <w:tcPr>
            <w:tcW w:w="1310" w:type="dxa"/>
            <w:noWrap w:val="0"/>
            <w:vAlign w:val="center"/>
          </w:tcPr>
          <w:p w14:paraId="5B476FCF">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p>
        </w:tc>
        <w:tc>
          <w:tcPr>
            <w:tcW w:w="1509" w:type="dxa"/>
            <w:noWrap w:val="0"/>
            <w:vAlign w:val="center"/>
          </w:tcPr>
          <w:p w14:paraId="05A5080D">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53" w:type="dxa"/>
            <w:noWrap w:val="0"/>
            <w:vAlign w:val="center"/>
          </w:tcPr>
          <w:p w14:paraId="654F0259">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678" w:type="dxa"/>
            <w:noWrap w:val="0"/>
            <w:vAlign w:val="center"/>
          </w:tcPr>
          <w:p w14:paraId="2CBB725A">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678" w:type="dxa"/>
            <w:noWrap w:val="0"/>
            <w:vAlign w:val="center"/>
          </w:tcPr>
          <w:p w14:paraId="1E48B537">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995" w:type="dxa"/>
            <w:noWrap w:val="0"/>
            <w:vAlign w:val="center"/>
          </w:tcPr>
          <w:p w14:paraId="168327E4">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677" w:type="dxa"/>
            <w:noWrap w:val="0"/>
            <w:vAlign w:val="center"/>
          </w:tcPr>
          <w:p w14:paraId="50DBE867">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677" w:type="dxa"/>
            <w:noWrap w:val="0"/>
            <w:vAlign w:val="center"/>
          </w:tcPr>
          <w:p w14:paraId="3A28DF7C">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827" w:type="dxa"/>
            <w:noWrap w:val="0"/>
            <w:vAlign w:val="center"/>
          </w:tcPr>
          <w:p w14:paraId="0F3248BA">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84" w:type="dxa"/>
            <w:noWrap w:val="0"/>
            <w:vAlign w:val="center"/>
          </w:tcPr>
          <w:p w14:paraId="7DD00649">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r w14:paraId="18EC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44" w:type="dxa"/>
            <w:noWrap w:val="0"/>
            <w:vAlign w:val="center"/>
          </w:tcPr>
          <w:p w14:paraId="4AC569A4">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w:t>
            </w:r>
          </w:p>
        </w:tc>
        <w:tc>
          <w:tcPr>
            <w:tcW w:w="1310" w:type="dxa"/>
            <w:noWrap w:val="0"/>
            <w:vAlign w:val="center"/>
          </w:tcPr>
          <w:p w14:paraId="7C6A6817">
            <w:pPr>
              <w:pStyle w:val="15"/>
              <w:spacing w:after="0" w:line="240" w:lineRule="atLeast"/>
              <w:jc w:val="center"/>
              <w:rPr>
                <w:rFonts w:hint="eastAsia" w:ascii="微软雅黑" w:hAnsi="微软雅黑" w:eastAsia="微软雅黑" w:cs="微软雅黑"/>
                <w:color w:val="auto"/>
                <w:sz w:val="21"/>
                <w:szCs w:val="21"/>
                <w:highlight w:val="none"/>
                <w:lang w:val="en-US" w:eastAsia="zh-CN"/>
              </w:rPr>
            </w:pPr>
          </w:p>
        </w:tc>
        <w:tc>
          <w:tcPr>
            <w:tcW w:w="1509" w:type="dxa"/>
            <w:noWrap w:val="0"/>
            <w:vAlign w:val="center"/>
          </w:tcPr>
          <w:p w14:paraId="486E789B">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53" w:type="dxa"/>
            <w:noWrap w:val="0"/>
            <w:vAlign w:val="center"/>
          </w:tcPr>
          <w:p w14:paraId="171E1858">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678" w:type="dxa"/>
            <w:noWrap w:val="0"/>
            <w:vAlign w:val="center"/>
          </w:tcPr>
          <w:p w14:paraId="2CE20D67">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678" w:type="dxa"/>
            <w:noWrap w:val="0"/>
            <w:vAlign w:val="center"/>
          </w:tcPr>
          <w:p w14:paraId="2D9B72AA">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995" w:type="dxa"/>
            <w:noWrap w:val="0"/>
            <w:vAlign w:val="center"/>
          </w:tcPr>
          <w:p w14:paraId="1B37CCA5">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677" w:type="dxa"/>
            <w:noWrap w:val="0"/>
            <w:vAlign w:val="center"/>
          </w:tcPr>
          <w:p w14:paraId="1EB904C0">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677" w:type="dxa"/>
            <w:noWrap w:val="0"/>
            <w:vAlign w:val="center"/>
          </w:tcPr>
          <w:p w14:paraId="4B6591CE">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827" w:type="dxa"/>
            <w:noWrap w:val="0"/>
            <w:vAlign w:val="center"/>
          </w:tcPr>
          <w:p w14:paraId="756CE331">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84" w:type="dxa"/>
            <w:noWrap w:val="0"/>
            <w:vAlign w:val="center"/>
          </w:tcPr>
          <w:p w14:paraId="0B8ED81A">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r w14:paraId="683F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821" w:type="dxa"/>
            <w:gridSpan w:val="9"/>
            <w:noWrap w:val="0"/>
            <w:vAlign w:val="center"/>
          </w:tcPr>
          <w:p w14:paraId="01E272E0">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总价（元）</w:t>
            </w:r>
          </w:p>
        </w:tc>
        <w:tc>
          <w:tcPr>
            <w:tcW w:w="827" w:type="dxa"/>
            <w:noWrap w:val="0"/>
            <w:vAlign w:val="center"/>
          </w:tcPr>
          <w:p w14:paraId="01D58BEF">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84" w:type="dxa"/>
            <w:noWrap w:val="0"/>
            <w:vAlign w:val="center"/>
          </w:tcPr>
          <w:p w14:paraId="52BA006C">
            <w:pPr>
              <w:pStyle w:val="15"/>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bl>
    <w:p w14:paraId="69381430">
      <w:pPr>
        <w:pStyle w:val="15"/>
        <w:jc w:val="left"/>
        <w:rPr>
          <w:rFonts w:ascii="微软雅黑" w:hAnsi="微软雅黑" w:eastAsia="微软雅黑" w:cs="微软雅黑"/>
          <w:color w:val="auto"/>
          <w:sz w:val="24"/>
          <w:szCs w:val="24"/>
          <w:highlight w:val="none"/>
        </w:rPr>
      </w:pPr>
    </w:p>
    <w:p w14:paraId="1BD20658">
      <w:pPr>
        <w:pStyle w:val="15"/>
        <w:ind w:firstLine="2640" w:firstLineChars="1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lang w:eastAsia="zh-CN"/>
        </w:rPr>
        <w:t>：</w:t>
      </w:r>
    </w:p>
    <w:p w14:paraId="58D39D83">
      <w:pPr>
        <w:pStyle w:val="15"/>
        <w:tabs>
          <w:tab w:val="left" w:pos="5370"/>
        </w:tabs>
        <w:ind w:left="1258" w:leftChars="599" w:firstLine="4180" w:firstLineChars="1742"/>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lang w:eastAsia="zh-CN"/>
        </w:rPr>
        <w:t>）：</w:t>
      </w:r>
    </w:p>
    <w:p w14:paraId="3C68A0FA">
      <w:pPr>
        <w:pStyle w:val="15"/>
        <w:spacing w:line="36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1.如果供应商认为需要，每种货物内容填写一份该表。</w:t>
      </w:r>
    </w:p>
    <w:p w14:paraId="0EAF643A">
      <w:pPr>
        <w:pStyle w:val="15"/>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2.如果按单价计算的结果与总价不一致</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以单价为准修正总价。</w:t>
      </w:r>
    </w:p>
    <w:p w14:paraId="6B1D3833">
      <w:pPr>
        <w:pStyle w:val="15"/>
        <w:spacing w:line="3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3.如果不提供详细分项报价及每种货物内容（货物名称、数量、品牌、原产地、制造商名称、单价、总价）的将视为没有实质性响应招标文件。</w:t>
      </w:r>
    </w:p>
    <w:p w14:paraId="22CA634C">
      <w:pPr>
        <w:pStyle w:val="15"/>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4.上述各项的详细分项报价，应另页描述。</w:t>
      </w:r>
    </w:p>
    <w:p w14:paraId="473552C4">
      <w:pPr>
        <w:pStyle w:val="15"/>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5.如果开标一览表（报价表）内容与投标文件中明细表内容不一致的，以开标一览表（报价表）内容为准。</w:t>
      </w:r>
    </w:p>
    <w:p w14:paraId="4B26BD56">
      <w:pPr>
        <w:pStyle w:val="15"/>
        <w:rPr>
          <w:rFonts w:ascii="微软雅黑" w:hAnsi="微软雅黑" w:eastAsia="微软雅黑" w:cs="微软雅黑"/>
          <w:b/>
          <w:bCs/>
          <w:color w:val="auto"/>
          <w:kern w:val="0"/>
          <w:highlight w:val="none"/>
        </w:rPr>
      </w:pPr>
    </w:p>
    <w:p w14:paraId="192C836A">
      <w:pPr>
        <w:pStyle w:val="15"/>
        <w:rPr>
          <w:rFonts w:ascii="微软雅黑" w:hAnsi="微软雅黑" w:eastAsia="微软雅黑" w:cs="微软雅黑"/>
          <w:b/>
          <w:bCs/>
          <w:color w:val="auto"/>
          <w:kern w:val="0"/>
          <w:highlight w:val="none"/>
        </w:rPr>
      </w:pPr>
    </w:p>
    <w:p w14:paraId="47D93E85">
      <w:pPr>
        <w:pStyle w:val="15"/>
        <w:rPr>
          <w:rFonts w:ascii="微软雅黑" w:hAnsi="微软雅黑" w:eastAsia="微软雅黑" w:cs="微软雅黑"/>
          <w:b/>
          <w:bCs/>
          <w:color w:val="auto"/>
          <w:kern w:val="0"/>
          <w:highlight w:val="none"/>
        </w:rPr>
      </w:pPr>
    </w:p>
    <w:p w14:paraId="6B35F340">
      <w:pPr>
        <w:pStyle w:val="15"/>
        <w:rPr>
          <w:rFonts w:ascii="微软雅黑" w:hAnsi="微软雅黑" w:eastAsia="微软雅黑" w:cs="微软雅黑"/>
          <w:b/>
          <w:bCs/>
          <w:color w:val="auto"/>
          <w:kern w:val="0"/>
          <w:highlight w:val="none"/>
        </w:rPr>
      </w:pPr>
    </w:p>
    <w:p w14:paraId="53B5D87D">
      <w:pPr>
        <w:pStyle w:val="15"/>
        <w:rPr>
          <w:rFonts w:ascii="微软雅黑" w:hAnsi="微软雅黑" w:eastAsia="微软雅黑" w:cs="微软雅黑"/>
          <w:b/>
          <w:bCs/>
          <w:color w:val="auto"/>
          <w:kern w:val="0"/>
          <w:highlight w:val="none"/>
        </w:rPr>
      </w:pPr>
    </w:p>
    <w:p w14:paraId="05E9146E">
      <w:pPr>
        <w:pStyle w:val="15"/>
        <w:rPr>
          <w:rFonts w:ascii="微软雅黑" w:hAnsi="微软雅黑" w:eastAsia="微软雅黑" w:cs="微软雅黑"/>
          <w:b/>
          <w:bCs/>
          <w:color w:val="auto"/>
          <w:kern w:val="0"/>
          <w:highlight w:val="none"/>
        </w:rPr>
      </w:pPr>
    </w:p>
    <w:p w14:paraId="29F00C15">
      <w:pPr>
        <w:pStyle w:val="15"/>
        <w:rPr>
          <w:rFonts w:ascii="微软雅黑" w:hAnsi="微软雅黑" w:eastAsia="微软雅黑" w:cs="微软雅黑"/>
          <w:b/>
          <w:bCs/>
          <w:color w:val="auto"/>
          <w:kern w:val="0"/>
          <w:highlight w:val="none"/>
        </w:rPr>
      </w:pPr>
    </w:p>
    <w:p w14:paraId="11B31FB9">
      <w:pPr>
        <w:spacing w:line="360" w:lineRule="auto"/>
        <w:jc w:val="center"/>
        <w:outlineLvl w:val="1"/>
        <w:rPr>
          <w:rFonts w:hint="eastAsia" w:ascii="微软雅黑" w:hAnsi="微软雅黑" w:eastAsia="微软雅黑" w:cs="微软雅黑"/>
          <w:b/>
          <w:bCs/>
          <w:color w:val="auto"/>
          <w:sz w:val="24"/>
          <w:highlight w:val="none"/>
        </w:rPr>
        <w:sectPr>
          <w:pgSz w:w="11905" w:h="16838"/>
          <w:pgMar w:top="1080" w:right="1440" w:bottom="1080" w:left="1440" w:header="851" w:footer="992" w:gutter="0"/>
          <w:cols w:space="0" w:num="1"/>
          <w:docGrid w:linePitch="312" w:charSpace="0"/>
        </w:sectPr>
      </w:pPr>
      <w:bookmarkStart w:id="613" w:name="_Toc30984"/>
      <w:bookmarkStart w:id="614" w:name="_Toc12590"/>
      <w:bookmarkStart w:id="615" w:name="_Toc31640"/>
      <w:bookmarkStart w:id="616" w:name="_Toc13353"/>
      <w:bookmarkStart w:id="617" w:name="_Toc3549"/>
      <w:bookmarkStart w:id="618" w:name="_Toc23234"/>
    </w:p>
    <w:p w14:paraId="32CD5728">
      <w:pPr>
        <w:spacing w:line="360" w:lineRule="auto"/>
        <w:jc w:val="center"/>
        <w:outlineLvl w:val="1"/>
        <w:rPr>
          <w:rFonts w:hint="eastAsia" w:ascii="微软雅黑" w:hAnsi="微软雅黑" w:eastAsia="微软雅黑" w:cs="微软雅黑"/>
          <w:b/>
          <w:color w:val="auto"/>
          <w:sz w:val="30"/>
          <w:szCs w:val="30"/>
          <w:highlight w:val="none"/>
        </w:rPr>
      </w:pPr>
      <w:bookmarkStart w:id="619" w:name="_Toc17653"/>
      <w:r>
        <w:rPr>
          <w:rFonts w:hint="eastAsia" w:ascii="微软雅黑" w:hAnsi="微软雅黑" w:eastAsia="微软雅黑" w:cs="微软雅黑"/>
          <w:b/>
          <w:bCs/>
          <w:color w:val="auto"/>
          <w:sz w:val="24"/>
          <w:highlight w:val="none"/>
        </w:rPr>
        <w:t>（二）备品备件分项报价表</w:t>
      </w:r>
      <w:bookmarkEnd w:id="613"/>
      <w:bookmarkEnd w:id="614"/>
      <w:bookmarkEnd w:id="615"/>
      <w:bookmarkEnd w:id="616"/>
      <w:bookmarkEnd w:id="617"/>
      <w:bookmarkEnd w:id="618"/>
      <w:bookmarkEnd w:id="619"/>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859"/>
        <w:gridCol w:w="761"/>
        <w:gridCol w:w="872"/>
        <w:gridCol w:w="748"/>
        <w:gridCol w:w="983"/>
        <w:gridCol w:w="661"/>
        <w:gridCol w:w="774"/>
        <w:gridCol w:w="696"/>
        <w:gridCol w:w="713"/>
        <w:gridCol w:w="715"/>
        <w:gridCol w:w="685"/>
      </w:tblGrid>
      <w:tr w14:paraId="2403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15" w:type="pct"/>
            <w:noWrap w:val="0"/>
            <w:vAlign w:val="center"/>
          </w:tcPr>
          <w:p w14:paraId="2922EBD5">
            <w:pPr>
              <w:spacing w:line="360" w:lineRule="auto"/>
              <w:jc w:val="center"/>
              <w:rPr>
                <w:rFonts w:hint="eastAsia" w:ascii="微软雅黑" w:hAnsi="微软雅黑" w:eastAsia="微软雅黑" w:cs="微软雅黑"/>
                <w:color w:val="auto"/>
                <w:sz w:val="21"/>
                <w:szCs w:val="21"/>
                <w:highlight w:val="none"/>
              </w:rPr>
            </w:pPr>
          </w:p>
        </w:tc>
        <w:tc>
          <w:tcPr>
            <w:tcW w:w="465" w:type="pct"/>
            <w:noWrap w:val="0"/>
            <w:vAlign w:val="center"/>
          </w:tcPr>
          <w:p w14:paraId="5BF908F7">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编号</w:t>
            </w:r>
          </w:p>
        </w:tc>
        <w:tc>
          <w:tcPr>
            <w:tcW w:w="412" w:type="pct"/>
            <w:noWrap w:val="0"/>
            <w:vAlign w:val="center"/>
          </w:tcPr>
          <w:p w14:paraId="64560FA8">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货物名称</w:t>
            </w:r>
          </w:p>
        </w:tc>
        <w:tc>
          <w:tcPr>
            <w:tcW w:w="472" w:type="pct"/>
            <w:noWrap w:val="0"/>
            <w:vAlign w:val="center"/>
          </w:tcPr>
          <w:p w14:paraId="443BBEB2">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品牌</w:t>
            </w:r>
          </w:p>
        </w:tc>
        <w:tc>
          <w:tcPr>
            <w:tcW w:w="405" w:type="pct"/>
            <w:noWrap w:val="0"/>
            <w:vAlign w:val="center"/>
          </w:tcPr>
          <w:p w14:paraId="5AD3167B">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规格型号</w:t>
            </w:r>
          </w:p>
        </w:tc>
        <w:tc>
          <w:tcPr>
            <w:tcW w:w="532" w:type="pct"/>
            <w:noWrap w:val="0"/>
            <w:vAlign w:val="center"/>
          </w:tcPr>
          <w:p w14:paraId="4D7D5B37">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生产厂家名称</w:t>
            </w:r>
          </w:p>
        </w:tc>
        <w:tc>
          <w:tcPr>
            <w:tcW w:w="358" w:type="pct"/>
            <w:noWrap w:val="0"/>
            <w:vAlign w:val="center"/>
          </w:tcPr>
          <w:p w14:paraId="35A1D8EF">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产地</w:t>
            </w:r>
          </w:p>
        </w:tc>
        <w:tc>
          <w:tcPr>
            <w:tcW w:w="419" w:type="pct"/>
            <w:noWrap w:val="0"/>
            <w:vAlign w:val="center"/>
          </w:tcPr>
          <w:p w14:paraId="4EF47F67">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数量</w:t>
            </w:r>
          </w:p>
        </w:tc>
        <w:tc>
          <w:tcPr>
            <w:tcW w:w="377" w:type="pct"/>
            <w:noWrap w:val="0"/>
            <w:vAlign w:val="center"/>
          </w:tcPr>
          <w:p w14:paraId="3D903B71">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单位</w:t>
            </w:r>
          </w:p>
        </w:tc>
        <w:tc>
          <w:tcPr>
            <w:tcW w:w="386" w:type="pct"/>
            <w:noWrap w:val="0"/>
            <w:vAlign w:val="center"/>
          </w:tcPr>
          <w:p w14:paraId="6F451E5B">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单价</w:t>
            </w:r>
          </w:p>
        </w:tc>
        <w:tc>
          <w:tcPr>
            <w:tcW w:w="383" w:type="pct"/>
            <w:noWrap w:val="0"/>
            <w:vAlign w:val="center"/>
          </w:tcPr>
          <w:p w14:paraId="07BC1B7D">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合价</w:t>
            </w:r>
          </w:p>
        </w:tc>
        <w:tc>
          <w:tcPr>
            <w:tcW w:w="371" w:type="pct"/>
            <w:noWrap w:val="0"/>
            <w:vAlign w:val="center"/>
          </w:tcPr>
          <w:p w14:paraId="24F9E78A">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备注</w:t>
            </w:r>
          </w:p>
        </w:tc>
      </w:tr>
      <w:tr w14:paraId="6AA0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pct"/>
            <w:vMerge w:val="restart"/>
            <w:noWrap w:val="0"/>
            <w:vAlign w:val="center"/>
          </w:tcPr>
          <w:p w14:paraId="07850606">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质保期外设备报价</w:t>
            </w:r>
          </w:p>
        </w:tc>
        <w:tc>
          <w:tcPr>
            <w:tcW w:w="465" w:type="pct"/>
            <w:noWrap w:val="0"/>
            <w:vAlign w:val="center"/>
          </w:tcPr>
          <w:p w14:paraId="12D29B16">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412" w:type="pct"/>
            <w:noWrap w:val="0"/>
            <w:vAlign w:val="center"/>
          </w:tcPr>
          <w:p w14:paraId="5D678223">
            <w:pPr>
              <w:spacing w:line="360" w:lineRule="auto"/>
              <w:jc w:val="center"/>
              <w:rPr>
                <w:rFonts w:hint="eastAsia" w:ascii="微软雅黑" w:hAnsi="微软雅黑" w:eastAsia="微软雅黑" w:cs="微软雅黑"/>
                <w:color w:val="auto"/>
                <w:sz w:val="21"/>
                <w:szCs w:val="21"/>
                <w:highlight w:val="none"/>
              </w:rPr>
            </w:pPr>
          </w:p>
        </w:tc>
        <w:tc>
          <w:tcPr>
            <w:tcW w:w="472" w:type="pct"/>
            <w:noWrap w:val="0"/>
            <w:vAlign w:val="center"/>
          </w:tcPr>
          <w:p w14:paraId="5B9916FA">
            <w:pPr>
              <w:spacing w:line="360" w:lineRule="auto"/>
              <w:jc w:val="center"/>
              <w:rPr>
                <w:rFonts w:hint="eastAsia" w:ascii="微软雅黑" w:hAnsi="微软雅黑" w:eastAsia="微软雅黑" w:cs="微软雅黑"/>
                <w:color w:val="auto"/>
                <w:sz w:val="21"/>
                <w:szCs w:val="21"/>
                <w:highlight w:val="none"/>
              </w:rPr>
            </w:pPr>
          </w:p>
        </w:tc>
        <w:tc>
          <w:tcPr>
            <w:tcW w:w="405" w:type="pct"/>
            <w:noWrap w:val="0"/>
            <w:vAlign w:val="center"/>
          </w:tcPr>
          <w:p w14:paraId="3D692D7B">
            <w:pPr>
              <w:spacing w:line="360" w:lineRule="auto"/>
              <w:jc w:val="center"/>
              <w:rPr>
                <w:rFonts w:hint="eastAsia" w:ascii="微软雅黑" w:hAnsi="微软雅黑" w:eastAsia="微软雅黑" w:cs="微软雅黑"/>
                <w:color w:val="auto"/>
                <w:sz w:val="21"/>
                <w:szCs w:val="21"/>
                <w:highlight w:val="none"/>
              </w:rPr>
            </w:pPr>
          </w:p>
        </w:tc>
        <w:tc>
          <w:tcPr>
            <w:tcW w:w="532" w:type="pct"/>
            <w:noWrap w:val="0"/>
            <w:vAlign w:val="center"/>
          </w:tcPr>
          <w:p w14:paraId="44760E5E">
            <w:pPr>
              <w:spacing w:line="360" w:lineRule="auto"/>
              <w:jc w:val="center"/>
              <w:rPr>
                <w:rFonts w:hint="eastAsia" w:ascii="微软雅黑" w:hAnsi="微软雅黑" w:eastAsia="微软雅黑" w:cs="微软雅黑"/>
                <w:color w:val="auto"/>
                <w:sz w:val="21"/>
                <w:szCs w:val="21"/>
                <w:highlight w:val="none"/>
              </w:rPr>
            </w:pPr>
          </w:p>
        </w:tc>
        <w:tc>
          <w:tcPr>
            <w:tcW w:w="358" w:type="pct"/>
            <w:noWrap w:val="0"/>
            <w:vAlign w:val="center"/>
          </w:tcPr>
          <w:p w14:paraId="316B79C2">
            <w:pPr>
              <w:spacing w:line="360" w:lineRule="auto"/>
              <w:jc w:val="center"/>
              <w:rPr>
                <w:rFonts w:hint="eastAsia" w:ascii="微软雅黑" w:hAnsi="微软雅黑" w:eastAsia="微软雅黑" w:cs="微软雅黑"/>
                <w:color w:val="auto"/>
                <w:sz w:val="21"/>
                <w:szCs w:val="21"/>
                <w:highlight w:val="none"/>
              </w:rPr>
            </w:pPr>
          </w:p>
        </w:tc>
        <w:tc>
          <w:tcPr>
            <w:tcW w:w="419" w:type="pct"/>
            <w:noWrap w:val="0"/>
            <w:vAlign w:val="center"/>
          </w:tcPr>
          <w:p w14:paraId="07D09929">
            <w:pPr>
              <w:spacing w:line="360" w:lineRule="auto"/>
              <w:jc w:val="center"/>
              <w:rPr>
                <w:rFonts w:hint="eastAsia" w:ascii="微软雅黑" w:hAnsi="微软雅黑" w:eastAsia="微软雅黑" w:cs="微软雅黑"/>
                <w:color w:val="auto"/>
                <w:sz w:val="21"/>
                <w:szCs w:val="21"/>
                <w:highlight w:val="none"/>
              </w:rPr>
            </w:pPr>
          </w:p>
        </w:tc>
        <w:tc>
          <w:tcPr>
            <w:tcW w:w="377" w:type="pct"/>
            <w:noWrap w:val="0"/>
            <w:vAlign w:val="center"/>
          </w:tcPr>
          <w:p w14:paraId="3F68838D">
            <w:pPr>
              <w:spacing w:line="360" w:lineRule="auto"/>
              <w:jc w:val="center"/>
              <w:rPr>
                <w:rFonts w:hint="eastAsia" w:ascii="微软雅黑" w:hAnsi="微软雅黑" w:eastAsia="微软雅黑" w:cs="微软雅黑"/>
                <w:color w:val="auto"/>
                <w:sz w:val="21"/>
                <w:szCs w:val="21"/>
                <w:highlight w:val="none"/>
              </w:rPr>
            </w:pPr>
          </w:p>
        </w:tc>
        <w:tc>
          <w:tcPr>
            <w:tcW w:w="386" w:type="pct"/>
            <w:noWrap w:val="0"/>
            <w:vAlign w:val="center"/>
          </w:tcPr>
          <w:p w14:paraId="76996D98">
            <w:pPr>
              <w:spacing w:line="360" w:lineRule="auto"/>
              <w:jc w:val="center"/>
              <w:rPr>
                <w:rFonts w:hint="eastAsia" w:ascii="微软雅黑" w:hAnsi="微软雅黑" w:eastAsia="微软雅黑" w:cs="微软雅黑"/>
                <w:color w:val="auto"/>
                <w:sz w:val="21"/>
                <w:szCs w:val="21"/>
                <w:highlight w:val="none"/>
              </w:rPr>
            </w:pPr>
          </w:p>
        </w:tc>
        <w:tc>
          <w:tcPr>
            <w:tcW w:w="383" w:type="pct"/>
            <w:noWrap w:val="0"/>
            <w:vAlign w:val="center"/>
          </w:tcPr>
          <w:p w14:paraId="79D532AE">
            <w:pPr>
              <w:spacing w:line="360" w:lineRule="auto"/>
              <w:jc w:val="center"/>
              <w:rPr>
                <w:rFonts w:hint="eastAsia" w:ascii="微软雅黑" w:hAnsi="微软雅黑" w:eastAsia="微软雅黑" w:cs="微软雅黑"/>
                <w:color w:val="auto"/>
                <w:sz w:val="21"/>
                <w:szCs w:val="21"/>
                <w:highlight w:val="none"/>
              </w:rPr>
            </w:pPr>
          </w:p>
        </w:tc>
        <w:tc>
          <w:tcPr>
            <w:tcW w:w="371" w:type="pct"/>
            <w:noWrap w:val="0"/>
            <w:vAlign w:val="center"/>
          </w:tcPr>
          <w:p w14:paraId="226E0C69">
            <w:pPr>
              <w:spacing w:line="360" w:lineRule="auto"/>
              <w:jc w:val="center"/>
              <w:rPr>
                <w:rFonts w:hint="eastAsia" w:ascii="微软雅黑" w:hAnsi="微软雅黑" w:eastAsia="微软雅黑" w:cs="微软雅黑"/>
                <w:color w:val="auto"/>
                <w:sz w:val="21"/>
                <w:szCs w:val="21"/>
                <w:highlight w:val="none"/>
              </w:rPr>
            </w:pPr>
          </w:p>
        </w:tc>
      </w:tr>
      <w:tr w14:paraId="463A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pct"/>
            <w:vMerge w:val="continue"/>
            <w:noWrap w:val="0"/>
            <w:vAlign w:val="center"/>
          </w:tcPr>
          <w:p w14:paraId="68321675">
            <w:pPr>
              <w:spacing w:line="360" w:lineRule="auto"/>
              <w:jc w:val="center"/>
              <w:rPr>
                <w:rFonts w:hint="eastAsia" w:ascii="微软雅黑" w:hAnsi="微软雅黑" w:eastAsia="微软雅黑" w:cs="微软雅黑"/>
                <w:color w:val="auto"/>
                <w:sz w:val="21"/>
                <w:szCs w:val="21"/>
                <w:highlight w:val="none"/>
              </w:rPr>
            </w:pPr>
          </w:p>
        </w:tc>
        <w:tc>
          <w:tcPr>
            <w:tcW w:w="465" w:type="pct"/>
            <w:noWrap w:val="0"/>
            <w:vAlign w:val="center"/>
          </w:tcPr>
          <w:p w14:paraId="71F076F6">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412" w:type="pct"/>
            <w:noWrap w:val="0"/>
            <w:vAlign w:val="center"/>
          </w:tcPr>
          <w:p w14:paraId="538513A2">
            <w:pPr>
              <w:spacing w:line="360" w:lineRule="auto"/>
              <w:jc w:val="center"/>
              <w:rPr>
                <w:rFonts w:hint="eastAsia" w:ascii="微软雅黑" w:hAnsi="微软雅黑" w:eastAsia="微软雅黑" w:cs="微软雅黑"/>
                <w:color w:val="auto"/>
                <w:sz w:val="21"/>
                <w:szCs w:val="21"/>
                <w:highlight w:val="none"/>
              </w:rPr>
            </w:pPr>
          </w:p>
        </w:tc>
        <w:tc>
          <w:tcPr>
            <w:tcW w:w="472" w:type="pct"/>
            <w:noWrap w:val="0"/>
            <w:vAlign w:val="center"/>
          </w:tcPr>
          <w:p w14:paraId="79958F9A">
            <w:pPr>
              <w:spacing w:line="360" w:lineRule="auto"/>
              <w:jc w:val="center"/>
              <w:rPr>
                <w:rFonts w:hint="eastAsia" w:ascii="微软雅黑" w:hAnsi="微软雅黑" w:eastAsia="微软雅黑" w:cs="微软雅黑"/>
                <w:color w:val="auto"/>
                <w:sz w:val="21"/>
                <w:szCs w:val="21"/>
                <w:highlight w:val="none"/>
              </w:rPr>
            </w:pPr>
          </w:p>
        </w:tc>
        <w:tc>
          <w:tcPr>
            <w:tcW w:w="405" w:type="pct"/>
            <w:noWrap w:val="0"/>
            <w:vAlign w:val="center"/>
          </w:tcPr>
          <w:p w14:paraId="2FC806FA">
            <w:pPr>
              <w:spacing w:line="360" w:lineRule="auto"/>
              <w:jc w:val="center"/>
              <w:rPr>
                <w:rFonts w:hint="eastAsia" w:ascii="微软雅黑" w:hAnsi="微软雅黑" w:eastAsia="微软雅黑" w:cs="微软雅黑"/>
                <w:color w:val="auto"/>
                <w:sz w:val="21"/>
                <w:szCs w:val="21"/>
                <w:highlight w:val="none"/>
              </w:rPr>
            </w:pPr>
          </w:p>
        </w:tc>
        <w:tc>
          <w:tcPr>
            <w:tcW w:w="532" w:type="pct"/>
            <w:noWrap w:val="0"/>
            <w:vAlign w:val="center"/>
          </w:tcPr>
          <w:p w14:paraId="4A9A6739">
            <w:pPr>
              <w:spacing w:line="360" w:lineRule="auto"/>
              <w:jc w:val="center"/>
              <w:rPr>
                <w:rFonts w:hint="eastAsia" w:ascii="微软雅黑" w:hAnsi="微软雅黑" w:eastAsia="微软雅黑" w:cs="微软雅黑"/>
                <w:color w:val="auto"/>
                <w:sz w:val="21"/>
                <w:szCs w:val="21"/>
                <w:highlight w:val="none"/>
              </w:rPr>
            </w:pPr>
          </w:p>
        </w:tc>
        <w:tc>
          <w:tcPr>
            <w:tcW w:w="358" w:type="pct"/>
            <w:noWrap w:val="0"/>
            <w:vAlign w:val="center"/>
          </w:tcPr>
          <w:p w14:paraId="207F32D7">
            <w:pPr>
              <w:spacing w:line="360" w:lineRule="auto"/>
              <w:jc w:val="center"/>
              <w:rPr>
                <w:rFonts w:hint="eastAsia" w:ascii="微软雅黑" w:hAnsi="微软雅黑" w:eastAsia="微软雅黑" w:cs="微软雅黑"/>
                <w:color w:val="auto"/>
                <w:sz w:val="21"/>
                <w:szCs w:val="21"/>
                <w:highlight w:val="none"/>
              </w:rPr>
            </w:pPr>
          </w:p>
        </w:tc>
        <w:tc>
          <w:tcPr>
            <w:tcW w:w="419" w:type="pct"/>
            <w:noWrap w:val="0"/>
            <w:vAlign w:val="center"/>
          </w:tcPr>
          <w:p w14:paraId="463B5A62">
            <w:pPr>
              <w:spacing w:line="360" w:lineRule="auto"/>
              <w:jc w:val="center"/>
              <w:rPr>
                <w:rFonts w:hint="eastAsia" w:ascii="微软雅黑" w:hAnsi="微软雅黑" w:eastAsia="微软雅黑" w:cs="微软雅黑"/>
                <w:color w:val="auto"/>
                <w:sz w:val="21"/>
                <w:szCs w:val="21"/>
                <w:highlight w:val="none"/>
              </w:rPr>
            </w:pPr>
          </w:p>
        </w:tc>
        <w:tc>
          <w:tcPr>
            <w:tcW w:w="377" w:type="pct"/>
            <w:noWrap w:val="0"/>
            <w:vAlign w:val="center"/>
          </w:tcPr>
          <w:p w14:paraId="48916480">
            <w:pPr>
              <w:spacing w:line="360" w:lineRule="auto"/>
              <w:jc w:val="center"/>
              <w:rPr>
                <w:rFonts w:hint="eastAsia" w:ascii="微软雅黑" w:hAnsi="微软雅黑" w:eastAsia="微软雅黑" w:cs="微软雅黑"/>
                <w:color w:val="auto"/>
                <w:sz w:val="21"/>
                <w:szCs w:val="21"/>
                <w:highlight w:val="none"/>
              </w:rPr>
            </w:pPr>
          </w:p>
        </w:tc>
        <w:tc>
          <w:tcPr>
            <w:tcW w:w="386" w:type="pct"/>
            <w:noWrap w:val="0"/>
            <w:vAlign w:val="center"/>
          </w:tcPr>
          <w:p w14:paraId="29C54DEB">
            <w:pPr>
              <w:spacing w:line="360" w:lineRule="auto"/>
              <w:jc w:val="center"/>
              <w:rPr>
                <w:rFonts w:hint="eastAsia" w:ascii="微软雅黑" w:hAnsi="微软雅黑" w:eastAsia="微软雅黑" w:cs="微软雅黑"/>
                <w:color w:val="auto"/>
                <w:sz w:val="21"/>
                <w:szCs w:val="21"/>
                <w:highlight w:val="none"/>
              </w:rPr>
            </w:pPr>
          </w:p>
        </w:tc>
        <w:tc>
          <w:tcPr>
            <w:tcW w:w="383" w:type="pct"/>
            <w:noWrap w:val="0"/>
            <w:vAlign w:val="center"/>
          </w:tcPr>
          <w:p w14:paraId="0B5B306C">
            <w:pPr>
              <w:spacing w:line="360" w:lineRule="auto"/>
              <w:jc w:val="center"/>
              <w:rPr>
                <w:rFonts w:hint="eastAsia" w:ascii="微软雅黑" w:hAnsi="微软雅黑" w:eastAsia="微软雅黑" w:cs="微软雅黑"/>
                <w:color w:val="auto"/>
                <w:sz w:val="21"/>
                <w:szCs w:val="21"/>
                <w:highlight w:val="none"/>
              </w:rPr>
            </w:pPr>
          </w:p>
        </w:tc>
        <w:tc>
          <w:tcPr>
            <w:tcW w:w="371" w:type="pct"/>
            <w:noWrap w:val="0"/>
            <w:vAlign w:val="center"/>
          </w:tcPr>
          <w:p w14:paraId="5F5C13A9">
            <w:pPr>
              <w:spacing w:line="360" w:lineRule="auto"/>
              <w:jc w:val="center"/>
              <w:rPr>
                <w:rFonts w:hint="eastAsia" w:ascii="微软雅黑" w:hAnsi="微软雅黑" w:eastAsia="微软雅黑" w:cs="微软雅黑"/>
                <w:color w:val="auto"/>
                <w:sz w:val="21"/>
                <w:szCs w:val="21"/>
                <w:highlight w:val="none"/>
              </w:rPr>
            </w:pPr>
          </w:p>
        </w:tc>
      </w:tr>
      <w:tr w14:paraId="398A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pct"/>
            <w:vMerge w:val="continue"/>
            <w:noWrap w:val="0"/>
            <w:vAlign w:val="center"/>
          </w:tcPr>
          <w:p w14:paraId="5E95A0C0">
            <w:pPr>
              <w:spacing w:line="360" w:lineRule="auto"/>
              <w:jc w:val="center"/>
              <w:rPr>
                <w:rFonts w:hint="eastAsia" w:ascii="微软雅黑" w:hAnsi="微软雅黑" w:eastAsia="微软雅黑" w:cs="微软雅黑"/>
                <w:color w:val="auto"/>
                <w:sz w:val="21"/>
                <w:szCs w:val="21"/>
                <w:highlight w:val="none"/>
              </w:rPr>
            </w:pPr>
          </w:p>
        </w:tc>
        <w:tc>
          <w:tcPr>
            <w:tcW w:w="465" w:type="pct"/>
            <w:noWrap w:val="0"/>
            <w:vAlign w:val="center"/>
          </w:tcPr>
          <w:p w14:paraId="26C06717">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tc>
        <w:tc>
          <w:tcPr>
            <w:tcW w:w="412" w:type="pct"/>
            <w:noWrap w:val="0"/>
            <w:vAlign w:val="center"/>
          </w:tcPr>
          <w:p w14:paraId="24EC0F98">
            <w:pPr>
              <w:spacing w:line="360" w:lineRule="auto"/>
              <w:jc w:val="center"/>
              <w:rPr>
                <w:rFonts w:hint="eastAsia" w:ascii="微软雅黑" w:hAnsi="微软雅黑" w:eastAsia="微软雅黑" w:cs="微软雅黑"/>
                <w:color w:val="auto"/>
                <w:sz w:val="21"/>
                <w:szCs w:val="21"/>
                <w:highlight w:val="none"/>
              </w:rPr>
            </w:pPr>
          </w:p>
        </w:tc>
        <w:tc>
          <w:tcPr>
            <w:tcW w:w="472" w:type="pct"/>
            <w:noWrap w:val="0"/>
            <w:vAlign w:val="center"/>
          </w:tcPr>
          <w:p w14:paraId="6A8FB953">
            <w:pPr>
              <w:spacing w:line="360" w:lineRule="auto"/>
              <w:jc w:val="center"/>
              <w:rPr>
                <w:rFonts w:hint="eastAsia" w:ascii="微软雅黑" w:hAnsi="微软雅黑" w:eastAsia="微软雅黑" w:cs="微软雅黑"/>
                <w:color w:val="auto"/>
                <w:sz w:val="21"/>
                <w:szCs w:val="21"/>
                <w:highlight w:val="none"/>
              </w:rPr>
            </w:pPr>
          </w:p>
        </w:tc>
        <w:tc>
          <w:tcPr>
            <w:tcW w:w="405" w:type="pct"/>
            <w:noWrap w:val="0"/>
            <w:vAlign w:val="center"/>
          </w:tcPr>
          <w:p w14:paraId="62617A2F">
            <w:pPr>
              <w:spacing w:line="360" w:lineRule="auto"/>
              <w:jc w:val="center"/>
              <w:rPr>
                <w:rFonts w:hint="eastAsia" w:ascii="微软雅黑" w:hAnsi="微软雅黑" w:eastAsia="微软雅黑" w:cs="微软雅黑"/>
                <w:color w:val="auto"/>
                <w:sz w:val="21"/>
                <w:szCs w:val="21"/>
                <w:highlight w:val="none"/>
              </w:rPr>
            </w:pPr>
          </w:p>
        </w:tc>
        <w:tc>
          <w:tcPr>
            <w:tcW w:w="532" w:type="pct"/>
            <w:noWrap w:val="0"/>
            <w:vAlign w:val="center"/>
          </w:tcPr>
          <w:p w14:paraId="585D9A29">
            <w:pPr>
              <w:spacing w:line="360" w:lineRule="auto"/>
              <w:jc w:val="center"/>
              <w:rPr>
                <w:rFonts w:hint="eastAsia" w:ascii="微软雅黑" w:hAnsi="微软雅黑" w:eastAsia="微软雅黑" w:cs="微软雅黑"/>
                <w:color w:val="auto"/>
                <w:sz w:val="21"/>
                <w:szCs w:val="21"/>
                <w:highlight w:val="none"/>
              </w:rPr>
            </w:pPr>
          </w:p>
        </w:tc>
        <w:tc>
          <w:tcPr>
            <w:tcW w:w="358" w:type="pct"/>
            <w:noWrap w:val="0"/>
            <w:vAlign w:val="center"/>
          </w:tcPr>
          <w:p w14:paraId="2719C5F9">
            <w:pPr>
              <w:spacing w:line="360" w:lineRule="auto"/>
              <w:jc w:val="center"/>
              <w:rPr>
                <w:rFonts w:hint="eastAsia" w:ascii="微软雅黑" w:hAnsi="微软雅黑" w:eastAsia="微软雅黑" w:cs="微软雅黑"/>
                <w:color w:val="auto"/>
                <w:sz w:val="21"/>
                <w:szCs w:val="21"/>
                <w:highlight w:val="none"/>
              </w:rPr>
            </w:pPr>
          </w:p>
        </w:tc>
        <w:tc>
          <w:tcPr>
            <w:tcW w:w="419" w:type="pct"/>
            <w:noWrap w:val="0"/>
            <w:vAlign w:val="center"/>
          </w:tcPr>
          <w:p w14:paraId="26C9163C">
            <w:pPr>
              <w:spacing w:line="360" w:lineRule="auto"/>
              <w:jc w:val="center"/>
              <w:rPr>
                <w:rFonts w:hint="eastAsia" w:ascii="微软雅黑" w:hAnsi="微软雅黑" w:eastAsia="微软雅黑" w:cs="微软雅黑"/>
                <w:color w:val="auto"/>
                <w:sz w:val="21"/>
                <w:szCs w:val="21"/>
                <w:highlight w:val="none"/>
              </w:rPr>
            </w:pPr>
          </w:p>
        </w:tc>
        <w:tc>
          <w:tcPr>
            <w:tcW w:w="377" w:type="pct"/>
            <w:noWrap w:val="0"/>
            <w:vAlign w:val="center"/>
          </w:tcPr>
          <w:p w14:paraId="7940B86F">
            <w:pPr>
              <w:spacing w:line="360" w:lineRule="auto"/>
              <w:jc w:val="center"/>
              <w:rPr>
                <w:rFonts w:hint="eastAsia" w:ascii="微软雅黑" w:hAnsi="微软雅黑" w:eastAsia="微软雅黑" w:cs="微软雅黑"/>
                <w:color w:val="auto"/>
                <w:sz w:val="21"/>
                <w:szCs w:val="21"/>
                <w:highlight w:val="none"/>
              </w:rPr>
            </w:pPr>
          </w:p>
        </w:tc>
        <w:tc>
          <w:tcPr>
            <w:tcW w:w="386" w:type="pct"/>
            <w:noWrap w:val="0"/>
            <w:vAlign w:val="center"/>
          </w:tcPr>
          <w:p w14:paraId="204F36DE">
            <w:pPr>
              <w:spacing w:line="360" w:lineRule="auto"/>
              <w:jc w:val="center"/>
              <w:rPr>
                <w:rFonts w:hint="eastAsia" w:ascii="微软雅黑" w:hAnsi="微软雅黑" w:eastAsia="微软雅黑" w:cs="微软雅黑"/>
                <w:color w:val="auto"/>
                <w:sz w:val="21"/>
                <w:szCs w:val="21"/>
                <w:highlight w:val="none"/>
              </w:rPr>
            </w:pPr>
          </w:p>
        </w:tc>
        <w:tc>
          <w:tcPr>
            <w:tcW w:w="383" w:type="pct"/>
            <w:noWrap w:val="0"/>
            <w:vAlign w:val="center"/>
          </w:tcPr>
          <w:p w14:paraId="09AFE954">
            <w:pPr>
              <w:spacing w:line="360" w:lineRule="auto"/>
              <w:jc w:val="center"/>
              <w:rPr>
                <w:rFonts w:hint="eastAsia" w:ascii="微软雅黑" w:hAnsi="微软雅黑" w:eastAsia="微软雅黑" w:cs="微软雅黑"/>
                <w:color w:val="auto"/>
                <w:sz w:val="21"/>
                <w:szCs w:val="21"/>
                <w:highlight w:val="none"/>
              </w:rPr>
            </w:pPr>
          </w:p>
        </w:tc>
        <w:tc>
          <w:tcPr>
            <w:tcW w:w="371" w:type="pct"/>
            <w:noWrap w:val="0"/>
            <w:vAlign w:val="center"/>
          </w:tcPr>
          <w:p w14:paraId="0A17A46D">
            <w:pPr>
              <w:spacing w:line="360" w:lineRule="auto"/>
              <w:jc w:val="center"/>
              <w:rPr>
                <w:rFonts w:hint="eastAsia" w:ascii="微软雅黑" w:hAnsi="微软雅黑" w:eastAsia="微软雅黑" w:cs="微软雅黑"/>
                <w:color w:val="auto"/>
                <w:sz w:val="21"/>
                <w:szCs w:val="21"/>
                <w:highlight w:val="none"/>
              </w:rPr>
            </w:pPr>
          </w:p>
        </w:tc>
      </w:tr>
      <w:tr w14:paraId="69D4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pct"/>
            <w:vMerge w:val="continue"/>
            <w:noWrap w:val="0"/>
            <w:vAlign w:val="center"/>
          </w:tcPr>
          <w:p w14:paraId="5D5569B6">
            <w:pPr>
              <w:spacing w:line="360" w:lineRule="auto"/>
              <w:jc w:val="center"/>
              <w:rPr>
                <w:rFonts w:hint="eastAsia" w:ascii="微软雅黑" w:hAnsi="微软雅黑" w:eastAsia="微软雅黑" w:cs="微软雅黑"/>
                <w:color w:val="auto"/>
                <w:sz w:val="21"/>
                <w:szCs w:val="21"/>
                <w:highlight w:val="none"/>
              </w:rPr>
            </w:pPr>
          </w:p>
        </w:tc>
        <w:tc>
          <w:tcPr>
            <w:tcW w:w="465" w:type="pct"/>
            <w:noWrap w:val="0"/>
            <w:vAlign w:val="center"/>
          </w:tcPr>
          <w:p w14:paraId="6223BAF5">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w:t>
            </w:r>
          </w:p>
        </w:tc>
        <w:tc>
          <w:tcPr>
            <w:tcW w:w="412" w:type="pct"/>
            <w:noWrap w:val="0"/>
            <w:vAlign w:val="center"/>
          </w:tcPr>
          <w:p w14:paraId="12FB3B3D">
            <w:pPr>
              <w:spacing w:line="360" w:lineRule="auto"/>
              <w:jc w:val="center"/>
              <w:rPr>
                <w:rFonts w:hint="eastAsia" w:ascii="微软雅黑" w:hAnsi="微软雅黑" w:eastAsia="微软雅黑" w:cs="微软雅黑"/>
                <w:color w:val="auto"/>
                <w:sz w:val="21"/>
                <w:szCs w:val="21"/>
                <w:highlight w:val="none"/>
              </w:rPr>
            </w:pPr>
          </w:p>
        </w:tc>
        <w:tc>
          <w:tcPr>
            <w:tcW w:w="472" w:type="pct"/>
            <w:noWrap w:val="0"/>
            <w:vAlign w:val="center"/>
          </w:tcPr>
          <w:p w14:paraId="513F144E">
            <w:pPr>
              <w:spacing w:line="360" w:lineRule="auto"/>
              <w:jc w:val="center"/>
              <w:rPr>
                <w:rFonts w:hint="eastAsia" w:ascii="微软雅黑" w:hAnsi="微软雅黑" w:eastAsia="微软雅黑" w:cs="微软雅黑"/>
                <w:color w:val="auto"/>
                <w:sz w:val="21"/>
                <w:szCs w:val="21"/>
                <w:highlight w:val="none"/>
              </w:rPr>
            </w:pPr>
          </w:p>
        </w:tc>
        <w:tc>
          <w:tcPr>
            <w:tcW w:w="405" w:type="pct"/>
            <w:noWrap w:val="0"/>
            <w:vAlign w:val="center"/>
          </w:tcPr>
          <w:p w14:paraId="6FE3C169">
            <w:pPr>
              <w:spacing w:line="360" w:lineRule="auto"/>
              <w:jc w:val="center"/>
              <w:rPr>
                <w:rFonts w:hint="eastAsia" w:ascii="微软雅黑" w:hAnsi="微软雅黑" w:eastAsia="微软雅黑" w:cs="微软雅黑"/>
                <w:color w:val="auto"/>
                <w:sz w:val="21"/>
                <w:szCs w:val="21"/>
                <w:highlight w:val="none"/>
              </w:rPr>
            </w:pPr>
          </w:p>
        </w:tc>
        <w:tc>
          <w:tcPr>
            <w:tcW w:w="532" w:type="pct"/>
            <w:noWrap w:val="0"/>
            <w:vAlign w:val="center"/>
          </w:tcPr>
          <w:p w14:paraId="4C3A98F4">
            <w:pPr>
              <w:spacing w:line="360" w:lineRule="auto"/>
              <w:jc w:val="center"/>
              <w:rPr>
                <w:rFonts w:hint="eastAsia" w:ascii="微软雅黑" w:hAnsi="微软雅黑" w:eastAsia="微软雅黑" w:cs="微软雅黑"/>
                <w:color w:val="auto"/>
                <w:sz w:val="21"/>
                <w:szCs w:val="21"/>
                <w:highlight w:val="none"/>
              </w:rPr>
            </w:pPr>
          </w:p>
        </w:tc>
        <w:tc>
          <w:tcPr>
            <w:tcW w:w="358" w:type="pct"/>
            <w:noWrap w:val="0"/>
            <w:vAlign w:val="center"/>
          </w:tcPr>
          <w:p w14:paraId="50AEAF87">
            <w:pPr>
              <w:spacing w:line="360" w:lineRule="auto"/>
              <w:jc w:val="center"/>
              <w:rPr>
                <w:rFonts w:hint="eastAsia" w:ascii="微软雅黑" w:hAnsi="微软雅黑" w:eastAsia="微软雅黑" w:cs="微软雅黑"/>
                <w:color w:val="auto"/>
                <w:sz w:val="21"/>
                <w:szCs w:val="21"/>
                <w:highlight w:val="none"/>
              </w:rPr>
            </w:pPr>
          </w:p>
        </w:tc>
        <w:tc>
          <w:tcPr>
            <w:tcW w:w="419" w:type="pct"/>
            <w:noWrap w:val="0"/>
            <w:vAlign w:val="center"/>
          </w:tcPr>
          <w:p w14:paraId="71E0322A">
            <w:pPr>
              <w:spacing w:line="360" w:lineRule="auto"/>
              <w:jc w:val="center"/>
              <w:rPr>
                <w:rFonts w:hint="eastAsia" w:ascii="微软雅黑" w:hAnsi="微软雅黑" w:eastAsia="微软雅黑" w:cs="微软雅黑"/>
                <w:color w:val="auto"/>
                <w:sz w:val="21"/>
                <w:szCs w:val="21"/>
                <w:highlight w:val="none"/>
              </w:rPr>
            </w:pPr>
          </w:p>
        </w:tc>
        <w:tc>
          <w:tcPr>
            <w:tcW w:w="377" w:type="pct"/>
            <w:noWrap w:val="0"/>
            <w:vAlign w:val="center"/>
          </w:tcPr>
          <w:p w14:paraId="488AF8E8">
            <w:pPr>
              <w:spacing w:line="360" w:lineRule="auto"/>
              <w:jc w:val="center"/>
              <w:rPr>
                <w:rFonts w:hint="eastAsia" w:ascii="微软雅黑" w:hAnsi="微软雅黑" w:eastAsia="微软雅黑" w:cs="微软雅黑"/>
                <w:color w:val="auto"/>
                <w:sz w:val="21"/>
                <w:szCs w:val="21"/>
                <w:highlight w:val="none"/>
              </w:rPr>
            </w:pPr>
          </w:p>
        </w:tc>
        <w:tc>
          <w:tcPr>
            <w:tcW w:w="386" w:type="pct"/>
            <w:noWrap w:val="0"/>
            <w:vAlign w:val="center"/>
          </w:tcPr>
          <w:p w14:paraId="7486873C">
            <w:pPr>
              <w:spacing w:line="360" w:lineRule="auto"/>
              <w:jc w:val="center"/>
              <w:rPr>
                <w:rFonts w:hint="eastAsia" w:ascii="微软雅黑" w:hAnsi="微软雅黑" w:eastAsia="微软雅黑" w:cs="微软雅黑"/>
                <w:color w:val="auto"/>
                <w:sz w:val="21"/>
                <w:szCs w:val="21"/>
                <w:highlight w:val="none"/>
              </w:rPr>
            </w:pPr>
          </w:p>
        </w:tc>
        <w:tc>
          <w:tcPr>
            <w:tcW w:w="383" w:type="pct"/>
            <w:noWrap w:val="0"/>
            <w:vAlign w:val="center"/>
          </w:tcPr>
          <w:p w14:paraId="536DA480">
            <w:pPr>
              <w:spacing w:line="360" w:lineRule="auto"/>
              <w:jc w:val="center"/>
              <w:rPr>
                <w:rFonts w:hint="eastAsia" w:ascii="微软雅黑" w:hAnsi="微软雅黑" w:eastAsia="微软雅黑" w:cs="微软雅黑"/>
                <w:color w:val="auto"/>
                <w:sz w:val="21"/>
                <w:szCs w:val="21"/>
                <w:highlight w:val="none"/>
              </w:rPr>
            </w:pPr>
          </w:p>
        </w:tc>
        <w:tc>
          <w:tcPr>
            <w:tcW w:w="371" w:type="pct"/>
            <w:noWrap w:val="0"/>
            <w:vAlign w:val="center"/>
          </w:tcPr>
          <w:p w14:paraId="380CFEAC">
            <w:pPr>
              <w:spacing w:line="360" w:lineRule="auto"/>
              <w:jc w:val="center"/>
              <w:rPr>
                <w:rFonts w:hint="eastAsia" w:ascii="微软雅黑" w:hAnsi="微软雅黑" w:eastAsia="微软雅黑" w:cs="微软雅黑"/>
                <w:color w:val="auto"/>
                <w:sz w:val="21"/>
                <w:szCs w:val="21"/>
                <w:highlight w:val="none"/>
              </w:rPr>
            </w:pPr>
          </w:p>
        </w:tc>
      </w:tr>
      <w:tr w14:paraId="36C9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pct"/>
            <w:noWrap w:val="0"/>
            <w:vAlign w:val="center"/>
          </w:tcPr>
          <w:p w14:paraId="1BB0396B">
            <w:pPr>
              <w:spacing w:line="360" w:lineRule="auto"/>
              <w:jc w:val="center"/>
              <w:rPr>
                <w:rFonts w:hint="eastAsia" w:ascii="微软雅黑" w:hAnsi="微软雅黑" w:eastAsia="微软雅黑" w:cs="微软雅黑"/>
                <w:color w:val="auto"/>
                <w:sz w:val="21"/>
                <w:szCs w:val="21"/>
                <w:highlight w:val="none"/>
              </w:rPr>
            </w:pPr>
          </w:p>
        </w:tc>
        <w:tc>
          <w:tcPr>
            <w:tcW w:w="4584" w:type="pct"/>
            <w:gridSpan w:val="11"/>
            <w:noWrap w:val="0"/>
            <w:vAlign w:val="center"/>
          </w:tcPr>
          <w:p w14:paraId="2909CC08">
            <w:pPr>
              <w:spacing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合计总价：</w:t>
            </w:r>
          </w:p>
        </w:tc>
      </w:tr>
      <w:tr w14:paraId="2F80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pct"/>
            <w:vMerge w:val="restart"/>
            <w:noWrap w:val="0"/>
            <w:vAlign w:val="center"/>
          </w:tcPr>
          <w:p w14:paraId="03A412D0">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质保期内免费设备</w:t>
            </w:r>
          </w:p>
        </w:tc>
        <w:tc>
          <w:tcPr>
            <w:tcW w:w="465" w:type="pct"/>
            <w:noWrap w:val="0"/>
            <w:vAlign w:val="center"/>
          </w:tcPr>
          <w:p w14:paraId="3C2FBA29">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w:t>
            </w:r>
          </w:p>
        </w:tc>
        <w:tc>
          <w:tcPr>
            <w:tcW w:w="412" w:type="pct"/>
            <w:noWrap w:val="0"/>
            <w:vAlign w:val="center"/>
          </w:tcPr>
          <w:p w14:paraId="3AA90CCC">
            <w:pPr>
              <w:spacing w:line="360" w:lineRule="auto"/>
              <w:jc w:val="center"/>
              <w:rPr>
                <w:rFonts w:hint="eastAsia" w:ascii="微软雅黑" w:hAnsi="微软雅黑" w:eastAsia="微软雅黑" w:cs="微软雅黑"/>
                <w:color w:val="auto"/>
                <w:sz w:val="21"/>
                <w:szCs w:val="21"/>
                <w:highlight w:val="none"/>
              </w:rPr>
            </w:pPr>
          </w:p>
        </w:tc>
        <w:tc>
          <w:tcPr>
            <w:tcW w:w="472" w:type="pct"/>
            <w:noWrap w:val="0"/>
            <w:vAlign w:val="center"/>
          </w:tcPr>
          <w:p w14:paraId="2F772093">
            <w:pPr>
              <w:spacing w:line="360" w:lineRule="auto"/>
              <w:jc w:val="center"/>
              <w:rPr>
                <w:rFonts w:hint="eastAsia" w:ascii="微软雅黑" w:hAnsi="微软雅黑" w:eastAsia="微软雅黑" w:cs="微软雅黑"/>
                <w:color w:val="auto"/>
                <w:sz w:val="21"/>
                <w:szCs w:val="21"/>
                <w:highlight w:val="none"/>
              </w:rPr>
            </w:pPr>
          </w:p>
        </w:tc>
        <w:tc>
          <w:tcPr>
            <w:tcW w:w="405" w:type="pct"/>
            <w:noWrap w:val="0"/>
            <w:vAlign w:val="center"/>
          </w:tcPr>
          <w:p w14:paraId="0E5677C5">
            <w:pPr>
              <w:spacing w:line="360" w:lineRule="auto"/>
              <w:jc w:val="center"/>
              <w:rPr>
                <w:rFonts w:hint="eastAsia" w:ascii="微软雅黑" w:hAnsi="微软雅黑" w:eastAsia="微软雅黑" w:cs="微软雅黑"/>
                <w:color w:val="auto"/>
                <w:sz w:val="21"/>
                <w:szCs w:val="21"/>
                <w:highlight w:val="none"/>
              </w:rPr>
            </w:pPr>
          </w:p>
        </w:tc>
        <w:tc>
          <w:tcPr>
            <w:tcW w:w="532" w:type="pct"/>
            <w:noWrap w:val="0"/>
            <w:vAlign w:val="center"/>
          </w:tcPr>
          <w:p w14:paraId="1FA1792F">
            <w:pPr>
              <w:spacing w:line="360" w:lineRule="auto"/>
              <w:jc w:val="center"/>
              <w:rPr>
                <w:rFonts w:hint="eastAsia" w:ascii="微软雅黑" w:hAnsi="微软雅黑" w:eastAsia="微软雅黑" w:cs="微软雅黑"/>
                <w:color w:val="auto"/>
                <w:sz w:val="21"/>
                <w:szCs w:val="21"/>
                <w:highlight w:val="none"/>
              </w:rPr>
            </w:pPr>
          </w:p>
        </w:tc>
        <w:tc>
          <w:tcPr>
            <w:tcW w:w="358" w:type="pct"/>
            <w:noWrap w:val="0"/>
            <w:vAlign w:val="center"/>
          </w:tcPr>
          <w:p w14:paraId="59790271">
            <w:pPr>
              <w:spacing w:line="360" w:lineRule="auto"/>
              <w:jc w:val="center"/>
              <w:rPr>
                <w:rFonts w:hint="eastAsia" w:ascii="微软雅黑" w:hAnsi="微软雅黑" w:eastAsia="微软雅黑" w:cs="微软雅黑"/>
                <w:color w:val="auto"/>
                <w:sz w:val="21"/>
                <w:szCs w:val="21"/>
                <w:highlight w:val="none"/>
              </w:rPr>
            </w:pPr>
          </w:p>
        </w:tc>
        <w:tc>
          <w:tcPr>
            <w:tcW w:w="419" w:type="pct"/>
            <w:noWrap w:val="0"/>
            <w:vAlign w:val="center"/>
          </w:tcPr>
          <w:p w14:paraId="008E7E77">
            <w:pPr>
              <w:spacing w:line="360" w:lineRule="auto"/>
              <w:jc w:val="center"/>
              <w:rPr>
                <w:rFonts w:hint="eastAsia" w:ascii="微软雅黑" w:hAnsi="微软雅黑" w:eastAsia="微软雅黑" w:cs="微软雅黑"/>
                <w:color w:val="auto"/>
                <w:sz w:val="21"/>
                <w:szCs w:val="21"/>
                <w:highlight w:val="none"/>
              </w:rPr>
            </w:pPr>
          </w:p>
        </w:tc>
        <w:tc>
          <w:tcPr>
            <w:tcW w:w="377" w:type="pct"/>
            <w:vMerge w:val="restart"/>
            <w:noWrap w:val="0"/>
            <w:vAlign w:val="center"/>
          </w:tcPr>
          <w:p w14:paraId="3BEF08DD">
            <w:pPr>
              <w:spacing w:line="360" w:lineRule="auto"/>
              <w:jc w:val="center"/>
              <w:rPr>
                <w:rFonts w:hint="eastAsia" w:ascii="微软雅黑" w:hAnsi="微软雅黑" w:eastAsia="微软雅黑" w:cs="微软雅黑"/>
                <w:color w:val="auto"/>
                <w:sz w:val="21"/>
                <w:szCs w:val="21"/>
                <w:highlight w:val="none"/>
              </w:rPr>
            </w:pPr>
          </w:p>
        </w:tc>
        <w:tc>
          <w:tcPr>
            <w:tcW w:w="386" w:type="pct"/>
            <w:noWrap w:val="0"/>
            <w:vAlign w:val="center"/>
          </w:tcPr>
          <w:p w14:paraId="47BE7CC3">
            <w:pPr>
              <w:spacing w:line="360" w:lineRule="auto"/>
              <w:jc w:val="center"/>
              <w:rPr>
                <w:rFonts w:hint="eastAsia" w:ascii="微软雅黑" w:hAnsi="微软雅黑" w:eastAsia="微软雅黑" w:cs="微软雅黑"/>
                <w:color w:val="auto"/>
                <w:sz w:val="21"/>
                <w:szCs w:val="21"/>
                <w:highlight w:val="none"/>
              </w:rPr>
            </w:pPr>
          </w:p>
        </w:tc>
        <w:tc>
          <w:tcPr>
            <w:tcW w:w="383" w:type="pct"/>
            <w:noWrap w:val="0"/>
            <w:vAlign w:val="center"/>
          </w:tcPr>
          <w:p w14:paraId="0EA72066">
            <w:pPr>
              <w:spacing w:line="360" w:lineRule="auto"/>
              <w:jc w:val="center"/>
              <w:rPr>
                <w:rFonts w:hint="eastAsia" w:ascii="微软雅黑" w:hAnsi="微软雅黑" w:eastAsia="微软雅黑" w:cs="微软雅黑"/>
                <w:color w:val="auto"/>
                <w:sz w:val="21"/>
                <w:szCs w:val="21"/>
                <w:highlight w:val="none"/>
              </w:rPr>
            </w:pPr>
          </w:p>
        </w:tc>
        <w:tc>
          <w:tcPr>
            <w:tcW w:w="371" w:type="pct"/>
            <w:noWrap w:val="0"/>
            <w:vAlign w:val="center"/>
          </w:tcPr>
          <w:p w14:paraId="0F57E0D6">
            <w:pPr>
              <w:spacing w:line="360" w:lineRule="auto"/>
              <w:jc w:val="center"/>
              <w:rPr>
                <w:rFonts w:hint="eastAsia" w:ascii="微软雅黑" w:hAnsi="微软雅黑" w:eastAsia="微软雅黑" w:cs="微软雅黑"/>
                <w:color w:val="auto"/>
                <w:sz w:val="21"/>
                <w:szCs w:val="21"/>
                <w:highlight w:val="none"/>
              </w:rPr>
            </w:pPr>
          </w:p>
        </w:tc>
      </w:tr>
      <w:tr w14:paraId="12F7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pct"/>
            <w:vMerge w:val="continue"/>
            <w:noWrap w:val="0"/>
            <w:vAlign w:val="center"/>
          </w:tcPr>
          <w:p w14:paraId="046ABEC2">
            <w:pPr>
              <w:spacing w:line="360" w:lineRule="auto"/>
              <w:jc w:val="center"/>
              <w:rPr>
                <w:rFonts w:hint="eastAsia" w:ascii="微软雅黑" w:hAnsi="微软雅黑" w:eastAsia="微软雅黑" w:cs="微软雅黑"/>
                <w:color w:val="auto"/>
                <w:sz w:val="21"/>
                <w:szCs w:val="21"/>
                <w:highlight w:val="none"/>
              </w:rPr>
            </w:pPr>
          </w:p>
        </w:tc>
        <w:tc>
          <w:tcPr>
            <w:tcW w:w="465" w:type="pct"/>
            <w:noWrap w:val="0"/>
            <w:vAlign w:val="center"/>
          </w:tcPr>
          <w:p w14:paraId="2D7D7CA9">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w:t>
            </w:r>
          </w:p>
        </w:tc>
        <w:tc>
          <w:tcPr>
            <w:tcW w:w="412" w:type="pct"/>
            <w:noWrap w:val="0"/>
            <w:vAlign w:val="center"/>
          </w:tcPr>
          <w:p w14:paraId="282966C7">
            <w:pPr>
              <w:spacing w:line="360" w:lineRule="auto"/>
              <w:jc w:val="center"/>
              <w:rPr>
                <w:rFonts w:hint="eastAsia" w:ascii="微软雅黑" w:hAnsi="微软雅黑" w:eastAsia="微软雅黑" w:cs="微软雅黑"/>
                <w:color w:val="auto"/>
                <w:sz w:val="21"/>
                <w:szCs w:val="21"/>
                <w:highlight w:val="none"/>
              </w:rPr>
            </w:pPr>
          </w:p>
        </w:tc>
        <w:tc>
          <w:tcPr>
            <w:tcW w:w="472" w:type="pct"/>
            <w:noWrap w:val="0"/>
            <w:vAlign w:val="center"/>
          </w:tcPr>
          <w:p w14:paraId="4EA8E79E">
            <w:pPr>
              <w:spacing w:line="360" w:lineRule="auto"/>
              <w:jc w:val="center"/>
              <w:rPr>
                <w:rFonts w:hint="eastAsia" w:ascii="微软雅黑" w:hAnsi="微软雅黑" w:eastAsia="微软雅黑" w:cs="微软雅黑"/>
                <w:color w:val="auto"/>
                <w:sz w:val="21"/>
                <w:szCs w:val="21"/>
                <w:highlight w:val="none"/>
              </w:rPr>
            </w:pPr>
          </w:p>
        </w:tc>
        <w:tc>
          <w:tcPr>
            <w:tcW w:w="405" w:type="pct"/>
            <w:noWrap w:val="0"/>
            <w:vAlign w:val="center"/>
          </w:tcPr>
          <w:p w14:paraId="2C7E659A">
            <w:pPr>
              <w:spacing w:line="360" w:lineRule="auto"/>
              <w:jc w:val="center"/>
              <w:rPr>
                <w:rFonts w:hint="eastAsia" w:ascii="微软雅黑" w:hAnsi="微软雅黑" w:eastAsia="微软雅黑" w:cs="微软雅黑"/>
                <w:color w:val="auto"/>
                <w:sz w:val="21"/>
                <w:szCs w:val="21"/>
                <w:highlight w:val="none"/>
              </w:rPr>
            </w:pPr>
          </w:p>
        </w:tc>
        <w:tc>
          <w:tcPr>
            <w:tcW w:w="532" w:type="pct"/>
            <w:noWrap w:val="0"/>
            <w:vAlign w:val="center"/>
          </w:tcPr>
          <w:p w14:paraId="4FEF3B68">
            <w:pPr>
              <w:spacing w:line="360" w:lineRule="auto"/>
              <w:jc w:val="center"/>
              <w:rPr>
                <w:rFonts w:hint="eastAsia" w:ascii="微软雅黑" w:hAnsi="微软雅黑" w:eastAsia="微软雅黑" w:cs="微软雅黑"/>
                <w:color w:val="auto"/>
                <w:sz w:val="21"/>
                <w:szCs w:val="21"/>
                <w:highlight w:val="none"/>
              </w:rPr>
            </w:pPr>
          </w:p>
        </w:tc>
        <w:tc>
          <w:tcPr>
            <w:tcW w:w="358" w:type="pct"/>
            <w:noWrap w:val="0"/>
            <w:vAlign w:val="center"/>
          </w:tcPr>
          <w:p w14:paraId="151CB8B6">
            <w:pPr>
              <w:spacing w:line="360" w:lineRule="auto"/>
              <w:jc w:val="center"/>
              <w:rPr>
                <w:rFonts w:hint="eastAsia" w:ascii="微软雅黑" w:hAnsi="微软雅黑" w:eastAsia="微软雅黑" w:cs="微软雅黑"/>
                <w:color w:val="auto"/>
                <w:sz w:val="21"/>
                <w:szCs w:val="21"/>
                <w:highlight w:val="none"/>
              </w:rPr>
            </w:pPr>
          </w:p>
        </w:tc>
        <w:tc>
          <w:tcPr>
            <w:tcW w:w="419" w:type="pct"/>
            <w:noWrap w:val="0"/>
            <w:vAlign w:val="center"/>
          </w:tcPr>
          <w:p w14:paraId="3BE3F726">
            <w:pPr>
              <w:spacing w:line="360" w:lineRule="auto"/>
              <w:jc w:val="center"/>
              <w:rPr>
                <w:rFonts w:hint="eastAsia" w:ascii="微软雅黑" w:hAnsi="微软雅黑" w:eastAsia="微软雅黑" w:cs="微软雅黑"/>
                <w:color w:val="auto"/>
                <w:sz w:val="21"/>
                <w:szCs w:val="21"/>
                <w:highlight w:val="none"/>
              </w:rPr>
            </w:pPr>
          </w:p>
        </w:tc>
        <w:tc>
          <w:tcPr>
            <w:tcW w:w="377" w:type="pct"/>
            <w:vMerge w:val="continue"/>
            <w:noWrap w:val="0"/>
            <w:vAlign w:val="center"/>
          </w:tcPr>
          <w:p w14:paraId="452B6F33">
            <w:pPr>
              <w:spacing w:line="360" w:lineRule="auto"/>
              <w:jc w:val="center"/>
              <w:rPr>
                <w:rFonts w:hint="eastAsia" w:ascii="微软雅黑" w:hAnsi="微软雅黑" w:eastAsia="微软雅黑" w:cs="微软雅黑"/>
                <w:color w:val="auto"/>
                <w:sz w:val="21"/>
                <w:szCs w:val="21"/>
                <w:highlight w:val="none"/>
              </w:rPr>
            </w:pPr>
          </w:p>
        </w:tc>
        <w:tc>
          <w:tcPr>
            <w:tcW w:w="386" w:type="pct"/>
            <w:noWrap w:val="0"/>
            <w:vAlign w:val="center"/>
          </w:tcPr>
          <w:p w14:paraId="512EA057">
            <w:pPr>
              <w:spacing w:line="360" w:lineRule="auto"/>
              <w:jc w:val="center"/>
              <w:rPr>
                <w:rFonts w:hint="eastAsia" w:ascii="微软雅黑" w:hAnsi="微软雅黑" w:eastAsia="微软雅黑" w:cs="微软雅黑"/>
                <w:color w:val="auto"/>
                <w:sz w:val="21"/>
                <w:szCs w:val="21"/>
                <w:highlight w:val="none"/>
              </w:rPr>
            </w:pPr>
          </w:p>
        </w:tc>
        <w:tc>
          <w:tcPr>
            <w:tcW w:w="383" w:type="pct"/>
            <w:noWrap w:val="0"/>
            <w:vAlign w:val="center"/>
          </w:tcPr>
          <w:p w14:paraId="7DB466E2">
            <w:pPr>
              <w:spacing w:line="360" w:lineRule="auto"/>
              <w:jc w:val="center"/>
              <w:rPr>
                <w:rFonts w:hint="eastAsia" w:ascii="微软雅黑" w:hAnsi="微软雅黑" w:eastAsia="微软雅黑" w:cs="微软雅黑"/>
                <w:color w:val="auto"/>
                <w:sz w:val="21"/>
                <w:szCs w:val="21"/>
                <w:highlight w:val="none"/>
              </w:rPr>
            </w:pPr>
          </w:p>
        </w:tc>
        <w:tc>
          <w:tcPr>
            <w:tcW w:w="371" w:type="pct"/>
            <w:noWrap w:val="0"/>
            <w:vAlign w:val="center"/>
          </w:tcPr>
          <w:p w14:paraId="3C61F02A">
            <w:pPr>
              <w:spacing w:line="360" w:lineRule="auto"/>
              <w:jc w:val="center"/>
              <w:rPr>
                <w:rFonts w:hint="eastAsia" w:ascii="微软雅黑" w:hAnsi="微软雅黑" w:eastAsia="微软雅黑" w:cs="微软雅黑"/>
                <w:color w:val="auto"/>
                <w:sz w:val="21"/>
                <w:szCs w:val="21"/>
                <w:highlight w:val="none"/>
              </w:rPr>
            </w:pPr>
          </w:p>
        </w:tc>
      </w:tr>
      <w:tr w14:paraId="3B9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pct"/>
            <w:vMerge w:val="continue"/>
            <w:noWrap w:val="0"/>
            <w:vAlign w:val="center"/>
          </w:tcPr>
          <w:p w14:paraId="7D458942">
            <w:pPr>
              <w:spacing w:line="360" w:lineRule="auto"/>
              <w:jc w:val="center"/>
              <w:rPr>
                <w:rFonts w:hint="eastAsia" w:ascii="微软雅黑" w:hAnsi="微软雅黑" w:eastAsia="微软雅黑" w:cs="微软雅黑"/>
                <w:color w:val="auto"/>
                <w:sz w:val="21"/>
                <w:szCs w:val="21"/>
                <w:highlight w:val="none"/>
              </w:rPr>
            </w:pPr>
          </w:p>
        </w:tc>
        <w:tc>
          <w:tcPr>
            <w:tcW w:w="465" w:type="pct"/>
            <w:noWrap w:val="0"/>
            <w:vAlign w:val="center"/>
          </w:tcPr>
          <w:p w14:paraId="37DBFDD6">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8</w:t>
            </w:r>
          </w:p>
        </w:tc>
        <w:tc>
          <w:tcPr>
            <w:tcW w:w="412" w:type="pct"/>
            <w:noWrap w:val="0"/>
            <w:vAlign w:val="center"/>
          </w:tcPr>
          <w:p w14:paraId="280FD854">
            <w:pPr>
              <w:spacing w:line="360" w:lineRule="auto"/>
              <w:jc w:val="center"/>
              <w:rPr>
                <w:rFonts w:hint="eastAsia" w:ascii="微软雅黑" w:hAnsi="微软雅黑" w:eastAsia="微软雅黑" w:cs="微软雅黑"/>
                <w:color w:val="auto"/>
                <w:sz w:val="21"/>
                <w:szCs w:val="21"/>
                <w:highlight w:val="none"/>
              </w:rPr>
            </w:pPr>
          </w:p>
        </w:tc>
        <w:tc>
          <w:tcPr>
            <w:tcW w:w="472" w:type="pct"/>
            <w:noWrap w:val="0"/>
            <w:vAlign w:val="center"/>
          </w:tcPr>
          <w:p w14:paraId="56673B38">
            <w:pPr>
              <w:spacing w:line="360" w:lineRule="auto"/>
              <w:jc w:val="center"/>
              <w:rPr>
                <w:rFonts w:hint="eastAsia" w:ascii="微软雅黑" w:hAnsi="微软雅黑" w:eastAsia="微软雅黑" w:cs="微软雅黑"/>
                <w:color w:val="auto"/>
                <w:sz w:val="21"/>
                <w:szCs w:val="21"/>
                <w:highlight w:val="none"/>
              </w:rPr>
            </w:pPr>
          </w:p>
        </w:tc>
        <w:tc>
          <w:tcPr>
            <w:tcW w:w="405" w:type="pct"/>
            <w:noWrap w:val="0"/>
            <w:vAlign w:val="center"/>
          </w:tcPr>
          <w:p w14:paraId="26CBC80E">
            <w:pPr>
              <w:spacing w:line="360" w:lineRule="auto"/>
              <w:jc w:val="center"/>
              <w:rPr>
                <w:rFonts w:hint="eastAsia" w:ascii="微软雅黑" w:hAnsi="微软雅黑" w:eastAsia="微软雅黑" w:cs="微软雅黑"/>
                <w:color w:val="auto"/>
                <w:sz w:val="21"/>
                <w:szCs w:val="21"/>
                <w:highlight w:val="none"/>
              </w:rPr>
            </w:pPr>
          </w:p>
        </w:tc>
        <w:tc>
          <w:tcPr>
            <w:tcW w:w="532" w:type="pct"/>
            <w:noWrap w:val="0"/>
            <w:vAlign w:val="center"/>
          </w:tcPr>
          <w:p w14:paraId="6A264A4E">
            <w:pPr>
              <w:spacing w:line="360" w:lineRule="auto"/>
              <w:jc w:val="center"/>
              <w:rPr>
                <w:rFonts w:hint="eastAsia" w:ascii="微软雅黑" w:hAnsi="微软雅黑" w:eastAsia="微软雅黑" w:cs="微软雅黑"/>
                <w:color w:val="auto"/>
                <w:sz w:val="21"/>
                <w:szCs w:val="21"/>
                <w:highlight w:val="none"/>
              </w:rPr>
            </w:pPr>
          </w:p>
        </w:tc>
        <w:tc>
          <w:tcPr>
            <w:tcW w:w="358" w:type="pct"/>
            <w:noWrap w:val="0"/>
            <w:vAlign w:val="center"/>
          </w:tcPr>
          <w:p w14:paraId="162A1EE1">
            <w:pPr>
              <w:spacing w:line="360" w:lineRule="auto"/>
              <w:jc w:val="center"/>
              <w:rPr>
                <w:rFonts w:hint="eastAsia" w:ascii="微软雅黑" w:hAnsi="微软雅黑" w:eastAsia="微软雅黑" w:cs="微软雅黑"/>
                <w:color w:val="auto"/>
                <w:sz w:val="21"/>
                <w:szCs w:val="21"/>
                <w:highlight w:val="none"/>
              </w:rPr>
            </w:pPr>
          </w:p>
        </w:tc>
        <w:tc>
          <w:tcPr>
            <w:tcW w:w="419" w:type="pct"/>
            <w:noWrap w:val="0"/>
            <w:vAlign w:val="center"/>
          </w:tcPr>
          <w:p w14:paraId="3FD8BB75">
            <w:pPr>
              <w:spacing w:line="360" w:lineRule="auto"/>
              <w:jc w:val="center"/>
              <w:rPr>
                <w:rFonts w:hint="eastAsia" w:ascii="微软雅黑" w:hAnsi="微软雅黑" w:eastAsia="微软雅黑" w:cs="微软雅黑"/>
                <w:color w:val="auto"/>
                <w:sz w:val="21"/>
                <w:szCs w:val="21"/>
                <w:highlight w:val="none"/>
              </w:rPr>
            </w:pPr>
          </w:p>
        </w:tc>
        <w:tc>
          <w:tcPr>
            <w:tcW w:w="377" w:type="pct"/>
            <w:vMerge w:val="continue"/>
            <w:noWrap w:val="0"/>
            <w:vAlign w:val="center"/>
          </w:tcPr>
          <w:p w14:paraId="7931D242">
            <w:pPr>
              <w:spacing w:line="360" w:lineRule="auto"/>
              <w:jc w:val="center"/>
              <w:rPr>
                <w:rFonts w:hint="eastAsia" w:ascii="微软雅黑" w:hAnsi="微软雅黑" w:eastAsia="微软雅黑" w:cs="微软雅黑"/>
                <w:color w:val="auto"/>
                <w:sz w:val="21"/>
                <w:szCs w:val="21"/>
                <w:highlight w:val="none"/>
              </w:rPr>
            </w:pPr>
          </w:p>
        </w:tc>
        <w:tc>
          <w:tcPr>
            <w:tcW w:w="386" w:type="pct"/>
            <w:noWrap w:val="0"/>
            <w:vAlign w:val="center"/>
          </w:tcPr>
          <w:p w14:paraId="1DF90ADD">
            <w:pPr>
              <w:spacing w:line="360" w:lineRule="auto"/>
              <w:jc w:val="center"/>
              <w:rPr>
                <w:rFonts w:hint="eastAsia" w:ascii="微软雅黑" w:hAnsi="微软雅黑" w:eastAsia="微软雅黑" w:cs="微软雅黑"/>
                <w:color w:val="auto"/>
                <w:sz w:val="21"/>
                <w:szCs w:val="21"/>
                <w:highlight w:val="none"/>
              </w:rPr>
            </w:pPr>
          </w:p>
        </w:tc>
        <w:tc>
          <w:tcPr>
            <w:tcW w:w="383" w:type="pct"/>
            <w:noWrap w:val="0"/>
            <w:vAlign w:val="center"/>
          </w:tcPr>
          <w:p w14:paraId="4822705A">
            <w:pPr>
              <w:spacing w:line="360" w:lineRule="auto"/>
              <w:jc w:val="center"/>
              <w:rPr>
                <w:rFonts w:hint="eastAsia" w:ascii="微软雅黑" w:hAnsi="微软雅黑" w:eastAsia="微软雅黑" w:cs="微软雅黑"/>
                <w:color w:val="auto"/>
                <w:sz w:val="21"/>
                <w:szCs w:val="21"/>
                <w:highlight w:val="none"/>
              </w:rPr>
            </w:pPr>
          </w:p>
        </w:tc>
        <w:tc>
          <w:tcPr>
            <w:tcW w:w="371" w:type="pct"/>
            <w:noWrap w:val="0"/>
            <w:vAlign w:val="center"/>
          </w:tcPr>
          <w:p w14:paraId="28FB5855">
            <w:pPr>
              <w:spacing w:line="360" w:lineRule="auto"/>
              <w:jc w:val="center"/>
              <w:rPr>
                <w:rFonts w:hint="eastAsia" w:ascii="微软雅黑" w:hAnsi="微软雅黑" w:eastAsia="微软雅黑" w:cs="微软雅黑"/>
                <w:color w:val="auto"/>
                <w:sz w:val="21"/>
                <w:szCs w:val="21"/>
                <w:highlight w:val="none"/>
              </w:rPr>
            </w:pPr>
          </w:p>
        </w:tc>
      </w:tr>
      <w:tr w14:paraId="5176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pct"/>
            <w:vMerge w:val="continue"/>
            <w:noWrap w:val="0"/>
            <w:vAlign w:val="center"/>
          </w:tcPr>
          <w:p w14:paraId="0A51D17C">
            <w:pPr>
              <w:spacing w:line="360" w:lineRule="auto"/>
              <w:jc w:val="center"/>
              <w:rPr>
                <w:rFonts w:hint="eastAsia" w:ascii="微软雅黑" w:hAnsi="微软雅黑" w:eastAsia="微软雅黑" w:cs="微软雅黑"/>
                <w:color w:val="auto"/>
                <w:sz w:val="21"/>
                <w:szCs w:val="21"/>
                <w:highlight w:val="none"/>
              </w:rPr>
            </w:pPr>
          </w:p>
        </w:tc>
        <w:tc>
          <w:tcPr>
            <w:tcW w:w="465" w:type="pct"/>
            <w:noWrap w:val="0"/>
            <w:vAlign w:val="center"/>
          </w:tcPr>
          <w:p w14:paraId="49BB9B05">
            <w:pPr>
              <w:spacing w:line="360" w:lineRule="auto"/>
              <w:jc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9</w:t>
            </w:r>
          </w:p>
        </w:tc>
        <w:tc>
          <w:tcPr>
            <w:tcW w:w="412" w:type="pct"/>
            <w:noWrap w:val="0"/>
            <w:vAlign w:val="center"/>
          </w:tcPr>
          <w:p w14:paraId="5DA8121F">
            <w:pPr>
              <w:spacing w:line="360" w:lineRule="auto"/>
              <w:jc w:val="center"/>
              <w:rPr>
                <w:rFonts w:hint="eastAsia" w:ascii="微软雅黑" w:hAnsi="微软雅黑" w:eastAsia="微软雅黑" w:cs="微软雅黑"/>
                <w:color w:val="auto"/>
                <w:sz w:val="21"/>
                <w:szCs w:val="21"/>
                <w:highlight w:val="none"/>
              </w:rPr>
            </w:pPr>
          </w:p>
        </w:tc>
        <w:tc>
          <w:tcPr>
            <w:tcW w:w="472" w:type="pct"/>
            <w:noWrap w:val="0"/>
            <w:vAlign w:val="center"/>
          </w:tcPr>
          <w:p w14:paraId="0CB0FD6B">
            <w:pPr>
              <w:spacing w:line="360" w:lineRule="auto"/>
              <w:jc w:val="center"/>
              <w:rPr>
                <w:rFonts w:hint="eastAsia" w:ascii="微软雅黑" w:hAnsi="微软雅黑" w:eastAsia="微软雅黑" w:cs="微软雅黑"/>
                <w:color w:val="auto"/>
                <w:sz w:val="21"/>
                <w:szCs w:val="21"/>
                <w:highlight w:val="none"/>
              </w:rPr>
            </w:pPr>
          </w:p>
        </w:tc>
        <w:tc>
          <w:tcPr>
            <w:tcW w:w="405" w:type="pct"/>
            <w:noWrap w:val="0"/>
            <w:vAlign w:val="center"/>
          </w:tcPr>
          <w:p w14:paraId="4E1E1A94">
            <w:pPr>
              <w:spacing w:line="360" w:lineRule="auto"/>
              <w:jc w:val="center"/>
              <w:rPr>
                <w:rFonts w:hint="eastAsia" w:ascii="微软雅黑" w:hAnsi="微软雅黑" w:eastAsia="微软雅黑" w:cs="微软雅黑"/>
                <w:color w:val="auto"/>
                <w:sz w:val="21"/>
                <w:szCs w:val="21"/>
                <w:highlight w:val="none"/>
              </w:rPr>
            </w:pPr>
          </w:p>
        </w:tc>
        <w:tc>
          <w:tcPr>
            <w:tcW w:w="532" w:type="pct"/>
            <w:noWrap w:val="0"/>
            <w:vAlign w:val="center"/>
          </w:tcPr>
          <w:p w14:paraId="5997C8C7">
            <w:pPr>
              <w:spacing w:line="360" w:lineRule="auto"/>
              <w:jc w:val="center"/>
              <w:rPr>
                <w:rFonts w:hint="eastAsia" w:ascii="微软雅黑" w:hAnsi="微软雅黑" w:eastAsia="微软雅黑" w:cs="微软雅黑"/>
                <w:color w:val="auto"/>
                <w:sz w:val="21"/>
                <w:szCs w:val="21"/>
                <w:highlight w:val="none"/>
              </w:rPr>
            </w:pPr>
          </w:p>
        </w:tc>
        <w:tc>
          <w:tcPr>
            <w:tcW w:w="358" w:type="pct"/>
            <w:noWrap w:val="0"/>
            <w:vAlign w:val="center"/>
          </w:tcPr>
          <w:p w14:paraId="117FD917">
            <w:pPr>
              <w:spacing w:line="360" w:lineRule="auto"/>
              <w:jc w:val="center"/>
              <w:rPr>
                <w:rFonts w:hint="eastAsia" w:ascii="微软雅黑" w:hAnsi="微软雅黑" w:eastAsia="微软雅黑" w:cs="微软雅黑"/>
                <w:color w:val="auto"/>
                <w:sz w:val="21"/>
                <w:szCs w:val="21"/>
                <w:highlight w:val="none"/>
              </w:rPr>
            </w:pPr>
          </w:p>
        </w:tc>
        <w:tc>
          <w:tcPr>
            <w:tcW w:w="419" w:type="pct"/>
            <w:noWrap w:val="0"/>
            <w:vAlign w:val="center"/>
          </w:tcPr>
          <w:p w14:paraId="3C3769B7">
            <w:pPr>
              <w:spacing w:line="360" w:lineRule="auto"/>
              <w:jc w:val="center"/>
              <w:rPr>
                <w:rFonts w:hint="eastAsia" w:ascii="微软雅黑" w:hAnsi="微软雅黑" w:eastAsia="微软雅黑" w:cs="微软雅黑"/>
                <w:color w:val="auto"/>
                <w:sz w:val="21"/>
                <w:szCs w:val="21"/>
                <w:highlight w:val="none"/>
              </w:rPr>
            </w:pPr>
          </w:p>
        </w:tc>
        <w:tc>
          <w:tcPr>
            <w:tcW w:w="377" w:type="pct"/>
            <w:noWrap w:val="0"/>
            <w:vAlign w:val="center"/>
          </w:tcPr>
          <w:p w14:paraId="67DB4441">
            <w:pPr>
              <w:spacing w:line="360" w:lineRule="auto"/>
              <w:jc w:val="center"/>
              <w:rPr>
                <w:rFonts w:hint="eastAsia" w:ascii="微软雅黑" w:hAnsi="微软雅黑" w:eastAsia="微软雅黑" w:cs="微软雅黑"/>
                <w:color w:val="auto"/>
                <w:sz w:val="21"/>
                <w:szCs w:val="21"/>
                <w:highlight w:val="none"/>
              </w:rPr>
            </w:pPr>
          </w:p>
        </w:tc>
        <w:tc>
          <w:tcPr>
            <w:tcW w:w="386" w:type="pct"/>
            <w:noWrap w:val="0"/>
            <w:vAlign w:val="center"/>
          </w:tcPr>
          <w:p w14:paraId="3B53B696">
            <w:pPr>
              <w:spacing w:line="360" w:lineRule="auto"/>
              <w:jc w:val="center"/>
              <w:rPr>
                <w:rFonts w:hint="eastAsia" w:ascii="微软雅黑" w:hAnsi="微软雅黑" w:eastAsia="微软雅黑" w:cs="微软雅黑"/>
                <w:color w:val="auto"/>
                <w:sz w:val="21"/>
                <w:szCs w:val="21"/>
                <w:highlight w:val="none"/>
              </w:rPr>
            </w:pPr>
          </w:p>
        </w:tc>
        <w:tc>
          <w:tcPr>
            <w:tcW w:w="383" w:type="pct"/>
            <w:noWrap w:val="0"/>
            <w:vAlign w:val="center"/>
          </w:tcPr>
          <w:p w14:paraId="31CF0F93">
            <w:pPr>
              <w:spacing w:line="360" w:lineRule="auto"/>
              <w:jc w:val="center"/>
              <w:rPr>
                <w:rFonts w:hint="eastAsia" w:ascii="微软雅黑" w:hAnsi="微软雅黑" w:eastAsia="微软雅黑" w:cs="微软雅黑"/>
                <w:color w:val="auto"/>
                <w:sz w:val="21"/>
                <w:szCs w:val="21"/>
                <w:highlight w:val="none"/>
              </w:rPr>
            </w:pPr>
          </w:p>
        </w:tc>
        <w:tc>
          <w:tcPr>
            <w:tcW w:w="371" w:type="pct"/>
            <w:noWrap w:val="0"/>
            <w:vAlign w:val="center"/>
          </w:tcPr>
          <w:p w14:paraId="30406A19">
            <w:pPr>
              <w:spacing w:line="360" w:lineRule="auto"/>
              <w:jc w:val="center"/>
              <w:rPr>
                <w:rFonts w:hint="eastAsia" w:ascii="微软雅黑" w:hAnsi="微软雅黑" w:eastAsia="微软雅黑" w:cs="微软雅黑"/>
                <w:color w:val="auto"/>
                <w:sz w:val="21"/>
                <w:szCs w:val="21"/>
                <w:highlight w:val="none"/>
              </w:rPr>
            </w:pPr>
          </w:p>
        </w:tc>
      </w:tr>
      <w:tr w14:paraId="0F05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628" w:type="pct"/>
            <w:gridSpan w:val="11"/>
            <w:noWrap w:val="0"/>
            <w:vAlign w:val="center"/>
          </w:tcPr>
          <w:p w14:paraId="14C6796E">
            <w:pPr>
              <w:spacing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总    价（元）：</w:t>
            </w:r>
          </w:p>
          <w:p w14:paraId="1FAA2361">
            <w:pPr>
              <w:spacing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（质保期外设备报价）</w:t>
            </w:r>
          </w:p>
        </w:tc>
        <w:tc>
          <w:tcPr>
            <w:tcW w:w="371" w:type="pct"/>
            <w:noWrap w:val="0"/>
            <w:vAlign w:val="center"/>
          </w:tcPr>
          <w:p w14:paraId="04F6AF58">
            <w:pPr>
              <w:spacing w:line="360" w:lineRule="auto"/>
              <w:rPr>
                <w:rFonts w:hint="eastAsia" w:ascii="微软雅黑" w:hAnsi="微软雅黑" w:eastAsia="微软雅黑" w:cs="微软雅黑"/>
                <w:color w:val="auto"/>
                <w:sz w:val="21"/>
                <w:szCs w:val="21"/>
                <w:highlight w:val="none"/>
              </w:rPr>
            </w:pPr>
          </w:p>
        </w:tc>
      </w:tr>
    </w:tbl>
    <w:p w14:paraId="180736DB">
      <w:pPr>
        <w:rPr>
          <w:rFonts w:hint="eastAsia" w:ascii="微软雅黑" w:hAnsi="微软雅黑" w:eastAsia="微软雅黑" w:cs="微软雅黑"/>
          <w:b/>
          <w:color w:val="auto"/>
          <w:sz w:val="30"/>
          <w:szCs w:val="30"/>
          <w:highlight w:val="none"/>
        </w:rPr>
      </w:pPr>
    </w:p>
    <w:p w14:paraId="51AA9E45">
      <w:pPr>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供应商名称（公章）：</w:t>
      </w:r>
    </w:p>
    <w:p w14:paraId="3ADE8FB5">
      <w:pPr>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供应商法人或授权代表</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lang w:val="en-US" w:eastAsia="zh-CN"/>
        </w:rPr>
        <w:t>签/章</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 xml:space="preserve">：                    </w:t>
      </w:r>
    </w:p>
    <w:p w14:paraId="25FAEB4B">
      <w:pPr>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 xml:space="preserve">日       期 ：   </w:t>
      </w:r>
    </w:p>
    <w:p w14:paraId="5AFB6945">
      <w:pPr>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 w:val="24"/>
          <w:highlight w:val="none"/>
        </w:rPr>
        <w:t>注：</w:t>
      </w:r>
      <w:r>
        <w:rPr>
          <w:rFonts w:hint="eastAsia" w:ascii="微软雅黑" w:hAnsi="微软雅黑" w:eastAsia="微软雅黑" w:cs="微软雅黑"/>
          <w:color w:val="auto"/>
          <w:szCs w:val="21"/>
          <w:highlight w:val="none"/>
        </w:rPr>
        <w:t>1、 表格长度方向可做扩展根据需求可补充相关资料，但不可减少。</w:t>
      </w:r>
    </w:p>
    <w:p w14:paraId="4BDF0399">
      <w:pPr>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2.</w:t>
      </w:r>
      <w:r>
        <w:rPr>
          <w:rFonts w:hint="eastAsia" w:ascii="微软雅黑" w:hAnsi="微软雅黑" w:eastAsia="微软雅黑" w:cs="微软雅黑"/>
          <w:color w:val="auto"/>
          <w:szCs w:val="21"/>
          <w:highlight w:val="none"/>
        </w:rPr>
        <w:t>备品备件分项报价仅供</w:t>
      </w:r>
      <w:r>
        <w:rPr>
          <w:rFonts w:hint="eastAsia" w:ascii="微软雅黑" w:hAnsi="微软雅黑" w:eastAsia="微软雅黑" w:cs="微软雅黑"/>
          <w:color w:val="auto"/>
          <w:szCs w:val="21"/>
          <w:highlight w:val="none"/>
          <w:lang w:eastAsia="zh-CN"/>
        </w:rPr>
        <w:t>采购人</w:t>
      </w:r>
      <w:r>
        <w:rPr>
          <w:rFonts w:hint="eastAsia" w:ascii="微软雅黑" w:hAnsi="微软雅黑" w:eastAsia="微软雅黑" w:cs="微软雅黑"/>
          <w:color w:val="auto"/>
          <w:szCs w:val="21"/>
          <w:highlight w:val="none"/>
        </w:rPr>
        <w:t xml:space="preserve">在设备发生故障情况下采用此报价，填写此表时请谨慎。备品备件分为两部分（1、质保期内免费的备品备件、2、质保期外备品备件报价）                 </w:t>
      </w:r>
    </w:p>
    <w:p w14:paraId="25A6AE5F">
      <w:pPr>
        <w:pStyle w:val="4"/>
        <w:spacing w:line="360" w:lineRule="exact"/>
        <w:ind w:firstLine="0"/>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lang w:eastAsia="zh-CN"/>
        </w:rPr>
        <w:t>3.</w:t>
      </w:r>
      <w:r>
        <w:rPr>
          <w:rFonts w:hint="eastAsia" w:ascii="微软雅黑" w:hAnsi="微软雅黑" w:eastAsia="微软雅黑" w:cs="微软雅黑"/>
          <w:color w:val="auto"/>
          <w:kern w:val="2"/>
          <w:sz w:val="21"/>
          <w:szCs w:val="21"/>
          <w:highlight w:val="none"/>
        </w:rPr>
        <w:t>备品备件设备分项报价不合计于开标一览表总价，</w:t>
      </w:r>
      <w:r>
        <w:rPr>
          <w:rFonts w:hint="eastAsia" w:ascii="微软雅黑" w:hAnsi="微软雅黑" w:eastAsia="微软雅黑" w:cs="微软雅黑"/>
          <w:color w:val="auto"/>
          <w:kern w:val="2"/>
          <w:sz w:val="21"/>
          <w:szCs w:val="21"/>
          <w:highlight w:val="none"/>
          <w:lang w:eastAsia="zh-CN"/>
        </w:rPr>
        <w:t>单独明</w:t>
      </w:r>
      <w:r>
        <w:rPr>
          <w:rFonts w:hint="eastAsia" w:ascii="微软雅黑" w:hAnsi="微软雅黑" w:eastAsia="微软雅黑" w:cs="微软雅黑"/>
          <w:color w:val="auto"/>
          <w:kern w:val="2"/>
          <w:sz w:val="21"/>
          <w:szCs w:val="21"/>
          <w:highlight w:val="none"/>
        </w:rPr>
        <w:t>列即可。</w:t>
      </w:r>
    </w:p>
    <w:p w14:paraId="427510D0">
      <w:pPr>
        <w:pStyle w:val="4"/>
        <w:spacing w:line="360" w:lineRule="exact"/>
        <w:ind w:firstLine="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color w:val="auto"/>
          <w:kern w:val="2"/>
          <w:sz w:val="21"/>
          <w:szCs w:val="21"/>
          <w:highlight w:val="none"/>
          <w:lang w:eastAsia="zh-CN"/>
        </w:rPr>
        <w:t>4.</w:t>
      </w:r>
      <w:r>
        <w:rPr>
          <w:rFonts w:hint="eastAsia" w:ascii="微软雅黑" w:hAnsi="微软雅黑" w:eastAsia="微软雅黑" w:cs="微软雅黑"/>
          <w:color w:val="auto"/>
          <w:kern w:val="2"/>
          <w:sz w:val="21"/>
          <w:szCs w:val="21"/>
          <w:highlight w:val="none"/>
        </w:rPr>
        <w:t>在</w:t>
      </w:r>
      <w:r>
        <w:rPr>
          <w:rFonts w:hint="eastAsia" w:ascii="微软雅黑" w:hAnsi="微软雅黑" w:eastAsia="微软雅黑" w:cs="微软雅黑"/>
          <w:color w:val="auto"/>
          <w:kern w:val="2"/>
          <w:sz w:val="21"/>
          <w:szCs w:val="21"/>
          <w:highlight w:val="none"/>
          <w:lang w:eastAsia="zh-CN"/>
        </w:rPr>
        <w:t>设备</w:t>
      </w:r>
      <w:r>
        <w:rPr>
          <w:rFonts w:hint="eastAsia" w:ascii="微软雅黑" w:hAnsi="微软雅黑" w:eastAsia="微软雅黑" w:cs="微软雅黑"/>
          <w:color w:val="auto"/>
          <w:kern w:val="2"/>
          <w:sz w:val="21"/>
          <w:szCs w:val="21"/>
          <w:highlight w:val="none"/>
        </w:rPr>
        <w:t>维修和维护过程中，用来更换已经磨损，不能继续使用或损坏的零件和修复件。</w:t>
      </w:r>
      <w:r>
        <w:rPr>
          <w:rFonts w:hint="eastAsia" w:ascii="微软雅黑" w:hAnsi="微软雅黑" w:eastAsia="微软雅黑" w:cs="微软雅黑"/>
          <w:color w:val="auto"/>
          <w:kern w:val="2"/>
          <w:sz w:val="21"/>
          <w:szCs w:val="21"/>
          <w:highlight w:val="none"/>
          <w:lang w:eastAsia="zh-CN"/>
        </w:rPr>
        <w:t>为了</w:t>
      </w:r>
      <w:r>
        <w:rPr>
          <w:rFonts w:hint="eastAsia" w:ascii="微软雅黑" w:hAnsi="微软雅黑" w:eastAsia="微软雅黑" w:cs="微软雅黑"/>
          <w:color w:val="auto"/>
          <w:kern w:val="2"/>
          <w:sz w:val="21"/>
          <w:szCs w:val="21"/>
          <w:highlight w:val="none"/>
        </w:rPr>
        <w:t>缩短</w:t>
      </w:r>
      <w:r>
        <w:rPr>
          <w:rFonts w:hint="eastAsia" w:ascii="微软雅黑" w:hAnsi="微软雅黑" w:eastAsia="微软雅黑" w:cs="微软雅黑"/>
          <w:color w:val="auto"/>
          <w:kern w:val="2"/>
          <w:sz w:val="21"/>
          <w:szCs w:val="21"/>
          <w:highlight w:val="none"/>
          <w:lang w:eastAsia="zh-CN"/>
        </w:rPr>
        <w:t>设备的</w:t>
      </w:r>
      <w:r>
        <w:rPr>
          <w:rFonts w:hint="eastAsia" w:ascii="微软雅黑" w:hAnsi="微软雅黑" w:eastAsia="微软雅黑" w:cs="微软雅黑"/>
          <w:color w:val="auto"/>
          <w:kern w:val="2"/>
          <w:sz w:val="21"/>
          <w:szCs w:val="21"/>
          <w:highlight w:val="none"/>
        </w:rPr>
        <w:t>维修时间，减少损失，供应质量优良的备件，可以保证</w:t>
      </w:r>
      <w:r>
        <w:rPr>
          <w:rFonts w:hint="eastAsia" w:ascii="微软雅黑" w:hAnsi="微软雅黑" w:eastAsia="微软雅黑" w:cs="微软雅黑"/>
          <w:color w:val="auto"/>
          <w:kern w:val="2"/>
          <w:sz w:val="21"/>
          <w:szCs w:val="21"/>
          <w:highlight w:val="none"/>
          <w:lang w:eastAsia="zh-CN"/>
        </w:rPr>
        <w:t>维修</w:t>
      </w:r>
      <w:r>
        <w:rPr>
          <w:rFonts w:hint="eastAsia" w:ascii="微软雅黑" w:hAnsi="微软雅黑" w:eastAsia="微软雅黑" w:cs="微软雅黑"/>
          <w:color w:val="auto"/>
          <w:kern w:val="2"/>
          <w:sz w:val="21"/>
          <w:szCs w:val="21"/>
          <w:highlight w:val="none"/>
        </w:rPr>
        <w:t>质量和</w:t>
      </w:r>
      <w:r>
        <w:rPr>
          <w:rFonts w:hint="eastAsia" w:ascii="微软雅黑" w:hAnsi="微软雅黑" w:eastAsia="微软雅黑" w:cs="微软雅黑"/>
          <w:color w:val="auto"/>
          <w:kern w:val="2"/>
          <w:sz w:val="21"/>
          <w:szCs w:val="21"/>
          <w:highlight w:val="none"/>
          <w:lang w:eastAsia="zh-CN"/>
        </w:rPr>
        <w:t>维修</w:t>
      </w:r>
      <w:r>
        <w:rPr>
          <w:rFonts w:hint="eastAsia" w:ascii="微软雅黑" w:hAnsi="微软雅黑" w:eastAsia="微软雅黑" w:cs="微软雅黑"/>
          <w:color w:val="auto"/>
          <w:kern w:val="2"/>
          <w:sz w:val="21"/>
          <w:szCs w:val="21"/>
          <w:highlight w:val="none"/>
        </w:rPr>
        <w:t>周期，提高</w:t>
      </w:r>
      <w:r>
        <w:rPr>
          <w:rFonts w:hint="eastAsia" w:ascii="微软雅黑" w:hAnsi="微软雅黑" w:eastAsia="微软雅黑" w:cs="微软雅黑"/>
          <w:color w:val="auto"/>
          <w:kern w:val="2"/>
          <w:sz w:val="21"/>
          <w:szCs w:val="21"/>
          <w:highlight w:val="none"/>
          <w:lang w:eastAsia="zh-CN"/>
        </w:rPr>
        <w:t>设备</w:t>
      </w:r>
      <w:r>
        <w:rPr>
          <w:rFonts w:hint="eastAsia" w:ascii="微软雅黑" w:hAnsi="微软雅黑" w:eastAsia="微软雅黑" w:cs="微软雅黑"/>
          <w:color w:val="auto"/>
          <w:kern w:val="2"/>
          <w:sz w:val="21"/>
          <w:szCs w:val="21"/>
          <w:highlight w:val="none"/>
        </w:rPr>
        <w:t>的</w:t>
      </w:r>
      <w:r>
        <w:rPr>
          <w:rFonts w:hint="eastAsia" w:ascii="微软雅黑" w:hAnsi="微软雅黑" w:eastAsia="微软雅黑" w:cs="微软雅黑"/>
          <w:color w:val="auto"/>
          <w:kern w:val="2"/>
          <w:sz w:val="21"/>
          <w:szCs w:val="21"/>
          <w:highlight w:val="none"/>
          <w:lang w:eastAsia="zh-CN"/>
        </w:rPr>
        <w:t>使用</w:t>
      </w:r>
      <w:r>
        <w:rPr>
          <w:rFonts w:hint="eastAsia" w:ascii="微软雅黑" w:hAnsi="微软雅黑" w:eastAsia="微软雅黑" w:cs="微软雅黑"/>
          <w:color w:val="auto"/>
          <w:kern w:val="2"/>
          <w:sz w:val="21"/>
          <w:szCs w:val="21"/>
          <w:highlight w:val="none"/>
        </w:rPr>
        <w:t>率。备件管理工作的重点首先是满足</w:t>
      </w:r>
      <w:r>
        <w:rPr>
          <w:rFonts w:hint="eastAsia" w:ascii="微软雅黑" w:hAnsi="微软雅黑" w:eastAsia="微软雅黑" w:cs="微软雅黑"/>
          <w:color w:val="auto"/>
          <w:kern w:val="2"/>
          <w:sz w:val="21"/>
          <w:szCs w:val="21"/>
          <w:highlight w:val="none"/>
          <w:lang w:eastAsia="zh-CN"/>
        </w:rPr>
        <w:t>设备</w:t>
      </w:r>
      <w:r>
        <w:rPr>
          <w:rFonts w:hint="eastAsia" w:ascii="微软雅黑" w:hAnsi="微软雅黑" w:eastAsia="微软雅黑" w:cs="微软雅黑"/>
          <w:color w:val="auto"/>
          <w:kern w:val="2"/>
          <w:sz w:val="21"/>
          <w:szCs w:val="21"/>
          <w:highlight w:val="none"/>
        </w:rPr>
        <w:t>对维修备件的需要，保证</w:t>
      </w:r>
      <w:r>
        <w:rPr>
          <w:rFonts w:hint="eastAsia" w:ascii="微软雅黑" w:hAnsi="微软雅黑" w:eastAsia="微软雅黑" w:cs="微软雅黑"/>
          <w:color w:val="auto"/>
          <w:kern w:val="2"/>
          <w:sz w:val="21"/>
          <w:szCs w:val="21"/>
          <w:highlight w:val="none"/>
          <w:lang w:eastAsia="zh-CN"/>
        </w:rPr>
        <w:t>设备</w:t>
      </w:r>
      <w:r>
        <w:rPr>
          <w:rFonts w:hint="eastAsia" w:ascii="微软雅黑" w:hAnsi="微软雅黑" w:eastAsia="微软雅黑" w:cs="微软雅黑"/>
          <w:color w:val="auto"/>
          <w:kern w:val="2"/>
          <w:sz w:val="21"/>
          <w:szCs w:val="21"/>
          <w:highlight w:val="none"/>
        </w:rPr>
        <w:t>的正常</w:t>
      </w:r>
      <w:r>
        <w:rPr>
          <w:rFonts w:hint="eastAsia" w:ascii="微软雅黑" w:hAnsi="微软雅黑" w:eastAsia="微软雅黑" w:cs="微软雅黑"/>
          <w:color w:val="auto"/>
          <w:kern w:val="2"/>
          <w:sz w:val="21"/>
          <w:szCs w:val="21"/>
          <w:highlight w:val="none"/>
          <w:lang w:eastAsia="zh-CN"/>
        </w:rPr>
        <w:t>使用</w:t>
      </w:r>
      <w:r>
        <w:rPr>
          <w:rFonts w:hint="eastAsia" w:ascii="微软雅黑" w:hAnsi="微软雅黑" w:eastAsia="微软雅黑" w:cs="微软雅黑"/>
          <w:color w:val="auto"/>
          <w:kern w:val="2"/>
          <w:sz w:val="21"/>
          <w:szCs w:val="21"/>
          <w:highlight w:val="none"/>
        </w:rPr>
        <w:t>，尽量减少</w:t>
      </w:r>
      <w:r>
        <w:rPr>
          <w:rFonts w:hint="eastAsia" w:ascii="微软雅黑" w:hAnsi="微软雅黑" w:eastAsia="微软雅黑" w:cs="微软雅黑"/>
          <w:color w:val="auto"/>
          <w:kern w:val="2"/>
          <w:sz w:val="21"/>
          <w:szCs w:val="21"/>
          <w:highlight w:val="none"/>
          <w:lang w:eastAsia="zh-CN"/>
        </w:rPr>
        <w:t>不必要的</w:t>
      </w:r>
      <w:r>
        <w:rPr>
          <w:rFonts w:hint="eastAsia" w:ascii="微软雅黑" w:hAnsi="微软雅黑" w:eastAsia="微软雅黑" w:cs="微软雅黑"/>
          <w:color w:val="auto"/>
          <w:kern w:val="2"/>
          <w:sz w:val="21"/>
          <w:szCs w:val="21"/>
          <w:highlight w:val="none"/>
        </w:rPr>
        <w:t>损失。</w:t>
      </w:r>
    </w:p>
    <w:p w14:paraId="6DEDB110">
      <w:pPr>
        <w:pStyle w:val="15"/>
        <w:spacing w:line="240" w:lineRule="atLeast"/>
        <w:ind w:left="1080" w:leftChars="257" w:hanging="540"/>
        <w:rPr>
          <w:rFonts w:hint="eastAsia" w:ascii="微软雅黑" w:hAnsi="微软雅黑" w:eastAsia="微软雅黑" w:cs="微软雅黑"/>
          <w:color w:val="auto"/>
          <w:sz w:val="24"/>
          <w:highlight w:val="none"/>
        </w:rPr>
      </w:pPr>
    </w:p>
    <w:p w14:paraId="1ECDFC3C">
      <w:pPr>
        <w:pStyle w:val="15"/>
        <w:rPr>
          <w:rFonts w:ascii="微软雅黑" w:hAnsi="微软雅黑" w:eastAsia="微软雅黑" w:cs="微软雅黑"/>
          <w:b/>
          <w:bCs/>
          <w:color w:val="auto"/>
          <w:kern w:val="0"/>
          <w:highlight w:val="none"/>
        </w:rPr>
        <w:sectPr>
          <w:pgSz w:w="11905" w:h="16838"/>
          <w:pgMar w:top="1080" w:right="1440" w:bottom="1080" w:left="1440" w:header="851" w:footer="992" w:gutter="0"/>
          <w:cols w:space="0" w:num="1"/>
          <w:docGrid w:linePitch="312" w:charSpace="0"/>
        </w:sectPr>
      </w:pPr>
    </w:p>
    <w:p w14:paraId="549562F4">
      <w:pPr>
        <w:pStyle w:val="3"/>
        <w:spacing w:before="0" w:line="240" w:lineRule="auto"/>
        <w:ind w:firstLine="2731" w:firstLineChars="1300"/>
        <w:jc w:val="both"/>
        <w:rPr>
          <w:rFonts w:ascii="微软雅黑" w:hAnsi="微软雅黑" w:eastAsia="微软雅黑" w:cs="微软雅黑"/>
          <w:b/>
          <w:bCs/>
          <w:color w:val="auto"/>
          <w:sz w:val="21"/>
          <w:szCs w:val="21"/>
          <w:highlight w:val="none"/>
        </w:rPr>
      </w:pPr>
      <w:bookmarkStart w:id="620" w:name="_Toc11577"/>
      <w:bookmarkStart w:id="621" w:name="_Toc28800"/>
      <w:bookmarkStart w:id="622" w:name="_Toc23935"/>
      <w:bookmarkStart w:id="623" w:name="_Toc21726"/>
      <w:bookmarkStart w:id="624" w:name="_Toc3101"/>
      <w:bookmarkStart w:id="625" w:name="_Toc11211"/>
      <w:bookmarkStart w:id="626" w:name="_Toc6237"/>
      <w:bookmarkStart w:id="627" w:name="_Toc28817"/>
      <w:bookmarkStart w:id="628" w:name="_Toc15861"/>
      <w:bookmarkStart w:id="629" w:name="_Toc31515"/>
      <w:r>
        <w:rPr>
          <w:rFonts w:hint="eastAsia" w:ascii="微软雅黑" w:hAnsi="微软雅黑" w:eastAsia="微软雅黑" w:cs="微软雅黑"/>
          <w:b/>
          <w:bCs/>
          <w:color w:val="auto"/>
          <w:sz w:val="21"/>
          <w:szCs w:val="21"/>
          <w:highlight w:val="none"/>
          <w:lang w:eastAsia="zh-CN"/>
        </w:rPr>
        <w:t>3</w:t>
      </w:r>
      <w:r>
        <w:rPr>
          <w:rFonts w:hint="eastAsia" w:ascii="微软雅黑" w:hAnsi="微软雅黑" w:eastAsia="微软雅黑" w:cs="微软雅黑"/>
          <w:b/>
          <w:bCs/>
          <w:color w:val="auto"/>
          <w:sz w:val="21"/>
          <w:szCs w:val="21"/>
          <w:highlight w:val="none"/>
          <w:lang w:val="en-US" w:eastAsia="zh-CN"/>
        </w:rPr>
        <w:t xml:space="preserve">   </w:t>
      </w:r>
      <w:r>
        <w:rPr>
          <w:rFonts w:hint="eastAsia" w:ascii="微软雅黑" w:hAnsi="微软雅黑" w:eastAsia="微软雅黑" w:cs="微软雅黑"/>
          <w:b/>
          <w:bCs/>
          <w:color w:val="auto"/>
          <w:sz w:val="21"/>
          <w:szCs w:val="21"/>
          <w:highlight w:val="none"/>
        </w:rPr>
        <w:t>货物说明一览表</w:t>
      </w:r>
      <w:bookmarkEnd w:id="620"/>
      <w:bookmarkEnd w:id="621"/>
      <w:bookmarkEnd w:id="622"/>
      <w:bookmarkEnd w:id="623"/>
      <w:bookmarkEnd w:id="624"/>
      <w:bookmarkEnd w:id="625"/>
      <w:bookmarkEnd w:id="626"/>
      <w:bookmarkEnd w:id="627"/>
      <w:bookmarkEnd w:id="628"/>
      <w:bookmarkEnd w:id="629"/>
    </w:p>
    <w:p w14:paraId="7CE07831">
      <w:pPr>
        <w:pStyle w:val="15"/>
        <w:jc w:val="left"/>
        <w:rPr>
          <w:rFonts w:ascii="微软雅黑" w:hAnsi="微软雅黑" w:eastAsia="微软雅黑" w:cs="微软雅黑"/>
          <w:color w:val="auto"/>
          <w:highlight w:val="none"/>
        </w:rPr>
      </w:pPr>
    </w:p>
    <w:p w14:paraId="5CAF361F">
      <w:pPr>
        <w:pStyle w:val="15"/>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项目编号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包号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w:t>
      </w:r>
    </w:p>
    <w:p w14:paraId="1F061641">
      <w:pPr>
        <w:pStyle w:val="15"/>
        <w:ind w:left="1080" w:leftChars="257" w:hanging="540"/>
        <w:rPr>
          <w:rFonts w:ascii="微软雅黑" w:hAnsi="微软雅黑" w:eastAsia="微软雅黑" w:cs="微软雅黑"/>
          <w:color w:val="auto"/>
          <w:sz w:val="24"/>
          <w:szCs w:val="24"/>
          <w:highlight w:val="none"/>
        </w:rPr>
      </w:pPr>
    </w:p>
    <w:tbl>
      <w:tblPr>
        <w:tblStyle w:val="30"/>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23"/>
        <w:gridCol w:w="1227"/>
        <w:gridCol w:w="1103"/>
        <w:gridCol w:w="1838"/>
        <w:gridCol w:w="1435"/>
        <w:gridCol w:w="1737"/>
      </w:tblGrid>
      <w:tr w14:paraId="4E05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3" w:type="dxa"/>
            <w:noWrap w:val="0"/>
            <w:vAlign w:val="center"/>
          </w:tcPr>
          <w:p w14:paraId="257C4028">
            <w:pPr>
              <w:pStyle w:val="15"/>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序号</w:t>
            </w:r>
          </w:p>
        </w:tc>
        <w:tc>
          <w:tcPr>
            <w:tcW w:w="1223" w:type="dxa"/>
            <w:noWrap w:val="0"/>
            <w:vAlign w:val="center"/>
          </w:tcPr>
          <w:p w14:paraId="4E18D24F">
            <w:pPr>
              <w:pStyle w:val="15"/>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货物名称</w:t>
            </w:r>
          </w:p>
        </w:tc>
        <w:tc>
          <w:tcPr>
            <w:tcW w:w="1227" w:type="dxa"/>
            <w:noWrap w:val="0"/>
            <w:vAlign w:val="center"/>
          </w:tcPr>
          <w:p w14:paraId="7B53AD40">
            <w:pPr>
              <w:pStyle w:val="15"/>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主要规格</w:t>
            </w:r>
          </w:p>
        </w:tc>
        <w:tc>
          <w:tcPr>
            <w:tcW w:w="1103" w:type="dxa"/>
            <w:noWrap w:val="0"/>
            <w:vAlign w:val="center"/>
          </w:tcPr>
          <w:p w14:paraId="1A1BACCE">
            <w:pPr>
              <w:pStyle w:val="15"/>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数量</w:t>
            </w:r>
          </w:p>
        </w:tc>
        <w:tc>
          <w:tcPr>
            <w:tcW w:w="1838" w:type="dxa"/>
            <w:noWrap w:val="0"/>
            <w:vAlign w:val="center"/>
          </w:tcPr>
          <w:p w14:paraId="2E0D4788">
            <w:pPr>
              <w:pStyle w:val="15"/>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交货期</w:t>
            </w:r>
          </w:p>
        </w:tc>
        <w:tc>
          <w:tcPr>
            <w:tcW w:w="1435" w:type="dxa"/>
            <w:noWrap w:val="0"/>
            <w:vAlign w:val="center"/>
          </w:tcPr>
          <w:p w14:paraId="171EDBD6">
            <w:pPr>
              <w:pStyle w:val="15"/>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交货地点</w:t>
            </w:r>
          </w:p>
        </w:tc>
        <w:tc>
          <w:tcPr>
            <w:tcW w:w="1737" w:type="dxa"/>
            <w:noWrap w:val="0"/>
            <w:vAlign w:val="center"/>
          </w:tcPr>
          <w:p w14:paraId="7C937EBF">
            <w:pPr>
              <w:pStyle w:val="15"/>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其他</w:t>
            </w:r>
          </w:p>
        </w:tc>
      </w:tr>
      <w:tr w14:paraId="03B0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3" w:type="dxa"/>
            <w:noWrap w:val="0"/>
            <w:vAlign w:val="center"/>
          </w:tcPr>
          <w:p w14:paraId="7D7B117F">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223" w:type="dxa"/>
            <w:noWrap w:val="0"/>
            <w:vAlign w:val="center"/>
          </w:tcPr>
          <w:p w14:paraId="7A536392">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227" w:type="dxa"/>
            <w:noWrap w:val="0"/>
            <w:vAlign w:val="center"/>
          </w:tcPr>
          <w:p w14:paraId="57BE42C1">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103" w:type="dxa"/>
            <w:noWrap w:val="0"/>
            <w:vAlign w:val="center"/>
          </w:tcPr>
          <w:p w14:paraId="32DE57FC">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838" w:type="dxa"/>
            <w:noWrap w:val="0"/>
            <w:vAlign w:val="center"/>
          </w:tcPr>
          <w:p w14:paraId="0CFD76E7">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435" w:type="dxa"/>
            <w:noWrap w:val="0"/>
            <w:vAlign w:val="center"/>
          </w:tcPr>
          <w:p w14:paraId="03478606">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737" w:type="dxa"/>
            <w:noWrap w:val="0"/>
            <w:vAlign w:val="center"/>
          </w:tcPr>
          <w:p w14:paraId="5B1B1892">
            <w:pPr>
              <w:pStyle w:val="15"/>
              <w:spacing w:after="0" w:line="240" w:lineRule="atLeast"/>
              <w:rPr>
                <w:rFonts w:hint="eastAsia" w:ascii="微软雅黑" w:hAnsi="微软雅黑" w:eastAsia="微软雅黑" w:cs="微软雅黑"/>
                <w:color w:val="auto"/>
                <w:sz w:val="21"/>
                <w:szCs w:val="21"/>
                <w:highlight w:val="none"/>
                <w:lang w:val="en-US" w:eastAsia="zh-CN"/>
              </w:rPr>
            </w:pPr>
          </w:p>
        </w:tc>
      </w:tr>
      <w:tr w14:paraId="64D2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13" w:type="dxa"/>
            <w:noWrap w:val="0"/>
            <w:vAlign w:val="center"/>
          </w:tcPr>
          <w:p w14:paraId="4092AF5C">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223" w:type="dxa"/>
            <w:noWrap w:val="0"/>
            <w:vAlign w:val="center"/>
          </w:tcPr>
          <w:p w14:paraId="1E42268B">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227" w:type="dxa"/>
            <w:noWrap w:val="0"/>
            <w:vAlign w:val="center"/>
          </w:tcPr>
          <w:p w14:paraId="78924488">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103" w:type="dxa"/>
            <w:noWrap w:val="0"/>
            <w:vAlign w:val="center"/>
          </w:tcPr>
          <w:p w14:paraId="7399C942">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838" w:type="dxa"/>
            <w:noWrap w:val="0"/>
            <w:vAlign w:val="center"/>
          </w:tcPr>
          <w:p w14:paraId="20DEA005">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435" w:type="dxa"/>
            <w:noWrap w:val="0"/>
            <w:vAlign w:val="center"/>
          </w:tcPr>
          <w:p w14:paraId="19D3C4CB">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737" w:type="dxa"/>
            <w:noWrap w:val="0"/>
            <w:vAlign w:val="center"/>
          </w:tcPr>
          <w:p w14:paraId="16AC32E6">
            <w:pPr>
              <w:pStyle w:val="15"/>
              <w:spacing w:after="0" w:line="240" w:lineRule="atLeast"/>
              <w:rPr>
                <w:rFonts w:hint="eastAsia" w:ascii="微软雅黑" w:hAnsi="微软雅黑" w:eastAsia="微软雅黑" w:cs="微软雅黑"/>
                <w:color w:val="auto"/>
                <w:sz w:val="21"/>
                <w:szCs w:val="21"/>
                <w:highlight w:val="none"/>
                <w:lang w:val="en-US" w:eastAsia="zh-CN"/>
              </w:rPr>
            </w:pPr>
          </w:p>
        </w:tc>
      </w:tr>
      <w:tr w14:paraId="692C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13" w:type="dxa"/>
            <w:noWrap w:val="0"/>
            <w:vAlign w:val="center"/>
          </w:tcPr>
          <w:p w14:paraId="3B076C71">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223" w:type="dxa"/>
            <w:noWrap w:val="0"/>
            <w:vAlign w:val="center"/>
          </w:tcPr>
          <w:p w14:paraId="1E8AB50C">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227" w:type="dxa"/>
            <w:noWrap w:val="0"/>
            <w:vAlign w:val="center"/>
          </w:tcPr>
          <w:p w14:paraId="0F3D3798">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103" w:type="dxa"/>
            <w:noWrap w:val="0"/>
            <w:vAlign w:val="center"/>
          </w:tcPr>
          <w:p w14:paraId="3E94C038">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838" w:type="dxa"/>
            <w:noWrap w:val="0"/>
            <w:vAlign w:val="center"/>
          </w:tcPr>
          <w:p w14:paraId="1F049C53">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435" w:type="dxa"/>
            <w:noWrap w:val="0"/>
            <w:vAlign w:val="center"/>
          </w:tcPr>
          <w:p w14:paraId="0426C1FC">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737" w:type="dxa"/>
            <w:noWrap w:val="0"/>
            <w:vAlign w:val="center"/>
          </w:tcPr>
          <w:p w14:paraId="0FD18AC8">
            <w:pPr>
              <w:pStyle w:val="15"/>
              <w:spacing w:after="0" w:line="240" w:lineRule="atLeast"/>
              <w:rPr>
                <w:rFonts w:hint="eastAsia" w:ascii="微软雅黑" w:hAnsi="微软雅黑" w:eastAsia="微软雅黑" w:cs="微软雅黑"/>
                <w:color w:val="auto"/>
                <w:sz w:val="21"/>
                <w:szCs w:val="21"/>
                <w:highlight w:val="none"/>
                <w:lang w:val="en-US" w:eastAsia="zh-CN"/>
              </w:rPr>
            </w:pPr>
          </w:p>
        </w:tc>
      </w:tr>
      <w:tr w14:paraId="5669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13" w:type="dxa"/>
            <w:noWrap w:val="0"/>
            <w:vAlign w:val="center"/>
          </w:tcPr>
          <w:p w14:paraId="09BAF66D">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223" w:type="dxa"/>
            <w:noWrap w:val="0"/>
            <w:vAlign w:val="center"/>
          </w:tcPr>
          <w:p w14:paraId="1AED3943">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227" w:type="dxa"/>
            <w:noWrap w:val="0"/>
            <w:vAlign w:val="center"/>
          </w:tcPr>
          <w:p w14:paraId="754AEA1D">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103" w:type="dxa"/>
            <w:noWrap w:val="0"/>
            <w:vAlign w:val="center"/>
          </w:tcPr>
          <w:p w14:paraId="75D3DFAC">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838" w:type="dxa"/>
            <w:noWrap w:val="0"/>
            <w:vAlign w:val="center"/>
          </w:tcPr>
          <w:p w14:paraId="723A6610">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435" w:type="dxa"/>
            <w:noWrap w:val="0"/>
            <w:vAlign w:val="center"/>
          </w:tcPr>
          <w:p w14:paraId="649D5E5F">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737" w:type="dxa"/>
            <w:noWrap w:val="0"/>
            <w:vAlign w:val="center"/>
          </w:tcPr>
          <w:p w14:paraId="1F2236A6">
            <w:pPr>
              <w:pStyle w:val="15"/>
              <w:spacing w:after="0" w:line="240" w:lineRule="atLeast"/>
              <w:rPr>
                <w:rFonts w:hint="eastAsia" w:ascii="微软雅黑" w:hAnsi="微软雅黑" w:eastAsia="微软雅黑" w:cs="微软雅黑"/>
                <w:color w:val="auto"/>
                <w:sz w:val="21"/>
                <w:szCs w:val="21"/>
                <w:highlight w:val="none"/>
                <w:lang w:val="en-US" w:eastAsia="zh-CN"/>
              </w:rPr>
            </w:pPr>
          </w:p>
        </w:tc>
      </w:tr>
      <w:tr w14:paraId="00DC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3" w:type="dxa"/>
            <w:noWrap w:val="0"/>
            <w:vAlign w:val="center"/>
          </w:tcPr>
          <w:p w14:paraId="4EC3A076">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223" w:type="dxa"/>
            <w:noWrap w:val="0"/>
            <w:vAlign w:val="center"/>
          </w:tcPr>
          <w:p w14:paraId="1C49A9A2">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227" w:type="dxa"/>
            <w:noWrap w:val="0"/>
            <w:vAlign w:val="center"/>
          </w:tcPr>
          <w:p w14:paraId="2840FE7F">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103" w:type="dxa"/>
            <w:noWrap w:val="0"/>
            <w:vAlign w:val="center"/>
          </w:tcPr>
          <w:p w14:paraId="6F4C64AF">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838" w:type="dxa"/>
            <w:noWrap w:val="0"/>
            <w:vAlign w:val="center"/>
          </w:tcPr>
          <w:p w14:paraId="76FABC10">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435" w:type="dxa"/>
            <w:noWrap w:val="0"/>
            <w:vAlign w:val="center"/>
          </w:tcPr>
          <w:p w14:paraId="0A992D10">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737" w:type="dxa"/>
            <w:noWrap w:val="0"/>
            <w:vAlign w:val="center"/>
          </w:tcPr>
          <w:p w14:paraId="0DCCCE41">
            <w:pPr>
              <w:pStyle w:val="15"/>
              <w:spacing w:after="0" w:line="240" w:lineRule="atLeast"/>
              <w:rPr>
                <w:rFonts w:hint="eastAsia" w:ascii="微软雅黑" w:hAnsi="微软雅黑" w:eastAsia="微软雅黑" w:cs="微软雅黑"/>
                <w:color w:val="auto"/>
                <w:sz w:val="21"/>
                <w:szCs w:val="21"/>
                <w:highlight w:val="none"/>
                <w:lang w:val="en-US" w:eastAsia="zh-CN"/>
              </w:rPr>
            </w:pPr>
          </w:p>
        </w:tc>
      </w:tr>
      <w:tr w14:paraId="1254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3" w:type="dxa"/>
            <w:noWrap w:val="0"/>
            <w:vAlign w:val="center"/>
          </w:tcPr>
          <w:p w14:paraId="4CCC53EB">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223" w:type="dxa"/>
            <w:noWrap w:val="0"/>
            <w:vAlign w:val="center"/>
          </w:tcPr>
          <w:p w14:paraId="03865F61">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227" w:type="dxa"/>
            <w:noWrap w:val="0"/>
            <w:vAlign w:val="center"/>
          </w:tcPr>
          <w:p w14:paraId="3D9195DD">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103" w:type="dxa"/>
            <w:noWrap w:val="0"/>
            <w:vAlign w:val="center"/>
          </w:tcPr>
          <w:p w14:paraId="78BF187B">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838" w:type="dxa"/>
            <w:noWrap w:val="0"/>
            <w:vAlign w:val="center"/>
          </w:tcPr>
          <w:p w14:paraId="68C874BD">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435" w:type="dxa"/>
            <w:noWrap w:val="0"/>
            <w:vAlign w:val="center"/>
          </w:tcPr>
          <w:p w14:paraId="18D9C7AD">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737" w:type="dxa"/>
            <w:noWrap w:val="0"/>
            <w:vAlign w:val="center"/>
          </w:tcPr>
          <w:p w14:paraId="15EA0971">
            <w:pPr>
              <w:pStyle w:val="15"/>
              <w:spacing w:after="0" w:line="240" w:lineRule="atLeast"/>
              <w:rPr>
                <w:rFonts w:hint="eastAsia" w:ascii="微软雅黑" w:hAnsi="微软雅黑" w:eastAsia="微软雅黑" w:cs="微软雅黑"/>
                <w:color w:val="auto"/>
                <w:sz w:val="21"/>
                <w:szCs w:val="21"/>
                <w:highlight w:val="none"/>
                <w:lang w:val="en-US" w:eastAsia="zh-CN"/>
              </w:rPr>
            </w:pPr>
          </w:p>
        </w:tc>
      </w:tr>
      <w:tr w14:paraId="3960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13" w:type="dxa"/>
            <w:noWrap w:val="0"/>
            <w:vAlign w:val="center"/>
          </w:tcPr>
          <w:p w14:paraId="056EA24F">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223" w:type="dxa"/>
            <w:noWrap w:val="0"/>
            <w:vAlign w:val="center"/>
          </w:tcPr>
          <w:p w14:paraId="345DEC9D">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227" w:type="dxa"/>
            <w:noWrap w:val="0"/>
            <w:vAlign w:val="center"/>
          </w:tcPr>
          <w:p w14:paraId="13C52F0E">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103" w:type="dxa"/>
            <w:noWrap w:val="0"/>
            <w:vAlign w:val="center"/>
          </w:tcPr>
          <w:p w14:paraId="3D110AF2">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838" w:type="dxa"/>
            <w:noWrap w:val="0"/>
            <w:vAlign w:val="center"/>
          </w:tcPr>
          <w:p w14:paraId="051433DC">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435" w:type="dxa"/>
            <w:noWrap w:val="0"/>
            <w:vAlign w:val="center"/>
          </w:tcPr>
          <w:p w14:paraId="15C26416">
            <w:pPr>
              <w:pStyle w:val="15"/>
              <w:spacing w:after="0" w:line="240" w:lineRule="atLeast"/>
              <w:rPr>
                <w:rFonts w:hint="eastAsia" w:ascii="微软雅黑" w:hAnsi="微软雅黑" w:eastAsia="微软雅黑" w:cs="微软雅黑"/>
                <w:color w:val="auto"/>
                <w:sz w:val="21"/>
                <w:szCs w:val="21"/>
                <w:highlight w:val="none"/>
                <w:lang w:val="en-US" w:eastAsia="zh-CN"/>
              </w:rPr>
            </w:pPr>
          </w:p>
        </w:tc>
        <w:tc>
          <w:tcPr>
            <w:tcW w:w="1737" w:type="dxa"/>
            <w:noWrap w:val="0"/>
            <w:vAlign w:val="center"/>
          </w:tcPr>
          <w:p w14:paraId="3C8C9943">
            <w:pPr>
              <w:pStyle w:val="15"/>
              <w:spacing w:after="0" w:line="240" w:lineRule="atLeast"/>
              <w:rPr>
                <w:rFonts w:hint="eastAsia" w:ascii="微软雅黑" w:hAnsi="微软雅黑" w:eastAsia="微软雅黑" w:cs="微软雅黑"/>
                <w:color w:val="auto"/>
                <w:sz w:val="21"/>
                <w:szCs w:val="21"/>
                <w:highlight w:val="none"/>
                <w:lang w:val="en-US" w:eastAsia="zh-CN"/>
              </w:rPr>
            </w:pPr>
          </w:p>
        </w:tc>
      </w:tr>
    </w:tbl>
    <w:p w14:paraId="497BA999">
      <w:pPr>
        <w:pStyle w:val="15"/>
        <w:ind w:left="1080" w:leftChars="257" w:hanging="540"/>
        <w:rPr>
          <w:rFonts w:ascii="微软雅黑" w:hAnsi="微软雅黑" w:eastAsia="微软雅黑" w:cs="微软雅黑"/>
          <w:color w:val="auto"/>
          <w:sz w:val="24"/>
          <w:szCs w:val="24"/>
          <w:highlight w:val="none"/>
        </w:rPr>
      </w:pPr>
    </w:p>
    <w:p w14:paraId="3D160368">
      <w:pPr>
        <w:pStyle w:val="15"/>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法定代表人或其委托代理人（签字或盖章）：</w:t>
      </w:r>
    </w:p>
    <w:p w14:paraId="70023E3D">
      <w:pPr>
        <w:pStyle w:val="15"/>
        <w:tabs>
          <w:tab w:val="left" w:pos="537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lang w:eastAsia="zh-CN"/>
        </w:rPr>
        <w:t>）：</w:t>
      </w:r>
    </w:p>
    <w:p w14:paraId="427FD157">
      <w:pPr>
        <w:pStyle w:val="15"/>
        <w:ind w:left="1080" w:leftChars="257" w:hanging="540"/>
        <w:rPr>
          <w:rFonts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注</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各项货物详细技术性能应另页描述。</w:t>
      </w:r>
    </w:p>
    <w:p w14:paraId="3F642C0C">
      <w:pPr>
        <w:pStyle w:val="15"/>
        <w:ind w:left="1080" w:leftChars="257" w:hanging="540"/>
        <w:jc w:val="center"/>
        <w:rPr>
          <w:rFonts w:ascii="微软雅黑" w:hAnsi="微软雅黑" w:eastAsia="微软雅黑" w:cs="微软雅黑"/>
          <w:b/>
          <w:bCs/>
          <w:color w:val="auto"/>
          <w:sz w:val="24"/>
          <w:szCs w:val="24"/>
          <w:highlight w:val="none"/>
        </w:rPr>
      </w:pPr>
    </w:p>
    <w:p w14:paraId="5341631E">
      <w:pPr>
        <w:pStyle w:val="15"/>
        <w:ind w:left="1080" w:leftChars="257" w:hanging="540"/>
        <w:jc w:val="center"/>
        <w:rPr>
          <w:rFonts w:ascii="微软雅黑" w:hAnsi="微软雅黑" w:eastAsia="微软雅黑" w:cs="微软雅黑"/>
          <w:b/>
          <w:bCs/>
          <w:color w:val="auto"/>
          <w:sz w:val="24"/>
          <w:szCs w:val="24"/>
          <w:highlight w:val="none"/>
        </w:rPr>
      </w:pPr>
    </w:p>
    <w:p w14:paraId="191FF213">
      <w:pPr>
        <w:pStyle w:val="15"/>
        <w:ind w:left="1080" w:leftChars="257" w:hanging="540"/>
        <w:jc w:val="center"/>
        <w:rPr>
          <w:rFonts w:ascii="微软雅黑" w:hAnsi="微软雅黑" w:eastAsia="微软雅黑" w:cs="微软雅黑"/>
          <w:b/>
          <w:bCs/>
          <w:color w:val="auto"/>
          <w:sz w:val="24"/>
          <w:szCs w:val="24"/>
          <w:highlight w:val="none"/>
        </w:rPr>
      </w:pPr>
    </w:p>
    <w:p w14:paraId="5FFE0025">
      <w:pPr>
        <w:pStyle w:val="15"/>
        <w:ind w:left="1080" w:leftChars="257" w:hanging="540"/>
        <w:jc w:val="center"/>
        <w:rPr>
          <w:rFonts w:ascii="微软雅黑" w:hAnsi="微软雅黑" w:eastAsia="微软雅黑" w:cs="微软雅黑"/>
          <w:b/>
          <w:bCs/>
          <w:color w:val="auto"/>
          <w:sz w:val="24"/>
          <w:szCs w:val="24"/>
          <w:highlight w:val="none"/>
        </w:rPr>
      </w:pPr>
    </w:p>
    <w:p w14:paraId="00D9DA61">
      <w:pPr>
        <w:pStyle w:val="15"/>
        <w:ind w:left="1080" w:leftChars="257" w:hanging="540"/>
        <w:jc w:val="center"/>
        <w:rPr>
          <w:rFonts w:ascii="微软雅黑" w:hAnsi="微软雅黑" w:eastAsia="微软雅黑" w:cs="微软雅黑"/>
          <w:b/>
          <w:bCs/>
          <w:color w:val="auto"/>
          <w:sz w:val="24"/>
          <w:szCs w:val="24"/>
          <w:highlight w:val="none"/>
        </w:rPr>
      </w:pPr>
    </w:p>
    <w:p w14:paraId="467FE4C9">
      <w:pPr>
        <w:pStyle w:val="15"/>
        <w:ind w:left="1080" w:leftChars="257" w:hanging="540"/>
        <w:jc w:val="center"/>
        <w:rPr>
          <w:rFonts w:ascii="微软雅黑" w:hAnsi="微软雅黑" w:eastAsia="微软雅黑" w:cs="微软雅黑"/>
          <w:b/>
          <w:bCs/>
          <w:color w:val="auto"/>
          <w:sz w:val="24"/>
          <w:szCs w:val="24"/>
          <w:highlight w:val="none"/>
        </w:rPr>
      </w:pPr>
    </w:p>
    <w:p w14:paraId="1BD047E7">
      <w:pPr>
        <w:pStyle w:val="16"/>
        <w:ind w:left="2520"/>
        <w:rPr>
          <w:rFonts w:ascii="微软雅黑" w:hAnsi="微软雅黑" w:eastAsia="微软雅黑" w:cs="微软雅黑"/>
          <w:b/>
          <w:bCs/>
          <w:color w:val="auto"/>
          <w:sz w:val="24"/>
          <w:highlight w:val="none"/>
        </w:rPr>
      </w:pPr>
    </w:p>
    <w:p w14:paraId="712F2ADF">
      <w:pPr>
        <w:rPr>
          <w:color w:val="auto"/>
          <w:highlight w:val="none"/>
        </w:rPr>
      </w:pPr>
    </w:p>
    <w:p w14:paraId="6D06152D">
      <w:pPr>
        <w:pStyle w:val="15"/>
        <w:ind w:left="1080" w:leftChars="257" w:hanging="540"/>
        <w:jc w:val="center"/>
        <w:rPr>
          <w:rFonts w:ascii="微软雅黑" w:hAnsi="微软雅黑" w:eastAsia="微软雅黑" w:cs="微软雅黑"/>
          <w:b/>
          <w:bCs/>
          <w:color w:val="auto"/>
          <w:sz w:val="24"/>
          <w:szCs w:val="24"/>
          <w:highlight w:val="none"/>
        </w:rPr>
      </w:pPr>
    </w:p>
    <w:p w14:paraId="26834394">
      <w:pPr>
        <w:pStyle w:val="15"/>
        <w:ind w:left="1080" w:leftChars="257" w:hanging="540"/>
        <w:jc w:val="center"/>
        <w:rPr>
          <w:rFonts w:ascii="微软雅黑" w:hAnsi="微软雅黑" w:eastAsia="微软雅黑" w:cs="微软雅黑"/>
          <w:b/>
          <w:bCs/>
          <w:color w:val="auto"/>
          <w:sz w:val="24"/>
          <w:szCs w:val="24"/>
          <w:highlight w:val="none"/>
        </w:rPr>
      </w:pPr>
    </w:p>
    <w:p w14:paraId="53EC50A0">
      <w:pPr>
        <w:pStyle w:val="15"/>
        <w:ind w:left="1080" w:leftChars="257" w:hanging="540"/>
        <w:jc w:val="center"/>
        <w:outlineLvl w:val="1"/>
        <w:rPr>
          <w:rFonts w:ascii="微软雅黑" w:hAnsi="微软雅黑" w:eastAsia="微软雅黑" w:cs="微软雅黑"/>
          <w:b/>
          <w:bCs/>
          <w:color w:val="auto"/>
          <w:sz w:val="24"/>
          <w:szCs w:val="24"/>
          <w:highlight w:val="none"/>
        </w:rPr>
      </w:pPr>
      <w:bookmarkStart w:id="630" w:name="_Toc32666"/>
      <w:bookmarkStart w:id="631" w:name="_Toc23542"/>
      <w:bookmarkStart w:id="632" w:name="_Toc3537"/>
      <w:bookmarkStart w:id="633" w:name="_Toc28368"/>
      <w:bookmarkStart w:id="634" w:name="_Toc13093"/>
      <w:bookmarkStart w:id="635" w:name="_Toc21786"/>
      <w:bookmarkStart w:id="636" w:name="_Toc20177"/>
      <w:bookmarkStart w:id="637" w:name="_Toc28414"/>
      <w:bookmarkStart w:id="638" w:name="_Toc13229"/>
      <w:bookmarkStart w:id="639" w:name="_Toc26490"/>
      <w:r>
        <w:rPr>
          <w:rFonts w:hint="eastAsia" w:ascii="微软雅黑" w:hAnsi="微软雅黑" w:eastAsia="微软雅黑" w:cs="微软雅黑"/>
          <w:b/>
          <w:bCs/>
          <w:color w:val="auto"/>
          <w:sz w:val="24"/>
          <w:szCs w:val="24"/>
          <w:highlight w:val="none"/>
          <w:lang w:eastAsia="zh-CN"/>
        </w:rPr>
        <w:t>4</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技术规格偏离表</w:t>
      </w:r>
      <w:bookmarkEnd w:id="630"/>
      <w:bookmarkEnd w:id="631"/>
      <w:bookmarkEnd w:id="632"/>
      <w:bookmarkEnd w:id="633"/>
      <w:bookmarkEnd w:id="634"/>
      <w:bookmarkEnd w:id="635"/>
      <w:bookmarkEnd w:id="636"/>
      <w:bookmarkEnd w:id="637"/>
      <w:bookmarkEnd w:id="638"/>
      <w:bookmarkEnd w:id="639"/>
    </w:p>
    <w:p w14:paraId="1AF19244">
      <w:pPr>
        <w:pStyle w:val="15"/>
        <w:ind w:left="1080" w:leftChars="257" w:hanging="540"/>
        <w:rPr>
          <w:rFonts w:ascii="微软雅黑" w:hAnsi="微软雅黑" w:eastAsia="微软雅黑" w:cs="微软雅黑"/>
          <w:color w:val="auto"/>
          <w:sz w:val="24"/>
          <w:szCs w:val="24"/>
          <w:highlight w:val="none"/>
        </w:rPr>
      </w:pPr>
    </w:p>
    <w:p w14:paraId="68E6F3DB">
      <w:pPr>
        <w:pStyle w:val="15"/>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项目编号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包号</w:t>
      </w:r>
      <w:r>
        <w:rPr>
          <w:rFonts w:hint="eastAsia" w:ascii="微软雅黑" w:hAnsi="微软雅黑" w:eastAsia="微软雅黑" w:cs="微软雅黑"/>
          <w:color w:val="auto"/>
          <w:sz w:val="24"/>
          <w:szCs w:val="24"/>
          <w:highlight w:val="none"/>
          <w:lang w:eastAsia="zh-CN"/>
        </w:rPr>
        <w:t>：</w:t>
      </w:r>
    </w:p>
    <w:p w14:paraId="79062FD1">
      <w:pPr>
        <w:pStyle w:val="15"/>
        <w:ind w:left="1080" w:leftChars="257" w:hanging="540"/>
        <w:rPr>
          <w:rFonts w:ascii="微软雅黑" w:hAnsi="微软雅黑" w:eastAsia="微软雅黑" w:cs="微软雅黑"/>
          <w:color w:val="auto"/>
          <w:sz w:val="24"/>
          <w:szCs w:val="24"/>
          <w:highlight w:val="none"/>
        </w:rPr>
      </w:pPr>
    </w:p>
    <w:tbl>
      <w:tblPr>
        <w:tblStyle w:val="30"/>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504"/>
        <w:gridCol w:w="2797"/>
        <w:gridCol w:w="1506"/>
        <w:gridCol w:w="1506"/>
        <w:gridCol w:w="1076"/>
      </w:tblGrid>
      <w:tr w14:paraId="064C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 w:hRule="atLeast"/>
          <w:jc w:val="center"/>
        </w:trPr>
        <w:tc>
          <w:tcPr>
            <w:tcW w:w="990" w:type="dxa"/>
            <w:vAlign w:val="center"/>
          </w:tcPr>
          <w:p w14:paraId="0C6DC310">
            <w:pPr>
              <w:pStyle w:val="15"/>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504" w:type="dxa"/>
            <w:vAlign w:val="center"/>
          </w:tcPr>
          <w:p w14:paraId="4EDC4767">
            <w:pPr>
              <w:pStyle w:val="15"/>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货物名称</w:t>
            </w:r>
          </w:p>
        </w:tc>
        <w:tc>
          <w:tcPr>
            <w:tcW w:w="2797" w:type="dxa"/>
            <w:vAlign w:val="center"/>
          </w:tcPr>
          <w:p w14:paraId="15F01B1B">
            <w:pPr>
              <w:pStyle w:val="15"/>
              <w:ind w:left="269" w:leftChars="128"/>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招标规格</w:t>
            </w:r>
          </w:p>
        </w:tc>
        <w:tc>
          <w:tcPr>
            <w:tcW w:w="1506" w:type="dxa"/>
            <w:vAlign w:val="center"/>
          </w:tcPr>
          <w:p w14:paraId="0EAED0B2">
            <w:pPr>
              <w:pStyle w:val="15"/>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投标规格</w:t>
            </w:r>
          </w:p>
        </w:tc>
        <w:tc>
          <w:tcPr>
            <w:tcW w:w="1506" w:type="dxa"/>
            <w:vAlign w:val="center"/>
          </w:tcPr>
          <w:p w14:paraId="65350F41">
            <w:pPr>
              <w:pStyle w:val="15"/>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c>
          <w:tcPr>
            <w:tcW w:w="1076" w:type="dxa"/>
            <w:vAlign w:val="center"/>
          </w:tcPr>
          <w:p w14:paraId="3721F788">
            <w:pPr>
              <w:pStyle w:val="15"/>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3E22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14:paraId="2630FF26">
            <w:pPr>
              <w:pStyle w:val="15"/>
              <w:ind w:left="1080" w:leftChars="257" w:hanging="540"/>
              <w:rPr>
                <w:rFonts w:ascii="微软雅黑" w:hAnsi="微软雅黑" w:eastAsia="微软雅黑" w:cs="微软雅黑"/>
                <w:color w:val="auto"/>
                <w:sz w:val="24"/>
                <w:szCs w:val="24"/>
                <w:highlight w:val="none"/>
              </w:rPr>
            </w:pPr>
          </w:p>
        </w:tc>
        <w:tc>
          <w:tcPr>
            <w:tcW w:w="1504" w:type="dxa"/>
          </w:tcPr>
          <w:p w14:paraId="535CBCF2">
            <w:pPr>
              <w:pStyle w:val="15"/>
              <w:ind w:left="1080" w:leftChars="257" w:hanging="540"/>
              <w:rPr>
                <w:rFonts w:ascii="微软雅黑" w:hAnsi="微软雅黑" w:eastAsia="微软雅黑" w:cs="微软雅黑"/>
                <w:color w:val="auto"/>
                <w:sz w:val="24"/>
                <w:szCs w:val="24"/>
                <w:highlight w:val="none"/>
              </w:rPr>
            </w:pPr>
          </w:p>
        </w:tc>
        <w:tc>
          <w:tcPr>
            <w:tcW w:w="2797" w:type="dxa"/>
          </w:tcPr>
          <w:p w14:paraId="32CC363E">
            <w:pPr>
              <w:pStyle w:val="15"/>
              <w:ind w:left="1080" w:leftChars="257" w:hanging="540"/>
              <w:rPr>
                <w:rFonts w:ascii="微软雅黑" w:hAnsi="微软雅黑" w:eastAsia="微软雅黑" w:cs="微软雅黑"/>
                <w:color w:val="auto"/>
                <w:sz w:val="24"/>
                <w:szCs w:val="24"/>
                <w:highlight w:val="none"/>
              </w:rPr>
            </w:pPr>
          </w:p>
        </w:tc>
        <w:tc>
          <w:tcPr>
            <w:tcW w:w="1506" w:type="dxa"/>
          </w:tcPr>
          <w:p w14:paraId="6B86A7B1">
            <w:pPr>
              <w:pStyle w:val="15"/>
              <w:ind w:left="1080" w:leftChars="257" w:hanging="540"/>
              <w:rPr>
                <w:rFonts w:ascii="微软雅黑" w:hAnsi="微软雅黑" w:eastAsia="微软雅黑" w:cs="微软雅黑"/>
                <w:color w:val="auto"/>
                <w:sz w:val="24"/>
                <w:szCs w:val="24"/>
                <w:highlight w:val="none"/>
              </w:rPr>
            </w:pPr>
          </w:p>
        </w:tc>
        <w:tc>
          <w:tcPr>
            <w:tcW w:w="1506" w:type="dxa"/>
          </w:tcPr>
          <w:p w14:paraId="26C7F562">
            <w:pPr>
              <w:pStyle w:val="15"/>
              <w:ind w:left="1080" w:leftChars="257" w:hanging="540"/>
              <w:rPr>
                <w:rFonts w:ascii="微软雅黑" w:hAnsi="微软雅黑" w:eastAsia="微软雅黑" w:cs="微软雅黑"/>
                <w:color w:val="auto"/>
                <w:sz w:val="24"/>
                <w:szCs w:val="24"/>
                <w:highlight w:val="none"/>
              </w:rPr>
            </w:pPr>
          </w:p>
        </w:tc>
        <w:tc>
          <w:tcPr>
            <w:tcW w:w="1076" w:type="dxa"/>
          </w:tcPr>
          <w:p w14:paraId="271AB414">
            <w:pPr>
              <w:pStyle w:val="15"/>
              <w:ind w:left="1080" w:leftChars="257" w:hanging="540"/>
              <w:rPr>
                <w:rFonts w:ascii="微软雅黑" w:hAnsi="微软雅黑" w:eastAsia="微软雅黑" w:cs="微软雅黑"/>
                <w:color w:val="auto"/>
                <w:sz w:val="24"/>
                <w:szCs w:val="24"/>
                <w:highlight w:val="none"/>
              </w:rPr>
            </w:pPr>
          </w:p>
        </w:tc>
      </w:tr>
      <w:tr w14:paraId="34C0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14:paraId="4A6C820A">
            <w:pPr>
              <w:pStyle w:val="15"/>
              <w:ind w:left="1080" w:leftChars="257" w:hanging="540"/>
              <w:rPr>
                <w:rFonts w:ascii="微软雅黑" w:hAnsi="微软雅黑" w:eastAsia="微软雅黑" w:cs="微软雅黑"/>
                <w:color w:val="auto"/>
                <w:sz w:val="24"/>
                <w:szCs w:val="24"/>
                <w:highlight w:val="none"/>
              </w:rPr>
            </w:pPr>
          </w:p>
        </w:tc>
        <w:tc>
          <w:tcPr>
            <w:tcW w:w="1504" w:type="dxa"/>
          </w:tcPr>
          <w:p w14:paraId="7D9F81AA">
            <w:pPr>
              <w:pStyle w:val="15"/>
              <w:ind w:left="1080" w:leftChars="257" w:hanging="540"/>
              <w:rPr>
                <w:rFonts w:ascii="微软雅黑" w:hAnsi="微软雅黑" w:eastAsia="微软雅黑" w:cs="微软雅黑"/>
                <w:color w:val="auto"/>
                <w:sz w:val="24"/>
                <w:szCs w:val="24"/>
                <w:highlight w:val="none"/>
              </w:rPr>
            </w:pPr>
          </w:p>
        </w:tc>
        <w:tc>
          <w:tcPr>
            <w:tcW w:w="2797" w:type="dxa"/>
          </w:tcPr>
          <w:p w14:paraId="1F665803">
            <w:pPr>
              <w:pStyle w:val="15"/>
              <w:ind w:left="1080" w:leftChars="257" w:hanging="540"/>
              <w:rPr>
                <w:rFonts w:ascii="微软雅黑" w:hAnsi="微软雅黑" w:eastAsia="微软雅黑" w:cs="微软雅黑"/>
                <w:color w:val="auto"/>
                <w:sz w:val="24"/>
                <w:szCs w:val="24"/>
                <w:highlight w:val="none"/>
              </w:rPr>
            </w:pPr>
          </w:p>
        </w:tc>
        <w:tc>
          <w:tcPr>
            <w:tcW w:w="1506" w:type="dxa"/>
          </w:tcPr>
          <w:p w14:paraId="2A22160F">
            <w:pPr>
              <w:pStyle w:val="15"/>
              <w:ind w:left="1080" w:leftChars="257" w:hanging="540"/>
              <w:rPr>
                <w:rFonts w:ascii="微软雅黑" w:hAnsi="微软雅黑" w:eastAsia="微软雅黑" w:cs="微软雅黑"/>
                <w:color w:val="auto"/>
                <w:sz w:val="24"/>
                <w:szCs w:val="24"/>
                <w:highlight w:val="none"/>
              </w:rPr>
            </w:pPr>
          </w:p>
        </w:tc>
        <w:tc>
          <w:tcPr>
            <w:tcW w:w="1506" w:type="dxa"/>
          </w:tcPr>
          <w:p w14:paraId="27387398">
            <w:pPr>
              <w:pStyle w:val="15"/>
              <w:ind w:left="1080" w:leftChars="257" w:hanging="540"/>
              <w:rPr>
                <w:rFonts w:ascii="微软雅黑" w:hAnsi="微软雅黑" w:eastAsia="微软雅黑" w:cs="微软雅黑"/>
                <w:color w:val="auto"/>
                <w:sz w:val="24"/>
                <w:szCs w:val="24"/>
                <w:highlight w:val="none"/>
              </w:rPr>
            </w:pPr>
          </w:p>
        </w:tc>
        <w:tc>
          <w:tcPr>
            <w:tcW w:w="1076" w:type="dxa"/>
          </w:tcPr>
          <w:p w14:paraId="5F995242">
            <w:pPr>
              <w:pStyle w:val="15"/>
              <w:ind w:left="1080" w:leftChars="257" w:hanging="540"/>
              <w:rPr>
                <w:rFonts w:ascii="微软雅黑" w:hAnsi="微软雅黑" w:eastAsia="微软雅黑" w:cs="微软雅黑"/>
                <w:color w:val="auto"/>
                <w:sz w:val="24"/>
                <w:szCs w:val="24"/>
                <w:highlight w:val="none"/>
              </w:rPr>
            </w:pPr>
          </w:p>
        </w:tc>
      </w:tr>
      <w:tr w14:paraId="0888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14:paraId="38C771C7">
            <w:pPr>
              <w:pStyle w:val="15"/>
              <w:ind w:left="1080" w:leftChars="257" w:hanging="540"/>
              <w:rPr>
                <w:rFonts w:ascii="微软雅黑" w:hAnsi="微软雅黑" w:eastAsia="微软雅黑" w:cs="微软雅黑"/>
                <w:color w:val="auto"/>
                <w:sz w:val="24"/>
                <w:szCs w:val="24"/>
                <w:highlight w:val="none"/>
              </w:rPr>
            </w:pPr>
          </w:p>
        </w:tc>
        <w:tc>
          <w:tcPr>
            <w:tcW w:w="1504" w:type="dxa"/>
          </w:tcPr>
          <w:p w14:paraId="0086B5E9">
            <w:pPr>
              <w:pStyle w:val="15"/>
              <w:ind w:left="1080" w:leftChars="257" w:hanging="540"/>
              <w:rPr>
                <w:rFonts w:ascii="微软雅黑" w:hAnsi="微软雅黑" w:eastAsia="微软雅黑" w:cs="微软雅黑"/>
                <w:color w:val="auto"/>
                <w:sz w:val="24"/>
                <w:szCs w:val="24"/>
                <w:highlight w:val="none"/>
              </w:rPr>
            </w:pPr>
          </w:p>
        </w:tc>
        <w:tc>
          <w:tcPr>
            <w:tcW w:w="2797" w:type="dxa"/>
          </w:tcPr>
          <w:p w14:paraId="7BEE4BAF">
            <w:pPr>
              <w:pStyle w:val="15"/>
              <w:ind w:left="1080" w:leftChars="257" w:hanging="540"/>
              <w:rPr>
                <w:rFonts w:ascii="微软雅黑" w:hAnsi="微软雅黑" w:eastAsia="微软雅黑" w:cs="微软雅黑"/>
                <w:color w:val="auto"/>
                <w:sz w:val="24"/>
                <w:szCs w:val="24"/>
                <w:highlight w:val="none"/>
              </w:rPr>
            </w:pPr>
          </w:p>
        </w:tc>
        <w:tc>
          <w:tcPr>
            <w:tcW w:w="1506" w:type="dxa"/>
          </w:tcPr>
          <w:p w14:paraId="52672F0A">
            <w:pPr>
              <w:pStyle w:val="15"/>
              <w:ind w:left="1080" w:leftChars="257" w:hanging="540"/>
              <w:rPr>
                <w:rFonts w:ascii="微软雅黑" w:hAnsi="微软雅黑" w:eastAsia="微软雅黑" w:cs="微软雅黑"/>
                <w:color w:val="auto"/>
                <w:sz w:val="24"/>
                <w:szCs w:val="24"/>
                <w:highlight w:val="none"/>
              </w:rPr>
            </w:pPr>
          </w:p>
        </w:tc>
        <w:tc>
          <w:tcPr>
            <w:tcW w:w="1506" w:type="dxa"/>
          </w:tcPr>
          <w:p w14:paraId="758DE10E">
            <w:pPr>
              <w:pStyle w:val="15"/>
              <w:ind w:left="1080" w:leftChars="257" w:hanging="540"/>
              <w:rPr>
                <w:rFonts w:ascii="微软雅黑" w:hAnsi="微软雅黑" w:eastAsia="微软雅黑" w:cs="微软雅黑"/>
                <w:color w:val="auto"/>
                <w:sz w:val="24"/>
                <w:szCs w:val="24"/>
                <w:highlight w:val="none"/>
              </w:rPr>
            </w:pPr>
          </w:p>
        </w:tc>
        <w:tc>
          <w:tcPr>
            <w:tcW w:w="1076" w:type="dxa"/>
          </w:tcPr>
          <w:p w14:paraId="25DBE25A">
            <w:pPr>
              <w:pStyle w:val="15"/>
              <w:ind w:left="1080" w:leftChars="257" w:hanging="540"/>
              <w:rPr>
                <w:rFonts w:ascii="微软雅黑" w:hAnsi="微软雅黑" w:eastAsia="微软雅黑" w:cs="微软雅黑"/>
                <w:color w:val="auto"/>
                <w:sz w:val="24"/>
                <w:szCs w:val="24"/>
                <w:highlight w:val="none"/>
              </w:rPr>
            </w:pPr>
          </w:p>
        </w:tc>
      </w:tr>
      <w:tr w14:paraId="10C8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14:paraId="680087AF">
            <w:pPr>
              <w:pStyle w:val="15"/>
              <w:ind w:left="1080" w:leftChars="257" w:hanging="540"/>
              <w:rPr>
                <w:rFonts w:ascii="微软雅黑" w:hAnsi="微软雅黑" w:eastAsia="微软雅黑" w:cs="微软雅黑"/>
                <w:color w:val="auto"/>
                <w:sz w:val="24"/>
                <w:szCs w:val="24"/>
                <w:highlight w:val="none"/>
              </w:rPr>
            </w:pPr>
          </w:p>
        </w:tc>
        <w:tc>
          <w:tcPr>
            <w:tcW w:w="1504" w:type="dxa"/>
          </w:tcPr>
          <w:p w14:paraId="7ABB31E5">
            <w:pPr>
              <w:pStyle w:val="15"/>
              <w:ind w:left="1080" w:leftChars="257" w:hanging="540"/>
              <w:rPr>
                <w:rFonts w:ascii="微软雅黑" w:hAnsi="微软雅黑" w:eastAsia="微软雅黑" w:cs="微软雅黑"/>
                <w:color w:val="auto"/>
                <w:sz w:val="24"/>
                <w:szCs w:val="24"/>
                <w:highlight w:val="none"/>
              </w:rPr>
            </w:pPr>
          </w:p>
        </w:tc>
        <w:tc>
          <w:tcPr>
            <w:tcW w:w="2797" w:type="dxa"/>
          </w:tcPr>
          <w:p w14:paraId="40DE3A7D">
            <w:pPr>
              <w:pStyle w:val="15"/>
              <w:ind w:left="1080" w:leftChars="257" w:hanging="540"/>
              <w:rPr>
                <w:rFonts w:ascii="微软雅黑" w:hAnsi="微软雅黑" w:eastAsia="微软雅黑" w:cs="微软雅黑"/>
                <w:color w:val="auto"/>
                <w:sz w:val="24"/>
                <w:szCs w:val="24"/>
                <w:highlight w:val="none"/>
              </w:rPr>
            </w:pPr>
          </w:p>
        </w:tc>
        <w:tc>
          <w:tcPr>
            <w:tcW w:w="1506" w:type="dxa"/>
          </w:tcPr>
          <w:p w14:paraId="594F63A3">
            <w:pPr>
              <w:pStyle w:val="15"/>
              <w:ind w:left="1080" w:leftChars="257" w:hanging="540"/>
              <w:rPr>
                <w:rFonts w:ascii="微软雅黑" w:hAnsi="微软雅黑" w:eastAsia="微软雅黑" w:cs="微软雅黑"/>
                <w:color w:val="auto"/>
                <w:sz w:val="24"/>
                <w:szCs w:val="24"/>
                <w:highlight w:val="none"/>
              </w:rPr>
            </w:pPr>
          </w:p>
        </w:tc>
        <w:tc>
          <w:tcPr>
            <w:tcW w:w="1506" w:type="dxa"/>
          </w:tcPr>
          <w:p w14:paraId="66B2D40F">
            <w:pPr>
              <w:pStyle w:val="15"/>
              <w:ind w:left="1080" w:leftChars="257" w:hanging="540"/>
              <w:rPr>
                <w:rFonts w:ascii="微软雅黑" w:hAnsi="微软雅黑" w:eastAsia="微软雅黑" w:cs="微软雅黑"/>
                <w:color w:val="auto"/>
                <w:sz w:val="24"/>
                <w:szCs w:val="24"/>
                <w:highlight w:val="none"/>
              </w:rPr>
            </w:pPr>
          </w:p>
        </w:tc>
        <w:tc>
          <w:tcPr>
            <w:tcW w:w="1076" w:type="dxa"/>
          </w:tcPr>
          <w:p w14:paraId="63610B5D">
            <w:pPr>
              <w:pStyle w:val="15"/>
              <w:ind w:left="1080" w:leftChars="257" w:hanging="540"/>
              <w:rPr>
                <w:rFonts w:ascii="微软雅黑" w:hAnsi="微软雅黑" w:eastAsia="微软雅黑" w:cs="微软雅黑"/>
                <w:color w:val="auto"/>
                <w:sz w:val="24"/>
                <w:szCs w:val="24"/>
                <w:highlight w:val="none"/>
              </w:rPr>
            </w:pPr>
          </w:p>
        </w:tc>
      </w:tr>
      <w:tr w14:paraId="3073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14:paraId="23EFAA35">
            <w:pPr>
              <w:pStyle w:val="15"/>
              <w:ind w:left="1080" w:leftChars="257" w:hanging="540"/>
              <w:rPr>
                <w:rFonts w:ascii="微软雅黑" w:hAnsi="微软雅黑" w:eastAsia="微软雅黑" w:cs="微软雅黑"/>
                <w:color w:val="auto"/>
                <w:sz w:val="24"/>
                <w:szCs w:val="24"/>
                <w:highlight w:val="none"/>
              </w:rPr>
            </w:pPr>
          </w:p>
        </w:tc>
        <w:tc>
          <w:tcPr>
            <w:tcW w:w="1504" w:type="dxa"/>
          </w:tcPr>
          <w:p w14:paraId="5C72F7A6">
            <w:pPr>
              <w:pStyle w:val="15"/>
              <w:ind w:left="1080" w:leftChars="257" w:hanging="540"/>
              <w:rPr>
                <w:rFonts w:ascii="微软雅黑" w:hAnsi="微软雅黑" w:eastAsia="微软雅黑" w:cs="微软雅黑"/>
                <w:color w:val="auto"/>
                <w:sz w:val="24"/>
                <w:szCs w:val="24"/>
                <w:highlight w:val="none"/>
              </w:rPr>
            </w:pPr>
          </w:p>
        </w:tc>
        <w:tc>
          <w:tcPr>
            <w:tcW w:w="2797" w:type="dxa"/>
          </w:tcPr>
          <w:p w14:paraId="7841B02D">
            <w:pPr>
              <w:pStyle w:val="15"/>
              <w:ind w:left="1080" w:leftChars="257" w:hanging="540"/>
              <w:rPr>
                <w:rFonts w:ascii="微软雅黑" w:hAnsi="微软雅黑" w:eastAsia="微软雅黑" w:cs="微软雅黑"/>
                <w:color w:val="auto"/>
                <w:sz w:val="24"/>
                <w:szCs w:val="24"/>
                <w:highlight w:val="none"/>
              </w:rPr>
            </w:pPr>
          </w:p>
        </w:tc>
        <w:tc>
          <w:tcPr>
            <w:tcW w:w="1506" w:type="dxa"/>
          </w:tcPr>
          <w:p w14:paraId="4637A497">
            <w:pPr>
              <w:pStyle w:val="15"/>
              <w:ind w:left="1080" w:leftChars="257" w:hanging="540"/>
              <w:rPr>
                <w:rFonts w:ascii="微软雅黑" w:hAnsi="微软雅黑" w:eastAsia="微软雅黑" w:cs="微软雅黑"/>
                <w:color w:val="auto"/>
                <w:sz w:val="24"/>
                <w:szCs w:val="24"/>
                <w:highlight w:val="none"/>
              </w:rPr>
            </w:pPr>
          </w:p>
        </w:tc>
        <w:tc>
          <w:tcPr>
            <w:tcW w:w="1506" w:type="dxa"/>
          </w:tcPr>
          <w:p w14:paraId="716A7222">
            <w:pPr>
              <w:pStyle w:val="15"/>
              <w:ind w:left="1080" w:leftChars="257" w:hanging="540"/>
              <w:rPr>
                <w:rFonts w:ascii="微软雅黑" w:hAnsi="微软雅黑" w:eastAsia="微软雅黑" w:cs="微软雅黑"/>
                <w:color w:val="auto"/>
                <w:sz w:val="24"/>
                <w:szCs w:val="24"/>
                <w:highlight w:val="none"/>
              </w:rPr>
            </w:pPr>
          </w:p>
        </w:tc>
        <w:tc>
          <w:tcPr>
            <w:tcW w:w="1076" w:type="dxa"/>
          </w:tcPr>
          <w:p w14:paraId="7CD3B5F8">
            <w:pPr>
              <w:pStyle w:val="15"/>
              <w:ind w:left="1080" w:leftChars="257" w:hanging="540"/>
              <w:rPr>
                <w:rFonts w:ascii="微软雅黑" w:hAnsi="微软雅黑" w:eastAsia="微软雅黑" w:cs="微软雅黑"/>
                <w:color w:val="auto"/>
                <w:sz w:val="24"/>
                <w:szCs w:val="24"/>
                <w:highlight w:val="none"/>
              </w:rPr>
            </w:pPr>
          </w:p>
        </w:tc>
      </w:tr>
      <w:tr w14:paraId="1120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14:paraId="1CBD4964">
            <w:pPr>
              <w:pStyle w:val="15"/>
              <w:ind w:left="1080" w:leftChars="257" w:hanging="540"/>
              <w:rPr>
                <w:rFonts w:ascii="微软雅黑" w:hAnsi="微软雅黑" w:eastAsia="微软雅黑" w:cs="微软雅黑"/>
                <w:color w:val="auto"/>
                <w:sz w:val="24"/>
                <w:szCs w:val="24"/>
                <w:highlight w:val="none"/>
              </w:rPr>
            </w:pPr>
          </w:p>
        </w:tc>
        <w:tc>
          <w:tcPr>
            <w:tcW w:w="1504" w:type="dxa"/>
          </w:tcPr>
          <w:p w14:paraId="7AE375F5">
            <w:pPr>
              <w:pStyle w:val="15"/>
              <w:ind w:left="1080" w:leftChars="257" w:hanging="540"/>
              <w:rPr>
                <w:rFonts w:ascii="微软雅黑" w:hAnsi="微软雅黑" w:eastAsia="微软雅黑" w:cs="微软雅黑"/>
                <w:color w:val="auto"/>
                <w:sz w:val="24"/>
                <w:szCs w:val="24"/>
                <w:highlight w:val="none"/>
              </w:rPr>
            </w:pPr>
          </w:p>
        </w:tc>
        <w:tc>
          <w:tcPr>
            <w:tcW w:w="2797" w:type="dxa"/>
          </w:tcPr>
          <w:p w14:paraId="34BEDB19">
            <w:pPr>
              <w:pStyle w:val="15"/>
              <w:ind w:left="1080" w:leftChars="257" w:hanging="540"/>
              <w:rPr>
                <w:rFonts w:ascii="微软雅黑" w:hAnsi="微软雅黑" w:eastAsia="微软雅黑" w:cs="微软雅黑"/>
                <w:color w:val="auto"/>
                <w:sz w:val="24"/>
                <w:szCs w:val="24"/>
                <w:highlight w:val="none"/>
              </w:rPr>
            </w:pPr>
          </w:p>
        </w:tc>
        <w:tc>
          <w:tcPr>
            <w:tcW w:w="1506" w:type="dxa"/>
          </w:tcPr>
          <w:p w14:paraId="67C752D8">
            <w:pPr>
              <w:pStyle w:val="15"/>
              <w:ind w:left="1080" w:leftChars="257" w:hanging="540"/>
              <w:rPr>
                <w:rFonts w:ascii="微软雅黑" w:hAnsi="微软雅黑" w:eastAsia="微软雅黑" w:cs="微软雅黑"/>
                <w:color w:val="auto"/>
                <w:sz w:val="24"/>
                <w:szCs w:val="24"/>
                <w:highlight w:val="none"/>
              </w:rPr>
            </w:pPr>
          </w:p>
        </w:tc>
        <w:tc>
          <w:tcPr>
            <w:tcW w:w="1506" w:type="dxa"/>
          </w:tcPr>
          <w:p w14:paraId="58B945F9">
            <w:pPr>
              <w:pStyle w:val="15"/>
              <w:ind w:left="1080" w:leftChars="257" w:hanging="540"/>
              <w:rPr>
                <w:rFonts w:ascii="微软雅黑" w:hAnsi="微软雅黑" w:eastAsia="微软雅黑" w:cs="微软雅黑"/>
                <w:color w:val="auto"/>
                <w:sz w:val="24"/>
                <w:szCs w:val="24"/>
                <w:highlight w:val="none"/>
              </w:rPr>
            </w:pPr>
          </w:p>
        </w:tc>
        <w:tc>
          <w:tcPr>
            <w:tcW w:w="1076" w:type="dxa"/>
          </w:tcPr>
          <w:p w14:paraId="7B7FF5F1">
            <w:pPr>
              <w:pStyle w:val="15"/>
              <w:ind w:left="1080" w:leftChars="257" w:hanging="540"/>
              <w:rPr>
                <w:rFonts w:ascii="微软雅黑" w:hAnsi="微软雅黑" w:eastAsia="微软雅黑" w:cs="微软雅黑"/>
                <w:color w:val="auto"/>
                <w:sz w:val="24"/>
                <w:szCs w:val="24"/>
                <w:highlight w:val="none"/>
              </w:rPr>
            </w:pPr>
          </w:p>
        </w:tc>
      </w:tr>
      <w:tr w14:paraId="3911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90" w:type="dxa"/>
          </w:tcPr>
          <w:p w14:paraId="62F91E59">
            <w:pPr>
              <w:pStyle w:val="15"/>
              <w:ind w:left="1080" w:leftChars="257" w:hanging="540"/>
              <w:rPr>
                <w:rFonts w:ascii="微软雅黑" w:hAnsi="微软雅黑" w:eastAsia="微软雅黑" w:cs="微软雅黑"/>
                <w:color w:val="auto"/>
                <w:sz w:val="24"/>
                <w:szCs w:val="24"/>
                <w:highlight w:val="none"/>
              </w:rPr>
            </w:pPr>
          </w:p>
        </w:tc>
        <w:tc>
          <w:tcPr>
            <w:tcW w:w="1504" w:type="dxa"/>
          </w:tcPr>
          <w:p w14:paraId="3C4BDCF8">
            <w:pPr>
              <w:pStyle w:val="15"/>
              <w:ind w:left="1080" w:leftChars="257" w:hanging="540"/>
              <w:rPr>
                <w:rFonts w:ascii="微软雅黑" w:hAnsi="微软雅黑" w:eastAsia="微软雅黑" w:cs="微软雅黑"/>
                <w:color w:val="auto"/>
                <w:sz w:val="24"/>
                <w:szCs w:val="24"/>
                <w:highlight w:val="none"/>
              </w:rPr>
            </w:pPr>
          </w:p>
        </w:tc>
        <w:tc>
          <w:tcPr>
            <w:tcW w:w="2797" w:type="dxa"/>
          </w:tcPr>
          <w:p w14:paraId="259E10B0">
            <w:pPr>
              <w:pStyle w:val="15"/>
              <w:ind w:left="1080" w:leftChars="257" w:hanging="540"/>
              <w:rPr>
                <w:rFonts w:ascii="微软雅黑" w:hAnsi="微软雅黑" w:eastAsia="微软雅黑" w:cs="微软雅黑"/>
                <w:color w:val="auto"/>
                <w:sz w:val="24"/>
                <w:szCs w:val="24"/>
                <w:highlight w:val="none"/>
              </w:rPr>
            </w:pPr>
          </w:p>
        </w:tc>
        <w:tc>
          <w:tcPr>
            <w:tcW w:w="1506" w:type="dxa"/>
          </w:tcPr>
          <w:p w14:paraId="06DFCAC7">
            <w:pPr>
              <w:pStyle w:val="15"/>
              <w:ind w:left="1080" w:leftChars="257" w:hanging="540"/>
              <w:rPr>
                <w:rFonts w:ascii="微软雅黑" w:hAnsi="微软雅黑" w:eastAsia="微软雅黑" w:cs="微软雅黑"/>
                <w:color w:val="auto"/>
                <w:sz w:val="24"/>
                <w:szCs w:val="24"/>
                <w:highlight w:val="none"/>
              </w:rPr>
            </w:pPr>
          </w:p>
        </w:tc>
        <w:tc>
          <w:tcPr>
            <w:tcW w:w="1506" w:type="dxa"/>
          </w:tcPr>
          <w:p w14:paraId="106D8DD4">
            <w:pPr>
              <w:pStyle w:val="15"/>
              <w:ind w:left="1080" w:leftChars="257" w:hanging="540"/>
              <w:rPr>
                <w:rFonts w:ascii="微软雅黑" w:hAnsi="微软雅黑" w:eastAsia="微软雅黑" w:cs="微软雅黑"/>
                <w:color w:val="auto"/>
                <w:sz w:val="24"/>
                <w:szCs w:val="24"/>
                <w:highlight w:val="none"/>
              </w:rPr>
            </w:pPr>
          </w:p>
        </w:tc>
        <w:tc>
          <w:tcPr>
            <w:tcW w:w="1076" w:type="dxa"/>
          </w:tcPr>
          <w:p w14:paraId="0FD0F823">
            <w:pPr>
              <w:pStyle w:val="15"/>
              <w:ind w:left="1080" w:leftChars="257" w:hanging="540"/>
              <w:rPr>
                <w:rFonts w:ascii="微软雅黑" w:hAnsi="微软雅黑" w:eastAsia="微软雅黑" w:cs="微软雅黑"/>
                <w:color w:val="auto"/>
                <w:sz w:val="24"/>
                <w:szCs w:val="24"/>
                <w:highlight w:val="none"/>
              </w:rPr>
            </w:pPr>
          </w:p>
        </w:tc>
      </w:tr>
    </w:tbl>
    <w:p w14:paraId="37AF1564">
      <w:pPr>
        <w:pStyle w:val="15"/>
        <w:rPr>
          <w:rFonts w:ascii="微软雅黑" w:hAnsi="微软雅黑" w:eastAsia="微软雅黑" w:cs="微软雅黑"/>
          <w:color w:val="auto"/>
          <w:sz w:val="24"/>
          <w:szCs w:val="24"/>
          <w:highlight w:val="none"/>
        </w:rPr>
      </w:pPr>
    </w:p>
    <w:p w14:paraId="4E47E3FC">
      <w:pPr>
        <w:pStyle w:val="15"/>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lang w:eastAsia="zh-CN"/>
        </w:rPr>
        <w:t>：</w:t>
      </w:r>
    </w:p>
    <w:p w14:paraId="47B3A57D">
      <w:pPr>
        <w:pStyle w:val="15"/>
        <w:tabs>
          <w:tab w:val="left" w:pos="5370"/>
        </w:tabs>
        <w:ind w:left="1080" w:leftChars="257" w:hanging="540"/>
        <w:rPr>
          <w:rFonts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lang w:eastAsia="zh-CN"/>
        </w:rPr>
        <w:t>）：</w:t>
      </w:r>
    </w:p>
    <w:bookmarkEnd w:id="608"/>
    <w:bookmarkEnd w:id="609"/>
    <w:bookmarkEnd w:id="610"/>
    <w:bookmarkEnd w:id="611"/>
    <w:p w14:paraId="3DA4C790">
      <w:pPr>
        <w:ind w:firstLine="2310" w:firstLineChars="1100"/>
        <w:rPr>
          <w:rFonts w:ascii="微软雅黑" w:hAnsi="微软雅黑" w:eastAsia="微软雅黑" w:cs="微软雅黑"/>
          <w:color w:val="auto"/>
          <w:highlight w:val="none"/>
        </w:rPr>
      </w:pPr>
      <w:bookmarkStart w:id="640" w:name="_Toc216582818"/>
      <w:bookmarkStart w:id="641" w:name="_Toc515647821"/>
      <w:bookmarkStart w:id="642" w:name="_Toc23"/>
      <w:bookmarkStart w:id="643" w:name="_Toc31439"/>
      <w:bookmarkStart w:id="644" w:name="_Toc1980"/>
    </w:p>
    <w:p w14:paraId="0C9C4C85">
      <w:pPr>
        <w:ind w:firstLine="2310" w:firstLineChars="1100"/>
        <w:rPr>
          <w:rFonts w:ascii="微软雅黑" w:hAnsi="微软雅黑" w:eastAsia="微软雅黑" w:cs="微软雅黑"/>
          <w:color w:val="auto"/>
          <w:highlight w:val="none"/>
        </w:rPr>
      </w:pPr>
    </w:p>
    <w:p w14:paraId="5B4F620E">
      <w:pPr>
        <w:spacing w:before="54" w:line="285" w:lineRule="auto"/>
        <w:ind w:left="111" w:right="106" w:firstLine="72"/>
        <w:jc w:val="both"/>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eastAsia="zh-CN"/>
        </w:rPr>
        <w:t>注：表格中的说明可填写为（备注：印证资料页码及具体位置或其他说明）</w:t>
      </w:r>
    </w:p>
    <w:p w14:paraId="3E146EED">
      <w:pPr>
        <w:pStyle w:val="4"/>
        <w:rPr>
          <w:rFonts w:ascii="微软雅黑" w:hAnsi="微软雅黑" w:eastAsia="微软雅黑" w:cs="微软雅黑"/>
          <w:color w:val="auto"/>
          <w:highlight w:val="none"/>
        </w:rPr>
      </w:pPr>
    </w:p>
    <w:p w14:paraId="0CEB12C4">
      <w:pPr>
        <w:rPr>
          <w:rFonts w:ascii="微软雅黑" w:hAnsi="微软雅黑" w:eastAsia="微软雅黑" w:cs="微软雅黑"/>
          <w:color w:val="auto"/>
          <w:highlight w:val="none"/>
        </w:rPr>
      </w:pPr>
    </w:p>
    <w:p w14:paraId="0C48A8E7">
      <w:pPr>
        <w:pStyle w:val="4"/>
        <w:rPr>
          <w:rFonts w:ascii="微软雅黑" w:hAnsi="微软雅黑" w:eastAsia="微软雅黑" w:cs="微软雅黑"/>
          <w:color w:val="auto"/>
          <w:highlight w:val="none"/>
        </w:rPr>
      </w:pPr>
    </w:p>
    <w:p w14:paraId="42BF6036">
      <w:pPr>
        <w:rPr>
          <w:rFonts w:ascii="微软雅黑" w:hAnsi="微软雅黑" w:eastAsia="微软雅黑" w:cs="微软雅黑"/>
          <w:color w:val="auto"/>
          <w:highlight w:val="none"/>
        </w:rPr>
      </w:pPr>
    </w:p>
    <w:p w14:paraId="446EC013">
      <w:pPr>
        <w:pStyle w:val="4"/>
        <w:rPr>
          <w:rFonts w:ascii="微软雅黑" w:hAnsi="微软雅黑" w:eastAsia="微软雅黑" w:cs="微软雅黑"/>
          <w:color w:val="auto"/>
          <w:highlight w:val="none"/>
        </w:rPr>
      </w:pPr>
    </w:p>
    <w:p w14:paraId="75474A21">
      <w:pPr>
        <w:pStyle w:val="5"/>
        <w:rPr>
          <w:rFonts w:ascii="微软雅黑" w:hAnsi="微软雅黑" w:eastAsia="微软雅黑" w:cs="微软雅黑"/>
          <w:color w:val="auto"/>
          <w:highlight w:val="none"/>
        </w:rPr>
      </w:pPr>
    </w:p>
    <w:p w14:paraId="77E494E1">
      <w:pPr>
        <w:rPr>
          <w:color w:val="auto"/>
          <w:highlight w:val="none"/>
        </w:rPr>
      </w:pPr>
    </w:p>
    <w:bookmarkEnd w:id="640"/>
    <w:bookmarkEnd w:id="641"/>
    <w:bookmarkEnd w:id="642"/>
    <w:bookmarkEnd w:id="643"/>
    <w:bookmarkEnd w:id="644"/>
    <w:p w14:paraId="6BCCACBA">
      <w:pPr>
        <w:pStyle w:val="3"/>
        <w:spacing w:before="0" w:line="240" w:lineRule="auto"/>
        <w:rPr>
          <w:rFonts w:ascii="微软雅黑" w:hAnsi="微软雅黑" w:eastAsia="微软雅黑" w:cs="微软雅黑"/>
          <w:b/>
          <w:bCs/>
          <w:color w:val="auto"/>
          <w:kern w:val="2"/>
          <w:sz w:val="24"/>
          <w:szCs w:val="24"/>
          <w:highlight w:val="none"/>
        </w:rPr>
      </w:pPr>
      <w:bookmarkStart w:id="645" w:name="_Toc7036"/>
      <w:bookmarkStart w:id="646" w:name="_Toc7965"/>
      <w:bookmarkStart w:id="647" w:name="_Toc28566"/>
      <w:bookmarkStart w:id="648" w:name="_Toc14878"/>
      <w:bookmarkStart w:id="649" w:name="_Toc29782"/>
      <w:bookmarkStart w:id="650" w:name="_Toc21535"/>
      <w:bookmarkStart w:id="651" w:name="_Toc1896"/>
      <w:bookmarkStart w:id="652" w:name="_Toc9914"/>
      <w:bookmarkStart w:id="653" w:name="_Toc24526"/>
      <w:bookmarkStart w:id="654" w:name="_Toc22640"/>
      <w:r>
        <w:rPr>
          <w:rFonts w:hint="eastAsia" w:ascii="微软雅黑" w:hAnsi="微软雅黑" w:eastAsia="微软雅黑" w:cs="微软雅黑"/>
          <w:b/>
          <w:bCs/>
          <w:color w:val="auto"/>
          <w:kern w:val="2"/>
          <w:sz w:val="24"/>
          <w:szCs w:val="24"/>
          <w:highlight w:val="none"/>
          <w:lang w:eastAsia="zh-CN"/>
        </w:rPr>
        <w:t>5</w:t>
      </w:r>
      <w:r>
        <w:rPr>
          <w:rFonts w:hint="eastAsia" w:ascii="微软雅黑" w:hAnsi="微软雅黑" w:eastAsia="微软雅黑" w:cs="微软雅黑"/>
          <w:b/>
          <w:bCs/>
          <w:color w:val="auto"/>
          <w:kern w:val="2"/>
          <w:sz w:val="24"/>
          <w:szCs w:val="24"/>
          <w:highlight w:val="none"/>
          <w:lang w:val="en-US" w:eastAsia="zh-CN"/>
        </w:rPr>
        <w:t xml:space="preserve">   </w:t>
      </w:r>
      <w:r>
        <w:rPr>
          <w:rFonts w:hint="eastAsia" w:ascii="微软雅黑" w:hAnsi="微软雅黑" w:eastAsia="微软雅黑" w:cs="微软雅黑"/>
          <w:b/>
          <w:bCs/>
          <w:color w:val="auto"/>
          <w:kern w:val="2"/>
          <w:sz w:val="24"/>
          <w:szCs w:val="24"/>
          <w:highlight w:val="none"/>
        </w:rPr>
        <w:t>商务条款偏离表</w:t>
      </w:r>
      <w:bookmarkEnd w:id="645"/>
      <w:bookmarkEnd w:id="646"/>
      <w:bookmarkEnd w:id="647"/>
      <w:bookmarkEnd w:id="648"/>
      <w:bookmarkEnd w:id="649"/>
      <w:bookmarkEnd w:id="650"/>
      <w:bookmarkEnd w:id="651"/>
      <w:bookmarkEnd w:id="652"/>
      <w:bookmarkEnd w:id="653"/>
      <w:bookmarkEnd w:id="654"/>
    </w:p>
    <w:p w14:paraId="2B18C56F">
      <w:pPr>
        <w:pStyle w:val="15"/>
        <w:ind w:left="1080" w:leftChars="257" w:hanging="540"/>
        <w:rPr>
          <w:rFonts w:ascii="微软雅黑" w:hAnsi="微软雅黑" w:eastAsia="微软雅黑" w:cs="微软雅黑"/>
          <w:color w:val="auto"/>
          <w:sz w:val="24"/>
          <w:szCs w:val="24"/>
          <w:highlight w:val="none"/>
        </w:rPr>
      </w:pPr>
    </w:p>
    <w:p w14:paraId="671990F2">
      <w:pPr>
        <w:pStyle w:val="15"/>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项目编号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包号</w:t>
      </w:r>
      <w:r>
        <w:rPr>
          <w:rFonts w:hint="eastAsia" w:ascii="微软雅黑" w:hAnsi="微软雅黑" w:eastAsia="微软雅黑" w:cs="微软雅黑"/>
          <w:color w:val="auto"/>
          <w:sz w:val="24"/>
          <w:szCs w:val="24"/>
          <w:highlight w:val="none"/>
          <w:lang w:eastAsia="zh-CN"/>
        </w:rPr>
        <w:t>：</w:t>
      </w:r>
    </w:p>
    <w:p w14:paraId="3374FC8A">
      <w:pPr>
        <w:pStyle w:val="15"/>
        <w:ind w:left="1080" w:leftChars="257" w:hanging="540"/>
        <w:rPr>
          <w:rFonts w:ascii="微软雅黑" w:hAnsi="微软雅黑" w:eastAsia="微软雅黑" w:cs="微软雅黑"/>
          <w:color w:val="auto"/>
          <w:sz w:val="24"/>
          <w:szCs w:val="24"/>
          <w:highlight w:val="none"/>
        </w:rPr>
      </w:pPr>
    </w:p>
    <w:tbl>
      <w:tblPr>
        <w:tblStyle w:val="30"/>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793"/>
        <w:gridCol w:w="2215"/>
        <w:gridCol w:w="2215"/>
        <w:gridCol w:w="890"/>
        <w:gridCol w:w="890"/>
      </w:tblGrid>
      <w:tr w14:paraId="6C1C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33" w:type="dxa"/>
            <w:vAlign w:val="center"/>
          </w:tcPr>
          <w:p w14:paraId="7F6B58C0">
            <w:pPr>
              <w:pStyle w:val="15"/>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793" w:type="dxa"/>
            <w:vAlign w:val="center"/>
          </w:tcPr>
          <w:p w14:paraId="3A6806A3">
            <w:pPr>
              <w:pStyle w:val="15"/>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w:t>
            </w:r>
          </w:p>
          <w:p w14:paraId="638CB90F">
            <w:pPr>
              <w:pStyle w:val="15"/>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条款号</w:t>
            </w:r>
          </w:p>
        </w:tc>
        <w:tc>
          <w:tcPr>
            <w:tcW w:w="2215" w:type="dxa"/>
            <w:vAlign w:val="center"/>
          </w:tcPr>
          <w:p w14:paraId="5E12514F">
            <w:pPr>
              <w:pStyle w:val="15"/>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招标文件的</w:t>
            </w:r>
          </w:p>
          <w:p w14:paraId="5D612B50">
            <w:pPr>
              <w:pStyle w:val="15"/>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商务条款</w:t>
            </w:r>
          </w:p>
        </w:tc>
        <w:tc>
          <w:tcPr>
            <w:tcW w:w="2215" w:type="dxa"/>
            <w:vAlign w:val="center"/>
          </w:tcPr>
          <w:p w14:paraId="5B37E433">
            <w:pPr>
              <w:pStyle w:val="15"/>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投标文件的</w:t>
            </w:r>
          </w:p>
          <w:p w14:paraId="4E729B81">
            <w:pPr>
              <w:pStyle w:val="15"/>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商务条款</w:t>
            </w:r>
          </w:p>
        </w:tc>
        <w:tc>
          <w:tcPr>
            <w:tcW w:w="890" w:type="dxa"/>
            <w:vAlign w:val="center"/>
          </w:tcPr>
          <w:p w14:paraId="01AEE504">
            <w:pPr>
              <w:pStyle w:val="15"/>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c>
          <w:tcPr>
            <w:tcW w:w="890" w:type="dxa"/>
            <w:vAlign w:val="center"/>
          </w:tcPr>
          <w:p w14:paraId="7AFEEDF5">
            <w:pPr>
              <w:pStyle w:val="15"/>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22B3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3" w:type="dxa"/>
            <w:vAlign w:val="center"/>
          </w:tcPr>
          <w:p w14:paraId="6D5002C0">
            <w:pPr>
              <w:pStyle w:val="15"/>
              <w:ind w:left="1080" w:leftChars="257" w:hanging="540"/>
              <w:rPr>
                <w:rFonts w:ascii="微软雅黑" w:hAnsi="微软雅黑" w:eastAsia="微软雅黑" w:cs="微软雅黑"/>
                <w:color w:val="auto"/>
                <w:sz w:val="24"/>
                <w:szCs w:val="24"/>
                <w:highlight w:val="none"/>
              </w:rPr>
            </w:pPr>
          </w:p>
        </w:tc>
        <w:tc>
          <w:tcPr>
            <w:tcW w:w="1793" w:type="dxa"/>
            <w:vAlign w:val="center"/>
          </w:tcPr>
          <w:p w14:paraId="5AD9CF1F">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6BC6074F">
            <w:pPr>
              <w:pStyle w:val="15"/>
              <w:ind w:left="1080" w:leftChars="257" w:hanging="540"/>
              <w:jc w:val="center"/>
              <w:rPr>
                <w:rFonts w:ascii="微软雅黑" w:hAnsi="微软雅黑" w:eastAsia="微软雅黑" w:cs="微软雅黑"/>
                <w:color w:val="auto"/>
                <w:sz w:val="24"/>
                <w:szCs w:val="24"/>
                <w:highlight w:val="none"/>
              </w:rPr>
            </w:pPr>
          </w:p>
        </w:tc>
        <w:tc>
          <w:tcPr>
            <w:tcW w:w="2215" w:type="dxa"/>
            <w:vAlign w:val="center"/>
          </w:tcPr>
          <w:p w14:paraId="4EB88B73">
            <w:pPr>
              <w:pStyle w:val="15"/>
              <w:ind w:left="1080" w:leftChars="257" w:hanging="540"/>
              <w:jc w:val="center"/>
              <w:rPr>
                <w:rFonts w:ascii="微软雅黑" w:hAnsi="微软雅黑" w:eastAsia="微软雅黑" w:cs="微软雅黑"/>
                <w:color w:val="auto"/>
                <w:sz w:val="24"/>
                <w:szCs w:val="24"/>
                <w:highlight w:val="none"/>
              </w:rPr>
            </w:pPr>
          </w:p>
        </w:tc>
        <w:tc>
          <w:tcPr>
            <w:tcW w:w="890" w:type="dxa"/>
            <w:vAlign w:val="center"/>
          </w:tcPr>
          <w:p w14:paraId="2D7DA8AF">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3862D72E">
            <w:pPr>
              <w:pStyle w:val="15"/>
              <w:ind w:left="1080" w:leftChars="257" w:hanging="540"/>
              <w:rPr>
                <w:rFonts w:ascii="微软雅黑" w:hAnsi="微软雅黑" w:eastAsia="微软雅黑" w:cs="微软雅黑"/>
                <w:color w:val="auto"/>
                <w:sz w:val="24"/>
                <w:szCs w:val="24"/>
                <w:highlight w:val="none"/>
              </w:rPr>
            </w:pPr>
          </w:p>
        </w:tc>
      </w:tr>
      <w:tr w14:paraId="76B3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3" w:type="dxa"/>
            <w:vAlign w:val="center"/>
          </w:tcPr>
          <w:p w14:paraId="64852049">
            <w:pPr>
              <w:pStyle w:val="15"/>
              <w:ind w:left="1080" w:leftChars="257" w:hanging="540"/>
              <w:rPr>
                <w:rFonts w:ascii="微软雅黑" w:hAnsi="微软雅黑" w:eastAsia="微软雅黑" w:cs="微软雅黑"/>
                <w:color w:val="auto"/>
                <w:sz w:val="24"/>
                <w:szCs w:val="24"/>
                <w:highlight w:val="none"/>
              </w:rPr>
            </w:pPr>
          </w:p>
        </w:tc>
        <w:tc>
          <w:tcPr>
            <w:tcW w:w="1793" w:type="dxa"/>
            <w:vAlign w:val="center"/>
          </w:tcPr>
          <w:p w14:paraId="643219B5">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791DBF2E">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401C573B">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4D45FACE">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15ABBE46">
            <w:pPr>
              <w:pStyle w:val="15"/>
              <w:ind w:left="1080" w:leftChars="257" w:hanging="540"/>
              <w:rPr>
                <w:rFonts w:ascii="微软雅黑" w:hAnsi="微软雅黑" w:eastAsia="微软雅黑" w:cs="微软雅黑"/>
                <w:color w:val="auto"/>
                <w:sz w:val="24"/>
                <w:szCs w:val="24"/>
                <w:highlight w:val="none"/>
              </w:rPr>
            </w:pPr>
          </w:p>
        </w:tc>
      </w:tr>
      <w:tr w14:paraId="3D2E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3" w:type="dxa"/>
            <w:vAlign w:val="center"/>
          </w:tcPr>
          <w:p w14:paraId="3E836D2C">
            <w:pPr>
              <w:pStyle w:val="15"/>
              <w:ind w:left="1080" w:leftChars="257" w:hanging="540"/>
              <w:rPr>
                <w:rFonts w:ascii="微软雅黑" w:hAnsi="微软雅黑" w:eastAsia="微软雅黑" w:cs="微软雅黑"/>
                <w:color w:val="auto"/>
                <w:sz w:val="24"/>
                <w:szCs w:val="24"/>
                <w:highlight w:val="none"/>
              </w:rPr>
            </w:pPr>
          </w:p>
        </w:tc>
        <w:tc>
          <w:tcPr>
            <w:tcW w:w="1793" w:type="dxa"/>
            <w:vAlign w:val="center"/>
          </w:tcPr>
          <w:p w14:paraId="726122C8">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7F70D23D">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4FF5E057">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4D8E053E">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391B1B1A">
            <w:pPr>
              <w:pStyle w:val="15"/>
              <w:ind w:left="1080" w:leftChars="257" w:hanging="540"/>
              <w:rPr>
                <w:rFonts w:ascii="微软雅黑" w:hAnsi="微软雅黑" w:eastAsia="微软雅黑" w:cs="微软雅黑"/>
                <w:color w:val="auto"/>
                <w:sz w:val="24"/>
                <w:szCs w:val="24"/>
                <w:highlight w:val="none"/>
              </w:rPr>
            </w:pPr>
          </w:p>
        </w:tc>
      </w:tr>
      <w:tr w14:paraId="0978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3" w:type="dxa"/>
            <w:vAlign w:val="center"/>
          </w:tcPr>
          <w:p w14:paraId="18E315F1">
            <w:pPr>
              <w:pStyle w:val="15"/>
              <w:ind w:left="1080" w:leftChars="257" w:hanging="540"/>
              <w:rPr>
                <w:rFonts w:ascii="微软雅黑" w:hAnsi="微软雅黑" w:eastAsia="微软雅黑" w:cs="微软雅黑"/>
                <w:color w:val="auto"/>
                <w:sz w:val="24"/>
                <w:szCs w:val="24"/>
                <w:highlight w:val="none"/>
              </w:rPr>
            </w:pPr>
          </w:p>
        </w:tc>
        <w:tc>
          <w:tcPr>
            <w:tcW w:w="1793" w:type="dxa"/>
            <w:vAlign w:val="center"/>
          </w:tcPr>
          <w:p w14:paraId="12AD1DFE">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5DFCC46C">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19CEDA7B">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63CDDA08">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23D224F6">
            <w:pPr>
              <w:pStyle w:val="15"/>
              <w:ind w:left="1080" w:leftChars="257" w:hanging="540"/>
              <w:rPr>
                <w:rFonts w:ascii="微软雅黑" w:hAnsi="微软雅黑" w:eastAsia="微软雅黑" w:cs="微软雅黑"/>
                <w:color w:val="auto"/>
                <w:sz w:val="24"/>
                <w:szCs w:val="24"/>
                <w:highlight w:val="none"/>
              </w:rPr>
            </w:pPr>
          </w:p>
        </w:tc>
      </w:tr>
      <w:tr w14:paraId="58A5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3" w:type="dxa"/>
            <w:vAlign w:val="center"/>
          </w:tcPr>
          <w:p w14:paraId="637E12D4">
            <w:pPr>
              <w:pStyle w:val="15"/>
              <w:ind w:left="1080" w:leftChars="257" w:hanging="540"/>
              <w:rPr>
                <w:rFonts w:ascii="微软雅黑" w:hAnsi="微软雅黑" w:eastAsia="微软雅黑" w:cs="微软雅黑"/>
                <w:color w:val="auto"/>
                <w:sz w:val="24"/>
                <w:szCs w:val="24"/>
                <w:highlight w:val="none"/>
              </w:rPr>
            </w:pPr>
          </w:p>
        </w:tc>
        <w:tc>
          <w:tcPr>
            <w:tcW w:w="1793" w:type="dxa"/>
            <w:vAlign w:val="center"/>
          </w:tcPr>
          <w:p w14:paraId="6EB65E77">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43F668FB">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0C029D4E">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4FDC88BC">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7953288A">
            <w:pPr>
              <w:pStyle w:val="15"/>
              <w:ind w:left="1080" w:leftChars="257" w:hanging="540"/>
              <w:rPr>
                <w:rFonts w:ascii="微软雅黑" w:hAnsi="微软雅黑" w:eastAsia="微软雅黑" w:cs="微软雅黑"/>
                <w:color w:val="auto"/>
                <w:sz w:val="24"/>
                <w:szCs w:val="24"/>
                <w:highlight w:val="none"/>
              </w:rPr>
            </w:pPr>
          </w:p>
        </w:tc>
      </w:tr>
      <w:tr w14:paraId="788A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3" w:type="dxa"/>
            <w:vAlign w:val="center"/>
          </w:tcPr>
          <w:p w14:paraId="76C30055">
            <w:pPr>
              <w:pStyle w:val="15"/>
              <w:ind w:left="1080" w:leftChars="257" w:hanging="540"/>
              <w:rPr>
                <w:rFonts w:ascii="微软雅黑" w:hAnsi="微软雅黑" w:eastAsia="微软雅黑" w:cs="微软雅黑"/>
                <w:color w:val="auto"/>
                <w:sz w:val="24"/>
                <w:szCs w:val="24"/>
                <w:highlight w:val="none"/>
              </w:rPr>
            </w:pPr>
          </w:p>
        </w:tc>
        <w:tc>
          <w:tcPr>
            <w:tcW w:w="1793" w:type="dxa"/>
            <w:vAlign w:val="center"/>
          </w:tcPr>
          <w:p w14:paraId="3EEB94F2">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68457F7E">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01EC464F">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4F123863">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337C1C39">
            <w:pPr>
              <w:pStyle w:val="15"/>
              <w:ind w:left="1080" w:leftChars="257" w:hanging="540"/>
              <w:rPr>
                <w:rFonts w:ascii="微软雅黑" w:hAnsi="微软雅黑" w:eastAsia="微软雅黑" w:cs="微软雅黑"/>
                <w:color w:val="auto"/>
                <w:sz w:val="24"/>
                <w:szCs w:val="24"/>
                <w:highlight w:val="none"/>
              </w:rPr>
            </w:pPr>
          </w:p>
        </w:tc>
      </w:tr>
      <w:tr w14:paraId="7976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3" w:type="dxa"/>
            <w:vAlign w:val="center"/>
          </w:tcPr>
          <w:p w14:paraId="054CB368">
            <w:pPr>
              <w:pStyle w:val="15"/>
              <w:ind w:left="1080" w:leftChars="257" w:hanging="540"/>
              <w:rPr>
                <w:rFonts w:ascii="微软雅黑" w:hAnsi="微软雅黑" w:eastAsia="微软雅黑" w:cs="微软雅黑"/>
                <w:color w:val="auto"/>
                <w:sz w:val="24"/>
                <w:szCs w:val="24"/>
                <w:highlight w:val="none"/>
              </w:rPr>
            </w:pPr>
          </w:p>
        </w:tc>
        <w:tc>
          <w:tcPr>
            <w:tcW w:w="1793" w:type="dxa"/>
            <w:vAlign w:val="center"/>
          </w:tcPr>
          <w:p w14:paraId="6930AED2">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66A3712D">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0DAA6923">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0B5F8E9F">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47224DAA">
            <w:pPr>
              <w:pStyle w:val="15"/>
              <w:ind w:left="1080" w:leftChars="257" w:hanging="540"/>
              <w:rPr>
                <w:rFonts w:ascii="微软雅黑" w:hAnsi="微软雅黑" w:eastAsia="微软雅黑" w:cs="微软雅黑"/>
                <w:color w:val="auto"/>
                <w:sz w:val="24"/>
                <w:szCs w:val="24"/>
                <w:highlight w:val="none"/>
              </w:rPr>
            </w:pPr>
          </w:p>
        </w:tc>
      </w:tr>
      <w:tr w14:paraId="4E08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3" w:type="dxa"/>
            <w:vAlign w:val="center"/>
          </w:tcPr>
          <w:p w14:paraId="4C50687F">
            <w:pPr>
              <w:pStyle w:val="15"/>
              <w:ind w:left="1080" w:leftChars="257" w:hanging="540"/>
              <w:rPr>
                <w:rFonts w:ascii="微软雅黑" w:hAnsi="微软雅黑" w:eastAsia="微软雅黑" w:cs="微软雅黑"/>
                <w:color w:val="auto"/>
                <w:sz w:val="24"/>
                <w:szCs w:val="24"/>
                <w:highlight w:val="none"/>
              </w:rPr>
            </w:pPr>
          </w:p>
        </w:tc>
        <w:tc>
          <w:tcPr>
            <w:tcW w:w="1793" w:type="dxa"/>
            <w:vAlign w:val="center"/>
          </w:tcPr>
          <w:p w14:paraId="1B0D4200">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53143922">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555E7640">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3664855C">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51AB835A">
            <w:pPr>
              <w:pStyle w:val="15"/>
              <w:ind w:left="1080" w:leftChars="257" w:hanging="540"/>
              <w:rPr>
                <w:rFonts w:ascii="微软雅黑" w:hAnsi="微软雅黑" w:eastAsia="微软雅黑" w:cs="微软雅黑"/>
                <w:color w:val="auto"/>
                <w:sz w:val="24"/>
                <w:szCs w:val="24"/>
                <w:highlight w:val="none"/>
              </w:rPr>
            </w:pPr>
          </w:p>
        </w:tc>
      </w:tr>
      <w:tr w14:paraId="61E2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3" w:type="dxa"/>
            <w:vAlign w:val="center"/>
          </w:tcPr>
          <w:p w14:paraId="40CC9129">
            <w:pPr>
              <w:pStyle w:val="15"/>
              <w:ind w:left="1080" w:leftChars="257" w:hanging="540"/>
              <w:rPr>
                <w:rFonts w:ascii="微软雅黑" w:hAnsi="微软雅黑" w:eastAsia="微软雅黑" w:cs="微软雅黑"/>
                <w:color w:val="auto"/>
                <w:sz w:val="24"/>
                <w:szCs w:val="24"/>
                <w:highlight w:val="none"/>
              </w:rPr>
            </w:pPr>
          </w:p>
        </w:tc>
        <w:tc>
          <w:tcPr>
            <w:tcW w:w="1793" w:type="dxa"/>
            <w:vAlign w:val="center"/>
          </w:tcPr>
          <w:p w14:paraId="73121676">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54C6985C">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77C87823">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278762F1">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3E7DFF37">
            <w:pPr>
              <w:pStyle w:val="15"/>
              <w:ind w:left="1080" w:leftChars="257" w:hanging="540"/>
              <w:rPr>
                <w:rFonts w:ascii="微软雅黑" w:hAnsi="微软雅黑" w:eastAsia="微软雅黑" w:cs="微软雅黑"/>
                <w:color w:val="auto"/>
                <w:sz w:val="24"/>
                <w:szCs w:val="24"/>
                <w:highlight w:val="none"/>
              </w:rPr>
            </w:pPr>
          </w:p>
        </w:tc>
      </w:tr>
      <w:tr w14:paraId="3BF5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3" w:type="dxa"/>
            <w:vAlign w:val="center"/>
          </w:tcPr>
          <w:p w14:paraId="17CA3598">
            <w:pPr>
              <w:pStyle w:val="15"/>
              <w:ind w:left="1080" w:leftChars="257" w:hanging="540"/>
              <w:rPr>
                <w:rFonts w:ascii="微软雅黑" w:hAnsi="微软雅黑" w:eastAsia="微软雅黑" w:cs="微软雅黑"/>
                <w:color w:val="auto"/>
                <w:sz w:val="24"/>
                <w:szCs w:val="24"/>
                <w:highlight w:val="none"/>
              </w:rPr>
            </w:pPr>
          </w:p>
        </w:tc>
        <w:tc>
          <w:tcPr>
            <w:tcW w:w="1793" w:type="dxa"/>
            <w:vAlign w:val="center"/>
          </w:tcPr>
          <w:p w14:paraId="7E69BA1A">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24A8308B">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6CFCC371">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4970B6AA">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5375A92A">
            <w:pPr>
              <w:pStyle w:val="15"/>
              <w:ind w:left="1080" w:leftChars="257" w:hanging="540"/>
              <w:rPr>
                <w:rFonts w:ascii="微软雅黑" w:hAnsi="微软雅黑" w:eastAsia="微软雅黑" w:cs="微软雅黑"/>
                <w:color w:val="auto"/>
                <w:sz w:val="24"/>
                <w:szCs w:val="24"/>
                <w:highlight w:val="none"/>
              </w:rPr>
            </w:pPr>
          </w:p>
        </w:tc>
      </w:tr>
      <w:tr w14:paraId="451D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33" w:type="dxa"/>
            <w:vAlign w:val="center"/>
          </w:tcPr>
          <w:p w14:paraId="0F7D7797">
            <w:pPr>
              <w:pStyle w:val="15"/>
              <w:ind w:left="1080" w:leftChars="257" w:hanging="540"/>
              <w:rPr>
                <w:rFonts w:ascii="微软雅黑" w:hAnsi="微软雅黑" w:eastAsia="微软雅黑" w:cs="微软雅黑"/>
                <w:color w:val="auto"/>
                <w:sz w:val="24"/>
                <w:szCs w:val="24"/>
                <w:highlight w:val="none"/>
              </w:rPr>
            </w:pPr>
          </w:p>
        </w:tc>
        <w:tc>
          <w:tcPr>
            <w:tcW w:w="1793" w:type="dxa"/>
            <w:vAlign w:val="center"/>
          </w:tcPr>
          <w:p w14:paraId="4B216609">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432BFEC6">
            <w:pPr>
              <w:pStyle w:val="15"/>
              <w:ind w:left="1080" w:leftChars="257" w:hanging="540"/>
              <w:rPr>
                <w:rFonts w:ascii="微软雅黑" w:hAnsi="微软雅黑" w:eastAsia="微软雅黑" w:cs="微软雅黑"/>
                <w:color w:val="auto"/>
                <w:sz w:val="24"/>
                <w:szCs w:val="24"/>
                <w:highlight w:val="none"/>
              </w:rPr>
            </w:pPr>
          </w:p>
        </w:tc>
        <w:tc>
          <w:tcPr>
            <w:tcW w:w="2215" w:type="dxa"/>
            <w:vAlign w:val="center"/>
          </w:tcPr>
          <w:p w14:paraId="3B5360E5">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61132380">
            <w:pPr>
              <w:pStyle w:val="15"/>
              <w:ind w:left="1080" w:leftChars="257" w:hanging="540"/>
              <w:rPr>
                <w:rFonts w:ascii="微软雅黑" w:hAnsi="微软雅黑" w:eastAsia="微软雅黑" w:cs="微软雅黑"/>
                <w:color w:val="auto"/>
                <w:sz w:val="24"/>
                <w:szCs w:val="24"/>
                <w:highlight w:val="none"/>
              </w:rPr>
            </w:pPr>
          </w:p>
        </w:tc>
        <w:tc>
          <w:tcPr>
            <w:tcW w:w="890" w:type="dxa"/>
            <w:vAlign w:val="center"/>
          </w:tcPr>
          <w:p w14:paraId="1306433C">
            <w:pPr>
              <w:pStyle w:val="15"/>
              <w:ind w:left="1080" w:leftChars="257" w:hanging="540"/>
              <w:rPr>
                <w:rFonts w:ascii="微软雅黑" w:hAnsi="微软雅黑" w:eastAsia="微软雅黑" w:cs="微软雅黑"/>
                <w:color w:val="auto"/>
                <w:sz w:val="24"/>
                <w:szCs w:val="24"/>
                <w:highlight w:val="none"/>
              </w:rPr>
            </w:pPr>
          </w:p>
        </w:tc>
      </w:tr>
    </w:tbl>
    <w:p w14:paraId="252B4C99">
      <w:pPr>
        <w:pStyle w:val="15"/>
        <w:ind w:left="1080" w:leftChars="257" w:hanging="540"/>
        <w:rPr>
          <w:rFonts w:ascii="微软雅黑" w:hAnsi="微软雅黑" w:eastAsia="微软雅黑" w:cs="微软雅黑"/>
          <w:color w:val="auto"/>
          <w:sz w:val="24"/>
          <w:szCs w:val="24"/>
          <w:highlight w:val="none"/>
        </w:rPr>
      </w:pPr>
    </w:p>
    <w:p w14:paraId="5BCEB765">
      <w:pPr>
        <w:pStyle w:val="15"/>
        <w:ind w:left="1080" w:leftChars="257" w:hanging="540"/>
        <w:rPr>
          <w:rFonts w:ascii="微软雅黑" w:hAnsi="微软雅黑" w:eastAsia="微软雅黑" w:cs="微软雅黑"/>
          <w:color w:val="auto"/>
          <w:sz w:val="24"/>
          <w:szCs w:val="24"/>
          <w:highlight w:val="none"/>
        </w:rPr>
      </w:pPr>
    </w:p>
    <w:p w14:paraId="377C2D93">
      <w:pPr>
        <w:pStyle w:val="15"/>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lang w:eastAsia="zh-CN"/>
        </w:rPr>
        <w:t>：</w:t>
      </w:r>
    </w:p>
    <w:p w14:paraId="63415342">
      <w:pPr>
        <w:pStyle w:val="15"/>
        <w:tabs>
          <w:tab w:val="left" w:pos="5370"/>
        </w:tabs>
        <w:ind w:left="1080" w:leftChars="257" w:hanging="54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lang w:eastAsia="zh-CN"/>
        </w:rPr>
        <w:t>）：</w:t>
      </w:r>
    </w:p>
    <w:p w14:paraId="3DE4426C">
      <w:pPr>
        <w:pStyle w:val="15"/>
        <w:ind w:left="1080" w:leftChars="257" w:hanging="540"/>
        <w:jc w:val="center"/>
        <w:outlineLvl w:val="1"/>
        <w:rPr>
          <w:rFonts w:hint="eastAsia" w:ascii="微软雅黑" w:hAnsi="微软雅黑" w:eastAsia="微软雅黑" w:cs="微软雅黑"/>
          <w:b/>
          <w:bCs/>
          <w:color w:val="auto"/>
          <w:kern w:val="2"/>
          <w:sz w:val="24"/>
          <w:szCs w:val="24"/>
          <w:highlight w:val="none"/>
        </w:rPr>
      </w:pPr>
      <w:r>
        <w:rPr>
          <w:rFonts w:hint="eastAsia" w:ascii="微软雅黑" w:hAnsi="微软雅黑" w:eastAsia="微软雅黑" w:cs="微软雅黑"/>
          <w:color w:val="auto"/>
          <w:highlight w:val="none"/>
          <w:u w:val="single"/>
        </w:rPr>
        <w:br w:type="page"/>
      </w:r>
      <w:bookmarkStart w:id="655" w:name="_Toc8845"/>
      <w:bookmarkStart w:id="656" w:name="_Toc23079"/>
      <w:bookmarkStart w:id="657" w:name="_Toc9897"/>
      <w:r>
        <w:rPr>
          <w:rFonts w:hint="eastAsia" w:ascii="微软雅黑" w:hAnsi="微软雅黑" w:eastAsia="微软雅黑" w:cs="微软雅黑"/>
          <w:b/>
          <w:bCs/>
          <w:color w:val="auto"/>
          <w:sz w:val="24"/>
          <w:szCs w:val="24"/>
          <w:highlight w:val="none"/>
          <w:lang w:eastAsia="zh-CN"/>
        </w:rPr>
        <w:t>6.</w:t>
      </w:r>
      <w:r>
        <w:rPr>
          <w:rFonts w:hint="eastAsia" w:ascii="微软雅黑" w:hAnsi="微软雅黑" w:eastAsia="微软雅黑" w:cs="微软雅黑"/>
          <w:b/>
          <w:bCs/>
          <w:color w:val="auto"/>
          <w:sz w:val="24"/>
          <w:szCs w:val="24"/>
          <w:highlight w:val="none"/>
          <w:lang w:val="en-US" w:eastAsia="zh-CN"/>
        </w:rPr>
        <w:t xml:space="preserve">1 </w:t>
      </w:r>
      <w:r>
        <w:rPr>
          <w:rFonts w:hint="eastAsia" w:ascii="微软雅黑" w:hAnsi="微软雅黑" w:eastAsia="微软雅黑" w:cs="微软雅黑"/>
          <w:b/>
          <w:bCs/>
          <w:color w:val="auto"/>
          <w:sz w:val="24"/>
          <w:szCs w:val="24"/>
          <w:highlight w:val="none"/>
          <w:lang w:eastAsia="zh-CN"/>
        </w:rPr>
        <w:t>中小企业声明函（货物）（</w:t>
      </w:r>
      <w:r>
        <w:rPr>
          <w:rFonts w:hint="eastAsia" w:ascii="微软雅黑" w:hAnsi="微软雅黑" w:eastAsia="微软雅黑" w:cs="微软雅黑"/>
          <w:b/>
          <w:bCs/>
          <w:color w:val="auto"/>
          <w:sz w:val="24"/>
          <w:szCs w:val="24"/>
          <w:highlight w:val="none"/>
          <w:lang w:val="en-US" w:eastAsia="zh-CN"/>
        </w:rPr>
        <w:t>可选填</w:t>
      </w:r>
      <w:r>
        <w:rPr>
          <w:rFonts w:hint="eastAsia" w:ascii="微软雅黑" w:hAnsi="微软雅黑" w:eastAsia="微软雅黑" w:cs="微软雅黑"/>
          <w:b/>
          <w:bCs/>
          <w:color w:val="auto"/>
          <w:sz w:val="24"/>
          <w:szCs w:val="24"/>
          <w:highlight w:val="none"/>
          <w:lang w:eastAsia="zh-CN"/>
        </w:rPr>
        <w:t>）</w:t>
      </w:r>
      <w:bookmarkEnd w:id="655"/>
      <w:bookmarkEnd w:id="656"/>
      <w:bookmarkEnd w:id="657"/>
    </w:p>
    <w:p w14:paraId="5C0734DE">
      <w:pPr>
        <w:widowControl/>
        <w:spacing w:before="100" w:beforeAutospacing="1" w:after="100" w:afterAutospacing="1"/>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3B98011D">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w:t>
      </w:r>
      <w:r>
        <w:rPr>
          <w:rFonts w:hint="eastAsia" w:ascii="微软雅黑" w:hAnsi="微软雅黑" w:eastAsia="微软雅黑" w:cs="微软雅黑"/>
          <w:color w:val="auto"/>
          <w:highlight w:val="none"/>
          <w:lang w:eastAsia="zh-CN"/>
        </w:rPr>
        <w:t>1.</w:t>
      </w:r>
      <w:r>
        <w:rPr>
          <w:rFonts w:hint="eastAsia" w:ascii="微软雅黑" w:hAnsi="微软雅黑" w:eastAsia="微软雅黑" w:cs="微软雅黑"/>
          <w:color w:val="auto"/>
          <w:highlight w:val="none"/>
          <w:u w:val="single"/>
        </w:rPr>
        <w:t>（ 标 的 名 称 ）</w:t>
      </w:r>
      <w:r>
        <w:rPr>
          <w:rFonts w:hint="eastAsia" w:ascii="微软雅黑" w:hAnsi="微软雅黑" w:eastAsia="微软雅黑" w:cs="微软雅黑"/>
          <w:color w:val="auto"/>
          <w:highlight w:val="none"/>
        </w:rPr>
        <w:t xml:space="preserve"> ， 属 于 </w:t>
      </w:r>
      <w:r>
        <w:rPr>
          <w:rFonts w:hint="eastAsia" w:ascii="微软雅黑" w:hAnsi="微软雅黑" w:eastAsia="微软雅黑" w:cs="微软雅黑"/>
          <w:color w:val="auto"/>
          <w:highlight w:val="none"/>
          <w:u w:val="single"/>
        </w:rPr>
        <w:t>（ 采 购 文 件 中 明 确 的 所 属 行 业 ）</w:t>
      </w:r>
      <w:r>
        <w:rPr>
          <w:rFonts w:hint="eastAsia" w:ascii="微软雅黑" w:hAnsi="微软雅黑" w:eastAsia="微软雅黑" w:cs="微软雅黑"/>
          <w:color w:val="auto"/>
          <w:highlight w:val="none"/>
        </w:rPr>
        <w:t xml:space="preserve"> 行业；制造商为</w:t>
      </w:r>
      <w:r>
        <w:rPr>
          <w:rFonts w:hint="eastAsia" w:ascii="微软雅黑" w:hAnsi="微软雅黑" w:eastAsia="微软雅黑" w:cs="微软雅黑"/>
          <w:color w:val="auto"/>
          <w:highlight w:val="none"/>
          <w:u w:val="single"/>
        </w:rPr>
        <w:t>（生产企业名称）</w:t>
      </w:r>
      <w:r>
        <w:rPr>
          <w:rFonts w:hint="eastAsia" w:ascii="微软雅黑" w:hAnsi="微软雅黑" w:eastAsia="微软雅黑" w:cs="微软雅黑"/>
          <w:color w:val="auto"/>
          <w:highlight w:val="none"/>
        </w:rPr>
        <w:t>，从业人员</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人，营业收入为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rPr>
        <w:t>万元，资产总额为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万元，属于</w:t>
      </w:r>
      <w:r>
        <w:rPr>
          <w:rFonts w:hint="eastAsia" w:ascii="微软雅黑" w:hAnsi="微软雅黑" w:eastAsia="微软雅黑" w:cs="微软雅黑"/>
          <w:color w:val="auto"/>
          <w:highlight w:val="none"/>
          <w:u w:val="single"/>
        </w:rPr>
        <w:t>（中型企业、小型企业、微型企业）</w:t>
      </w:r>
      <w:r>
        <w:rPr>
          <w:rFonts w:hint="eastAsia" w:ascii="微软雅黑" w:hAnsi="微软雅黑" w:eastAsia="微软雅黑" w:cs="微软雅黑"/>
          <w:color w:val="auto"/>
          <w:highlight w:val="none"/>
        </w:rPr>
        <w:t>；</w:t>
      </w:r>
    </w:p>
    <w:p w14:paraId="78B02B45">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lang w:eastAsia="zh-CN"/>
        </w:rPr>
        <w:t>2.</w:t>
      </w:r>
      <w:r>
        <w:rPr>
          <w:rFonts w:hint="eastAsia" w:ascii="微软雅黑" w:hAnsi="微软雅黑" w:eastAsia="微软雅黑" w:cs="微软雅黑"/>
          <w:color w:val="auto"/>
          <w:highlight w:val="none"/>
          <w:u w:val="single"/>
        </w:rPr>
        <w:t>（ 标 的 名 称 ）</w:t>
      </w:r>
      <w:r>
        <w:rPr>
          <w:rFonts w:hint="eastAsia" w:ascii="微软雅黑" w:hAnsi="微软雅黑" w:eastAsia="微软雅黑" w:cs="微软雅黑"/>
          <w:color w:val="auto"/>
          <w:highlight w:val="none"/>
        </w:rPr>
        <w:t xml:space="preserve"> ， 属 于 </w:t>
      </w:r>
      <w:r>
        <w:rPr>
          <w:rFonts w:hint="eastAsia" w:ascii="微软雅黑" w:hAnsi="微软雅黑" w:eastAsia="微软雅黑" w:cs="微软雅黑"/>
          <w:color w:val="auto"/>
          <w:highlight w:val="none"/>
          <w:u w:val="single"/>
        </w:rPr>
        <w:t xml:space="preserve">（ 采 购 文 件 中 明 确 的 所 属 行 业 ） </w:t>
      </w:r>
      <w:r>
        <w:rPr>
          <w:rFonts w:hint="eastAsia" w:ascii="微软雅黑" w:hAnsi="微软雅黑" w:eastAsia="微软雅黑" w:cs="微软雅黑"/>
          <w:color w:val="auto"/>
          <w:highlight w:val="none"/>
        </w:rPr>
        <w:t>行业；制造商为</w:t>
      </w:r>
      <w:r>
        <w:rPr>
          <w:rFonts w:hint="eastAsia" w:ascii="微软雅黑" w:hAnsi="微软雅黑" w:eastAsia="微软雅黑" w:cs="微软雅黑"/>
          <w:color w:val="auto"/>
          <w:highlight w:val="none"/>
          <w:u w:val="single"/>
        </w:rPr>
        <w:t>（生产企业名称）</w:t>
      </w:r>
      <w:r>
        <w:rPr>
          <w:rFonts w:hint="eastAsia" w:ascii="微软雅黑" w:hAnsi="微软雅黑" w:eastAsia="微软雅黑" w:cs="微软雅黑"/>
          <w:color w:val="auto"/>
          <w:highlight w:val="none"/>
        </w:rPr>
        <w:t>，从业人员</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人，营业收入为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rPr>
        <w:t>万元，资产总额为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万元，属于</w:t>
      </w:r>
      <w:r>
        <w:rPr>
          <w:rFonts w:hint="eastAsia" w:ascii="微软雅黑" w:hAnsi="微软雅黑" w:eastAsia="微软雅黑" w:cs="微软雅黑"/>
          <w:color w:val="auto"/>
          <w:highlight w:val="none"/>
          <w:u w:val="single"/>
        </w:rPr>
        <w:t>（中型企业、小型企业、微型企业）</w:t>
      </w:r>
      <w:r>
        <w:rPr>
          <w:rFonts w:hint="eastAsia" w:ascii="微软雅黑" w:hAnsi="微软雅黑" w:eastAsia="微软雅黑" w:cs="微软雅黑"/>
          <w:color w:val="auto"/>
          <w:highlight w:val="none"/>
        </w:rPr>
        <w:t>；</w:t>
      </w:r>
    </w:p>
    <w:p w14:paraId="1398BECE">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w:t>
      </w:r>
    </w:p>
    <w:p w14:paraId="2AFB33B8">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以上企业，不属于大企业的分支机构，不存在控股股东为大企业的情形，也不存在与大企业的负责人为同一人的情形。</w:t>
      </w:r>
    </w:p>
    <w:p w14:paraId="65C88CED">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本企业对上述声明内容的真实性负责。如有虚假，将依法承担相应责任。</w:t>
      </w:r>
    </w:p>
    <w:p w14:paraId="318FBA14">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企业名称（盖章）：日期：</w:t>
      </w:r>
    </w:p>
    <w:p w14:paraId="43BEB4FB">
      <w:pPr>
        <w:rPr>
          <w:rFonts w:ascii="微软雅黑" w:hAnsi="微软雅黑" w:eastAsia="微软雅黑" w:cs="微软雅黑"/>
          <w:color w:val="auto"/>
          <w:highlight w:val="none"/>
        </w:rPr>
      </w:pPr>
      <w:r>
        <w:rPr>
          <w:rFonts w:hint="eastAsia" w:ascii="微软雅黑" w:hAnsi="微软雅黑" w:eastAsia="微软雅黑" w:cs="微软雅黑"/>
          <w:b/>
          <w:bCs/>
          <w:color w:val="auto"/>
          <w:kern w:val="0"/>
          <w:highlight w:val="none"/>
        </w:rPr>
        <w:t>注：1、须附从业人员、营业收入、资产总额填报上一年度数据，无上一年度数据的新成立企业可不填报。</w:t>
      </w:r>
    </w:p>
    <w:p w14:paraId="67469D18">
      <w:pPr>
        <w:numPr>
          <w:ilvl w:val="0"/>
          <w:numId w:val="7"/>
        </w:numPr>
        <w:rPr>
          <w:rFonts w:ascii="微软雅黑" w:hAnsi="微软雅黑" w:eastAsia="微软雅黑" w:cs="微软雅黑"/>
          <w:b/>
          <w:bCs/>
          <w:color w:val="auto"/>
          <w:kern w:val="0"/>
          <w:highlight w:val="none"/>
        </w:rPr>
      </w:pPr>
      <w:r>
        <w:rPr>
          <w:rFonts w:hint="eastAsia" w:ascii="微软雅黑" w:hAnsi="微软雅黑" w:eastAsia="微软雅黑" w:cs="微软雅黑"/>
          <w:b/>
          <w:bCs/>
          <w:color w:val="auto"/>
          <w:kern w:val="0"/>
          <w:highlight w:val="none"/>
        </w:rPr>
        <w:t>潜在投标企业属于中小微企业的，应在投标文件中提供‘’中小企业声明函”如果未提供或提供“中小企业声明函”内容不实的或标的信息提供不全的，供应商将承担由此造成的一切不利后果。</w:t>
      </w:r>
    </w:p>
    <w:p w14:paraId="3DBA4C50">
      <w:pPr>
        <w:spacing w:line="240" w:lineRule="atLeast"/>
        <w:ind w:firstLine="220" w:firstLineChars="100"/>
        <w:rPr>
          <w:rFonts w:hint="eastAsia" w:ascii="微软雅黑" w:hAnsi="微软雅黑" w:eastAsia="微软雅黑" w:cs="微软雅黑"/>
          <w:b/>
          <w:bCs/>
          <w:color w:val="auto"/>
          <w:kern w:val="0"/>
          <w:sz w:val="22"/>
          <w:szCs w:val="22"/>
          <w:highlight w:val="none"/>
          <w:lang w:eastAsia="zh-CN"/>
        </w:rPr>
      </w:pPr>
      <w:r>
        <w:rPr>
          <w:rFonts w:hint="eastAsia" w:ascii="微软雅黑" w:hAnsi="微软雅黑" w:eastAsia="微软雅黑" w:cs="微软雅黑"/>
          <w:b/>
          <w:bCs/>
          <w:color w:val="auto"/>
          <w:kern w:val="0"/>
          <w:sz w:val="22"/>
          <w:szCs w:val="22"/>
          <w:highlight w:val="none"/>
          <w:lang w:eastAsia="zh-CN"/>
        </w:rPr>
        <w:t>3.</w:t>
      </w:r>
      <w:r>
        <w:rPr>
          <w:rFonts w:hint="eastAsia" w:ascii="微软雅黑" w:hAnsi="微软雅黑" w:eastAsia="微软雅黑" w:cs="微软雅黑"/>
          <w:b/>
          <w:bCs/>
          <w:color w:val="auto"/>
          <w:kern w:val="0"/>
          <w:sz w:val="22"/>
          <w:szCs w:val="22"/>
          <w:highlight w:val="none"/>
        </w:rPr>
        <w:t>本项目所属行业：工业</w:t>
      </w:r>
    </w:p>
    <w:p w14:paraId="54843DB4">
      <w:pPr>
        <w:ind w:left="315"/>
        <w:rPr>
          <w:rFonts w:ascii="微软雅黑" w:hAnsi="微软雅黑" w:eastAsia="微软雅黑" w:cs="微软雅黑"/>
          <w:b/>
          <w:bCs/>
          <w:color w:val="auto"/>
          <w:kern w:val="0"/>
          <w:highlight w:val="none"/>
        </w:rPr>
      </w:pPr>
    </w:p>
    <w:p w14:paraId="5F203130">
      <w:pPr>
        <w:spacing w:line="400" w:lineRule="exact"/>
        <w:jc w:val="left"/>
        <w:rPr>
          <w:rFonts w:ascii="微软雅黑" w:hAnsi="微软雅黑" w:eastAsia="微软雅黑" w:cs="微软雅黑"/>
          <w:b/>
          <w:bCs/>
          <w:color w:val="auto"/>
          <w:kern w:val="0"/>
          <w:sz w:val="24"/>
          <w:szCs w:val="24"/>
          <w:highlight w:val="none"/>
        </w:rPr>
      </w:pPr>
      <w:r>
        <w:rPr>
          <w:rFonts w:hint="eastAsia" w:ascii="仿宋" w:hAnsi="仿宋" w:eastAsia="仿宋" w:cs="仿宋"/>
          <w:b/>
          <w:bCs/>
          <w:color w:val="auto"/>
          <w:kern w:val="0"/>
          <w:sz w:val="24"/>
          <w:highlight w:val="none"/>
          <w:lang w:bidi="ar"/>
        </w:rPr>
        <w:br w:type="page"/>
      </w:r>
      <w:r>
        <w:rPr>
          <w:rFonts w:hint="eastAsia" w:ascii="微软雅黑" w:hAnsi="微软雅黑" w:eastAsia="微软雅黑" w:cs="微软雅黑"/>
          <w:b/>
          <w:bCs/>
          <w:color w:val="auto"/>
          <w:kern w:val="0"/>
          <w:sz w:val="24"/>
          <w:szCs w:val="24"/>
          <w:highlight w:val="none"/>
        </w:rPr>
        <w:t>附：</w:t>
      </w:r>
    </w:p>
    <w:p w14:paraId="6F1FB0A3">
      <w:pPr>
        <w:widowControl/>
        <w:spacing w:before="100" w:beforeAutospacing="1" w:after="100" w:afterAutospacing="1" w:line="400" w:lineRule="exact"/>
        <w:ind w:left="420" w:leftChars="200"/>
        <w:jc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中小企业划分标准</w:t>
      </w:r>
    </w:p>
    <w:p w14:paraId="505F4F89">
      <w:pPr>
        <w:spacing w:line="420" w:lineRule="exact"/>
        <w:ind w:firstLine="480" w:firstLineChars="200"/>
        <w:jc w:val="left"/>
        <w:rPr>
          <w:rFonts w:ascii="微软雅黑" w:hAnsi="微软雅黑" w:eastAsia="微软雅黑" w:cs="微软雅黑"/>
          <w:b/>
          <w:bCs/>
          <w:color w:val="auto"/>
          <w:kern w:val="0"/>
          <w:sz w:val="24"/>
          <w:szCs w:val="24"/>
          <w:highlight w:val="none"/>
        </w:rPr>
      </w:pPr>
      <w:r>
        <w:rPr>
          <w:rFonts w:hint="eastAsia" w:ascii="微软雅黑" w:hAnsi="微软雅黑" w:eastAsia="微软雅黑" w:cs="微软雅黑"/>
          <w:color w:val="auto"/>
          <w:kern w:val="0"/>
          <w:sz w:val="24"/>
          <w:szCs w:val="24"/>
          <w:highlight w:val="none"/>
        </w:rPr>
        <w:t>工业和信息化部、国家统计局、发展改革委、财政部等四部门《关于印发中 小企业划型标准规定的通知》（工信部联企业〔2011〕300号）规定中小企业划型标准如表所示：</w:t>
      </w:r>
    </w:p>
    <w:tbl>
      <w:tblPr>
        <w:tblStyle w:val="30"/>
        <w:tblW w:w="9793" w:type="dxa"/>
        <w:jc w:val="center"/>
        <w:tblLayout w:type="autofit"/>
        <w:tblCellMar>
          <w:top w:w="0" w:type="dxa"/>
          <w:left w:w="108" w:type="dxa"/>
          <w:bottom w:w="0" w:type="dxa"/>
          <w:right w:w="108" w:type="dxa"/>
        </w:tblCellMar>
      </w:tblPr>
      <w:tblGrid>
        <w:gridCol w:w="2391"/>
        <w:gridCol w:w="849"/>
        <w:gridCol w:w="6553"/>
      </w:tblGrid>
      <w:tr w14:paraId="2F4CE1C3">
        <w:tblPrEx>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E538B">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54B83">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营业收入20000万元以下的为中小微型企业。</w:t>
            </w:r>
          </w:p>
        </w:tc>
      </w:tr>
      <w:tr w14:paraId="25825247">
        <w:tblPrEx>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5CC34">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5BC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4341">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500万元-20000万元</w:t>
            </w:r>
          </w:p>
        </w:tc>
      </w:tr>
      <w:tr w14:paraId="240ADD49">
        <w:tblPrEx>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49DC0">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A1A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7E3B">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50万元-500万元</w:t>
            </w:r>
          </w:p>
        </w:tc>
      </w:tr>
      <w:tr w14:paraId="0175C365">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ACC9B">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7871">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6AFE">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50万元以下</w:t>
            </w:r>
          </w:p>
        </w:tc>
      </w:tr>
      <w:tr w14:paraId="45B48412">
        <w:tblPrEx>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6D83A">
            <w:pPr>
              <w:widowControl/>
              <w:spacing w:line="340" w:lineRule="exact"/>
              <w:jc w:val="center"/>
              <w:textAlignment w:val="center"/>
              <w:rPr>
                <w:rFonts w:hint="eastAsia" w:ascii="微软雅黑" w:hAnsi="微软雅黑" w:eastAsia="微软雅黑" w:cs="微软雅黑"/>
                <w:b/>
                <w:bCs/>
                <w:color w:val="auto"/>
                <w:kern w:val="0"/>
                <w:highlight w:val="none"/>
              </w:rPr>
            </w:pPr>
            <w:r>
              <w:rPr>
                <w:rFonts w:hint="eastAsia" w:ascii="微软雅黑" w:hAnsi="微软雅黑" w:eastAsia="微软雅黑" w:cs="微软雅黑"/>
                <w:b/>
                <w:bCs/>
                <w:color w:val="auto"/>
                <w:kern w:val="0"/>
                <w:highlight w:val="none"/>
              </w:rPr>
              <w:t>工业</w:t>
            </w:r>
          </w:p>
          <w:p w14:paraId="4EA7A1B1">
            <w:pPr>
              <w:widowControl/>
              <w:spacing w:line="340" w:lineRule="exact"/>
              <w:jc w:val="center"/>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（包括采矿业，制造 业，电力、热力、燃气及水生产和供应</w:t>
            </w:r>
            <w:r>
              <w:rPr>
                <w:rFonts w:hint="eastAsia" w:ascii="微软雅黑" w:hAnsi="微软雅黑" w:eastAsia="微软雅黑" w:cs="微软雅黑"/>
                <w:b/>
                <w:bCs/>
                <w:color w:val="auto"/>
                <w:kern w:val="0"/>
                <w:highlight w:val="none"/>
              </w:rPr>
              <w:br w:type="textWrapping"/>
            </w:r>
            <w:r>
              <w:rPr>
                <w:rFonts w:hint="eastAsia" w:ascii="微软雅黑" w:hAnsi="微软雅黑" w:eastAsia="微软雅黑" w:cs="微软雅黑"/>
                <w:b/>
                <w:bCs/>
                <w:color w:val="auto"/>
                <w:kern w:val="0"/>
                <w:highlight w:val="none"/>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178D3">
            <w:pPr>
              <w:widowControl/>
              <w:spacing w:line="340" w:lineRule="exact"/>
              <w:jc w:val="center"/>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从业人员1000人以下或营业收入 40000万元以下的为中小微型企业。</w:t>
            </w:r>
          </w:p>
        </w:tc>
      </w:tr>
      <w:tr w14:paraId="295946DD">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2ABF7">
            <w:pPr>
              <w:spacing w:line="340" w:lineRule="exact"/>
              <w:jc w:val="center"/>
              <w:rPr>
                <w:rFonts w:ascii="微软雅黑" w:hAnsi="微软雅黑" w:eastAsia="微软雅黑" w:cs="微软雅黑"/>
                <w:b/>
                <w:bCs/>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417B">
            <w:pPr>
              <w:widowControl/>
              <w:spacing w:line="340" w:lineRule="exact"/>
              <w:jc w:val="center"/>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EB69">
            <w:pPr>
              <w:widowControl/>
              <w:spacing w:line="340" w:lineRule="exact"/>
              <w:jc w:val="left"/>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从业人员 300人一1000人，且营业收入 2000万元一40000万元</w:t>
            </w:r>
          </w:p>
        </w:tc>
      </w:tr>
      <w:tr w14:paraId="6E96AFB6">
        <w:tblPrEx>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8E24A">
            <w:pPr>
              <w:spacing w:line="340" w:lineRule="exact"/>
              <w:jc w:val="center"/>
              <w:rPr>
                <w:rFonts w:ascii="微软雅黑" w:hAnsi="微软雅黑" w:eastAsia="微软雅黑" w:cs="微软雅黑"/>
                <w:b/>
                <w:bCs/>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AABF">
            <w:pPr>
              <w:widowControl/>
              <w:spacing w:line="340" w:lineRule="exact"/>
              <w:jc w:val="center"/>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218F">
            <w:pPr>
              <w:widowControl/>
              <w:spacing w:line="340" w:lineRule="exact"/>
              <w:jc w:val="left"/>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从业人员20人一300人，且营业收入 300万元一2000万元</w:t>
            </w:r>
          </w:p>
        </w:tc>
      </w:tr>
      <w:tr w14:paraId="22C05198">
        <w:tblPrEx>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659B2">
            <w:pPr>
              <w:spacing w:line="340" w:lineRule="exact"/>
              <w:jc w:val="center"/>
              <w:rPr>
                <w:rFonts w:ascii="微软雅黑" w:hAnsi="微软雅黑" w:eastAsia="微软雅黑" w:cs="微软雅黑"/>
                <w:b/>
                <w:bCs/>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C5F9">
            <w:pPr>
              <w:widowControl/>
              <w:spacing w:line="340" w:lineRule="exact"/>
              <w:jc w:val="center"/>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953F">
            <w:pPr>
              <w:widowControl/>
              <w:spacing w:line="340" w:lineRule="exact"/>
              <w:jc w:val="left"/>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从业人员20人以下或营业收入 300万元以下</w:t>
            </w:r>
          </w:p>
        </w:tc>
      </w:tr>
      <w:tr w14:paraId="24D98238">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E4A32">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49348">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营业收入80000万元以下或资产总额 80000万元以下的为中小微型企业。</w:t>
            </w:r>
          </w:p>
        </w:tc>
      </w:tr>
      <w:tr w14:paraId="58438D7A">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B828">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AEC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3423">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营业收入6000万元一80000万元，且资产总额 5000万元一80000万元</w:t>
            </w:r>
          </w:p>
        </w:tc>
      </w:tr>
      <w:tr w14:paraId="1D2C8E5D">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DF15">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BEB2">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24C4">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 300万元一6000万元，且资产总额 300</w:t>
            </w:r>
            <w:r>
              <w:rPr>
                <w:rFonts w:hint="eastAsia" w:ascii="微软雅黑" w:hAnsi="微软雅黑" w:eastAsia="微软雅黑" w:cs="微软雅黑"/>
                <w:color w:val="auto"/>
                <w:kern w:val="0"/>
                <w:highlight w:val="none"/>
                <w:lang w:eastAsia="zh-CN"/>
              </w:rPr>
              <w:t>万元</w:t>
            </w:r>
            <w:r>
              <w:rPr>
                <w:rFonts w:hint="eastAsia" w:ascii="微软雅黑" w:hAnsi="微软雅黑" w:eastAsia="微软雅黑" w:cs="微软雅黑"/>
                <w:color w:val="auto"/>
                <w:kern w:val="0"/>
                <w:highlight w:val="none"/>
              </w:rPr>
              <w:t>一5000万元</w:t>
            </w:r>
          </w:p>
        </w:tc>
      </w:tr>
      <w:tr w14:paraId="707AFF03">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FFCEB">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026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D25">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营业收入300万元以下或资产总额 300万元以下</w:t>
            </w:r>
          </w:p>
        </w:tc>
      </w:tr>
      <w:tr w14:paraId="6D3526CB">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BE4B3">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25E1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从业人员200人以下或营业收入40000万元以下的为中小微型企业。</w:t>
            </w:r>
          </w:p>
        </w:tc>
      </w:tr>
      <w:tr w14:paraId="46E0E274">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8AA79">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03CC">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280F">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从业人员20人一200人，且营业收入5000万元一40000万元</w:t>
            </w:r>
          </w:p>
        </w:tc>
      </w:tr>
      <w:tr w14:paraId="3D83F945">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2BED5">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80BF">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4D4A">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从业人员5人一20人，且营业收入1000万元一5000万元</w:t>
            </w:r>
          </w:p>
        </w:tc>
      </w:tr>
      <w:tr w14:paraId="5434228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8F133">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4C14">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16FF">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从业人员5人以下或营业收入1000万元以下</w:t>
            </w:r>
          </w:p>
        </w:tc>
      </w:tr>
      <w:tr w14:paraId="62395491">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CB66C">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743A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从业人员300人以下或营业收入 20000万元以下的为中小微型企业。</w:t>
            </w:r>
          </w:p>
        </w:tc>
      </w:tr>
      <w:tr w14:paraId="396010A3">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3DF3E">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3AD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9604">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 50人一300人，且营业收入500万元一20000万元</w:t>
            </w:r>
          </w:p>
        </w:tc>
      </w:tr>
      <w:tr w14:paraId="758E58F8">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5B129">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A7AA">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CC76">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从业人员10人一50人，且营业收入100万元一500万元</w:t>
            </w:r>
          </w:p>
        </w:tc>
      </w:tr>
      <w:tr w14:paraId="163EFDF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97F48">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409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62AD">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从业人员10人以下或营业收入100万元以下</w:t>
            </w:r>
          </w:p>
        </w:tc>
      </w:tr>
      <w:tr w14:paraId="57413576">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EB112">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交通运输业 （不含铁路运输业）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568EC">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从业人员1000人以下或营业收入 30000万元以下的为中小微型企业。</w:t>
            </w:r>
          </w:p>
        </w:tc>
      </w:tr>
      <w:tr w14:paraId="359025A4">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F688B">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4F73">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8EC8">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 300人一1000人，且营业收入 3000万元一30000万元</w:t>
            </w:r>
          </w:p>
        </w:tc>
      </w:tr>
      <w:tr w14:paraId="6C9D0854">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725A">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026B">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F416">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从业人员20人一300人，且营业收入 200万元一3000万元</w:t>
            </w:r>
          </w:p>
        </w:tc>
      </w:tr>
      <w:tr w14:paraId="7A97134A">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34BD8">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AED0">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6F68">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从业人员20人以下或营业收入200万元以下</w:t>
            </w:r>
          </w:p>
        </w:tc>
      </w:tr>
      <w:tr w14:paraId="4992647C">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14970">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0075C">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从业人员200人以下或营业收入 30000万元以下的为中小微型企业。</w:t>
            </w:r>
          </w:p>
        </w:tc>
      </w:tr>
      <w:tr w14:paraId="484CFE5B">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1CFCC">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0ADF">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98AC">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从业人员100人一200人，且营业收入 1000万元一30000万元</w:t>
            </w:r>
          </w:p>
        </w:tc>
      </w:tr>
      <w:tr w14:paraId="32DA1A34">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8909">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6833">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15D7">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从业人员20人一100人，且营业收入 100万元一1000万元</w:t>
            </w:r>
          </w:p>
        </w:tc>
      </w:tr>
      <w:tr w14:paraId="5E07CAF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52C73">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5674">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C794">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从业人员20人以下或营业收入 100万元以下</w:t>
            </w:r>
          </w:p>
        </w:tc>
      </w:tr>
      <w:tr w14:paraId="36FCA25A">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89DFB">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841A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从业人员1000人以下或营业收入 30000万元以下的为中小微型企业。</w:t>
            </w:r>
          </w:p>
        </w:tc>
      </w:tr>
      <w:tr w14:paraId="52C5B912">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CC4B">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926F">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82F0">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 300人一1000人，且营业收入 2000万元一30000万元</w:t>
            </w:r>
          </w:p>
        </w:tc>
      </w:tr>
      <w:tr w14:paraId="3CD0F687">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36155">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A94A">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52A5">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从业人员20人一300人，且营业收入 100万元一2000万元</w:t>
            </w:r>
          </w:p>
        </w:tc>
      </w:tr>
      <w:tr w14:paraId="15AC5F6F">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79EF">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4170">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0DAC">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从业人员20人以下或营业收入 100万元以下</w:t>
            </w:r>
          </w:p>
        </w:tc>
      </w:tr>
      <w:tr w14:paraId="2DB6EF49">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EF3B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C96B4">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从业人员300人以下或营业收入 10000万元以下的为中小微型企业。</w:t>
            </w:r>
          </w:p>
        </w:tc>
      </w:tr>
      <w:tr w14:paraId="752EE459">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7A94">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703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AF95">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从业人员100人一300人，且营业收入 2000万元一10000万元</w:t>
            </w:r>
          </w:p>
        </w:tc>
      </w:tr>
      <w:tr w14:paraId="2919085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A0830">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B20F">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FC93">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从业人员10人一100人，且营业收入 100万元一2000万元</w:t>
            </w:r>
          </w:p>
        </w:tc>
      </w:tr>
      <w:tr w14:paraId="17D86048">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D743F">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4CDE">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DBF6">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从业人员10人以下或营业收入 100万元以下</w:t>
            </w:r>
          </w:p>
        </w:tc>
      </w:tr>
      <w:tr w14:paraId="7AF8542B">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CD73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E646B">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从业人员300人以下或营业收入 10000万元以下的为中小微型企业。</w:t>
            </w:r>
          </w:p>
        </w:tc>
      </w:tr>
      <w:tr w14:paraId="054BCC05">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10A1D">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075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68D2">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 300人，且营业收入 2000万元一10000万元</w:t>
            </w:r>
          </w:p>
        </w:tc>
      </w:tr>
      <w:tr w14:paraId="6B2F9628">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B8126">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92B8">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67D1">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从业人员10人一100人，且营业收入 100万元一2000万元</w:t>
            </w:r>
          </w:p>
        </w:tc>
      </w:tr>
      <w:tr w14:paraId="559A23CF">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EEC3">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EAC4">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C048">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从业人员10人以下或营业收入 100万元以下</w:t>
            </w:r>
          </w:p>
        </w:tc>
      </w:tr>
      <w:tr w14:paraId="7A3EA595">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A331E">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信息传输业 （包括电信、互联网 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66AF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从业人员2000人以下或营业收入 100000万元以下的为中小微型企业。</w:t>
            </w:r>
          </w:p>
        </w:tc>
      </w:tr>
      <w:tr w14:paraId="48ABBD7C">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92D7A">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5E51">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8BA1">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从业人员100人一2000人，且营业收入 1000万元一10000万元</w:t>
            </w:r>
          </w:p>
        </w:tc>
      </w:tr>
      <w:tr w14:paraId="42E53FEC">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824FD">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D30E">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F2E5">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从业人员10人一100人，且营业收入 100万元一1000万元</w:t>
            </w:r>
          </w:p>
        </w:tc>
      </w:tr>
      <w:tr w14:paraId="4A1AF073">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18EBE">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B89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DF17">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从业人员10人以下或营业收入 100万元以下</w:t>
            </w:r>
          </w:p>
        </w:tc>
      </w:tr>
      <w:tr w14:paraId="4DB6291B">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854B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4FDB3">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从业人员300人以下或营业收入 10000万元以下的为中小微型企业。</w:t>
            </w:r>
          </w:p>
        </w:tc>
      </w:tr>
      <w:tr w14:paraId="40278B93">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E4563">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FAB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30C9">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 300人，且营业收入 1000万元一10000万元</w:t>
            </w:r>
          </w:p>
        </w:tc>
      </w:tr>
      <w:tr w14:paraId="3ABEAB1A">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E54E9">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31E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0ADB">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从业人员10人一100人，且营业收入 50万元一1000万元</w:t>
            </w:r>
          </w:p>
        </w:tc>
      </w:tr>
      <w:tr w14:paraId="53D1FE6E">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2EBE7">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6DDE">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E6B5">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从业人员10人以下或营业收入 50万元以下</w:t>
            </w:r>
          </w:p>
        </w:tc>
      </w:tr>
      <w:tr w14:paraId="055FC58B">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CD5F4">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2497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营业收入200000万元以下或资产总额 10000万元以下的为中小微型企业。</w:t>
            </w:r>
          </w:p>
        </w:tc>
      </w:tr>
      <w:tr w14:paraId="6CA27CC2">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0423">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ACCB">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3E07">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营业收入1000万元一200000万元，且资产总额 5000万元一10000万元</w:t>
            </w:r>
          </w:p>
        </w:tc>
      </w:tr>
      <w:tr w14:paraId="120B6A18">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E8A0F">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DD88">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1DD0">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营业收入100万元一1000万元，且资产总额 2 000万元一5000 万元</w:t>
            </w:r>
          </w:p>
        </w:tc>
      </w:tr>
      <w:tr w14:paraId="3CBEE426">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F329">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76E1">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9371">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营业收入100万元以下或资产总额 2000万元以下的为微型企业</w:t>
            </w:r>
          </w:p>
        </w:tc>
      </w:tr>
      <w:tr w14:paraId="431005FD">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2637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9530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从业人员1000人以下或营业收入 5000万元以下的为中小微型企业。</w:t>
            </w:r>
          </w:p>
        </w:tc>
      </w:tr>
      <w:tr w14:paraId="0E719C49">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83E64">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9E9F">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48D0">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 300人一1 000人，且营业收入 1000万元一5000万元</w:t>
            </w:r>
          </w:p>
        </w:tc>
      </w:tr>
      <w:tr w14:paraId="3C7B7E0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EBF2">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6ABE">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51F3">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从业人员100人一300人，且营业收入 500万元一1000万元</w:t>
            </w:r>
          </w:p>
        </w:tc>
      </w:tr>
      <w:tr w14:paraId="34657F3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CF3A5">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6D08">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92EA">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从业人员100人以下或营业收入 500万元以下</w:t>
            </w:r>
          </w:p>
        </w:tc>
      </w:tr>
      <w:tr w14:paraId="0DE582B9">
        <w:tblPrEx>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BBBE9">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7DB1C">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5D00BFA7">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ACEB9">
            <w:pPr>
              <w:spacing w:line="340" w:lineRule="exact"/>
              <w:jc w:val="left"/>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157B">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BFDF">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从业人员100人一300人，且资产总额 8000万元一120000万元</w:t>
            </w:r>
          </w:p>
        </w:tc>
      </w:tr>
      <w:tr w14:paraId="29743F5A">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C33F9">
            <w:pPr>
              <w:spacing w:line="340" w:lineRule="exact"/>
              <w:jc w:val="left"/>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11B9">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84D1">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从业人员10人一100人，且资产总额 100万元一8000万元</w:t>
            </w:r>
          </w:p>
        </w:tc>
      </w:tr>
      <w:tr w14:paraId="3FE717D5">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10333">
            <w:pPr>
              <w:spacing w:line="340" w:lineRule="exact"/>
              <w:jc w:val="left"/>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752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3E72">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从业人员10人以下或资产总额 100万元以下</w:t>
            </w:r>
          </w:p>
        </w:tc>
      </w:tr>
      <w:tr w14:paraId="6A3D66C7">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3077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652C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从业人员300人以下的为中小微型企业。</w:t>
            </w:r>
          </w:p>
        </w:tc>
      </w:tr>
      <w:tr w14:paraId="5BEDD222">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D8423">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EBF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376C">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 300人</w:t>
            </w:r>
          </w:p>
        </w:tc>
      </w:tr>
      <w:tr w14:paraId="45244D0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434C7">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53C1">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E879">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w:t>
            </w:r>
          </w:p>
        </w:tc>
      </w:tr>
      <w:tr w14:paraId="67774291">
        <w:tblPrEx>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8B747">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F9A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9CEF">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w:t>
            </w:r>
          </w:p>
        </w:tc>
      </w:tr>
    </w:tbl>
    <w:p w14:paraId="0CAAA498">
      <w:pPr>
        <w:snapToGrid w:val="0"/>
        <w:spacing w:line="420" w:lineRule="exact"/>
        <w:contextualSpacing/>
        <w:jc w:val="left"/>
        <w:rPr>
          <w:rFonts w:ascii="微软雅黑" w:hAnsi="微软雅黑" w:eastAsia="微软雅黑" w:cs="微软雅黑"/>
          <w:b/>
          <w:color w:val="auto"/>
          <w:sz w:val="24"/>
          <w:szCs w:val="24"/>
          <w:highlight w:val="none"/>
        </w:rPr>
      </w:pPr>
    </w:p>
    <w:p w14:paraId="31B27045">
      <w:pPr>
        <w:snapToGrid w:val="0"/>
        <w:spacing w:line="420" w:lineRule="exact"/>
        <w:ind w:firstLine="240" w:firstLineChars="100"/>
        <w:contextualSpacing/>
        <w:jc w:val="left"/>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行业包括：</w:t>
      </w:r>
      <w:r>
        <w:rPr>
          <w:rFonts w:hint="eastAsia" w:ascii="微软雅黑" w:hAnsi="微软雅黑" w:eastAsia="微软雅黑" w:cs="微软雅黑"/>
          <w:bCs/>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b/>
          <w:color w:val="auto"/>
          <w:sz w:val="24"/>
          <w:szCs w:val="24"/>
          <w:highlight w:val="none"/>
        </w:rPr>
        <w:t>。</w:t>
      </w:r>
    </w:p>
    <w:p w14:paraId="57378814">
      <w:pPr>
        <w:snapToGrid w:val="0"/>
        <w:spacing w:line="420" w:lineRule="exact"/>
        <w:ind w:firstLine="480" w:firstLineChars="200"/>
        <w:contextualSpacing/>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t>说明：</w:t>
      </w:r>
      <w:r>
        <w:rPr>
          <w:rFonts w:hint="eastAsia" w:ascii="微软雅黑" w:hAnsi="微软雅黑" w:eastAsia="微软雅黑" w:cs="微软雅黑"/>
          <w:color w:val="auto"/>
          <w:sz w:val="24"/>
          <w:szCs w:val="24"/>
          <w:highlight w:val="none"/>
        </w:rPr>
        <w:t>上述标准参照《关于印发中小企业划型标准规定的通知》（工信部联企业</w:t>
      </w:r>
      <w:r>
        <w:rPr>
          <w:rFonts w:hint="eastAsia" w:ascii="微软雅黑" w:hAnsi="微软雅黑" w:eastAsia="微软雅黑" w:cs="微软雅黑"/>
          <w:color w:val="auto"/>
          <w:sz w:val="24"/>
          <w:szCs w:val="24"/>
          <w:highlight w:val="none"/>
          <w:lang w:eastAsia="zh-CN"/>
        </w:rPr>
        <w:t>〔2011〕300号</w:t>
      </w:r>
      <w:r>
        <w:rPr>
          <w:rFonts w:hint="eastAsia" w:ascii="微软雅黑" w:hAnsi="微软雅黑" w:eastAsia="微软雅黑" w:cs="微软雅黑"/>
          <w:color w:val="auto"/>
          <w:sz w:val="24"/>
          <w:szCs w:val="24"/>
          <w:highlight w:val="none"/>
        </w:rPr>
        <w:t>），大型、中型和小型企业须同时满足所列指标的下限，否则下划一档；微型企业只需满足所列指标中的一项即可。</w:t>
      </w:r>
    </w:p>
    <w:p w14:paraId="57919527">
      <w:pPr>
        <w:snapToGrid w:val="0"/>
        <w:spacing w:line="420" w:lineRule="exact"/>
        <w:ind w:firstLine="480" w:firstLineChars="200"/>
        <w:contextualSpacing/>
        <w:jc w:val="left"/>
        <w:textAlignment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本招标文件所称中小企业，是指在中华人民共和国境内依法设立，依据国务院批准的</w:t>
      </w:r>
    </w:p>
    <w:p w14:paraId="05E5500F">
      <w:pPr>
        <w:snapToGrid w:val="0"/>
        <w:spacing w:line="420" w:lineRule="exact"/>
        <w:ind w:firstLine="480" w:firstLineChars="200"/>
        <w:contextualSpacing/>
        <w:jc w:val="left"/>
        <w:textAlignment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A8ED8C6">
      <w:pPr>
        <w:snapToGrid w:val="0"/>
        <w:spacing w:line="420" w:lineRule="exact"/>
        <w:ind w:firstLine="480" w:firstLineChars="200"/>
        <w:contextualSpacing/>
        <w:jc w:val="left"/>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372805C4">
      <w:pPr>
        <w:snapToGrid w:val="0"/>
        <w:spacing w:line="420" w:lineRule="exact"/>
        <w:ind w:firstLine="480" w:firstLineChars="200"/>
        <w:contextualSpacing/>
        <w:jc w:val="left"/>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（2）在工程采购项目中，工程由中小企业承建，即工程施工单位为中小企业，不对其中涉及的货物的制造商和服务的承接商作出要求；</w:t>
      </w:r>
    </w:p>
    <w:p w14:paraId="7AA3FA4D">
      <w:pPr>
        <w:snapToGrid w:val="0"/>
        <w:spacing w:line="420" w:lineRule="exact"/>
        <w:ind w:firstLine="480" w:firstLineChars="200"/>
        <w:contextualSpacing/>
        <w:jc w:val="left"/>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0162E7A">
      <w:pPr>
        <w:snapToGrid w:val="0"/>
        <w:spacing w:line="420" w:lineRule="exact"/>
        <w:ind w:firstLine="480" w:firstLineChars="200"/>
        <w:contextualSpacing/>
        <w:jc w:val="left"/>
        <w:textAlignment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2961C2C">
      <w:pPr>
        <w:pStyle w:val="16"/>
        <w:ind w:left="0" w:leftChars="0" w:firstLine="480" w:firstLineChars="200"/>
        <w:rPr>
          <w:rFonts w:hint="eastAsia"/>
          <w:color w:val="auto"/>
          <w:highlight w:val="none"/>
        </w:rPr>
      </w:pPr>
      <w:r>
        <w:rPr>
          <w:rFonts w:hint="eastAsia" w:ascii="微软雅黑" w:hAnsi="微软雅黑" w:eastAsia="微软雅黑" w:cs="微软雅黑"/>
          <w:color w:val="auto"/>
          <w:sz w:val="24"/>
          <w:szCs w:val="24"/>
          <w:highlight w:val="none"/>
        </w:rPr>
        <w:t>依据本招标文件规定享受扶持政策获得政府采购合同的，小微企业不得将合同分包给大中型企业，中型企业不得将合同分包给大型企业。</w:t>
      </w:r>
    </w:p>
    <w:p w14:paraId="0C07F60A">
      <w:pPr>
        <w:rPr>
          <w:rFonts w:hint="eastAsia" w:ascii="仿宋" w:hAnsi="仿宋" w:eastAsia="仿宋" w:cs="仿宋"/>
          <w:b/>
          <w:bCs/>
          <w:color w:val="auto"/>
          <w:kern w:val="0"/>
          <w:sz w:val="24"/>
          <w:highlight w:val="none"/>
          <w:lang w:bidi="ar"/>
        </w:rPr>
      </w:pPr>
    </w:p>
    <w:p w14:paraId="4AAFD2D1">
      <w:pP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br w:type="page"/>
      </w:r>
    </w:p>
    <w:p w14:paraId="1BEB3FDE">
      <w:pPr>
        <w:pStyle w:val="15"/>
        <w:ind w:left="1080" w:leftChars="257" w:hanging="540"/>
        <w:jc w:val="center"/>
        <w:outlineLvl w:val="1"/>
        <w:rPr>
          <w:rFonts w:hint="eastAsia" w:ascii="仿宋" w:hAnsi="仿宋" w:eastAsia="仿宋" w:cs="仿宋"/>
          <w:color w:val="auto"/>
          <w:kern w:val="0"/>
          <w:sz w:val="24"/>
          <w:highlight w:val="none"/>
          <w:lang w:eastAsia="zh-CN"/>
        </w:rPr>
      </w:pPr>
      <w:bookmarkStart w:id="658" w:name="_Toc19368"/>
      <w:bookmarkStart w:id="659" w:name="_Toc9201"/>
      <w:bookmarkStart w:id="660" w:name="_Toc6480"/>
      <w:r>
        <w:rPr>
          <w:rFonts w:hint="eastAsia" w:ascii="微软雅黑" w:hAnsi="微软雅黑" w:eastAsia="微软雅黑" w:cs="微软雅黑"/>
          <w:b/>
          <w:bCs/>
          <w:color w:val="auto"/>
          <w:sz w:val="24"/>
          <w:szCs w:val="24"/>
          <w:highlight w:val="none"/>
          <w:lang w:eastAsia="zh-CN"/>
        </w:rPr>
        <w:t>6</w:t>
      </w:r>
      <w:r>
        <w:rPr>
          <w:rFonts w:hint="eastAsia" w:ascii="微软雅黑" w:hAnsi="微软雅黑" w:eastAsia="微软雅黑" w:cs="微软雅黑"/>
          <w:b/>
          <w:bCs/>
          <w:color w:val="auto"/>
          <w:sz w:val="24"/>
          <w:szCs w:val="24"/>
          <w:highlight w:val="none"/>
          <w:lang w:val="en-US" w:eastAsia="zh-CN"/>
        </w:rPr>
        <w:t>.</w:t>
      </w:r>
      <w:r>
        <w:rPr>
          <w:rFonts w:hint="eastAsia" w:ascii="微软雅黑" w:hAnsi="微软雅黑" w:eastAsia="微软雅黑" w:cs="微软雅黑"/>
          <w:b/>
          <w:bCs/>
          <w:color w:val="auto"/>
          <w:sz w:val="24"/>
          <w:szCs w:val="24"/>
          <w:highlight w:val="none"/>
          <w:lang w:eastAsia="zh-CN"/>
        </w:rPr>
        <w:t>2</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lang w:eastAsia="zh-CN"/>
        </w:rPr>
        <w:t>关于符合本国产品标准的声明函（本项目不适用）</w:t>
      </w:r>
      <w:bookmarkEnd w:id="658"/>
      <w:bookmarkEnd w:id="659"/>
      <w:bookmarkEnd w:id="660"/>
    </w:p>
    <w:p w14:paraId="1E1C008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41D3976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产品名称1）1，生产厂为（厂名）2，厂址为（生产厂址）。（产品名称1）的中国境内生产的组件成本占比≥（规定比例）3。（产品名称1）的（关键组件）4在中国境内生产。（产品名称1）的（关键工序）5在中国境内完成。</w:t>
      </w:r>
    </w:p>
    <w:p w14:paraId="6E163CE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产品名称2），生产厂为（厂名），厂址为（生产厂址）。（产品名称2）的中国境内生产的组件成本占比≥（规定比例）。（产品名称2）的（关键组件）在中国境内生产。（产品名称2）的（关键工序）在中国境内完成。</w:t>
      </w:r>
    </w:p>
    <w:p w14:paraId="5414F50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p>
    <w:p w14:paraId="702B6D0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本公司（单位）对上述声明内容的真实性负责。如有虚假，愿承担相应法律责任。 </w:t>
      </w:r>
    </w:p>
    <w:p w14:paraId="3FF3020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公司（单位）名称（盖章）：　        </w:t>
      </w:r>
    </w:p>
    <w:p w14:paraId="01D4D80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　     年　  月　  日         </w:t>
      </w:r>
    </w:p>
    <w:p w14:paraId="5DB7B08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说明：相关政策详见《国务院办公厅关于在政府采购中实施本国产品标准及相关政策的通知》（国办发〔2025〕34号）</w:t>
      </w:r>
    </w:p>
    <w:p w14:paraId="47E36DF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1.产品如有型号，请在“产品名称”栏一并填写。</w:t>
      </w:r>
    </w:p>
    <w:p w14:paraId="4F0AFB5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2.生产厂名与厂址应与生产厂营业执照载明的相关信息保持一致。</w:t>
      </w:r>
    </w:p>
    <w:p w14:paraId="64DC440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3.该产品的中国境内生产的组件成本占比相关要求实施前，“规定比例”栏可不填，下同。</w:t>
      </w:r>
    </w:p>
    <w:p w14:paraId="5BB34A9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4.该产品的关键组件要求实施前，“关键组件”栏可不填，下同。</w:t>
      </w:r>
    </w:p>
    <w:p w14:paraId="141F37F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5.该产品的关键工序要求实施前，“关键工序”栏可不填，下同。</w:t>
      </w:r>
    </w:p>
    <w:p w14:paraId="296A9543">
      <w:pPr>
        <w:pStyle w:val="15"/>
        <w:ind w:left="1080" w:leftChars="257" w:hanging="540"/>
        <w:jc w:val="center"/>
        <w:outlineLvl w:val="1"/>
        <w:rPr>
          <w:rFonts w:hint="eastAsia" w:ascii="仿宋" w:hAnsi="仿宋" w:eastAsia="仿宋" w:cs="仿宋"/>
          <w:b/>
          <w:color w:val="auto"/>
          <w:sz w:val="24"/>
          <w:highlight w:val="none"/>
        </w:rPr>
      </w:pPr>
      <w:r>
        <w:rPr>
          <w:rFonts w:hint="eastAsia" w:ascii="仿宋" w:hAnsi="仿宋" w:eastAsia="仿宋" w:cs="仿宋"/>
          <w:b/>
          <w:bCs/>
          <w:color w:val="auto"/>
          <w:kern w:val="0"/>
          <w:sz w:val="24"/>
          <w:highlight w:val="none"/>
        </w:rPr>
        <w:br w:type="page"/>
      </w:r>
      <w:bookmarkStart w:id="661" w:name="_Toc23565"/>
      <w:bookmarkStart w:id="662" w:name="_Toc14228"/>
      <w:bookmarkStart w:id="663" w:name="_Toc32323"/>
      <w:r>
        <w:rPr>
          <w:rFonts w:hint="eastAsia" w:ascii="微软雅黑" w:hAnsi="微软雅黑" w:eastAsia="微软雅黑" w:cs="微软雅黑"/>
          <w:b/>
          <w:bCs/>
          <w:color w:val="auto"/>
          <w:sz w:val="24"/>
          <w:szCs w:val="24"/>
          <w:highlight w:val="none"/>
          <w:lang w:val="en-US" w:eastAsia="zh-CN"/>
        </w:rPr>
        <w:t xml:space="preserve">6.3 </w:t>
      </w:r>
      <w:r>
        <w:rPr>
          <w:rFonts w:hint="eastAsia" w:ascii="微软雅黑" w:hAnsi="微软雅黑" w:eastAsia="微软雅黑" w:cs="微软雅黑"/>
          <w:b/>
          <w:bCs/>
          <w:color w:val="auto"/>
          <w:sz w:val="24"/>
          <w:szCs w:val="24"/>
          <w:highlight w:val="none"/>
          <w:lang w:eastAsia="zh-CN"/>
        </w:rPr>
        <w:t>残疾人福利性单位声明函（若无，可不填）</w:t>
      </w:r>
      <w:bookmarkEnd w:id="661"/>
      <w:bookmarkEnd w:id="662"/>
      <w:bookmarkEnd w:id="663"/>
    </w:p>
    <w:p w14:paraId="398A1EC2">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4C025743">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本单位对上述声明的真实性负责。如有虚假，将依法承担相应责任。</w:t>
      </w:r>
    </w:p>
    <w:p w14:paraId="1540E805">
      <w:pPr>
        <w:widowControl/>
        <w:spacing w:before="100" w:beforeAutospacing="1" w:after="100" w:afterAutospacing="1"/>
        <w:rPr>
          <w:rFonts w:hint="eastAsia" w:ascii="微软雅黑" w:hAnsi="微软雅黑" w:eastAsia="微软雅黑" w:cs="微软雅黑"/>
          <w:color w:val="auto"/>
          <w:sz w:val="24"/>
          <w:szCs w:val="24"/>
          <w:highlight w:val="none"/>
        </w:rPr>
      </w:pPr>
    </w:p>
    <w:p w14:paraId="7FECFF79">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残疾人福利性单位名称（公章）：______________                </w:t>
      </w:r>
    </w:p>
    <w:p w14:paraId="08359903">
      <w:pPr>
        <w:widowControl/>
        <w:spacing w:before="100" w:beforeAutospacing="1" w:after="100" w:afterAutospacing="1"/>
        <w:rPr>
          <w:rFonts w:hint="default"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日  期：</w:t>
      </w:r>
      <w:r>
        <w:rPr>
          <w:rFonts w:hint="eastAsia" w:ascii="微软雅黑" w:hAnsi="微软雅黑" w:eastAsia="微软雅黑" w:cs="微软雅黑"/>
          <w:color w:val="auto"/>
          <w:sz w:val="24"/>
          <w:szCs w:val="24"/>
          <w:highlight w:val="none"/>
          <w:u w:val="single"/>
          <w:lang w:val="en-US" w:eastAsia="zh-CN"/>
        </w:rPr>
        <w:t xml:space="preserve">                                   </w:t>
      </w:r>
    </w:p>
    <w:p w14:paraId="5A8DB6E4">
      <w:pPr>
        <w:pStyle w:val="4"/>
        <w:spacing w:line="400" w:lineRule="exact"/>
        <w:ind w:firstLine="0"/>
        <w:rPr>
          <w:rFonts w:hint="eastAsia" w:ascii="仿宋" w:hAnsi="仿宋" w:eastAsia="仿宋" w:cs="仿宋"/>
          <w:color w:val="auto"/>
          <w:szCs w:val="24"/>
          <w:highlight w:val="none"/>
        </w:rPr>
      </w:pPr>
    </w:p>
    <w:p w14:paraId="5FE217D5">
      <w:pPr>
        <w:keepNext w:val="0"/>
        <w:keepLines w:val="0"/>
        <w:pageBreakBefore w:val="0"/>
        <w:widowControl w:val="0"/>
        <w:kinsoku/>
        <w:wordWrap/>
        <w:overflowPunct/>
        <w:topLinePunct w:val="0"/>
        <w:autoSpaceDE/>
        <w:autoSpaceDN/>
        <w:bidi w:val="0"/>
        <w:adjustRightInd/>
        <w:snapToGrid/>
        <w:spacing w:after="60" w:afterLines="25" w:line="400" w:lineRule="exact"/>
        <w:ind w:firstLine="420" w:firstLineChars="200"/>
        <w:textAlignment w:val="auto"/>
        <w:rPr>
          <w:rFonts w:hint="eastAsia" w:ascii="微软雅黑" w:hAnsi="微软雅黑" w:eastAsia="微软雅黑" w:cs="微软雅黑"/>
          <w:b w:val="0"/>
          <w:bCs/>
          <w:color w:val="auto"/>
          <w:sz w:val="21"/>
          <w:szCs w:val="21"/>
          <w:highlight w:val="none"/>
        </w:rPr>
      </w:pPr>
      <w:r>
        <w:rPr>
          <w:rFonts w:hint="eastAsia" w:ascii="微软雅黑" w:hAnsi="微软雅黑" w:eastAsia="微软雅黑" w:cs="微软雅黑"/>
          <w:b w:val="0"/>
          <w:bCs/>
          <w:color w:val="auto"/>
          <w:sz w:val="21"/>
          <w:szCs w:val="21"/>
          <w:highlight w:val="none"/>
          <w:lang w:val="en-US" w:eastAsia="zh-CN"/>
        </w:rPr>
        <w:t xml:space="preserve">说明：根据财库〔2017〕141 号文件的规定,享受政府采购支持政策的残疾人福利性单位应当同时满 </w:t>
      </w:r>
    </w:p>
    <w:p w14:paraId="080CD9EB">
      <w:pPr>
        <w:keepNext w:val="0"/>
        <w:keepLines w:val="0"/>
        <w:pageBreakBefore w:val="0"/>
        <w:widowControl w:val="0"/>
        <w:kinsoku/>
        <w:wordWrap/>
        <w:overflowPunct/>
        <w:topLinePunct w:val="0"/>
        <w:autoSpaceDE/>
        <w:autoSpaceDN/>
        <w:bidi w:val="0"/>
        <w:adjustRightInd/>
        <w:snapToGrid/>
        <w:spacing w:after="60" w:afterLines="25" w:line="400" w:lineRule="exact"/>
        <w:ind w:firstLine="420" w:firstLineChars="200"/>
        <w:textAlignment w:val="auto"/>
        <w:rPr>
          <w:rFonts w:hint="eastAsia" w:ascii="微软雅黑" w:hAnsi="微软雅黑" w:eastAsia="微软雅黑" w:cs="微软雅黑"/>
          <w:b w:val="0"/>
          <w:bCs/>
          <w:color w:val="auto"/>
          <w:sz w:val="21"/>
          <w:szCs w:val="21"/>
          <w:highlight w:val="none"/>
        </w:rPr>
      </w:pPr>
      <w:r>
        <w:rPr>
          <w:rFonts w:hint="eastAsia" w:ascii="微软雅黑" w:hAnsi="微软雅黑" w:eastAsia="微软雅黑" w:cs="微软雅黑"/>
          <w:b w:val="0"/>
          <w:bCs/>
          <w:color w:val="auto"/>
          <w:sz w:val="21"/>
          <w:szCs w:val="21"/>
          <w:highlight w:val="none"/>
          <w:lang w:val="en-US" w:eastAsia="zh-CN"/>
        </w:rPr>
        <w:t xml:space="preserve">足以下条件： </w:t>
      </w:r>
    </w:p>
    <w:p w14:paraId="35415EC9">
      <w:pPr>
        <w:keepNext w:val="0"/>
        <w:keepLines w:val="0"/>
        <w:pageBreakBefore w:val="0"/>
        <w:widowControl w:val="0"/>
        <w:kinsoku/>
        <w:wordWrap/>
        <w:overflowPunct/>
        <w:topLinePunct w:val="0"/>
        <w:autoSpaceDE/>
        <w:autoSpaceDN/>
        <w:bidi w:val="0"/>
        <w:adjustRightInd/>
        <w:snapToGrid/>
        <w:spacing w:after="60" w:afterLines="25" w:line="400" w:lineRule="exact"/>
        <w:ind w:firstLine="420" w:firstLineChars="200"/>
        <w:textAlignment w:val="auto"/>
        <w:rPr>
          <w:rFonts w:hint="eastAsia" w:ascii="微软雅黑" w:hAnsi="微软雅黑" w:eastAsia="微软雅黑" w:cs="微软雅黑"/>
          <w:b/>
          <w:bCs w:val="0"/>
          <w:color w:val="auto"/>
          <w:sz w:val="21"/>
          <w:szCs w:val="21"/>
          <w:highlight w:val="none"/>
        </w:rPr>
      </w:pPr>
      <w:r>
        <w:rPr>
          <w:rFonts w:hint="eastAsia" w:ascii="微软雅黑" w:hAnsi="微软雅黑" w:eastAsia="微软雅黑" w:cs="微软雅黑"/>
          <w:b/>
          <w:bCs w:val="0"/>
          <w:color w:val="auto"/>
          <w:sz w:val="21"/>
          <w:szCs w:val="21"/>
          <w:highlight w:val="none"/>
          <w:lang w:val="en-US" w:eastAsia="zh-CN"/>
        </w:rPr>
        <w:t xml:space="preserve">（一）安置的残疾人占本单位在职职工人数的比例不低于 25%（含 25%），并且安置的残疾人人数 不少于 10 人（含 10 人）； </w:t>
      </w:r>
    </w:p>
    <w:p w14:paraId="06B672D6">
      <w:pPr>
        <w:keepNext w:val="0"/>
        <w:keepLines w:val="0"/>
        <w:pageBreakBefore w:val="0"/>
        <w:widowControl w:val="0"/>
        <w:kinsoku/>
        <w:wordWrap/>
        <w:overflowPunct/>
        <w:topLinePunct w:val="0"/>
        <w:autoSpaceDE/>
        <w:autoSpaceDN/>
        <w:bidi w:val="0"/>
        <w:adjustRightInd/>
        <w:snapToGrid/>
        <w:spacing w:after="60" w:afterLines="25" w:line="400" w:lineRule="exact"/>
        <w:ind w:firstLine="420" w:firstLineChars="200"/>
        <w:textAlignment w:val="auto"/>
        <w:rPr>
          <w:rFonts w:hint="eastAsia" w:ascii="微软雅黑" w:hAnsi="微软雅黑" w:eastAsia="微软雅黑" w:cs="微软雅黑"/>
          <w:b w:val="0"/>
          <w:bCs/>
          <w:color w:val="auto"/>
          <w:sz w:val="21"/>
          <w:szCs w:val="21"/>
          <w:highlight w:val="none"/>
        </w:rPr>
      </w:pPr>
      <w:r>
        <w:rPr>
          <w:rFonts w:hint="eastAsia" w:ascii="微软雅黑" w:hAnsi="微软雅黑" w:eastAsia="微软雅黑" w:cs="微软雅黑"/>
          <w:b w:val="0"/>
          <w:bCs/>
          <w:color w:val="auto"/>
          <w:sz w:val="21"/>
          <w:szCs w:val="21"/>
          <w:highlight w:val="none"/>
          <w:lang w:val="en-US" w:eastAsia="zh-CN"/>
        </w:rPr>
        <w:t xml:space="preserve">（二）依法与安置的每位残疾人签订了一年以上（含一年）的劳动合同或服务协议； </w:t>
      </w:r>
    </w:p>
    <w:p w14:paraId="2708D455">
      <w:pPr>
        <w:keepNext w:val="0"/>
        <w:keepLines w:val="0"/>
        <w:pageBreakBefore w:val="0"/>
        <w:widowControl w:val="0"/>
        <w:kinsoku/>
        <w:wordWrap/>
        <w:overflowPunct/>
        <w:topLinePunct w:val="0"/>
        <w:autoSpaceDE/>
        <w:autoSpaceDN/>
        <w:bidi w:val="0"/>
        <w:adjustRightInd/>
        <w:snapToGrid/>
        <w:spacing w:after="60" w:afterLines="25" w:line="400" w:lineRule="exact"/>
        <w:ind w:firstLine="420" w:firstLineChars="200"/>
        <w:textAlignment w:val="auto"/>
        <w:rPr>
          <w:rFonts w:hint="eastAsia" w:ascii="微软雅黑" w:hAnsi="微软雅黑" w:eastAsia="微软雅黑" w:cs="微软雅黑"/>
          <w:b w:val="0"/>
          <w:bCs/>
          <w:color w:val="auto"/>
          <w:sz w:val="21"/>
          <w:szCs w:val="21"/>
          <w:highlight w:val="none"/>
        </w:rPr>
      </w:pPr>
      <w:r>
        <w:rPr>
          <w:rFonts w:hint="eastAsia" w:ascii="微软雅黑" w:hAnsi="微软雅黑" w:eastAsia="微软雅黑" w:cs="微软雅黑"/>
          <w:b w:val="0"/>
          <w:bCs/>
          <w:color w:val="auto"/>
          <w:sz w:val="21"/>
          <w:szCs w:val="21"/>
          <w:highlight w:val="none"/>
          <w:lang w:val="en-US" w:eastAsia="zh-CN"/>
        </w:rPr>
        <w:t xml:space="preserve">（三）为安置的每位残疾人按月足额缴纳了基本养老保险、基本医疗保险、失业保险、工伤保险和生 育保险等社会保险费； </w:t>
      </w:r>
    </w:p>
    <w:p w14:paraId="02DD01AE">
      <w:pPr>
        <w:keepNext w:val="0"/>
        <w:keepLines w:val="0"/>
        <w:pageBreakBefore w:val="0"/>
        <w:widowControl w:val="0"/>
        <w:kinsoku/>
        <w:wordWrap/>
        <w:overflowPunct/>
        <w:topLinePunct w:val="0"/>
        <w:autoSpaceDE/>
        <w:autoSpaceDN/>
        <w:bidi w:val="0"/>
        <w:adjustRightInd/>
        <w:snapToGrid/>
        <w:spacing w:after="60" w:afterLines="25" w:line="400" w:lineRule="exact"/>
        <w:ind w:firstLine="420" w:firstLineChars="200"/>
        <w:textAlignment w:val="auto"/>
        <w:rPr>
          <w:rFonts w:hint="eastAsia" w:ascii="微软雅黑" w:hAnsi="微软雅黑" w:eastAsia="微软雅黑" w:cs="微软雅黑"/>
          <w:b w:val="0"/>
          <w:bCs/>
          <w:color w:val="auto"/>
          <w:sz w:val="21"/>
          <w:szCs w:val="21"/>
          <w:highlight w:val="none"/>
        </w:rPr>
      </w:pPr>
      <w:r>
        <w:rPr>
          <w:rFonts w:hint="eastAsia" w:ascii="微软雅黑" w:hAnsi="微软雅黑" w:eastAsia="微软雅黑" w:cs="微软雅黑"/>
          <w:b w:val="0"/>
          <w:bCs/>
          <w:color w:val="auto"/>
          <w:sz w:val="21"/>
          <w:szCs w:val="21"/>
          <w:highlight w:val="none"/>
          <w:lang w:val="en-US" w:eastAsia="zh-CN"/>
        </w:rPr>
        <w:t xml:space="preserve">（四）通过银行等金融机构向安置的每位残疾人，按月支付了不低于单位所在区县适用的经省级人民 政府批准的月最低工资标准的工资； </w:t>
      </w:r>
    </w:p>
    <w:p w14:paraId="3D34A32F">
      <w:pPr>
        <w:keepNext w:val="0"/>
        <w:keepLines w:val="0"/>
        <w:pageBreakBefore w:val="0"/>
        <w:widowControl w:val="0"/>
        <w:kinsoku/>
        <w:wordWrap/>
        <w:overflowPunct/>
        <w:topLinePunct w:val="0"/>
        <w:autoSpaceDE/>
        <w:autoSpaceDN/>
        <w:bidi w:val="0"/>
        <w:adjustRightInd/>
        <w:snapToGrid/>
        <w:spacing w:after="60" w:afterLines="25" w:line="400" w:lineRule="exact"/>
        <w:ind w:firstLine="420" w:firstLineChars="200"/>
        <w:textAlignment w:val="auto"/>
        <w:rPr>
          <w:rFonts w:hint="eastAsia" w:ascii="仿宋" w:hAnsi="仿宋" w:eastAsia="仿宋" w:cs="仿宋"/>
          <w:b/>
          <w:color w:val="auto"/>
          <w:kern w:val="0"/>
          <w:sz w:val="24"/>
          <w:highlight w:val="none"/>
        </w:rPr>
      </w:pPr>
      <w:r>
        <w:rPr>
          <w:rFonts w:hint="eastAsia" w:ascii="微软雅黑" w:hAnsi="微软雅黑" w:eastAsia="微软雅黑" w:cs="微软雅黑"/>
          <w:b w:val="0"/>
          <w:bCs/>
          <w:color w:val="auto"/>
          <w:sz w:val="21"/>
          <w:szCs w:val="21"/>
          <w:highlight w:val="none"/>
          <w:lang w:val="en-US" w:eastAsia="zh-CN"/>
        </w:rPr>
        <w:t>（五）提供本单位制造的货物、承担的工程或者服务（以下简称产品），或者提供其他残疾人福利性 单位制造的货物（不包括使用非残疾人福利性单位注册商标的货物）。前款所称残疾人是指法定劳动年龄 内，持有《中华人民共和国残疾人证》或者《中华人民共和国残疾军人证（1 至 8 级）》的自然人，包括 具有劳动条件和劳动意愿的精神残疾人。在职职工人数是指与残疾人福利性单位建立劳动关系并依法签订劳动合同或者服务协议的雇员人数。</w:t>
      </w:r>
    </w:p>
    <w:p w14:paraId="11C805BE">
      <w:pPr>
        <w:widowControl/>
        <w:spacing w:before="100" w:beforeAutospacing="1" w:after="100" w:afterAutospacing="1" w:line="400" w:lineRule="exact"/>
        <w:rPr>
          <w:rFonts w:hint="eastAsia" w:ascii="仿宋" w:hAnsi="仿宋" w:eastAsia="仿宋" w:cs="仿宋"/>
          <w:b/>
          <w:color w:val="auto"/>
          <w:kern w:val="0"/>
          <w:sz w:val="24"/>
          <w:highlight w:val="none"/>
        </w:rPr>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594F4C76">
      <w:pPr>
        <w:pStyle w:val="15"/>
        <w:ind w:left="1080" w:leftChars="257" w:hanging="540"/>
        <w:jc w:val="center"/>
        <w:outlineLvl w:val="1"/>
        <w:rPr>
          <w:rFonts w:hint="eastAsia" w:ascii="微软雅黑" w:hAnsi="微软雅黑" w:eastAsia="微软雅黑" w:cs="微软雅黑"/>
          <w:b/>
          <w:bCs/>
          <w:color w:val="auto"/>
          <w:sz w:val="24"/>
          <w:szCs w:val="24"/>
          <w:highlight w:val="none"/>
          <w:lang w:val="en-US" w:eastAsia="zh-CN"/>
        </w:rPr>
      </w:pPr>
      <w:bookmarkStart w:id="664" w:name="_Toc27927"/>
      <w:bookmarkStart w:id="665" w:name="_Toc8661"/>
      <w:bookmarkStart w:id="666" w:name="_Toc22459"/>
      <w:r>
        <w:rPr>
          <w:rFonts w:hint="eastAsia" w:ascii="微软雅黑" w:hAnsi="微软雅黑" w:eastAsia="微软雅黑" w:cs="微软雅黑"/>
          <w:b/>
          <w:bCs/>
          <w:color w:val="auto"/>
          <w:sz w:val="24"/>
          <w:szCs w:val="24"/>
          <w:highlight w:val="none"/>
          <w:lang w:val="en-US" w:eastAsia="zh-CN"/>
        </w:rPr>
        <w:t>6.4 《监狱企业声明函》（若无，可不填）</w:t>
      </w:r>
      <w:bookmarkEnd w:id="664"/>
      <w:bookmarkEnd w:id="665"/>
      <w:bookmarkEnd w:id="666"/>
    </w:p>
    <w:p w14:paraId="356905B8">
      <w:pPr>
        <w:spacing w:line="400" w:lineRule="exact"/>
        <w:ind w:left="1080" w:leftChars="257" w:hanging="540"/>
        <w:jc w:val="center"/>
        <w:rPr>
          <w:rFonts w:hint="eastAsia" w:ascii="仿宋" w:hAnsi="仿宋" w:eastAsia="仿宋" w:cs="仿宋"/>
          <w:b/>
          <w:color w:val="auto"/>
          <w:kern w:val="0"/>
          <w:sz w:val="24"/>
          <w:highlight w:val="none"/>
        </w:rPr>
      </w:pPr>
    </w:p>
    <w:p w14:paraId="7EB3837B">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本公司（联合体）郑重声明，根据《政府采购促进中小企业发展管理办法》（财库﹝2020﹞46 号）的规定，本公司（联合体）参加 （单位名称） 的 （项目名称） 采购活动，货物全部为符合政策要求的中小企业（或者：服务全部由符合政策要求的中小企业承接）。相关企业（含联合体中的中小企业、签订分包意向协议的中小企业）的具体情况如下：</w:t>
      </w:r>
    </w:p>
    <w:p w14:paraId="0F0EA9C1">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1.（标的名称），承接单位为（企业名称），属于监狱企业；</w:t>
      </w:r>
    </w:p>
    <w:p w14:paraId="0478EB55">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2.（标的名称），承接单位为（企业名称），属于监狱企业。</w:t>
      </w:r>
    </w:p>
    <w:p w14:paraId="782D1E31">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5BE54403">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本单位对上述声明的真实性负责。如有虚假，依法承担相应责任。</w:t>
      </w:r>
    </w:p>
    <w:p w14:paraId="498D01E0">
      <w:pPr>
        <w:widowControl/>
        <w:spacing w:before="100" w:beforeAutospacing="1" w:after="100" w:afterAutospacing="1"/>
        <w:rPr>
          <w:rFonts w:hint="eastAsia" w:ascii="微软雅黑" w:hAnsi="微软雅黑" w:eastAsia="微软雅黑" w:cs="微软雅黑"/>
          <w:color w:val="auto"/>
          <w:sz w:val="24"/>
          <w:szCs w:val="24"/>
          <w:highlight w:val="none"/>
        </w:rPr>
      </w:pPr>
    </w:p>
    <w:p w14:paraId="4B74C908">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附：省级以上监狱管理局、戒毒管理局（含新疆生产建设兵团）出具的监狱企业证明文件。</w:t>
      </w:r>
    </w:p>
    <w:p w14:paraId="62EFCEEE">
      <w:pPr>
        <w:widowControl/>
        <w:spacing w:before="100" w:beforeAutospacing="1" w:after="100" w:afterAutospacing="1"/>
        <w:rPr>
          <w:rFonts w:hint="eastAsia" w:ascii="微软雅黑" w:hAnsi="微软雅黑" w:eastAsia="微软雅黑" w:cs="微软雅黑"/>
          <w:color w:val="auto"/>
          <w:sz w:val="24"/>
          <w:szCs w:val="24"/>
          <w:highlight w:val="none"/>
        </w:rPr>
      </w:pPr>
    </w:p>
    <w:p w14:paraId="5C61D657">
      <w:pPr>
        <w:widowControl/>
        <w:spacing w:before="100" w:beforeAutospacing="1" w:after="100" w:afterAutospacing="1"/>
        <w:ind w:firstLine="3840" w:firstLineChars="16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（单位盖章）：</w:t>
      </w:r>
    </w:p>
    <w:p w14:paraId="03A55807">
      <w:pPr>
        <w:widowControl/>
        <w:spacing w:before="100" w:beforeAutospacing="1" w:after="100" w:afterAutospacing="1"/>
        <w:ind w:firstLine="4320" w:firstLineChars="18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  期：</w:t>
      </w:r>
    </w:p>
    <w:p w14:paraId="676555F1">
      <w:pPr>
        <w:pStyle w:val="4"/>
        <w:spacing w:line="400" w:lineRule="exact"/>
        <w:rPr>
          <w:rFonts w:hint="eastAsia" w:hAnsi="宋体" w:cs="宋体"/>
          <w:color w:val="auto"/>
          <w:szCs w:val="24"/>
          <w:highlight w:val="none"/>
        </w:rPr>
      </w:pPr>
    </w:p>
    <w:p w14:paraId="3C5BDD21">
      <w:pPr>
        <w:pStyle w:val="4"/>
        <w:spacing w:line="360" w:lineRule="auto"/>
        <w:ind w:firstLine="964" w:firstLineChars="400"/>
        <w:rPr>
          <w:rFonts w:hint="eastAsia" w:ascii="Times New Roman" w:eastAsia="仿宋"/>
          <w:b/>
          <w:bCs/>
          <w:color w:val="auto"/>
          <w:highlight w:val="none"/>
        </w:rPr>
      </w:pPr>
    </w:p>
    <w:p w14:paraId="760F8D36">
      <w:pPr>
        <w:pStyle w:val="4"/>
        <w:spacing w:line="360" w:lineRule="auto"/>
        <w:ind w:firstLine="964" w:firstLineChars="400"/>
        <w:rPr>
          <w:rFonts w:hint="eastAsia" w:ascii="Times New Roman" w:eastAsia="仿宋"/>
          <w:b/>
          <w:bCs/>
          <w:color w:val="auto"/>
          <w:highlight w:val="none"/>
        </w:rPr>
      </w:pPr>
    </w:p>
    <w:p w14:paraId="6C734ACD">
      <w:pPr>
        <w:pStyle w:val="4"/>
        <w:spacing w:line="360" w:lineRule="auto"/>
        <w:ind w:firstLine="964" w:firstLineChars="400"/>
        <w:rPr>
          <w:rFonts w:hint="eastAsia" w:ascii="Times New Roman" w:eastAsia="仿宋"/>
          <w:b/>
          <w:bCs/>
          <w:color w:val="auto"/>
          <w:highlight w:val="none"/>
        </w:rPr>
      </w:pPr>
    </w:p>
    <w:p w14:paraId="162EF201">
      <w:pPr>
        <w:pStyle w:val="4"/>
        <w:spacing w:line="360" w:lineRule="auto"/>
        <w:ind w:firstLine="964" w:firstLineChars="400"/>
        <w:rPr>
          <w:rFonts w:hint="eastAsia" w:ascii="Times New Roman" w:eastAsia="仿宋"/>
          <w:b/>
          <w:bCs/>
          <w:color w:val="auto"/>
          <w:highlight w:val="none"/>
        </w:rPr>
      </w:pPr>
    </w:p>
    <w:p w14:paraId="4F1252E4">
      <w:pPr>
        <w:pStyle w:val="4"/>
        <w:spacing w:line="360" w:lineRule="auto"/>
        <w:ind w:firstLine="964" w:firstLineChars="400"/>
        <w:rPr>
          <w:rFonts w:hint="eastAsia" w:ascii="Times New Roman" w:eastAsia="仿宋"/>
          <w:b/>
          <w:bCs/>
          <w:color w:val="auto"/>
          <w:highlight w:val="none"/>
        </w:rPr>
      </w:pPr>
    </w:p>
    <w:p w14:paraId="27CF5A7B">
      <w:pPr>
        <w:pStyle w:val="4"/>
        <w:spacing w:line="360" w:lineRule="auto"/>
        <w:ind w:firstLine="964" w:firstLineChars="400"/>
        <w:rPr>
          <w:rFonts w:hint="eastAsia" w:ascii="Times New Roman" w:eastAsia="仿宋"/>
          <w:b/>
          <w:bCs/>
          <w:color w:val="auto"/>
          <w:highlight w:val="none"/>
        </w:rPr>
      </w:pPr>
    </w:p>
    <w:p w14:paraId="509736F4">
      <w:pPr>
        <w:pStyle w:val="4"/>
        <w:spacing w:line="360" w:lineRule="auto"/>
        <w:ind w:firstLine="964" w:firstLineChars="400"/>
        <w:rPr>
          <w:rFonts w:hint="eastAsia" w:ascii="Times New Roman" w:eastAsia="仿宋"/>
          <w:b/>
          <w:bCs/>
          <w:color w:val="auto"/>
          <w:highlight w:val="none"/>
        </w:rPr>
      </w:pPr>
    </w:p>
    <w:p w14:paraId="2B172670">
      <w:pPr>
        <w:pStyle w:val="4"/>
        <w:spacing w:line="360" w:lineRule="auto"/>
        <w:ind w:firstLine="964" w:firstLineChars="400"/>
        <w:rPr>
          <w:rFonts w:hint="eastAsia" w:ascii="Times New Roman" w:eastAsia="仿宋"/>
          <w:b/>
          <w:bCs/>
          <w:color w:val="auto"/>
          <w:highlight w:val="none"/>
        </w:rPr>
      </w:pPr>
    </w:p>
    <w:p w14:paraId="7FC262A7">
      <w:pPr>
        <w:pStyle w:val="4"/>
        <w:spacing w:line="360" w:lineRule="auto"/>
        <w:ind w:firstLine="964" w:firstLineChars="400"/>
        <w:rPr>
          <w:rFonts w:hint="eastAsia" w:ascii="Times New Roman" w:eastAsia="仿宋"/>
          <w:b/>
          <w:bCs/>
          <w:color w:val="auto"/>
          <w:highlight w:val="none"/>
        </w:rPr>
      </w:pPr>
    </w:p>
    <w:p w14:paraId="68DED5EB">
      <w:pPr>
        <w:pStyle w:val="4"/>
        <w:spacing w:line="360" w:lineRule="auto"/>
        <w:ind w:firstLine="964" w:firstLineChars="400"/>
        <w:rPr>
          <w:rFonts w:hint="eastAsia" w:ascii="Times New Roman" w:eastAsia="仿宋"/>
          <w:b/>
          <w:bCs/>
          <w:color w:val="auto"/>
          <w:highlight w:val="none"/>
        </w:rPr>
      </w:pPr>
    </w:p>
    <w:p w14:paraId="32AC8B24">
      <w:pPr>
        <w:pStyle w:val="15"/>
        <w:ind w:left="1080" w:leftChars="257" w:hanging="540"/>
        <w:jc w:val="center"/>
        <w:outlineLvl w:val="1"/>
        <w:rPr>
          <w:rFonts w:hint="eastAsia" w:ascii="微软雅黑" w:hAnsi="微软雅黑" w:eastAsia="微软雅黑" w:cs="微软雅黑"/>
          <w:b/>
          <w:bCs/>
          <w:color w:val="auto"/>
          <w:sz w:val="24"/>
          <w:szCs w:val="24"/>
          <w:highlight w:val="none"/>
          <w:lang w:val="en-US" w:eastAsia="zh-CN"/>
        </w:rPr>
      </w:pPr>
      <w:bookmarkStart w:id="667" w:name="_Toc13622"/>
      <w:bookmarkStart w:id="668" w:name="_Toc28119"/>
      <w:bookmarkStart w:id="669" w:name="_Toc24701"/>
      <w:r>
        <w:rPr>
          <w:rFonts w:hint="eastAsia" w:ascii="微软雅黑" w:hAnsi="微软雅黑" w:eastAsia="微软雅黑" w:cs="微软雅黑"/>
          <w:b/>
          <w:bCs/>
          <w:color w:val="auto"/>
          <w:sz w:val="24"/>
          <w:szCs w:val="24"/>
          <w:highlight w:val="none"/>
          <w:lang w:val="en-US" w:eastAsia="zh-CN"/>
        </w:rPr>
        <w:t>6.5 节能、环境标志产品（若本项目采购内容中无以下清单货物，可不填）</w:t>
      </w:r>
      <w:bookmarkEnd w:id="667"/>
      <w:bookmarkEnd w:id="668"/>
      <w:bookmarkEnd w:id="669"/>
    </w:p>
    <w:p w14:paraId="4692837B">
      <w:pPr>
        <w:pStyle w:val="115"/>
        <w:spacing w:line="360" w:lineRule="auto"/>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lang w:eastAsia="zh-CN"/>
        </w:rPr>
        <w:t>供应商</w:t>
      </w:r>
      <w:r>
        <w:rPr>
          <w:rFonts w:hint="eastAsia" w:ascii="微软雅黑" w:hAnsi="微软雅黑" w:eastAsia="微软雅黑" w:cs="微软雅黑"/>
          <w:b/>
          <w:bCs/>
          <w:color w:val="auto"/>
          <w:kern w:val="0"/>
          <w:sz w:val="24"/>
          <w:highlight w:val="none"/>
        </w:rPr>
        <w:t>在投标时请参考以下文件填写下表：</w:t>
      </w:r>
    </w:p>
    <w:p w14:paraId="0A1A4927">
      <w:pPr>
        <w:pStyle w:val="115"/>
        <w:spacing w:line="360" w:lineRule="auto"/>
        <w:ind w:firstLine="480" w:firstLineChars="200"/>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《关于印发节能产品政府采购品目清单的通知》（财库〔2019〕19号）附件：节能产品政府采购品目清单</w:t>
      </w:r>
    </w:p>
    <w:tbl>
      <w:tblPr>
        <w:tblStyle w:val="30"/>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2426"/>
        <w:gridCol w:w="2101"/>
        <w:gridCol w:w="3014"/>
        <w:gridCol w:w="946"/>
      </w:tblGrid>
      <w:tr w14:paraId="71EF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51" w:type="dxa"/>
            <w:noWrap w:val="0"/>
            <w:vAlign w:val="center"/>
          </w:tcPr>
          <w:p w14:paraId="4792F70C">
            <w:pPr>
              <w:widowControl/>
              <w:spacing w:before="100" w:beforeAutospacing="1" w:after="100" w:afterAutospacing="1"/>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序号</w:t>
            </w:r>
          </w:p>
        </w:tc>
        <w:tc>
          <w:tcPr>
            <w:tcW w:w="2426" w:type="dxa"/>
            <w:noWrap w:val="0"/>
            <w:vAlign w:val="center"/>
          </w:tcPr>
          <w:p w14:paraId="2410EC41">
            <w:pPr>
              <w:widowControl/>
              <w:spacing w:before="100" w:beforeAutospacing="1" w:after="100" w:afterAutospacing="1"/>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产品名称(标的名称)</w:t>
            </w:r>
          </w:p>
        </w:tc>
        <w:tc>
          <w:tcPr>
            <w:tcW w:w="2101" w:type="dxa"/>
            <w:noWrap w:val="0"/>
            <w:vAlign w:val="center"/>
          </w:tcPr>
          <w:p w14:paraId="514C1A59">
            <w:pPr>
              <w:widowControl/>
              <w:spacing w:before="100" w:beforeAutospacing="1" w:after="100" w:afterAutospacing="1"/>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节能认证证书编号</w:t>
            </w:r>
          </w:p>
        </w:tc>
        <w:tc>
          <w:tcPr>
            <w:tcW w:w="3014" w:type="dxa"/>
            <w:noWrap w:val="0"/>
            <w:vAlign w:val="center"/>
          </w:tcPr>
          <w:p w14:paraId="7990A387">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提供所投产品有效的节能产品认证证书(复印件加盖供应商公章)可附本页后</w:t>
            </w:r>
          </w:p>
        </w:tc>
        <w:tc>
          <w:tcPr>
            <w:tcW w:w="946" w:type="dxa"/>
            <w:noWrap w:val="0"/>
            <w:vAlign w:val="center"/>
          </w:tcPr>
          <w:p w14:paraId="702A2B03">
            <w:pPr>
              <w:widowControl/>
              <w:spacing w:before="100" w:beforeAutospacing="1" w:after="100" w:afterAutospacing="1"/>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备注</w:t>
            </w:r>
          </w:p>
        </w:tc>
      </w:tr>
      <w:tr w14:paraId="5755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551" w:type="dxa"/>
            <w:noWrap w:val="0"/>
            <w:vAlign w:val="top"/>
          </w:tcPr>
          <w:p w14:paraId="54E1D1AA">
            <w:pPr>
              <w:widowControl/>
              <w:spacing w:before="100" w:beforeAutospacing="1" w:after="100" w:afterAutospacing="1"/>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426" w:type="dxa"/>
            <w:noWrap w:val="0"/>
            <w:vAlign w:val="top"/>
          </w:tcPr>
          <w:p w14:paraId="3F159C30">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A020101 计算机设备（★台式计算机/★便携式计算机/★平板式计算机）</w:t>
            </w:r>
          </w:p>
        </w:tc>
        <w:tc>
          <w:tcPr>
            <w:tcW w:w="2101" w:type="dxa"/>
            <w:noWrap w:val="0"/>
            <w:vAlign w:val="top"/>
          </w:tcPr>
          <w:p w14:paraId="491064CF">
            <w:pPr>
              <w:widowControl/>
              <w:spacing w:before="100" w:beforeAutospacing="1" w:after="100" w:afterAutospacing="1"/>
              <w:rPr>
                <w:rFonts w:hint="eastAsia" w:ascii="微软雅黑" w:hAnsi="微软雅黑" w:eastAsia="微软雅黑" w:cs="微软雅黑"/>
                <w:color w:val="auto"/>
                <w:highlight w:val="none"/>
              </w:rPr>
            </w:pPr>
          </w:p>
        </w:tc>
        <w:tc>
          <w:tcPr>
            <w:tcW w:w="3014" w:type="dxa"/>
            <w:noWrap w:val="0"/>
            <w:vAlign w:val="top"/>
          </w:tcPr>
          <w:p w14:paraId="004F3DDB">
            <w:pPr>
              <w:widowControl/>
              <w:spacing w:before="100" w:beforeAutospacing="1" w:after="100" w:afterAutospacing="1"/>
              <w:rPr>
                <w:rFonts w:hint="eastAsia" w:ascii="微软雅黑" w:hAnsi="微软雅黑" w:eastAsia="微软雅黑" w:cs="微软雅黑"/>
                <w:color w:val="auto"/>
                <w:highlight w:val="none"/>
              </w:rPr>
            </w:pPr>
          </w:p>
        </w:tc>
        <w:tc>
          <w:tcPr>
            <w:tcW w:w="946" w:type="dxa"/>
            <w:noWrap w:val="0"/>
            <w:vAlign w:val="top"/>
          </w:tcPr>
          <w:p w14:paraId="4F6FC4B4">
            <w:pPr>
              <w:widowControl/>
              <w:spacing w:before="100" w:beforeAutospacing="1" w:after="100" w:afterAutospacing="1"/>
              <w:rPr>
                <w:rFonts w:hint="eastAsia" w:ascii="微软雅黑" w:hAnsi="微软雅黑" w:eastAsia="微软雅黑" w:cs="微软雅黑"/>
                <w:color w:val="auto"/>
                <w:highlight w:val="none"/>
              </w:rPr>
            </w:pPr>
          </w:p>
        </w:tc>
      </w:tr>
      <w:tr w14:paraId="0CD3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51" w:type="dxa"/>
            <w:noWrap w:val="0"/>
            <w:vAlign w:val="top"/>
          </w:tcPr>
          <w:p w14:paraId="10822E91">
            <w:pPr>
              <w:widowControl/>
              <w:spacing w:before="100" w:beforeAutospacing="1" w:after="100" w:afterAutospacing="1"/>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w:t>
            </w:r>
          </w:p>
        </w:tc>
        <w:tc>
          <w:tcPr>
            <w:tcW w:w="2426" w:type="dxa"/>
            <w:noWrap w:val="0"/>
            <w:vAlign w:val="top"/>
          </w:tcPr>
          <w:p w14:paraId="6739B5FC">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A02010601 打印设备（★激光打印机/★针式打印机）</w:t>
            </w:r>
          </w:p>
        </w:tc>
        <w:tc>
          <w:tcPr>
            <w:tcW w:w="2101" w:type="dxa"/>
            <w:noWrap w:val="0"/>
            <w:vAlign w:val="top"/>
          </w:tcPr>
          <w:p w14:paraId="0D79C31C">
            <w:pPr>
              <w:widowControl/>
              <w:spacing w:before="100" w:beforeAutospacing="1" w:after="100" w:afterAutospacing="1"/>
              <w:rPr>
                <w:rFonts w:hint="eastAsia" w:ascii="微软雅黑" w:hAnsi="微软雅黑" w:eastAsia="微软雅黑" w:cs="微软雅黑"/>
                <w:color w:val="auto"/>
                <w:highlight w:val="none"/>
              </w:rPr>
            </w:pPr>
          </w:p>
        </w:tc>
        <w:tc>
          <w:tcPr>
            <w:tcW w:w="3014" w:type="dxa"/>
            <w:noWrap w:val="0"/>
            <w:vAlign w:val="top"/>
          </w:tcPr>
          <w:p w14:paraId="71D50BF4">
            <w:pPr>
              <w:widowControl/>
              <w:spacing w:before="100" w:beforeAutospacing="1" w:after="100" w:afterAutospacing="1"/>
              <w:rPr>
                <w:rFonts w:hint="eastAsia" w:ascii="微软雅黑" w:hAnsi="微软雅黑" w:eastAsia="微软雅黑" w:cs="微软雅黑"/>
                <w:color w:val="auto"/>
                <w:highlight w:val="none"/>
              </w:rPr>
            </w:pPr>
          </w:p>
        </w:tc>
        <w:tc>
          <w:tcPr>
            <w:tcW w:w="946" w:type="dxa"/>
            <w:noWrap w:val="0"/>
            <w:vAlign w:val="top"/>
          </w:tcPr>
          <w:p w14:paraId="0C13FB02">
            <w:pPr>
              <w:widowControl/>
              <w:spacing w:before="100" w:beforeAutospacing="1" w:after="100" w:afterAutospacing="1"/>
              <w:rPr>
                <w:rFonts w:hint="eastAsia" w:ascii="微软雅黑" w:hAnsi="微软雅黑" w:eastAsia="微软雅黑" w:cs="微软雅黑"/>
                <w:color w:val="auto"/>
                <w:highlight w:val="none"/>
              </w:rPr>
            </w:pPr>
          </w:p>
        </w:tc>
      </w:tr>
      <w:tr w14:paraId="2865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51" w:type="dxa"/>
            <w:noWrap w:val="0"/>
            <w:vAlign w:val="top"/>
          </w:tcPr>
          <w:p w14:paraId="664D461A">
            <w:pPr>
              <w:widowControl/>
              <w:spacing w:before="100" w:beforeAutospacing="1" w:after="100" w:afterAutospacing="1"/>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w:t>
            </w:r>
          </w:p>
        </w:tc>
        <w:tc>
          <w:tcPr>
            <w:tcW w:w="2426" w:type="dxa"/>
            <w:noWrap w:val="0"/>
            <w:vAlign w:val="top"/>
          </w:tcPr>
          <w:p w14:paraId="315C637D">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★A0201060401 液晶 显示器</w:t>
            </w:r>
          </w:p>
        </w:tc>
        <w:tc>
          <w:tcPr>
            <w:tcW w:w="2101" w:type="dxa"/>
            <w:noWrap w:val="0"/>
            <w:vAlign w:val="top"/>
          </w:tcPr>
          <w:p w14:paraId="27631456">
            <w:pPr>
              <w:widowControl/>
              <w:spacing w:before="100" w:beforeAutospacing="1" w:after="100" w:afterAutospacing="1"/>
              <w:rPr>
                <w:rFonts w:hint="eastAsia" w:ascii="微软雅黑" w:hAnsi="微软雅黑" w:eastAsia="微软雅黑" w:cs="微软雅黑"/>
                <w:color w:val="auto"/>
                <w:highlight w:val="none"/>
              </w:rPr>
            </w:pPr>
          </w:p>
        </w:tc>
        <w:tc>
          <w:tcPr>
            <w:tcW w:w="3014" w:type="dxa"/>
            <w:noWrap w:val="0"/>
            <w:vAlign w:val="top"/>
          </w:tcPr>
          <w:p w14:paraId="37EB84D3">
            <w:pPr>
              <w:widowControl/>
              <w:spacing w:before="100" w:beforeAutospacing="1" w:after="100" w:afterAutospacing="1"/>
              <w:rPr>
                <w:rFonts w:hint="eastAsia" w:ascii="微软雅黑" w:hAnsi="微软雅黑" w:eastAsia="微软雅黑" w:cs="微软雅黑"/>
                <w:color w:val="auto"/>
                <w:highlight w:val="none"/>
              </w:rPr>
            </w:pPr>
          </w:p>
        </w:tc>
        <w:tc>
          <w:tcPr>
            <w:tcW w:w="946" w:type="dxa"/>
            <w:noWrap w:val="0"/>
            <w:vAlign w:val="top"/>
          </w:tcPr>
          <w:p w14:paraId="26C5BFD9">
            <w:pPr>
              <w:widowControl/>
              <w:spacing w:before="100" w:beforeAutospacing="1" w:after="100" w:afterAutospacing="1"/>
              <w:rPr>
                <w:rFonts w:hint="eastAsia" w:ascii="微软雅黑" w:hAnsi="微软雅黑" w:eastAsia="微软雅黑" w:cs="微软雅黑"/>
                <w:color w:val="auto"/>
                <w:highlight w:val="none"/>
              </w:rPr>
            </w:pPr>
          </w:p>
        </w:tc>
      </w:tr>
      <w:tr w14:paraId="45F2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551" w:type="dxa"/>
            <w:noWrap w:val="0"/>
            <w:vAlign w:val="top"/>
          </w:tcPr>
          <w:p w14:paraId="0D42FB8A">
            <w:pPr>
              <w:widowControl/>
              <w:spacing w:before="100" w:beforeAutospacing="1" w:after="100" w:afterAutospacing="1"/>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4</w:t>
            </w:r>
          </w:p>
        </w:tc>
        <w:tc>
          <w:tcPr>
            <w:tcW w:w="2426" w:type="dxa"/>
            <w:noWrap w:val="0"/>
            <w:vAlign w:val="top"/>
          </w:tcPr>
          <w:p w14:paraId="180175D7">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A020523 制冷 空调设备（★制冷压缩机、★空调机组、★专用制 冷、空调设备</w:t>
            </w:r>
          </w:p>
        </w:tc>
        <w:tc>
          <w:tcPr>
            <w:tcW w:w="2101" w:type="dxa"/>
            <w:noWrap w:val="0"/>
            <w:vAlign w:val="top"/>
          </w:tcPr>
          <w:p w14:paraId="3D6ECA33">
            <w:pPr>
              <w:widowControl/>
              <w:spacing w:before="100" w:beforeAutospacing="1" w:after="100" w:afterAutospacing="1"/>
              <w:rPr>
                <w:rFonts w:hint="eastAsia" w:ascii="微软雅黑" w:hAnsi="微软雅黑" w:eastAsia="微软雅黑" w:cs="微软雅黑"/>
                <w:color w:val="auto"/>
                <w:highlight w:val="none"/>
              </w:rPr>
            </w:pPr>
          </w:p>
        </w:tc>
        <w:tc>
          <w:tcPr>
            <w:tcW w:w="3014" w:type="dxa"/>
            <w:noWrap w:val="0"/>
            <w:vAlign w:val="top"/>
          </w:tcPr>
          <w:p w14:paraId="0BC21334">
            <w:pPr>
              <w:widowControl/>
              <w:spacing w:before="100" w:beforeAutospacing="1" w:after="100" w:afterAutospacing="1"/>
              <w:rPr>
                <w:rFonts w:hint="eastAsia" w:ascii="微软雅黑" w:hAnsi="微软雅黑" w:eastAsia="微软雅黑" w:cs="微软雅黑"/>
                <w:color w:val="auto"/>
                <w:highlight w:val="none"/>
              </w:rPr>
            </w:pPr>
          </w:p>
        </w:tc>
        <w:tc>
          <w:tcPr>
            <w:tcW w:w="946" w:type="dxa"/>
            <w:noWrap w:val="0"/>
            <w:vAlign w:val="top"/>
          </w:tcPr>
          <w:p w14:paraId="41F1F91D">
            <w:pPr>
              <w:widowControl/>
              <w:spacing w:before="100" w:beforeAutospacing="1" w:after="100" w:afterAutospacing="1"/>
              <w:rPr>
                <w:rFonts w:hint="eastAsia" w:ascii="微软雅黑" w:hAnsi="微软雅黑" w:eastAsia="微软雅黑" w:cs="微软雅黑"/>
                <w:color w:val="auto"/>
                <w:highlight w:val="none"/>
              </w:rPr>
            </w:pPr>
          </w:p>
        </w:tc>
      </w:tr>
      <w:tr w14:paraId="0FB6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51" w:type="dxa"/>
            <w:noWrap w:val="0"/>
            <w:vAlign w:val="top"/>
          </w:tcPr>
          <w:p w14:paraId="1E8D5F9D">
            <w:pPr>
              <w:widowControl/>
              <w:spacing w:before="100" w:beforeAutospacing="1" w:after="100" w:afterAutospacing="1"/>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5</w:t>
            </w:r>
          </w:p>
        </w:tc>
        <w:tc>
          <w:tcPr>
            <w:tcW w:w="2426" w:type="dxa"/>
            <w:noWrap w:val="0"/>
            <w:vAlign w:val="top"/>
          </w:tcPr>
          <w:p w14:paraId="44C011EA">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★A020609 镇流器</w:t>
            </w:r>
          </w:p>
        </w:tc>
        <w:tc>
          <w:tcPr>
            <w:tcW w:w="2101" w:type="dxa"/>
            <w:noWrap w:val="0"/>
            <w:vAlign w:val="top"/>
          </w:tcPr>
          <w:p w14:paraId="0730AE6D">
            <w:pPr>
              <w:widowControl/>
              <w:spacing w:before="100" w:beforeAutospacing="1" w:after="100" w:afterAutospacing="1"/>
              <w:rPr>
                <w:rFonts w:hint="eastAsia" w:ascii="微软雅黑" w:hAnsi="微软雅黑" w:eastAsia="微软雅黑" w:cs="微软雅黑"/>
                <w:color w:val="auto"/>
                <w:highlight w:val="none"/>
              </w:rPr>
            </w:pPr>
          </w:p>
        </w:tc>
        <w:tc>
          <w:tcPr>
            <w:tcW w:w="3014" w:type="dxa"/>
            <w:noWrap w:val="0"/>
            <w:vAlign w:val="top"/>
          </w:tcPr>
          <w:p w14:paraId="438D9035">
            <w:pPr>
              <w:widowControl/>
              <w:spacing w:before="100" w:beforeAutospacing="1" w:after="100" w:afterAutospacing="1"/>
              <w:rPr>
                <w:rFonts w:hint="eastAsia" w:ascii="微软雅黑" w:hAnsi="微软雅黑" w:eastAsia="微软雅黑" w:cs="微软雅黑"/>
                <w:color w:val="auto"/>
                <w:highlight w:val="none"/>
              </w:rPr>
            </w:pPr>
          </w:p>
        </w:tc>
        <w:tc>
          <w:tcPr>
            <w:tcW w:w="946" w:type="dxa"/>
            <w:noWrap w:val="0"/>
            <w:vAlign w:val="top"/>
          </w:tcPr>
          <w:p w14:paraId="2D72352C">
            <w:pPr>
              <w:widowControl/>
              <w:spacing w:before="100" w:beforeAutospacing="1" w:after="100" w:afterAutospacing="1"/>
              <w:rPr>
                <w:rFonts w:hint="eastAsia" w:ascii="微软雅黑" w:hAnsi="微软雅黑" w:eastAsia="微软雅黑" w:cs="微软雅黑"/>
                <w:color w:val="auto"/>
                <w:highlight w:val="none"/>
              </w:rPr>
            </w:pPr>
          </w:p>
        </w:tc>
      </w:tr>
      <w:tr w14:paraId="7F1F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51" w:type="dxa"/>
            <w:noWrap w:val="0"/>
            <w:vAlign w:val="top"/>
          </w:tcPr>
          <w:p w14:paraId="719343F2">
            <w:pPr>
              <w:widowControl/>
              <w:spacing w:before="100" w:beforeAutospacing="1" w:after="100" w:afterAutospacing="1"/>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6</w:t>
            </w:r>
          </w:p>
        </w:tc>
        <w:tc>
          <w:tcPr>
            <w:tcW w:w="2426" w:type="dxa"/>
            <w:noWrap w:val="0"/>
            <w:vAlign w:val="top"/>
          </w:tcPr>
          <w:p w14:paraId="13C74B23">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★A0206180203 空调机</w:t>
            </w:r>
          </w:p>
        </w:tc>
        <w:tc>
          <w:tcPr>
            <w:tcW w:w="2101" w:type="dxa"/>
            <w:noWrap w:val="0"/>
            <w:vAlign w:val="top"/>
          </w:tcPr>
          <w:p w14:paraId="7EB1B8D3">
            <w:pPr>
              <w:widowControl/>
              <w:spacing w:before="100" w:beforeAutospacing="1" w:after="100" w:afterAutospacing="1"/>
              <w:rPr>
                <w:rFonts w:hint="eastAsia" w:ascii="微软雅黑" w:hAnsi="微软雅黑" w:eastAsia="微软雅黑" w:cs="微软雅黑"/>
                <w:color w:val="auto"/>
                <w:highlight w:val="none"/>
              </w:rPr>
            </w:pPr>
          </w:p>
        </w:tc>
        <w:tc>
          <w:tcPr>
            <w:tcW w:w="3014" w:type="dxa"/>
            <w:noWrap w:val="0"/>
            <w:vAlign w:val="top"/>
          </w:tcPr>
          <w:p w14:paraId="60881EFB">
            <w:pPr>
              <w:widowControl/>
              <w:spacing w:before="100" w:beforeAutospacing="1" w:after="100" w:afterAutospacing="1"/>
              <w:rPr>
                <w:rFonts w:hint="eastAsia" w:ascii="微软雅黑" w:hAnsi="微软雅黑" w:eastAsia="微软雅黑" w:cs="微软雅黑"/>
                <w:color w:val="auto"/>
                <w:highlight w:val="none"/>
              </w:rPr>
            </w:pPr>
          </w:p>
        </w:tc>
        <w:tc>
          <w:tcPr>
            <w:tcW w:w="946" w:type="dxa"/>
            <w:noWrap w:val="0"/>
            <w:vAlign w:val="top"/>
          </w:tcPr>
          <w:p w14:paraId="76A5FDE4">
            <w:pPr>
              <w:widowControl/>
              <w:spacing w:before="100" w:beforeAutospacing="1" w:after="100" w:afterAutospacing="1"/>
              <w:rPr>
                <w:rFonts w:hint="eastAsia" w:ascii="微软雅黑" w:hAnsi="微软雅黑" w:eastAsia="微软雅黑" w:cs="微软雅黑"/>
                <w:color w:val="auto"/>
                <w:highlight w:val="none"/>
              </w:rPr>
            </w:pPr>
          </w:p>
        </w:tc>
      </w:tr>
      <w:tr w14:paraId="1F55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51" w:type="dxa"/>
            <w:noWrap w:val="0"/>
            <w:vAlign w:val="top"/>
          </w:tcPr>
          <w:p w14:paraId="1681C3E2">
            <w:pPr>
              <w:widowControl/>
              <w:spacing w:before="100" w:beforeAutospacing="1" w:after="100" w:afterAutospacing="1"/>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7</w:t>
            </w:r>
          </w:p>
        </w:tc>
        <w:tc>
          <w:tcPr>
            <w:tcW w:w="2426" w:type="dxa"/>
            <w:noWrap w:val="0"/>
            <w:vAlign w:val="top"/>
          </w:tcPr>
          <w:p w14:paraId="7B2DB2D2">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A02061808 热水器（★电热水器）</w:t>
            </w:r>
          </w:p>
        </w:tc>
        <w:tc>
          <w:tcPr>
            <w:tcW w:w="2101" w:type="dxa"/>
            <w:noWrap w:val="0"/>
            <w:vAlign w:val="top"/>
          </w:tcPr>
          <w:p w14:paraId="6AD5CFAC">
            <w:pPr>
              <w:widowControl/>
              <w:spacing w:before="100" w:beforeAutospacing="1" w:after="100" w:afterAutospacing="1"/>
              <w:rPr>
                <w:rFonts w:hint="eastAsia" w:ascii="微软雅黑" w:hAnsi="微软雅黑" w:eastAsia="微软雅黑" w:cs="微软雅黑"/>
                <w:color w:val="auto"/>
                <w:highlight w:val="none"/>
              </w:rPr>
            </w:pPr>
          </w:p>
        </w:tc>
        <w:tc>
          <w:tcPr>
            <w:tcW w:w="3014" w:type="dxa"/>
            <w:noWrap w:val="0"/>
            <w:vAlign w:val="top"/>
          </w:tcPr>
          <w:p w14:paraId="1DCC75EE">
            <w:pPr>
              <w:widowControl/>
              <w:spacing w:before="100" w:beforeAutospacing="1" w:after="100" w:afterAutospacing="1"/>
              <w:rPr>
                <w:rFonts w:hint="eastAsia" w:ascii="微软雅黑" w:hAnsi="微软雅黑" w:eastAsia="微软雅黑" w:cs="微软雅黑"/>
                <w:color w:val="auto"/>
                <w:highlight w:val="none"/>
              </w:rPr>
            </w:pPr>
          </w:p>
        </w:tc>
        <w:tc>
          <w:tcPr>
            <w:tcW w:w="946" w:type="dxa"/>
            <w:noWrap w:val="0"/>
            <w:vAlign w:val="top"/>
          </w:tcPr>
          <w:p w14:paraId="58919F2E">
            <w:pPr>
              <w:widowControl/>
              <w:spacing w:before="100" w:beforeAutospacing="1" w:after="100" w:afterAutospacing="1"/>
              <w:rPr>
                <w:rFonts w:hint="eastAsia" w:ascii="微软雅黑" w:hAnsi="微软雅黑" w:eastAsia="微软雅黑" w:cs="微软雅黑"/>
                <w:color w:val="auto"/>
                <w:highlight w:val="none"/>
              </w:rPr>
            </w:pPr>
          </w:p>
        </w:tc>
      </w:tr>
      <w:tr w14:paraId="7F18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51" w:type="dxa"/>
            <w:noWrap w:val="0"/>
            <w:vAlign w:val="top"/>
          </w:tcPr>
          <w:p w14:paraId="5930FC78">
            <w:pPr>
              <w:widowControl/>
              <w:spacing w:before="100" w:beforeAutospacing="1" w:after="100" w:afterAutospacing="1"/>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8</w:t>
            </w:r>
          </w:p>
        </w:tc>
        <w:tc>
          <w:tcPr>
            <w:tcW w:w="2426" w:type="dxa"/>
            <w:noWrap w:val="0"/>
            <w:vAlign w:val="top"/>
          </w:tcPr>
          <w:p w14:paraId="62C51587">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A020619 照明设备 （★普通照明用双端 荧光灯）</w:t>
            </w:r>
          </w:p>
        </w:tc>
        <w:tc>
          <w:tcPr>
            <w:tcW w:w="2101" w:type="dxa"/>
            <w:noWrap w:val="0"/>
            <w:vAlign w:val="top"/>
          </w:tcPr>
          <w:p w14:paraId="0DB60B0A">
            <w:pPr>
              <w:widowControl/>
              <w:spacing w:before="100" w:beforeAutospacing="1" w:after="100" w:afterAutospacing="1"/>
              <w:rPr>
                <w:rFonts w:hint="eastAsia" w:ascii="微软雅黑" w:hAnsi="微软雅黑" w:eastAsia="微软雅黑" w:cs="微软雅黑"/>
                <w:color w:val="auto"/>
                <w:highlight w:val="none"/>
              </w:rPr>
            </w:pPr>
          </w:p>
        </w:tc>
        <w:tc>
          <w:tcPr>
            <w:tcW w:w="3014" w:type="dxa"/>
            <w:noWrap w:val="0"/>
            <w:vAlign w:val="top"/>
          </w:tcPr>
          <w:p w14:paraId="4263AC6E">
            <w:pPr>
              <w:widowControl/>
              <w:spacing w:before="100" w:beforeAutospacing="1" w:after="100" w:afterAutospacing="1"/>
              <w:rPr>
                <w:rFonts w:hint="eastAsia" w:ascii="微软雅黑" w:hAnsi="微软雅黑" w:eastAsia="微软雅黑" w:cs="微软雅黑"/>
                <w:color w:val="auto"/>
                <w:highlight w:val="none"/>
              </w:rPr>
            </w:pPr>
          </w:p>
        </w:tc>
        <w:tc>
          <w:tcPr>
            <w:tcW w:w="946" w:type="dxa"/>
            <w:noWrap w:val="0"/>
            <w:vAlign w:val="top"/>
          </w:tcPr>
          <w:p w14:paraId="5B958844">
            <w:pPr>
              <w:widowControl/>
              <w:spacing w:before="100" w:beforeAutospacing="1" w:after="100" w:afterAutospacing="1"/>
              <w:rPr>
                <w:rFonts w:hint="eastAsia" w:ascii="微软雅黑" w:hAnsi="微软雅黑" w:eastAsia="微软雅黑" w:cs="微软雅黑"/>
                <w:color w:val="auto"/>
                <w:highlight w:val="none"/>
              </w:rPr>
            </w:pPr>
          </w:p>
        </w:tc>
      </w:tr>
      <w:tr w14:paraId="59AA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51" w:type="dxa"/>
            <w:noWrap w:val="0"/>
            <w:vAlign w:val="top"/>
          </w:tcPr>
          <w:p w14:paraId="0C160841">
            <w:pPr>
              <w:widowControl/>
              <w:spacing w:before="100" w:beforeAutospacing="1" w:after="100" w:afterAutospacing="1"/>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9</w:t>
            </w:r>
          </w:p>
        </w:tc>
        <w:tc>
          <w:tcPr>
            <w:tcW w:w="2426" w:type="dxa"/>
            <w:noWrap w:val="0"/>
            <w:vAlign w:val="top"/>
          </w:tcPr>
          <w:p w14:paraId="247451A7">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★A020910 电视设备</w:t>
            </w:r>
          </w:p>
        </w:tc>
        <w:tc>
          <w:tcPr>
            <w:tcW w:w="2101" w:type="dxa"/>
            <w:noWrap w:val="0"/>
            <w:vAlign w:val="top"/>
          </w:tcPr>
          <w:p w14:paraId="31F7968B">
            <w:pPr>
              <w:widowControl/>
              <w:spacing w:before="100" w:beforeAutospacing="1" w:after="100" w:afterAutospacing="1"/>
              <w:rPr>
                <w:rFonts w:hint="eastAsia" w:ascii="微软雅黑" w:hAnsi="微软雅黑" w:eastAsia="微软雅黑" w:cs="微软雅黑"/>
                <w:color w:val="auto"/>
                <w:highlight w:val="none"/>
              </w:rPr>
            </w:pPr>
          </w:p>
        </w:tc>
        <w:tc>
          <w:tcPr>
            <w:tcW w:w="3014" w:type="dxa"/>
            <w:noWrap w:val="0"/>
            <w:vAlign w:val="top"/>
          </w:tcPr>
          <w:p w14:paraId="6E534B2A">
            <w:pPr>
              <w:widowControl/>
              <w:spacing w:before="100" w:beforeAutospacing="1" w:after="100" w:afterAutospacing="1"/>
              <w:rPr>
                <w:rFonts w:hint="eastAsia" w:ascii="微软雅黑" w:hAnsi="微软雅黑" w:eastAsia="微软雅黑" w:cs="微软雅黑"/>
                <w:color w:val="auto"/>
                <w:highlight w:val="none"/>
              </w:rPr>
            </w:pPr>
          </w:p>
        </w:tc>
        <w:tc>
          <w:tcPr>
            <w:tcW w:w="946" w:type="dxa"/>
            <w:noWrap w:val="0"/>
            <w:vAlign w:val="top"/>
          </w:tcPr>
          <w:p w14:paraId="63368C2A">
            <w:pPr>
              <w:widowControl/>
              <w:spacing w:before="100" w:beforeAutospacing="1" w:after="100" w:afterAutospacing="1"/>
              <w:rPr>
                <w:rFonts w:hint="eastAsia" w:ascii="微软雅黑" w:hAnsi="微软雅黑" w:eastAsia="微软雅黑" w:cs="微软雅黑"/>
                <w:color w:val="auto"/>
                <w:highlight w:val="none"/>
              </w:rPr>
            </w:pPr>
          </w:p>
        </w:tc>
      </w:tr>
      <w:tr w14:paraId="2BF3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51" w:type="dxa"/>
            <w:noWrap w:val="0"/>
            <w:vAlign w:val="top"/>
          </w:tcPr>
          <w:p w14:paraId="3926165A">
            <w:pPr>
              <w:widowControl/>
              <w:spacing w:before="100" w:beforeAutospacing="1" w:after="100" w:afterAutospacing="1"/>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10</w:t>
            </w:r>
          </w:p>
        </w:tc>
        <w:tc>
          <w:tcPr>
            <w:tcW w:w="2426" w:type="dxa"/>
            <w:noWrap w:val="0"/>
            <w:vAlign w:val="top"/>
          </w:tcPr>
          <w:p w14:paraId="6A6F888D">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★A020911 视频设备</w:t>
            </w:r>
          </w:p>
        </w:tc>
        <w:tc>
          <w:tcPr>
            <w:tcW w:w="2101" w:type="dxa"/>
            <w:noWrap w:val="0"/>
            <w:vAlign w:val="top"/>
          </w:tcPr>
          <w:p w14:paraId="11969716">
            <w:pPr>
              <w:widowControl/>
              <w:spacing w:before="100" w:beforeAutospacing="1" w:after="100" w:afterAutospacing="1"/>
              <w:rPr>
                <w:rFonts w:hint="eastAsia" w:ascii="微软雅黑" w:hAnsi="微软雅黑" w:eastAsia="微软雅黑" w:cs="微软雅黑"/>
                <w:color w:val="auto"/>
                <w:highlight w:val="none"/>
              </w:rPr>
            </w:pPr>
          </w:p>
        </w:tc>
        <w:tc>
          <w:tcPr>
            <w:tcW w:w="3014" w:type="dxa"/>
            <w:noWrap w:val="0"/>
            <w:vAlign w:val="top"/>
          </w:tcPr>
          <w:p w14:paraId="4FDDDF3B">
            <w:pPr>
              <w:widowControl/>
              <w:spacing w:before="100" w:beforeAutospacing="1" w:after="100" w:afterAutospacing="1"/>
              <w:rPr>
                <w:rFonts w:hint="eastAsia" w:ascii="微软雅黑" w:hAnsi="微软雅黑" w:eastAsia="微软雅黑" w:cs="微软雅黑"/>
                <w:color w:val="auto"/>
                <w:highlight w:val="none"/>
              </w:rPr>
            </w:pPr>
          </w:p>
        </w:tc>
        <w:tc>
          <w:tcPr>
            <w:tcW w:w="946" w:type="dxa"/>
            <w:noWrap w:val="0"/>
            <w:vAlign w:val="top"/>
          </w:tcPr>
          <w:p w14:paraId="0693896B">
            <w:pPr>
              <w:widowControl/>
              <w:spacing w:before="100" w:beforeAutospacing="1" w:after="100" w:afterAutospacing="1"/>
              <w:rPr>
                <w:rFonts w:hint="eastAsia" w:ascii="微软雅黑" w:hAnsi="微软雅黑" w:eastAsia="微软雅黑" w:cs="微软雅黑"/>
                <w:color w:val="auto"/>
                <w:highlight w:val="none"/>
              </w:rPr>
            </w:pPr>
          </w:p>
        </w:tc>
      </w:tr>
      <w:tr w14:paraId="7A55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51" w:type="dxa"/>
            <w:noWrap w:val="0"/>
            <w:vAlign w:val="top"/>
          </w:tcPr>
          <w:p w14:paraId="0408A5A2">
            <w:pPr>
              <w:widowControl/>
              <w:spacing w:before="100" w:beforeAutospacing="1" w:after="100" w:afterAutospacing="1"/>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11</w:t>
            </w:r>
          </w:p>
        </w:tc>
        <w:tc>
          <w:tcPr>
            <w:tcW w:w="2426" w:type="dxa"/>
            <w:noWrap w:val="0"/>
            <w:vAlign w:val="top"/>
          </w:tcPr>
          <w:p w14:paraId="5E5988DC">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★A060805 便器</w:t>
            </w:r>
          </w:p>
        </w:tc>
        <w:tc>
          <w:tcPr>
            <w:tcW w:w="2101" w:type="dxa"/>
            <w:noWrap w:val="0"/>
            <w:vAlign w:val="top"/>
          </w:tcPr>
          <w:p w14:paraId="28E99E10">
            <w:pPr>
              <w:widowControl/>
              <w:spacing w:before="100" w:beforeAutospacing="1" w:after="100" w:afterAutospacing="1"/>
              <w:rPr>
                <w:rFonts w:hint="eastAsia" w:ascii="微软雅黑" w:hAnsi="微软雅黑" w:eastAsia="微软雅黑" w:cs="微软雅黑"/>
                <w:color w:val="auto"/>
                <w:highlight w:val="none"/>
              </w:rPr>
            </w:pPr>
          </w:p>
        </w:tc>
        <w:tc>
          <w:tcPr>
            <w:tcW w:w="3014" w:type="dxa"/>
            <w:noWrap w:val="0"/>
            <w:vAlign w:val="top"/>
          </w:tcPr>
          <w:p w14:paraId="07CD99A3">
            <w:pPr>
              <w:widowControl/>
              <w:spacing w:before="100" w:beforeAutospacing="1" w:after="100" w:afterAutospacing="1"/>
              <w:rPr>
                <w:rFonts w:hint="eastAsia" w:ascii="微软雅黑" w:hAnsi="微软雅黑" w:eastAsia="微软雅黑" w:cs="微软雅黑"/>
                <w:color w:val="auto"/>
                <w:highlight w:val="none"/>
              </w:rPr>
            </w:pPr>
          </w:p>
        </w:tc>
        <w:tc>
          <w:tcPr>
            <w:tcW w:w="946" w:type="dxa"/>
            <w:noWrap w:val="0"/>
            <w:vAlign w:val="top"/>
          </w:tcPr>
          <w:p w14:paraId="5E617E09">
            <w:pPr>
              <w:widowControl/>
              <w:spacing w:before="100" w:beforeAutospacing="1" w:after="100" w:afterAutospacing="1"/>
              <w:rPr>
                <w:rFonts w:hint="eastAsia" w:ascii="微软雅黑" w:hAnsi="微软雅黑" w:eastAsia="微软雅黑" w:cs="微软雅黑"/>
                <w:color w:val="auto"/>
                <w:highlight w:val="none"/>
              </w:rPr>
            </w:pPr>
          </w:p>
        </w:tc>
      </w:tr>
      <w:tr w14:paraId="7499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51" w:type="dxa"/>
            <w:noWrap w:val="0"/>
            <w:vAlign w:val="top"/>
          </w:tcPr>
          <w:p w14:paraId="4E0D0CE2">
            <w:pPr>
              <w:widowControl/>
              <w:spacing w:before="100" w:beforeAutospacing="1" w:after="100" w:afterAutospacing="1"/>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12</w:t>
            </w:r>
          </w:p>
        </w:tc>
        <w:tc>
          <w:tcPr>
            <w:tcW w:w="2426" w:type="dxa"/>
            <w:noWrap w:val="0"/>
            <w:vAlign w:val="top"/>
          </w:tcPr>
          <w:p w14:paraId="47D777C2">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★A060806 水嘴</w:t>
            </w:r>
          </w:p>
        </w:tc>
        <w:tc>
          <w:tcPr>
            <w:tcW w:w="2101" w:type="dxa"/>
            <w:noWrap w:val="0"/>
            <w:vAlign w:val="top"/>
          </w:tcPr>
          <w:p w14:paraId="03A2EA32">
            <w:pPr>
              <w:widowControl/>
              <w:spacing w:before="100" w:beforeAutospacing="1" w:after="100" w:afterAutospacing="1"/>
              <w:rPr>
                <w:rFonts w:hint="eastAsia" w:ascii="微软雅黑" w:hAnsi="微软雅黑" w:eastAsia="微软雅黑" w:cs="微软雅黑"/>
                <w:color w:val="auto"/>
                <w:highlight w:val="none"/>
              </w:rPr>
            </w:pPr>
          </w:p>
        </w:tc>
        <w:tc>
          <w:tcPr>
            <w:tcW w:w="3014" w:type="dxa"/>
            <w:noWrap w:val="0"/>
            <w:vAlign w:val="top"/>
          </w:tcPr>
          <w:p w14:paraId="29E50861">
            <w:pPr>
              <w:widowControl/>
              <w:spacing w:before="100" w:beforeAutospacing="1" w:after="100" w:afterAutospacing="1"/>
              <w:rPr>
                <w:rFonts w:hint="eastAsia" w:ascii="微软雅黑" w:hAnsi="微软雅黑" w:eastAsia="微软雅黑" w:cs="微软雅黑"/>
                <w:color w:val="auto"/>
                <w:highlight w:val="none"/>
              </w:rPr>
            </w:pPr>
          </w:p>
        </w:tc>
        <w:tc>
          <w:tcPr>
            <w:tcW w:w="946" w:type="dxa"/>
            <w:noWrap w:val="0"/>
            <w:vAlign w:val="top"/>
          </w:tcPr>
          <w:p w14:paraId="3AD106DA">
            <w:pPr>
              <w:widowControl/>
              <w:spacing w:before="100" w:beforeAutospacing="1" w:after="100" w:afterAutospacing="1"/>
              <w:rPr>
                <w:rFonts w:hint="eastAsia" w:ascii="微软雅黑" w:hAnsi="微软雅黑" w:eastAsia="微软雅黑" w:cs="微软雅黑"/>
                <w:color w:val="auto"/>
                <w:highlight w:val="none"/>
              </w:rPr>
            </w:pPr>
          </w:p>
        </w:tc>
      </w:tr>
    </w:tbl>
    <w:p w14:paraId="763D3440">
      <w:pPr>
        <w:widowControl/>
        <w:spacing w:before="100" w:beforeAutospacing="1" w:after="100" w:afterAutospacing="1"/>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highlight w:val="none"/>
        </w:rPr>
        <w:t>备注：“★”标注的为政府强制采购产品。以上带“★”符号的为实质性要求，不满足的将作为无效投标处理（或者无效响应处理）。</w:t>
      </w:r>
    </w:p>
    <w:p w14:paraId="767E58EB">
      <w:pPr>
        <w:pStyle w:val="3"/>
        <w:spacing w:before="0" w:line="240" w:lineRule="auto"/>
        <w:jc w:val="center"/>
        <w:rPr>
          <w:sz w:val="24"/>
          <w:szCs w:val="24"/>
        </w:rPr>
      </w:pPr>
      <w:bookmarkStart w:id="670" w:name="_Toc2864"/>
      <w:bookmarkStart w:id="671" w:name="_Toc13709"/>
      <w:bookmarkStart w:id="672" w:name="_Toc7084"/>
      <w:r>
        <w:rPr>
          <w:rFonts w:hint="eastAsia" w:ascii="微软雅黑" w:hAnsi="微软雅黑" w:eastAsia="微软雅黑" w:cs="微软雅黑"/>
          <w:b/>
          <w:bCs/>
          <w:color w:val="auto"/>
          <w:kern w:val="2"/>
          <w:sz w:val="24"/>
          <w:szCs w:val="24"/>
          <w:highlight w:val="none"/>
          <w:lang w:val="en-US" w:eastAsia="zh-CN"/>
        </w:rPr>
        <w:t>7</w:t>
      </w:r>
      <w:bookmarkStart w:id="673" w:name="_Toc6004"/>
      <w:bookmarkStart w:id="674" w:name="_Toc22378"/>
      <w:bookmarkStart w:id="675" w:name="_Toc22561"/>
      <w:bookmarkStart w:id="676" w:name="_Toc5527"/>
      <w:bookmarkStart w:id="677" w:name="_Toc30795"/>
      <w:bookmarkStart w:id="678" w:name="_Toc515647827"/>
      <w:bookmarkStart w:id="679" w:name="_Toc28099"/>
      <w:bookmarkStart w:id="680" w:name="_Toc2304"/>
      <w:bookmarkStart w:id="681" w:name="_Toc19223"/>
      <w:bookmarkStart w:id="682" w:name="_Toc5568"/>
      <w:bookmarkStart w:id="683" w:name="_Toc26133"/>
      <w:bookmarkStart w:id="684" w:name="_Toc30946"/>
      <w:bookmarkStart w:id="685" w:name="_Toc6009"/>
      <w:bookmarkStart w:id="686" w:name="_Toc11868"/>
      <w:r>
        <w:rPr>
          <w:rFonts w:hint="eastAsia" w:ascii="微软雅黑" w:hAnsi="微软雅黑" w:eastAsia="微软雅黑" w:cs="微软雅黑"/>
          <w:b/>
          <w:bCs/>
          <w:color w:val="auto"/>
          <w:kern w:val="2"/>
          <w:sz w:val="24"/>
          <w:szCs w:val="24"/>
          <w:highlight w:val="none"/>
          <w:lang w:val="en-US" w:eastAsia="zh-CN"/>
        </w:rPr>
        <w:t xml:space="preserve">   </w:t>
      </w:r>
      <w:r>
        <w:rPr>
          <w:rFonts w:hint="eastAsia" w:ascii="微软雅黑" w:hAnsi="微软雅黑" w:eastAsia="微软雅黑" w:cs="微软雅黑"/>
          <w:b/>
          <w:bCs/>
          <w:color w:val="auto"/>
          <w:kern w:val="2"/>
          <w:sz w:val="24"/>
          <w:szCs w:val="24"/>
          <w:highlight w:val="none"/>
        </w:rPr>
        <w:t>供应商关联单位的说明</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3D6E5ED9">
      <w:pPr>
        <w:pStyle w:val="11"/>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致：</w:t>
      </w:r>
      <w:r>
        <w:rPr>
          <w:rFonts w:hint="eastAsia" w:ascii="微软雅黑" w:hAnsi="微软雅黑" w:eastAsia="微软雅黑" w:cs="微软雅黑"/>
          <w:sz w:val="24"/>
          <w:szCs w:val="24"/>
          <w:u w:val="single"/>
        </w:rPr>
        <w:t xml:space="preserve">  （采购人名称）</w:t>
      </w:r>
      <w:r>
        <w:rPr>
          <w:rFonts w:hint="eastAsia" w:ascii="微软雅黑" w:hAnsi="微软雅黑" w:eastAsia="微软雅黑" w:cs="微软雅黑"/>
          <w:sz w:val="24"/>
          <w:szCs w:val="24"/>
        </w:rPr>
        <w:t xml:space="preserve">  </w:t>
      </w:r>
    </w:p>
    <w:p w14:paraId="3526F13B">
      <w:pPr>
        <w:pStyle w:val="11"/>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我方参加</w:t>
      </w:r>
      <w:r>
        <w:rPr>
          <w:rFonts w:hint="eastAsia" w:ascii="微软雅黑" w:hAnsi="微软雅黑" w:eastAsia="微软雅黑" w:cs="微软雅黑"/>
          <w:sz w:val="24"/>
          <w:szCs w:val="24"/>
          <w:u w:val="single"/>
        </w:rPr>
        <w:t xml:space="preserve">  （项目名称） </w:t>
      </w:r>
      <w:r>
        <w:rPr>
          <w:rFonts w:hint="eastAsia" w:ascii="微软雅黑" w:hAnsi="微软雅黑" w:eastAsia="微软雅黑" w:cs="微软雅黑"/>
          <w:sz w:val="24"/>
          <w:szCs w:val="24"/>
        </w:rPr>
        <w:t>的申请， 根据法律法规维护投标公正性的相关规定，特就本单位控股及管理关系情况申报如下， 并承担申报不实的责任。</w:t>
      </w:r>
    </w:p>
    <w:p w14:paraId="72F84006">
      <w:pPr>
        <w:pStyle w:val="11"/>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微软雅黑" w:hAnsi="微软雅黑" w:eastAsia="微软雅黑" w:cs="微软雅黑"/>
          <w:sz w:val="24"/>
          <w:szCs w:val="24"/>
        </w:rPr>
      </w:pPr>
    </w:p>
    <w:tbl>
      <w:tblPr>
        <w:tblStyle w:val="96"/>
        <w:tblW w:w="96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0"/>
        <w:gridCol w:w="3013"/>
        <w:gridCol w:w="3247"/>
      </w:tblGrid>
      <w:tr w14:paraId="640F1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400" w:type="dxa"/>
            <w:vAlign w:val="top"/>
          </w:tcPr>
          <w:p w14:paraId="7ADBA887">
            <w:pPr>
              <w:pStyle w:val="11"/>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申报人名称</w:t>
            </w:r>
          </w:p>
        </w:tc>
        <w:tc>
          <w:tcPr>
            <w:tcW w:w="6260" w:type="dxa"/>
            <w:gridSpan w:val="2"/>
            <w:vAlign w:val="top"/>
          </w:tcPr>
          <w:p w14:paraId="4AC8427D">
            <w:pPr>
              <w:pStyle w:val="11"/>
              <w:bidi w:val="0"/>
              <w:rPr>
                <w:rFonts w:hint="eastAsia" w:ascii="微软雅黑" w:hAnsi="微软雅黑" w:eastAsia="微软雅黑" w:cs="微软雅黑"/>
                <w:sz w:val="24"/>
                <w:szCs w:val="24"/>
              </w:rPr>
            </w:pPr>
          </w:p>
        </w:tc>
      </w:tr>
      <w:tr w14:paraId="731E2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3400" w:type="dxa"/>
            <w:vMerge w:val="restart"/>
            <w:tcBorders>
              <w:bottom w:val="nil"/>
            </w:tcBorders>
            <w:vAlign w:val="top"/>
          </w:tcPr>
          <w:p w14:paraId="7AF5DCEA">
            <w:pPr>
              <w:pStyle w:val="11"/>
              <w:bidi w:val="0"/>
              <w:jc w:val="center"/>
              <w:rPr>
                <w:rFonts w:hint="eastAsia" w:ascii="微软雅黑" w:hAnsi="微软雅黑" w:eastAsia="微软雅黑" w:cs="微软雅黑"/>
                <w:sz w:val="24"/>
                <w:szCs w:val="24"/>
              </w:rPr>
            </w:pPr>
          </w:p>
          <w:p w14:paraId="6A95F5B3">
            <w:pPr>
              <w:pStyle w:val="11"/>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法定代表人/单位负责人</w:t>
            </w:r>
          </w:p>
        </w:tc>
        <w:tc>
          <w:tcPr>
            <w:tcW w:w="3013" w:type="dxa"/>
            <w:vAlign w:val="top"/>
          </w:tcPr>
          <w:p w14:paraId="2581A7DA">
            <w:pPr>
              <w:pStyle w:val="11"/>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姓    名</w:t>
            </w:r>
          </w:p>
        </w:tc>
        <w:tc>
          <w:tcPr>
            <w:tcW w:w="3247" w:type="dxa"/>
            <w:vAlign w:val="top"/>
          </w:tcPr>
          <w:p w14:paraId="2AA46484">
            <w:pPr>
              <w:pStyle w:val="11"/>
              <w:bidi w:val="0"/>
              <w:rPr>
                <w:rFonts w:hint="eastAsia" w:ascii="微软雅黑" w:hAnsi="微软雅黑" w:eastAsia="微软雅黑" w:cs="微软雅黑"/>
                <w:sz w:val="24"/>
                <w:szCs w:val="24"/>
              </w:rPr>
            </w:pPr>
          </w:p>
        </w:tc>
      </w:tr>
      <w:tr w14:paraId="79999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3400" w:type="dxa"/>
            <w:vMerge w:val="continue"/>
            <w:tcBorders>
              <w:top w:val="nil"/>
            </w:tcBorders>
            <w:vAlign w:val="top"/>
          </w:tcPr>
          <w:p w14:paraId="2738EF30">
            <w:pPr>
              <w:pStyle w:val="11"/>
              <w:bidi w:val="0"/>
              <w:jc w:val="center"/>
              <w:rPr>
                <w:rFonts w:hint="eastAsia" w:ascii="微软雅黑" w:hAnsi="微软雅黑" w:eastAsia="微软雅黑" w:cs="微软雅黑"/>
                <w:sz w:val="24"/>
                <w:szCs w:val="24"/>
              </w:rPr>
            </w:pPr>
          </w:p>
        </w:tc>
        <w:tc>
          <w:tcPr>
            <w:tcW w:w="3013" w:type="dxa"/>
            <w:vAlign w:val="top"/>
          </w:tcPr>
          <w:p w14:paraId="137396AC">
            <w:pPr>
              <w:pStyle w:val="11"/>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身份证号</w:t>
            </w:r>
          </w:p>
        </w:tc>
        <w:tc>
          <w:tcPr>
            <w:tcW w:w="3247" w:type="dxa"/>
            <w:vAlign w:val="top"/>
          </w:tcPr>
          <w:p w14:paraId="22821819">
            <w:pPr>
              <w:pStyle w:val="11"/>
              <w:bidi w:val="0"/>
              <w:rPr>
                <w:rFonts w:hint="eastAsia" w:ascii="微软雅黑" w:hAnsi="微软雅黑" w:eastAsia="微软雅黑" w:cs="微软雅黑"/>
                <w:sz w:val="24"/>
                <w:szCs w:val="24"/>
              </w:rPr>
            </w:pPr>
          </w:p>
        </w:tc>
      </w:tr>
      <w:tr w14:paraId="43B32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3400" w:type="dxa"/>
            <w:vAlign w:val="top"/>
          </w:tcPr>
          <w:p w14:paraId="3CCADF02">
            <w:pPr>
              <w:pStyle w:val="11"/>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控股股东/投资人名称及出资比例</w:t>
            </w:r>
          </w:p>
        </w:tc>
        <w:tc>
          <w:tcPr>
            <w:tcW w:w="6260" w:type="dxa"/>
            <w:gridSpan w:val="2"/>
            <w:vAlign w:val="top"/>
          </w:tcPr>
          <w:p w14:paraId="4984A63D">
            <w:pPr>
              <w:pStyle w:val="11"/>
              <w:bidi w:val="0"/>
              <w:rPr>
                <w:rFonts w:hint="eastAsia" w:ascii="微软雅黑" w:hAnsi="微软雅黑" w:eastAsia="微软雅黑" w:cs="微软雅黑"/>
                <w:sz w:val="24"/>
                <w:szCs w:val="24"/>
              </w:rPr>
            </w:pPr>
          </w:p>
        </w:tc>
      </w:tr>
      <w:tr w14:paraId="62FA1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3400" w:type="dxa"/>
            <w:vAlign w:val="top"/>
          </w:tcPr>
          <w:p w14:paraId="3BF6681F">
            <w:pPr>
              <w:pStyle w:val="11"/>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非控股股东/投资人名称及出资比例</w:t>
            </w:r>
          </w:p>
        </w:tc>
        <w:tc>
          <w:tcPr>
            <w:tcW w:w="6260" w:type="dxa"/>
            <w:gridSpan w:val="2"/>
            <w:vAlign w:val="top"/>
          </w:tcPr>
          <w:p w14:paraId="68AA277A">
            <w:pPr>
              <w:pStyle w:val="11"/>
              <w:bidi w:val="0"/>
              <w:rPr>
                <w:rFonts w:hint="eastAsia" w:ascii="微软雅黑" w:hAnsi="微软雅黑" w:eastAsia="微软雅黑" w:cs="微软雅黑"/>
                <w:sz w:val="24"/>
                <w:szCs w:val="24"/>
              </w:rPr>
            </w:pPr>
          </w:p>
        </w:tc>
      </w:tr>
      <w:tr w14:paraId="48B45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3400" w:type="dxa"/>
            <w:vMerge w:val="restart"/>
            <w:tcBorders>
              <w:bottom w:val="nil"/>
            </w:tcBorders>
            <w:vAlign w:val="top"/>
          </w:tcPr>
          <w:p w14:paraId="31034C70">
            <w:pPr>
              <w:pStyle w:val="11"/>
              <w:bidi w:val="0"/>
              <w:jc w:val="center"/>
              <w:rPr>
                <w:rFonts w:hint="eastAsia" w:ascii="微软雅黑" w:hAnsi="微软雅黑" w:eastAsia="微软雅黑" w:cs="微软雅黑"/>
                <w:sz w:val="24"/>
                <w:szCs w:val="24"/>
              </w:rPr>
            </w:pPr>
          </w:p>
          <w:p w14:paraId="0AC0810A">
            <w:pPr>
              <w:pStyle w:val="11"/>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管理关系单位名称</w:t>
            </w:r>
          </w:p>
        </w:tc>
        <w:tc>
          <w:tcPr>
            <w:tcW w:w="3013" w:type="dxa"/>
            <w:vAlign w:val="top"/>
          </w:tcPr>
          <w:p w14:paraId="213AEFE6">
            <w:pPr>
              <w:pStyle w:val="11"/>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管理关系单位名称</w:t>
            </w:r>
          </w:p>
        </w:tc>
        <w:tc>
          <w:tcPr>
            <w:tcW w:w="3247" w:type="dxa"/>
            <w:vAlign w:val="top"/>
          </w:tcPr>
          <w:p w14:paraId="00BB1F1F">
            <w:pPr>
              <w:pStyle w:val="11"/>
              <w:bidi w:val="0"/>
              <w:rPr>
                <w:rFonts w:hint="eastAsia" w:ascii="微软雅黑" w:hAnsi="微软雅黑" w:eastAsia="微软雅黑" w:cs="微软雅黑"/>
                <w:sz w:val="24"/>
                <w:szCs w:val="24"/>
              </w:rPr>
            </w:pPr>
          </w:p>
        </w:tc>
      </w:tr>
      <w:tr w14:paraId="4847C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3400" w:type="dxa"/>
            <w:vMerge w:val="continue"/>
            <w:tcBorders>
              <w:top w:val="nil"/>
            </w:tcBorders>
            <w:vAlign w:val="top"/>
          </w:tcPr>
          <w:p w14:paraId="4148E520">
            <w:pPr>
              <w:pStyle w:val="11"/>
              <w:bidi w:val="0"/>
              <w:rPr>
                <w:rFonts w:hint="eastAsia" w:ascii="微软雅黑" w:hAnsi="微软雅黑" w:eastAsia="微软雅黑" w:cs="微软雅黑"/>
                <w:sz w:val="24"/>
                <w:szCs w:val="24"/>
              </w:rPr>
            </w:pPr>
          </w:p>
        </w:tc>
        <w:tc>
          <w:tcPr>
            <w:tcW w:w="3013" w:type="dxa"/>
            <w:vAlign w:val="top"/>
          </w:tcPr>
          <w:p w14:paraId="2A750E37">
            <w:pPr>
              <w:pStyle w:val="11"/>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被管理关系单位名称</w:t>
            </w:r>
          </w:p>
        </w:tc>
        <w:tc>
          <w:tcPr>
            <w:tcW w:w="3247" w:type="dxa"/>
            <w:vAlign w:val="top"/>
          </w:tcPr>
          <w:p w14:paraId="2F5D747C">
            <w:pPr>
              <w:pStyle w:val="11"/>
              <w:bidi w:val="0"/>
              <w:rPr>
                <w:rFonts w:hint="eastAsia" w:ascii="微软雅黑" w:hAnsi="微软雅黑" w:eastAsia="微软雅黑" w:cs="微软雅黑"/>
                <w:sz w:val="24"/>
                <w:szCs w:val="24"/>
              </w:rPr>
            </w:pPr>
          </w:p>
        </w:tc>
      </w:tr>
      <w:tr w14:paraId="4CECA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400" w:type="dxa"/>
            <w:vAlign w:val="top"/>
          </w:tcPr>
          <w:p w14:paraId="5B35E292">
            <w:pPr>
              <w:pStyle w:val="11"/>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w:t>
            </w:r>
          </w:p>
        </w:tc>
        <w:tc>
          <w:tcPr>
            <w:tcW w:w="6260" w:type="dxa"/>
            <w:gridSpan w:val="2"/>
            <w:vAlign w:val="top"/>
          </w:tcPr>
          <w:p w14:paraId="718C5C39">
            <w:pPr>
              <w:pStyle w:val="11"/>
              <w:bidi w:val="0"/>
              <w:rPr>
                <w:rFonts w:hint="eastAsia" w:ascii="微软雅黑" w:hAnsi="微软雅黑" w:eastAsia="微软雅黑" w:cs="微软雅黑"/>
                <w:sz w:val="24"/>
                <w:szCs w:val="24"/>
              </w:rPr>
            </w:pPr>
          </w:p>
        </w:tc>
      </w:tr>
    </w:tbl>
    <w:p w14:paraId="764A450A">
      <w:pPr>
        <w:pStyle w:val="11"/>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注： </w:t>
      </w:r>
    </w:p>
    <w:p w14:paraId="006303EC">
      <w:pPr>
        <w:pStyle w:val="11"/>
        <w:bidi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1.控股股东/投资人是指出资比例在 50%以上， 或者出资比例不足 50%， 但享有公司股东会/董事会控制权的投资方 （含单位或者个人）；</w:t>
      </w:r>
    </w:p>
    <w:p w14:paraId="73992FE5">
      <w:pPr>
        <w:pStyle w:val="11"/>
        <w:bidi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2.管理关系单位是指与不具有出资持股关系的其他单位之间存在管理与被管理关系的单位；</w:t>
      </w:r>
    </w:p>
    <w:p w14:paraId="7F54C448">
      <w:pPr>
        <w:pStyle w:val="11"/>
        <w:bidi w:val="0"/>
        <w:rPr>
          <w:rFonts w:hint="eastAsia" w:ascii="微软雅黑" w:hAnsi="微软雅黑" w:eastAsia="微软雅黑" w:cs="微软雅黑"/>
          <w:sz w:val="24"/>
          <w:szCs w:val="24"/>
        </w:rPr>
      </w:pPr>
      <w:r>
        <w:rPr>
          <w:rFonts w:hint="eastAsia" w:ascii="微软雅黑" w:hAnsi="微软雅黑" w:eastAsia="微软雅黑" w:cs="微软雅黑"/>
          <w:sz w:val="21"/>
          <w:szCs w:val="21"/>
        </w:rPr>
        <w:t>3.如未有相关情况， 请在相应栏填写“无”。</w:t>
      </w:r>
    </w:p>
    <w:p w14:paraId="160AD978">
      <w:pPr>
        <w:pStyle w:val="11"/>
        <w:bidi w:val="0"/>
        <w:rPr>
          <w:rFonts w:hint="eastAsia" w:ascii="微软雅黑" w:hAnsi="微软雅黑" w:eastAsia="微软雅黑" w:cs="微软雅黑"/>
          <w:sz w:val="24"/>
          <w:szCs w:val="24"/>
        </w:rPr>
      </w:pPr>
    </w:p>
    <w:p w14:paraId="3E7C4F06">
      <w:pPr>
        <w:pStyle w:val="11"/>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 xml:space="preserve">名称 （单位公章） :                              </w:t>
      </w:r>
    </w:p>
    <w:p w14:paraId="1287F390">
      <w:pPr>
        <w:pStyle w:val="11"/>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法定代表人或委托代理人(签字或盖章):                                   </w:t>
      </w:r>
    </w:p>
    <w:p w14:paraId="20FFA260">
      <w:pPr>
        <w:pStyle w:val="4"/>
        <w:ind w:left="0" w:leftChars="0" w:firstLine="0" w:firstLineChars="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sz w:val="24"/>
          <w:szCs w:val="24"/>
        </w:rPr>
        <w:t>日期：         年        月        日</w:t>
      </w:r>
    </w:p>
    <w:p w14:paraId="26E9D3FE">
      <w:pPr>
        <w:rPr>
          <w:rFonts w:ascii="微软雅黑" w:hAnsi="微软雅黑" w:eastAsia="微软雅黑" w:cs="微软雅黑"/>
          <w:color w:val="auto"/>
          <w:highlight w:val="none"/>
        </w:rPr>
      </w:pPr>
    </w:p>
    <w:p w14:paraId="44782E88">
      <w:pPr>
        <w:jc w:val="left"/>
        <w:rPr>
          <w:rFonts w:ascii="微软雅黑" w:hAnsi="微软雅黑" w:eastAsia="微软雅黑" w:cs="微软雅黑"/>
          <w:b/>
          <w:bCs/>
          <w:color w:val="auto"/>
          <w:sz w:val="24"/>
          <w:szCs w:val="24"/>
          <w:highlight w:val="none"/>
        </w:rPr>
      </w:pPr>
      <w:bookmarkStart w:id="687" w:name="_Toc515647828"/>
      <w:bookmarkStart w:id="688" w:name="_Toc29367"/>
      <w:bookmarkStart w:id="689" w:name="_Toc10352"/>
      <w:bookmarkStart w:id="690" w:name="_Toc7414"/>
      <w:bookmarkStart w:id="691" w:name="_Toc17333"/>
      <w:bookmarkStart w:id="692" w:name="_Toc25126"/>
      <w:bookmarkStart w:id="693" w:name="_Toc17843"/>
      <w:bookmarkStart w:id="694" w:name="_Toc15535"/>
      <w:bookmarkStart w:id="695" w:name="_Toc7966"/>
      <w:bookmarkStart w:id="696" w:name="_Toc6932"/>
      <w:bookmarkStart w:id="697" w:name="_Toc31226"/>
      <w:bookmarkStart w:id="698" w:name="_Toc20015"/>
      <w:bookmarkStart w:id="699" w:name="_Toc23897"/>
      <w:bookmarkStart w:id="700" w:name="_Toc12486"/>
    </w:p>
    <w:bookmarkEnd w:id="687"/>
    <w:bookmarkEnd w:id="688"/>
    <w:bookmarkEnd w:id="689"/>
    <w:bookmarkEnd w:id="690"/>
    <w:bookmarkEnd w:id="691"/>
    <w:p w14:paraId="224D1982">
      <w:pPr>
        <w:pStyle w:val="3"/>
        <w:spacing w:before="0" w:line="240" w:lineRule="auto"/>
        <w:jc w:val="center"/>
        <w:rPr>
          <w:rFonts w:ascii="微软雅黑" w:hAnsi="微软雅黑" w:eastAsia="微软雅黑" w:cs="微软雅黑"/>
          <w:b/>
          <w:bCs/>
          <w:color w:val="auto"/>
          <w:kern w:val="2"/>
          <w:sz w:val="24"/>
          <w:szCs w:val="24"/>
          <w:highlight w:val="none"/>
        </w:rPr>
      </w:pPr>
      <w:bookmarkStart w:id="701" w:name="_Toc27058"/>
      <w:bookmarkStart w:id="702" w:name="_Toc1546"/>
      <w:bookmarkStart w:id="703" w:name="_Toc21269"/>
      <w:bookmarkStart w:id="704" w:name="_Toc9954"/>
      <w:r>
        <w:rPr>
          <w:rFonts w:hint="eastAsia" w:ascii="微软雅黑" w:hAnsi="微软雅黑" w:eastAsia="微软雅黑" w:cs="微软雅黑"/>
          <w:b/>
          <w:bCs/>
          <w:color w:val="auto"/>
          <w:kern w:val="2"/>
          <w:sz w:val="24"/>
          <w:szCs w:val="24"/>
          <w:highlight w:val="none"/>
          <w:lang w:val="en-US" w:eastAsia="zh-CN"/>
        </w:rPr>
        <w:t>8</w:t>
      </w:r>
      <w:bookmarkEnd w:id="692"/>
      <w:bookmarkEnd w:id="693"/>
      <w:bookmarkEnd w:id="694"/>
      <w:bookmarkEnd w:id="695"/>
      <w:bookmarkEnd w:id="696"/>
      <w:bookmarkEnd w:id="697"/>
      <w:bookmarkEnd w:id="698"/>
      <w:bookmarkEnd w:id="699"/>
      <w:bookmarkEnd w:id="700"/>
      <w:bookmarkEnd w:id="701"/>
      <w:r>
        <w:rPr>
          <w:rFonts w:hint="eastAsia" w:ascii="微软雅黑" w:hAnsi="微软雅黑" w:eastAsia="微软雅黑" w:cs="微软雅黑"/>
          <w:b/>
          <w:bCs/>
          <w:color w:val="auto"/>
          <w:kern w:val="2"/>
          <w:sz w:val="24"/>
          <w:szCs w:val="24"/>
          <w:highlight w:val="none"/>
          <w:lang w:val="en-US" w:eastAsia="zh-CN"/>
        </w:rPr>
        <w:t xml:space="preserve">   其他有利于供应商投标的文件或证明材料</w:t>
      </w:r>
      <w:bookmarkEnd w:id="702"/>
      <w:bookmarkEnd w:id="703"/>
      <w:bookmarkEnd w:id="704"/>
    </w:p>
    <w:p w14:paraId="0DBFDAA1">
      <w:pPr>
        <w:pStyle w:val="11"/>
        <w:spacing w:before="240" w:line="351" w:lineRule="auto"/>
        <w:ind w:left="12" w:firstLine="469"/>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根据“第五章</w:t>
      </w:r>
      <w:r>
        <w:rPr>
          <w:rFonts w:hint="eastAsia" w:ascii="微软雅黑" w:hAnsi="微软雅黑" w:eastAsia="微软雅黑" w:cs="微软雅黑"/>
          <w:spacing w:val="68"/>
          <w:w w:val="101"/>
          <w:sz w:val="24"/>
          <w:szCs w:val="24"/>
        </w:rPr>
        <w:t xml:space="preserve"> </w:t>
      </w:r>
      <w:r>
        <w:rPr>
          <w:rFonts w:hint="eastAsia" w:ascii="微软雅黑" w:hAnsi="微软雅黑" w:eastAsia="微软雅黑" w:cs="微软雅黑"/>
          <w:spacing w:val="-4"/>
          <w:sz w:val="24"/>
          <w:szCs w:val="24"/>
        </w:rPr>
        <w:t>货物内容及项目要求”“第六章评分方法和标准”等，</w:t>
      </w:r>
      <w:r>
        <w:rPr>
          <w:rFonts w:hint="eastAsia" w:ascii="微软雅黑" w:hAnsi="微软雅黑" w:eastAsia="微软雅黑" w:cs="微软雅黑"/>
          <w:spacing w:val="-25"/>
          <w:sz w:val="24"/>
          <w:szCs w:val="24"/>
        </w:rPr>
        <w:t xml:space="preserve"> </w:t>
      </w:r>
      <w:r>
        <w:rPr>
          <w:rFonts w:hint="eastAsia" w:ascii="微软雅黑" w:hAnsi="微软雅黑" w:eastAsia="微软雅黑" w:cs="微软雅黑"/>
          <w:spacing w:val="-4"/>
          <w:sz w:val="24"/>
          <w:szCs w:val="24"/>
        </w:rPr>
        <w:t>提供有利于</w:t>
      </w:r>
      <w:r>
        <w:rPr>
          <w:rFonts w:hint="eastAsia" w:ascii="微软雅黑" w:hAnsi="微软雅黑" w:eastAsia="微软雅黑" w:cs="微软雅黑"/>
          <w:spacing w:val="-4"/>
          <w:sz w:val="24"/>
          <w:szCs w:val="24"/>
          <w:lang w:eastAsia="zh-CN"/>
        </w:rPr>
        <w:t>供应商</w:t>
      </w:r>
      <w:r>
        <w:rPr>
          <w:rFonts w:hint="eastAsia" w:ascii="微软雅黑" w:hAnsi="微软雅黑" w:eastAsia="微软雅黑" w:cs="微软雅黑"/>
          <w:spacing w:val="-2"/>
          <w:sz w:val="24"/>
          <w:szCs w:val="24"/>
        </w:rPr>
        <w:t>的其他证明文件。</w:t>
      </w:r>
    </w:p>
    <w:p w14:paraId="46B612A1">
      <w:pPr>
        <w:jc w:val="left"/>
        <w:rPr>
          <w:rFonts w:ascii="微软雅黑" w:hAnsi="微软雅黑" w:eastAsia="微软雅黑" w:cs="微软雅黑"/>
          <w:color w:val="auto"/>
          <w:sz w:val="24"/>
          <w:szCs w:val="24"/>
          <w:highlight w:val="none"/>
        </w:rPr>
      </w:pPr>
    </w:p>
    <w:p w14:paraId="2DBF271C">
      <w:pPr>
        <w:pStyle w:val="4"/>
        <w:rPr>
          <w:rFonts w:ascii="微软雅黑" w:hAnsi="微软雅黑" w:eastAsia="微软雅黑" w:cs="微软雅黑"/>
          <w:color w:val="auto"/>
          <w:highlight w:val="none"/>
        </w:rPr>
      </w:pPr>
    </w:p>
    <w:p w14:paraId="4FAB738F">
      <w:pPr>
        <w:rPr>
          <w:rFonts w:ascii="微软雅黑" w:hAnsi="微软雅黑" w:eastAsia="微软雅黑" w:cs="微软雅黑"/>
          <w:color w:val="auto"/>
          <w:highlight w:val="none"/>
        </w:rPr>
      </w:pPr>
    </w:p>
    <w:p w14:paraId="322B4090">
      <w:pPr>
        <w:pStyle w:val="4"/>
        <w:rPr>
          <w:rFonts w:ascii="微软雅黑" w:hAnsi="微软雅黑" w:eastAsia="微软雅黑" w:cs="微软雅黑"/>
          <w:color w:val="auto"/>
          <w:highlight w:val="none"/>
        </w:rPr>
      </w:pPr>
    </w:p>
    <w:p w14:paraId="39ADC5A0">
      <w:pPr>
        <w:rPr>
          <w:rFonts w:ascii="微软雅黑" w:hAnsi="微软雅黑" w:eastAsia="微软雅黑" w:cs="微软雅黑"/>
          <w:color w:val="auto"/>
          <w:highlight w:val="none"/>
        </w:rPr>
      </w:pPr>
    </w:p>
    <w:p w14:paraId="3F108F59">
      <w:pPr>
        <w:pStyle w:val="4"/>
        <w:rPr>
          <w:rFonts w:ascii="微软雅黑" w:hAnsi="微软雅黑" w:eastAsia="微软雅黑" w:cs="微软雅黑"/>
          <w:color w:val="auto"/>
          <w:highlight w:val="none"/>
        </w:rPr>
      </w:pPr>
    </w:p>
    <w:p w14:paraId="48D059E8">
      <w:pPr>
        <w:rPr>
          <w:color w:val="auto"/>
          <w:highlight w:val="none"/>
        </w:rPr>
      </w:pPr>
    </w:p>
    <w:p w14:paraId="3EC0E355">
      <w:pPr>
        <w:rPr>
          <w:rFonts w:ascii="微软雅黑" w:hAnsi="微软雅黑" w:eastAsia="微软雅黑" w:cs="微软雅黑"/>
          <w:color w:val="auto"/>
          <w:highlight w:val="none"/>
        </w:rPr>
      </w:pPr>
    </w:p>
    <w:p w14:paraId="103C81ED">
      <w:pPr>
        <w:rPr>
          <w:rFonts w:ascii="微软雅黑" w:hAnsi="微软雅黑" w:eastAsia="微软雅黑" w:cs="微软雅黑"/>
          <w:color w:val="auto"/>
          <w:highlight w:val="none"/>
        </w:rPr>
      </w:pPr>
    </w:p>
    <w:p w14:paraId="1A08E2D4">
      <w:pPr>
        <w:rPr>
          <w:color w:val="auto"/>
          <w:highlight w:val="none"/>
        </w:rPr>
      </w:pPr>
    </w:p>
    <w:p w14:paraId="6ABC5993">
      <w:pPr>
        <w:pStyle w:val="4"/>
        <w:rPr>
          <w:rFonts w:ascii="微软雅黑" w:hAnsi="微软雅黑" w:eastAsia="微软雅黑" w:cs="微软雅黑"/>
          <w:color w:val="auto"/>
          <w:highlight w:val="none"/>
        </w:rPr>
      </w:pPr>
    </w:p>
    <w:p w14:paraId="680D2989">
      <w:pPr>
        <w:rPr>
          <w:rFonts w:ascii="微软雅黑" w:hAnsi="微软雅黑" w:eastAsia="微软雅黑" w:cs="微软雅黑"/>
          <w:color w:val="auto"/>
          <w:highlight w:val="none"/>
        </w:rPr>
      </w:pPr>
    </w:p>
    <w:p w14:paraId="726D211D">
      <w:pPr>
        <w:ind w:left="1080" w:leftChars="257" w:hanging="540"/>
        <w:rPr>
          <w:rFonts w:ascii="微软雅黑" w:hAnsi="微软雅黑" w:eastAsia="微软雅黑" w:cs="微软雅黑"/>
          <w:b/>
          <w:bCs/>
          <w:color w:val="auto"/>
          <w:kern w:val="0"/>
          <w:sz w:val="24"/>
          <w:szCs w:val="24"/>
          <w:highlight w:val="none"/>
        </w:rPr>
      </w:pPr>
      <w:bookmarkStart w:id="705" w:name="_Toc16684"/>
      <w:bookmarkStart w:id="706" w:name="_Toc2969"/>
      <w:bookmarkStart w:id="707" w:name="_Toc25807"/>
      <w:bookmarkStart w:id="708" w:name="_Toc17701"/>
      <w:bookmarkStart w:id="709" w:name="_Toc19009"/>
      <w:bookmarkStart w:id="710" w:name="_Toc31381"/>
      <w:bookmarkStart w:id="711" w:name="_Toc23424"/>
    </w:p>
    <w:p w14:paraId="15F758C1">
      <w:pPr>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rPr>
        <w:br w:type="page"/>
      </w:r>
    </w:p>
    <w:p w14:paraId="7EC33BCE">
      <w:pPr>
        <w:jc w:val="center"/>
        <w:outlineLvl w:val="1"/>
        <w:rPr>
          <w:rFonts w:ascii="微软雅黑" w:hAnsi="微软雅黑" w:eastAsia="微软雅黑" w:cs="微软雅黑"/>
          <w:b/>
          <w:bCs/>
          <w:color w:val="auto"/>
          <w:kern w:val="0"/>
          <w:sz w:val="24"/>
          <w:szCs w:val="24"/>
          <w:highlight w:val="none"/>
        </w:rPr>
      </w:pPr>
      <w:bookmarkStart w:id="712" w:name="_Toc1478"/>
      <w:bookmarkStart w:id="713" w:name="_Toc24411"/>
      <w:bookmarkStart w:id="714" w:name="_Toc12041"/>
      <w:r>
        <w:rPr>
          <w:rFonts w:hint="eastAsia" w:ascii="微软雅黑" w:hAnsi="微软雅黑" w:eastAsia="微软雅黑" w:cs="微软雅黑"/>
          <w:b/>
          <w:bCs/>
          <w:color w:val="auto"/>
          <w:kern w:val="0"/>
          <w:sz w:val="24"/>
          <w:szCs w:val="24"/>
          <w:highlight w:val="none"/>
          <w:lang w:val="en-US" w:eastAsia="zh-CN"/>
        </w:rPr>
        <w:t xml:space="preserve">9   </w:t>
      </w:r>
      <w:r>
        <w:rPr>
          <w:rFonts w:hint="eastAsia" w:ascii="微软雅黑" w:hAnsi="微软雅黑" w:eastAsia="微软雅黑" w:cs="微软雅黑"/>
          <w:b/>
          <w:bCs/>
          <w:color w:val="auto"/>
          <w:kern w:val="0"/>
          <w:sz w:val="24"/>
          <w:szCs w:val="24"/>
          <w:highlight w:val="none"/>
        </w:rPr>
        <w:t>投标文件格式范本</w:t>
      </w:r>
      <w:bookmarkEnd w:id="705"/>
      <w:bookmarkEnd w:id="706"/>
      <w:bookmarkEnd w:id="707"/>
      <w:bookmarkEnd w:id="708"/>
      <w:bookmarkEnd w:id="709"/>
      <w:bookmarkEnd w:id="710"/>
      <w:bookmarkEnd w:id="711"/>
      <w:bookmarkEnd w:id="712"/>
      <w:bookmarkEnd w:id="713"/>
      <w:bookmarkEnd w:id="714"/>
    </w:p>
    <w:tbl>
      <w:tblPr>
        <w:tblStyle w:val="30"/>
        <w:tblpPr w:leftFromText="180" w:rightFromText="180" w:vertAnchor="text" w:horzAnchor="page" w:tblpXSpec="center" w:tblpY="440"/>
        <w:tblOverlap w:val="never"/>
        <w:tblW w:w="8820" w:type="dxa"/>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CellMar>
          <w:top w:w="0" w:type="dxa"/>
          <w:left w:w="108" w:type="dxa"/>
          <w:bottom w:w="0" w:type="dxa"/>
          <w:right w:w="108" w:type="dxa"/>
        </w:tblCellMar>
      </w:tblPr>
      <w:tblGrid>
        <w:gridCol w:w="8820"/>
      </w:tblGrid>
      <w:tr w14:paraId="12A2B6A9">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2173" w:hRule="atLeast"/>
          <w:jc w:val="center"/>
        </w:trPr>
        <w:tc>
          <w:tcPr>
            <w:tcW w:w="8820" w:type="dxa"/>
            <w:shd w:val="clear" w:color="auto" w:fill="FCFEEA"/>
          </w:tcPr>
          <w:p w14:paraId="415681E6">
            <w:pPr>
              <w:pStyle w:val="11"/>
              <w:spacing w:line="240" w:lineRule="auto"/>
              <w:jc w:val="center"/>
              <w:rPr>
                <w:rFonts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xml:space="preserve">                                              （正本或副本）</w:t>
            </w:r>
          </w:p>
          <w:p w14:paraId="27C1DD84">
            <w:pPr>
              <w:pStyle w:val="11"/>
              <w:spacing w:line="240" w:lineRule="auto"/>
              <w:ind w:firstLine="4202" w:firstLineChars="1500"/>
              <w:rPr>
                <w:rFonts w:ascii="微软雅黑" w:hAnsi="微软雅黑" w:eastAsia="微软雅黑" w:cs="微软雅黑"/>
                <w:b/>
                <w:bCs/>
                <w:color w:val="auto"/>
                <w:sz w:val="28"/>
                <w:szCs w:val="28"/>
                <w:highlight w:val="none"/>
              </w:rPr>
            </w:pPr>
          </w:p>
          <w:p w14:paraId="6F1F20BE">
            <w:pPr>
              <w:pStyle w:val="11"/>
              <w:spacing w:line="240" w:lineRule="auto"/>
              <w:ind w:firstLine="4202" w:firstLineChars="1500"/>
              <w:rPr>
                <w:rFonts w:ascii="微软雅黑" w:hAnsi="微软雅黑" w:eastAsia="微软雅黑" w:cs="微软雅黑"/>
                <w:b/>
                <w:bCs/>
                <w:color w:val="auto"/>
                <w:sz w:val="28"/>
                <w:szCs w:val="28"/>
                <w:highlight w:val="none"/>
              </w:rPr>
            </w:pPr>
          </w:p>
          <w:p w14:paraId="48A8E5ED">
            <w:pPr>
              <w:pStyle w:val="11"/>
              <w:spacing w:line="240" w:lineRule="auto"/>
              <w:rPr>
                <w:rFonts w:ascii="微软雅黑" w:hAnsi="微软雅黑" w:eastAsia="微软雅黑" w:cs="微软雅黑"/>
                <w:b/>
                <w:bCs/>
                <w:color w:val="auto"/>
                <w:sz w:val="28"/>
                <w:szCs w:val="28"/>
                <w:highlight w:val="none"/>
              </w:rPr>
            </w:pPr>
          </w:p>
          <w:p w14:paraId="0EABDDCE">
            <w:pPr>
              <w:pStyle w:val="11"/>
              <w:spacing w:line="240" w:lineRule="auto"/>
              <w:ind w:firstLine="2521" w:firstLineChars="900"/>
              <w:rPr>
                <w:rFonts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 *** *** ***   项目</w:t>
            </w:r>
          </w:p>
          <w:p w14:paraId="31B52BE7">
            <w:pPr>
              <w:pStyle w:val="11"/>
              <w:spacing w:line="240" w:lineRule="auto"/>
              <w:jc w:val="center"/>
              <w:rPr>
                <w:rFonts w:ascii="微软雅黑" w:hAnsi="微软雅黑" w:eastAsia="微软雅黑" w:cs="微软雅黑"/>
                <w:b/>
                <w:bCs/>
                <w:color w:val="auto"/>
                <w:sz w:val="21"/>
                <w:szCs w:val="21"/>
                <w:highlight w:val="none"/>
              </w:rPr>
            </w:pPr>
          </w:p>
          <w:p w14:paraId="5CCDB4FF">
            <w:pPr>
              <w:pStyle w:val="11"/>
              <w:spacing w:line="240" w:lineRule="auto"/>
              <w:ind w:firstLine="3152" w:firstLineChars="1500"/>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编号＊＊＊＊＊＊   包号＊＊＊＊＊</w:t>
            </w:r>
          </w:p>
          <w:p w14:paraId="4F981843">
            <w:pPr>
              <w:pStyle w:val="11"/>
              <w:spacing w:line="240" w:lineRule="auto"/>
              <w:jc w:val="center"/>
              <w:rPr>
                <w:rFonts w:ascii="微软雅黑" w:hAnsi="微软雅黑" w:eastAsia="微软雅黑" w:cs="微软雅黑"/>
                <w:b/>
                <w:bCs/>
                <w:color w:val="auto"/>
                <w:sz w:val="48"/>
                <w:szCs w:val="48"/>
                <w:highlight w:val="none"/>
              </w:rPr>
            </w:pPr>
          </w:p>
          <w:p w14:paraId="5962BEE6">
            <w:pPr>
              <w:pStyle w:val="11"/>
              <w:spacing w:line="240" w:lineRule="auto"/>
              <w:jc w:val="center"/>
              <w:rPr>
                <w:rFonts w:ascii="微软雅黑" w:hAnsi="微软雅黑" w:eastAsia="微软雅黑" w:cs="微软雅黑"/>
                <w:b/>
                <w:bCs/>
                <w:color w:val="auto"/>
                <w:sz w:val="48"/>
                <w:szCs w:val="48"/>
                <w:highlight w:val="none"/>
              </w:rPr>
            </w:pPr>
            <w:r>
              <w:rPr>
                <w:rFonts w:hint="eastAsia" w:ascii="微软雅黑" w:hAnsi="微软雅黑" w:eastAsia="微软雅黑" w:cs="微软雅黑"/>
                <w:b/>
                <w:bCs/>
                <w:color w:val="auto"/>
                <w:sz w:val="48"/>
                <w:szCs w:val="48"/>
                <w:highlight w:val="none"/>
              </w:rPr>
              <w:t>投 标 文 件</w:t>
            </w:r>
          </w:p>
          <w:p w14:paraId="67617FDF">
            <w:pPr>
              <w:jc w:val="center"/>
              <w:rPr>
                <w:rFonts w:ascii="微软雅黑" w:hAnsi="微软雅黑" w:eastAsia="微软雅黑" w:cs="微软雅黑"/>
                <w:b/>
                <w:bCs/>
                <w:color w:val="auto"/>
                <w:sz w:val="32"/>
                <w:szCs w:val="32"/>
                <w:highlight w:val="none"/>
              </w:rPr>
            </w:pPr>
          </w:p>
          <w:p w14:paraId="3F1B5518">
            <w:pPr>
              <w:pStyle w:val="4"/>
              <w:ind w:left="0" w:leftChars="0" w:firstLine="0" w:firstLineChars="0"/>
              <w:rPr>
                <w:rFonts w:ascii="微软雅黑" w:hAnsi="微软雅黑" w:eastAsia="微软雅黑" w:cs="微软雅黑"/>
                <w:b/>
                <w:bCs/>
                <w:color w:val="auto"/>
                <w:sz w:val="32"/>
                <w:szCs w:val="32"/>
                <w:highlight w:val="none"/>
              </w:rPr>
            </w:pPr>
          </w:p>
          <w:p w14:paraId="11FE3D51">
            <w:pPr>
              <w:ind w:left="176" w:leftChars="84" w:firstLine="840" w:firstLineChars="4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投标单位：</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rPr>
              <w:t>（公章）</w:t>
            </w:r>
          </w:p>
          <w:p w14:paraId="15B7DB14">
            <w:pPr>
              <w:ind w:left="176" w:leftChars="84" w:firstLine="840" w:firstLineChars="400"/>
              <w:rPr>
                <w:rFonts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项目名称：</w:t>
            </w:r>
            <w:r>
              <w:rPr>
                <w:rFonts w:hint="eastAsia" w:ascii="微软雅黑" w:hAnsi="微软雅黑" w:eastAsia="微软雅黑" w:cs="微软雅黑"/>
                <w:color w:val="auto"/>
                <w:highlight w:val="none"/>
                <w:u w:val="single"/>
              </w:rPr>
              <w:t xml:space="preserve">                                          </w:t>
            </w:r>
          </w:p>
          <w:p w14:paraId="62AFEC6D">
            <w:pPr>
              <w:ind w:left="176" w:leftChars="84" w:firstLine="840" w:firstLineChars="400"/>
              <w:rPr>
                <w:rFonts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项目编号：</w:t>
            </w:r>
            <w:r>
              <w:rPr>
                <w:rFonts w:hint="eastAsia" w:ascii="微软雅黑" w:hAnsi="微软雅黑" w:eastAsia="微软雅黑" w:cs="微软雅黑"/>
                <w:color w:val="auto"/>
                <w:highlight w:val="none"/>
                <w:u w:val="single"/>
              </w:rPr>
              <w:t xml:space="preserve">                                        （包号）</w:t>
            </w:r>
          </w:p>
          <w:p w14:paraId="301AEE27">
            <w:pPr>
              <w:ind w:left="176" w:leftChars="84" w:firstLine="840" w:firstLineChars="400"/>
              <w:rPr>
                <w:rFonts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联 系 人：</w:t>
            </w:r>
            <w:r>
              <w:rPr>
                <w:rFonts w:hint="eastAsia" w:ascii="微软雅黑" w:hAnsi="微软雅黑" w:eastAsia="微软雅黑" w:cs="微软雅黑"/>
                <w:color w:val="auto"/>
                <w:highlight w:val="none"/>
                <w:u w:val="single"/>
              </w:rPr>
              <w:t xml:space="preserve">                                        </w:t>
            </w:r>
          </w:p>
          <w:p w14:paraId="4D466B82">
            <w:pPr>
              <w:ind w:left="176" w:leftChars="84" w:firstLine="840" w:firstLineChars="4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电    话：</w:t>
            </w:r>
            <w:r>
              <w:rPr>
                <w:rFonts w:hint="eastAsia" w:ascii="微软雅黑" w:hAnsi="微软雅黑" w:eastAsia="微软雅黑" w:cs="微软雅黑"/>
                <w:color w:val="auto"/>
                <w:highlight w:val="none"/>
                <w:u w:val="single"/>
              </w:rPr>
              <w:t xml:space="preserve">                                        </w:t>
            </w:r>
          </w:p>
          <w:p w14:paraId="6B0E92CA">
            <w:pPr>
              <w:ind w:left="176" w:leftChars="84" w:firstLine="840" w:firstLineChars="400"/>
              <w:rPr>
                <w:rFonts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地    址：</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lang w:val="en-US" w:eastAsia="zh-CN"/>
              </w:rPr>
              <w:t xml:space="preserve">    </w:t>
            </w:r>
            <w:r>
              <w:rPr>
                <w:rFonts w:hint="eastAsia" w:ascii="微软雅黑" w:hAnsi="微软雅黑" w:eastAsia="微软雅黑" w:cs="微软雅黑"/>
                <w:color w:val="auto"/>
                <w:highlight w:val="none"/>
                <w:u w:val="single"/>
              </w:rPr>
              <w:t xml:space="preserve">                </w:t>
            </w:r>
          </w:p>
          <w:p w14:paraId="4128D774">
            <w:pPr>
              <w:ind w:left="176" w:leftChars="84" w:firstLine="960" w:firstLineChars="400"/>
              <w:rPr>
                <w:rFonts w:ascii="微软雅黑" w:hAnsi="微软雅黑" w:eastAsia="微软雅黑" w:cs="微软雅黑"/>
                <w:color w:val="auto"/>
                <w:sz w:val="24"/>
                <w:szCs w:val="24"/>
                <w:highlight w:val="none"/>
              </w:rPr>
            </w:pPr>
          </w:p>
          <w:p w14:paraId="600E8890">
            <w:pPr>
              <w:jc w:val="center"/>
              <w:rPr>
                <w:rFonts w:ascii="微软雅黑" w:hAnsi="微软雅黑" w:eastAsia="微软雅黑" w:cs="微软雅黑"/>
                <w:b/>
                <w:bCs/>
                <w:color w:val="auto"/>
                <w:highlight w:val="none"/>
              </w:rPr>
            </w:pPr>
          </w:p>
          <w:p w14:paraId="39D19F24">
            <w:pPr>
              <w:jc w:val="center"/>
              <w:rPr>
                <w:rFonts w:ascii="微软雅黑" w:hAnsi="微软雅黑" w:eastAsia="微软雅黑" w:cs="微软雅黑"/>
                <w:b/>
                <w:bCs/>
                <w:color w:val="auto"/>
                <w:highlight w:val="none"/>
              </w:rPr>
            </w:pPr>
          </w:p>
          <w:p w14:paraId="3CA2120A">
            <w:pPr>
              <w:jc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注：   在202</w:t>
            </w:r>
            <w:r>
              <w:rPr>
                <w:rFonts w:hint="eastAsia" w:ascii="微软雅黑" w:hAnsi="微软雅黑" w:eastAsia="微软雅黑" w:cs="微软雅黑"/>
                <w:b/>
                <w:bCs/>
                <w:color w:val="auto"/>
                <w:highlight w:val="none"/>
                <w:lang w:val="en-US" w:eastAsia="zh-CN"/>
              </w:rPr>
              <w:t>6</w:t>
            </w:r>
            <w:r>
              <w:rPr>
                <w:rFonts w:hint="eastAsia" w:ascii="微软雅黑" w:hAnsi="微软雅黑" w:eastAsia="微软雅黑" w:cs="微软雅黑"/>
                <w:b/>
                <w:bCs/>
                <w:color w:val="auto"/>
                <w:highlight w:val="none"/>
              </w:rPr>
              <w:t>年   月  日 *午   之前不得启封</w:t>
            </w:r>
          </w:p>
          <w:p w14:paraId="7749F50F">
            <w:pPr>
              <w:jc w:val="center"/>
              <w:rPr>
                <w:rFonts w:ascii="微软雅黑" w:hAnsi="微软雅黑" w:eastAsia="微软雅黑" w:cs="微软雅黑"/>
                <w:b/>
                <w:bCs/>
                <w:color w:val="auto"/>
                <w:highlight w:val="none"/>
              </w:rPr>
            </w:pPr>
          </w:p>
        </w:tc>
      </w:tr>
    </w:tbl>
    <w:p w14:paraId="1F50608E">
      <w:pPr>
        <w:rPr>
          <w:rFonts w:ascii="微软雅黑" w:hAnsi="微软雅黑" w:eastAsia="微软雅黑" w:cs="微软雅黑"/>
          <w:b/>
          <w:bCs/>
          <w:color w:val="auto"/>
          <w:sz w:val="30"/>
          <w:szCs w:val="30"/>
          <w:highlight w:val="none"/>
        </w:rPr>
      </w:pPr>
      <w:r>
        <w:rPr>
          <w:rFonts w:hint="eastAsia" w:ascii="微软雅黑" w:hAnsi="微软雅黑" w:eastAsia="微软雅黑" w:cs="微软雅黑"/>
          <w:color w:val="auto"/>
          <w:sz w:val="24"/>
          <w:szCs w:val="24"/>
          <w:highlight w:val="none"/>
        </w:rPr>
        <w:br w:type="page"/>
      </w:r>
    </w:p>
    <w:p w14:paraId="70573FDF">
      <w:pPr>
        <w:pStyle w:val="4"/>
        <w:ind w:firstLine="0"/>
        <w:rPr>
          <w:rFonts w:ascii="微软雅黑" w:hAnsi="微软雅黑" w:eastAsia="微软雅黑" w:cs="微软雅黑"/>
          <w:color w:val="auto"/>
          <w:highlight w:val="none"/>
        </w:rPr>
      </w:pPr>
    </w:p>
    <w:p w14:paraId="47D3758B">
      <w:pPr>
        <w:pStyle w:val="4"/>
        <w:rPr>
          <w:rFonts w:ascii="微软雅黑" w:hAnsi="微软雅黑" w:eastAsia="微软雅黑" w:cs="微软雅黑"/>
          <w:color w:val="auto"/>
          <w:highlight w:val="none"/>
        </w:rPr>
      </w:pPr>
    </w:p>
    <w:p w14:paraId="3DC939A6">
      <w:pPr>
        <w:jc w:val="center"/>
        <w:rPr>
          <w:rFonts w:ascii="微软雅黑" w:hAnsi="微软雅黑" w:eastAsia="微软雅黑" w:cs="微软雅黑"/>
          <w:b/>
          <w:bCs/>
          <w:color w:val="auto"/>
          <w:sz w:val="44"/>
          <w:szCs w:val="44"/>
          <w:highlight w:val="none"/>
        </w:rPr>
      </w:pPr>
    </w:p>
    <w:p w14:paraId="381B5699">
      <w:pPr>
        <w:jc w:val="center"/>
        <w:rPr>
          <w:rFonts w:ascii="微软雅黑" w:hAnsi="微软雅黑" w:eastAsia="微软雅黑" w:cs="微软雅黑"/>
          <w:b/>
          <w:bCs/>
          <w:color w:val="auto"/>
          <w:sz w:val="44"/>
          <w:szCs w:val="44"/>
          <w:highlight w:val="none"/>
        </w:rPr>
      </w:pPr>
    </w:p>
    <w:p w14:paraId="610E45D9">
      <w:pPr>
        <w:rPr>
          <w:rFonts w:ascii="微软雅黑" w:hAnsi="微软雅黑" w:eastAsia="微软雅黑" w:cs="微软雅黑"/>
          <w:b/>
          <w:bCs/>
          <w:color w:val="auto"/>
          <w:sz w:val="44"/>
          <w:szCs w:val="44"/>
          <w:highlight w:val="none"/>
        </w:rPr>
      </w:pPr>
    </w:p>
    <w:p w14:paraId="0AD16607">
      <w:pPr>
        <w:rPr>
          <w:rFonts w:ascii="微软雅黑" w:hAnsi="微软雅黑" w:eastAsia="微软雅黑" w:cs="微软雅黑"/>
          <w:b/>
          <w:bCs/>
          <w:color w:val="auto"/>
          <w:sz w:val="44"/>
          <w:szCs w:val="44"/>
          <w:highlight w:val="none"/>
        </w:rPr>
      </w:pPr>
    </w:p>
    <w:p w14:paraId="5F5A8A95">
      <w:pPr>
        <w:jc w:val="center"/>
        <w:rPr>
          <w:rFonts w:ascii="微软雅黑" w:hAnsi="微软雅黑" w:eastAsia="微软雅黑" w:cs="微软雅黑"/>
          <w:b/>
          <w:bCs/>
          <w:color w:val="auto"/>
          <w:sz w:val="44"/>
          <w:szCs w:val="44"/>
          <w:highlight w:val="none"/>
        </w:rPr>
      </w:pPr>
    </w:p>
    <w:p w14:paraId="72338EEF">
      <w:pPr>
        <w:jc w:val="center"/>
        <w:rPr>
          <w:rFonts w:ascii="微软雅黑" w:hAnsi="微软雅黑" w:eastAsia="微软雅黑" w:cs="微软雅黑"/>
          <w:b/>
          <w:bCs/>
          <w:color w:val="auto"/>
          <w:sz w:val="44"/>
          <w:szCs w:val="44"/>
          <w:highlight w:val="none"/>
        </w:rPr>
      </w:pPr>
    </w:p>
    <w:p w14:paraId="3A0FBF3E">
      <w:pPr>
        <w:jc w:val="center"/>
        <w:rPr>
          <w:rFonts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招 标 文 件</w:t>
      </w:r>
    </w:p>
    <w:p w14:paraId="5C42A28A">
      <w:pPr>
        <w:jc w:val="center"/>
        <w:rPr>
          <w:rFonts w:ascii="微软雅黑" w:hAnsi="微软雅黑" w:eastAsia="微软雅黑" w:cs="微软雅黑"/>
          <w:b/>
          <w:bCs/>
          <w:color w:val="auto"/>
          <w:sz w:val="40"/>
          <w:szCs w:val="40"/>
          <w:highlight w:val="none"/>
        </w:rPr>
      </w:pPr>
    </w:p>
    <w:p w14:paraId="617D18D2">
      <w:pPr>
        <w:jc w:val="center"/>
        <w:rPr>
          <w:rFonts w:ascii="微软雅黑" w:hAnsi="微软雅黑" w:eastAsia="微软雅黑" w:cs="微软雅黑"/>
          <w:b/>
          <w:bCs/>
          <w:color w:val="auto"/>
          <w:sz w:val="32"/>
          <w:szCs w:val="32"/>
          <w:highlight w:val="none"/>
        </w:rPr>
      </w:pPr>
    </w:p>
    <w:p w14:paraId="38EB1DC0">
      <w:pPr>
        <w:jc w:val="center"/>
        <w:rPr>
          <w:rFonts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第 二 册</w:t>
      </w:r>
    </w:p>
    <w:p w14:paraId="5B16D494">
      <w:pPr>
        <w:jc w:val="center"/>
        <w:rPr>
          <w:rFonts w:ascii="微软雅黑" w:hAnsi="微软雅黑" w:eastAsia="微软雅黑" w:cs="微软雅黑"/>
          <w:b/>
          <w:bCs/>
          <w:color w:val="auto"/>
          <w:sz w:val="32"/>
          <w:szCs w:val="32"/>
          <w:highlight w:val="none"/>
        </w:rPr>
      </w:pPr>
    </w:p>
    <w:p w14:paraId="5958DF67">
      <w:pPr>
        <w:jc w:val="center"/>
        <w:rPr>
          <w:rFonts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  </w:t>
      </w:r>
    </w:p>
    <w:p w14:paraId="439B7A68">
      <w:pPr>
        <w:ind w:left="1080" w:leftChars="257" w:hanging="540"/>
        <w:rPr>
          <w:rFonts w:ascii="微软雅黑" w:hAnsi="微软雅黑" w:eastAsia="微软雅黑" w:cs="微软雅黑"/>
          <w:b/>
          <w:bCs/>
          <w:color w:val="auto"/>
          <w:sz w:val="28"/>
          <w:szCs w:val="28"/>
          <w:highlight w:val="none"/>
        </w:rPr>
      </w:pPr>
    </w:p>
    <w:p w14:paraId="4E3648E9">
      <w:pPr>
        <w:ind w:left="1080" w:leftChars="257" w:hanging="540"/>
        <w:rPr>
          <w:rFonts w:ascii="微软雅黑" w:hAnsi="微软雅黑" w:eastAsia="微软雅黑" w:cs="微软雅黑"/>
          <w:b/>
          <w:bCs/>
          <w:color w:val="auto"/>
          <w:sz w:val="28"/>
          <w:szCs w:val="28"/>
          <w:highlight w:val="none"/>
        </w:rPr>
      </w:pPr>
    </w:p>
    <w:p w14:paraId="095F4254">
      <w:pPr>
        <w:ind w:left="1080" w:leftChars="257" w:hanging="540"/>
        <w:rPr>
          <w:rFonts w:ascii="微软雅黑" w:hAnsi="微软雅黑" w:eastAsia="微软雅黑" w:cs="微软雅黑"/>
          <w:b/>
          <w:bCs/>
          <w:color w:val="auto"/>
          <w:sz w:val="28"/>
          <w:szCs w:val="28"/>
          <w:highlight w:val="none"/>
        </w:rPr>
      </w:pPr>
    </w:p>
    <w:p w14:paraId="003ADA62">
      <w:pPr>
        <w:ind w:left="1080" w:leftChars="257" w:hanging="540"/>
        <w:rPr>
          <w:rFonts w:ascii="微软雅黑" w:hAnsi="微软雅黑" w:eastAsia="微软雅黑" w:cs="微软雅黑"/>
          <w:b/>
          <w:bCs/>
          <w:color w:val="auto"/>
          <w:sz w:val="28"/>
          <w:szCs w:val="28"/>
          <w:highlight w:val="none"/>
        </w:rPr>
      </w:pPr>
    </w:p>
    <w:p w14:paraId="0292E5C3">
      <w:pPr>
        <w:pStyle w:val="10"/>
        <w:rPr>
          <w:rFonts w:ascii="微软雅黑" w:hAnsi="微软雅黑" w:eastAsia="微软雅黑" w:cs="微软雅黑"/>
          <w:b/>
          <w:bCs/>
          <w:color w:val="auto"/>
          <w:sz w:val="28"/>
          <w:szCs w:val="28"/>
          <w:highlight w:val="none"/>
        </w:rPr>
      </w:pPr>
    </w:p>
    <w:p w14:paraId="0011EFF6">
      <w:pPr>
        <w:rPr>
          <w:rFonts w:ascii="微软雅黑" w:hAnsi="微软雅黑" w:eastAsia="微软雅黑" w:cs="微软雅黑"/>
          <w:b/>
          <w:bCs/>
          <w:color w:val="auto"/>
          <w:sz w:val="28"/>
          <w:szCs w:val="28"/>
          <w:highlight w:val="none"/>
        </w:rPr>
      </w:pPr>
    </w:p>
    <w:p w14:paraId="19002B45">
      <w:pPr>
        <w:pStyle w:val="10"/>
        <w:rPr>
          <w:color w:val="auto"/>
          <w:highlight w:val="none"/>
        </w:rPr>
      </w:pPr>
    </w:p>
    <w:p w14:paraId="6B19AF84">
      <w:pPr>
        <w:ind w:left="1080" w:leftChars="257" w:hanging="540"/>
        <w:rPr>
          <w:rFonts w:ascii="微软雅黑" w:hAnsi="微软雅黑" w:eastAsia="微软雅黑" w:cs="微软雅黑"/>
          <w:b/>
          <w:bCs/>
          <w:color w:val="auto"/>
          <w:sz w:val="28"/>
          <w:szCs w:val="28"/>
          <w:highlight w:val="none"/>
        </w:rPr>
      </w:pPr>
    </w:p>
    <w:p w14:paraId="5BA2693D">
      <w:pPr>
        <w:pStyle w:val="11"/>
        <w:rPr>
          <w:color w:val="auto"/>
          <w:highlight w:val="none"/>
        </w:rPr>
      </w:pPr>
    </w:p>
    <w:p w14:paraId="6B3D270D">
      <w:pPr>
        <w:pStyle w:val="2"/>
        <w:numPr>
          <w:ilvl w:val="0"/>
          <w:numId w:val="8"/>
        </w:numPr>
        <w:tabs>
          <w:tab w:val="left" w:pos="0"/>
        </w:tabs>
        <w:spacing w:before="0" w:after="0" w:line="240" w:lineRule="auto"/>
        <w:jc w:val="center"/>
        <w:rPr>
          <w:rFonts w:ascii="微软雅黑" w:hAnsi="微软雅黑" w:eastAsia="微软雅黑" w:cs="微软雅黑"/>
          <w:b/>
          <w:bCs/>
          <w:color w:val="auto"/>
          <w:highlight w:val="none"/>
        </w:rPr>
      </w:pPr>
      <w:bookmarkStart w:id="715" w:name="_Toc16370"/>
      <w:bookmarkStart w:id="716" w:name="_Toc515647829"/>
      <w:bookmarkStart w:id="717" w:name="_Toc216582822"/>
      <w:bookmarkStart w:id="718" w:name="_Toc29715"/>
      <w:bookmarkStart w:id="719" w:name="_Toc219175634"/>
      <w:bookmarkStart w:id="720" w:name="_Toc28765"/>
      <w:bookmarkStart w:id="721" w:name="_Toc507399902"/>
      <w:bookmarkStart w:id="722" w:name="_Toc218935350"/>
      <w:bookmarkStart w:id="723" w:name="_Toc30980"/>
      <w:bookmarkStart w:id="724" w:name="_Toc216582823"/>
      <w:bookmarkStart w:id="725" w:name="_Toc5272"/>
      <w:bookmarkStart w:id="726" w:name="_Toc31583"/>
      <w:bookmarkStart w:id="727" w:name="_Toc507399903"/>
      <w:bookmarkStart w:id="728" w:name="_Toc515647830"/>
      <w:bookmarkStart w:id="729" w:name="_Toc10488"/>
      <w:bookmarkStart w:id="730" w:name="_Toc512937850"/>
      <w:r>
        <w:rPr>
          <w:rFonts w:hint="eastAsia" w:ascii="微软雅黑" w:hAnsi="微软雅黑" w:eastAsia="微软雅黑" w:cs="微软雅黑"/>
          <w:b/>
          <w:bCs/>
          <w:color w:val="auto"/>
          <w:highlight w:val="none"/>
          <w:lang w:val="en-US" w:eastAsia="zh-CN"/>
        </w:rPr>
        <w:t xml:space="preserve">   </w:t>
      </w:r>
      <w:bookmarkStart w:id="731" w:name="_Toc28851"/>
      <w:bookmarkStart w:id="732" w:name="_Toc29345"/>
      <w:bookmarkStart w:id="733" w:name="_Toc6873"/>
      <w:r>
        <w:rPr>
          <w:rFonts w:hint="eastAsia" w:ascii="微软雅黑" w:hAnsi="微软雅黑" w:eastAsia="微软雅黑" w:cs="微软雅黑"/>
          <w:b/>
          <w:bCs/>
          <w:color w:val="auto"/>
          <w:highlight w:val="none"/>
        </w:rPr>
        <w:t>投标邀请</w:t>
      </w:r>
      <w:bookmarkEnd w:id="715"/>
      <w:bookmarkEnd w:id="716"/>
      <w:bookmarkEnd w:id="717"/>
      <w:bookmarkEnd w:id="718"/>
      <w:bookmarkEnd w:id="719"/>
      <w:bookmarkEnd w:id="720"/>
      <w:bookmarkEnd w:id="721"/>
      <w:bookmarkEnd w:id="722"/>
      <w:bookmarkEnd w:id="731"/>
      <w:bookmarkEnd w:id="732"/>
      <w:bookmarkEnd w:id="733"/>
    </w:p>
    <w:bookmarkEnd w:id="723"/>
    <w:p w14:paraId="2A386EE9">
      <w:pPr>
        <w:tabs>
          <w:tab w:val="left" w:pos="4947"/>
        </w:tabs>
        <w:ind w:right="567"/>
        <w:jc w:val="center"/>
        <w:rPr>
          <w:rFonts w:hint="eastAsia" w:ascii="微软雅黑" w:hAnsi="微软雅黑" w:eastAsia="微软雅黑" w:cs="微软雅黑"/>
          <w:b/>
          <w:color w:val="auto"/>
          <w:sz w:val="36"/>
          <w:szCs w:val="30"/>
          <w:highlight w:val="none"/>
        </w:rPr>
      </w:pPr>
      <w:bookmarkStart w:id="734" w:name="_Toc10812"/>
      <w:bookmarkStart w:id="735" w:name="_Toc9574"/>
      <w:bookmarkStart w:id="736" w:name="_Toc31446"/>
      <w:r>
        <w:rPr>
          <w:rFonts w:hint="eastAsia" w:ascii="微软雅黑" w:hAnsi="微软雅黑" w:eastAsia="微软雅黑" w:cs="微软雅黑"/>
          <w:b/>
          <w:color w:val="auto"/>
          <w:sz w:val="36"/>
          <w:szCs w:val="30"/>
          <w:highlight w:val="none"/>
        </w:rPr>
        <w:t>塔城地区沙湾市医共体资源共享中心建设项目--彩超（全身机）、肌骨超声等</w:t>
      </w:r>
    </w:p>
    <w:p w14:paraId="115B8B53">
      <w:pPr>
        <w:tabs>
          <w:tab w:val="left" w:pos="4947"/>
        </w:tabs>
        <w:ind w:right="567"/>
        <w:jc w:val="center"/>
        <w:rPr>
          <w:rFonts w:ascii="微软雅黑" w:hAnsi="微软雅黑" w:eastAsia="微软雅黑" w:cs="微软雅黑"/>
          <w:color w:val="auto"/>
          <w:sz w:val="27"/>
          <w:szCs w:val="27"/>
          <w:highlight w:val="none"/>
        </w:rPr>
      </w:pPr>
      <w:r>
        <w:rPr>
          <w:rFonts w:hint="eastAsia" w:ascii="微软雅黑" w:hAnsi="微软雅黑" w:eastAsia="微软雅黑" w:cs="微软雅黑"/>
          <w:b/>
          <w:color w:val="auto"/>
          <w:sz w:val="36"/>
          <w:szCs w:val="30"/>
          <w:highlight w:val="none"/>
        </w:rPr>
        <w:t>公开招标公告</w:t>
      </w:r>
      <w:bookmarkEnd w:id="734"/>
      <w:bookmarkEnd w:id="735"/>
      <w:bookmarkEnd w:id="736"/>
    </w:p>
    <w:tbl>
      <w:tblPr>
        <w:tblStyle w:val="31"/>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0"/>
      </w:tblGrid>
      <w:tr w14:paraId="76F3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500" w:type="dxa"/>
          </w:tcPr>
          <w:p w14:paraId="7A95C34E">
            <w:pPr>
              <w:pStyle w:val="26"/>
              <w:keepNext w:val="0"/>
              <w:keepLines w:val="0"/>
              <w:pageBreakBefore w:val="0"/>
              <w:widowControl/>
              <w:kinsoku/>
              <w:wordWrap/>
              <w:overflowPunct/>
              <w:topLinePunct w:val="0"/>
              <w:autoSpaceDE/>
              <w:autoSpaceDN/>
              <w:bidi w:val="0"/>
              <w:adjustRightInd/>
              <w:snapToGrid/>
              <w:spacing w:before="75" w:beforeAutospacing="0" w:after="150" w:afterAutospacing="0" w:line="240" w:lineRule="auto"/>
              <w:textAlignment w:val="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项目概况                                                    </w:t>
            </w:r>
          </w:p>
          <w:p w14:paraId="67C59F09">
            <w:pPr>
              <w:pStyle w:val="26"/>
              <w:keepNext w:val="0"/>
              <w:keepLines w:val="0"/>
              <w:pageBreakBefore w:val="0"/>
              <w:widowControl/>
              <w:kinsoku/>
              <w:wordWrap/>
              <w:overflowPunct/>
              <w:topLinePunct w:val="0"/>
              <w:autoSpaceDE/>
              <w:autoSpaceDN/>
              <w:bidi w:val="0"/>
              <w:adjustRightInd/>
              <w:snapToGrid/>
              <w:spacing w:before="75" w:beforeAutospacing="0" w:after="150" w:afterAutospacing="0" w:line="240" w:lineRule="auto"/>
              <w:textAlignment w:val="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塔城地区沙湾市医共体资源共享中心建设项目--彩超（全身机）、肌骨超声等的潜在供应商应在政采云平台（https://www.zcygov.cn/） 获取采购文件，并于202</w:t>
            </w:r>
            <w:r>
              <w:rPr>
                <w:rFonts w:hint="eastAsia" w:ascii="微软雅黑" w:hAnsi="微软雅黑" w:eastAsia="微软雅黑" w:cs="微软雅黑"/>
                <w:color w:val="auto"/>
                <w:highlight w:val="none"/>
                <w:lang w:val="en-US" w:eastAsia="zh-CN"/>
              </w:rPr>
              <w:t>6</w:t>
            </w:r>
            <w:r>
              <w:rPr>
                <w:rFonts w:hint="eastAsia" w:ascii="微软雅黑" w:hAnsi="微软雅黑" w:eastAsia="微软雅黑" w:cs="微软雅黑"/>
                <w:color w:val="auto"/>
                <w:highlight w:val="none"/>
              </w:rPr>
              <w:t>年</w:t>
            </w: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月</w:t>
            </w:r>
            <w:r>
              <w:rPr>
                <w:rFonts w:hint="eastAsia" w:ascii="微软雅黑" w:hAnsi="微软雅黑" w:eastAsia="微软雅黑" w:cs="微软雅黑"/>
                <w:color w:val="auto"/>
                <w:highlight w:val="none"/>
                <w:lang w:val="en-US" w:eastAsia="zh-CN"/>
              </w:rPr>
              <w:t>26</w:t>
            </w:r>
            <w:r>
              <w:rPr>
                <w:rFonts w:hint="eastAsia" w:ascii="微软雅黑" w:hAnsi="微软雅黑" w:eastAsia="微软雅黑" w:cs="微软雅黑"/>
                <w:color w:val="auto"/>
                <w:highlight w:val="none"/>
              </w:rPr>
              <w:t>日1</w:t>
            </w:r>
            <w:r>
              <w:rPr>
                <w:rFonts w:hint="eastAsia" w:ascii="微软雅黑" w:hAnsi="微软雅黑" w:eastAsia="微软雅黑" w:cs="微软雅黑"/>
                <w:color w:val="auto"/>
                <w:highlight w:val="none"/>
                <w:lang w:val="en-US" w:eastAsia="zh-CN"/>
              </w:rPr>
              <w:t>1</w:t>
            </w: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00</w:t>
            </w:r>
            <w:r>
              <w:rPr>
                <w:rFonts w:hint="eastAsia" w:ascii="微软雅黑" w:hAnsi="微软雅黑" w:eastAsia="微软雅黑" w:cs="微软雅黑"/>
                <w:color w:val="auto"/>
                <w:highlight w:val="none"/>
              </w:rPr>
              <w:t xml:space="preserve">（北京时间）前提交投标文件。  </w:t>
            </w:r>
          </w:p>
        </w:tc>
      </w:tr>
    </w:tbl>
    <w:p w14:paraId="5EC24F92">
      <w:pPr>
        <w:pStyle w:val="26"/>
        <w:keepNext w:val="0"/>
        <w:keepLines w:val="0"/>
        <w:pageBreakBefore w:val="0"/>
        <w:widowControl/>
        <w:numPr>
          <w:ilvl w:val="0"/>
          <w:numId w:val="9"/>
        </w:numPr>
        <w:kinsoku/>
        <w:wordWrap/>
        <w:overflowPunct/>
        <w:topLinePunct w:val="0"/>
        <w:autoSpaceDE/>
        <w:autoSpaceDN/>
        <w:bidi w:val="0"/>
        <w:adjustRightInd/>
        <w:snapToGrid/>
        <w:spacing w:before="75" w:beforeAutospacing="0" w:after="75" w:afterAutospacing="0" w:line="240" w:lineRule="auto"/>
        <w:textAlignment w:val="auto"/>
        <w:rPr>
          <w:rStyle w:val="33"/>
          <w:rFonts w:hint="eastAsia" w:ascii="微软雅黑" w:hAnsi="微软雅黑" w:eastAsia="微软雅黑" w:cs="微软雅黑"/>
          <w:color w:val="auto"/>
          <w:highlight w:val="none"/>
        </w:rPr>
      </w:pPr>
      <w:r>
        <w:rPr>
          <w:rStyle w:val="33"/>
          <w:rFonts w:hint="eastAsia" w:ascii="微软雅黑" w:hAnsi="微软雅黑" w:eastAsia="微软雅黑" w:cs="微软雅黑"/>
          <w:color w:val="auto"/>
          <w:highlight w:val="none"/>
        </w:rPr>
        <w:t>项目基本情况</w:t>
      </w:r>
    </w:p>
    <w:p w14:paraId="51BADF51">
      <w:pPr>
        <w:pStyle w:val="26"/>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1、</w:t>
      </w:r>
      <w:r>
        <w:rPr>
          <w:rFonts w:hint="eastAsia" w:ascii="微软雅黑" w:hAnsi="微软雅黑" w:eastAsia="微软雅黑" w:cs="微软雅黑"/>
          <w:color w:val="auto"/>
          <w:highlight w:val="none"/>
        </w:rPr>
        <w:t>项目编号：XJ</w:t>
      </w:r>
      <w:r>
        <w:rPr>
          <w:rFonts w:hint="eastAsia" w:ascii="微软雅黑" w:hAnsi="微软雅黑" w:eastAsia="微软雅黑" w:cs="微软雅黑"/>
          <w:color w:val="auto"/>
          <w:highlight w:val="none"/>
          <w:lang w:val="en-US" w:eastAsia="zh-CN"/>
        </w:rPr>
        <w:t>JZF2026-(GK)001</w:t>
      </w:r>
    </w:p>
    <w:p w14:paraId="1C8CEB77">
      <w:pPr>
        <w:pStyle w:val="26"/>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val="en-US" w:eastAsia="zh-CN"/>
        </w:rPr>
        <w:t>2、</w:t>
      </w:r>
      <w:r>
        <w:rPr>
          <w:rFonts w:hint="eastAsia" w:ascii="微软雅黑" w:hAnsi="微软雅黑" w:eastAsia="微软雅黑" w:cs="微软雅黑"/>
          <w:color w:val="auto"/>
          <w:highlight w:val="none"/>
        </w:rPr>
        <w:t>项目名称：塔城地区沙湾市医共体资源共享中心建设项目--彩超（全身机）、肌骨超声等</w:t>
      </w:r>
      <w:r>
        <w:rPr>
          <w:rFonts w:hint="eastAsia" w:ascii="微软雅黑" w:hAnsi="微软雅黑" w:eastAsia="微软雅黑" w:cs="微软雅黑"/>
          <w:color w:val="auto"/>
          <w:lang w:val="en-US" w:eastAsia="zh-CN"/>
        </w:rPr>
        <w:t>；</w:t>
      </w:r>
    </w:p>
    <w:p w14:paraId="0DA45739">
      <w:pPr>
        <w:pStyle w:val="26"/>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hint="eastAsia" w:ascii="微软雅黑" w:hAnsi="微软雅黑" w:eastAsia="微软雅黑" w:cs="微软雅黑"/>
          <w:color w:val="auto"/>
        </w:rPr>
      </w:pPr>
      <w:r>
        <w:rPr>
          <w:rFonts w:hint="eastAsia" w:ascii="微软雅黑" w:hAnsi="微软雅黑" w:eastAsia="微软雅黑" w:cs="微软雅黑"/>
          <w:color w:val="auto"/>
          <w:highlight w:val="none"/>
          <w:lang w:val="en-US" w:eastAsia="zh-CN"/>
        </w:rPr>
        <w:t>3、</w:t>
      </w:r>
      <w:r>
        <w:rPr>
          <w:rFonts w:hint="eastAsia" w:ascii="微软雅黑" w:hAnsi="微软雅黑" w:eastAsia="微软雅黑" w:cs="微软雅黑"/>
          <w:color w:val="auto"/>
          <w:highlight w:val="none"/>
        </w:rPr>
        <w:t>采购方式：</w:t>
      </w:r>
      <w:r>
        <w:rPr>
          <w:rFonts w:hint="eastAsia" w:ascii="微软雅黑" w:hAnsi="微软雅黑" w:eastAsia="微软雅黑" w:cs="微软雅黑"/>
          <w:color w:val="auto"/>
        </w:rPr>
        <w:t>公开招标</w:t>
      </w:r>
    </w:p>
    <w:p w14:paraId="4266C306">
      <w:pPr>
        <w:pStyle w:val="26"/>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4、</w:t>
      </w:r>
      <w:r>
        <w:rPr>
          <w:rFonts w:hint="eastAsia" w:ascii="微软雅黑" w:hAnsi="微软雅黑" w:eastAsia="微软雅黑" w:cs="微软雅黑"/>
          <w:color w:val="auto"/>
        </w:rPr>
        <w:t>预算金额：</w:t>
      </w:r>
      <w:r>
        <w:rPr>
          <w:rFonts w:hint="eastAsia" w:ascii="微软雅黑" w:hAnsi="微软雅黑" w:eastAsia="微软雅黑" w:cs="微软雅黑"/>
          <w:color w:val="auto"/>
          <w:lang w:val="en-US" w:eastAsia="zh-CN"/>
        </w:rPr>
        <w:t>440万</w:t>
      </w:r>
      <w:r>
        <w:rPr>
          <w:rFonts w:hint="eastAsia" w:ascii="微软雅黑" w:hAnsi="微软雅黑" w:eastAsia="微软雅黑" w:cs="微软雅黑"/>
          <w:color w:val="auto"/>
        </w:rPr>
        <w:t>元</w:t>
      </w:r>
    </w:p>
    <w:p w14:paraId="1B8B8FD4">
      <w:pPr>
        <w:pStyle w:val="26"/>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5、</w:t>
      </w:r>
      <w:r>
        <w:rPr>
          <w:rFonts w:hint="eastAsia" w:ascii="微软雅黑" w:hAnsi="微软雅黑" w:eastAsia="微软雅黑" w:cs="微软雅黑"/>
          <w:color w:val="auto"/>
        </w:rPr>
        <w:t>采购需求：</w:t>
      </w:r>
    </w:p>
    <w:p w14:paraId="75B53207">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第一包：采购高档彩色多普勒超声波诊断仪1台、便携式彩色多普勒超声1台，预算金额240万；</w:t>
      </w:r>
    </w:p>
    <w:p w14:paraId="56DC3FFB">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第二包：采购高端心脏彩色多普勒超声诊断仪（1套），预算金额200万。</w:t>
      </w:r>
    </w:p>
    <w:p w14:paraId="446060D5">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ascii="微软雅黑" w:hAnsi="微软雅黑" w:eastAsia="微软雅黑" w:cs="微软雅黑"/>
          <w:b/>
          <w:bCs/>
          <w:color w:val="auto"/>
        </w:rPr>
      </w:pPr>
      <w:r>
        <w:rPr>
          <w:rFonts w:hint="eastAsia" w:ascii="微软雅黑" w:hAnsi="微软雅黑" w:eastAsia="微软雅黑" w:cs="微软雅黑"/>
          <w:b/>
          <w:bCs/>
          <w:color w:val="auto"/>
        </w:rPr>
        <w:t>（具体</w:t>
      </w:r>
      <w:r>
        <w:rPr>
          <w:rFonts w:hint="eastAsia" w:ascii="微软雅黑" w:hAnsi="微软雅黑" w:eastAsia="微软雅黑" w:cs="微软雅黑"/>
          <w:b/>
          <w:bCs/>
          <w:color w:val="auto"/>
          <w:lang w:eastAsia="zh-CN"/>
        </w:rPr>
        <w:t>数量及技术</w:t>
      </w:r>
      <w:r>
        <w:rPr>
          <w:rFonts w:hint="eastAsia" w:ascii="微软雅黑" w:hAnsi="微软雅黑" w:eastAsia="微软雅黑" w:cs="微软雅黑"/>
          <w:b/>
          <w:bCs/>
          <w:color w:val="auto"/>
        </w:rPr>
        <w:t>规格要求详见招标文件）</w:t>
      </w:r>
    </w:p>
    <w:p w14:paraId="411B312F">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hint="default"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6、</w:t>
      </w:r>
      <w:r>
        <w:rPr>
          <w:rFonts w:hint="eastAsia" w:ascii="微软雅黑" w:hAnsi="微软雅黑" w:eastAsia="微软雅黑" w:cs="微软雅黑"/>
          <w:color w:val="auto"/>
          <w:highlight w:val="none"/>
        </w:rPr>
        <w:t>资金来源：</w:t>
      </w:r>
      <w:r>
        <w:rPr>
          <w:rFonts w:hint="eastAsia" w:ascii="微软雅黑" w:hAnsi="微软雅黑" w:eastAsia="微软雅黑" w:cs="微软雅黑"/>
          <w:color w:val="auto"/>
          <w:highlight w:val="none"/>
          <w:lang w:val="en-US" w:eastAsia="zh-CN"/>
        </w:rPr>
        <w:t>中央预算内资金</w:t>
      </w:r>
    </w:p>
    <w:p w14:paraId="43926AE0">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lang w:val="en-US" w:eastAsia="zh-CN"/>
        </w:rPr>
        <w:t>7、</w:t>
      </w:r>
      <w:r>
        <w:rPr>
          <w:rFonts w:hint="eastAsia" w:ascii="微软雅黑" w:hAnsi="微软雅黑" w:eastAsia="微软雅黑" w:cs="微软雅黑"/>
          <w:color w:val="auto"/>
        </w:rPr>
        <w:t>本项目</w:t>
      </w:r>
      <w:r>
        <w:rPr>
          <w:rFonts w:hint="eastAsia" w:ascii="微软雅黑" w:hAnsi="微软雅黑" w:eastAsia="微软雅黑" w:cs="微软雅黑"/>
          <w:color w:val="auto"/>
          <w:lang w:eastAsia="zh-CN"/>
        </w:rPr>
        <w:t>不</w:t>
      </w:r>
      <w:r>
        <w:rPr>
          <w:rFonts w:hint="eastAsia" w:ascii="微软雅黑" w:hAnsi="微软雅黑" w:eastAsia="微软雅黑" w:cs="微软雅黑"/>
          <w:color w:val="auto"/>
        </w:rPr>
        <w:t>接受联合体投标。  </w:t>
      </w:r>
    </w:p>
    <w:p w14:paraId="717E5D71">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ascii="微软雅黑" w:hAnsi="微软雅黑" w:eastAsia="微软雅黑" w:cs="微软雅黑"/>
          <w:b/>
          <w:bCs/>
          <w:color w:val="auto"/>
        </w:rPr>
      </w:pPr>
      <w:r>
        <w:rPr>
          <w:rFonts w:hint="eastAsia" w:ascii="微软雅黑" w:hAnsi="微软雅黑" w:eastAsia="微软雅黑" w:cs="微软雅黑"/>
          <w:b/>
          <w:bCs/>
          <w:color w:val="auto"/>
        </w:rPr>
        <w:t>二、申请人的资格要求：</w:t>
      </w:r>
    </w:p>
    <w:p w14:paraId="16AA654C">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1、满足《中华人民共和国政府采购法》第二十二条规定；</w:t>
      </w:r>
    </w:p>
    <w:p w14:paraId="33C30BF7">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①具有独立承担民事责任的能力；（投标时，提供在中华人民共和国境内注册的法人或其他组织的营业执照或事业单位法人证书或社会团体法人登记证书）；</w:t>
      </w:r>
    </w:p>
    <w:p w14:paraId="35EC757C">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②提供法定代表人资格证明及授权书、被授权人身份证；(法定代表人投标需提供法定代表人身份证)；</w:t>
      </w:r>
    </w:p>
    <w:p w14:paraId="7588D48C">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③提供本单位依法缴纳近三个月内任意一个月的社会保险证明（新成立公司提供相关证明文件）；</w:t>
      </w:r>
    </w:p>
    <w:p w14:paraId="35FDD780">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④提供税务部门出具的本单位近六个月内任意一个月的完税证明（零申报需加盖税务机关章）；</w:t>
      </w:r>
    </w:p>
    <w:p w14:paraId="415330A7">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⑤ 提供近两年任意一年完整的财务审计报告（新成立公司不足一年的提供近三个月内有效的银行资信证明）；</w:t>
      </w:r>
    </w:p>
    <w:p w14:paraId="210A2E1E">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⑥参与政府采购活动前3年内未被列入失信、重大税收违法案件、财政部门禁止参加政府采购活动的承诺书；</w:t>
      </w:r>
    </w:p>
    <w:p w14:paraId="302A259D">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⑦提供针对本次项目的反商业贿赂承诺书；</w:t>
      </w:r>
    </w:p>
    <w:p w14:paraId="4BCC6893">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截图并加盖公章）。</w:t>
      </w:r>
    </w:p>
    <w:p w14:paraId="363D609F">
      <w:pPr>
        <w:pStyle w:val="26"/>
        <w:keepNext w:val="0"/>
        <w:keepLines w:val="0"/>
        <w:pageBreakBefore w:val="0"/>
        <w:widowControl/>
        <w:numPr>
          <w:ilvl w:val="0"/>
          <w:numId w:val="10"/>
        </w:numPr>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落实政府采购政策需满足的资格要求：</w:t>
      </w:r>
      <w:r>
        <w:rPr>
          <w:rFonts w:hint="eastAsia" w:ascii="微软雅黑" w:hAnsi="微软雅黑" w:eastAsia="微软雅黑" w:cs="微软雅黑"/>
          <w:color w:val="auto"/>
          <w:lang w:eastAsia="zh-CN"/>
        </w:rPr>
        <w:t>无</w:t>
      </w:r>
      <w:r>
        <w:rPr>
          <w:rFonts w:hint="eastAsia" w:ascii="微软雅黑" w:hAnsi="微软雅黑" w:eastAsia="微软雅黑" w:cs="微软雅黑"/>
          <w:color w:val="auto"/>
          <w:lang w:val="en-US" w:eastAsia="zh-CN"/>
        </w:rPr>
        <w:t>；</w:t>
      </w:r>
    </w:p>
    <w:p w14:paraId="4240C71B">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3、本项目的特定资格要求：</w:t>
      </w:r>
      <w:r>
        <w:rPr>
          <w:rFonts w:hint="eastAsia" w:ascii="微软雅黑" w:hAnsi="微软雅黑" w:eastAsia="微软雅黑" w:cs="微软雅黑"/>
          <w:color w:val="auto"/>
          <w:lang w:val="en-US" w:eastAsia="zh-CN"/>
        </w:rPr>
        <w:t>供应商为制造商的须提供《医疗器械生产许可证》、所投产品的《医疗器械产品注册证》；供应商为经销商的须提供包含所投产品相应经营范围的《医疗器械经营许可证》或《医疗器械经营备案凭证》。供应商所投产品非医疗器械的，无需提供。</w:t>
      </w:r>
    </w:p>
    <w:p w14:paraId="541D84D8">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ascii="微软雅黑" w:hAnsi="微软雅黑" w:eastAsia="微软雅黑" w:cs="微软雅黑"/>
          <w:b/>
          <w:bCs/>
          <w:color w:val="auto"/>
        </w:rPr>
      </w:pPr>
      <w:r>
        <w:rPr>
          <w:rFonts w:hint="eastAsia" w:ascii="微软雅黑" w:hAnsi="微软雅黑" w:eastAsia="微软雅黑" w:cs="微软雅黑"/>
          <w:b/>
          <w:bCs/>
          <w:color w:val="auto"/>
        </w:rPr>
        <w:t>三、获取采购文件</w:t>
      </w:r>
    </w:p>
    <w:p w14:paraId="5CE8D12A">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458" w:leftChars="218"/>
        <w:textAlignment w:val="auto"/>
        <w:rPr>
          <w:rFonts w:ascii="微软雅黑" w:hAnsi="微软雅黑" w:eastAsia="微软雅黑" w:cs="微软雅黑"/>
          <w:color w:val="auto"/>
        </w:rPr>
      </w:pPr>
      <w:r>
        <w:rPr>
          <w:rFonts w:hint="eastAsia" w:ascii="微软雅黑" w:hAnsi="微软雅黑" w:eastAsia="微软雅黑" w:cs="微软雅黑"/>
          <w:color w:val="auto"/>
        </w:rPr>
        <w:t> 时间：</w:t>
      </w:r>
      <w:r>
        <w:rPr>
          <w:rFonts w:hint="eastAsia" w:ascii="微软雅黑" w:hAnsi="微软雅黑" w:eastAsia="微软雅黑" w:cs="微软雅黑"/>
          <w:color w:val="auto"/>
          <w:highlight w:val="none"/>
        </w:rPr>
        <w:t>202</w:t>
      </w:r>
      <w:r>
        <w:rPr>
          <w:rFonts w:hint="eastAsia" w:ascii="微软雅黑" w:hAnsi="微软雅黑" w:eastAsia="微软雅黑" w:cs="微软雅黑"/>
          <w:color w:val="auto"/>
          <w:highlight w:val="none"/>
          <w:lang w:val="en-US" w:eastAsia="zh-CN"/>
        </w:rPr>
        <w:t>6</w:t>
      </w:r>
      <w:r>
        <w:rPr>
          <w:rFonts w:hint="eastAsia" w:ascii="微软雅黑" w:hAnsi="微软雅黑" w:eastAsia="微软雅黑" w:cs="微软雅黑"/>
          <w:color w:val="auto"/>
          <w:highlight w:val="none"/>
        </w:rPr>
        <w:t>年</w:t>
      </w: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月</w:t>
      </w:r>
      <w:r>
        <w:rPr>
          <w:rFonts w:hint="eastAsia" w:ascii="微软雅黑" w:hAnsi="微软雅黑" w:eastAsia="微软雅黑" w:cs="微软雅黑"/>
          <w:color w:val="auto"/>
          <w:highlight w:val="none"/>
          <w:lang w:val="en-US" w:eastAsia="zh-CN"/>
        </w:rPr>
        <w:t xml:space="preserve">6 </w:t>
      </w:r>
      <w:r>
        <w:rPr>
          <w:rFonts w:hint="eastAsia" w:ascii="微软雅黑" w:hAnsi="微软雅黑" w:eastAsia="微软雅黑" w:cs="微软雅黑"/>
          <w:color w:val="auto"/>
          <w:highlight w:val="none"/>
        </w:rPr>
        <w:t>日至202</w:t>
      </w:r>
      <w:r>
        <w:rPr>
          <w:rFonts w:hint="eastAsia" w:ascii="微软雅黑" w:hAnsi="微软雅黑" w:eastAsia="微软雅黑" w:cs="微软雅黑"/>
          <w:color w:val="auto"/>
          <w:highlight w:val="none"/>
          <w:lang w:val="en-US" w:eastAsia="zh-CN"/>
        </w:rPr>
        <w:t>6</w:t>
      </w:r>
      <w:r>
        <w:rPr>
          <w:rFonts w:hint="eastAsia" w:ascii="微软雅黑" w:hAnsi="微软雅黑" w:eastAsia="微软雅黑" w:cs="微软雅黑"/>
          <w:color w:val="auto"/>
          <w:highlight w:val="none"/>
        </w:rPr>
        <w:t>年</w:t>
      </w: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月</w:t>
      </w:r>
      <w:r>
        <w:rPr>
          <w:rFonts w:hint="eastAsia" w:ascii="微软雅黑" w:hAnsi="微软雅黑" w:eastAsia="微软雅黑" w:cs="微软雅黑"/>
          <w:color w:val="auto"/>
          <w:highlight w:val="none"/>
          <w:lang w:val="en-US" w:eastAsia="zh-CN"/>
        </w:rPr>
        <w:t>12</w:t>
      </w:r>
      <w:r>
        <w:rPr>
          <w:rFonts w:hint="eastAsia" w:ascii="微软雅黑" w:hAnsi="微软雅黑" w:eastAsia="微软雅黑" w:cs="微软雅黑"/>
          <w:color w:val="auto"/>
          <w:highlight w:val="none"/>
        </w:rPr>
        <w:t>日，每</w:t>
      </w:r>
      <w:r>
        <w:rPr>
          <w:rFonts w:hint="eastAsia" w:ascii="微软雅黑" w:hAnsi="微软雅黑" w:eastAsia="微软雅黑" w:cs="微软雅黑"/>
          <w:color w:val="auto"/>
        </w:rPr>
        <w:t>天上午</w:t>
      </w:r>
      <w:r>
        <w:rPr>
          <w:rFonts w:hint="eastAsia" w:ascii="微软雅黑" w:hAnsi="微软雅黑" w:eastAsia="微软雅黑" w:cs="微软雅黑"/>
          <w:color w:val="auto"/>
          <w:lang w:val="en-US" w:eastAsia="zh-CN"/>
        </w:rPr>
        <w:t>00</w:t>
      </w:r>
      <w:r>
        <w:rPr>
          <w:rFonts w:hint="eastAsia" w:ascii="微软雅黑" w:hAnsi="微软雅黑" w:eastAsia="微软雅黑" w:cs="微软雅黑"/>
          <w:color w:val="auto"/>
        </w:rPr>
        <w:t>:00至</w:t>
      </w:r>
      <w:r>
        <w:rPr>
          <w:rFonts w:hint="eastAsia" w:ascii="微软雅黑" w:hAnsi="微软雅黑" w:eastAsia="微软雅黑" w:cs="微软雅黑"/>
          <w:color w:val="auto"/>
          <w:lang w:val="en-US" w:eastAsia="zh-CN"/>
        </w:rPr>
        <w:t>14</w:t>
      </w:r>
      <w:r>
        <w:rPr>
          <w:rFonts w:hint="eastAsia" w:ascii="微软雅黑" w:hAnsi="微软雅黑" w:eastAsia="微软雅黑" w:cs="微软雅黑"/>
          <w:color w:val="auto"/>
        </w:rPr>
        <w:t>:00，下午</w:t>
      </w:r>
      <w:r>
        <w:rPr>
          <w:rFonts w:hint="eastAsia" w:ascii="微软雅黑" w:hAnsi="微软雅黑" w:eastAsia="微软雅黑" w:cs="微软雅黑"/>
          <w:color w:val="auto"/>
          <w:lang w:val="en-US" w:eastAsia="zh-CN"/>
        </w:rPr>
        <w:t>14</w:t>
      </w:r>
      <w:r>
        <w:rPr>
          <w:rFonts w:hint="eastAsia" w:ascii="微软雅黑" w:hAnsi="微软雅黑" w:eastAsia="微软雅黑" w:cs="微软雅黑"/>
          <w:color w:val="auto"/>
        </w:rPr>
        <w:t>:</w:t>
      </w:r>
      <w:r>
        <w:rPr>
          <w:rFonts w:hint="eastAsia" w:ascii="微软雅黑" w:hAnsi="微软雅黑" w:eastAsia="微软雅黑" w:cs="微软雅黑"/>
          <w:color w:val="auto"/>
          <w:lang w:val="en-US" w:eastAsia="zh-CN"/>
        </w:rPr>
        <w:t>0</w:t>
      </w:r>
      <w:r>
        <w:rPr>
          <w:rFonts w:hint="eastAsia" w:ascii="微软雅黑" w:hAnsi="微软雅黑" w:eastAsia="微软雅黑" w:cs="微软雅黑"/>
          <w:color w:val="auto"/>
        </w:rPr>
        <w:t>0至</w:t>
      </w:r>
      <w:r>
        <w:rPr>
          <w:rFonts w:hint="eastAsia" w:ascii="微软雅黑" w:hAnsi="微软雅黑" w:eastAsia="微软雅黑" w:cs="微软雅黑"/>
          <w:color w:val="auto"/>
          <w:lang w:val="en-US" w:eastAsia="zh-CN"/>
        </w:rPr>
        <w:t>23</w:t>
      </w:r>
      <w:r>
        <w:rPr>
          <w:rFonts w:hint="eastAsia" w:ascii="微软雅黑" w:hAnsi="微软雅黑" w:eastAsia="微软雅黑" w:cs="微软雅黑"/>
          <w:color w:val="auto"/>
        </w:rPr>
        <w:t>:</w:t>
      </w:r>
      <w:r>
        <w:rPr>
          <w:rFonts w:hint="eastAsia" w:ascii="微软雅黑" w:hAnsi="微软雅黑" w:eastAsia="微软雅黑" w:cs="微软雅黑"/>
          <w:color w:val="auto"/>
          <w:lang w:val="en-US" w:eastAsia="zh-CN"/>
        </w:rPr>
        <w:t>59</w:t>
      </w:r>
      <w:r>
        <w:rPr>
          <w:rFonts w:hint="eastAsia" w:ascii="微软雅黑" w:hAnsi="微软雅黑" w:eastAsia="微软雅黑" w:cs="微软雅黑"/>
          <w:color w:val="auto"/>
        </w:rPr>
        <w:t>（北京时间，法定节假日除外）</w:t>
      </w:r>
      <w:r>
        <w:rPr>
          <w:rFonts w:hint="eastAsia" w:ascii="微软雅黑" w:hAnsi="微软雅黑" w:eastAsia="微软雅黑" w:cs="微软雅黑"/>
          <w:color w:val="auto"/>
          <w:lang w:val="en-US" w:eastAsia="zh-CN"/>
        </w:rPr>
        <w:t>；</w:t>
      </w:r>
    </w:p>
    <w:p w14:paraId="265B4249">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地点：政采云平台（https://www.zcygov.cn/） </w:t>
      </w:r>
    </w:p>
    <w:p w14:paraId="34B0F4C5">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方式：（1）线上获取（登录政府采购云平台 → 项目采购 → 获取招标文件）。（2）供应商获取招标文件前应注册成为政府采购云平台正式供应商。</w:t>
      </w:r>
    </w:p>
    <w:p w14:paraId="30E052B7">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ascii="微软雅黑" w:hAnsi="微软雅黑" w:eastAsia="微软雅黑" w:cs="微软雅黑"/>
          <w:b/>
          <w:bCs/>
          <w:color w:val="auto"/>
        </w:rPr>
      </w:pPr>
      <w:r>
        <w:rPr>
          <w:rFonts w:hint="eastAsia" w:ascii="微软雅黑" w:hAnsi="微软雅黑" w:eastAsia="微软雅黑" w:cs="微软雅黑"/>
          <w:b/>
          <w:bCs/>
          <w:color w:val="auto"/>
        </w:rPr>
        <w:t>四、投标文件提交 </w:t>
      </w:r>
    </w:p>
    <w:p w14:paraId="539CE034">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截止时间：</w:t>
      </w:r>
      <w:r>
        <w:rPr>
          <w:rFonts w:hint="eastAsia" w:ascii="微软雅黑" w:hAnsi="微软雅黑" w:eastAsia="微软雅黑" w:cs="微软雅黑"/>
          <w:color w:val="auto"/>
          <w:highlight w:val="none"/>
        </w:rPr>
        <w:t>202</w:t>
      </w:r>
      <w:r>
        <w:rPr>
          <w:rFonts w:hint="eastAsia" w:ascii="微软雅黑" w:hAnsi="微软雅黑" w:eastAsia="微软雅黑" w:cs="微软雅黑"/>
          <w:color w:val="auto"/>
          <w:highlight w:val="none"/>
          <w:lang w:val="en-US" w:eastAsia="zh-CN"/>
        </w:rPr>
        <w:t>6</w:t>
      </w:r>
      <w:r>
        <w:rPr>
          <w:rFonts w:hint="eastAsia" w:ascii="微软雅黑" w:hAnsi="微软雅黑" w:eastAsia="微软雅黑" w:cs="微软雅黑"/>
          <w:color w:val="auto"/>
          <w:highlight w:val="none"/>
        </w:rPr>
        <w:t>年</w:t>
      </w: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月</w:t>
      </w:r>
      <w:r>
        <w:rPr>
          <w:rFonts w:hint="eastAsia" w:ascii="微软雅黑" w:hAnsi="微软雅黑" w:eastAsia="微软雅黑" w:cs="微软雅黑"/>
          <w:color w:val="auto"/>
          <w:highlight w:val="none"/>
          <w:lang w:val="en-US" w:eastAsia="zh-CN"/>
        </w:rPr>
        <w:t>26</w:t>
      </w:r>
      <w:r>
        <w:rPr>
          <w:rFonts w:hint="eastAsia" w:ascii="微软雅黑" w:hAnsi="微软雅黑" w:eastAsia="微软雅黑" w:cs="微软雅黑"/>
          <w:color w:val="auto"/>
          <w:highlight w:val="none"/>
        </w:rPr>
        <w:t>日 1</w:t>
      </w:r>
      <w:r>
        <w:rPr>
          <w:rFonts w:hint="eastAsia" w:ascii="微软雅黑" w:hAnsi="微软雅黑" w:eastAsia="微软雅黑" w:cs="微软雅黑"/>
          <w:color w:val="auto"/>
          <w:highlight w:val="none"/>
          <w:lang w:val="en-US" w:eastAsia="zh-CN"/>
        </w:rPr>
        <w:t>1</w:t>
      </w: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00</w:t>
      </w:r>
      <w:r>
        <w:rPr>
          <w:rFonts w:hint="eastAsia" w:ascii="微软雅黑" w:hAnsi="微软雅黑" w:eastAsia="微软雅黑" w:cs="微软雅黑"/>
          <w:color w:val="auto"/>
          <w:highlight w:val="none"/>
        </w:rPr>
        <w:t>（北京时间）</w:t>
      </w:r>
    </w:p>
    <w:p w14:paraId="0466474A">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地点：政采云平台（https://www.zcygov.cn/）</w:t>
      </w:r>
    </w:p>
    <w:p w14:paraId="2E008FA1">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ascii="微软雅黑" w:hAnsi="微软雅黑" w:eastAsia="微软雅黑" w:cs="微软雅黑"/>
          <w:b/>
          <w:bCs/>
          <w:color w:val="auto"/>
        </w:rPr>
      </w:pPr>
      <w:r>
        <w:rPr>
          <w:rFonts w:hint="eastAsia" w:ascii="微软雅黑" w:hAnsi="微软雅黑" w:eastAsia="微软雅黑" w:cs="微软雅黑"/>
          <w:b/>
          <w:bCs/>
          <w:color w:val="auto"/>
        </w:rPr>
        <w:t>五、投标文件开启 </w:t>
      </w:r>
    </w:p>
    <w:p w14:paraId="0CC71A2B">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xml:space="preserve">  </w:t>
      </w:r>
      <w:r>
        <w:rPr>
          <w:rFonts w:hint="eastAsia" w:ascii="微软雅黑" w:hAnsi="微软雅黑" w:eastAsia="微软雅黑" w:cs="微软雅黑"/>
          <w:color w:val="auto"/>
          <w:highlight w:val="none"/>
        </w:rPr>
        <w:t>开启时间：202</w:t>
      </w:r>
      <w:r>
        <w:rPr>
          <w:rFonts w:hint="eastAsia" w:ascii="微软雅黑" w:hAnsi="微软雅黑" w:eastAsia="微软雅黑" w:cs="微软雅黑"/>
          <w:color w:val="auto"/>
          <w:highlight w:val="none"/>
          <w:lang w:val="en-US" w:eastAsia="zh-CN"/>
        </w:rPr>
        <w:t>6</w:t>
      </w:r>
      <w:r>
        <w:rPr>
          <w:rFonts w:hint="eastAsia" w:ascii="微软雅黑" w:hAnsi="微软雅黑" w:eastAsia="微软雅黑" w:cs="微软雅黑"/>
          <w:color w:val="auto"/>
          <w:highlight w:val="none"/>
        </w:rPr>
        <w:t>年</w:t>
      </w: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月</w:t>
      </w:r>
      <w:r>
        <w:rPr>
          <w:rFonts w:hint="eastAsia" w:ascii="微软雅黑" w:hAnsi="微软雅黑" w:eastAsia="微软雅黑" w:cs="微软雅黑"/>
          <w:color w:val="auto"/>
          <w:highlight w:val="none"/>
          <w:lang w:val="en-US" w:eastAsia="zh-CN"/>
        </w:rPr>
        <w:t>26</w:t>
      </w:r>
      <w:r>
        <w:rPr>
          <w:rFonts w:hint="eastAsia" w:ascii="微软雅黑" w:hAnsi="微软雅黑" w:eastAsia="微软雅黑" w:cs="微软雅黑"/>
          <w:color w:val="auto"/>
          <w:highlight w:val="none"/>
        </w:rPr>
        <w:t>日1</w:t>
      </w:r>
      <w:r>
        <w:rPr>
          <w:rFonts w:hint="eastAsia" w:ascii="微软雅黑" w:hAnsi="微软雅黑" w:eastAsia="微软雅黑" w:cs="微软雅黑"/>
          <w:color w:val="auto"/>
          <w:highlight w:val="none"/>
          <w:lang w:val="en-US" w:eastAsia="zh-CN"/>
        </w:rPr>
        <w:t>1</w:t>
      </w: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00</w:t>
      </w:r>
      <w:r>
        <w:rPr>
          <w:rFonts w:hint="eastAsia" w:ascii="微软雅黑" w:hAnsi="微软雅黑" w:eastAsia="微软雅黑" w:cs="微软雅黑"/>
          <w:color w:val="auto"/>
          <w:highlight w:val="none"/>
        </w:rPr>
        <w:t>（北京时间）</w:t>
      </w:r>
    </w:p>
    <w:p w14:paraId="0E04BC5E">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地点：政采云平台（https://www.zcygov.cn/）</w:t>
      </w:r>
    </w:p>
    <w:p w14:paraId="064FF581">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ascii="微软雅黑" w:hAnsi="微软雅黑" w:eastAsia="微软雅黑" w:cs="微软雅黑"/>
          <w:b/>
          <w:bCs/>
          <w:color w:val="auto"/>
        </w:rPr>
      </w:pPr>
      <w:r>
        <w:rPr>
          <w:rFonts w:hint="eastAsia" w:ascii="微软雅黑" w:hAnsi="微软雅黑" w:eastAsia="微软雅黑" w:cs="微软雅黑"/>
          <w:b/>
          <w:bCs/>
          <w:color w:val="auto"/>
        </w:rPr>
        <w:t>六、公告期限</w:t>
      </w:r>
    </w:p>
    <w:p w14:paraId="48B64ABE">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自本公告发布之日起5个工作日。</w:t>
      </w:r>
    </w:p>
    <w:p w14:paraId="063983B0">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ascii="微软雅黑" w:hAnsi="微软雅黑" w:eastAsia="微软雅黑" w:cs="微软雅黑"/>
          <w:color w:val="auto"/>
        </w:rPr>
      </w:pPr>
      <w:r>
        <w:rPr>
          <w:rFonts w:hint="eastAsia" w:ascii="微软雅黑" w:hAnsi="微软雅黑" w:eastAsia="微软雅黑" w:cs="微软雅黑"/>
          <w:b/>
          <w:bCs/>
          <w:color w:val="auto"/>
        </w:rPr>
        <w:t>七、其他补充事宜</w:t>
      </w:r>
      <w:r>
        <w:rPr>
          <w:rFonts w:hint="eastAsia" w:ascii="微软雅黑" w:hAnsi="微软雅黑" w:eastAsia="微软雅黑" w:cs="微软雅黑"/>
          <w:color w:val="auto"/>
        </w:rPr>
        <w:t> </w:t>
      </w:r>
    </w:p>
    <w:p w14:paraId="584CC891">
      <w:pPr>
        <w:keepNext w:val="0"/>
        <w:keepLines w:val="0"/>
        <w:pageBreakBefore w:val="0"/>
        <w:kinsoku/>
        <w:wordWrap/>
        <w:overflowPunct/>
        <w:topLinePunct w:val="0"/>
        <w:autoSpaceDE/>
        <w:autoSpaceDN/>
        <w:bidi w:val="0"/>
        <w:adjustRightInd/>
        <w:snapToGrid/>
        <w:spacing w:line="240" w:lineRule="auto"/>
        <w:ind w:firstLine="540"/>
        <w:textAlignment w:val="auto"/>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4F5FCA5A">
      <w:pPr>
        <w:keepNext w:val="0"/>
        <w:keepLines w:val="0"/>
        <w:pageBreakBefore w:val="0"/>
        <w:kinsoku/>
        <w:wordWrap/>
        <w:overflowPunct/>
        <w:topLinePunct w:val="0"/>
        <w:autoSpaceDE/>
        <w:autoSpaceDN/>
        <w:bidi w:val="0"/>
        <w:adjustRightInd/>
        <w:snapToGrid/>
        <w:spacing w:line="240" w:lineRule="auto"/>
        <w:ind w:firstLine="540"/>
        <w:textAlignment w:val="auto"/>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2.本项目实行网上投标，采用电子投标文件(供应商须使用CA加密设备通过政采云电子投标客户端制作投标文件)。若供应商参与投标，自行承担投标一切费用。</w:t>
      </w:r>
    </w:p>
    <w:p w14:paraId="78DAF5CD">
      <w:pPr>
        <w:keepNext w:val="0"/>
        <w:keepLines w:val="0"/>
        <w:pageBreakBefore w:val="0"/>
        <w:kinsoku/>
        <w:wordWrap/>
        <w:overflowPunct/>
        <w:topLinePunct w:val="0"/>
        <w:autoSpaceDE/>
        <w:autoSpaceDN/>
        <w:bidi w:val="0"/>
        <w:adjustRightInd/>
        <w:snapToGrid/>
        <w:spacing w:line="240" w:lineRule="auto"/>
        <w:ind w:firstLine="540"/>
        <w:textAlignment w:val="auto"/>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14:paraId="7AA98C7F">
      <w:pPr>
        <w:keepNext w:val="0"/>
        <w:keepLines w:val="0"/>
        <w:pageBreakBefore w:val="0"/>
        <w:kinsoku/>
        <w:wordWrap/>
        <w:overflowPunct/>
        <w:topLinePunct w:val="0"/>
        <w:autoSpaceDE/>
        <w:autoSpaceDN/>
        <w:bidi w:val="0"/>
        <w:adjustRightInd/>
        <w:snapToGrid/>
        <w:spacing w:line="240" w:lineRule="auto"/>
        <w:ind w:firstLine="540"/>
        <w:textAlignment w:val="auto"/>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4191046B">
      <w:pPr>
        <w:keepNext w:val="0"/>
        <w:keepLines w:val="0"/>
        <w:pageBreakBefore w:val="0"/>
        <w:kinsoku/>
        <w:wordWrap/>
        <w:overflowPunct/>
        <w:topLinePunct w:val="0"/>
        <w:autoSpaceDE/>
        <w:autoSpaceDN/>
        <w:bidi w:val="0"/>
        <w:adjustRightInd/>
        <w:snapToGrid/>
        <w:spacing w:line="240" w:lineRule="auto"/>
        <w:ind w:firstLine="540"/>
        <w:textAlignment w:val="auto"/>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5.供应商在开标时须使用制作加密电子投标文件所使用的CA锁及电脑，电脑须提前配置好浏览器（建议使用谷歌浏览器），以便开标时解锁。</w:t>
      </w:r>
    </w:p>
    <w:p w14:paraId="42786EC0">
      <w:pPr>
        <w:keepNext w:val="0"/>
        <w:keepLines w:val="0"/>
        <w:pageBreakBefore w:val="0"/>
        <w:kinsoku/>
        <w:wordWrap/>
        <w:overflowPunct/>
        <w:topLinePunct w:val="0"/>
        <w:autoSpaceDE/>
        <w:autoSpaceDN/>
        <w:bidi w:val="0"/>
        <w:adjustRightInd/>
        <w:snapToGrid/>
        <w:spacing w:line="240" w:lineRule="auto"/>
        <w:ind w:firstLine="540"/>
        <w:textAlignment w:val="auto"/>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14853F77">
      <w:pPr>
        <w:keepNext w:val="0"/>
        <w:keepLines w:val="0"/>
        <w:pageBreakBefore w:val="0"/>
        <w:widowControl w:val="0"/>
        <w:kinsoku/>
        <w:wordWrap w:val="0"/>
        <w:overflowPunct/>
        <w:topLinePunct w:val="0"/>
        <w:autoSpaceDE/>
        <w:autoSpaceDN/>
        <w:bidi w:val="0"/>
        <w:adjustRightInd/>
        <w:snapToGrid/>
        <w:spacing w:line="240" w:lineRule="auto"/>
        <w:ind w:firstLine="539"/>
        <w:textAlignment w:val="auto"/>
        <w:rPr>
          <w:rFonts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368895CB">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ascii="微软雅黑" w:hAnsi="微软雅黑" w:eastAsia="微软雅黑" w:cs="微软雅黑"/>
          <w:b/>
          <w:bCs/>
          <w:color w:val="auto"/>
        </w:rPr>
      </w:pPr>
      <w:r>
        <w:rPr>
          <w:rFonts w:hint="eastAsia" w:ascii="微软雅黑" w:hAnsi="微软雅黑" w:eastAsia="微软雅黑" w:cs="微软雅黑"/>
          <w:b/>
          <w:bCs/>
          <w:color w:val="auto"/>
        </w:rPr>
        <w:t>特别提示：</w:t>
      </w:r>
    </w:p>
    <w:p w14:paraId="0EC7E14E">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Fonts w:ascii="微软雅黑" w:hAnsi="微软雅黑" w:eastAsia="微软雅黑" w:cs="微软雅黑"/>
          <w:color w:val="auto"/>
          <w:kern w:val="2"/>
        </w:rPr>
      </w:pPr>
      <w:r>
        <w:rPr>
          <w:rFonts w:hint="eastAsia" w:ascii="微软雅黑" w:hAnsi="微软雅黑" w:eastAsia="微软雅黑" w:cs="微软雅黑"/>
          <w:color w:val="auto"/>
        </w:rPr>
        <w:t>1、超过200</w:t>
      </w:r>
      <w:r>
        <w:rPr>
          <w:rFonts w:hint="eastAsia" w:ascii="微软雅黑" w:hAnsi="微软雅黑" w:eastAsia="微软雅黑" w:cs="微软雅黑"/>
          <w:color w:val="auto"/>
          <w:kern w:val="2"/>
        </w:rPr>
        <w:t>万元的货物和服务采购项目、超过400万元的工程采购项目中适宜由中小企业提供的，预留该部分采购项目预算总额的30%以上专门面向中小企业采购，其中预留给小微企业的比例不低于60%。</w:t>
      </w:r>
    </w:p>
    <w:p w14:paraId="4E5F03D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标。适用招标投标法的政府采购工程建设项目，采用综合评估法但未采用低价优先法计算价格分的，评标时应当在采用原报价进行评分的基础上增加其价格得分的6%~10%作为其价格分。</w:t>
      </w:r>
    </w:p>
    <w:p w14:paraId="2FA381D7">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rStyle w:val="37"/>
          <w:rFonts w:ascii="微软雅黑" w:hAnsi="微软雅黑" w:eastAsia="微软雅黑" w:cs="微软雅黑"/>
          <w:color w:val="auto"/>
        </w:rPr>
      </w:pPr>
      <w:r>
        <w:rPr>
          <w:rFonts w:hint="eastAsia" w:ascii="微软雅黑" w:hAnsi="微软雅黑" w:eastAsia="微软雅黑" w:cs="微软雅黑"/>
          <w:color w:val="auto"/>
          <w:kern w:val="2"/>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w:t>
      </w:r>
      <w:r>
        <w:rPr>
          <w:rStyle w:val="37"/>
          <w:rFonts w:hint="eastAsia" w:ascii="微软雅黑" w:hAnsi="微软雅黑" w:eastAsia="微软雅黑" w:cs="微软雅黑"/>
          <w:color w:val="auto"/>
        </w:rPr>
        <w:t>程项目为2%~4%）的扣除，用扣除后的价格参加评标。适用招标投标法的政府采购工程建设项目，采用综合评估法但未采用低价优先法计算价格分的，评标时应当在采用原报价进行评分的基础上增加其价格得分的2%~4%作为其价格分。</w:t>
      </w:r>
    </w:p>
    <w:p w14:paraId="323D8817">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7"/>
          <w:rFonts w:ascii="微软雅黑" w:hAnsi="微软雅黑" w:eastAsia="微软雅黑" w:cs="微软雅黑"/>
          <w:b/>
          <w:bCs/>
          <w:color w:val="auto"/>
        </w:rPr>
      </w:pPr>
      <w:r>
        <w:rPr>
          <w:rStyle w:val="37"/>
          <w:rFonts w:hint="eastAsia" w:ascii="微软雅黑" w:hAnsi="微软雅黑" w:eastAsia="微软雅黑" w:cs="微软雅黑"/>
          <w:b/>
          <w:bCs/>
          <w:color w:val="auto"/>
        </w:rPr>
        <w:t>八、凡对本次招标提出询问，请按以下方式联系</w:t>
      </w:r>
    </w:p>
    <w:p w14:paraId="21136A4C">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20"/>
        <w:textAlignment w:val="auto"/>
        <w:rPr>
          <w:rStyle w:val="37"/>
          <w:rFonts w:ascii="微软雅黑" w:hAnsi="微软雅黑" w:eastAsia="微软雅黑" w:cs="微软雅黑"/>
          <w:color w:val="auto"/>
        </w:rPr>
      </w:pPr>
      <w:r>
        <w:rPr>
          <w:rStyle w:val="37"/>
          <w:rFonts w:hint="eastAsia" w:ascii="微软雅黑" w:hAnsi="微软雅黑" w:eastAsia="微软雅黑" w:cs="微软雅黑"/>
          <w:color w:val="auto"/>
        </w:rPr>
        <w:t>1.采购人信息</w:t>
      </w:r>
    </w:p>
    <w:p w14:paraId="57FA4634">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20"/>
        <w:textAlignment w:val="auto"/>
        <w:rPr>
          <w:rStyle w:val="37"/>
          <w:rFonts w:hint="default" w:ascii="微软雅黑" w:hAnsi="微软雅黑" w:eastAsia="微软雅黑" w:cs="微软雅黑"/>
          <w:color w:val="auto"/>
          <w:lang w:val="en-US" w:eastAsia="zh-CN"/>
        </w:rPr>
      </w:pPr>
      <w:r>
        <w:rPr>
          <w:rStyle w:val="37"/>
          <w:rFonts w:hint="eastAsia" w:ascii="微软雅黑" w:hAnsi="微软雅黑" w:eastAsia="微软雅黑" w:cs="微软雅黑"/>
          <w:color w:val="auto"/>
        </w:rPr>
        <w:t>名</w:t>
      </w:r>
      <w:r>
        <w:rPr>
          <w:rStyle w:val="37"/>
          <w:rFonts w:hint="eastAsia" w:ascii="微软雅黑" w:hAnsi="微软雅黑" w:eastAsia="微软雅黑" w:cs="微软雅黑"/>
          <w:color w:val="auto"/>
          <w:lang w:val="en-US" w:eastAsia="zh-CN"/>
        </w:rPr>
        <w:t xml:space="preserve"> </w:t>
      </w:r>
      <w:r>
        <w:rPr>
          <w:rStyle w:val="37"/>
          <w:rFonts w:hint="eastAsia" w:ascii="微软雅黑" w:hAnsi="微软雅黑" w:eastAsia="微软雅黑" w:cs="微软雅黑"/>
          <w:color w:val="auto"/>
        </w:rPr>
        <w:t xml:space="preserve"> 称：</w:t>
      </w:r>
      <w:r>
        <w:rPr>
          <w:rStyle w:val="37"/>
          <w:rFonts w:hint="eastAsia" w:ascii="微软雅黑" w:hAnsi="微软雅黑" w:eastAsia="微软雅黑" w:cs="微软雅黑"/>
          <w:color w:val="auto"/>
          <w:lang w:val="en-US" w:eastAsia="zh-CN"/>
        </w:rPr>
        <w:t>沙湾市人民医院</w:t>
      </w:r>
    </w:p>
    <w:p w14:paraId="17285439">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20"/>
        <w:textAlignment w:val="auto"/>
        <w:rPr>
          <w:rStyle w:val="37"/>
          <w:rFonts w:hint="default" w:ascii="微软雅黑" w:hAnsi="微软雅黑" w:eastAsia="微软雅黑" w:cs="微软雅黑"/>
          <w:color w:val="auto"/>
          <w:highlight w:val="none"/>
          <w:lang w:val="en-US"/>
        </w:rPr>
      </w:pPr>
      <w:r>
        <w:rPr>
          <w:rStyle w:val="37"/>
          <w:rFonts w:hint="eastAsia" w:ascii="微软雅黑" w:hAnsi="微软雅黑" w:eastAsia="微软雅黑" w:cs="微软雅黑"/>
          <w:color w:val="auto"/>
          <w:highlight w:val="none"/>
          <w:lang w:val="en-US" w:eastAsia="zh-CN"/>
        </w:rPr>
        <w:t>地  址：</w:t>
      </w:r>
      <w:r>
        <w:rPr>
          <w:rFonts w:hint="eastAsia" w:ascii="微软雅黑" w:hAnsi="微软雅黑" w:eastAsia="微软雅黑" w:cs="微软雅黑"/>
          <w:color w:val="auto"/>
          <w:sz w:val="24"/>
          <w:szCs w:val="24"/>
          <w:highlight w:val="none"/>
          <w:lang w:val="en-US" w:eastAsia="zh-CN"/>
        </w:rPr>
        <w:t>塔城地区沙湾市世纪大道南路62号</w:t>
      </w:r>
    </w:p>
    <w:p w14:paraId="330FE4D6">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20"/>
        <w:textAlignment w:val="auto"/>
        <w:rPr>
          <w:rStyle w:val="37"/>
          <w:rFonts w:hint="default" w:ascii="微软雅黑" w:hAnsi="微软雅黑" w:eastAsia="微软雅黑" w:cs="微软雅黑"/>
          <w:color w:val="auto"/>
          <w:highlight w:val="none"/>
          <w:lang w:val="en-US" w:eastAsia="zh-CN"/>
        </w:rPr>
      </w:pPr>
      <w:r>
        <w:rPr>
          <w:rStyle w:val="37"/>
          <w:rFonts w:hint="eastAsia" w:ascii="微软雅黑" w:hAnsi="微软雅黑" w:eastAsia="微软雅黑" w:cs="微软雅黑"/>
          <w:color w:val="auto"/>
          <w:highlight w:val="none"/>
        </w:rPr>
        <w:t xml:space="preserve">联系人： </w:t>
      </w:r>
      <w:r>
        <w:rPr>
          <w:rStyle w:val="37"/>
          <w:rFonts w:hint="eastAsia" w:ascii="微软雅黑" w:hAnsi="微软雅黑" w:eastAsia="微软雅黑" w:cs="微软雅黑"/>
          <w:color w:val="auto"/>
          <w:highlight w:val="none"/>
          <w:lang w:val="en-US" w:eastAsia="zh-CN"/>
        </w:rPr>
        <w:t>韩燕</w:t>
      </w:r>
    </w:p>
    <w:p w14:paraId="6E80C11B">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20"/>
        <w:textAlignment w:val="auto"/>
        <w:rPr>
          <w:rStyle w:val="37"/>
          <w:rFonts w:hint="default" w:ascii="微软雅黑" w:hAnsi="微软雅黑" w:eastAsia="微软雅黑" w:cs="微软雅黑"/>
          <w:color w:val="auto"/>
          <w:lang w:val="en-US" w:eastAsia="zh-CN"/>
        </w:rPr>
      </w:pPr>
      <w:r>
        <w:rPr>
          <w:rStyle w:val="37"/>
          <w:rFonts w:hint="eastAsia" w:ascii="微软雅黑" w:hAnsi="微软雅黑" w:eastAsia="微软雅黑" w:cs="微软雅黑"/>
          <w:color w:val="auto"/>
        </w:rPr>
        <w:t>联系方式：</w:t>
      </w:r>
      <w:r>
        <w:rPr>
          <w:rStyle w:val="37"/>
          <w:rFonts w:hint="eastAsia" w:ascii="微软雅黑" w:hAnsi="微软雅黑" w:eastAsia="微软雅黑" w:cs="微软雅黑"/>
          <w:color w:val="auto"/>
          <w:highlight w:val="none"/>
          <w:lang w:val="en-US" w:eastAsia="zh-CN"/>
        </w:rPr>
        <w:t>15909935111</w:t>
      </w:r>
    </w:p>
    <w:p w14:paraId="39D543DE">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20"/>
        <w:textAlignment w:val="auto"/>
        <w:rPr>
          <w:rFonts w:ascii="微软雅黑" w:hAnsi="微软雅黑" w:eastAsia="微软雅黑" w:cs="微软雅黑"/>
          <w:color w:val="auto"/>
        </w:rPr>
      </w:pPr>
      <w:r>
        <w:rPr>
          <w:rFonts w:hint="eastAsia" w:ascii="微软雅黑" w:hAnsi="微软雅黑" w:eastAsia="微软雅黑" w:cs="微软雅黑"/>
          <w:color w:val="auto"/>
        </w:rPr>
        <w:t>2.采购代理机构信息</w:t>
      </w:r>
    </w:p>
    <w:p w14:paraId="021C4759">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20"/>
        <w:textAlignment w:val="auto"/>
        <w:rPr>
          <w:rStyle w:val="37"/>
          <w:rFonts w:hint="default" w:ascii="微软雅黑" w:hAnsi="微软雅黑" w:eastAsia="微软雅黑" w:cs="微软雅黑"/>
          <w:color w:val="auto"/>
          <w:lang w:val="en-US" w:eastAsia="zh-CN"/>
        </w:rPr>
      </w:pPr>
      <w:bookmarkStart w:id="737" w:name="_Toc11627"/>
      <w:bookmarkStart w:id="738" w:name="_Toc24709"/>
      <w:bookmarkStart w:id="739" w:name="_Toc17272"/>
      <w:r>
        <w:rPr>
          <w:rStyle w:val="37"/>
          <w:rFonts w:hint="eastAsia" w:ascii="微软雅黑" w:hAnsi="微软雅黑" w:eastAsia="微软雅黑" w:cs="微软雅黑"/>
          <w:color w:val="auto"/>
        </w:rPr>
        <w:t>名  称：</w:t>
      </w:r>
      <w:bookmarkEnd w:id="737"/>
      <w:bookmarkEnd w:id="738"/>
      <w:bookmarkEnd w:id="739"/>
      <w:bookmarkStart w:id="740" w:name="_Toc7142"/>
      <w:bookmarkStart w:id="741" w:name="_Toc21793"/>
      <w:bookmarkStart w:id="742" w:name="_Toc31217"/>
      <w:r>
        <w:rPr>
          <w:rStyle w:val="37"/>
          <w:rFonts w:hint="eastAsia" w:ascii="微软雅黑" w:hAnsi="微软雅黑" w:eastAsia="微软雅黑" w:cs="微软雅黑"/>
          <w:color w:val="auto"/>
          <w:lang w:val="en-US" w:eastAsia="zh-CN"/>
        </w:rPr>
        <w:t>新疆金之帆项目管理咨询有限公司</w:t>
      </w:r>
    </w:p>
    <w:p w14:paraId="196656AC">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20"/>
        <w:textAlignment w:val="auto"/>
        <w:rPr>
          <w:rStyle w:val="37"/>
          <w:rFonts w:hint="default" w:ascii="微软雅黑" w:hAnsi="微软雅黑" w:eastAsia="微软雅黑" w:cs="微软雅黑"/>
          <w:color w:val="auto"/>
          <w:lang w:val="en-US" w:eastAsia="zh-CN"/>
        </w:rPr>
      </w:pPr>
      <w:r>
        <w:rPr>
          <w:rStyle w:val="37"/>
          <w:rFonts w:hint="eastAsia" w:ascii="微软雅黑" w:hAnsi="微软雅黑" w:eastAsia="微软雅黑" w:cs="微软雅黑"/>
          <w:color w:val="auto"/>
        </w:rPr>
        <w:t>地　址：</w:t>
      </w:r>
      <w:bookmarkEnd w:id="740"/>
      <w:bookmarkEnd w:id="741"/>
      <w:bookmarkEnd w:id="742"/>
      <w:bookmarkStart w:id="743" w:name="_Toc21494"/>
      <w:bookmarkStart w:id="744" w:name="_Toc9618"/>
      <w:bookmarkStart w:id="745" w:name="_Toc9353"/>
      <w:r>
        <w:rPr>
          <w:rStyle w:val="37"/>
          <w:rFonts w:hint="eastAsia" w:ascii="微软雅黑" w:hAnsi="微软雅黑" w:eastAsia="微软雅黑" w:cs="微软雅黑"/>
          <w:color w:val="auto"/>
          <w:lang w:val="en-US" w:eastAsia="zh-CN"/>
        </w:rPr>
        <w:t>乌鲁木齐市沙依巴克区经济技术开发区新疆软件园创智大厦A座23层2302室</w:t>
      </w:r>
    </w:p>
    <w:bookmarkEnd w:id="743"/>
    <w:bookmarkEnd w:id="744"/>
    <w:bookmarkEnd w:id="745"/>
    <w:p w14:paraId="5E7AED2F">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20"/>
        <w:textAlignment w:val="auto"/>
        <w:rPr>
          <w:rStyle w:val="37"/>
          <w:rFonts w:hint="eastAsia" w:ascii="微软雅黑" w:hAnsi="微软雅黑" w:eastAsia="微软雅黑" w:cs="微软雅黑"/>
          <w:color w:val="auto"/>
          <w:lang w:val="en-US" w:eastAsia="zh-CN"/>
        </w:rPr>
      </w:pPr>
      <w:r>
        <w:rPr>
          <w:rStyle w:val="37"/>
          <w:rFonts w:hint="eastAsia" w:ascii="微软雅黑" w:hAnsi="微软雅黑" w:eastAsia="微软雅黑" w:cs="微软雅黑"/>
          <w:color w:val="auto"/>
          <w:lang w:val="en-US" w:eastAsia="zh-CN"/>
        </w:rPr>
        <w:t xml:space="preserve">联系人：马为民      </w:t>
      </w:r>
    </w:p>
    <w:p w14:paraId="0A8DA585">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20"/>
        <w:textAlignment w:val="auto"/>
        <w:rPr>
          <w:rStyle w:val="37"/>
          <w:rFonts w:hint="default" w:ascii="微软雅黑" w:hAnsi="微软雅黑" w:eastAsia="微软雅黑" w:cs="微软雅黑"/>
          <w:color w:val="auto"/>
          <w:lang w:val="en-US" w:eastAsia="zh-CN"/>
        </w:rPr>
      </w:pPr>
      <w:r>
        <w:rPr>
          <w:rStyle w:val="37"/>
          <w:rFonts w:hint="eastAsia" w:ascii="微软雅黑" w:hAnsi="微软雅黑" w:eastAsia="微软雅黑" w:cs="微软雅黑"/>
          <w:color w:val="auto"/>
          <w:lang w:val="en-US" w:eastAsia="zh-CN"/>
        </w:rPr>
        <w:t>联系电话：18109918226</w:t>
      </w:r>
    </w:p>
    <w:p w14:paraId="51F80034"/>
    <w:p w14:paraId="673371B1">
      <w:pPr>
        <w:rPr>
          <w:rStyle w:val="37"/>
          <w:rFonts w:hint="eastAsia" w:ascii="微软雅黑" w:hAnsi="微软雅黑" w:eastAsia="微软雅黑" w:cs="微软雅黑"/>
          <w:color w:val="auto"/>
          <w:highlight w:val="none"/>
          <w:lang w:val="en-US" w:eastAsia="zh-CN"/>
        </w:rPr>
      </w:pPr>
      <w:r>
        <w:rPr>
          <w:rStyle w:val="37"/>
          <w:rFonts w:hint="eastAsia" w:ascii="微软雅黑" w:hAnsi="微软雅黑" w:eastAsia="微软雅黑" w:cs="微软雅黑"/>
          <w:color w:val="auto"/>
          <w:highlight w:val="none"/>
          <w:lang w:val="en-US" w:eastAsia="zh-CN"/>
        </w:rPr>
        <w:br w:type="page"/>
      </w:r>
    </w:p>
    <w:p w14:paraId="1D138887">
      <w:pPr>
        <w:pStyle w:val="2"/>
        <w:numPr>
          <w:ilvl w:val="0"/>
          <w:numId w:val="8"/>
        </w:numPr>
        <w:tabs>
          <w:tab w:val="left" w:pos="0"/>
        </w:tabs>
        <w:spacing w:before="0" w:after="0" w:line="240" w:lineRule="auto"/>
        <w:jc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 xml:space="preserve">   </w:t>
      </w:r>
      <w:bookmarkStart w:id="746" w:name="_Toc25312"/>
      <w:bookmarkStart w:id="747" w:name="_Toc22259"/>
      <w:bookmarkStart w:id="748" w:name="_Toc26857"/>
      <w:r>
        <w:rPr>
          <w:rFonts w:hint="eastAsia" w:ascii="微软雅黑" w:hAnsi="微软雅黑" w:eastAsia="微软雅黑" w:cs="微软雅黑"/>
          <w:b/>
          <w:bCs/>
          <w:color w:val="auto"/>
          <w:highlight w:val="none"/>
        </w:rPr>
        <w:t>供应商须知资料表</w:t>
      </w:r>
      <w:bookmarkEnd w:id="724"/>
      <w:bookmarkEnd w:id="725"/>
      <w:bookmarkEnd w:id="726"/>
      <w:bookmarkEnd w:id="727"/>
      <w:bookmarkEnd w:id="728"/>
      <w:bookmarkEnd w:id="729"/>
      <w:bookmarkEnd w:id="746"/>
      <w:bookmarkEnd w:id="747"/>
      <w:bookmarkEnd w:id="748"/>
    </w:p>
    <w:bookmarkEnd w:id="730"/>
    <w:p w14:paraId="6646A6A0">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本表是本招标项目的具体资料，是对供应商须知的具体补充和修改，如有矛盾，应以本资料表为准。</w:t>
      </w:r>
    </w:p>
    <w:tbl>
      <w:tblPr>
        <w:tblStyle w:val="30"/>
        <w:tblW w:w="10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3"/>
        <w:gridCol w:w="8646"/>
      </w:tblGrid>
      <w:tr w14:paraId="5EB6F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393" w:type="dxa"/>
            <w:tcBorders>
              <w:top w:val="single" w:color="auto" w:sz="12" w:space="0"/>
            </w:tcBorders>
            <w:vAlign w:val="center"/>
          </w:tcPr>
          <w:p w14:paraId="3CEA1C0F">
            <w:pPr>
              <w:keepNext w:val="0"/>
              <w:keepLines w:val="0"/>
              <w:pageBreakBefore w:val="0"/>
              <w:widowControl w:val="0"/>
              <w:kinsoku/>
              <w:wordWrap/>
              <w:overflowPunct/>
              <w:topLinePunct w:val="0"/>
              <w:bidi w:val="0"/>
              <w:spacing w:line="500" w:lineRule="exact"/>
              <w:jc w:val="center"/>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条款号</w:t>
            </w:r>
          </w:p>
        </w:tc>
        <w:tc>
          <w:tcPr>
            <w:tcW w:w="8646" w:type="dxa"/>
            <w:tcBorders>
              <w:top w:val="single" w:color="auto" w:sz="12" w:space="0"/>
            </w:tcBorders>
            <w:vAlign w:val="center"/>
          </w:tcPr>
          <w:p w14:paraId="4EE03016">
            <w:pPr>
              <w:keepNext w:val="0"/>
              <w:keepLines w:val="0"/>
              <w:pageBreakBefore w:val="0"/>
              <w:widowControl w:val="0"/>
              <w:kinsoku/>
              <w:wordWrap/>
              <w:overflowPunct/>
              <w:topLinePunct w:val="0"/>
              <w:bidi w:val="0"/>
              <w:spacing w:line="500" w:lineRule="exact"/>
              <w:ind w:left="1080" w:leftChars="257" w:hanging="540"/>
              <w:textAlignment w:val="auto"/>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内      容</w:t>
            </w:r>
          </w:p>
        </w:tc>
      </w:tr>
      <w:tr w14:paraId="3A74A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1" w:hRule="atLeast"/>
          <w:jc w:val="center"/>
        </w:trPr>
        <w:tc>
          <w:tcPr>
            <w:tcW w:w="1393" w:type="dxa"/>
            <w:vAlign w:val="center"/>
          </w:tcPr>
          <w:p w14:paraId="09F8FED0">
            <w:pPr>
              <w:keepNext w:val="0"/>
              <w:keepLines w:val="0"/>
              <w:pageBreakBefore w:val="0"/>
              <w:widowControl w:val="0"/>
              <w:kinsoku/>
              <w:wordWrap/>
              <w:overflowPunct/>
              <w:topLinePunct w:val="0"/>
              <w:bidi w:val="0"/>
              <w:spacing w:line="500" w:lineRule="exact"/>
              <w:jc w:val="center"/>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w:t>
            </w:r>
          </w:p>
        </w:tc>
        <w:tc>
          <w:tcPr>
            <w:tcW w:w="8646" w:type="dxa"/>
            <w:vAlign w:val="center"/>
          </w:tcPr>
          <w:p w14:paraId="2A722C3E">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采购人：</w:t>
            </w:r>
            <w:r>
              <w:rPr>
                <w:rFonts w:hint="eastAsia" w:ascii="微软雅黑" w:hAnsi="微软雅黑" w:eastAsia="微软雅黑" w:cs="微软雅黑"/>
                <w:color w:val="auto"/>
                <w:sz w:val="24"/>
                <w:szCs w:val="24"/>
                <w:highlight w:val="none"/>
                <w:lang w:val="en-US" w:eastAsia="zh-CN"/>
              </w:rPr>
              <w:t>沙湾市人民医院</w:t>
            </w:r>
          </w:p>
          <w:p w14:paraId="4BC41498">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地  址：塔城地区沙湾市世纪大道南路62号</w:t>
            </w:r>
          </w:p>
          <w:p w14:paraId="31374DC1">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lang w:val="en-US" w:eastAsia="zh-CN"/>
              </w:rPr>
              <w:t>韩燕</w:t>
            </w:r>
            <w:r>
              <w:rPr>
                <w:rFonts w:hint="eastAsia" w:ascii="微软雅黑" w:hAnsi="微软雅黑" w:eastAsia="微软雅黑" w:cs="微软雅黑"/>
                <w:color w:val="auto"/>
                <w:sz w:val="24"/>
                <w:szCs w:val="24"/>
                <w:highlight w:val="none"/>
              </w:rPr>
              <w:t xml:space="preserve">       联系电话： </w:t>
            </w:r>
            <w:r>
              <w:rPr>
                <w:rFonts w:hint="eastAsia" w:ascii="微软雅黑" w:hAnsi="微软雅黑" w:eastAsia="微软雅黑" w:cs="微软雅黑"/>
                <w:color w:val="auto"/>
                <w:sz w:val="24"/>
                <w:szCs w:val="24"/>
                <w:highlight w:val="none"/>
                <w:lang w:val="en-US" w:eastAsia="zh-CN"/>
              </w:rPr>
              <w:t>15909935111</w:t>
            </w:r>
          </w:p>
        </w:tc>
      </w:tr>
      <w:tr w14:paraId="2ABFF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1" w:hRule="atLeast"/>
          <w:jc w:val="center"/>
        </w:trPr>
        <w:tc>
          <w:tcPr>
            <w:tcW w:w="1393" w:type="dxa"/>
            <w:vAlign w:val="center"/>
          </w:tcPr>
          <w:p w14:paraId="5ACFF160">
            <w:pPr>
              <w:keepNext w:val="0"/>
              <w:keepLines w:val="0"/>
              <w:pageBreakBefore w:val="0"/>
              <w:widowControl w:val="0"/>
              <w:kinsoku/>
              <w:wordWrap/>
              <w:overflowPunct/>
              <w:topLinePunct w:val="0"/>
              <w:bidi w:val="0"/>
              <w:spacing w:line="500" w:lineRule="exact"/>
              <w:jc w:val="center"/>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w:t>
            </w:r>
          </w:p>
        </w:tc>
        <w:tc>
          <w:tcPr>
            <w:tcW w:w="8646" w:type="dxa"/>
            <w:vAlign w:val="center"/>
          </w:tcPr>
          <w:p w14:paraId="17AEE22E">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代理机构：</w:t>
            </w:r>
            <w:r>
              <w:rPr>
                <w:rFonts w:hint="eastAsia" w:ascii="微软雅黑" w:hAnsi="微软雅黑" w:eastAsia="微软雅黑" w:cs="微软雅黑"/>
                <w:color w:val="auto"/>
                <w:sz w:val="24"/>
                <w:szCs w:val="24"/>
                <w:highlight w:val="none"/>
                <w:lang w:val="en-US" w:eastAsia="zh-CN"/>
              </w:rPr>
              <w:t>新疆金之帆项目管理咨询有限公司</w:t>
            </w:r>
          </w:p>
          <w:p w14:paraId="3DC68673">
            <w:pPr>
              <w:keepNext w:val="0"/>
              <w:keepLines w:val="0"/>
              <w:pageBreakBefore w:val="0"/>
              <w:widowControl w:val="0"/>
              <w:kinsoku/>
              <w:wordWrap/>
              <w:overflowPunct/>
              <w:topLinePunct w:val="0"/>
              <w:bidi w:val="0"/>
              <w:spacing w:line="500" w:lineRule="exact"/>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地</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址：</w:t>
            </w:r>
            <w:r>
              <w:rPr>
                <w:rFonts w:hint="eastAsia" w:ascii="微软雅黑" w:hAnsi="微软雅黑" w:eastAsia="微软雅黑" w:cs="微软雅黑"/>
                <w:color w:val="auto"/>
                <w:sz w:val="24"/>
                <w:szCs w:val="24"/>
                <w:highlight w:val="none"/>
                <w:lang w:val="en-US" w:eastAsia="zh-CN"/>
              </w:rPr>
              <w:t>乌鲁木齐市沙依巴克区经济技术开发区新疆软件园创智大厦A座23层2302室</w:t>
            </w:r>
          </w:p>
          <w:p w14:paraId="763F91B4">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联</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系</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人：</w:t>
            </w:r>
            <w:r>
              <w:rPr>
                <w:rFonts w:hint="eastAsia" w:ascii="微软雅黑" w:hAnsi="微软雅黑" w:eastAsia="微软雅黑" w:cs="微软雅黑"/>
                <w:color w:val="auto"/>
                <w:sz w:val="24"/>
                <w:szCs w:val="24"/>
                <w:highlight w:val="none"/>
                <w:lang w:val="en-US" w:eastAsia="zh-CN"/>
              </w:rPr>
              <w:t>马为民</w:t>
            </w:r>
            <w:r>
              <w:rPr>
                <w:rFonts w:hint="eastAsia" w:ascii="微软雅黑" w:hAnsi="微软雅黑" w:eastAsia="微软雅黑" w:cs="微软雅黑"/>
                <w:color w:val="auto"/>
                <w:sz w:val="24"/>
                <w:szCs w:val="24"/>
                <w:highlight w:val="none"/>
              </w:rPr>
              <w:t>　      联系电话：</w:t>
            </w:r>
            <w:r>
              <w:rPr>
                <w:rFonts w:hint="eastAsia" w:ascii="微软雅黑" w:hAnsi="微软雅黑" w:eastAsia="微软雅黑" w:cs="微软雅黑"/>
                <w:color w:val="auto"/>
                <w:sz w:val="24"/>
                <w:szCs w:val="24"/>
                <w:highlight w:val="none"/>
                <w:lang w:val="en-US" w:eastAsia="zh-CN"/>
              </w:rPr>
              <w:t>18109918226</w:t>
            </w:r>
          </w:p>
        </w:tc>
      </w:tr>
      <w:tr w14:paraId="7B5D6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0" w:hRule="atLeast"/>
          <w:jc w:val="center"/>
        </w:trPr>
        <w:tc>
          <w:tcPr>
            <w:tcW w:w="1393" w:type="dxa"/>
            <w:vAlign w:val="center"/>
          </w:tcPr>
          <w:p w14:paraId="0E8BAE32">
            <w:pPr>
              <w:keepNext w:val="0"/>
              <w:keepLines w:val="0"/>
              <w:pageBreakBefore w:val="0"/>
              <w:widowControl w:val="0"/>
              <w:kinsoku/>
              <w:wordWrap/>
              <w:overflowPunct/>
              <w:topLinePunct w:val="0"/>
              <w:bidi w:val="0"/>
              <w:spacing w:line="500" w:lineRule="exact"/>
              <w:jc w:val="center"/>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1.3.4</w:t>
            </w:r>
          </w:p>
        </w:tc>
        <w:tc>
          <w:tcPr>
            <w:tcW w:w="8646" w:type="dxa"/>
            <w:vAlign w:val="center"/>
          </w:tcPr>
          <w:p w14:paraId="49F40CCF">
            <w:pPr>
              <w:keepNext w:val="0"/>
              <w:keepLines w:val="0"/>
              <w:pageBreakBefore w:val="0"/>
              <w:widowControl w:val="0"/>
              <w:kinsoku/>
              <w:wordWrap/>
              <w:overflowPunct/>
              <w:topLinePunct w:val="0"/>
              <w:bidi w:val="0"/>
              <w:snapToGrid/>
              <w:spacing w:line="500" w:lineRule="exact"/>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合格供应商的其他资格要求：</w:t>
            </w:r>
          </w:p>
          <w:p w14:paraId="5C090B0E">
            <w:pPr>
              <w:keepNext w:val="0"/>
              <w:keepLines w:val="0"/>
              <w:pageBreakBefore w:val="0"/>
              <w:widowControl w:val="0"/>
              <w:kinsoku/>
              <w:wordWrap/>
              <w:overflowPunct/>
              <w:topLinePunct w:val="0"/>
              <w:bidi w:val="0"/>
              <w:snapToGrid/>
              <w:spacing w:line="500" w:lineRule="exact"/>
              <w:textAlignment w:val="auto"/>
              <w:rPr>
                <w:rFonts w:hint="eastAsia" w:ascii="微软雅黑" w:hAnsi="微软雅黑" w:eastAsia="微软雅黑" w:cs="微软雅黑"/>
                <w:b/>
                <w:bCs/>
                <w:color w:val="auto"/>
                <w:kern w:val="0"/>
                <w:sz w:val="24"/>
                <w:szCs w:val="24"/>
                <w:highlight w:val="none"/>
                <w:lang w:eastAsia="zh-CN"/>
              </w:rPr>
            </w:pPr>
            <w:r>
              <w:rPr>
                <w:rFonts w:hint="eastAsia" w:ascii="微软雅黑" w:hAnsi="微软雅黑" w:eastAsia="微软雅黑" w:cs="微软雅黑"/>
                <w:b/>
                <w:bCs/>
                <w:color w:val="auto"/>
                <w:kern w:val="0"/>
                <w:sz w:val="24"/>
                <w:szCs w:val="24"/>
                <w:highlight w:val="none"/>
              </w:rPr>
              <w:t>1、满足《中华人民共和国政府采购法》第二十二条规定</w:t>
            </w:r>
            <w:r>
              <w:rPr>
                <w:rFonts w:hint="eastAsia" w:ascii="微软雅黑" w:hAnsi="微软雅黑" w:eastAsia="微软雅黑" w:cs="微软雅黑"/>
                <w:b/>
                <w:bCs/>
                <w:color w:val="auto"/>
                <w:kern w:val="0"/>
                <w:sz w:val="24"/>
                <w:szCs w:val="24"/>
                <w:highlight w:val="none"/>
                <w:lang w:eastAsia="zh-CN"/>
              </w:rPr>
              <w:t>：</w:t>
            </w:r>
          </w:p>
          <w:p w14:paraId="613058E0">
            <w:pPr>
              <w:pStyle w:val="4"/>
              <w:keepNext w:val="0"/>
              <w:keepLines w:val="0"/>
              <w:pageBreakBefore w:val="0"/>
              <w:widowControl w:val="0"/>
              <w:kinsoku/>
              <w:wordWrap/>
              <w:overflowPunct/>
              <w:topLinePunct w:val="0"/>
              <w:bidi w:val="0"/>
              <w:snapToGrid/>
              <w:spacing w:line="500" w:lineRule="exact"/>
              <w:ind w:firstLine="480" w:firstLineChars="20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①具有独立承担民事责任的能力；（投标时，提供在中华人民共和国境内注册的法人或其他组织的营业执照或事业单位法人证书或社会团体法人登记证书）</w:t>
            </w:r>
          </w:p>
          <w:p w14:paraId="2215FAF2">
            <w:pPr>
              <w:pStyle w:val="4"/>
              <w:keepNext w:val="0"/>
              <w:keepLines w:val="0"/>
              <w:pageBreakBefore w:val="0"/>
              <w:widowControl w:val="0"/>
              <w:kinsoku/>
              <w:wordWrap/>
              <w:overflowPunct/>
              <w:topLinePunct w:val="0"/>
              <w:bidi w:val="0"/>
              <w:snapToGrid/>
              <w:spacing w:line="500" w:lineRule="exact"/>
              <w:ind w:firstLine="480" w:firstLineChars="20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②供应商为制造商的须提供《医疗器械生产许可证》、所投产品的《医疗器械产品注册证》；供应商为经销商的须提供包含所投产品相应经营范围的《医疗器械经营许可证》或《医疗器械经营备案凭证》。供应商所投产品非医疗器械的，无需提供。</w:t>
            </w:r>
          </w:p>
          <w:p w14:paraId="3464AAC3">
            <w:pPr>
              <w:pStyle w:val="4"/>
              <w:keepNext w:val="0"/>
              <w:keepLines w:val="0"/>
              <w:pageBreakBefore w:val="0"/>
              <w:widowControl w:val="0"/>
              <w:kinsoku/>
              <w:wordWrap/>
              <w:overflowPunct/>
              <w:topLinePunct w:val="0"/>
              <w:bidi w:val="0"/>
              <w:snapToGrid/>
              <w:spacing w:line="500" w:lineRule="exact"/>
              <w:ind w:firstLine="480" w:firstLineChars="20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③提供法定代表人资格证明及授权书、被授权人身份证；（法定代表人投标需提供法定代表人身份证）；</w:t>
            </w:r>
          </w:p>
          <w:p w14:paraId="2A3A2E65">
            <w:pPr>
              <w:pStyle w:val="4"/>
              <w:keepNext w:val="0"/>
              <w:keepLines w:val="0"/>
              <w:pageBreakBefore w:val="0"/>
              <w:widowControl w:val="0"/>
              <w:kinsoku/>
              <w:wordWrap/>
              <w:overflowPunct/>
              <w:topLinePunct w:val="0"/>
              <w:bidi w:val="0"/>
              <w:snapToGrid/>
              <w:spacing w:line="500" w:lineRule="exact"/>
              <w:ind w:firstLine="480" w:firstLineChars="20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④提供本单位依法缴纳近三个月内任意一个月的社会保险证明（新成立公司提供相关证明文件）；</w:t>
            </w:r>
          </w:p>
          <w:p w14:paraId="1043ECB9">
            <w:pPr>
              <w:pStyle w:val="4"/>
              <w:keepNext w:val="0"/>
              <w:keepLines w:val="0"/>
              <w:pageBreakBefore w:val="0"/>
              <w:widowControl w:val="0"/>
              <w:kinsoku/>
              <w:wordWrap/>
              <w:overflowPunct/>
              <w:topLinePunct w:val="0"/>
              <w:bidi w:val="0"/>
              <w:snapToGrid/>
              <w:spacing w:line="500" w:lineRule="exact"/>
              <w:ind w:firstLine="480" w:firstLineChars="20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⑤提供税务部门出具的本单位近六个月内任意一个月的完税证明（零申报需加盖税务机关章）；</w:t>
            </w:r>
          </w:p>
          <w:p w14:paraId="600BE847">
            <w:pPr>
              <w:pStyle w:val="4"/>
              <w:keepNext w:val="0"/>
              <w:keepLines w:val="0"/>
              <w:pageBreakBefore w:val="0"/>
              <w:widowControl w:val="0"/>
              <w:kinsoku/>
              <w:wordWrap/>
              <w:overflowPunct/>
              <w:topLinePunct w:val="0"/>
              <w:bidi w:val="0"/>
              <w:snapToGrid/>
              <w:spacing w:line="500" w:lineRule="exact"/>
              <w:ind w:firstLine="480" w:firstLineChars="20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⑥提供近两年任意一年完整的财务审计报告（新成立公司不足一年的提供近三个月内有效的银行资信证明）；</w:t>
            </w:r>
          </w:p>
          <w:p w14:paraId="37C277AD">
            <w:pPr>
              <w:pStyle w:val="4"/>
              <w:keepNext w:val="0"/>
              <w:keepLines w:val="0"/>
              <w:pageBreakBefore w:val="0"/>
              <w:widowControl w:val="0"/>
              <w:kinsoku/>
              <w:wordWrap/>
              <w:overflowPunct/>
              <w:topLinePunct w:val="0"/>
              <w:bidi w:val="0"/>
              <w:snapToGrid/>
              <w:spacing w:line="500" w:lineRule="exact"/>
              <w:ind w:firstLine="480" w:firstLineChars="20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⑦参与政府采购活动前3年内未被列入失信、重大税收违法案件、财政部门禁止参加政府采购活动的承诺书；</w:t>
            </w:r>
          </w:p>
          <w:p w14:paraId="1B69D6DE">
            <w:pPr>
              <w:pStyle w:val="4"/>
              <w:keepNext w:val="0"/>
              <w:keepLines w:val="0"/>
              <w:pageBreakBefore w:val="0"/>
              <w:widowControl w:val="0"/>
              <w:kinsoku/>
              <w:wordWrap/>
              <w:overflowPunct/>
              <w:topLinePunct w:val="0"/>
              <w:bidi w:val="0"/>
              <w:snapToGrid/>
              <w:spacing w:line="500" w:lineRule="exact"/>
              <w:ind w:firstLine="480" w:firstLineChars="20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⑧提供针对本次项目的反商业贿赂承诺书。</w:t>
            </w:r>
          </w:p>
          <w:p w14:paraId="2BE194E8">
            <w:pPr>
              <w:pStyle w:val="4"/>
              <w:keepNext w:val="0"/>
              <w:keepLines w:val="0"/>
              <w:pageBreakBefore w:val="0"/>
              <w:widowControl w:val="0"/>
              <w:kinsoku/>
              <w:wordWrap/>
              <w:overflowPunct/>
              <w:topLinePunct w:val="0"/>
              <w:bidi w:val="0"/>
              <w:snapToGrid/>
              <w:spacing w:line="500" w:lineRule="exact"/>
              <w:ind w:firstLine="480" w:firstLineChars="20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⑨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351EFD53">
            <w:pPr>
              <w:pStyle w:val="4"/>
              <w:keepNext w:val="0"/>
              <w:keepLines w:val="0"/>
              <w:pageBreakBefore w:val="0"/>
              <w:widowControl w:val="0"/>
              <w:kinsoku/>
              <w:wordWrap/>
              <w:overflowPunct/>
              <w:topLinePunct w:val="0"/>
              <w:bidi w:val="0"/>
              <w:snapToGrid/>
              <w:spacing w:line="500" w:lineRule="exact"/>
              <w:ind w:firstLine="480" w:firstLineChars="200"/>
              <w:jc w:val="both"/>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⑩投标保证金有效凭证。</w:t>
            </w:r>
          </w:p>
          <w:p w14:paraId="3F5C1737">
            <w:pPr>
              <w:pStyle w:val="4"/>
              <w:keepNext w:val="0"/>
              <w:keepLines w:val="0"/>
              <w:pageBreakBefore w:val="0"/>
              <w:widowControl w:val="0"/>
              <w:kinsoku/>
              <w:wordWrap/>
              <w:overflowPunct/>
              <w:topLinePunct w:val="0"/>
              <w:bidi w:val="0"/>
              <w:snapToGrid/>
              <w:spacing w:line="500" w:lineRule="exact"/>
              <w:ind w:firstLine="0"/>
              <w:jc w:val="both"/>
              <w:textAlignment w:val="auto"/>
              <w:rPr>
                <w:rFonts w:ascii="微软雅黑" w:hAnsi="微软雅黑" w:eastAsia="微软雅黑" w:cs="微软雅黑"/>
                <w:color w:val="auto"/>
                <w:highlight w:val="none"/>
              </w:rPr>
            </w:pPr>
            <w:r>
              <w:rPr>
                <w:rFonts w:hint="eastAsia" w:ascii="微软雅黑" w:hAnsi="微软雅黑" w:eastAsia="微软雅黑" w:cs="微软雅黑"/>
                <w:b/>
                <w:bCs/>
                <w:color w:val="auto"/>
                <w:highlight w:val="none"/>
              </w:rPr>
              <w:t>提示：</w:t>
            </w:r>
            <w:r>
              <w:rPr>
                <w:rFonts w:hint="eastAsia" w:ascii="微软雅黑" w:hAnsi="微软雅黑" w:eastAsia="微软雅黑" w:cs="微软雅黑"/>
                <w:b/>
                <w:iCs/>
                <w:color w:val="auto"/>
                <w:sz w:val="24"/>
                <w:szCs w:val="24"/>
                <w:highlight w:val="none"/>
              </w:rPr>
              <w:t>未通过资格审查的</w:t>
            </w:r>
            <w:r>
              <w:rPr>
                <w:rFonts w:hint="eastAsia" w:ascii="微软雅黑" w:hAnsi="微软雅黑" w:eastAsia="微软雅黑" w:cs="微软雅黑"/>
                <w:b/>
                <w:iCs/>
                <w:color w:val="auto"/>
                <w:sz w:val="24"/>
                <w:szCs w:val="24"/>
                <w:highlight w:val="none"/>
                <w:lang w:eastAsia="zh-CN"/>
              </w:rPr>
              <w:t>供应商</w:t>
            </w:r>
            <w:r>
              <w:rPr>
                <w:rFonts w:hint="eastAsia" w:ascii="微软雅黑" w:hAnsi="微软雅黑" w:eastAsia="微软雅黑" w:cs="微软雅黑"/>
                <w:b/>
                <w:iCs/>
                <w:color w:val="auto"/>
                <w:sz w:val="24"/>
                <w:szCs w:val="24"/>
                <w:highlight w:val="none"/>
              </w:rPr>
              <w:t>不进入评标；通过资格审查的</w:t>
            </w:r>
            <w:r>
              <w:rPr>
                <w:rFonts w:hint="eastAsia" w:ascii="微软雅黑" w:hAnsi="微软雅黑" w:eastAsia="微软雅黑" w:cs="微软雅黑"/>
                <w:b/>
                <w:iCs/>
                <w:color w:val="auto"/>
                <w:sz w:val="24"/>
                <w:szCs w:val="24"/>
                <w:highlight w:val="none"/>
                <w:lang w:eastAsia="zh-CN"/>
              </w:rPr>
              <w:t>供应商</w:t>
            </w:r>
            <w:r>
              <w:rPr>
                <w:rFonts w:hint="eastAsia" w:ascii="微软雅黑" w:hAnsi="微软雅黑" w:eastAsia="微软雅黑" w:cs="微软雅黑"/>
                <w:b/>
                <w:iCs/>
                <w:color w:val="auto"/>
                <w:sz w:val="24"/>
                <w:szCs w:val="24"/>
                <w:highlight w:val="none"/>
              </w:rPr>
              <w:t>少于不足三家的，不得评标。</w:t>
            </w:r>
          </w:p>
        </w:tc>
      </w:tr>
      <w:tr w14:paraId="29312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3" w:hRule="atLeast"/>
          <w:jc w:val="center"/>
        </w:trPr>
        <w:tc>
          <w:tcPr>
            <w:tcW w:w="1393" w:type="dxa"/>
            <w:vAlign w:val="center"/>
          </w:tcPr>
          <w:p w14:paraId="4FCCD342">
            <w:pPr>
              <w:keepNext w:val="0"/>
              <w:keepLines w:val="0"/>
              <w:pageBreakBefore w:val="0"/>
              <w:widowControl w:val="0"/>
              <w:kinsoku/>
              <w:wordWrap/>
              <w:overflowPunct/>
              <w:topLinePunct w:val="0"/>
              <w:bidi w:val="0"/>
              <w:spacing w:line="500" w:lineRule="exact"/>
              <w:jc w:val="center"/>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1.3.5</w:t>
            </w:r>
          </w:p>
        </w:tc>
        <w:tc>
          <w:tcPr>
            <w:tcW w:w="8646" w:type="dxa"/>
            <w:vAlign w:val="center"/>
          </w:tcPr>
          <w:p w14:paraId="4BD00750">
            <w:pPr>
              <w:keepNext w:val="0"/>
              <w:keepLines w:val="0"/>
              <w:pageBreakBefore w:val="0"/>
              <w:widowControl w:val="0"/>
              <w:kinsoku/>
              <w:wordWrap/>
              <w:overflowPunct/>
              <w:topLinePunct w:val="0"/>
              <w:bidi w:val="0"/>
              <w:spacing w:line="500" w:lineRule="exact"/>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是否允许采购进口产品：</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（是、否）</w:t>
            </w:r>
          </w:p>
        </w:tc>
      </w:tr>
      <w:tr w14:paraId="2A535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1" w:hRule="atLeast"/>
          <w:jc w:val="center"/>
        </w:trPr>
        <w:tc>
          <w:tcPr>
            <w:tcW w:w="1393" w:type="dxa"/>
            <w:vAlign w:val="center"/>
          </w:tcPr>
          <w:p w14:paraId="7C842E84">
            <w:pPr>
              <w:keepNext w:val="0"/>
              <w:keepLines w:val="0"/>
              <w:pageBreakBefore w:val="0"/>
              <w:widowControl w:val="0"/>
              <w:kinsoku/>
              <w:wordWrap/>
              <w:overflowPunct/>
              <w:topLinePunct w:val="0"/>
              <w:bidi w:val="0"/>
              <w:spacing w:line="500" w:lineRule="exact"/>
              <w:jc w:val="center"/>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1.3.6</w:t>
            </w:r>
          </w:p>
        </w:tc>
        <w:tc>
          <w:tcPr>
            <w:tcW w:w="8646" w:type="dxa"/>
            <w:vAlign w:val="center"/>
          </w:tcPr>
          <w:p w14:paraId="7F3A9567">
            <w:pPr>
              <w:keepNext w:val="0"/>
              <w:keepLines w:val="0"/>
              <w:pageBreakBefore w:val="0"/>
              <w:widowControl w:val="0"/>
              <w:kinsoku/>
              <w:wordWrap/>
              <w:overflowPunct/>
              <w:topLinePunct w:val="0"/>
              <w:bidi w:val="0"/>
              <w:spacing w:line="500" w:lineRule="exact"/>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是否为专门面向中小企业采购：</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否</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i/>
                <w:iCs/>
                <w:color w:val="auto"/>
                <w:sz w:val="24"/>
                <w:szCs w:val="24"/>
                <w:highlight w:val="none"/>
              </w:rPr>
              <w:t>（是、否）</w:t>
            </w:r>
            <w:r>
              <w:rPr>
                <w:rFonts w:hint="eastAsia" w:ascii="微软雅黑" w:hAnsi="微软雅黑" w:eastAsia="微软雅黑" w:cs="微软雅黑"/>
                <w:b/>
                <w:bCs/>
                <w:i/>
                <w:iCs/>
                <w:color w:val="auto"/>
                <w:sz w:val="24"/>
                <w:szCs w:val="24"/>
                <w:highlight w:val="none"/>
              </w:rPr>
              <w:t>（</w:t>
            </w:r>
            <w:r>
              <w:rPr>
                <w:rFonts w:hint="eastAsia" w:ascii="微软雅黑" w:hAnsi="微软雅黑" w:eastAsia="微软雅黑" w:cs="微软雅黑"/>
                <w:b/>
                <w:bCs/>
                <w:i/>
                <w:iCs/>
                <w:color w:val="auto"/>
                <w:sz w:val="24"/>
                <w:szCs w:val="24"/>
                <w:highlight w:val="none"/>
                <w:lang w:val="en-US" w:eastAsia="zh-CN"/>
              </w:rPr>
              <w:t>注：本项目不属于专门面向中小企业项目，所投货物制造商均为小型企业或微型企业的可享受价10%的价格扣除后参与评审。须根据招标文件中的法定格式提供中小企业声明函。</w:t>
            </w:r>
            <w:r>
              <w:rPr>
                <w:rFonts w:hint="eastAsia" w:ascii="微软雅黑" w:hAnsi="微软雅黑" w:eastAsia="微软雅黑" w:cs="微软雅黑"/>
                <w:b/>
                <w:bCs/>
                <w:i/>
                <w:iCs/>
                <w:color w:val="auto"/>
                <w:sz w:val="24"/>
                <w:szCs w:val="24"/>
                <w:highlight w:val="none"/>
              </w:rPr>
              <w:t>）</w:t>
            </w:r>
          </w:p>
        </w:tc>
      </w:tr>
      <w:tr w14:paraId="7E57C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82" w:hRule="atLeast"/>
          <w:jc w:val="center"/>
        </w:trPr>
        <w:tc>
          <w:tcPr>
            <w:tcW w:w="1393" w:type="dxa"/>
            <w:vAlign w:val="center"/>
          </w:tcPr>
          <w:p w14:paraId="2CEBB6D3">
            <w:pPr>
              <w:keepNext w:val="0"/>
              <w:keepLines w:val="0"/>
              <w:pageBreakBefore w:val="0"/>
              <w:widowControl w:val="0"/>
              <w:kinsoku/>
              <w:wordWrap/>
              <w:overflowPunct/>
              <w:topLinePunct w:val="0"/>
              <w:bidi w:val="0"/>
              <w:spacing w:line="500" w:lineRule="exact"/>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1.4</w:t>
            </w:r>
          </w:p>
        </w:tc>
        <w:tc>
          <w:tcPr>
            <w:tcW w:w="8646" w:type="dxa"/>
            <w:vAlign w:val="center"/>
          </w:tcPr>
          <w:p w14:paraId="58DCCD7C">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i/>
                <w:i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本项目是否适用本国产品标准：</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否</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i/>
                <w:iCs/>
                <w:color w:val="auto"/>
                <w:sz w:val="24"/>
                <w:szCs w:val="24"/>
                <w:highlight w:val="none"/>
              </w:rPr>
              <w:t>（是、否）</w:t>
            </w:r>
          </w:p>
          <w:p w14:paraId="71063118">
            <w:pPr>
              <w:keepNext w:val="0"/>
              <w:keepLines w:val="0"/>
              <w:pageBreakBefore w:val="0"/>
              <w:widowControl w:val="0"/>
              <w:kinsoku/>
              <w:wordWrap/>
              <w:overflowPunct/>
              <w:topLinePunct w:val="0"/>
              <w:bidi w:val="0"/>
              <w:spacing w:line="500" w:lineRule="exact"/>
              <w:ind w:firstLine="480" w:firstLineChars="200"/>
              <w:textAlignment w:val="auto"/>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 xml:space="preserve">政府采购活动中既有本国产品又有非本国产品参与竞争的，依法对本国产品给予价格评审优惠，对本国产品的报价给予20%的价格扣除，用扣除后的价格参与评审。 </w:t>
            </w:r>
          </w:p>
          <w:p w14:paraId="05EF39D6">
            <w:pPr>
              <w:keepNext w:val="0"/>
              <w:keepLines w:val="0"/>
              <w:pageBreakBefore w:val="0"/>
              <w:widowControl w:val="0"/>
              <w:kinsoku/>
              <w:wordWrap/>
              <w:overflowPunct/>
              <w:topLinePunct w:val="0"/>
              <w:bidi w:val="0"/>
              <w:spacing w:line="500" w:lineRule="exact"/>
              <w:ind w:firstLine="480" w:firstLineChars="200"/>
              <w:textAlignment w:val="auto"/>
              <w:rPr>
                <w:rFonts w:hint="eastAsia" w:ascii="微软雅黑" w:hAnsi="微软雅黑" w:eastAsia="微软雅黑" w:cs="微软雅黑"/>
                <w:i/>
                <w:iCs/>
                <w:color w:val="auto"/>
                <w:sz w:val="24"/>
                <w:szCs w:val="24"/>
                <w:highlight w:val="none"/>
              </w:rPr>
            </w:pPr>
            <w:r>
              <w:rPr>
                <w:rFonts w:hint="eastAsia" w:ascii="微软雅黑" w:hAnsi="微软雅黑" w:eastAsia="微软雅黑" w:cs="微软雅黑"/>
                <w:i w:val="0"/>
                <w:iCs w:val="0"/>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30A0C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3" w:hRule="atLeast"/>
          <w:jc w:val="center"/>
        </w:trPr>
        <w:tc>
          <w:tcPr>
            <w:tcW w:w="1393" w:type="dxa"/>
            <w:vAlign w:val="center"/>
          </w:tcPr>
          <w:p w14:paraId="01BFD59F">
            <w:pPr>
              <w:keepNext w:val="0"/>
              <w:keepLines w:val="0"/>
              <w:pageBreakBefore w:val="0"/>
              <w:widowControl w:val="0"/>
              <w:kinsoku/>
              <w:wordWrap/>
              <w:overflowPunct/>
              <w:topLinePunct w:val="0"/>
              <w:bidi w:val="0"/>
              <w:spacing w:line="500" w:lineRule="exact"/>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5</w:t>
            </w:r>
          </w:p>
        </w:tc>
        <w:tc>
          <w:tcPr>
            <w:tcW w:w="8646" w:type="dxa"/>
            <w:vAlign w:val="center"/>
          </w:tcPr>
          <w:p w14:paraId="04B506D8">
            <w:pPr>
              <w:keepNext w:val="0"/>
              <w:keepLines w:val="0"/>
              <w:pageBreakBefore w:val="0"/>
              <w:widowControl w:val="0"/>
              <w:kinsoku/>
              <w:wordWrap/>
              <w:overflowPunct/>
              <w:topLinePunct w:val="0"/>
              <w:bidi w:val="0"/>
              <w:spacing w:line="500" w:lineRule="exact"/>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是否允许联合体投标：</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i/>
                <w:iCs/>
                <w:color w:val="auto"/>
                <w:sz w:val="24"/>
                <w:szCs w:val="24"/>
                <w:highlight w:val="none"/>
              </w:rPr>
              <w:t>（是、否）</w:t>
            </w:r>
          </w:p>
        </w:tc>
      </w:tr>
      <w:tr w14:paraId="274D7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3" w:hRule="atLeast"/>
          <w:jc w:val="center"/>
        </w:trPr>
        <w:tc>
          <w:tcPr>
            <w:tcW w:w="1393" w:type="dxa"/>
            <w:vAlign w:val="center"/>
          </w:tcPr>
          <w:p w14:paraId="03312D25">
            <w:pPr>
              <w:keepNext w:val="0"/>
              <w:keepLines w:val="0"/>
              <w:pageBreakBefore w:val="0"/>
              <w:widowControl w:val="0"/>
              <w:kinsoku/>
              <w:wordWrap/>
              <w:overflowPunct/>
              <w:topLinePunct w:val="0"/>
              <w:bidi w:val="0"/>
              <w:spacing w:line="500" w:lineRule="exact"/>
              <w:jc w:val="center"/>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.8</w:t>
            </w:r>
          </w:p>
        </w:tc>
        <w:tc>
          <w:tcPr>
            <w:tcW w:w="8646" w:type="dxa"/>
            <w:shd w:val="clear" w:color="auto" w:fill="auto"/>
            <w:vAlign w:val="center"/>
          </w:tcPr>
          <w:p w14:paraId="3DE24E95">
            <w:pPr>
              <w:keepNext w:val="0"/>
              <w:keepLines w:val="0"/>
              <w:pageBreakBefore w:val="0"/>
              <w:widowControl w:val="0"/>
              <w:kinsoku/>
              <w:wordWrap/>
              <w:overflowPunct/>
              <w:topLinePunct w:val="0"/>
              <w:bidi w:val="0"/>
              <w:spacing w:line="500" w:lineRule="exact"/>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联合体的其他资格要求：</w:t>
            </w:r>
            <w:r>
              <w:rPr>
                <w:rFonts w:hint="eastAsia" w:ascii="微软雅黑" w:hAnsi="微软雅黑" w:eastAsia="微软雅黑" w:cs="微软雅黑"/>
                <w:color w:val="auto"/>
                <w:sz w:val="24"/>
                <w:szCs w:val="24"/>
                <w:highlight w:val="none"/>
              </w:rPr>
              <w:t>无</w:t>
            </w:r>
          </w:p>
        </w:tc>
      </w:tr>
      <w:tr w14:paraId="6B42F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3" w:hRule="atLeast"/>
          <w:jc w:val="center"/>
        </w:trPr>
        <w:tc>
          <w:tcPr>
            <w:tcW w:w="1393" w:type="dxa"/>
            <w:vAlign w:val="center"/>
          </w:tcPr>
          <w:p w14:paraId="0AF4596A">
            <w:pPr>
              <w:keepNext w:val="0"/>
              <w:keepLines w:val="0"/>
              <w:pageBreakBefore w:val="0"/>
              <w:widowControl w:val="0"/>
              <w:kinsoku/>
              <w:wordWrap/>
              <w:overflowPunct/>
              <w:topLinePunct w:val="0"/>
              <w:bidi w:val="0"/>
              <w:spacing w:line="500" w:lineRule="exact"/>
              <w:jc w:val="center"/>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w:t>
            </w:r>
          </w:p>
        </w:tc>
        <w:tc>
          <w:tcPr>
            <w:tcW w:w="8646" w:type="dxa"/>
            <w:shd w:val="clear" w:color="auto" w:fill="auto"/>
            <w:vAlign w:val="center"/>
          </w:tcPr>
          <w:p w14:paraId="227E44F7">
            <w:pPr>
              <w:pStyle w:val="4"/>
              <w:keepNext w:val="0"/>
              <w:keepLines w:val="0"/>
              <w:pageBreakBefore w:val="0"/>
              <w:widowControl w:val="0"/>
              <w:kinsoku/>
              <w:wordWrap/>
              <w:overflowPunct/>
              <w:topLinePunct w:val="0"/>
              <w:bidi w:val="0"/>
              <w:spacing w:line="500" w:lineRule="exact"/>
              <w:ind w:firstLine="0"/>
              <w:jc w:val="both"/>
              <w:textAlignment w:val="auto"/>
              <w:rPr>
                <w:rFonts w:hint="default" w:eastAsia="黑体"/>
                <w:color w:val="auto"/>
                <w:highlight w:val="none"/>
                <w:lang w:val="en-US" w:eastAsia="zh-CN"/>
              </w:rPr>
            </w:pPr>
            <w:r>
              <w:rPr>
                <w:rFonts w:hint="eastAsia" w:ascii="黑体" w:hAnsi="黑体" w:eastAsia="黑体" w:cs="黑体"/>
                <w:b/>
                <w:bCs/>
                <w:color w:val="auto"/>
                <w:highlight w:val="none"/>
                <w:lang w:val="en-US" w:eastAsia="zh-CN"/>
              </w:rPr>
              <w:t>总</w:t>
            </w:r>
            <w:r>
              <w:rPr>
                <w:rFonts w:hint="eastAsia" w:ascii="黑体" w:hAnsi="黑体" w:eastAsia="黑体" w:cs="黑体"/>
                <w:b/>
                <w:bCs/>
                <w:color w:val="auto"/>
                <w:highlight w:val="none"/>
              </w:rPr>
              <w:t>预算金额：</w:t>
            </w:r>
            <w:r>
              <w:rPr>
                <w:rFonts w:hint="eastAsia" w:ascii="黑体" w:hAnsi="黑体" w:eastAsia="黑体" w:cs="黑体"/>
                <w:b/>
                <w:bCs/>
                <w:color w:val="auto"/>
                <w:highlight w:val="none"/>
                <w:lang w:val="en-US" w:eastAsia="zh-CN"/>
              </w:rPr>
              <w:t>4400000.00元（第一包：</w:t>
            </w:r>
            <w:r>
              <w:rPr>
                <w:rFonts w:hint="eastAsia" w:ascii="微软雅黑" w:hAnsi="微软雅黑" w:eastAsia="微软雅黑" w:cs="微软雅黑"/>
                <w:b/>
                <w:bCs/>
                <w:color w:val="auto"/>
                <w:lang w:val="en-US" w:eastAsia="zh-CN"/>
              </w:rPr>
              <w:t>2400000.00元</w:t>
            </w:r>
            <w:r>
              <w:rPr>
                <w:rFonts w:hint="eastAsia" w:ascii="黑体" w:hAnsi="黑体" w:eastAsia="黑体" w:cs="黑体"/>
                <w:b/>
                <w:bCs/>
                <w:color w:val="auto"/>
                <w:highlight w:val="none"/>
                <w:lang w:val="en-US" w:eastAsia="zh-CN"/>
              </w:rPr>
              <w:t>；第二包：2000000.00元）</w:t>
            </w:r>
          </w:p>
        </w:tc>
      </w:tr>
      <w:tr w14:paraId="75D8E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8" w:hRule="atLeast"/>
          <w:jc w:val="center"/>
        </w:trPr>
        <w:tc>
          <w:tcPr>
            <w:tcW w:w="1393" w:type="dxa"/>
            <w:vAlign w:val="center"/>
          </w:tcPr>
          <w:p w14:paraId="1F6D0963">
            <w:pPr>
              <w:keepNext w:val="0"/>
              <w:keepLines w:val="0"/>
              <w:pageBreakBefore w:val="0"/>
              <w:widowControl w:val="0"/>
              <w:kinsoku/>
              <w:wordWrap/>
              <w:overflowPunct/>
              <w:topLinePunct w:val="0"/>
              <w:bidi w:val="0"/>
              <w:spacing w:line="500" w:lineRule="exact"/>
              <w:jc w:val="center"/>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w:t>
            </w:r>
          </w:p>
        </w:tc>
        <w:tc>
          <w:tcPr>
            <w:tcW w:w="8646" w:type="dxa"/>
            <w:vAlign w:val="center"/>
          </w:tcPr>
          <w:p w14:paraId="64F93BDB">
            <w:pPr>
              <w:keepNext w:val="0"/>
              <w:keepLines w:val="0"/>
              <w:pageBreakBefore w:val="0"/>
              <w:widowControl w:val="0"/>
              <w:kinsoku/>
              <w:wordWrap/>
              <w:overflowPunct/>
              <w:topLinePunct w:val="0"/>
              <w:bidi w:val="0"/>
              <w:spacing w:line="500" w:lineRule="exact"/>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投标保证金形式：☑保函  ☑电汇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支票   ☑对公转账   </w:t>
            </w:r>
          </w:p>
          <w:p w14:paraId="6AA4ACCF">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投标保证金金额：（</w:t>
            </w:r>
            <w:r>
              <w:rPr>
                <w:rFonts w:hint="eastAsia" w:ascii="微软雅黑" w:hAnsi="微软雅黑" w:eastAsia="微软雅黑" w:cs="微软雅黑"/>
                <w:color w:val="auto"/>
                <w:sz w:val="24"/>
                <w:szCs w:val="24"/>
                <w:highlight w:val="none"/>
              </w:rPr>
              <w:t>按照预算金额2%以内的整数计算</w:t>
            </w:r>
            <w:r>
              <w:rPr>
                <w:rFonts w:hint="eastAsia" w:ascii="微软雅黑" w:hAnsi="微软雅黑" w:eastAsia="微软雅黑" w:cs="微软雅黑"/>
                <w:b/>
                <w:bCs/>
                <w:color w:val="auto"/>
                <w:sz w:val="24"/>
                <w:szCs w:val="24"/>
                <w:highlight w:val="none"/>
              </w:rPr>
              <w:t>）</w:t>
            </w:r>
          </w:p>
          <w:p w14:paraId="7028213F">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第一包：48000.00元（大写：肆万捌仟元整）</w:t>
            </w:r>
          </w:p>
          <w:p w14:paraId="0BF9D418">
            <w:pPr>
              <w:keepNext w:val="0"/>
              <w:keepLines w:val="0"/>
              <w:pageBreakBefore w:val="0"/>
              <w:widowControl w:val="0"/>
              <w:kinsoku/>
              <w:wordWrap/>
              <w:overflowPunct/>
              <w:topLinePunct w:val="0"/>
              <w:bidi w:val="0"/>
              <w:spacing w:line="500" w:lineRule="exact"/>
              <w:textAlignment w:val="auto"/>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第二包：40000.00元（大写：肆万元整）</w:t>
            </w:r>
          </w:p>
          <w:p w14:paraId="75E68D81">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账户名称:</w:t>
            </w:r>
            <w:r>
              <w:rPr>
                <w:rFonts w:hint="eastAsia" w:ascii="微软雅黑" w:hAnsi="微软雅黑" w:eastAsia="微软雅黑" w:cs="微软雅黑"/>
                <w:color w:val="auto"/>
                <w:sz w:val="24"/>
                <w:szCs w:val="24"/>
                <w:highlight w:val="none"/>
                <w:lang w:val="en-US" w:eastAsia="zh-CN"/>
              </w:rPr>
              <w:t>新疆金之帆项目管理咨询有限公司</w:t>
            </w:r>
          </w:p>
          <w:p w14:paraId="1687DAF8">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开户行：广发银行股份乌鲁木齐昆仑路支行</w:t>
            </w:r>
          </w:p>
          <w:p w14:paraId="405EC6D2">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银行账号：9550880241004400198</w:t>
            </w:r>
          </w:p>
          <w:p w14:paraId="08964B37">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联系人：</w:t>
            </w:r>
            <w:r>
              <w:rPr>
                <w:rFonts w:hint="eastAsia" w:ascii="微软雅黑" w:hAnsi="微软雅黑" w:eastAsia="微软雅黑" w:cs="微软雅黑"/>
                <w:color w:val="auto"/>
                <w:sz w:val="24"/>
                <w:szCs w:val="24"/>
                <w:highlight w:val="none"/>
                <w:lang w:val="en-US" w:eastAsia="zh-CN"/>
              </w:rPr>
              <w:t>马为民</w:t>
            </w:r>
            <w:r>
              <w:rPr>
                <w:rFonts w:hint="eastAsia" w:ascii="微软雅黑" w:hAnsi="微软雅黑" w:eastAsia="微软雅黑" w:cs="微软雅黑"/>
                <w:b/>
                <w:bCs/>
                <w:color w:val="auto"/>
                <w:sz w:val="24"/>
                <w:szCs w:val="24"/>
                <w:highlight w:val="none"/>
                <w:lang w:val="en-US" w:eastAsia="zh-CN"/>
              </w:rPr>
              <w:t xml:space="preserve">     联系电话：</w:t>
            </w:r>
            <w:r>
              <w:rPr>
                <w:rStyle w:val="37"/>
                <w:rFonts w:hint="eastAsia" w:ascii="微软雅黑" w:hAnsi="微软雅黑" w:eastAsia="微软雅黑" w:cs="微软雅黑"/>
                <w:color w:val="auto"/>
                <w:highlight w:val="none"/>
                <w:lang w:val="en-US" w:eastAsia="zh-CN"/>
              </w:rPr>
              <w:t>18109918226</w:t>
            </w:r>
          </w:p>
          <w:p w14:paraId="49B5C4D6">
            <w:pPr>
              <w:keepNext w:val="0"/>
              <w:keepLines w:val="0"/>
              <w:pageBreakBefore w:val="0"/>
              <w:widowControl w:val="0"/>
              <w:kinsoku/>
              <w:wordWrap/>
              <w:overflowPunct/>
              <w:topLinePunct w:val="0"/>
              <w:bidi w:val="0"/>
              <w:spacing w:line="500" w:lineRule="exact"/>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（电汇时请在汇款备注栏注明：项目名称</w:t>
            </w:r>
            <w:r>
              <w:rPr>
                <w:rFonts w:hint="eastAsia" w:ascii="微软雅黑" w:hAnsi="微软雅黑" w:eastAsia="微软雅黑" w:cs="微软雅黑"/>
                <w:b/>
                <w:bCs/>
                <w:color w:val="auto"/>
                <w:sz w:val="24"/>
                <w:szCs w:val="24"/>
                <w:highlight w:val="none"/>
                <w:lang w:eastAsia="zh-CN"/>
              </w:rPr>
              <w:t>（简称）</w:t>
            </w:r>
            <w:r>
              <w:rPr>
                <w:rFonts w:hint="eastAsia" w:ascii="微软雅黑" w:hAnsi="微软雅黑" w:eastAsia="微软雅黑" w:cs="微软雅黑"/>
                <w:b/>
                <w:bCs/>
                <w:color w:val="auto"/>
                <w:sz w:val="24"/>
                <w:szCs w:val="24"/>
                <w:highlight w:val="none"/>
              </w:rPr>
              <w:t xml:space="preserve">，并注明是投标保证金。）      </w:t>
            </w:r>
            <w:r>
              <w:rPr>
                <w:rFonts w:hint="eastAsia" w:ascii="微软雅黑" w:hAnsi="微软雅黑" w:eastAsia="微软雅黑" w:cs="微软雅黑"/>
                <w:color w:val="auto"/>
                <w:sz w:val="24"/>
                <w:szCs w:val="24"/>
                <w:highlight w:val="none"/>
              </w:rPr>
              <w:t xml:space="preserve">    </w:t>
            </w:r>
          </w:p>
          <w:p w14:paraId="4670C5A5">
            <w:pPr>
              <w:keepNext w:val="0"/>
              <w:keepLines w:val="0"/>
              <w:pageBreakBefore w:val="0"/>
              <w:widowControl w:val="0"/>
              <w:kinsoku/>
              <w:wordWrap/>
              <w:overflowPunct/>
              <w:topLinePunct w:val="0"/>
              <w:bidi w:val="0"/>
              <w:spacing w:line="500" w:lineRule="exact"/>
              <w:ind w:firstLine="480" w:firstLineChars="200"/>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保证金缴纳要求：</w:t>
            </w:r>
            <w:r>
              <w:rPr>
                <w:rFonts w:hint="eastAsia" w:ascii="微软雅黑" w:hAnsi="微软雅黑" w:eastAsia="微软雅黑" w:cs="微软雅黑"/>
                <w:color w:val="auto"/>
                <w:sz w:val="24"/>
                <w:szCs w:val="24"/>
                <w:highlight w:val="none"/>
              </w:rPr>
              <w:t>采用对公转账方式的，保证金须在开标前从投标供应商的基本账户一次性汇入指定账户，不接受现金、支票及任何个人、分公司汇款。若没有在规定时间内汇入指定账户，视为自动放弃本项目投标。打款时注明投标保证金项目名称。</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未按本条规定提交投标保证金的，其投标将被认定为投标无效。</w:t>
            </w:r>
          </w:p>
          <w:p w14:paraId="4FBDFB58">
            <w:pPr>
              <w:keepNext w:val="0"/>
              <w:keepLines w:val="0"/>
              <w:pageBreakBefore w:val="0"/>
              <w:widowControl w:val="0"/>
              <w:kinsoku/>
              <w:wordWrap/>
              <w:overflowPunct/>
              <w:topLinePunct w:val="0"/>
              <w:bidi w:val="0"/>
              <w:spacing w:line="500" w:lineRule="exact"/>
              <w:ind w:firstLine="480" w:firstLineChars="200"/>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保证金的退还：</w:t>
            </w:r>
            <w:r>
              <w:rPr>
                <w:rFonts w:hint="eastAsia" w:ascii="微软雅黑" w:hAnsi="微软雅黑" w:eastAsia="微软雅黑" w:cs="微软雅黑"/>
                <w:color w:val="auto"/>
                <w:sz w:val="24"/>
                <w:szCs w:val="24"/>
                <w:highlight w:val="none"/>
              </w:rPr>
              <w:t>依据财库</w:t>
            </w:r>
            <w:r>
              <w:rPr>
                <w:color w:val="auto"/>
                <w:highlight w:val="none"/>
              </w:rPr>
              <w:fldChar w:fldCharType="begin"/>
            </w:r>
            <w:r>
              <w:rPr>
                <w:color w:val="auto"/>
                <w:highlight w:val="none"/>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color w:val="auto"/>
                <w:highlight w:val="none"/>
              </w:rPr>
              <w:fldChar w:fldCharType="separate"/>
            </w:r>
            <w:r>
              <w:rPr>
                <w:rFonts w:hint="eastAsia" w:ascii="微软雅黑" w:hAnsi="微软雅黑" w:eastAsia="微软雅黑" w:cs="微软雅黑"/>
                <w:color w:val="auto"/>
                <w:sz w:val="24"/>
                <w:szCs w:val="24"/>
                <w:highlight w:val="none"/>
              </w:rPr>
              <w:t>《中华人民共和国政府采购法实施条例》第三十三条规定，①未中标供应商的投标保证金在中标通知书发出后5个工作日内退还；②中标供应商的保证金在供应商与采购人采购合同签订后5个工作日内退还（供应商需将采购合同发至邮箱后</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t>，5个工作日内原账户退回）。</w:t>
            </w:r>
          </w:p>
        </w:tc>
      </w:tr>
      <w:tr w14:paraId="10EA3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3" w:hRule="atLeast"/>
          <w:jc w:val="center"/>
        </w:trPr>
        <w:tc>
          <w:tcPr>
            <w:tcW w:w="1393" w:type="dxa"/>
            <w:vAlign w:val="center"/>
          </w:tcPr>
          <w:p w14:paraId="3562252F">
            <w:pPr>
              <w:keepNext w:val="0"/>
              <w:keepLines w:val="0"/>
              <w:pageBreakBefore w:val="0"/>
              <w:widowControl w:val="0"/>
              <w:kinsoku/>
              <w:wordWrap/>
              <w:overflowPunct/>
              <w:topLinePunct w:val="0"/>
              <w:bidi w:val="0"/>
              <w:spacing w:line="500" w:lineRule="exact"/>
              <w:jc w:val="center"/>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w:t>
            </w:r>
          </w:p>
        </w:tc>
        <w:tc>
          <w:tcPr>
            <w:tcW w:w="8646" w:type="dxa"/>
            <w:vAlign w:val="center"/>
          </w:tcPr>
          <w:p w14:paraId="178070CE">
            <w:pPr>
              <w:keepNext w:val="0"/>
              <w:keepLines w:val="0"/>
              <w:pageBreakBefore w:val="0"/>
              <w:widowControl w:val="0"/>
              <w:kinsoku/>
              <w:wordWrap/>
              <w:overflowPunct/>
              <w:topLinePunct w:val="0"/>
              <w:bidi w:val="0"/>
              <w:spacing w:line="500" w:lineRule="exact"/>
              <w:textAlignment w:val="auto"/>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投标有效期：</w:t>
            </w:r>
            <w:r>
              <w:rPr>
                <w:rFonts w:hint="eastAsia" w:ascii="微软雅黑" w:hAnsi="微软雅黑" w:eastAsia="微软雅黑" w:cs="微软雅黑"/>
                <w:color w:val="auto"/>
                <w:sz w:val="24"/>
                <w:szCs w:val="24"/>
                <w:highlight w:val="none"/>
                <w:u w:val="single"/>
              </w:rPr>
              <w:t>　90　</w:t>
            </w:r>
            <w:r>
              <w:rPr>
                <w:rFonts w:hint="eastAsia" w:ascii="微软雅黑" w:hAnsi="微软雅黑" w:eastAsia="微软雅黑" w:cs="微软雅黑"/>
                <w:color w:val="auto"/>
                <w:sz w:val="24"/>
                <w:szCs w:val="24"/>
                <w:highlight w:val="none"/>
              </w:rPr>
              <w:t>日历日</w:t>
            </w:r>
          </w:p>
        </w:tc>
      </w:tr>
      <w:tr w14:paraId="39871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82" w:hRule="atLeast"/>
          <w:jc w:val="center"/>
        </w:trPr>
        <w:tc>
          <w:tcPr>
            <w:tcW w:w="1393" w:type="dxa"/>
            <w:vAlign w:val="center"/>
          </w:tcPr>
          <w:p w14:paraId="5F6BCA16">
            <w:pPr>
              <w:keepNext w:val="0"/>
              <w:keepLines w:val="0"/>
              <w:pageBreakBefore w:val="0"/>
              <w:widowControl w:val="0"/>
              <w:kinsoku/>
              <w:wordWrap/>
              <w:overflowPunct/>
              <w:topLinePunct w:val="0"/>
              <w:bidi w:val="0"/>
              <w:spacing w:line="500" w:lineRule="exact"/>
              <w:jc w:val="center"/>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w:t>
            </w:r>
          </w:p>
        </w:tc>
        <w:tc>
          <w:tcPr>
            <w:tcW w:w="8646" w:type="dxa"/>
            <w:vAlign w:val="center"/>
          </w:tcPr>
          <w:p w14:paraId="2B364030">
            <w:pPr>
              <w:pStyle w:val="4"/>
              <w:keepNext w:val="0"/>
              <w:keepLines w:val="0"/>
              <w:pageBreakBefore w:val="0"/>
              <w:widowControl w:val="0"/>
              <w:kinsoku/>
              <w:wordWrap/>
              <w:overflowPunct/>
              <w:topLinePunct w:val="0"/>
              <w:bidi w:val="0"/>
              <w:spacing w:line="500" w:lineRule="exact"/>
              <w:ind w:left="0" w:leftChars="0" w:firstLine="480" w:firstLineChars="20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（1）本项目为电子招投标，供应商需要使用CA加密设备，凡参加本项目</w:t>
            </w:r>
            <w:r>
              <w:rPr>
                <w:rFonts w:hint="eastAsia" w:ascii="微软雅黑" w:hAnsi="微软雅黑" w:eastAsia="微软雅黑" w:cs="微软雅黑"/>
                <w:color w:val="auto"/>
                <w:sz w:val="24"/>
                <w:szCs w:val="24"/>
                <w:highlight w:val="none"/>
                <w:lang w:eastAsia="zh-CN"/>
              </w:rPr>
              <w:t>必须</w:t>
            </w:r>
            <w:r>
              <w:rPr>
                <w:rFonts w:hint="eastAsia" w:ascii="微软雅黑" w:hAnsi="微软雅黑" w:eastAsia="微软雅黑" w:cs="微软雅黑"/>
                <w:color w:val="auto"/>
                <w:sz w:val="24"/>
                <w:szCs w:val="24"/>
                <w:highlight w:val="none"/>
              </w:rPr>
              <w:t>自主通过新疆CA申领渠道“新疆政务通”申请政采云平台可使用的CA设备，如原有兵团或公共资源使用的CA，可与新疆CA联系，申请增加电子证书即可，无需重复申领。</w:t>
            </w:r>
          </w:p>
          <w:p w14:paraId="7F833921">
            <w:pPr>
              <w:pStyle w:val="4"/>
              <w:keepNext w:val="0"/>
              <w:keepLines w:val="0"/>
              <w:pageBreakBefore w:val="0"/>
              <w:widowControl w:val="0"/>
              <w:kinsoku/>
              <w:wordWrap/>
              <w:overflowPunct/>
              <w:topLinePunct w:val="0"/>
              <w:bidi w:val="0"/>
              <w:spacing w:line="500" w:lineRule="exact"/>
              <w:ind w:left="0" w:leftChars="0" w:firstLine="480" w:firstLineChars="20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（2）本项目实行网上投标，采用电子投标文件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供应商须使用CA加密设备通过政采云电子投标客户端制作投标文件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。若供应商参与投标，自行承担投标一切费用。</w:t>
            </w:r>
          </w:p>
          <w:p w14:paraId="69E628CC">
            <w:pPr>
              <w:pStyle w:val="4"/>
              <w:keepNext w:val="0"/>
              <w:keepLines w:val="0"/>
              <w:pageBreakBefore w:val="0"/>
              <w:widowControl w:val="0"/>
              <w:kinsoku/>
              <w:wordWrap/>
              <w:overflowPunct/>
              <w:topLinePunct w:val="0"/>
              <w:bidi w:val="0"/>
              <w:spacing w:line="500" w:lineRule="exact"/>
              <w:ind w:left="0" w:leftChars="0" w:firstLine="480" w:firstLineChars="20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68EF03D3">
            <w:pPr>
              <w:pStyle w:val="4"/>
              <w:keepNext w:val="0"/>
              <w:keepLines w:val="0"/>
              <w:pageBreakBefore w:val="0"/>
              <w:widowControl w:val="0"/>
              <w:kinsoku/>
              <w:wordWrap/>
              <w:overflowPunct/>
              <w:topLinePunct w:val="0"/>
              <w:bidi w:val="0"/>
              <w:spacing w:line="50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29D85BE8">
            <w:pPr>
              <w:pStyle w:val="4"/>
              <w:keepNext w:val="0"/>
              <w:keepLines w:val="0"/>
              <w:pageBreakBefore w:val="0"/>
              <w:widowControl w:val="0"/>
              <w:kinsoku/>
              <w:wordWrap/>
              <w:overflowPunct/>
              <w:topLinePunct w:val="0"/>
              <w:bidi w:val="0"/>
              <w:spacing w:line="50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（5）供应商在开标时须使用制作加密电子投标文件所使用的CA锁及电脑，电脑须提前配置好浏览器（建议使用谷歌浏览器），以便开标时解锁。</w:t>
            </w:r>
          </w:p>
          <w:p w14:paraId="64E89D4A">
            <w:pPr>
              <w:pStyle w:val="4"/>
              <w:keepNext w:val="0"/>
              <w:keepLines w:val="0"/>
              <w:pageBreakBefore w:val="0"/>
              <w:widowControl w:val="0"/>
              <w:kinsoku/>
              <w:wordWrap/>
              <w:overflowPunct/>
              <w:topLinePunct w:val="0"/>
              <w:bidi w:val="0"/>
              <w:spacing w:line="50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（6）投标保证金缴纳及确认时间：凡拟参加本次招标项目的供应商，必须在开标前将投标保证金汇入指定账户。投标保证金汇款凭证上用途栏应注明</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招标项目名称+投标保证金。否则，届时其投标将被拒绝。</w:t>
            </w:r>
          </w:p>
          <w:p w14:paraId="210CA1BE">
            <w:pPr>
              <w:pStyle w:val="4"/>
              <w:keepNext w:val="0"/>
              <w:keepLines w:val="0"/>
              <w:pageBreakBefore w:val="0"/>
              <w:widowControl w:val="0"/>
              <w:kinsoku/>
              <w:wordWrap/>
              <w:overflowPunct/>
              <w:topLinePunct w:val="0"/>
              <w:bidi w:val="0"/>
              <w:spacing w:line="50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电子招投标”—“政府采购项目电子交易管理操作指南</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7CA1402D">
            <w:pPr>
              <w:pStyle w:val="4"/>
              <w:keepNext w:val="0"/>
              <w:keepLines w:val="0"/>
              <w:pageBreakBefore w:val="0"/>
              <w:widowControl w:val="0"/>
              <w:kinsoku/>
              <w:wordWrap/>
              <w:overflowPunct/>
              <w:topLinePunct w:val="0"/>
              <w:bidi w:val="0"/>
              <w:spacing w:line="500" w:lineRule="exact"/>
              <w:ind w:left="0" w:leftChars="0" w:firstLine="0" w:firstLineChars="0"/>
              <w:jc w:val="both"/>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（8）各供应商须在投标截止时间前完成在系统上递交电子投标文件。投标供应商的电子投标文件是经过CA证书加密后上传提交的，任何单位或个人均无法在投标截止时间</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即开标时间</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之前查看或篡改，不存在泄密风险。（严格按照政采云电子投标流程制作并上传电子投标文件）</w:t>
            </w:r>
            <w:r>
              <w:rPr>
                <w:rFonts w:hint="eastAsia" w:ascii="微软雅黑" w:hAnsi="微软雅黑" w:eastAsia="微软雅黑" w:cs="微软雅黑"/>
                <w:color w:val="auto"/>
                <w:sz w:val="24"/>
                <w:szCs w:val="24"/>
                <w:highlight w:val="none"/>
                <w:lang w:eastAsia="zh-CN"/>
              </w:rPr>
              <w:t>。</w:t>
            </w:r>
          </w:p>
          <w:p w14:paraId="29EB1685">
            <w:pPr>
              <w:pStyle w:val="5"/>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lang w:eastAsia="zh-CN"/>
              </w:rPr>
              <w:t>）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63A8C289">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lang w:eastAsia="zh-CN"/>
              </w:rPr>
              <w:t>）参与“不见面”开标的采购人或其委托代理机构、供应商等各交易主体，应当按照规定使用CA数字证书及电子签章。各方主体在系统中所有操作均具有法律效力，并承担法律责任。</w:t>
            </w:r>
          </w:p>
          <w:p w14:paraId="33ED4383">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lang w:eastAsia="zh-CN"/>
              </w:rPr>
              <w:t>）供应商由于数字证书遗失、损坏、更换、续期等情况导致投标文件无法解密，由供应商自行承担责任。</w:t>
            </w:r>
          </w:p>
          <w:p w14:paraId="39B76998">
            <w:pPr>
              <w:keepNext w:val="0"/>
              <w:keepLines w:val="0"/>
              <w:pageBreakBefore w:val="0"/>
              <w:widowControl w:val="0"/>
              <w:kinsoku/>
              <w:wordWrap/>
              <w:overflowPunct/>
              <w:topLinePunct w:val="0"/>
              <w:bidi w:val="0"/>
              <w:adjustRightInd w:val="0"/>
              <w:snapToGrid w:val="0"/>
              <w:spacing w:before="156" w:beforeLines="50" w:line="500" w:lineRule="exact"/>
              <w:textAlignment w:val="auto"/>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lang w:val="en-US" w:eastAsia="zh-CN"/>
              </w:rPr>
              <w:t>12</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rPr>
              <w:t>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35777A7F">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lang w:val="en-US" w:eastAsia="zh-CN"/>
              </w:rPr>
              <w:t>13</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rPr>
              <w:t>开标、评标过程中，供应商参与远程音视频交互（以下简称“交互”）的</w:t>
            </w:r>
            <w:r>
              <w:rPr>
                <w:rFonts w:hint="eastAsia" w:ascii="微软雅黑" w:hAnsi="微软雅黑" w:eastAsia="微软雅黑" w:cs="微软雅黑"/>
                <w:color w:val="auto"/>
                <w:sz w:val="24"/>
                <w:szCs w:val="24"/>
                <w:highlight w:val="none"/>
                <w:u w:val="none"/>
                <w:lang w:eastAsia="zh-CN"/>
              </w:rPr>
              <w:t>法定代表人</w:t>
            </w:r>
            <w:r>
              <w:rPr>
                <w:rFonts w:hint="eastAsia" w:ascii="微软雅黑" w:hAnsi="微软雅黑" w:eastAsia="微软雅黑" w:cs="微软雅黑"/>
                <w:color w:val="auto"/>
                <w:sz w:val="24"/>
                <w:szCs w:val="24"/>
                <w:highlight w:val="none"/>
                <w:u w:val="none"/>
              </w:rPr>
              <w:t>或授权委托人应始终为同一人，中途不得更换，并保持签到的</w:t>
            </w:r>
            <w:r>
              <w:rPr>
                <w:rFonts w:hint="eastAsia" w:ascii="微软雅黑" w:hAnsi="微软雅黑" w:eastAsia="微软雅黑" w:cs="微软雅黑"/>
                <w:color w:val="auto"/>
                <w:sz w:val="24"/>
                <w:szCs w:val="24"/>
                <w:highlight w:val="none"/>
                <w:u w:val="none"/>
                <w:lang w:eastAsia="zh-CN"/>
              </w:rPr>
              <w:t>通信畅通</w:t>
            </w:r>
            <w:r>
              <w:rPr>
                <w:rFonts w:hint="eastAsia" w:ascii="微软雅黑" w:hAnsi="微软雅黑" w:eastAsia="微软雅黑" w:cs="微软雅黑"/>
                <w:color w:val="auto"/>
                <w:sz w:val="24"/>
                <w:szCs w:val="24"/>
                <w:highlight w:val="none"/>
                <w:u w:val="none"/>
              </w:rPr>
              <w:t>。供应商端口操作人员均被视为供应商法人代表或授权委托人，供应商自行承担随意更换人员所导致的一切后果。</w:t>
            </w:r>
          </w:p>
          <w:p w14:paraId="1F44272E">
            <w:pPr>
              <w:pStyle w:val="4"/>
              <w:keepNext w:val="0"/>
              <w:keepLines w:val="0"/>
              <w:pageBreakBefore w:val="0"/>
              <w:widowControl w:val="0"/>
              <w:kinsoku/>
              <w:wordWrap/>
              <w:overflowPunct/>
              <w:topLinePunct w:val="0"/>
              <w:bidi w:val="0"/>
              <w:spacing w:line="500" w:lineRule="exact"/>
              <w:ind w:left="0" w:leftChars="0" w:firstLine="0" w:firstLineChars="0"/>
              <w:jc w:val="both"/>
              <w:textAlignment w:val="auto"/>
              <w:rPr>
                <w:rFonts w:ascii="微软雅黑" w:hAnsi="微软雅黑" w:eastAsia="微软雅黑" w:cs="微软雅黑"/>
                <w:color w:val="auto"/>
                <w:highlight w:val="none"/>
              </w:rPr>
            </w:pP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14</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eastAsia="zh-CN"/>
              </w:rPr>
              <w:t>投标文件</w:t>
            </w:r>
            <w:r>
              <w:rPr>
                <w:rFonts w:hint="eastAsia" w:ascii="微软雅黑" w:hAnsi="微软雅黑" w:eastAsia="微软雅黑" w:cs="微软雅黑"/>
                <w:b/>
                <w:bCs/>
                <w:color w:val="auto"/>
                <w:sz w:val="24"/>
                <w:szCs w:val="24"/>
                <w:highlight w:val="none"/>
              </w:rPr>
              <w:t>解密时长为30分钟。</w:t>
            </w:r>
          </w:p>
        </w:tc>
      </w:tr>
      <w:tr w14:paraId="7FC6A6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3" w:hRule="atLeast"/>
          <w:jc w:val="center"/>
        </w:trPr>
        <w:tc>
          <w:tcPr>
            <w:tcW w:w="1393" w:type="dxa"/>
            <w:vAlign w:val="center"/>
          </w:tcPr>
          <w:p w14:paraId="6769505B">
            <w:pPr>
              <w:keepNext w:val="0"/>
              <w:keepLines w:val="0"/>
              <w:pageBreakBefore w:val="0"/>
              <w:widowControl w:val="0"/>
              <w:kinsoku/>
              <w:wordWrap/>
              <w:overflowPunct/>
              <w:topLinePunct w:val="0"/>
              <w:bidi w:val="0"/>
              <w:spacing w:line="5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w:t>
            </w:r>
          </w:p>
        </w:tc>
        <w:tc>
          <w:tcPr>
            <w:tcW w:w="8646" w:type="dxa"/>
            <w:shd w:val="clear" w:color="auto" w:fill="auto"/>
            <w:vAlign w:val="center"/>
          </w:tcPr>
          <w:p w14:paraId="4A1B12F4">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投标截止时间：202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20</w:t>
            </w:r>
            <w:r>
              <w:rPr>
                <w:rFonts w:hint="eastAsia" w:ascii="微软雅黑" w:hAnsi="微软雅黑" w:eastAsia="微软雅黑" w:cs="微软雅黑"/>
                <w:color w:val="auto"/>
                <w:sz w:val="24"/>
                <w:szCs w:val="24"/>
                <w:highlight w:val="none"/>
              </w:rPr>
              <w:t>日1</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（北京时间）</w:t>
            </w:r>
          </w:p>
        </w:tc>
      </w:tr>
      <w:tr w14:paraId="020D1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393" w:type="dxa"/>
            <w:vAlign w:val="center"/>
          </w:tcPr>
          <w:p w14:paraId="51934DC2">
            <w:pPr>
              <w:keepNext w:val="0"/>
              <w:keepLines w:val="0"/>
              <w:pageBreakBefore w:val="0"/>
              <w:widowControl w:val="0"/>
              <w:kinsoku/>
              <w:wordWrap/>
              <w:overflowPunct/>
              <w:topLinePunct w:val="0"/>
              <w:bidi w:val="0"/>
              <w:spacing w:line="5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18.1</w:t>
            </w:r>
          </w:p>
        </w:tc>
        <w:tc>
          <w:tcPr>
            <w:tcW w:w="8646" w:type="dxa"/>
            <w:shd w:val="clear" w:color="auto" w:fill="auto"/>
            <w:vAlign w:val="center"/>
          </w:tcPr>
          <w:p w14:paraId="685E61D6">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开标时间：202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20</w:t>
            </w:r>
            <w:r>
              <w:rPr>
                <w:rFonts w:hint="eastAsia" w:ascii="微软雅黑" w:hAnsi="微软雅黑" w:eastAsia="微软雅黑" w:cs="微软雅黑"/>
                <w:color w:val="auto"/>
                <w:sz w:val="24"/>
                <w:szCs w:val="24"/>
                <w:highlight w:val="none"/>
              </w:rPr>
              <w:t>日1</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（北京时间）</w:t>
            </w:r>
          </w:p>
          <w:p w14:paraId="76962A00">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开标地点：政采云平台（https://login.zcygov.cn/user-login/#/login）</w:t>
            </w:r>
          </w:p>
        </w:tc>
      </w:tr>
      <w:tr w14:paraId="05E70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3" w:hRule="atLeast"/>
          <w:jc w:val="center"/>
        </w:trPr>
        <w:tc>
          <w:tcPr>
            <w:tcW w:w="1393" w:type="dxa"/>
            <w:vAlign w:val="center"/>
          </w:tcPr>
          <w:p w14:paraId="7F293F52">
            <w:pPr>
              <w:keepNext w:val="0"/>
              <w:keepLines w:val="0"/>
              <w:pageBreakBefore w:val="0"/>
              <w:widowControl w:val="0"/>
              <w:kinsoku/>
              <w:wordWrap/>
              <w:overflowPunct/>
              <w:topLinePunct w:val="0"/>
              <w:bidi w:val="0"/>
              <w:spacing w:line="500" w:lineRule="exact"/>
              <w:jc w:val="center"/>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w:t>
            </w:r>
          </w:p>
        </w:tc>
        <w:tc>
          <w:tcPr>
            <w:tcW w:w="8646" w:type="dxa"/>
            <w:vAlign w:val="center"/>
          </w:tcPr>
          <w:p w14:paraId="07199E44">
            <w:pPr>
              <w:keepNext w:val="0"/>
              <w:keepLines w:val="0"/>
              <w:pageBreakBefore w:val="0"/>
              <w:widowControl w:val="0"/>
              <w:kinsoku/>
              <w:wordWrap/>
              <w:overflowPunct/>
              <w:topLinePunct w:val="0"/>
              <w:bidi w:val="0"/>
              <w:spacing w:line="500" w:lineRule="exact"/>
              <w:textAlignment w:val="auto"/>
              <w:rPr>
                <w:rFonts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评标方法：适用</w:t>
            </w:r>
            <w:r>
              <w:rPr>
                <w:rFonts w:hint="eastAsia" w:ascii="微软雅黑" w:hAnsi="微软雅黑" w:eastAsia="微软雅黑" w:cs="微软雅黑"/>
                <w:color w:val="auto"/>
                <w:sz w:val="24"/>
                <w:szCs w:val="24"/>
                <w:highlight w:val="none"/>
                <w:u w:val="single"/>
              </w:rPr>
              <w:t>　综合评分法　</w:t>
            </w:r>
            <w:r>
              <w:rPr>
                <w:rFonts w:hint="eastAsia" w:ascii="微软雅黑" w:hAnsi="微软雅黑" w:eastAsia="微软雅黑" w:cs="微软雅黑"/>
                <w:color w:val="auto"/>
                <w:sz w:val="24"/>
                <w:szCs w:val="24"/>
                <w:highlight w:val="none"/>
              </w:rPr>
              <w:t>　　　　　</w:t>
            </w:r>
          </w:p>
        </w:tc>
      </w:tr>
      <w:tr w14:paraId="2D87D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3" w:hRule="atLeast"/>
          <w:jc w:val="center"/>
        </w:trPr>
        <w:tc>
          <w:tcPr>
            <w:tcW w:w="1393" w:type="dxa"/>
            <w:vAlign w:val="center"/>
          </w:tcPr>
          <w:p w14:paraId="142CD057">
            <w:pPr>
              <w:keepNext w:val="0"/>
              <w:keepLines w:val="0"/>
              <w:pageBreakBefore w:val="0"/>
              <w:widowControl w:val="0"/>
              <w:kinsoku/>
              <w:wordWrap/>
              <w:overflowPunct/>
              <w:topLinePunct w:val="0"/>
              <w:bidi w:val="0"/>
              <w:spacing w:line="500" w:lineRule="exact"/>
              <w:jc w:val="center"/>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8646" w:type="dxa"/>
            <w:vAlign w:val="center"/>
          </w:tcPr>
          <w:p w14:paraId="6E027E06">
            <w:pPr>
              <w:keepNext w:val="0"/>
              <w:keepLines w:val="0"/>
              <w:pageBreakBefore w:val="0"/>
              <w:widowControl w:val="0"/>
              <w:kinsoku/>
              <w:wordWrap/>
              <w:overflowPunct/>
              <w:topLinePunct w:val="0"/>
              <w:bidi w:val="0"/>
              <w:spacing w:line="500" w:lineRule="exact"/>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中标供应商的数量：</w:t>
            </w:r>
            <w:r>
              <w:rPr>
                <w:rFonts w:hint="eastAsia" w:ascii="微软雅黑" w:hAnsi="微软雅黑" w:eastAsia="微软雅黑" w:cs="微软雅黑"/>
                <w:color w:val="auto"/>
                <w:sz w:val="24"/>
                <w:szCs w:val="24"/>
                <w:highlight w:val="none"/>
                <w:u w:val="single"/>
              </w:rPr>
              <w:t>　 1　</w:t>
            </w:r>
            <w:r>
              <w:rPr>
                <w:rFonts w:hint="eastAsia" w:ascii="微软雅黑" w:hAnsi="微软雅黑" w:eastAsia="微软雅黑" w:cs="微软雅黑"/>
                <w:color w:val="auto"/>
                <w:sz w:val="24"/>
                <w:szCs w:val="24"/>
                <w:highlight w:val="none"/>
                <w:u w:val="single"/>
                <w:lang w:eastAsia="zh-CN"/>
              </w:rPr>
              <w:t>（</w:t>
            </w:r>
            <w:r>
              <w:rPr>
                <w:rFonts w:hint="eastAsia" w:ascii="微软雅黑" w:hAnsi="微软雅黑" w:eastAsia="微软雅黑" w:cs="微软雅黑"/>
                <w:color w:val="auto"/>
                <w:sz w:val="24"/>
                <w:szCs w:val="24"/>
                <w:highlight w:val="none"/>
                <w:u w:val="single"/>
                <w:lang w:val="en-US" w:eastAsia="zh-CN"/>
              </w:rPr>
              <w:t>每包</w:t>
            </w:r>
            <w:r>
              <w:rPr>
                <w:rFonts w:hint="eastAsia" w:ascii="微软雅黑" w:hAnsi="微软雅黑" w:eastAsia="微软雅黑" w:cs="微软雅黑"/>
                <w:color w:val="auto"/>
                <w:sz w:val="24"/>
                <w:szCs w:val="24"/>
                <w:highlight w:val="none"/>
                <w:u w:val="single"/>
                <w:lang w:eastAsia="zh-CN"/>
              </w:rPr>
              <w:t>）</w:t>
            </w:r>
            <w:r>
              <w:rPr>
                <w:rFonts w:hint="eastAsia" w:ascii="微软雅黑" w:hAnsi="微软雅黑" w:eastAsia="微软雅黑" w:cs="微软雅黑"/>
                <w:color w:val="auto"/>
                <w:sz w:val="24"/>
                <w:szCs w:val="24"/>
                <w:highlight w:val="none"/>
                <w:u w:val="single"/>
              </w:rPr>
              <w:t>　</w:t>
            </w:r>
          </w:p>
        </w:tc>
      </w:tr>
      <w:tr w14:paraId="634E5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3" w:hRule="atLeast"/>
          <w:jc w:val="center"/>
        </w:trPr>
        <w:tc>
          <w:tcPr>
            <w:tcW w:w="1393" w:type="dxa"/>
            <w:vAlign w:val="center"/>
          </w:tcPr>
          <w:p w14:paraId="15E8D7EE">
            <w:pPr>
              <w:keepNext w:val="0"/>
              <w:keepLines w:val="0"/>
              <w:pageBreakBefore w:val="0"/>
              <w:widowControl w:val="0"/>
              <w:kinsoku/>
              <w:wordWrap/>
              <w:overflowPunct/>
              <w:topLinePunct w:val="0"/>
              <w:bidi w:val="0"/>
              <w:spacing w:line="500" w:lineRule="exact"/>
              <w:jc w:val="center"/>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8646" w:type="dxa"/>
            <w:vAlign w:val="center"/>
          </w:tcPr>
          <w:p w14:paraId="7278EF32">
            <w:pPr>
              <w:keepNext w:val="0"/>
              <w:keepLines w:val="0"/>
              <w:pageBreakBefore w:val="0"/>
              <w:widowControl w:val="0"/>
              <w:kinsoku/>
              <w:wordWrap/>
              <w:overflowPunct/>
              <w:topLinePunct w:val="0"/>
              <w:bidi w:val="0"/>
              <w:spacing w:line="500" w:lineRule="exact"/>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招标人是否委托评标委员会直接确定中标人：</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i/>
                <w:iCs/>
                <w:color w:val="auto"/>
                <w:sz w:val="24"/>
                <w:szCs w:val="24"/>
                <w:highlight w:val="none"/>
              </w:rPr>
              <w:t>（是、否）</w:t>
            </w:r>
          </w:p>
        </w:tc>
      </w:tr>
      <w:tr w14:paraId="7B6C1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1" w:hRule="atLeast"/>
          <w:jc w:val="center"/>
        </w:trPr>
        <w:tc>
          <w:tcPr>
            <w:tcW w:w="1393" w:type="dxa"/>
            <w:vAlign w:val="center"/>
          </w:tcPr>
          <w:p w14:paraId="5E949FD4">
            <w:pPr>
              <w:keepNext w:val="0"/>
              <w:keepLines w:val="0"/>
              <w:pageBreakBefore w:val="0"/>
              <w:widowControl w:val="0"/>
              <w:kinsoku/>
              <w:wordWrap/>
              <w:overflowPunct/>
              <w:topLinePunct w:val="0"/>
              <w:bidi w:val="0"/>
              <w:spacing w:line="500" w:lineRule="exact"/>
              <w:jc w:val="center"/>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31.1</w:t>
            </w:r>
          </w:p>
        </w:tc>
        <w:tc>
          <w:tcPr>
            <w:tcW w:w="8646" w:type="dxa"/>
            <w:vAlign w:val="center"/>
          </w:tcPr>
          <w:p w14:paraId="2CD9A729">
            <w:pPr>
              <w:keepNext w:val="0"/>
              <w:keepLines w:val="0"/>
              <w:pageBreakBefore w:val="0"/>
              <w:widowControl w:val="0"/>
              <w:kinsoku/>
              <w:wordWrap/>
              <w:overflowPunct/>
              <w:topLinePunct w:val="0"/>
              <w:bidi w:val="0"/>
              <w:spacing w:line="500" w:lineRule="exact"/>
              <w:textAlignment w:val="auto"/>
              <w:rPr>
                <w:rFonts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履约保证金金额：合同总价的</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val="en-US" w:eastAsia="zh-CN"/>
              </w:rPr>
              <w:t>/</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i/>
                <w:iCs/>
                <w:color w:val="auto"/>
                <w:sz w:val="24"/>
                <w:szCs w:val="24"/>
                <w:highlight w:val="none"/>
              </w:rPr>
              <w:t>（不得超过政府采购合同金额的10%）</w:t>
            </w:r>
          </w:p>
          <w:p w14:paraId="55D45891">
            <w:pPr>
              <w:keepNext w:val="0"/>
              <w:keepLines w:val="0"/>
              <w:pageBreakBefore w:val="0"/>
              <w:widowControl w:val="0"/>
              <w:kinsoku/>
              <w:wordWrap/>
              <w:overflowPunct/>
              <w:topLinePunct w:val="0"/>
              <w:bidi w:val="0"/>
              <w:spacing w:line="500" w:lineRule="exact"/>
              <w:textAlignment w:val="auto"/>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履约保证金形式：</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保函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电汇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支票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对公转账</w:t>
            </w:r>
          </w:p>
          <w:p w14:paraId="3F287A28">
            <w:pPr>
              <w:keepNext w:val="0"/>
              <w:keepLines w:val="0"/>
              <w:pageBreakBefore w:val="0"/>
              <w:widowControl w:val="0"/>
              <w:kinsoku/>
              <w:wordWrap/>
              <w:overflowPunct/>
              <w:topLinePunct w:val="0"/>
              <w:bidi w:val="0"/>
              <w:spacing w:line="500" w:lineRule="exact"/>
              <w:textAlignment w:val="auto"/>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提交履约保证金的时间：签订合同</w:t>
            </w:r>
            <w:r>
              <w:rPr>
                <w:rFonts w:hint="eastAsia" w:ascii="微软雅黑" w:hAnsi="微软雅黑" w:eastAsia="微软雅黑" w:cs="微软雅黑"/>
                <w:color w:val="auto"/>
                <w:sz w:val="24"/>
                <w:szCs w:val="24"/>
                <w:highlight w:val="none"/>
                <w:lang w:eastAsia="zh-CN"/>
              </w:rPr>
              <w:t>前</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5</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lang w:eastAsia="zh-CN"/>
              </w:rPr>
              <w:t>个工作日。</w:t>
            </w:r>
          </w:p>
        </w:tc>
      </w:tr>
      <w:tr w14:paraId="14557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48" w:hRule="atLeast"/>
          <w:jc w:val="center"/>
        </w:trPr>
        <w:tc>
          <w:tcPr>
            <w:tcW w:w="1393" w:type="dxa"/>
            <w:vAlign w:val="center"/>
          </w:tcPr>
          <w:p w14:paraId="37C6FAC3">
            <w:pPr>
              <w:keepNext w:val="0"/>
              <w:keepLines w:val="0"/>
              <w:pageBreakBefore w:val="0"/>
              <w:widowControl w:val="0"/>
              <w:kinsoku/>
              <w:wordWrap/>
              <w:overflowPunct/>
              <w:topLinePunct w:val="0"/>
              <w:bidi w:val="0"/>
              <w:spacing w:line="500" w:lineRule="exact"/>
              <w:jc w:val="center"/>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w:t>
            </w:r>
          </w:p>
        </w:tc>
        <w:tc>
          <w:tcPr>
            <w:tcW w:w="8646" w:type="dxa"/>
            <w:vAlign w:val="center"/>
          </w:tcPr>
          <w:p w14:paraId="355024EE">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rPr>
              <w:t>中标服务费：</w:t>
            </w:r>
            <w:r>
              <w:rPr>
                <w:rFonts w:hint="eastAsia" w:ascii="微软雅黑" w:hAnsi="微软雅黑" w:eastAsia="微软雅黑" w:cs="微软雅黑"/>
                <w:b/>
                <w:bCs/>
                <w:color w:val="auto"/>
                <w:sz w:val="24"/>
                <w:szCs w:val="24"/>
                <w:highlight w:val="none"/>
                <w:lang w:val="en-US" w:eastAsia="zh-CN"/>
              </w:rPr>
              <w:t>根据《国家发展改革委关于进一步放开建设项目专业服务价格的通知》发改价格〔2015〕299 号，中标金额为基准计算收取</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eastAsia="zh-CN"/>
              </w:rPr>
              <w:t>（由中标供应商支付）</w:t>
            </w:r>
          </w:p>
          <w:p w14:paraId="40C20A2D">
            <w:pPr>
              <w:keepNext w:val="0"/>
              <w:keepLines w:val="0"/>
              <w:pageBreakBefore w:val="0"/>
              <w:widowControl w:val="0"/>
              <w:kinsoku/>
              <w:wordWrap/>
              <w:overflowPunct/>
              <w:topLinePunct w:val="0"/>
              <w:bidi w:val="0"/>
              <w:spacing w:line="500" w:lineRule="exact"/>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支付形式：</w:t>
            </w:r>
            <w:r>
              <w:rPr>
                <w:rFonts w:hint="eastAsia" w:ascii="微软雅黑" w:hAnsi="微软雅黑" w:eastAsia="微软雅黑" w:cs="微软雅黑"/>
                <w:color w:val="auto"/>
                <w:sz w:val="24"/>
                <w:szCs w:val="24"/>
                <w:highlight w:val="none"/>
                <w:u w:val="single"/>
              </w:rPr>
              <w:t xml:space="preserve">  对公转账  </w:t>
            </w:r>
          </w:p>
          <w:p w14:paraId="31C0A32A">
            <w:pPr>
              <w:keepNext w:val="0"/>
              <w:keepLines w:val="0"/>
              <w:pageBreakBefore w:val="0"/>
              <w:widowControl w:val="0"/>
              <w:kinsoku/>
              <w:wordWrap/>
              <w:overflowPunct/>
              <w:topLinePunct w:val="0"/>
              <w:bidi w:val="0"/>
              <w:spacing w:line="500" w:lineRule="exact"/>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支付时间：</w:t>
            </w:r>
            <w:r>
              <w:rPr>
                <w:rFonts w:hint="eastAsia" w:ascii="微软雅黑" w:hAnsi="微软雅黑" w:eastAsia="微软雅黑" w:cs="微软雅黑"/>
                <w:color w:val="auto"/>
                <w:sz w:val="24"/>
                <w:szCs w:val="24"/>
                <w:highlight w:val="none"/>
                <w:u w:val="single"/>
              </w:rPr>
              <w:t xml:space="preserve">  领取中标通知书时</w:t>
            </w:r>
            <w:r>
              <w:rPr>
                <w:rFonts w:hint="eastAsia" w:ascii="微软雅黑" w:hAnsi="微软雅黑" w:eastAsia="微软雅黑" w:cs="微软雅黑"/>
                <w:color w:val="auto"/>
                <w:sz w:val="24"/>
                <w:szCs w:val="24"/>
                <w:highlight w:val="none"/>
                <w:u w:val="single"/>
                <w:lang w:val="en-US" w:eastAsia="zh-CN"/>
              </w:rPr>
              <w:t>一次性支付</w:t>
            </w:r>
            <w:r>
              <w:rPr>
                <w:rFonts w:hint="eastAsia" w:ascii="微软雅黑" w:hAnsi="微软雅黑" w:eastAsia="微软雅黑" w:cs="微软雅黑"/>
                <w:color w:val="auto"/>
                <w:sz w:val="24"/>
                <w:szCs w:val="24"/>
                <w:highlight w:val="none"/>
                <w:u w:val="single"/>
              </w:rPr>
              <w:t xml:space="preserve"> </w:t>
            </w:r>
          </w:p>
        </w:tc>
      </w:tr>
      <w:tr w14:paraId="020D5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3" w:hRule="atLeast"/>
          <w:jc w:val="center"/>
        </w:trPr>
        <w:tc>
          <w:tcPr>
            <w:tcW w:w="1393" w:type="dxa"/>
            <w:vAlign w:val="center"/>
          </w:tcPr>
          <w:p w14:paraId="4B1314C4">
            <w:pPr>
              <w:keepNext w:val="0"/>
              <w:keepLines w:val="0"/>
              <w:pageBreakBefore w:val="0"/>
              <w:widowControl w:val="0"/>
              <w:kinsoku/>
              <w:wordWrap/>
              <w:overflowPunct/>
              <w:topLinePunct w:val="0"/>
              <w:bidi w:val="0"/>
              <w:spacing w:line="500" w:lineRule="exact"/>
              <w:jc w:val="center"/>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w:t>
            </w:r>
          </w:p>
        </w:tc>
        <w:tc>
          <w:tcPr>
            <w:tcW w:w="8646" w:type="dxa"/>
            <w:vAlign w:val="center"/>
          </w:tcPr>
          <w:p w14:paraId="62FBF991">
            <w:pPr>
              <w:keepNext w:val="0"/>
              <w:keepLines w:val="0"/>
              <w:pageBreakBefore w:val="0"/>
              <w:widowControl w:val="0"/>
              <w:kinsoku/>
              <w:wordWrap/>
              <w:overflowPunct/>
              <w:topLinePunct w:val="0"/>
              <w:bidi w:val="0"/>
              <w:spacing w:line="500" w:lineRule="exact"/>
              <w:textAlignment w:val="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本项目是否属于信用担保试点范围：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是</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i/>
                <w:iCs/>
                <w:color w:val="auto"/>
                <w:sz w:val="24"/>
                <w:szCs w:val="24"/>
                <w:highlight w:val="none"/>
              </w:rPr>
              <w:t>（是、否）</w:t>
            </w:r>
          </w:p>
        </w:tc>
      </w:tr>
      <w:tr w14:paraId="2AB7F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9" w:hRule="atLeast"/>
          <w:jc w:val="center"/>
        </w:trPr>
        <w:tc>
          <w:tcPr>
            <w:tcW w:w="1393" w:type="dxa"/>
            <w:vAlign w:val="center"/>
          </w:tcPr>
          <w:p w14:paraId="5523AE26">
            <w:pPr>
              <w:keepNext w:val="0"/>
              <w:keepLines w:val="0"/>
              <w:pageBreakBefore w:val="0"/>
              <w:widowControl w:val="0"/>
              <w:kinsoku/>
              <w:wordWrap/>
              <w:overflowPunct/>
              <w:topLinePunct w:val="0"/>
              <w:bidi w:val="0"/>
              <w:spacing w:line="5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33.2</w:t>
            </w:r>
          </w:p>
        </w:tc>
        <w:tc>
          <w:tcPr>
            <w:tcW w:w="8646" w:type="dxa"/>
            <w:vAlign w:val="center"/>
          </w:tcPr>
          <w:p w14:paraId="4506D2AA">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根据《政府采购活动中进一步推动开展信用担保工作的通知》相关文件要求 , 本项目允许供应商以专业担保机构出具的保函形式提交政府采购投标（响应）保证金或履约保证金，鼓励使用电子保函。</w:t>
            </w:r>
          </w:p>
        </w:tc>
      </w:tr>
      <w:tr w14:paraId="4407A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393" w:type="dxa"/>
            <w:vAlign w:val="center"/>
          </w:tcPr>
          <w:p w14:paraId="70CCF18B">
            <w:pPr>
              <w:keepNext w:val="0"/>
              <w:keepLines w:val="0"/>
              <w:pageBreakBefore w:val="0"/>
              <w:widowControl w:val="0"/>
              <w:kinsoku/>
              <w:wordWrap/>
              <w:overflowPunct/>
              <w:topLinePunct w:val="0"/>
              <w:bidi w:val="0"/>
              <w:spacing w:line="500" w:lineRule="exact"/>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34.3</w:t>
            </w:r>
          </w:p>
        </w:tc>
        <w:tc>
          <w:tcPr>
            <w:tcW w:w="8646" w:type="dxa"/>
            <w:vAlign w:val="center"/>
          </w:tcPr>
          <w:p w14:paraId="15F32EF0">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监管部门</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沙湾市</w:t>
            </w:r>
            <w:r>
              <w:rPr>
                <w:rFonts w:hint="eastAsia" w:ascii="微软雅黑" w:hAnsi="微软雅黑" w:eastAsia="微软雅黑" w:cs="微软雅黑"/>
                <w:color w:val="auto"/>
                <w:sz w:val="24"/>
                <w:szCs w:val="24"/>
                <w:highlight w:val="none"/>
              </w:rPr>
              <w:t>财政局采购办</w:t>
            </w:r>
          </w:p>
          <w:p w14:paraId="489BB097">
            <w:pPr>
              <w:keepNext w:val="0"/>
              <w:keepLines w:val="0"/>
              <w:pageBreakBefore w:val="0"/>
              <w:widowControl w:val="0"/>
              <w:kinsoku/>
              <w:wordWrap/>
              <w:overflowPunct/>
              <w:topLinePunct w:val="0"/>
              <w:bidi w:val="0"/>
              <w:spacing w:line="500" w:lineRule="exact"/>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监督电话</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0993-6028325</w:t>
            </w:r>
          </w:p>
        </w:tc>
      </w:tr>
      <w:tr w14:paraId="19F4C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6" w:hRule="atLeast"/>
          <w:jc w:val="center"/>
        </w:trPr>
        <w:tc>
          <w:tcPr>
            <w:tcW w:w="1393" w:type="dxa"/>
            <w:vAlign w:val="center"/>
          </w:tcPr>
          <w:p w14:paraId="04B9F84B">
            <w:pPr>
              <w:keepNext w:val="0"/>
              <w:keepLines w:val="0"/>
              <w:pageBreakBefore w:val="0"/>
              <w:widowControl w:val="0"/>
              <w:kinsoku/>
              <w:wordWrap/>
              <w:overflowPunct/>
              <w:topLinePunct w:val="0"/>
              <w:bidi w:val="0"/>
              <w:spacing w:line="500" w:lineRule="exact"/>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36.3</w:t>
            </w:r>
          </w:p>
        </w:tc>
        <w:tc>
          <w:tcPr>
            <w:tcW w:w="8646" w:type="dxa"/>
            <w:vAlign w:val="center"/>
          </w:tcPr>
          <w:p w14:paraId="075DDEED">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质疑函及必要的证明材料应通过电子邮件的方式，将原件的扫描版发送至下列指定电子邮箱，供应商应在电子邮件发出后立即电话告知采购代理机构。</w:t>
            </w:r>
          </w:p>
          <w:p w14:paraId="16368153">
            <w:pPr>
              <w:keepNext w:val="0"/>
              <w:keepLines w:val="0"/>
              <w:pageBreakBefore w:val="0"/>
              <w:widowControl w:val="0"/>
              <w:kinsoku/>
              <w:wordWrap/>
              <w:overflowPunct/>
              <w:topLinePunct w:val="0"/>
              <w:bidi w:val="0"/>
              <w:spacing w:line="500" w:lineRule="exact"/>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联系人：马为民</w:t>
            </w:r>
          </w:p>
          <w:p w14:paraId="1D98DC19">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联系电话：</w:t>
            </w:r>
            <w:r>
              <w:rPr>
                <w:rFonts w:hint="eastAsia" w:ascii="微软雅黑" w:hAnsi="微软雅黑" w:eastAsia="微软雅黑" w:cs="微软雅黑"/>
                <w:color w:val="auto"/>
                <w:sz w:val="24"/>
                <w:highlight w:val="none"/>
                <w:lang w:val="en-US" w:eastAsia="zh-CN"/>
              </w:rPr>
              <w:t>18109918226</w:t>
            </w:r>
          </w:p>
          <w:p w14:paraId="0E779530">
            <w:pPr>
              <w:keepNext w:val="0"/>
              <w:keepLines w:val="0"/>
              <w:pageBreakBefore w:val="0"/>
              <w:widowControl w:val="0"/>
              <w:kinsoku/>
              <w:wordWrap/>
              <w:overflowPunct/>
              <w:topLinePunct w:val="0"/>
              <w:bidi w:val="0"/>
              <w:spacing w:line="500" w:lineRule="exact"/>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邮箱号：1049782581@qq.com</w:t>
            </w:r>
          </w:p>
        </w:tc>
      </w:tr>
      <w:tr w14:paraId="0896C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76" w:hRule="atLeast"/>
          <w:jc w:val="center"/>
        </w:trPr>
        <w:tc>
          <w:tcPr>
            <w:tcW w:w="1393" w:type="dxa"/>
            <w:vAlign w:val="center"/>
          </w:tcPr>
          <w:p w14:paraId="59F33AAE">
            <w:pPr>
              <w:keepNext w:val="0"/>
              <w:keepLines w:val="0"/>
              <w:pageBreakBefore w:val="0"/>
              <w:widowControl w:val="0"/>
              <w:kinsoku/>
              <w:wordWrap/>
              <w:overflowPunct/>
              <w:topLinePunct w:val="0"/>
              <w:bidi w:val="0"/>
              <w:spacing w:line="500" w:lineRule="exact"/>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异常低价不正当竞争预防措施</w:t>
            </w:r>
          </w:p>
        </w:tc>
        <w:tc>
          <w:tcPr>
            <w:tcW w:w="8646" w:type="dxa"/>
            <w:vAlign w:val="center"/>
          </w:tcPr>
          <w:p w14:paraId="392C44D8">
            <w:pPr>
              <w:keepNext w:val="0"/>
              <w:keepLines w:val="0"/>
              <w:pageBreakBefore w:val="0"/>
              <w:widowControl w:val="0"/>
              <w:kinsoku/>
              <w:wordWrap/>
              <w:overflowPunct/>
              <w:topLinePunct w:val="0"/>
              <w:bidi w:val="0"/>
              <w:spacing w:before="47" w:line="500" w:lineRule="exact"/>
              <w:ind w:left="24" w:right="25" w:firstLine="22"/>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2"/>
                <w:sz w:val="24"/>
                <w:szCs w:val="24"/>
              </w:rPr>
              <w:t>1.在评标过程中，</w:t>
            </w:r>
            <w:r>
              <w:rPr>
                <w:rFonts w:hint="eastAsia" w:ascii="微软雅黑" w:hAnsi="微软雅黑" w:eastAsia="微软雅黑" w:cs="微软雅黑"/>
                <w:spacing w:val="-37"/>
                <w:sz w:val="24"/>
                <w:szCs w:val="24"/>
              </w:rPr>
              <w:t xml:space="preserve"> </w:t>
            </w:r>
            <w:r>
              <w:rPr>
                <w:rFonts w:hint="eastAsia" w:ascii="微软雅黑" w:hAnsi="微软雅黑" w:eastAsia="微软雅黑" w:cs="微软雅黑"/>
                <w:spacing w:val="-2"/>
                <w:sz w:val="24"/>
                <w:szCs w:val="24"/>
              </w:rPr>
              <w:t>评标委员会认为</w:t>
            </w:r>
            <w:r>
              <w:rPr>
                <w:rFonts w:hint="eastAsia" w:ascii="微软雅黑" w:hAnsi="微软雅黑" w:eastAsia="微软雅黑" w:cs="微软雅黑"/>
                <w:spacing w:val="-2"/>
                <w:sz w:val="24"/>
                <w:szCs w:val="24"/>
                <w:lang w:eastAsia="zh-CN"/>
              </w:rPr>
              <w:t>供应商</w:t>
            </w:r>
            <w:r>
              <w:rPr>
                <w:rFonts w:hint="eastAsia" w:ascii="微软雅黑" w:hAnsi="微软雅黑" w:eastAsia="微软雅黑" w:cs="微软雅黑"/>
                <w:spacing w:val="-2"/>
                <w:sz w:val="24"/>
                <w:szCs w:val="24"/>
              </w:rPr>
              <w:t>的报价明显低于其他通过符合性审查</w:t>
            </w:r>
            <w:r>
              <w:rPr>
                <w:rFonts w:hint="eastAsia" w:ascii="微软雅黑" w:hAnsi="微软雅黑" w:eastAsia="微软雅黑" w:cs="微软雅黑"/>
                <w:spacing w:val="-2"/>
                <w:sz w:val="24"/>
                <w:szCs w:val="24"/>
                <w:lang w:eastAsia="zh-CN"/>
              </w:rPr>
              <w:t>供应商</w:t>
            </w:r>
            <w:r>
              <w:rPr>
                <w:rFonts w:hint="eastAsia" w:ascii="微软雅黑" w:hAnsi="微软雅黑" w:eastAsia="微软雅黑" w:cs="微软雅黑"/>
                <w:spacing w:val="-3"/>
                <w:sz w:val="24"/>
                <w:szCs w:val="24"/>
              </w:rPr>
              <w:t>的报</w:t>
            </w:r>
            <w:r>
              <w:rPr>
                <w:rFonts w:hint="eastAsia" w:ascii="微软雅黑" w:hAnsi="微软雅黑" w:eastAsia="微软雅黑" w:cs="微软雅黑"/>
                <w:spacing w:val="-2"/>
                <w:sz w:val="24"/>
                <w:szCs w:val="24"/>
              </w:rPr>
              <w:t>价，有可能影响产品质量或者不能诚信履约的，应当要求其在评标现场合理的时间内提供</w:t>
            </w:r>
            <w:r>
              <w:rPr>
                <w:rFonts w:hint="eastAsia" w:ascii="微软雅黑" w:hAnsi="微软雅黑" w:eastAsia="微软雅黑" w:cs="微软雅黑"/>
                <w:spacing w:val="-4"/>
                <w:sz w:val="24"/>
                <w:szCs w:val="24"/>
              </w:rPr>
              <w:t>书面说明，</w:t>
            </w:r>
            <w:r>
              <w:rPr>
                <w:rFonts w:hint="eastAsia" w:ascii="微软雅黑" w:hAnsi="微软雅黑" w:eastAsia="微软雅黑" w:cs="微软雅黑"/>
                <w:spacing w:val="-32"/>
                <w:sz w:val="24"/>
                <w:szCs w:val="24"/>
              </w:rPr>
              <w:t xml:space="preserve"> </w:t>
            </w:r>
            <w:r>
              <w:rPr>
                <w:rFonts w:hint="eastAsia" w:ascii="微软雅黑" w:hAnsi="微软雅黑" w:eastAsia="微软雅黑" w:cs="微软雅黑"/>
                <w:spacing w:val="-4"/>
                <w:sz w:val="24"/>
                <w:szCs w:val="24"/>
              </w:rPr>
              <w:t>必要时提交相关证明材料；</w:t>
            </w:r>
            <w:r>
              <w:rPr>
                <w:rFonts w:hint="eastAsia" w:ascii="微软雅黑" w:hAnsi="微软雅黑" w:eastAsia="微软雅黑" w:cs="微软雅黑"/>
                <w:spacing w:val="-33"/>
                <w:sz w:val="24"/>
                <w:szCs w:val="24"/>
              </w:rPr>
              <w:t xml:space="preserve"> </w:t>
            </w:r>
            <w:r>
              <w:rPr>
                <w:rFonts w:hint="eastAsia" w:ascii="微软雅黑" w:hAnsi="微软雅黑" w:eastAsia="微软雅黑" w:cs="微软雅黑"/>
                <w:spacing w:val="-4"/>
                <w:sz w:val="24"/>
                <w:szCs w:val="24"/>
                <w:lang w:eastAsia="zh-CN"/>
              </w:rPr>
              <w:t>供应商</w:t>
            </w:r>
            <w:r>
              <w:rPr>
                <w:rFonts w:hint="eastAsia" w:ascii="微软雅黑" w:hAnsi="微软雅黑" w:eastAsia="微软雅黑" w:cs="微软雅黑"/>
                <w:spacing w:val="-4"/>
                <w:sz w:val="24"/>
                <w:szCs w:val="24"/>
              </w:rPr>
              <w:t>不能证</w:t>
            </w:r>
            <w:r>
              <w:rPr>
                <w:rFonts w:hint="eastAsia" w:ascii="微软雅黑" w:hAnsi="微软雅黑" w:eastAsia="微软雅黑" w:cs="微软雅黑"/>
                <w:spacing w:val="-5"/>
                <w:sz w:val="24"/>
                <w:szCs w:val="24"/>
              </w:rPr>
              <w:t>明其报价合理性的，</w:t>
            </w:r>
            <w:r>
              <w:rPr>
                <w:rFonts w:hint="eastAsia" w:ascii="微软雅黑" w:hAnsi="微软雅黑" w:eastAsia="微软雅黑" w:cs="微软雅黑"/>
                <w:spacing w:val="-32"/>
                <w:sz w:val="24"/>
                <w:szCs w:val="24"/>
              </w:rPr>
              <w:t xml:space="preserve"> </w:t>
            </w:r>
            <w:r>
              <w:rPr>
                <w:rFonts w:hint="eastAsia" w:ascii="微软雅黑" w:hAnsi="微软雅黑" w:eastAsia="微软雅黑" w:cs="微软雅黑"/>
                <w:spacing w:val="-5"/>
                <w:sz w:val="24"/>
                <w:szCs w:val="24"/>
              </w:rPr>
              <w:t>评标委员会应当</w:t>
            </w:r>
            <w:r>
              <w:rPr>
                <w:rFonts w:hint="eastAsia" w:ascii="微软雅黑" w:hAnsi="微软雅黑" w:eastAsia="微软雅黑" w:cs="微软雅黑"/>
                <w:sz w:val="24"/>
                <w:szCs w:val="24"/>
              </w:rPr>
              <w:t>将其作为</w:t>
            </w:r>
            <w:r>
              <w:rPr>
                <w:rFonts w:hint="eastAsia" w:ascii="微软雅黑" w:hAnsi="微软雅黑" w:eastAsia="微软雅黑" w:cs="微软雅黑"/>
                <w:b/>
                <w:bCs/>
                <w:sz w:val="24"/>
                <w:szCs w:val="24"/>
              </w:rPr>
              <w:t>无效投标处理</w:t>
            </w:r>
            <w:r>
              <w:rPr>
                <w:rFonts w:hint="eastAsia" w:ascii="微软雅黑" w:hAnsi="微软雅黑" w:eastAsia="微软雅黑" w:cs="微软雅黑"/>
                <w:sz w:val="24"/>
                <w:szCs w:val="24"/>
              </w:rPr>
              <w:t>。</w:t>
            </w:r>
          </w:p>
          <w:p w14:paraId="763427A9">
            <w:pPr>
              <w:keepNext w:val="0"/>
              <w:keepLines w:val="0"/>
              <w:pageBreakBefore w:val="0"/>
              <w:widowControl w:val="0"/>
              <w:kinsoku/>
              <w:wordWrap/>
              <w:overflowPunct/>
              <w:topLinePunct w:val="0"/>
              <w:bidi w:val="0"/>
              <w:spacing w:before="1" w:line="500" w:lineRule="exact"/>
              <w:ind w:left="27" w:right="27" w:firstLine="9"/>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2.</w:t>
            </w:r>
            <w:r>
              <w:rPr>
                <w:rFonts w:hint="eastAsia" w:ascii="微软雅黑" w:hAnsi="微软雅黑" w:eastAsia="微软雅黑" w:cs="微软雅黑"/>
                <w:spacing w:val="-4"/>
                <w:sz w:val="24"/>
                <w:szCs w:val="24"/>
                <w:lang w:eastAsia="zh-CN"/>
              </w:rPr>
              <w:t>供应商</w:t>
            </w:r>
            <w:r>
              <w:rPr>
                <w:rFonts w:hint="eastAsia" w:ascii="微软雅黑" w:hAnsi="微软雅黑" w:eastAsia="微软雅黑" w:cs="微软雅黑"/>
                <w:spacing w:val="-4"/>
                <w:sz w:val="24"/>
                <w:szCs w:val="24"/>
              </w:rPr>
              <w:t>书面说明应当签字确认并且加盖公章，</w:t>
            </w:r>
            <w:r>
              <w:rPr>
                <w:rFonts w:hint="eastAsia" w:ascii="微软雅黑" w:hAnsi="微软雅黑" w:eastAsia="微软雅黑" w:cs="微软雅黑"/>
                <w:sz w:val="24"/>
                <w:szCs w:val="24"/>
              </w:rPr>
              <w:t xml:space="preserve"> </w:t>
            </w:r>
            <w:r>
              <w:rPr>
                <w:rFonts w:hint="eastAsia" w:ascii="微软雅黑" w:hAnsi="微软雅黑" w:eastAsia="微软雅黑" w:cs="微软雅黑"/>
                <w:spacing w:val="-4"/>
                <w:sz w:val="24"/>
                <w:szCs w:val="24"/>
              </w:rPr>
              <w:t>否则无效。书面说明的签字确认，</w:t>
            </w:r>
            <w:r>
              <w:rPr>
                <w:rFonts w:hint="eastAsia" w:ascii="微软雅黑" w:hAnsi="微软雅黑" w:eastAsia="微软雅黑" w:cs="微软雅黑"/>
                <w:spacing w:val="-18"/>
                <w:sz w:val="24"/>
                <w:szCs w:val="24"/>
              </w:rPr>
              <w:t xml:space="preserve"> </w:t>
            </w:r>
            <w:r>
              <w:rPr>
                <w:rFonts w:hint="eastAsia" w:ascii="微软雅黑" w:hAnsi="微软雅黑" w:eastAsia="微软雅黑" w:cs="微软雅黑"/>
                <w:spacing w:val="-4"/>
                <w:sz w:val="24"/>
                <w:szCs w:val="24"/>
                <w:lang w:eastAsia="zh-CN"/>
              </w:rPr>
              <w:t>供应商</w:t>
            </w:r>
            <w:r>
              <w:rPr>
                <w:rFonts w:hint="eastAsia" w:ascii="微软雅黑" w:hAnsi="微软雅黑" w:eastAsia="微软雅黑" w:cs="微软雅黑"/>
                <w:spacing w:val="-5"/>
                <w:sz w:val="24"/>
                <w:szCs w:val="24"/>
              </w:rPr>
              <w:t>为法人的，</w:t>
            </w:r>
            <w:r>
              <w:rPr>
                <w:rFonts w:hint="eastAsia" w:ascii="微软雅黑" w:hAnsi="微软雅黑" w:eastAsia="微软雅黑" w:cs="微软雅黑"/>
                <w:spacing w:val="-14"/>
                <w:sz w:val="24"/>
                <w:szCs w:val="24"/>
              </w:rPr>
              <w:t xml:space="preserve"> </w:t>
            </w:r>
            <w:r>
              <w:rPr>
                <w:rFonts w:hint="eastAsia" w:ascii="微软雅黑" w:hAnsi="微软雅黑" w:eastAsia="微软雅黑" w:cs="微软雅黑"/>
                <w:spacing w:val="-5"/>
                <w:sz w:val="24"/>
                <w:szCs w:val="24"/>
              </w:rPr>
              <w:t>由其法定代表人或者代理人签字确</w:t>
            </w:r>
            <w:r>
              <w:rPr>
                <w:rFonts w:hint="eastAsia" w:ascii="微软雅黑" w:hAnsi="微软雅黑" w:eastAsia="微软雅黑" w:cs="微软雅黑"/>
                <w:spacing w:val="-6"/>
                <w:sz w:val="24"/>
                <w:szCs w:val="24"/>
              </w:rPr>
              <w:t>认；</w:t>
            </w:r>
            <w:r>
              <w:rPr>
                <w:rFonts w:hint="eastAsia" w:ascii="微软雅黑" w:hAnsi="微软雅黑" w:eastAsia="微软雅黑" w:cs="微软雅黑"/>
                <w:spacing w:val="-30"/>
                <w:sz w:val="24"/>
                <w:szCs w:val="24"/>
              </w:rPr>
              <w:t xml:space="preserve"> </w:t>
            </w:r>
            <w:r>
              <w:rPr>
                <w:rFonts w:hint="eastAsia" w:ascii="微软雅黑" w:hAnsi="微软雅黑" w:eastAsia="微软雅黑" w:cs="微软雅黑"/>
                <w:spacing w:val="-6"/>
                <w:sz w:val="24"/>
                <w:szCs w:val="24"/>
                <w:lang w:eastAsia="zh-CN"/>
              </w:rPr>
              <w:t>供应商</w:t>
            </w:r>
            <w:r>
              <w:rPr>
                <w:rFonts w:hint="eastAsia" w:ascii="微软雅黑" w:hAnsi="微软雅黑" w:eastAsia="微软雅黑" w:cs="微软雅黑"/>
                <w:spacing w:val="-6"/>
                <w:sz w:val="24"/>
                <w:szCs w:val="24"/>
              </w:rPr>
              <w:t>为其他组织的，</w:t>
            </w:r>
            <w:r>
              <w:rPr>
                <w:rFonts w:hint="eastAsia" w:ascii="微软雅黑" w:hAnsi="微软雅黑" w:eastAsia="微软雅黑" w:cs="微软雅黑"/>
                <w:spacing w:val="-14"/>
                <w:sz w:val="24"/>
                <w:szCs w:val="24"/>
              </w:rPr>
              <w:t xml:space="preserve"> </w:t>
            </w:r>
            <w:r>
              <w:rPr>
                <w:rFonts w:hint="eastAsia" w:ascii="微软雅黑" w:hAnsi="微软雅黑" w:eastAsia="微软雅黑" w:cs="微软雅黑"/>
                <w:spacing w:val="-6"/>
                <w:sz w:val="24"/>
                <w:szCs w:val="24"/>
              </w:rPr>
              <w:t>由其主要负责人</w:t>
            </w:r>
            <w:r>
              <w:rPr>
                <w:rFonts w:hint="eastAsia" w:ascii="微软雅黑" w:hAnsi="微软雅黑" w:eastAsia="微软雅黑" w:cs="微软雅黑"/>
                <w:spacing w:val="-4"/>
                <w:sz w:val="24"/>
                <w:szCs w:val="24"/>
              </w:rPr>
              <w:t xml:space="preserve">或者代理人签字确认； </w:t>
            </w:r>
            <w:r>
              <w:rPr>
                <w:rFonts w:hint="eastAsia" w:ascii="微软雅黑" w:hAnsi="微软雅黑" w:eastAsia="微软雅黑" w:cs="微软雅黑"/>
                <w:spacing w:val="-4"/>
                <w:sz w:val="24"/>
                <w:szCs w:val="24"/>
                <w:lang w:eastAsia="zh-CN"/>
              </w:rPr>
              <w:t>供应商</w:t>
            </w:r>
            <w:r>
              <w:rPr>
                <w:rFonts w:hint="eastAsia" w:ascii="微软雅黑" w:hAnsi="微软雅黑" w:eastAsia="微软雅黑" w:cs="微软雅黑"/>
                <w:spacing w:val="-4"/>
                <w:sz w:val="24"/>
                <w:szCs w:val="24"/>
              </w:rPr>
              <w:t>为自然人的， 由其本人或者代理人签字确认。</w:t>
            </w:r>
          </w:p>
          <w:p w14:paraId="04E73E20">
            <w:pPr>
              <w:keepNext w:val="0"/>
              <w:keepLines w:val="0"/>
              <w:pageBreakBefore w:val="0"/>
              <w:widowControl w:val="0"/>
              <w:kinsoku/>
              <w:wordWrap/>
              <w:overflowPunct/>
              <w:topLinePunct w:val="0"/>
              <w:bidi w:val="0"/>
              <w:spacing w:before="4" w:line="500" w:lineRule="exact"/>
              <w:ind w:left="24" w:right="25" w:firstLine="14"/>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2"/>
                <w:sz w:val="24"/>
                <w:szCs w:val="24"/>
              </w:rPr>
              <w:t>3.</w:t>
            </w:r>
            <w:r>
              <w:rPr>
                <w:rFonts w:hint="eastAsia" w:ascii="微软雅黑" w:hAnsi="微软雅黑" w:eastAsia="微软雅黑" w:cs="微软雅黑"/>
                <w:spacing w:val="-2"/>
                <w:sz w:val="24"/>
                <w:szCs w:val="24"/>
                <w:lang w:eastAsia="zh-CN"/>
              </w:rPr>
              <w:t>供应商</w:t>
            </w:r>
            <w:r>
              <w:rPr>
                <w:rFonts w:hint="eastAsia" w:ascii="微软雅黑" w:hAnsi="微软雅黑" w:eastAsia="微软雅黑" w:cs="微软雅黑"/>
                <w:spacing w:val="-2"/>
                <w:sz w:val="24"/>
                <w:szCs w:val="24"/>
              </w:rPr>
              <w:t>提供书面说明后，</w:t>
            </w:r>
            <w:r>
              <w:rPr>
                <w:rFonts w:hint="eastAsia" w:ascii="微软雅黑" w:hAnsi="微软雅黑" w:eastAsia="微软雅黑" w:cs="微软雅黑"/>
                <w:spacing w:val="-18"/>
                <w:sz w:val="24"/>
                <w:szCs w:val="24"/>
              </w:rPr>
              <w:t xml:space="preserve"> </w:t>
            </w:r>
            <w:r>
              <w:rPr>
                <w:rFonts w:hint="eastAsia" w:ascii="微软雅黑" w:hAnsi="微软雅黑" w:eastAsia="微软雅黑" w:cs="微软雅黑"/>
                <w:spacing w:val="-2"/>
                <w:sz w:val="24"/>
                <w:szCs w:val="24"/>
              </w:rPr>
              <w:t>评标委员会应当结合采购项</w:t>
            </w:r>
            <w:r>
              <w:rPr>
                <w:rFonts w:hint="eastAsia" w:ascii="微软雅黑" w:hAnsi="微软雅黑" w:eastAsia="微软雅黑" w:cs="微软雅黑"/>
                <w:spacing w:val="-3"/>
                <w:sz w:val="24"/>
                <w:szCs w:val="24"/>
              </w:rPr>
              <w:t>目采购需求、专业实际情况、</w:t>
            </w:r>
            <w:r>
              <w:rPr>
                <w:rFonts w:hint="eastAsia" w:ascii="微软雅黑" w:hAnsi="微软雅黑" w:eastAsia="微软雅黑" w:cs="微软雅黑"/>
                <w:spacing w:val="-3"/>
                <w:sz w:val="24"/>
                <w:szCs w:val="24"/>
                <w:lang w:eastAsia="zh-CN"/>
              </w:rPr>
              <w:t>供应商</w:t>
            </w:r>
            <w:r>
              <w:rPr>
                <w:rFonts w:hint="eastAsia" w:ascii="微软雅黑" w:hAnsi="微软雅黑" w:eastAsia="微软雅黑" w:cs="微软雅黑"/>
                <w:spacing w:val="-2"/>
                <w:sz w:val="24"/>
                <w:szCs w:val="24"/>
              </w:rPr>
              <w:t>财务状况报告、与其他</w:t>
            </w:r>
            <w:r>
              <w:rPr>
                <w:rFonts w:hint="eastAsia" w:ascii="微软雅黑" w:hAnsi="微软雅黑" w:eastAsia="微软雅黑" w:cs="微软雅黑"/>
                <w:spacing w:val="-2"/>
                <w:sz w:val="24"/>
                <w:szCs w:val="24"/>
                <w:lang w:eastAsia="zh-CN"/>
              </w:rPr>
              <w:t>供应商</w:t>
            </w:r>
            <w:r>
              <w:rPr>
                <w:rFonts w:hint="eastAsia" w:ascii="微软雅黑" w:hAnsi="微软雅黑" w:eastAsia="微软雅黑" w:cs="微软雅黑"/>
                <w:spacing w:val="-2"/>
                <w:sz w:val="24"/>
                <w:szCs w:val="24"/>
              </w:rPr>
              <w:t>比较情况等就</w:t>
            </w:r>
            <w:r>
              <w:rPr>
                <w:rFonts w:hint="eastAsia" w:ascii="微软雅黑" w:hAnsi="微软雅黑" w:eastAsia="微软雅黑" w:cs="微软雅黑"/>
                <w:spacing w:val="-2"/>
                <w:sz w:val="24"/>
                <w:szCs w:val="24"/>
                <w:lang w:eastAsia="zh-CN"/>
              </w:rPr>
              <w:t>供应商</w:t>
            </w:r>
            <w:r>
              <w:rPr>
                <w:rFonts w:hint="eastAsia" w:ascii="微软雅黑" w:hAnsi="微软雅黑" w:eastAsia="微软雅黑" w:cs="微软雅黑"/>
                <w:spacing w:val="-2"/>
                <w:sz w:val="24"/>
                <w:szCs w:val="24"/>
              </w:rPr>
              <w:t>书面说明进行审查评价。</w:t>
            </w:r>
            <w:r>
              <w:rPr>
                <w:rFonts w:hint="eastAsia" w:ascii="微软雅黑" w:hAnsi="微软雅黑" w:eastAsia="微软雅黑" w:cs="微软雅黑"/>
                <w:spacing w:val="-2"/>
                <w:sz w:val="24"/>
                <w:szCs w:val="24"/>
                <w:lang w:eastAsia="zh-CN"/>
              </w:rPr>
              <w:t>供应商</w:t>
            </w:r>
            <w:r>
              <w:rPr>
                <w:rFonts w:hint="eastAsia" w:ascii="微软雅黑" w:hAnsi="微软雅黑" w:eastAsia="微软雅黑" w:cs="微软雅黑"/>
                <w:spacing w:val="-2"/>
                <w:sz w:val="24"/>
                <w:szCs w:val="24"/>
              </w:rPr>
              <w:t>拒绝或者变相拒绝提供有效书面说明或者书面说明不能证明其报价合理性的，评标委员会应当</w:t>
            </w:r>
            <w:r>
              <w:rPr>
                <w:rFonts w:hint="eastAsia" w:ascii="微软雅黑" w:hAnsi="微软雅黑" w:eastAsia="微软雅黑" w:cs="微软雅黑"/>
                <w:spacing w:val="-1"/>
                <w:sz w:val="24"/>
                <w:szCs w:val="24"/>
              </w:rPr>
              <w:t>将其投标文件作为</w:t>
            </w:r>
            <w:r>
              <w:rPr>
                <w:rFonts w:hint="eastAsia" w:ascii="微软雅黑" w:hAnsi="微软雅黑" w:eastAsia="微软雅黑" w:cs="微软雅黑"/>
                <w:b/>
                <w:bCs/>
                <w:spacing w:val="-1"/>
                <w:sz w:val="24"/>
                <w:szCs w:val="24"/>
              </w:rPr>
              <w:t>无效处理</w:t>
            </w:r>
            <w:r>
              <w:rPr>
                <w:rFonts w:hint="eastAsia" w:ascii="微软雅黑" w:hAnsi="微软雅黑" w:eastAsia="微软雅黑" w:cs="微软雅黑"/>
                <w:spacing w:val="-1"/>
                <w:sz w:val="24"/>
                <w:szCs w:val="24"/>
              </w:rPr>
              <w:t>。</w:t>
            </w:r>
          </w:p>
          <w:p w14:paraId="7E4A1C6B">
            <w:pPr>
              <w:keepNext w:val="0"/>
              <w:keepLines w:val="0"/>
              <w:pageBreakBefore w:val="0"/>
              <w:widowControl w:val="0"/>
              <w:kinsoku/>
              <w:wordWrap/>
              <w:overflowPunct/>
              <w:topLinePunct w:val="0"/>
              <w:bidi w:val="0"/>
              <w:spacing w:before="49" w:line="500" w:lineRule="exact"/>
              <w:ind w:left="24" w:right="25" w:firstLine="3"/>
              <w:jc w:val="both"/>
              <w:textAlignment w:val="auto"/>
              <w:rPr>
                <w:rFonts w:hint="eastAsia" w:ascii="微软雅黑" w:hAnsi="微软雅黑" w:eastAsia="微软雅黑" w:cs="微软雅黑"/>
                <w:spacing w:val="-7"/>
                <w:sz w:val="24"/>
                <w:szCs w:val="24"/>
              </w:rPr>
            </w:pPr>
            <w:r>
              <w:rPr>
                <w:rFonts w:hint="eastAsia" w:ascii="微软雅黑" w:hAnsi="微软雅黑" w:eastAsia="微软雅黑" w:cs="微软雅黑"/>
                <w:sz w:val="24"/>
                <w:szCs w:val="24"/>
              </w:rPr>
              <w:t>4.根据关于推动解决政府采购异常低价问题的通知： 财库〔2026〕2号：政府采购评审</w:t>
            </w:r>
            <w:r>
              <w:rPr>
                <w:rFonts w:hint="eastAsia" w:ascii="微软雅黑" w:hAnsi="微软雅黑" w:eastAsia="微软雅黑" w:cs="微软雅黑"/>
                <w:spacing w:val="-6"/>
                <w:sz w:val="24"/>
                <w:szCs w:val="24"/>
              </w:rPr>
              <w:t>中出现下列情形之一的，</w:t>
            </w:r>
            <w:r>
              <w:rPr>
                <w:rFonts w:hint="eastAsia" w:ascii="微软雅黑" w:hAnsi="微软雅黑" w:eastAsia="微软雅黑" w:cs="微软雅黑"/>
                <w:spacing w:val="-20"/>
                <w:sz w:val="24"/>
                <w:szCs w:val="24"/>
              </w:rPr>
              <w:t xml:space="preserve"> </w:t>
            </w:r>
            <w:r>
              <w:rPr>
                <w:rFonts w:hint="eastAsia" w:ascii="微软雅黑" w:hAnsi="微软雅黑" w:eastAsia="微软雅黑" w:cs="微软雅黑"/>
                <w:spacing w:val="-6"/>
                <w:sz w:val="24"/>
                <w:szCs w:val="24"/>
              </w:rPr>
              <w:t>评审委员会应当启动异常低价投标</w:t>
            </w:r>
            <w:r>
              <w:rPr>
                <w:rFonts w:hint="eastAsia" w:ascii="微软雅黑" w:hAnsi="微软雅黑" w:eastAsia="微软雅黑" w:cs="微软雅黑"/>
                <w:spacing w:val="-19"/>
                <w:sz w:val="24"/>
                <w:szCs w:val="24"/>
              </w:rPr>
              <w:t xml:space="preserve"> </w:t>
            </w:r>
            <w:r>
              <w:rPr>
                <w:rFonts w:hint="eastAsia" w:ascii="微软雅黑" w:hAnsi="微软雅黑" w:eastAsia="微软雅黑" w:cs="微软雅黑"/>
                <w:spacing w:val="-6"/>
                <w:sz w:val="24"/>
                <w:szCs w:val="24"/>
              </w:rPr>
              <w:t>（响应）审查</w:t>
            </w:r>
            <w:r>
              <w:rPr>
                <w:rFonts w:hint="eastAsia" w:ascii="微软雅黑" w:hAnsi="微软雅黑" w:eastAsia="微软雅黑" w:cs="微软雅黑"/>
                <w:spacing w:val="-7"/>
                <w:sz w:val="24"/>
                <w:szCs w:val="24"/>
              </w:rPr>
              <w:t>程序</w:t>
            </w:r>
            <w:r>
              <w:rPr>
                <w:rFonts w:hint="eastAsia" w:ascii="微软雅黑" w:hAnsi="微软雅黑" w:eastAsia="微软雅黑" w:cs="微软雅黑"/>
                <w:spacing w:val="-65"/>
                <w:sz w:val="24"/>
                <w:szCs w:val="24"/>
              </w:rPr>
              <w:t>：</w:t>
            </w:r>
            <w:r>
              <w:rPr>
                <w:rFonts w:hint="eastAsia" w:ascii="微软雅黑" w:hAnsi="微软雅黑" w:eastAsia="微软雅黑" w:cs="微软雅黑"/>
                <w:spacing w:val="22"/>
                <w:sz w:val="24"/>
                <w:szCs w:val="24"/>
              </w:rPr>
              <w:t xml:space="preserve"> </w:t>
            </w:r>
            <w:r>
              <w:rPr>
                <w:rFonts w:hint="eastAsia" w:ascii="微软雅黑" w:hAnsi="微软雅黑" w:eastAsia="微软雅黑" w:cs="微软雅黑"/>
                <w:spacing w:val="22"/>
                <w:sz w:val="24"/>
                <w:szCs w:val="24"/>
                <w:lang w:eastAsia="zh-CN"/>
              </w:rPr>
              <w:t>（</w:t>
            </w:r>
            <w:r>
              <w:rPr>
                <w:rFonts w:hint="eastAsia" w:ascii="微软雅黑" w:hAnsi="微软雅黑" w:eastAsia="微软雅黑" w:cs="微软雅黑"/>
                <w:spacing w:val="22"/>
                <w:sz w:val="24"/>
                <w:szCs w:val="24"/>
                <w:lang w:val="en-US" w:eastAsia="zh-CN"/>
              </w:rPr>
              <w:t>一</w:t>
            </w:r>
            <w:r>
              <w:rPr>
                <w:rFonts w:hint="eastAsia" w:ascii="微软雅黑" w:hAnsi="微软雅黑" w:eastAsia="微软雅黑" w:cs="微软雅黑"/>
                <w:spacing w:val="22"/>
                <w:sz w:val="24"/>
                <w:szCs w:val="24"/>
                <w:lang w:eastAsia="zh-CN"/>
              </w:rPr>
              <w:t>）</w:t>
            </w:r>
            <w:r>
              <w:rPr>
                <w:rFonts w:hint="eastAsia" w:ascii="微软雅黑" w:hAnsi="微软雅黑" w:eastAsia="微软雅黑" w:cs="微软雅黑"/>
                <w:spacing w:val="-7"/>
                <w:sz w:val="24"/>
                <w:szCs w:val="24"/>
              </w:rPr>
              <w:t>采</w:t>
            </w:r>
            <w:r>
              <w:rPr>
                <w:rFonts w:hint="eastAsia" w:ascii="微软雅黑" w:hAnsi="微软雅黑" w:eastAsia="微软雅黑" w:cs="微软雅黑"/>
                <w:spacing w:val="-2"/>
                <w:sz w:val="24"/>
                <w:szCs w:val="24"/>
              </w:rPr>
              <w:t>购人应当在采购文件中明确，政府采购评审中出现下列情形之一的，评审委员会应当启动</w:t>
            </w:r>
            <w:r>
              <w:rPr>
                <w:rFonts w:hint="eastAsia" w:ascii="微软雅黑" w:hAnsi="微软雅黑" w:eastAsia="微软雅黑" w:cs="微软雅黑"/>
                <w:spacing w:val="-7"/>
                <w:sz w:val="24"/>
                <w:szCs w:val="24"/>
              </w:rPr>
              <w:t>异常低价投标（响应）审查程序：</w:t>
            </w:r>
          </w:p>
          <w:p w14:paraId="446890D5">
            <w:pPr>
              <w:keepNext w:val="0"/>
              <w:keepLines w:val="0"/>
              <w:pageBreakBefore w:val="0"/>
              <w:widowControl w:val="0"/>
              <w:kinsoku/>
              <w:wordWrap/>
              <w:overflowPunct/>
              <w:topLinePunct w:val="0"/>
              <w:bidi w:val="0"/>
              <w:spacing w:before="49" w:line="500" w:lineRule="exact"/>
              <w:ind w:left="24" w:right="25" w:firstLine="452" w:firstLineChars="200"/>
              <w:jc w:val="both"/>
              <w:textAlignment w:val="auto"/>
              <w:rPr>
                <w:rFonts w:hint="eastAsia" w:ascii="微软雅黑" w:hAnsi="微软雅黑" w:eastAsia="微软雅黑" w:cs="微软雅黑"/>
                <w:spacing w:val="-6"/>
                <w:sz w:val="24"/>
                <w:szCs w:val="24"/>
              </w:rPr>
            </w:pPr>
            <w:r>
              <w:rPr>
                <w:rFonts w:hint="eastAsia" w:ascii="微软雅黑" w:hAnsi="微软雅黑" w:eastAsia="微软雅黑" w:cs="微软雅黑"/>
                <w:spacing w:val="-7"/>
                <w:sz w:val="24"/>
                <w:szCs w:val="24"/>
              </w:rPr>
              <w:t>1.投</w:t>
            </w:r>
            <w:r>
              <w:rPr>
                <w:rFonts w:hint="eastAsia" w:ascii="微软雅黑" w:hAnsi="微软雅黑" w:eastAsia="微软雅黑" w:cs="微软雅黑"/>
                <w:spacing w:val="-8"/>
                <w:sz w:val="24"/>
                <w:szCs w:val="24"/>
              </w:rPr>
              <w:t>标（响应）报价低于全部通过符合性审查供应商投</w:t>
            </w:r>
            <w:r>
              <w:rPr>
                <w:rFonts w:hint="eastAsia" w:ascii="微软雅黑" w:hAnsi="微软雅黑" w:eastAsia="微软雅黑" w:cs="微软雅黑"/>
                <w:spacing w:val="-6"/>
                <w:sz w:val="24"/>
                <w:szCs w:val="24"/>
              </w:rPr>
              <w:t>标（响应）报价平均值50%的，即投标（响应）报价&lt;全部通过符合性审查供应商投</w:t>
            </w:r>
            <w:r>
              <w:rPr>
                <w:rFonts w:hint="eastAsia" w:ascii="微软雅黑" w:hAnsi="微软雅黑" w:eastAsia="微软雅黑" w:cs="微软雅黑"/>
                <w:spacing w:val="-7"/>
                <w:sz w:val="24"/>
                <w:szCs w:val="24"/>
              </w:rPr>
              <w:t>标（响</w:t>
            </w:r>
            <w:r>
              <w:rPr>
                <w:rFonts w:hint="eastAsia" w:ascii="微软雅黑" w:hAnsi="微软雅黑" w:eastAsia="微软雅黑" w:cs="微软雅黑"/>
                <w:spacing w:val="-6"/>
                <w:sz w:val="24"/>
                <w:szCs w:val="24"/>
              </w:rPr>
              <w:t>应）报价平均值×</w:t>
            </w:r>
            <w:r>
              <w:rPr>
                <w:rFonts w:hint="eastAsia" w:ascii="微软雅黑" w:hAnsi="微软雅黑" w:eastAsia="微软雅黑" w:cs="微软雅黑"/>
                <w:spacing w:val="-47"/>
                <w:sz w:val="24"/>
                <w:szCs w:val="24"/>
              </w:rPr>
              <w:t xml:space="preserve"> </w:t>
            </w:r>
            <w:r>
              <w:rPr>
                <w:rFonts w:hint="eastAsia" w:ascii="微软雅黑" w:hAnsi="微软雅黑" w:eastAsia="微软雅黑" w:cs="微软雅黑"/>
                <w:spacing w:val="-6"/>
                <w:sz w:val="24"/>
                <w:szCs w:val="24"/>
              </w:rPr>
              <w:t xml:space="preserve">50%； </w:t>
            </w:r>
          </w:p>
          <w:p w14:paraId="2EFBF074">
            <w:pPr>
              <w:keepNext w:val="0"/>
              <w:keepLines w:val="0"/>
              <w:pageBreakBefore w:val="0"/>
              <w:widowControl w:val="0"/>
              <w:kinsoku/>
              <w:wordWrap/>
              <w:overflowPunct/>
              <w:topLinePunct w:val="0"/>
              <w:bidi w:val="0"/>
              <w:spacing w:before="49" w:line="500" w:lineRule="exact"/>
              <w:ind w:left="24" w:right="25" w:firstLine="456" w:firstLineChars="200"/>
              <w:jc w:val="both"/>
              <w:textAlignment w:val="auto"/>
              <w:rPr>
                <w:rFonts w:hint="eastAsia" w:ascii="微软雅黑" w:hAnsi="微软雅黑" w:eastAsia="微软雅黑" w:cs="微软雅黑"/>
                <w:spacing w:val="-10"/>
                <w:sz w:val="24"/>
                <w:szCs w:val="24"/>
              </w:rPr>
            </w:pPr>
            <w:r>
              <w:rPr>
                <w:rFonts w:hint="eastAsia" w:ascii="微软雅黑" w:hAnsi="微软雅黑" w:eastAsia="微软雅黑" w:cs="微软雅黑"/>
                <w:spacing w:val="-6"/>
                <w:sz w:val="24"/>
                <w:szCs w:val="24"/>
              </w:rPr>
              <w:t>2.投标（响应） 报价低于通过符合性审查的次低报价供应商</w:t>
            </w:r>
            <w:r>
              <w:rPr>
                <w:rFonts w:hint="eastAsia" w:ascii="微软雅黑" w:hAnsi="微软雅黑" w:eastAsia="微软雅黑" w:cs="微软雅黑"/>
                <w:spacing w:val="-7"/>
                <w:sz w:val="24"/>
                <w:szCs w:val="24"/>
              </w:rPr>
              <w:t>投标（响应）报价50%的，即投标（响应）</w:t>
            </w:r>
            <w:r>
              <w:rPr>
                <w:rFonts w:hint="eastAsia" w:ascii="微软雅黑" w:hAnsi="微软雅黑" w:eastAsia="微软雅黑" w:cs="微软雅黑"/>
                <w:spacing w:val="-14"/>
                <w:sz w:val="24"/>
                <w:szCs w:val="24"/>
              </w:rPr>
              <w:t xml:space="preserve"> </w:t>
            </w:r>
            <w:r>
              <w:rPr>
                <w:rFonts w:hint="eastAsia" w:ascii="微软雅黑" w:hAnsi="微软雅黑" w:eastAsia="微软雅黑" w:cs="微软雅黑"/>
                <w:spacing w:val="-7"/>
                <w:sz w:val="24"/>
                <w:szCs w:val="24"/>
              </w:rPr>
              <w:t>报价&lt;通过符合性审查的</w:t>
            </w:r>
            <w:r>
              <w:rPr>
                <w:rFonts w:hint="eastAsia" w:ascii="微软雅黑" w:hAnsi="微软雅黑" w:eastAsia="微软雅黑" w:cs="微软雅黑"/>
                <w:spacing w:val="-8"/>
                <w:sz w:val="24"/>
                <w:szCs w:val="24"/>
              </w:rPr>
              <w:t>次低报价供应商投标（响</w:t>
            </w:r>
            <w:r>
              <w:rPr>
                <w:rFonts w:hint="eastAsia" w:ascii="微软雅黑" w:hAnsi="微软雅黑" w:eastAsia="微软雅黑" w:cs="微软雅黑"/>
                <w:spacing w:val="-10"/>
                <w:sz w:val="24"/>
                <w:szCs w:val="24"/>
              </w:rPr>
              <w:t>应）报价×</w:t>
            </w:r>
            <w:r>
              <w:rPr>
                <w:rFonts w:hint="eastAsia" w:ascii="微软雅黑" w:hAnsi="微软雅黑" w:eastAsia="微软雅黑" w:cs="微软雅黑"/>
                <w:spacing w:val="-35"/>
                <w:sz w:val="24"/>
                <w:szCs w:val="24"/>
              </w:rPr>
              <w:t xml:space="preserve"> </w:t>
            </w:r>
            <w:r>
              <w:rPr>
                <w:rFonts w:hint="eastAsia" w:ascii="微软雅黑" w:hAnsi="微软雅黑" w:eastAsia="微软雅黑" w:cs="微软雅黑"/>
                <w:spacing w:val="-10"/>
                <w:sz w:val="24"/>
                <w:szCs w:val="24"/>
              </w:rPr>
              <w:t>50%；</w:t>
            </w:r>
          </w:p>
          <w:p w14:paraId="239CFB7B">
            <w:pPr>
              <w:keepNext w:val="0"/>
              <w:keepLines w:val="0"/>
              <w:pageBreakBefore w:val="0"/>
              <w:widowControl w:val="0"/>
              <w:kinsoku/>
              <w:wordWrap/>
              <w:overflowPunct/>
              <w:topLinePunct w:val="0"/>
              <w:bidi w:val="0"/>
              <w:spacing w:before="49" w:line="500" w:lineRule="exact"/>
              <w:ind w:left="24" w:right="25" w:firstLine="440"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10"/>
                <w:sz w:val="24"/>
                <w:szCs w:val="24"/>
              </w:rPr>
              <w:t>3.投标（响应） 报价低于采购项目最高限价45%的，即投标 （响应）报</w:t>
            </w:r>
            <w:r>
              <w:rPr>
                <w:rFonts w:hint="eastAsia" w:ascii="微软雅黑" w:hAnsi="微软雅黑" w:eastAsia="微软雅黑" w:cs="微软雅黑"/>
                <w:spacing w:val="-4"/>
                <w:sz w:val="24"/>
                <w:szCs w:val="24"/>
              </w:rPr>
              <w:t>价</w:t>
            </w:r>
            <w:r>
              <w:rPr>
                <w:rFonts w:hint="eastAsia" w:ascii="微软雅黑" w:hAnsi="微软雅黑" w:eastAsia="微软雅黑" w:cs="微软雅黑"/>
                <w:spacing w:val="-18"/>
                <w:sz w:val="24"/>
                <w:szCs w:val="24"/>
              </w:rPr>
              <w:t xml:space="preserve"> </w:t>
            </w:r>
            <w:r>
              <w:rPr>
                <w:rFonts w:hint="eastAsia" w:ascii="微软雅黑" w:hAnsi="微软雅黑" w:eastAsia="微软雅黑" w:cs="微软雅黑"/>
                <w:spacing w:val="-4"/>
                <w:sz w:val="24"/>
                <w:szCs w:val="24"/>
              </w:rPr>
              <w:t>&lt;采购项目最高限价×45%； 4.评审委员会基于专业判断，认为供应商报价过低，有可</w:t>
            </w:r>
            <w:r>
              <w:rPr>
                <w:rFonts w:hint="eastAsia" w:ascii="微软雅黑" w:hAnsi="微软雅黑" w:eastAsia="微软雅黑" w:cs="微软雅黑"/>
                <w:sz w:val="24"/>
                <w:szCs w:val="24"/>
              </w:rPr>
              <w:t>能影响产品质量或者不能诚信履约的其他情形。</w:t>
            </w:r>
          </w:p>
          <w:p w14:paraId="3D3D3C20">
            <w:pPr>
              <w:keepNext w:val="0"/>
              <w:keepLines w:val="0"/>
              <w:pageBreakBefore w:val="0"/>
              <w:widowControl w:val="0"/>
              <w:kinsoku/>
              <w:wordWrap/>
              <w:overflowPunct/>
              <w:topLinePunct w:val="0"/>
              <w:bidi w:val="0"/>
              <w:spacing w:before="21" w:line="500" w:lineRule="exact"/>
              <w:ind w:left="27" w:right="25" w:firstLine="460"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5"/>
                <w:sz w:val="24"/>
                <w:szCs w:val="24"/>
              </w:rPr>
              <w:t>评审委员会启动异常低价投标</w:t>
            </w:r>
            <w:r>
              <w:rPr>
                <w:rFonts w:hint="eastAsia" w:ascii="微软雅黑" w:hAnsi="微软雅黑" w:eastAsia="微软雅黑" w:cs="微软雅黑"/>
                <w:spacing w:val="-29"/>
                <w:sz w:val="24"/>
                <w:szCs w:val="24"/>
              </w:rPr>
              <w:t xml:space="preserve"> </w:t>
            </w:r>
            <w:r>
              <w:rPr>
                <w:rFonts w:hint="eastAsia" w:ascii="微软雅黑" w:hAnsi="微软雅黑" w:eastAsia="微软雅黑" w:cs="微软雅黑"/>
                <w:spacing w:val="-5"/>
                <w:sz w:val="24"/>
                <w:szCs w:val="24"/>
              </w:rPr>
              <w:t>（响应）</w:t>
            </w:r>
            <w:r>
              <w:rPr>
                <w:rFonts w:hint="eastAsia" w:ascii="微软雅黑" w:hAnsi="微软雅黑" w:eastAsia="微软雅黑" w:cs="微软雅黑"/>
                <w:spacing w:val="-17"/>
                <w:sz w:val="24"/>
                <w:szCs w:val="24"/>
              </w:rPr>
              <w:t xml:space="preserve"> </w:t>
            </w:r>
            <w:r>
              <w:rPr>
                <w:rFonts w:hint="eastAsia" w:ascii="微软雅黑" w:hAnsi="微软雅黑" w:eastAsia="微软雅黑" w:cs="微软雅黑"/>
                <w:spacing w:val="-5"/>
                <w:sz w:val="24"/>
                <w:szCs w:val="24"/>
              </w:rPr>
              <w:t>审查程序，</w:t>
            </w:r>
            <w:r>
              <w:rPr>
                <w:rFonts w:hint="eastAsia" w:ascii="微软雅黑" w:hAnsi="微软雅黑" w:eastAsia="微软雅黑" w:cs="微软雅黑"/>
                <w:spacing w:val="-26"/>
                <w:sz w:val="24"/>
                <w:szCs w:val="24"/>
              </w:rPr>
              <w:t xml:space="preserve"> </w:t>
            </w:r>
            <w:r>
              <w:rPr>
                <w:rFonts w:hint="eastAsia" w:ascii="微软雅黑" w:hAnsi="微软雅黑" w:eastAsia="微软雅黑" w:cs="微软雅黑"/>
                <w:spacing w:val="-5"/>
                <w:sz w:val="24"/>
                <w:szCs w:val="24"/>
              </w:rPr>
              <w:t>对异常低价</w:t>
            </w:r>
            <w:r>
              <w:rPr>
                <w:rFonts w:hint="eastAsia" w:ascii="微软雅黑" w:hAnsi="微软雅黑" w:eastAsia="微软雅黑" w:cs="微软雅黑"/>
                <w:spacing w:val="-5"/>
                <w:sz w:val="24"/>
                <w:szCs w:val="24"/>
                <w:lang w:eastAsia="zh-CN"/>
              </w:rPr>
              <w:t>供应商</w:t>
            </w:r>
            <w:r>
              <w:rPr>
                <w:rFonts w:hint="eastAsia" w:ascii="微软雅黑" w:hAnsi="微软雅黑" w:eastAsia="微软雅黑" w:cs="微软雅黑"/>
                <w:spacing w:val="-5"/>
                <w:sz w:val="24"/>
                <w:szCs w:val="24"/>
              </w:rPr>
              <w:t>做出废标处理</w:t>
            </w:r>
            <w:r>
              <w:rPr>
                <w:rFonts w:hint="eastAsia" w:ascii="微软雅黑" w:hAnsi="微软雅黑" w:eastAsia="微软雅黑" w:cs="微软雅黑"/>
                <w:spacing w:val="-6"/>
                <w:sz w:val="24"/>
                <w:szCs w:val="24"/>
              </w:rPr>
              <w:t>。采购</w:t>
            </w:r>
            <w:r>
              <w:rPr>
                <w:rFonts w:hint="eastAsia" w:ascii="微软雅黑" w:hAnsi="微软雅黑" w:eastAsia="微软雅黑" w:cs="微软雅黑"/>
                <w:spacing w:val="-4"/>
                <w:sz w:val="24"/>
                <w:szCs w:val="24"/>
              </w:rPr>
              <w:t>人可以结合具体项目实际情况，提高上述第1项至第3项中启动异常低价投标（响应）</w:t>
            </w:r>
            <w:r>
              <w:rPr>
                <w:rFonts w:hint="eastAsia" w:ascii="微软雅黑" w:hAnsi="微软雅黑" w:eastAsia="微软雅黑" w:cs="微软雅黑"/>
                <w:spacing w:val="-18"/>
                <w:sz w:val="24"/>
                <w:szCs w:val="24"/>
              </w:rPr>
              <w:t xml:space="preserve"> </w:t>
            </w:r>
            <w:r>
              <w:rPr>
                <w:rFonts w:hint="eastAsia" w:ascii="微软雅黑" w:hAnsi="微软雅黑" w:eastAsia="微软雅黑" w:cs="微软雅黑"/>
                <w:spacing w:val="-4"/>
                <w:sz w:val="24"/>
                <w:szCs w:val="24"/>
              </w:rPr>
              <w:t>审查的数值标准，但是最高不得超过65%。</w:t>
            </w:r>
          </w:p>
          <w:p w14:paraId="652792E5">
            <w:pPr>
              <w:keepNext w:val="0"/>
              <w:keepLines w:val="0"/>
              <w:pageBreakBefore w:val="0"/>
              <w:widowControl w:val="0"/>
              <w:kinsoku/>
              <w:wordWrap/>
              <w:overflowPunct/>
              <w:topLinePunct w:val="0"/>
              <w:bidi w:val="0"/>
              <w:spacing w:before="17" w:line="500" w:lineRule="exact"/>
              <w:ind w:left="27"/>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相关法律法规对供应商报价有规定的，从其规定。</w:t>
            </w:r>
          </w:p>
          <w:p w14:paraId="148BAAD6">
            <w:pPr>
              <w:keepNext w:val="0"/>
              <w:keepLines w:val="0"/>
              <w:pageBreakBefore w:val="0"/>
              <w:widowControl w:val="0"/>
              <w:kinsoku/>
              <w:wordWrap/>
              <w:overflowPunct/>
              <w:topLinePunct w:val="0"/>
              <w:bidi w:val="0"/>
              <w:spacing w:before="160" w:line="500" w:lineRule="exact"/>
              <w:ind w:left="25" w:firstLine="32"/>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8"/>
                <w:sz w:val="24"/>
                <w:szCs w:val="24"/>
              </w:rPr>
              <w:t>（二）</w:t>
            </w:r>
            <w:r>
              <w:rPr>
                <w:rFonts w:hint="eastAsia" w:ascii="微软雅黑" w:hAnsi="微软雅黑" w:eastAsia="微软雅黑" w:cs="微软雅黑"/>
                <w:spacing w:val="-27"/>
                <w:sz w:val="24"/>
                <w:szCs w:val="24"/>
              </w:rPr>
              <w:t xml:space="preserve"> </w:t>
            </w:r>
            <w:r>
              <w:rPr>
                <w:rFonts w:hint="eastAsia" w:ascii="微软雅黑" w:hAnsi="微软雅黑" w:eastAsia="微软雅黑" w:cs="微软雅黑"/>
                <w:spacing w:val="-8"/>
                <w:sz w:val="24"/>
                <w:szCs w:val="24"/>
              </w:rPr>
              <w:t>评审委员会启动异常低价投标（响应）审查后，</w:t>
            </w:r>
            <w:r>
              <w:rPr>
                <w:rFonts w:hint="eastAsia" w:ascii="微软雅黑" w:hAnsi="微软雅黑" w:eastAsia="微软雅黑" w:cs="微软雅黑"/>
                <w:spacing w:val="-31"/>
                <w:sz w:val="24"/>
                <w:szCs w:val="24"/>
              </w:rPr>
              <w:t xml:space="preserve"> </w:t>
            </w:r>
            <w:r>
              <w:rPr>
                <w:rFonts w:hint="eastAsia" w:ascii="微软雅黑" w:hAnsi="微软雅黑" w:eastAsia="微软雅黑" w:cs="微软雅黑"/>
                <w:spacing w:val="-8"/>
                <w:sz w:val="24"/>
                <w:szCs w:val="24"/>
              </w:rPr>
              <w:t>属于前述第1项</w:t>
            </w:r>
            <w:r>
              <w:rPr>
                <w:rFonts w:hint="eastAsia" w:ascii="微软雅黑" w:hAnsi="微软雅黑" w:eastAsia="微软雅黑" w:cs="微软雅黑"/>
                <w:spacing w:val="-9"/>
                <w:sz w:val="24"/>
                <w:szCs w:val="24"/>
              </w:rPr>
              <w:t>至第4项情形的，</w:t>
            </w:r>
            <w:r>
              <w:rPr>
                <w:rFonts w:hint="eastAsia" w:ascii="微软雅黑" w:hAnsi="微软雅黑" w:eastAsia="微软雅黑" w:cs="微软雅黑"/>
                <w:spacing w:val="-33"/>
                <w:sz w:val="24"/>
                <w:szCs w:val="24"/>
              </w:rPr>
              <w:t xml:space="preserve"> </w:t>
            </w:r>
            <w:r>
              <w:rPr>
                <w:rFonts w:hint="eastAsia" w:ascii="微软雅黑" w:hAnsi="微软雅黑" w:eastAsia="微软雅黑" w:cs="微软雅黑"/>
                <w:spacing w:val="-9"/>
                <w:sz w:val="24"/>
                <w:szCs w:val="24"/>
              </w:rPr>
              <w:t>应</w:t>
            </w:r>
            <w:r>
              <w:rPr>
                <w:rFonts w:hint="eastAsia" w:ascii="微软雅黑" w:hAnsi="微软雅黑" w:eastAsia="微软雅黑" w:cs="微软雅黑"/>
                <w:spacing w:val="-4"/>
                <w:sz w:val="24"/>
                <w:szCs w:val="24"/>
              </w:rPr>
              <w:t>当要求相关供应商在评审现场合理的时间内对投标</w:t>
            </w:r>
            <w:r>
              <w:rPr>
                <w:rFonts w:hint="eastAsia" w:ascii="微软雅黑" w:hAnsi="微软雅黑" w:eastAsia="微软雅黑" w:cs="微软雅黑"/>
                <w:spacing w:val="-34"/>
                <w:sz w:val="24"/>
                <w:szCs w:val="24"/>
              </w:rPr>
              <w:t xml:space="preserve"> </w:t>
            </w:r>
            <w:r>
              <w:rPr>
                <w:rFonts w:hint="eastAsia" w:ascii="微软雅黑" w:hAnsi="微软雅黑" w:eastAsia="微软雅黑" w:cs="微软雅黑"/>
                <w:spacing w:val="-4"/>
                <w:sz w:val="24"/>
                <w:szCs w:val="24"/>
              </w:rPr>
              <w:t>（</w:t>
            </w:r>
            <w:r>
              <w:rPr>
                <w:rFonts w:hint="eastAsia" w:ascii="微软雅黑" w:hAnsi="微软雅黑" w:eastAsia="微软雅黑" w:cs="微软雅黑"/>
                <w:spacing w:val="-5"/>
                <w:sz w:val="24"/>
                <w:szCs w:val="24"/>
              </w:rPr>
              <w:t>响应）</w:t>
            </w:r>
            <w:r>
              <w:rPr>
                <w:rFonts w:hint="eastAsia" w:ascii="微软雅黑" w:hAnsi="微软雅黑" w:eastAsia="微软雅黑" w:cs="微软雅黑"/>
                <w:spacing w:val="-33"/>
                <w:sz w:val="24"/>
                <w:szCs w:val="24"/>
              </w:rPr>
              <w:t xml:space="preserve"> </w:t>
            </w:r>
            <w:r>
              <w:rPr>
                <w:rFonts w:hint="eastAsia" w:ascii="微软雅黑" w:hAnsi="微软雅黑" w:eastAsia="微软雅黑" w:cs="微软雅黑"/>
                <w:spacing w:val="-5"/>
                <w:sz w:val="24"/>
                <w:szCs w:val="24"/>
              </w:rPr>
              <w:t>价格作出解释，</w:t>
            </w:r>
            <w:r>
              <w:rPr>
                <w:rFonts w:hint="eastAsia" w:ascii="微软雅黑" w:hAnsi="微软雅黑" w:eastAsia="微软雅黑" w:cs="微软雅黑"/>
                <w:spacing w:val="-31"/>
                <w:sz w:val="24"/>
                <w:szCs w:val="24"/>
              </w:rPr>
              <w:t xml:space="preserve"> </w:t>
            </w:r>
            <w:r>
              <w:rPr>
                <w:rFonts w:hint="eastAsia" w:ascii="微软雅黑" w:hAnsi="微软雅黑" w:eastAsia="微软雅黑" w:cs="微软雅黑"/>
                <w:spacing w:val="-5"/>
                <w:sz w:val="24"/>
                <w:szCs w:val="24"/>
              </w:rPr>
              <w:t>提供项目具体</w:t>
            </w:r>
            <w:r>
              <w:rPr>
                <w:rFonts w:hint="eastAsia" w:ascii="微软雅黑" w:hAnsi="微软雅黑" w:eastAsia="微软雅黑" w:cs="微软雅黑"/>
                <w:spacing w:val="-3"/>
                <w:sz w:val="24"/>
                <w:szCs w:val="24"/>
              </w:rPr>
              <w:t>成本测算等与报价合理性相关的书面说明及必要的证明材料，包括但不限于原材料成本、人工成本、制造费用等，给予相关供应商的合理时间一般</w:t>
            </w:r>
            <w:r>
              <w:rPr>
                <w:rFonts w:hint="eastAsia" w:ascii="微软雅黑" w:hAnsi="微软雅黑" w:eastAsia="微软雅黑" w:cs="微软雅黑"/>
                <w:spacing w:val="-4"/>
                <w:sz w:val="24"/>
                <w:szCs w:val="24"/>
              </w:rPr>
              <w:t>不少于30分钟。其中，属于第3</w:t>
            </w:r>
            <w:r>
              <w:rPr>
                <w:rFonts w:hint="eastAsia" w:ascii="微软雅黑" w:hAnsi="微软雅黑" w:eastAsia="微软雅黑" w:cs="微软雅黑"/>
                <w:spacing w:val="-6"/>
                <w:sz w:val="24"/>
                <w:szCs w:val="24"/>
              </w:rPr>
              <w:t>项情形，供应商已随投标（响应）文件一并提交相关书面说明及必要的证明材料的，在评</w:t>
            </w:r>
            <w:r>
              <w:rPr>
                <w:rFonts w:hint="eastAsia" w:ascii="微软雅黑" w:hAnsi="微软雅黑" w:eastAsia="微软雅黑" w:cs="微软雅黑"/>
                <w:spacing w:val="-1"/>
                <w:sz w:val="24"/>
                <w:szCs w:val="24"/>
              </w:rPr>
              <w:t>审现场可不再重复提交。</w:t>
            </w:r>
          </w:p>
          <w:p w14:paraId="3C5A68AE">
            <w:pPr>
              <w:keepNext w:val="0"/>
              <w:keepLines w:val="0"/>
              <w:pageBreakBefore w:val="0"/>
              <w:widowControl w:val="0"/>
              <w:kinsoku/>
              <w:wordWrap/>
              <w:overflowPunct/>
              <w:topLinePunct w:val="0"/>
              <w:bidi w:val="0"/>
              <w:spacing w:line="500" w:lineRule="exact"/>
              <w:ind w:left="26" w:right="25"/>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5"/>
                <w:sz w:val="24"/>
                <w:szCs w:val="24"/>
              </w:rPr>
              <w:t>评审委员会依据专业经验，参考同类项目中标（成交）价格、类似产品市</w:t>
            </w:r>
            <w:r>
              <w:rPr>
                <w:rFonts w:hint="eastAsia" w:ascii="微软雅黑" w:hAnsi="微软雅黑" w:eastAsia="微软雅黑" w:cs="微软雅黑"/>
                <w:spacing w:val="-6"/>
                <w:sz w:val="24"/>
                <w:szCs w:val="24"/>
              </w:rPr>
              <w:t>场价格水平、行</w:t>
            </w:r>
            <w:r>
              <w:rPr>
                <w:rFonts w:hint="eastAsia" w:ascii="微软雅黑" w:hAnsi="微软雅黑" w:eastAsia="微软雅黑" w:cs="微软雅黑"/>
                <w:spacing w:val="-2"/>
                <w:sz w:val="24"/>
                <w:szCs w:val="24"/>
              </w:rPr>
              <w:t>业人工费用标准、国家有关部门指导行业协会发布的行业平均成本等情况，对报价合理性</w:t>
            </w:r>
            <w:r>
              <w:rPr>
                <w:rFonts w:hint="eastAsia" w:ascii="微软雅黑" w:hAnsi="微软雅黑" w:eastAsia="微软雅黑" w:cs="微软雅黑"/>
                <w:spacing w:val="-5"/>
                <w:sz w:val="24"/>
                <w:szCs w:val="24"/>
              </w:rPr>
              <w:t>进行判断。投标（响应）供应商不能提供书面说明、证明材料</w:t>
            </w:r>
            <w:r>
              <w:rPr>
                <w:rFonts w:hint="eastAsia" w:ascii="微软雅黑" w:hAnsi="微软雅黑" w:eastAsia="微软雅黑" w:cs="微软雅黑"/>
                <w:spacing w:val="-18"/>
                <w:sz w:val="24"/>
                <w:szCs w:val="24"/>
              </w:rPr>
              <w:t xml:space="preserve"> </w:t>
            </w:r>
            <w:r>
              <w:rPr>
                <w:rFonts w:hint="eastAsia" w:ascii="微软雅黑" w:hAnsi="微软雅黑" w:eastAsia="微软雅黑" w:cs="微软雅黑"/>
                <w:spacing w:val="-6"/>
                <w:sz w:val="24"/>
                <w:szCs w:val="24"/>
              </w:rPr>
              <w:t>或者提供的书面说明、证</w:t>
            </w:r>
            <w:r>
              <w:rPr>
                <w:rFonts w:hint="eastAsia" w:ascii="微软雅黑" w:hAnsi="微软雅黑" w:eastAsia="微软雅黑" w:cs="微软雅黑"/>
                <w:spacing w:val="-5"/>
                <w:sz w:val="24"/>
                <w:szCs w:val="24"/>
              </w:rPr>
              <w:t>明材料不能证明其报价合理性的，评审委员会应当将其作为无效投标 （响应）处理。</w:t>
            </w:r>
          </w:p>
          <w:p w14:paraId="42DF6706">
            <w:pPr>
              <w:keepNext w:val="0"/>
              <w:keepLines w:val="0"/>
              <w:pageBreakBefore w:val="0"/>
              <w:widowControl w:val="0"/>
              <w:kinsoku/>
              <w:wordWrap/>
              <w:overflowPunct/>
              <w:topLinePunct w:val="0"/>
              <w:bidi w:val="0"/>
              <w:spacing w:before="4" w:line="500" w:lineRule="exact"/>
              <w:ind w:left="25" w:firstLine="1"/>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7"/>
                <w:sz w:val="24"/>
                <w:szCs w:val="24"/>
              </w:rPr>
              <w:t>采购人</w:t>
            </w:r>
            <w:r>
              <w:rPr>
                <w:rFonts w:hint="eastAsia" w:ascii="微软雅黑" w:hAnsi="微软雅黑" w:eastAsia="微软雅黑" w:cs="微软雅黑"/>
                <w:spacing w:val="-7"/>
                <w:sz w:val="24"/>
                <w:szCs w:val="24"/>
                <w:lang w:eastAsia="zh-CN"/>
              </w:rPr>
              <w:t>、</w:t>
            </w:r>
            <w:r>
              <w:rPr>
                <w:rFonts w:hint="eastAsia" w:ascii="微软雅黑" w:hAnsi="微软雅黑" w:eastAsia="微软雅黑" w:cs="微软雅黑"/>
                <w:spacing w:val="-7"/>
                <w:sz w:val="24"/>
                <w:szCs w:val="24"/>
              </w:rPr>
              <w:t>采购代理机构应当为评审委员会在评审现场及时获取同类项目中标（成交）价格、</w:t>
            </w:r>
            <w:r>
              <w:rPr>
                <w:rFonts w:hint="eastAsia" w:ascii="微软雅黑" w:hAnsi="微软雅黑" w:eastAsia="微软雅黑" w:cs="微软雅黑"/>
                <w:spacing w:val="-3"/>
                <w:sz w:val="24"/>
                <w:szCs w:val="24"/>
              </w:rPr>
              <w:t>类似产品市场价格水平、行业人工费用标准、国家有关部门指导行业协会发布的行业平均成本等相关信息资料提供便利。评审委员会借助互联网等渠道查询相关信息的，应当严格</w:t>
            </w:r>
            <w:r>
              <w:rPr>
                <w:rFonts w:hint="eastAsia" w:ascii="微软雅黑" w:hAnsi="微软雅黑" w:eastAsia="微软雅黑" w:cs="微软雅黑"/>
                <w:spacing w:val="-4"/>
                <w:sz w:val="24"/>
                <w:szCs w:val="24"/>
              </w:rPr>
              <w:t>遵守评审工作纪律，不得实施影响评审公正的行为。</w:t>
            </w:r>
          </w:p>
          <w:p w14:paraId="5ECEA6B9">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spacing w:val="-2"/>
                <w:sz w:val="24"/>
                <w:szCs w:val="24"/>
              </w:rPr>
            </w:pPr>
            <w:r>
              <w:rPr>
                <w:rFonts w:hint="eastAsia" w:ascii="微软雅黑" w:hAnsi="微软雅黑" w:eastAsia="微软雅黑" w:cs="微软雅黑"/>
                <w:spacing w:val="-5"/>
                <w:sz w:val="24"/>
                <w:szCs w:val="24"/>
              </w:rPr>
              <w:t>异常低价投标</w:t>
            </w:r>
            <w:r>
              <w:rPr>
                <w:rFonts w:hint="eastAsia" w:ascii="微软雅黑" w:hAnsi="微软雅黑" w:eastAsia="微软雅黑" w:cs="微软雅黑"/>
                <w:spacing w:val="-27"/>
                <w:sz w:val="24"/>
                <w:szCs w:val="24"/>
              </w:rPr>
              <w:t xml:space="preserve"> </w:t>
            </w:r>
            <w:r>
              <w:rPr>
                <w:rFonts w:hint="eastAsia" w:ascii="微软雅黑" w:hAnsi="微软雅黑" w:eastAsia="微软雅黑" w:cs="微软雅黑"/>
                <w:spacing w:val="-5"/>
                <w:sz w:val="24"/>
                <w:szCs w:val="24"/>
              </w:rPr>
              <w:t>（响应）</w:t>
            </w:r>
            <w:r>
              <w:rPr>
                <w:rFonts w:hint="eastAsia" w:ascii="微软雅黑" w:hAnsi="微软雅黑" w:eastAsia="微软雅黑" w:cs="微软雅黑"/>
                <w:spacing w:val="-14"/>
                <w:sz w:val="24"/>
                <w:szCs w:val="24"/>
              </w:rPr>
              <w:t xml:space="preserve"> </w:t>
            </w:r>
            <w:r>
              <w:rPr>
                <w:rFonts w:hint="eastAsia" w:ascii="微软雅黑" w:hAnsi="微软雅黑" w:eastAsia="微软雅黑" w:cs="微软雅黑"/>
                <w:spacing w:val="-5"/>
                <w:sz w:val="24"/>
                <w:szCs w:val="24"/>
              </w:rPr>
              <w:t>审查的启动原因、审查意见和审查结</w:t>
            </w:r>
            <w:r>
              <w:rPr>
                <w:rFonts w:hint="eastAsia" w:ascii="微软雅黑" w:hAnsi="微软雅黑" w:eastAsia="微软雅黑" w:cs="微软雅黑"/>
                <w:spacing w:val="-6"/>
                <w:sz w:val="24"/>
                <w:szCs w:val="24"/>
              </w:rPr>
              <w:t>果应当在评审报告中记录，</w:t>
            </w:r>
            <w:r>
              <w:rPr>
                <w:rFonts w:hint="eastAsia" w:ascii="微软雅黑" w:hAnsi="微软雅黑" w:eastAsia="微软雅黑" w:cs="微软雅黑"/>
                <w:spacing w:val="-22"/>
                <w:sz w:val="24"/>
                <w:szCs w:val="24"/>
              </w:rPr>
              <w:t xml:space="preserve"> </w:t>
            </w:r>
            <w:r>
              <w:rPr>
                <w:rFonts w:hint="eastAsia" w:ascii="微软雅黑" w:hAnsi="微软雅黑" w:eastAsia="微软雅黑" w:cs="微软雅黑"/>
                <w:spacing w:val="-6"/>
                <w:sz w:val="24"/>
                <w:szCs w:val="24"/>
              </w:rPr>
              <w:t>并</w:t>
            </w:r>
            <w:r>
              <w:rPr>
                <w:rFonts w:hint="eastAsia" w:ascii="微软雅黑" w:hAnsi="微软雅黑" w:eastAsia="微软雅黑" w:cs="微软雅黑"/>
                <w:spacing w:val="-3"/>
                <w:sz w:val="24"/>
                <w:szCs w:val="24"/>
              </w:rPr>
              <w:t>随供应商提供的相关书面说明及证明材料</w:t>
            </w:r>
            <w:r>
              <w:rPr>
                <w:rFonts w:hint="eastAsia" w:ascii="微软雅黑" w:hAnsi="微软雅黑" w:eastAsia="微软雅黑" w:cs="微软雅黑"/>
                <w:spacing w:val="-3"/>
                <w:sz w:val="24"/>
                <w:szCs w:val="24"/>
                <w:lang w:eastAsia="zh-CN"/>
              </w:rPr>
              <w:t>，</w:t>
            </w:r>
            <w:r>
              <w:rPr>
                <w:rFonts w:hint="eastAsia" w:ascii="微软雅黑" w:hAnsi="微软雅黑" w:eastAsia="微软雅黑" w:cs="微软雅黑"/>
                <w:spacing w:val="-23"/>
                <w:sz w:val="24"/>
                <w:szCs w:val="24"/>
              </w:rPr>
              <w:t xml:space="preserve"> </w:t>
            </w:r>
            <w:r>
              <w:rPr>
                <w:rFonts w:hint="eastAsia" w:ascii="微软雅黑" w:hAnsi="微软雅黑" w:eastAsia="微软雅黑" w:cs="微软雅黑"/>
                <w:spacing w:val="-3"/>
                <w:sz w:val="24"/>
                <w:szCs w:val="24"/>
              </w:rPr>
              <w:t>以及评审委员会有关互联网浏览、查询历史一</w:t>
            </w:r>
            <w:r>
              <w:rPr>
                <w:rFonts w:hint="eastAsia" w:ascii="微软雅黑" w:hAnsi="微软雅黑" w:eastAsia="微软雅黑" w:cs="微软雅黑"/>
                <w:spacing w:val="-2"/>
                <w:sz w:val="24"/>
                <w:szCs w:val="24"/>
              </w:rPr>
              <w:t>并归档。</w:t>
            </w:r>
          </w:p>
          <w:p w14:paraId="40DB2415">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spacing w:val="-4"/>
                <w:sz w:val="24"/>
                <w:szCs w:val="24"/>
              </w:rPr>
              <w:t>（三）</w:t>
            </w:r>
            <w:r>
              <w:rPr>
                <w:rFonts w:hint="eastAsia" w:ascii="微软雅黑" w:hAnsi="微软雅黑" w:eastAsia="微软雅黑" w:cs="微软雅黑"/>
                <w:spacing w:val="-33"/>
                <w:sz w:val="24"/>
                <w:szCs w:val="24"/>
              </w:rPr>
              <w:t xml:space="preserve"> </w:t>
            </w:r>
            <w:r>
              <w:rPr>
                <w:rFonts w:hint="eastAsia" w:ascii="微软雅黑" w:hAnsi="微软雅黑" w:eastAsia="微软雅黑" w:cs="微软雅黑"/>
                <w:spacing w:val="-4"/>
                <w:sz w:val="24"/>
                <w:szCs w:val="24"/>
              </w:rPr>
              <w:t>各级财政部门应当加强对评审专家的指导</w:t>
            </w:r>
            <w:r>
              <w:rPr>
                <w:rFonts w:hint="eastAsia" w:ascii="微软雅黑" w:hAnsi="微软雅黑" w:eastAsia="微软雅黑" w:cs="微软雅黑"/>
                <w:spacing w:val="-5"/>
                <w:sz w:val="24"/>
                <w:szCs w:val="24"/>
              </w:rPr>
              <w:t>和监管，</w:t>
            </w:r>
            <w:r>
              <w:rPr>
                <w:rFonts w:hint="eastAsia" w:ascii="微软雅黑" w:hAnsi="微软雅黑" w:eastAsia="微软雅黑" w:cs="微软雅黑"/>
                <w:spacing w:val="-31"/>
                <w:sz w:val="24"/>
                <w:szCs w:val="24"/>
              </w:rPr>
              <w:t xml:space="preserve"> </w:t>
            </w:r>
            <w:r>
              <w:rPr>
                <w:rFonts w:hint="eastAsia" w:ascii="微软雅黑" w:hAnsi="微软雅黑" w:eastAsia="微软雅黑" w:cs="微软雅黑"/>
                <w:spacing w:val="-5"/>
                <w:sz w:val="24"/>
                <w:szCs w:val="24"/>
              </w:rPr>
              <w:t>进一步压实评审专家的责任。财</w:t>
            </w:r>
            <w:r>
              <w:rPr>
                <w:rFonts w:hint="eastAsia" w:ascii="微软雅黑" w:hAnsi="微软雅黑" w:eastAsia="微软雅黑" w:cs="微软雅黑"/>
                <w:spacing w:val="-2"/>
                <w:sz w:val="24"/>
                <w:szCs w:val="24"/>
              </w:rPr>
              <w:t>政部门在投诉处理、监督检查中发现评审委员会未按规定对异常低价开展审查的，依法予</w:t>
            </w:r>
            <w:r>
              <w:rPr>
                <w:rFonts w:hint="eastAsia" w:ascii="微软雅黑" w:hAnsi="微软雅黑" w:eastAsia="微软雅黑" w:cs="微软雅黑"/>
                <w:spacing w:val="-1"/>
                <w:sz w:val="24"/>
                <w:szCs w:val="24"/>
              </w:rPr>
              <w:t>以纠正并追究评审专家的法律责任。</w:t>
            </w:r>
          </w:p>
        </w:tc>
      </w:tr>
      <w:tr w14:paraId="73E6E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10039" w:type="dxa"/>
            <w:gridSpan w:val="2"/>
            <w:vAlign w:val="center"/>
          </w:tcPr>
          <w:p w14:paraId="2DE5565D">
            <w:pPr>
              <w:keepNext w:val="0"/>
              <w:keepLines w:val="0"/>
              <w:pageBreakBefore w:val="0"/>
              <w:widowControl w:val="0"/>
              <w:kinsoku/>
              <w:wordWrap/>
              <w:overflowPunct/>
              <w:topLinePunct w:val="0"/>
              <w:bidi w:val="0"/>
              <w:snapToGrid/>
              <w:spacing w:line="50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注：供应商通过PS造假等手段提供虚假证明材料，隐瞒事实、虚假投标并中标，在验收过程中经过严格验收发现问题后，立即终止并反馈当地政府采购监管部门处理，供应商须并承担造成的一切后果。</w:t>
            </w:r>
          </w:p>
          <w:p w14:paraId="3B9C372B">
            <w:pPr>
              <w:keepNext w:val="0"/>
              <w:keepLines w:val="0"/>
              <w:pageBreakBefore w:val="0"/>
              <w:widowControl w:val="0"/>
              <w:kinsoku/>
              <w:wordWrap/>
              <w:overflowPunct/>
              <w:topLinePunct w:val="0"/>
              <w:bidi w:val="0"/>
              <w:spacing w:line="50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供应商以他人名义投标或者以其他方式弄虚作假，骗取中标的，中标无效，给采购人造成损失的，依法承担赔偿责任；构成犯罪的，依法追究刑事责任。</w:t>
            </w:r>
          </w:p>
        </w:tc>
      </w:tr>
    </w:tbl>
    <w:p w14:paraId="5F9089F8">
      <w:pPr>
        <w:pStyle w:val="4"/>
        <w:ind w:firstLine="0"/>
        <w:jc w:val="center"/>
        <w:rPr>
          <w:rFonts w:ascii="微软雅黑" w:hAnsi="微软雅黑" w:eastAsia="微软雅黑" w:cs="微软雅黑"/>
          <w:color w:val="auto"/>
          <w:sz w:val="28"/>
          <w:szCs w:val="28"/>
          <w:highlight w:val="none"/>
        </w:rPr>
        <w:sectPr>
          <w:pgSz w:w="11905" w:h="16838"/>
          <w:pgMar w:top="1440" w:right="1080" w:bottom="1440" w:left="1080" w:header="851" w:footer="992" w:gutter="0"/>
          <w:cols w:space="0" w:num="1"/>
          <w:docGrid w:linePitch="312" w:charSpace="0"/>
        </w:sectPr>
      </w:pPr>
    </w:p>
    <w:p w14:paraId="39793762">
      <w:pPr>
        <w:numPr>
          <w:ilvl w:val="0"/>
          <w:numId w:val="8"/>
        </w:numPr>
        <w:jc w:val="center"/>
        <w:outlineLvl w:val="0"/>
        <w:rPr>
          <w:rFonts w:ascii="微软雅黑" w:hAnsi="微软雅黑" w:eastAsia="微软雅黑" w:cs="微软雅黑"/>
          <w:b/>
          <w:bCs/>
          <w:color w:val="auto"/>
          <w:kern w:val="44"/>
          <w:sz w:val="28"/>
          <w:szCs w:val="28"/>
          <w:highlight w:val="none"/>
        </w:rPr>
      </w:pPr>
      <w:r>
        <w:rPr>
          <w:rFonts w:hint="eastAsia" w:ascii="微软雅黑" w:hAnsi="微软雅黑" w:eastAsia="微软雅黑" w:cs="微软雅黑"/>
          <w:b/>
          <w:bCs/>
          <w:color w:val="auto"/>
          <w:kern w:val="44"/>
          <w:sz w:val="28"/>
          <w:szCs w:val="28"/>
          <w:highlight w:val="none"/>
          <w:lang w:val="en-US" w:eastAsia="zh-CN"/>
        </w:rPr>
        <w:t xml:space="preserve">   </w:t>
      </w:r>
      <w:bookmarkStart w:id="749" w:name="_Toc2299"/>
      <w:bookmarkStart w:id="750" w:name="_Toc822"/>
      <w:bookmarkStart w:id="751" w:name="_Toc16110"/>
      <w:r>
        <w:rPr>
          <w:rFonts w:hint="eastAsia" w:ascii="微软雅黑" w:hAnsi="微软雅黑" w:eastAsia="微软雅黑" w:cs="微软雅黑"/>
          <w:b/>
          <w:bCs/>
          <w:color w:val="auto"/>
          <w:kern w:val="44"/>
          <w:sz w:val="28"/>
          <w:szCs w:val="28"/>
          <w:highlight w:val="none"/>
        </w:rPr>
        <w:t>货物需求一览表及技术规格</w:t>
      </w:r>
      <w:bookmarkEnd w:id="749"/>
      <w:bookmarkEnd w:id="750"/>
      <w:bookmarkEnd w:id="751"/>
    </w:p>
    <w:p w14:paraId="665E9516">
      <w:pPr>
        <w:spacing w:line="360" w:lineRule="auto"/>
        <w:jc w:val="center"/>
        <w:rPr>
          <w:rFonts w:hint="eastAsia" w:ascii="宋体" w:hAnsi="宋体" w:cs="宋体"/>
          <w:b/>
          <w:bCs/>
          <w:sz w:val="30"/>
          <w:szCs w:val="30"/>
          <w:highlight w:val="yellow"/>
          <w:lang w:val="en-US" w:eastAsia="zh-CN"/>
        </w:rPr>
      </w:pPr>
      <w:bookmarkStart w:id="752" w:name="_Toc216582826"/>
      <w:bookmarkStart w:id="753" w:name="_Toc218935355"/>
      <w:bookmarkStart w:id="754" w:name="_Toc7971"/>
      <w:bookmarkStart w:id="755" w:name="_Toc11259"/>
      <w:bookmarkStart w:id="756" w:name="_Toc507399907"/>
      <w:bookmarkStart w:id="757" w:name="_Toc32647"/>
      <w:bookmarkStart w:id="758" w:name="_Toc515647832"/>
      <w:bookmarkStart w:id="759" w:name="_Toc219175639"/>
      <w:r>
        <w:rPr>
          <w:rFonts w:hint="eastAsia" w:ascii="宋体" w:hAnsi="宋体" w:cs="宋体"/>
          <w:b/>
          <w:bCs/>
          <w:sz w:val="30"/>
          <w:szCs w:val="30"/>
          <w:highlight w:val="yellow"/>
          <w:lang w:val="en-US" w:eastAsia="zh-CN"/>
        </w:rPr>
        <w:t>第一包：</w:t>
      </w:r>
      <w:r>
        <w:rPr>
          <w:rFonts w:hint="eastAsia" w:ascii="宋体" w:hAnsi="宋体" w:eastAsia="宋体" w:cs="宋体"/>
          <w:b/>
          <w:bCs/>
          <w:sz w:val="30"/>
          <w:szCs w:val="30"/>
          <w:highlight w:val="yellow"/>
        </w:rPr>
        <w:t>高档彩色多普勒超声波诊断仪</w:t>
      </w:r>
      <w:r>
        <w:rPr>
          <w:rFonts w:hint="eastAsia" w:ascii="宋体" w:hAnsi="宋体" w:cs="宋体"/>
          <w:b/>
          <w:bCs/>
          <w:sz w:val="30"/>
          <w:szCs w:val="30"/>
          <w:highlight w:val="yellow"/>
          <w:lang w:val="en-US" w:eastAsia="zh-CN"/>
        </w:rPr>
        <w:t>1台、便携式彩色多普勒超声1台。</w:t>
      </w:r>
    </w:p>
    <w:p w14:paraId="40BBBA48">
      <w:pPr>
        <w:spacing w:line="360" w:lineRule="auto"/>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设备1：</w:t>
      </w:r>
      <w:r>
        <w:rPr>
          <w:rFonts w:hint="eastAsia" w:ascii="宋体" w:hAnsi="宋体" w:eastAsia="宋体" w:cs="宋体"/>
          <w:b/>
          <w:bCs/>
          <w:sz w:val="28"/>
          <w:szCs w:val="28"/>
        </w:rPr>
        <w:t>高档彩色多普勒超声波诊断仪</w:t>
      </w:r>
      <w:r>
        <w:rPr>
          <w:rFonts w:hint="eastAsia" w:ascii="宋体" w:hAnsi="宋体" w:cs="宋体"/>
          <w:b/>
          <w:bCs/>
          <w:sz w:val="28"/>
          <w:szCs w:val="28"/>
          <w:lang w:val="en-US" w:eastAsia="zh-CN"/>
        </w:rPr>
        <w:t>1台</w:t>
      </w:r>
    </w:p>
    <w:p w14:paraId="36E701E2">
      <w:pPr>
        <w:spacing w:line="360" w:lineRule="auto"/>
        <w:ind w:firstLine="480" w:firstLineChars="200"/>
        <w:rPr>
          <w:rFonts w:hint="eastAsia" w:ascii="宋体" w:hAnsi="宋体" w:cs="宋体"/>
          <w:b/>
          <w:bCs/>
          <w:sz w:val="24"/>
          <w:lang w:val="en-US" w:eastAsia="zh-CN"/>
        </w:rPr>
      </w:pPr>
      <w:r>
        <w:rPr>
          <w:rFonts w:hint="eastAsia" w:ascii="宋体" w:hAnsi="宋体" w:cs="宋体"/>
          <w:sz w:val="24"/>
          <w:lang w:val="en-US" w:eastAsia="zh-CN"/>
        </w:rPr>
        <w:t>一、</w:t>
      </w:r>
      <w:r>
        <w:rPr>
          <w:rFonts w:hint="eastAsia" w:ascii="宋体" w:hAnsi="宋体" w:eastAsia="宋体" w:cs="宋体"/>
          <w:sz w:val="24"/>
        </w:rPr>
        <w:t>适用于腹部、</w:t>
      </w:r>
      <w:r>
        <w:rPr>
          <w:rFonts w:hint="eastAsia" w:ascii="宋体" w:hAnsi="宋体" w:eastAsia="宋体" w:cs="宋体"/>
          <w:sz w:val="24"/>
          <w:lang w:val="en-US" w:eastAsia="zh-CN"/>
        </w:rPr>
        <w:t>浅表</w:t>
      </w:r>
      <w:r>
        <w:rPr>
          <w:rFonts w:hint="eastAsia" w:ascii="宋体" w:hAnsi="宋体" w:eastAsia="宋体" w:cs="宋体"/>
          <w:sz w:val="24"/>
        </w:rPr>
        <w:t>小器官、外周血管、心脏、妇科、产科、儿科、新生儿、肌肉骨骼、泌尿、颅脑等</w:t>
      </w:r>
      <w:r>
        <w:rPr>
          <w:rFonts w:hint="eastAsia" w:ascii="宋体" w:hAnsi="宋体" w:cs="宋体"/>
          <w:sz w:val="24"/>
          <w:lang w:eastAsia="zh-CN"/>
        </w:rPr>
        <w:t>；</w:t>
      </w:r>
      <w:r>
        <w:rPr>
          <w:rFonts w:hint="eastAsia" w:ascii="宋体" w:hAnsi="宋体" w:eastAsia="宋体" w:cs="宋体"/>
          <w:b/>
          <w:bCs/>
          <w:sz w:val="24"/>
          <w:lang w:val="en-US"/>
        </w:rPr>
        <w:t>所投机型为各品牌最新最高端机型</w:t>
      </w:r>
      <w:r>
        <w:rPr>
          <w:rFonts w:hint="eastAsia" w:ascii="宋体" w:hAnsi="宋体" w:cs="宋体"/>
          <w:b/>
          <w:bCs/>
          <w:sz w:val="24"/>
          <w:lang w:val="en-US" w:eastAsia="zh-CN"/>
        </w:rPr>
        <w:t>。</w:t>
      </w:r>
    </w:p>
    <w:p w14:paraId="438B0CBF">
      <w:pPr>
        <w:spacing w:line="360" w:lineRule="auto"/>
        <w:ind w:firstLine="482" w:firstLineChars="200"/>
        <w:rPr>
          <w:rFonts w:hint="eastAsia" w:ascii="宋体" w:hAnsi="宋体" w:eastAsia="宋体" w:cs="宋体"/>
          <w:b/>
          <w:bCs/>
          <w:sz w:val="24"/>
        </w:rPr>
      </w:pPr>
      <w:r>
        <w:rPr>
          <w:rFonts w:hint="eastAsia" w:ascii="宋体" w:hAnsi="宋体" w:cs="宋体"/>
          <w:b/>
          <w:bCs/>
          <w:sz w:val="24"/>
          <w:lang w:val="en-US" w:eastAsia="zh-CN"/>
        </w:rPr>
        <w:t>二</w:t>
      </w:r>
      <w:r>
        <w:rPr>
          <w:rFonts w:hint="eastAsia" w:ascii="宋体" w:hAnsi="宋体" w:eastAsia="宋体" w:cs="宋体"/>
          <w:b/>
          <w:bCs/>
          <w:sz w:val="24"/>
        </w:rPr>
        <w:tab/>
      </w:r>
      <w:r>
        <w:rPr>
          <w:rFonts w:hint="eastAsia" w:ascii="宋体" w:hAnsi="宋体" w:cs="宋体"/>
          <w:b/>
          <w:bCs/>
          <w:sz w:val="24"/>
          <w:lang w:eastAsia="zh-CN"/>
        </w:rPr>
        <w:t>、</w:t>
      </w:r>
      <w:r>
        <w:rPr>
          <w:rFonts w:hint="eastAsia" w:ascii="宋体" w:hAnsi="宋体" w:eastAsia="宋体" w:cs="宋体"/>
          <w:b/>
          <w:bCs/>
          <w:sz w:val="24"/>
        </w:rPr>
        <w:t>主要规格及系统概述</w:t>
      </w:r>
    </w:p>
    <w:p w14:paraId="3DA30AC5">
      <w:pPr>
        <w:spacing w:line="360" w:lineRule="auto"/>
        <w:ind w:firstLine="482" w:firstLineChars="200"/>
        <w:rPr>
          <w:rFonts w:hint="eastAsia" w:ascii="宋体" w:hAnsi="宋体" w:eastAsia="宋体" w:cs="宋体"/>
          <w:b/>
          <w:bCs/>
          <w:sz w:val="24"/>
          <w:lang w:eastAsia="zh-CN"/>
        </w:rPr>
      </w:pPr>
      <w:r>
        <w:rPr>
          <w:rFonts w:hint="eastAsia" w:ascii="宋体" w:hAnsi="宋体" w:cs="宋体"/>
          <w:b/>
          <w:bCs/>
          <w:sz w:val="24"/>
          <w:lang w:eastAsia="zh-CN"/>
        </w:rPr>
        <w:t>2</w:t>
      </w:r>
      <w:r>
        <w:rPr>
          <w:rFonts w:hint="eastAsia" w:ascii="宋体" w:hAnsi="宋体" w:eastAsia="宋体" w:cs="宋体"/>
          <w:b/>
          <w:bCs/>
          <w:sz w:val="24"/>
        </w:rPr>
        <w:t>.1</w:t>
      </w:r>
      <w:r>
        <w:rPr>
          <w:rFonts w:hint="eastAsia" w:ascii="宋体" w:hAnsi="宋体" w:eastAsia="宋体" w:cs="宋体"/>
          <w:b/>
          <w:bCs/>
          <w:sz w:val="24"/>
        </w:rPr>
        <w:tab/>
      </w:r>
      <w:r>
        <w:rPr>
          <w:rFonts w:hint="eastAsia" w:ascii="宋体" w:hAnsi="宋体" w:eastAsia="宋体" w:cs="宋体"/>
          <w:b/>
          <w:bCs/>
          <w:sz w:val="24"/>
        </w:rPr>
        <w:t>彩色多普勒超声波诊断仪包括</w:t>
      </w:r>
      <w:r>
        <w:rPr>
          <w:rFonts w:hint="eastAsia" w:ascii="宋体" w:hAnsi="宋体" w:cs="宋体"/>
          <w:b/>
          <w:bCs/>
          <w:sz w:val="24"/>
          <w:lang w:eastAsia="zh-CN"/>
        </w:rPr>
        <w:t>：</w:t>
      </w:r>
    </w:p>
    <w:p w14:paraId="25E6245D">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2</w:t>
      </w:r>
      <w:r>
        <w:rPr>
          <w:rFonts w:hint="eastAsia" w:ascii="宋体" w:hAnsi="宋体" w:eastAsia="宋体" w:cs="宋体"/>
          <w:sz w:val="24"/>
        </w:rPr>
        <w:t>.1.1</w:t>
      </w:r>
      <w:r>
        <w:rPr>
          <w:rFonts w:hint="eastAsia" w:ascii="宋体" w:hAnsi="宋体" w:eastAsia="宋体" w:cs="宋体"/>
          <w:sz w:val="24"/>
        </w:rPr>
        <w:tab/>
      </w:r>
      <w:r>
        <w:rPr>
          <w:rFonts w:hint="eastAsia" w:ascii="宋体" w:hAnsi="宋体" w:eastAsia="宋体" w:cs="宋体"/>
          <w:sz w:val="24"/>
        </w:rPr>
        <w:t>显示与操作系统</w:t>
      </w:r>
      <w:r>
        <w:rPr>
          <w:rFonts w:hint="eastAsia" w:ascii="微软雅黑" w:hAnsi="微软雅黑" w:eastAsia="微软雅黑" w:cs="微软雅黑"/>
          <w:sz w:val="24"/>
        </w:rPr>
        <w:t>:</w:t>
      </w:r>
    </w:p>
    <w:p w14:paraId="0A86BB99">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2</w:t>
      </w:r>
      <w:r>
        <w:rPr>
          <w:rFonts w:hint="eastAsia" w:ascii="宋体" w:hAnsi="宋体" w:eastAsia="宋体" w:cs="宋体"/>
          <w:sz w:val="24"/>
        </w:rPr>
        <w:t>.1.2</w:t>
      </w:r>
      <w:r>
        <w:rPr>
          <w:rFonts w:hint="eastAsia" w:ascii="宋体" w:hAnsi="宋体" w:eastAsia="宋体" w:cs="宋体"/>
          <w:sz w:val="24"/>
        </w:rPr>
        <w:tab/>
      </w:r>
      <w:r>
        <w:rPr>
          <w:rFonts w:hint="eastAsia" w:ascii="宋体" w:hAnsi="宋体" w:eastAsia="宋体" w:cs="宋体"/>
          <w:sz w:val="24"/>
        </w:rPr>
        <w:t>二维灰阶成像单元</w:t>
      </w:r>
    </w:p>
    <w:p w14:paraId="434FF997">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2</w:t>
      </w:r>
      <w:r>
        <w:rPr>
          <w:rFonts w:hint="eastAsia" w:ascii="宋体" w:hAnsi="宋体" w:eastAsia="宋体" w:cs="宋体"/>
          <w:sz w:val="24"/>
        </w:rPr>
        <w:t>.1.3</w:t>
      </w:r>
      <w:r>
        <w:rPr>
          <w:rFonts w:hint="eastAsia" w:ascii="宋体" w:hAnsi="宋体" w:eastAsia="宋体" w:cs="宋体"/>
          <w:sz w:val="24"/>
        </w:rPr>
        <w:tab/>
      </w:r>
      <w:r>
        <w:rPr>
          <w:rFonts w:hint="eastAsia" w:ascii="宋体" w:hAnsi="宋体" w:eastAsia="宋体" w:cs="宋体"/>
          <w:sz w:val="24"/>
        </w:rPr>
        <w:t>彩色多普勒血流成像单元</w:t>
      </w:r>
    </w:p>
    <w:p w14:paraId="24605E8C">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2</w:t>
      </w:r>
      <w:r>
        <w:rPr>
          <w:rFonts w:hint="eastAsia" w:ascii="宋体" w:hAnsi="宋体" w:eastAsia="宋体" w:cs="宋体"/>
          <w:sz w:val="24"/>
        </w:rPr>
        <w:t>.1.4</w:t>
      </w:r>
      <w:r>
        <w:rPr>
          <w:rFonts w:hint="eastAsia" w:ascii="宋体" w:hAnsi="宋体" w:eastAsia="宋体" w:cs="宋体"/>
          <w:sz w:val="24"/>
        </w:rPr>
        <w:tab/>
      </w:r>
      <w:r>
        <w:rPr>
          <w:rFonts w:hint="eastAsia" w:ascii="宋体" w:hAnsi="宋体" w:eastAsia="宋体" w:cs="宋体"/>
          <w:sz w:val="24"/>
        </w:rPr>
        <w:t>实时频多普勒显示及分析</w:t>
      </w:r>
    </w:p>
    <w:p w14:paraId="14C297CF">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2</w:t>
      </w:r>
      <w:r>
        <w:rPr>
          <w:rFonts w:hint="eastAsia" w:ascii="宋体" w:hAnsi="宋体" w:eastAsia="宋体" w:cs="宋体"/>
          <w:sz w:val="24"/>
        </w:rPr>
        <w:t>.1.5</w:t>
      </w:r>
      <w:r>
        <w:rPr>
          <w:rFonts w:hint="eastAsia" w:ascii="宋体" w:hAnsi="宋体" w:eastAsia="宋体" w:cs="宋体"/>
          <w:sz w:val="24"/>
        </w:rPr>
        <w:tab/>
      </w:r>
      <w:r>
        <w:rPr>
          <w:rFonts w:hint="eastAsia" w:ascii="宋体" w:hAnsi="宋体" w:eastAsia="宋体" w:cs="宋体"/>
          <w:sz w:val="24"/>
        </w:rPr>
        <w:t>具备组织多普勒成像</w:t>
      </w:r>
    </w:p>
    <w:p w14:paraId="061B17A2">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2</w:t>
      </w:r>
      <w:r>
        <w:rPr>
          <w:rFonts w:hint="eastAsia" w:ascii="宋体" w:hAnsi="宋体" w:eastAsia="宋体" w:cs="宋体"/>
          <w:sz w:val="24"/>
        </w:rPr>
        <w:t>.1.6</w:t>
      </w:r>
      <w:r>
        <w:rPr>
          <w:rFonts w:hint="eastAsia" w:ascii="宋体" w:hAnsi="宋体" w:eastAsia="宋体" w:cs="宋体"/>
          <w:sz w:val="24"/>
        </w:rPr>
        <w:tab/>
      </w:r>
      <w:r>
        <w:rPr>
          <w:rFonts w:hint="eastAsia" w:ascii="宋体" w:hAnsi="宋体" w:eastAsia="宋体" w:cs="宋体"/>
          <w:sz w:val="24"/>
        </w:rPr>
        <w:t>具备组织谐波成像，支持所有成像探头</w:t>
      </w:r>
    </w:p>
    <w:p w14:paraId="0253379E">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2</w:t>
      </w:r>
      <w:r>
        <w:rPr>
          <w:rFonts w:hint="eastAsia" w:ascii="宋体" w:hAnsi="宋体" w:eastAsia="宋体" w:cs="宋体"/>
          <w:sz w:val="24"/>
        </w:rPr>
        <w:t>.1.7</w:t>
      </w:r>
      <w:r>
        <w:rPr>
          <w:rFonts w:hint="eastAsia" w:ascii="宋体" w:hAnsi="宋体" w:eastAsia="宋体" w:cs="宋体"/>
          <w:sz w:val="24"/>
        </w:rPr>
        <w:tab/>
      </w:r>
      <w:r>
        <w:rPr>
          <w:rFonts w:hint="eastAsia" w:ascii="宋体" w:hAnsi="宋体" w:eastAsia="宋体" w:cs="宋体"/>
          <w:sz w:val="24"/>
        </w:rPr>
        <w:t>具备图像扩展功能</w:t>
      </w:r>
    </w:p>
    <w:p w14:paraId="4BBD5CB5">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2</w:t>
      </w:r>
      <w:r>
        <w:rPr>
          <w:rFonts w:hint="eastAsia" w:ascii="宋体" w:hAnsi="宋体" w:eastAsia="宋体" w:cs="宋体"/>
          <w:sz w:val="24"/>
        </w:rPr>
        <w:t>.1.8</w:t>
      </w:r>
      <w:r>
        <w:rPr>
          <w:rFonts w:hint="eastAsia" w:ascii="宋体" w:hAnsi="宋体" w:eastAsia="宋体" w:cs="宋体"/>
          <w:sz w:val="24"/>
        </w:rPr>
        <w:tab/>
      </w:r>
      <w:r>
        <w:rPr>
          <w:rFonts w:hint="eastAsia" w:ascii="宋体" w:hAnsi="宋体" w:cs="宋体"/>
          <w:sz w:val="24"/>
          <w:lang w:val="en-US" w:eastAsia="zh-CN"/>
        </w:rPr>
        <w:t>具备</w:t>
      </w:r>
      <w:r>
        <w:rPr>
          <w:rFonts w:hint="eastAsia" w:ascii="宋体" w:hAnsi="宋体" w:eastAsia="宋体" w:cs="宋体"/>
          <w:sz w:val="24"/>
        </w:rPr>
        <w:t>弹性成像技术</w:t>
      </w:r>
    </w:p>
    <w:p w14:paraId="624A0B7B">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2</w:t>
      </w:r>
      <w:r>
        <w:rPr>
          <w:rFonts w:hint="eastAsia" w:ascii="宋体" w:hAnsi="宋体" w:eastAsia="宋体" w:cs="宋体"/>
          <w:sz w:val="24"/>
        </w:rPr>
        <w:t>.1.9</w:t>
      </w:r>
      <w:r>
        <w:rPr>
          <w:rFonts w:hint="eastAsia" w:ascii="宋体" w:hAnsi="宋体" w:eastAsia="宋体" w:cs="宋体"/>
          <w:sz w:val="24"/>
        </w:rPr>
        <w:tab/>
      </w:r>
      <w:r>
        <w:rPr>
          <w:rFonts w:hint="eastAsia" w:ascii="宋体" w:hAnsi="宋体" w:cs="宋体"/>
          <w:sz w:val="24"/>
          <w:lang w:val="en-US" w:eastAsia="zh-CN"/>
        </w:rPr>
        <w:t>具备</w:t>
      </w:r>
      <w:r>
        <w:rPr>
          <w:rFonts w:hint="eastAsia" w:ascii="宋体" w:hAnsi="宋体" w:eastAsia="宋体" w:cs="宋体"/>
          <w:sz w:val="24"/>
        </w:rPr>
        <w:t>超声造影成像技术</w:t>
      </w:r>
    </w:p>
    <w:p w14:paraId="78F20A0C">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w:t>
      </w:r>
      <w:r>
        <w:rPr>
          <w:rFonts w:hint="eastAsia" w:ascii="宋体" w:hAnsi="宋体" w:eastAsia="宋体" w:cs="宋体"/>
          <w:sz w:val="24"/>
          <w:lang w:val="en-US" w:eastAsia="zh-CN"/>
        </w:rPr>
        <w:t>.1.10  具备实时</w:t>
      </w:r>
      <w:r>
        <w:rPr>
          <w:rFonts w:hint="eastAsia" w:ascii="宋体" w:hAnsi="宋体" w:eastAsia="宋体" w:cs="宋体"/>
          <w:sz w:val="24"/>
        </w:rPr>
        <w:t>空间复合成像</w:t>
      </w:r>
      <w:r>
        <w:rPr>
          <w:rFonts w:hint="eastAsia" w:ascii="宋体" w:hAnsi="宋体" w:eastAsia="宋体" w:cs="宋体"/>
          <w:sz w:val="24"/>
          <w:lang w:eastAsia="zh-CN"/>
        </w:rPr>
        <w:t>、</w:t>
      </w:r>
      <w:r>
        <w:rPr>
          <w:rFonts w:hint="eastAsia" w:ascii="宋体" w:hAnsi="宋体" w:eastAsia="宋体" w:cs="宋体"/>
          <w:sz w:val="24"/>
        </w:rPr>
        <w:t>斑点噪声抑制</w:t>
      </w:r>
      <w:r>
        <w:rPr>
          <w:rFonts w:hint="eastAsia" w:ascii="宋体" w:hAnsi="宋体" w:eastAsia="宋体" w:cs="宋体"/>
          <w:sz w:val="24"/>
          <w:lang w:val="en-US" w:eastAsia="zh-CN"/>
        </w:rPr>
        <w:t>技术、</w:t>
      </w:r>
      <w:r>
        <w:rPr>
          <w:rFonts w:hint="eastAsia" w:ascii="宋体" w:hAnsi="宋体" w:eastAsia="宋体" w:cs="宋体"/>
          <w:sz w:val="24"/>
        </w:rPr>
        <w:t>声速矫正</w:t>
      </w:r>
      <w:r>
        <w:rPr>
          <w:rFonts w:hint="eastAsia" w:ascii="宋体" w:hAnsi="宋体" w:eastAsia="宋体" w:cs="宋体"/>
          <w:sz w:val="24"/>
          <w:lang w:val="en-US" w:eastAsia="zh-CN"/>
        </w:rPr>
        <w:t>技术</w:t>
      </w:r>
      <w:r>
        <w:rPr>
          <w:rFonts w:hint="eastAsia" w:ascii="宋体" w:hAnsi="宋体" w:cs="宋体"/>
          <w:sz w:val="24"/>
          <w:lang w:val="en-US" w:eastAsia="zh-CN"/>
        </w:rPr>
        <w:t>。</w:t>
      </w:r>
    </w:p>
    <w:p w14:paraId="518C01C9">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eastAsia="宋体" w:cs="宋体"/>
          <w:sz w:val="24"/>
          <w:lang w:val="en-US" w:eastAsia="zh-CN"/>
        </w:rPr>
        <w:t xml:space="preserve">.1.11  </w:t>
      </w:r>
      <w:r>
        <w:rPr>
          <w:rFonts w:hint="eastAsia" w:ascii="宋体" w:hAnsi="宋体" w:eastAsia="宋体" w:cs="宋体"/>
          <w:sz w:val="24"/>
        </w:rPr>
        <w:t>具备数字化全域动态聚焦，数字化可变孔径及动态变迹</w:t>
      </w:r>
      <w:r>
        <w:rPr>
          <w:rFonts w:hint="eastAsia" w:ascii="宋体" w:hAnsi="宋体" w:cs="宋体"/>
          <w:sz w:val="24"/>
          <w:lang w:eastAsia="zh-CN"/>
        </w:rPr>
        <w:t>。</w:t>
      </w:r>
    </w:p>
    <w:p w14:paraId="787126AE">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eastAsia="宋体" w:cs="宋体"/>
          <w:sz w:val="24"/>
          <w:lang w:val="en-US" w:eastAsia="zh-CN"/>
        </w:rPr>
        <w:t xml:space="preserve">.1.12  </w:t>
      </w:r>
      <w:r>
        <w:rPr>
          <w:rFonts w:hint="eastAsia" w:ascii="宋体" w:hAnsi="宋体" w:eastAsia="宋体" w:cs="宋体"/>
          <w:sz w:val="24"/>
        </w:rPr>
        <w:t>具备宽频可变频成像技术:灰阶、谐波、彩色、频谱支持独立变频，探头频率可视可调</w:t>
      </w:r>
      <w:r>
        <w:rPr>
          <w:rFonts w:hint="eastAsia" w:ascii="宋体" w:hAnsi="宋体" w:cs="宋体"/>
          <w:sz w:val="24"/>
          <w:lang w:eastAsia="zh-CN"/>
        </w:rPr>
        <w:t>。</w:t>
      </w:r>
    </w:p>
    <w:p w14:paraId="6E60243D">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eastAsia="宋体" w:cs="宋体"/>
          <w:sz w:val="24"/>
          <w:lang w:val="en-US" w:eastAsia="zh-CN"/>
        </w:rPr>
        <w:t xml:space="preserve">.1.13  </w:t>
      </w:r>
      <w:r>
        <w:rPr>
          <w:rFonts w:hint="eastAsia" w:ascii="宋体" w:hAnsi="宋体" w:eastAsia="宋体" w:cs="宋体"/>
          <w:sz w:val="24"/>
        </w:rPr>
        <w:t>具备斑点噪声抑制，支持所有2D成像探头</w:t>
      </w:r>
      <w:r>
        <w:rPr>
          <w:rFonts w:hint="eastAsia" w:ascii="宋体" w:hAnsi="宋体" w:cs="宋体"/>
          <w:sz w:val="24"/>
          <w:lang w:eastAsia="zh-CN"/>
        </w:rPr>
        <w:t>。</w:t>
      </w:r>
    </w:p>
    <w:p w14:paraId="28560F1C">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.1</w:t>
      </w:r>
      <w:r>
        <w:rPr>
          <w:rFonts w:hint="eastAsia" w:ascii="宋体" w:hAnsi="宋体" w:eastAsia="宋体" w:cs="宋体"/>
          <w:sz w:val="24"/>
          <w:lang w:val="en-US" w:eastAsia="zh-CN"/>
        </w:rPr>
        <w:t>4</w:t>
      </w:r>
      <w:r>
        <w:rPr>
          <w:rFonts w:hint="eastAsia" w:ascii="宋体" w:hAnsi="宋体" w:eastAsia="宋体" w:cs="宋体"/>
          <w:sz w:val="24"/>
        </w:rPr>
        <w:tab/>
      </w:r>
      <w:r>
        <w:rPr>
          <w:rFonts w:hint="eastAsia" w:ascii="宋体" w:hAnsi="宋体" w:eastAsia="宋体" w:cs="宋体"/>
          <w:sz w:val="24"/>
        </w:rPr>
        <w:t>具备组织声速校正，支持所有2D成像探头</w:t>
      </w:r>
      <w:r>
        <w:rPr>
          <w:rFonts w:hint="eastAsia" w:ascii="宋体" w:hAnsi="宋体" w:cs="宋体"/>
          <w:sz w:val="24"/>
          <w:lang w:eastAsia="zh-CN"/>
        </w:rPr>
        <w:t>。</w:t>
      </w:r>
    </w:p>
    <w:p w14:paraId="6A01AB2E">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ab/>
      </w:r>
      <w:r>
        <w:rPr>
          <w:rFonts w:hint="eastAsia" w:ascii="宋体" w:hAnsi="宋体" w:eastAsia="宋体" w:cs="宋体"/>
          <w:sz w:val="24"/>
        </w:rPr>
        <w:t>具备自动图像优化，支持所有2D成像探头;连续自动优化，一键自动优化，支持B、C、PW、CW、TVD、造影模式下自动图像优化</w:t>
      </w:r>
      <w:r>
        <w:rPr>
          <w:rFonts w:hint="eastAsia" w:ascii="宋体" w:hAnsi="宋体" w:cs="宋体"/>
          <w:sz w:val="24"/>
          <w:lang w:eastAsia="zh-CN"/>
        </w:rPr>
        <w:t>。</w:t>
      </w:r>
    </w:p>
    <w:p w14:paraId="4C35C97C">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2</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ab/>
      </w:r>
      <w:r>
        <w:rPr>
          <w:rFonts w:hint="eastAsia" w:ascii="宋体" w:hAnsi="宋体" w:eastAsia="宋体" w:cs="宋体"/>
          <w:sz w:val="24"/>
        </w:rPr>
        <w:t>相控阵探头</w:t>
      </w:r>
      <w:r>
        <w:rPr>
          <w:rFonts w:hint="eastAsia" w:ascii="宋体" w:hAnsi="宋体" w:cs="宋体"/>
          <w:sz w:val="24"/>
          <w:lang w:val="en-US" w:eastAsia="zh-CN"/>
        </w:rPr>
        <w:t>可实现</w:t>
      </w:r>
      <w:r>
        <w:rPr>
          <w:rFonts w:hint="eastAsia" w:ascii="宋体" w:hAnsi="宋体" w:eastAsia="宋体" w:cs="宋体"/>
          <w:sz w:val="24"/>
        </w:rPr>
        <w:t>心尖</w:t>
      </w:r>
      <w:r>
        <w:rPr>
          <w:rFonts w:hint="eastAsia" w:ascii="宋体" w:hAnsi="宋体" w:cs="宋体"/>
          <w:sz w:val="24"/>
          <w:lang w:val="en-US" w:eastAsia="zh-CN"/>
        </w:rPr>
        <w:t>显示效果</w:t>
      </w:r>
    </w:p>
    <w:p w14:paraId="76EEA74A">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ab/>
      </w:r>
      <w:r>
        <w:rPr>
          <w:rFonts w:hint="eastAsia" w:ascii="宋体" w:hAnsi="宋体" w:eastAsia="宋体" w:cs="宋体"/>
          <w:sz w:val="24"/>
        </w:rPr>
        <w:t>具备区域高分辨增强技术</w:t>
      </w:r>
    </w:p>
    <w:p w14:paraId="41BE7314">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.1</w:t>
      </w:r>
      <w:r>
        <w:rPr>
          <w:rFonts w:hint="eastAsia" w:ascii="宋体" w:hAnsi="宋体" w:eastAsia="宋体" w:cs="宋体"/>
          <w:sz w:val="24"/>
          <w:lang w:val="en-US" w:eastAsia="zh-CN"/>
        </w:rPr>
        <w:t>8</w:t>
      </w:r>
      <w:r>
        <w:rPr>
          <w:rFonts w:hint="eastAsia" w:ascii="宋体" w:hAnsi="宋体" w:eastAsia="宋体" w:cs="宋体"/>
          <w:sz w:val="24"/>
        </w:rPr>
        <w:tab/>
      </w:r>
      <w:r>
        <w:rPr>
          <w:rFonts w:hint="eastAsia" w:ascii="宋体" w:hAnsi="宋体" w:eastAsia="宋体" w:cs="宋体"/>
          <w:sz w:val="24"/>
        </w:rPr>
        <w:t>具备立体血流，支持彩色多普勒、能量多普勒及微血流模式</w:t>
      </w:r>
      <w:r>
        <w:rPr>
          <w:rFonts w:hint="eastAsia" w:ascii="宋体" w:hAnsi="宋体" w:cs="宋体"/>
          <w:sz w:val="24"/>
          <w:lang w:eastAsia="zh-CN"/>
        </w:rPr>
        <w:t>。</w:t>
      </w:r>
    </w:p>
    <w:p w14:paraId="0464BE72">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19</w:t>
      </w:r>
      <w:r>
        <w:rPr>
          <w:rFonts w:hint="eastAsia" w:ascii="宋体" w:hAnsi="宋体" w:eastAsia="宋体" w:cs="宋体"/>
          <w:sz w:val="24"/>
        </w:rPr>
        <w:tab/>
      </w:r>
      <w:r>
        <w:rPr>
          <w:rFonts w:hint="eastAsia" w:ascii="宋体" w:hAnsi="宋体" w:cs="宋体"/>
          <w:sz w:val="24"/>
          <w:lang w:val="en-US" w:eastAsia="zh-CN"/>
        </w:rPr>
        <w:t>具备</w:t>
      </w:r>
      <w:r>
        <w:rPr>
          <w:rFonts w:hint="eastAsia" w:ascii="宋体" w:hAnsi="宋体" w:eastAsia="宋体" w:cs="宋体"/>
          <w:sz w:val="24"/>
        </w:rPr>
        <w:t>组织多普勒成像，包括组织多普勒速度成像、组织多普勒频谱成像、组织多普勒M型成像和组织能量多普勒成像</w:t>
      </w:r>
      <w:r>
        <w:rPr>
          <w:rFonts w:hint="eastAsia" w:ascii="宋体" w:hAnsi="宋体" w:cs="宋体"/>
          <w:sz w:val="24"/>
          <w:lang w:eastAsia="zh-CN"/>
        </w:rPr>
        <w:t>。</w:t>
      </w:r>
    </w:p>
    <w:p w14:paraId="5EB64D59">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20</w:t>
      </w:r>
      <w:r>
        <w:rPr>
          <w:rFonts w:hint="eastAsia" w:ascii="宋体" w:hAnsi="宋体" w:eastAsia="宋体" w:cs="宋体"/>
          <w:sz w:val="24"/>
        </w:rPr>
        <w:tab/>
      </w:r>
      <w:r>
        <w:rPr>
          <w:rFonts w:hint="eastAsia" w:ascii="宋体" w:hAnsi="宋体" w:cs="宋体"/>
          <w:sz w:val="24"/>
          <w:lang w:val="en-US" w:eastAsia="zh-CN"/>
        </w:rPr>
        <w:t>具备</w:t>
      </w:r>
      <w:r>
        <w:rPr>
          <w:rFonts w:hint="eastAsia" w:ascii="宋体" w:hAnsi="宋体" w:eastAsia="宋体" w:cs="宋体"/>
          <w:sz w:val="24"/>
        </w:rPr>
        <w:t>微血流</w:t>
      </w:r>
      <w:r>
        <w:rPr>
          <w:rFonts w:hint="eastAsia" w:ascii="宋体" w:hAnsi="宋体" w:cs="宋体"/>
          <w:sz w:val="24"/>
          <w:lang w:val="en-US" w:eastAsia="zh-CN"/>
        </w:rPr>
        <w:t>或精细血流</w:t>
      </w:r>
      <w:r>
        <w:rPr>
          <w:rFonts w:hint="eastAsia" w:ascii="宋体" w:hAnsi="宋体" w:eastAsia="宋体" w:cs="宋体"/>
          <w:sz w:val="24"/>
        </w:rPr>
        <w:t>成像技术，线阵、凸阵、腔内探头均支持微血流成像</w:t>
      </w:r>
      <w:r>
        <w:rPr>
          <w:rFonts w:hint="eastAsia" w:ascii="宋体" w:hAnsi="宋体" w:cs="宋体"/>
          <w:sz w:val="24"/>
          <w:lang w:eastAsia="zh-CN"/>
        </w:rPr>
        <w:t>。</w:t>
      </w:r>
    </w:p>
    <w:p w14:paraId="15E464FE">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21</w:t>
      </w:r>
      <w:r>
        <w:rPr>
          <w:rFonts w:hint="eastAsia" w:ascii="宋体" w:hAnsi="宋体" w:eastAsia="宋体" w:cs="宋体"/>
          <w:sz w:val="24"/>
        </w:rPr>
        <w:tab/>
      </w:r>
      <w:r>
        <w:rPr>
          <w:rFonts w:hint="eastAsia" w:ascii="宋体" w:hAnsi="宋体" w:cs="宋体"/>
          <w:sz w:val="24"/>
          <w:lang w:val="en-US" w:eastAsia="zh-CN"/>
        </w:rPr>
        <w:t>具备</w:t>
      </w:r>
      <w:r>
        <w:rPr>
          <w:rFonts w:hint="eastAsia" w:ascii="宋体" w:hAnsi="宋体" w:eastAsia="宋体" w:cs="宋体"/>
          <w:sz w:val="24"/>
        </w:rPr>
        <w:t>智能多普勒调节功能:自动识别血管结构，自动调整彩色取样框位置、角度，调整频谱取样容积和取样角度</w:t>
      </w:r>
      <w:r>
        <w:rPr>
          <w:rFonts w:hint="eastAsia" w:ascii="宋体" w:hAnsi="宋体" w:cs="宋体"/>
          <w:sz w:val="24"/>
          <w:lang w:eastAsia="zh-CN"/>
        </w:rPr>
        <w:t>。</w:t>
      </w:r>
    </w:p>
    <w:p w14:paraId="371035E7">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.2</w:t>
      </w:r>
      <w:r>
        <w:rPr>
          <w:rFonts w:hint="eastAsia" w:ascii="宋体" w:hAnsi="宋体" w:eastAsia="宋体" w:cs="宋体"/>
          <w:sz w:val="24"/>
          <w:lang w:val="en-US" w:eastAsia="zh-CN"/>
        </w:rPr>
        <w:t>2</w:t>
      </w:r>
      <w:r>
        <w:rPr>
          <w:rFonts w:hint="eastAsia" w:ascii="宋体" w:hAnsi="宋体" w:eastAsia="宋体" w:cs="宋体"/>
          <w:sz w:val="24"/>
        </w:rPr>
        <w:tab/>
      </w:r>
      <w:r>
        <w:rPr>
          <w:rFonts w:hint="eastAsia" w:ascii="宋体" w:hAnsi="宋体" w:eastAsia="宋体" w:cs="宋体"/>
          <w:sz w:val="24"/>
        </w:rPr>
        <w:t>具备穿刺增强功能;增强超声图像中穿刺针针体显示;支持进针路径追踪延长功能</w:t>
      </w:r>
      <w:r>
        <w:rPr>
          <w:rFonts w:hint="eastAsia" w:ascii="宋体" w:hAnsi="宋体" w:cs="宋体"/>
          <w:sz w:val="24"/>
          <w:lang w:eastAsia="zh-CN"/>
        </w:rPr>
        <w:t>。</w:t>
      </w:r>
    </w:p>
    <w:p w14:paraId="7BCC1940">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2</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3</w:t>
      </w:r>
      <w:r>
        <w:rPr>
          <w:rFonts w:hint="eastAsia" w:ascii="宋体" w:hAnsi="宋体" w:eastAsia="宋体" w:cs="宋体"/>
          <w:sz w:val="24"/>
        </w:rPr>
        <w:tab/>
      </w:r>
      <w:r>
        <w:rPr>
          <w:rFonts w:hint="eastAsia" w:ascii="宋体" w:hAnsi="宋体" w:cs="宋体"/>
          <w:sz w:val="24"/>
          <w:lang w:val="en-US" w:eastAsia="zh-CN"/>
        </w:rPr>
        <w:t>具备</w:t>
      </w:r>
      <w:r>
        <w:rPr>
          <w:rFonts w:hint="eastAsia" w:ascii="宋体" w:hAnsi="宋体" w:eastAsia="宋体" w:cs="宋体"/>
          <w:sz w:val="24"/>
        </w:rPr>
        <w:t>解剖M型模式，</w:t>
      </w:r>
      <w:r>
        <w:rPr>
          <w:rFonts w:hint="eastAsia" w:ascii="宋体" w:hAnsi="宋体" w:cs="宋体"/>
          <w:sz w:val="24"/>
          <w:lang w:val="en-US" w:eastAsia="zh-CN"/>
        </w:rPr>
        <w:t>≥</w:t>
      </w:r>
      <w:r>
        <w:rPr>
          <w:rFonts w:hint="eastAsia" w:ascii="宋体" w:hAnsi="宋体" w:eastAsia="宋体" w:cs="宋体"/>
          <w:sz w:val="24"/>
        </w:rPr>
        <w:t>3条取样线，支持曲线解剖M型，支持彩色M</w:t>
      </w:r>
      <w:r>
        <w:rPr>
          <w:rFonts w:hint="eastAsia" w:ascii="宋体" w:hAnsi="宋体" w:eastAsia="宋体" w:cs="宋体"/>
          <w:sz w:val="24"/>
          <w:lang w:val="en-US" w:eastAsia="zh-CN"/>
        </w:rPr>
        <w:t>型</w:t>
      </w:r>
      <w:r>
        <w:rPr>
          <w:rFonts w:hint="eastAsia" w:ascii="宋体" w:hAnsi="宋体" w:cs="宋体"/>
          <w:sz w:val="24"/>
          <w:lang w:val="en-US" w:eastAsia="zh-CN"/>
        </w:rPr>
        <w:t>。</w:t>
      </w:r>
    </w:p>
    <w:p w14:paraId="0DBF3174">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24</w:t>
      </w:r>
      <w:r>
        <w:rPr>
          <w:rFonts w:hint="eastAsia" w:ascii="宋体" w:hAnsi="宋体" w:eastAsia="宋体" w:cs="宋体"/>
          <w:sz w:val="24"/>
        </w:rPr>
        <w:tab/>
      </w:r>
      <w:r>
        <w:rPr>
          <w:rFonts w:hint="eastAsia" w:ascii="宋体" w:hAnsi="宋体" w:eastAsia="宋体" w:cs="宋体"/>
          <w:sz w:val="24"/>
          <w:lang w:val="en-US"/>
        </w:rPr>
        <w:t>具备</w:t>
      </w:r>
      <w:r>
        <w:rPr>
          <w:rFonts w:hint="eastAsia" w:ascii="宋体" w:hAnsi="宋体" w:eastAsia="宋体" w:cs="宋体"/>
          <w:sz w:val="24"/>
          <w:lang w:val="en-US" w:eastAsia="zh-CN"/>
        </w:rPr>
        <w:t>全自动</w:t>
      </w:r>
      <w:r>
        <w:rPr>
          <w:rFonts w:hint="eastAsia" w:ascii="宋体" w:hAnsi="宋体" w:eastAsia="宋体" w:cs="宋体"/>
          <w:sz w:val="24"/>
        </w:rPr>
        <w:t>工作流</w:t>
      </w:r>
      <w:r>
        <w:rPr>
          <w:rFonts w:hint="eastAsia" w:ascii="宋体" w:hAnsi="宋体" w:cs="宋体"/>
          <w:sz w:val="24"/>
          <w:lang w:val="en-US"/>
        </w:rPr>
        <w:t>，支持凸阵，线阵，相控阵探头</w:t>
      </w:r>
      <w:r>
        <w:rPr>
          <w:rFonts w:hint="eastAsia" w:ascii="宋体" w:hAnsi="宋体" w:cs="宋体"/>
          <w:sz w:val="24"/>
          <w:lang w:val="en-US" w:eastAsia="zh-CN"/>
        </w:rPr>
        <w:t>。</w:t>
      </w:r>
    </w:p>
    <w:p w14:paraId="5F33C4EE">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eastAsia="宋体" w:cs="宋体"/>
          <w:sz w:val="24"/>
          <w:lang w:val="en-US" w:eastAsia="zh-CN"/>
        </w:rPr>
        <w:t xml:space="preserve">.1.25  </w:t>
      </w:r>
      <w:r>
        <w:rPr>
          <w:rFonts w:hint="eastAsia" w:ascii="宋体" w:hAnsi="宋体" w:eastAsia="宋体" w:cs="宋体"/>
          <w:sz w:val="24"/>
        </w:rPr>
        <w:t>具备空间复合成像，空间复合成像下支持扩展成像</w:t>
      </w:r>
      <w:r>
        <w:rPr>
          <w:rFonts w:hint="eastAsia" w:ascii="宋体" w:hAnsi="宋体" w:cs="宋体"/>
          <w:sz w:val="24"/>
          <w:lang w:eastAsia="zh-CN"/>
        </w:rPr>
        <w:t>。</w:t>
      </w:r>
    </w:p>
    <w:p w14:paraId="5B25D962">
      <w:pPr>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highlight w:val="none"/>
          <w:lang w:val="en-US" w:eastAsia="zh-CN"/>
        </w:rPr>
        <w:t>2.1.26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宽景成像扫描长度≥110cm</w:t>
      </w:r>
    </w:p>
    <w:p w14:paraId="4D129BE0">
      <w:pPr>
        <w:spacing w:line="360" w:lineRule="auto"/>
        <w:ind w:firstLine="482" w:firstLineChars="200"/>
        <w:rPr>
          <w:rFonts w:hint="eastAsia" w:ascii="宋体" w:hAnsi="宋体" w:eastAsia="宋体" w:cs="宋体"/>
          <w:b/>
          <w:bCs/>
          <w:sz w:val="24"/>
        </w:rPr>
      </w:pPr>
      <w:r>
        <w:rPr>
          <w:rFonts w:hint="eastAsia" w:ascii="宋体" w:hAnsi="宋体" w:cs="宋体"/>
          <w:b/>
          <w:bCs/>
          <w:sz w:val="24"/>
          <w:lang w:eastAsia="zh-CN"/>
        </w:rPr>
        <w:t>2</w:t>
      </w:r>
      <w:r>
        <w:rPr>
          <w:rFonts w:hint="eastAsia" w:ascii="宋体" w:hAnsi="宋体" w:eastAsia="宋体" w:cs="宋体"/>
          <w:b/>
          <w:bCs/>
          <w:sz w:val="24"/>
        </w:rPr>
        <w:t>.2</w:t>
      </w:r>
      <w:r>
        <w:rPr>
          <w:rFonts w:hint="eastAsia" w:ascii="宋体" w:hAnsi="宋体" w:eastAsia="宋体" w:cs="宋体"/>
          <w:b/>
          <w:bCs/>
          <w:sz w:val="24"/>
        </w:rPr>
        <w:tab/>
      </w:r>
      <w:r>
        <w:rPr>
          <w:rFonts w:hint="eastAsia" w:ascii="宋体" w:hAnsi="宋体" w:eastAsia="宋体" w:cs="宋体"/>
          <w:b/>
          <w:bCs/>
          <w:sz w:val="24"/>
        </w:rPr>
        <w:t>测量和分析(B型、M型、频谱多普勒、彩色模式)</w:t>
      </w:r>
    </w:p>
    <w:p w14:paraId="499F7E14">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eastAsia="zh-CN"/>
        </w:rPr>
        <w:t>2</w:t>
      </w:r>
      <w:r>
        <w:rPr>
          <w:rFonts w:hint="eastAsia" w:ascii="宋体" w:hAnsi="宋体" w:eastAsia="宋体" w:cs="宋体"/>
          <w:sz w:val="24"/>
        </w:rPr>
        <w:t>.2.1</w:t>
      </w:r>
      <w:r>
        <w:rPr>
          <w:rFonts w:hint="eastAsia" w:ascii="宋体" w:hAnsi="宋体" w:eastAsia="宋体" w:cs="宋体"/>
          <w:sz w:val="24"/>
        </w:rPr>
        <w:tab/>
      </w:r>
      <w:r>
        <w:rPr>
          <w:rFonts w:hint="eastAsia" w:ascii="宋体" w:hAnsi="宋体" w:cs="宋体"/>
          <w:sz w:val="24"/>
          <w:lang w:val="en-US" w:eastAsia="zh-CN"/>
        </w:rPr>
        <w:t>具备</w:t>
      </w:r>
      <w:r>
        <w:rPr>
          <w:rFonts w:hint="eastAsia" w:ascii="宋体" w:hAnsi="宋体" w:eastAsia="宋体" w:cs="宋体"/>
          <w:sz w:val="24"/>
        </w:rPr>
        <w:t>B模式、M模式一般测量</w:t>
      </w:r>
      <w:r>
        <w:rPr>
          <w:rFonts w:hint="eastAsia" w:ascii="宋体" w:hAnsi="宋体" w:cs="宋体"/>
          <w:sz w:val="24"/>
          <w:lang w:eastAsia="zh-CN"/>
        </w:rPr>
        <w:t>。</w:t>
      </w:r>
    </w:p>
    <w:p w14:paraId="44504334">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w:t>
      </w:r>
      <w:r>
        <w:rPr>
          <w:rFonts w:hint="eastAsia" w:ascii="宋体" w:hAnsi="宋体" w:eastAsia="宋体" w:cs="宋体"/>
          <w:sz w:val="24"/>
        </w:rPr>
        <w:t>.2.2</w:t>
      </w:r>
      <w:r>
        <w:rPr>
          <w:rFonts w:hint="eastAsia" w:ascii="宋体" w:hAnsi="宋体" w:eastAsia="宋体" w:cs="宋体"/>
          <w:sz w:val="24"/>
        </w:rPr>
        <w:tab/>
      </w:r>
      <w:r>
        <w:rPr>
          <w:rFonts w:hint="eastAsia" w:ascii="宋体" w:hAnsi="宋体" w:eastAsia="宋体" w:cs="宋体"/>
          <w:sz w:val="24"/>
        </w:rPr>
        <w:t>多普勒血流测量与分析，</w:t>
      </w:r>
      <w:r>
        <w:rPr>
          <w:rFonts w:hint="eastAsia" w:ascii="宋体" w:hAnsi="宋体" w:cs="宋体"/>
          <w:sz w:val="24"/>
          <w:lang w:val="en-US" w:eastAsia="zh-CN"/>
        </w:rPr>
        <w:t>具备</w:t>
      </w:r>
      <w:r>
        <w:rPr>
          <w:rFonts w:hint="eastAsia" w:ascii="宋体" w:hAnsi="宋体" w:eastAsia="宋体" w:cs="宋体"/>
          <w:sz w:val="24"/>
        </w:rPr>
        <w:t>自动频谱测量</w:t>
      </w:r>
      <w:r>
        <w:rPr>
          <w:rFonts w:hint="eastAsia" w:ascii="宋体" w:hAnsi="宋体" w:cs="宋体"/>
          <w:sz w:val="24"/>
          <w:lang w:eastAsia="zh-CN"/>
        </w:rPr>
        <w:t>。</w:t>
      </w:r>
    </w:p>
    <w:p w14:paraId="2D3DB91B">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w:t>
      </w:r>
      <w:r>
        <w:rPr>
          <w:rFonts w:hint="eastAsia" w:ascii="宋体" w:hAnsi="宋体" w:eastAsia="宋体" w:cs="宋体"/>
          <w:sz w:val="24"/>
        </w:rPr>
        <w:t>.2.3.</w:t>
      </w:r>
      <w:r>
        <w:rPr>
          <w:rFonts w:hint="eastAsia" w:ascii="宋体" w:hAnsi="宋体" w:eastAsia="宋体" w:cs="宋体"/>
          <w:sz w:val="24"/>
          <w:lang w:val="en-US" w:eastAsia="zh-CN"/>
        </w:rPr>
        <w:t>1</w:t>
      </w:r>
      <w:r>
        <w:rPr>
          <w:rFonts w:hint="eastAsia" w:ascii="宋体" w:hAnsi="宋体" w:cs="宋体"/>
          <w:sz w:val="24"/>
          <w:lang w:val="en-US" w:eastAsia="zh-CN"/>
        </w:rPr>
        <w:t xml:space="preserve"> 具备</w:t>
      </w:r>
      <w:r>
        <w:rPr>
          <w:rFonts w:hint="eastAsia" w:ascii="宋体" w:hAnsi="宋体" w:eastAsia="宋体" w:cs="宋体"/>
          <w:sz w:val="24"/>
        </w:rPr>
        <w:t>组织多普勒成像定量分析，显示心肌节段应变曲线</w:t>
      </w:r>
      <w:r>
        <w:rPr>
          <w:rFonts w:hint="eastAsia" w:ascii="宋体" w:hAnsi="宋体" w:cs="宋体"/>
          <w:sz w:val="24"/>
          <w:lang w:eastAsia="zh-CN"/>
        </w:rPr>
        <w:t>。</w:t>
      </w:r>
    </w:p>
    <w:p w14:paraId="1F0F98E6">
      <w:pPr>
        <w:spacing w:line="360" w:lineRule="auto"/>
        <w:ind w:firstLine="480" w:firstLineChars="200"/>
        <w:rPr>
          <w:rFonts w:hint="eastAsia" w:ascii="宋体" w:hAnsi="宋体" w:eastAsia="宋体" w:cs="宋体"/>
          <w:sz w:val="24"/>
          <w:highlight w:val="none"/>
        </w:rPr>
      </w:pPr>
      <w:r>
        <w:rPr>
          <w:rFonts w:hint="eastAsia" w:ascii="宋体" w:hAnsi="宋体" w:cs="宋体"/>
          <w:sz w:val="24"/>
          <w:lang w:val="en-US" w:eastAsia="zh-CN"/>
        </w:rPr>
        <w:t>▲</w:t>
      </w:r>
      <w:r>
        <w:rPr>
          <w:rFonts w:hint="eastAsia" w:ascii="宋体" w:hAnsi="宋体" w:cs="宋体"/>
          <w:sz w:val="24"/>
          <w:highlight w:val="none"/>
          <w:lang w:eastAsia="zh-CN"/>
        </w:rPr>
        <w:t>2</w:t>
      </w:r>
      <w:r>
        <w:rPr>
          <w:rFonts w:hint="eastAsia" w:ascii="宋体" w:hAnsi="宋体" w:eastAsia="宋体" w:cs="宋体"/>
          <w:sz w:val="24"/>
          <w:highlight w:val="none"/>
        </w:rPr>
        <w:t>.2.3.</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ab/>
      </w:r>
      <w:r>
        <w:rPr>
          <w:rFonts w:hint="eastAsia" w:ascii="宋体" w:hAnsi="宋体" w:cs="宋体"/>
          <w:sz w:val="24"/>
          <w:lang w:val="en-US" w:eastAsia="zh-CN"/>
        </w:rPr>
        <w:t>具备</w:t>
      </w:r>
      <w:r>
        <w:rPr>
          <w:rFonts w:hint="eastAsia" w:ascii="宋体" w:hAnsi="宋体" w:eastAsia="宋体" w:cs="宋体"/>
          <w:sz w:val="24"/>
          <w:highlight w:val="none"/>
        </w:rPr>
        <w:t>实时应变自动测量，可自动识别心尖两腔心、三腔心、四腔心切面全自追踪动左心室内膜，同时可手动选择心动周期进行分析;支持多种数据显示及布局</w:t>
      </w:r>
      <w:r>
        <w:rPr>
          <w:rFonts w:hint="eastAsia" w:ascii="宋体" w:hAnsi="宋体" w:cs="宋体"/>
          <w:sz w:val="24"/>
          <w:highlight w:val="none"/>
          <w:lang w:eastAsia="zh-CN"/>
        </w:rPr>
        <w:t>，</w:t>
      </w:r>
      <w:r>
        <w:rPr>
          <w:rFonts w:hint="eastAsia" w:ascii="宋体" w:hAnsi="宋体" w:cs="宋体"/>
          <w:sz w:val="24"/>
          <w:highlight w:val="none"/>
          <w:lang w:val="en-US" w:eastAsia="zh-CN"/>
        </w:rPr>
        <w:t>可不连接导联线使用。</w:t>
      </w:r>
    </w:p>
    <w:p w14:paraId="1EC06D54">
      <w:pPr>
        <w:spacing w:line="360" w:lineRule="auto"/>
        <w:ind w:firstLine="482" w:firstLineChars="200"/>
        <w:rPr>
          <w:rFonts w:hint="eastAsia" w:ascii="宋体" w:hAnsi="宋体" w:eastAsia="宋体" w:cs="宋体"/>
          <w:b/>
          <w:bCs/>
          <w:sz w:val="24"/>
        </w:rPr>
      </w:pPr>
      <w:r>
        <w:rPr>
          <w:rFonts w:hint="eastAsia" w:ascii="宋体" w:hAnsi="宋体" w:cs="宋体"/>
          <w:b/>
          <w:bCs/>
          <w:sz w:val="24"/>
          <w:lang w:eastAsia="zh-CN"/>
        </w:rPr>
        <w:t>2</w:t>
      </w:r>
      <w:r>
        <w:rPr>
          <w:rFonts w:hint="eastAsia" w:ascii="宋体" w:hAnsi="宋体" w:eastAsia="宋体" w:cs="宋体"/>
          <w:b/>
          <w:bCs/>
          <w:sz w:val="24"/>
        </w:rPr>
        <w:t>.2.4</w:t>
      </w:r>
      <w:r>
        <w:rPr>
          <w:rFonts w:hint="eastAsia" w:ascii="宋体" w:hAnsi="宋体" w:eastAsia="宋体" w:cs="宋体"/>
          <w:b/>
          <w:bCs/>
          <w:sz w:val="24"/>
        </w:rPr>
        <w:tab/>
      </w:r>
      <w:r>
        <w:rPr>
          <w:rFonts w:hint="eastAsia" w:ascii="宋体" w:hAnsi="宋体" w:eastAsia="宋体" w:cs="宋体"/>
          <w:b/>
          <w:bCs/>
          <w:sz w:val="24"/>
        </w:rPr>
        <w:t>血管测量与分析</w:t>
      </w:r>
    </w:p>
    <w:p w14:paraId="6F88D98B">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eastAsia="宋体" w:cs="宋体"/>
          <w:sz w:val="24"/>
        </w:rPr>
        <w:t>.2.4.1</w:t>
      </w:r>
      <w:r>
        <w:rPr>
          <w:rFonts w:hint="eastAsia" w:ascii="宋体" w:hAnsi="宋体" w:cs="宋体"/>
          <w:sz w:val="24"/>
          <w:lang w:val="en-US" w:eastAsia="zh-CN"/>
        </w:rPr>
        <w:t xml:space="preserve"> 具备</w:t>
      </w:r>
      <w:r>
        <w:rPr>
          <w:rFonts w:hint="eastAsia" w:ascii="宋体" w:hAnsi="宋体" w:eastAsia="宋体" w:cs="宋体"/>
          <w:sz w:val="24"/>
        </w:rPr>
        <w:t>内中膜自动测量，可在实时扫查、冻结、回顾场景下进行内中膜自动测量</w:t>
      </w:r>
      <w:r>
        <w:rPr>
          <w:rFonts w:hint="eastAsia" w:ascii="宋体" w:hAnsi="宋体" w:cs="宋体"/>
          <w:sz w:val="24"/>
          <w:lang w:eastAsia="zh-CN"/>
        </w:rPr>
        <w:t>。</w:t>
      </w:r>
    </w:p>
    <w:p w14:paraId="34E47CD2">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w:t>
      </w:r>
      <w:r>
        <w:rPr>
          <w:rFonts w:hint="eastAsia" w:ascii="宋体" w:hAnsi="宋体" w:cs="宋体"/>
          <w:sz w:val="24"/>
          <w:lang w:eastAsia="zh-CN"/>
        </w:rPr>
        <w:t>2</w:t>
      </w:r>
      <w:r>
        <w:rPr>
          <w:rFonts w:hint="eastAsia" w:ascii="宋体" w:hAnsi="宋体" w:eastAsia="宋体" w:cs="宋体"/>
          <w:sz w:val="24"/>
        </w:rPr>
        <w:t>.2.4.2</w:t>
      </w:r>
      <w:r>
        <w:rPr>
          <w:rFonts w:hint="eastAsia" w:ascii="宋体" w:hAnsi="宋体" w:eastAsia="宋体" w:cs="宋体"/>
          <w:sz w:val="24"/>
        </w:rPr>
        <w:tab/>
      </w:r>
      <w:r>
        <w:rPr>
          <w:rFonts w:hint="eastAsia" w:ascii="宋体" w:hAnsi="宋体" w:cs="宋体"/>
          <w:sz w:val="24"/>
          <w:lang w:val="en-US" w:eastAsia="zh-CN"/>
        </w:rPr>
        <w:t>具备</w:t>
      </w:r>
      <w:r>
        <w:rPr>
          <w:rFonts w:hint="eastAsia" w:ascii="宋体" w:hAnsi="宋体" w:eastAsia="宋体" w:cs="宋体"/>
          <w:sz w:val="24"/>
        </w:rPr>
        <w:t>下腔静脉自动测量，自动测量下腔静脉最大直径、最小直径、塌陷率</w:t>
      </w:r>
      <w:r>
        <w:rPr>
          <w:rFonts w:hint="eastAsia" w:ascii="宋体" w:hAnsi="宋体" w:eastAsia="宋体" w:cs="宋体"/>
          <w:sz w:val="24"/>
          <w:lang w:eastAsia="zh-CN"/>
        </w:rPr>
        <w:t>、</w:t>
      </w:r>
      <w:r>
        <w:rPr>
          <w:rFonts w:hint="eastAsia" w:ascii="宋体" w:hAnsi="宋体" w:eastAsia="宋体" w:cs="宋体"/>
          <w:sz w:val="24"/>
        </w:rPr>
        <w:t>扩张率，自主呼吸，支持手动调整取样线，手动选择频谱分段进行分析</w:t>
      </w:r>
      <w:r>
        <w:rPr>
          <w:rFonts w:hint="eastAsia" w:ascii="宋体" w:hAnsi="宋体" w:cs="宋体"/>
          <w:sz w:val="24"/>
          <w:lang w:eastAsia="zh-CN"/>
        </w:rPr>
        <w:t>。</w:t>
      </w:r>
    </w:p>
    <w:p w14:paraId="3BC00CCE">
      <w:pPr>
        <w:spacing w:line="360" w:lineRule="auto"/>
        <w:ind w:firstLine="482" w:firstLineChars="200"/>
        <w:rPr>
          <w:rFonts w:hint="eastAsia" w:ascii="宋体" w:hAnsi="宋体" w:eastAsia="宋体" w:cs="宋体"/>
          <w:b/>
          <w:bCs/>
          <w:sz w:val="24"/>
          <w:highlight w:val="none"/>
        </w:rPr>
      </w:pPr>
      <w:r>
        <w:rPr>
          <w:rFonts w:hint="eastAsia" w:ascii="宋体" w:hAnsi="宋体" w:cs="宋体"/>
          <w:b/>
          <w:bCs/>
          <w:sz w:val="24"/>
          <w:highlight w:val="none"/>
          <w:lang w:eastAsia="zh-CN"/>
        </w:rPr>
        <w:t>2</w:t>
      </w:r>
      <w:r>
        <w:rPr>
          <w:rFonts w:hint="eastAsia" w:ascii="宋体" w:hAnsi="宋体" w:eastAsia="宋体" w:cs="宋体"/>
          <w:b/>
          <w:bCs/>
          <w:sz w:val="24"/>
          <w:highlight w:val="none"/>
        </w:rPr>
        <w:t>.2.5</w:t>
      </w:r>
      <w:r>
        <w:rPr>
          <w:rFonts w:hint="eastAsia" w:ascii="宋体" w:hAnsi="宋体" w:eastAsia="宋体" w:cs="宋体"/>
          <w:b/>
          <w:bCs/>
          <w:sz w:val="24"/>
          <w:highlight w:val="none"/>
        </w:rPr>
        <w:tab/>
      </w:r>
      <w:r>
        <w:rPr>
          <w:rFonts w:hint="eastAsia" w:ascii="宋体" w:hAnsi="宋体" w:eastAsia="宋体" w:cs="宋体"/>
          <w:b/>
          <w:bCs/>
          <w:sz w:val="24"/>
          <w:highlight w:val="none"/>
        </w:rPr>
        <w:t>具备妇产科常规测量:</w:t>
      </w:r>
    </w:p>
    <w:p w14:paraId="0F6F096F">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b w:val="0"/>
          <w:bCs w:val="0"/>
          <w:i w:val="0"/>
          <w:iCs w:val="0"/>
          <w:color w:val="auto"/>
          <w:kern w:val="2"/>
          <w:sz w:val="24"/>
          <w:szCs w:val="24"/>
          <w:highlight w:val="none"/>
          <w:vertAlign w:val="baseline"/>
          <w:lang w:val="en-US" w:eastAsia="zh-CN" w:bidi="ar-SA"/>
        </w:rPr>
        <w:t>2</w:t>
      </w:r>
      <w:r>
        <w:rPr>
          <w:rFonts w:hint="eastAsia" w:ascii="宋体" w:hAnsi="宋体" w:eastAsia="宋体" w:cs="宋体"/>
          <w:sz w:val="24"/>
          <w:highlight w:val="none"/>
        </w:rPr>
        <w:t>.2.5.1</w:t>
      </w:r>
      <w:r>
        <w:rPr>
          <w:rFonts w:hint="eastAsia" w:ascii="宋体" w:hAnsi="宋体" w:cs="宋体"/>
          <w:sz w:val="24"/>
          <w:highlight w:val="none"/>
          <w:lang w:val="en-US" w:eastAsia="zh-CN"/>
        </w:rPr>
        <w:t xml:space="preserve"> </w:t>
      </w:r>
      <w:r>
        <w:rPr>
          <w:rFonts w:hint="eastAsia" w:ascii="宋体" w:hAnsi="宋体" w:cs="宋体"/>
          <w:sz w:val="24"/>
          <w:lang w:val="en-US" w:eastAsia="zh-CN"/>
        </w:rPr>
        <w:t>具备</w:t>
      </w:r>
      <w:r>
        <w:rPr>
          <w:rFonts w:hint="eastAsia" w:ascii="宋体" w:hAnsi="宋体" w:eastAsia="宋体" w:cs="宋体"/>
          <w:sz w:val="24"/>
          <w:highlight w:val="none"/>
        </w:rPr>
        <w:t>产科自动测量，自动测量胎儿发育评估指标，包括胎儿头围、双顶径、腹围、肱骨长和股骨长支持用户手动编辑测量结果，支持生长曲线分析</w:t>
      </w:r>
      <w:r>
        <w:rPr>
          <w:rFonts w:hint="eastAsia" w:ascii="宋体" w:hAnsi="宋体" w:cs="宋体"/>
          <w:sz w:val="24"/>
          <w:highlight w:val="none"/>
          <w:lang w:eastAsia="zh-CN"/>
        </w:rPr>
        <w:t>。</w:t>
      </w:r>
    </w:p>
    <w:p w14:paraId="71829F4A">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b w:val="0"/>
          <w:bCs w:val="0"/>
          <w:i w:val="0"/>
          <w:iCs w:val="0"/>
          <w:color w:val="auto"/>
          <w:kern w:val="2"/>
          <w:sz w:val="24"/>
          <w:szCs w:val="24"/>
          <w:highlight w:val="none"/>
          <w:vertAlign w:val="baseline"/>
          <w:lang w:val="en-US" w:eastAsia="zh-CN" w:bidi="ar-SA"/>
        </w:rPr>
        <w:t>2</w:t>
      </w:r>
      <w:r>
        <w:rPr>
          <w:rFonts w:hint="eastAsia" w:ascii="宋体" w:hAnsi="宋体" w:eastAsia="宋体" w:cs="宋体"/>
          <w:sz w:val="24"/>
          <w:highlight w:val="none"/>
        </w:rPr>
        <w:t>.2.5.2</w:t>
      </w:r>
      <w:r>
        <w:rPr>
          <w:rFonts w:hint="eastAsia" w:ascii="宋体" w:hAnsi="宋体" w:cs="宋体"/>
          <w:sz w:val="24"/>
          <w:highlight w:val="none"/>
          <w:lang w:val="en-US" w:eastAsia="zh-CN"/>
        </w:rPr>
        <w:t xml:space="preserve"> </w:t>
      </w:r>
      <w:r>
        <w:rPr>
          <w:rFonts w:hint="eastAsia" w:ascii="宋体" w:hAnsi="宋体" w:cs="宋体"/>
          <w:sz w:val="24"/>
          <w:lang w:val="en-US" w:eastAsia="zh-CN"/>
        </w:rPr>
        <w:t>具备</w:t>
      </w:r>
      <w:r>
        <w:rPr>
          <w:rFonts w:hint="eastAsia" w:ascii="宋体" w:hAnsi="宋体" w:eastAsia="宋体" w:cs="宋体"/>
          <w:sz w:val="24"/>
          <w:highlight w:val="none"/>
        </w:rPr>
        <w:t>颈项透明层自动测量，冻结模式下自动测量，支持手动调节ROI区域及位置，支持用户手动编辑测量结果</w:t>
      </w:r>
      <w:r>
        <w:rPr>
          <w:rFonts w:hint="eastAsia" w:ascii="宋体" w:hAnsi="宋体" w:cs="宋体"/>
          <w:sz w:val="24"/>
          <w:highlight w:val="none"/>
          <w:lang w:eastAsia="zh-CN"/>
        </w:rPr>
        <w:t>。</w:t>
      </w:r>
    </w:p>
    <w:p w14:paraId="5872B5B0">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lang w:val="en-US" w:eastAsia="zh-CN"/>
        </w:rPr>
        <w:t>▲</w:t>
      </w:r>
      <w:r>
        <w:rPr>
          <w:rFonts w:hint="eastAsia" w:ascii="宋体" w:hAnsi="宋体" w:cs="宋体"/>
          <w:b w:val="0"/>
          <w:bCs w:val="0"/>
          <w:i w:val="0"/>
          <w:iCs w:val="0"/>
          <w:color w:val="auto"/>
          <w:kern w:val="2"/>
          <w:sz w:val="24"/>
          <w:szCs w:val="24"/>
          <w:highlight w:val="none"/>
          <w:vertAlign w:val="baseline"/>
          <w:lang w:val="en-US" w:eastAsia="zh-CN" w:bidi="ar-SA"/>
        </w:rPr>
        <w:t>2</w:t>
      </w:r>
      <w:r>
        <w:rPr>
          <w:rFonts w:hint="eastAsia" w:ascii="宋体" w:hAnsi="宋体" w:eastAsia="宋体" w:cs="宋体"/>
          <w:sz w:val="24"/>
          <w:highlight w:val="none"/>
        </w:rPr>
        <w:t>.2.5.3</w:t>
      </w:r>
      <w:r>
        <w:rPr>
          <w:rFonts w:hint="eastAsia" w:ascii="宋体" w:hAnsi="宋体" w:eastAsia="宋体" w:cs="宋体"/>
          <w:sz w:val="24"/>
          <w:highlight w:val="none"/>
        </w:rPr>
        <w:tab/>
      </w:r>
      <w:r>
        <w:rPr>
          <w:rFonts w:hint="eastAsia" w:ascii="宋体" w:hAnsi="宋体" w:cs="宋体"/>
          <w:sz w:val="24"/>
          <w:lang w:val="en-US" w:eastAsia="zh-CN"/>
        </w:rPr>
        <w:t>具备</w:t>
      </w:r>
      <w:r>
        <w:rPr>
          <w:rFonts w:hint="eastAsia" w:ascii="宋体" w:hAnsi="宋体" w:eastAsia="宋体" w:cs="宋体"/>
          <w:sz w:val="24"/>
          <w:highlight w:val="none"/>
        </w:rPr>
        <w:t>胎心自动测量，B模式下实时胎心监测和自动胎心识别，支持M模式下的胎心运动识别及胎心率测量，可冻结、回顾场景下切换心动周期和周期数目，支持用户手动编辑测量结果</w:t>
      </w:r>
      <w:r>
        <w:rPr>
          <w:rFonts w:hint="eastAsia" w:ascii="宋体" w:hAnsi="宋体" w:cs="宋体"/>
          <w:sz w:val="24"/>
          <w:highlight w:val="none"/>
          <w:lang w:eastAsia="zh-CN"/>
        </w:rPr>
        <w:t>。</w:t>
      </w:r>
    </w:p>
    <w:p w14:paraId="1E2EEE05">
      <w:pPr>
        <w:spacing w:line="360" w:lineRule="auto"/>
        <w:ind w:firstLine="480" w:firstLineChars="200"/>
        <w:rPr>
          <w:rFonts w:hint="eastAsia" w:ascii="宋体" w:hAnsi="宋体" w:eastAsia="宋体" w:cs="宋体"/>
          <w:sz w:val="24"/>
          <w:highlight w:val="none"/>
        </w:rPr>
      </w:pPr>
      <w:r>
        <w:rPr>
          <w:rFonts w:hint="eastAsia" w:ascii="宋体" w:hAnsi="宋体" w:cs="宋体"/>
          <w:b w:val="0"/>
          <w:bCs w:val="0"/>
          <w:i w:val="0"/>
          <w:iCs w:val="0"/>
          <w:color w:val="auto"/>
          <w:kern w:val="2"/>
          <w:sz w:val="24"/>
          <w:szCs w:val="24"/>
          <w:highlight w:val="none"/>
          <w:vertAlign w:val="baseline"/>
          <w:lang w:val="en-US" w:eastAsia="zh-CN" w:bidi="ar-SA"/>
        </w:rPr>
        <w:t>2</w:t>
      </w:r>
      <w:r>
        <w:rPr>
          <w:rFonts w:hint="eastAsia" w:ascii="宋体" w:hAnsi="宋体" w:eastAsia="宋体" w:cs="宋体"/>
          <w:color w:val="0000FF"/>
          <w:sz w:val="24"/>
          <w:highlight w:val="none"/>
          <w14:textFill>
            <w14:gradFill>
              <w14:gsLst>
                <w14:gs w14:pos="0">
                  <w14:srgbClr w14:val="020202"/>
                </w14:gs>
                <w14:gs w14:pos="50411">
                  <w14:srgbClr w14:val="1F1F1F"/>
                </w14:gs>
                <w14:gs w14:pos="100000">
                  <w14:srgbClr w14:val="424242"/>
                </w14:gs>
              </w14:gsLst>
              <w14:lin w14:ang="5400000" w14:scaled="1"/>
            </w14:gradFill>
          </w14:textFill>
        </w:rPr>
        <w:t>.2.5.4</w:t>
      </w:r>
      <w:r>
        <w:rPr>
          <w:rFonts w:hint="eastAsia" w:ascii="宋体" w:hAnsi="宋体" w:cs="宋体"/>
          <w:color w:val="0000FF"/>
          <w:sz w:val="24"/>
          <w:highlight w:val="none"/>
          <w:lang w:val="en-US" w:eastAsia="zh-CN"/>
          <w14:textFill>
            <w14:gradFill>
              <w14:gsLst>
                <w14:gs w14:pos="0">
                  <w14:srgbClr w14:val="020202"/>
                </w14:gs>
                <w14:gs w14:pos="50411">
                  <w14:srgbClr w14:val="1F1F1F"/>
                </w14:gs>
                <w14:gs w14:pos="100000">
                  <w14:srgbClr w14:val="424242"/>
                </w14:gs>
              </w14:gsLst>
              <w14:lin w14:ang="5400000" w14:scaled="1"/>
            </w14:gradFill>
          </w14:textFill>
        </w:rPr>
        <w:t xml:space="preserve">  </w:t>
      </w:r>
      <w:r>
        <w:rPr>
          <w:rFonts w:hint="eastAsia" w:ascii="宋体" w:hAnsi="宋体" w:cs="宋体"/>
          <w:sz w:val="24"/>
          <w:lang w:val="en-US" w:eastAsia="zh-CN"/>
        </w:rPr>
        <w:t>具备</w:t>
      </w:r>
      <w:r>
        <w:rPr>
          <w:rFonts w:hint="eastAsia" w:ascii="宋体" w:hAnsi="宋体" w:eastAsia="宋体" w:cs="宋体"/>
          <w:color w:val="auto"/>
          <w:sz w:val="24"/>
          <w:highlight w:val="none"/>
        </w:rPr>
        <w:t>颅脑容积自动测量，自动获取胎儿颅脑容积数据，勾画胎儿颅脑立体轮廓和测量体积，支持用户手动编辑测量结果</w:t>
      </w:r>
      <w:r>
        <w:rPr>
          <w:rFonts w:hint="eastAsia" w:ascii="宋体" w:hAnsi="宋体" w:cs="宋体"/>
          <w:sz w:val="24"/>
          <w:highlight w:val="none"/>
          <w:lang w:eastAsia="zh-CN"/>
        </w:rPr>
        <w:t>。</w:t>
      </w:r>
    </w:p>
    <w:p w14:paraId="0AE6202F">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lang w:val="en-US" w:eastAsia="zh-CN"/>
        </w:rPr>
        <w:t>▲</w:t>
      </w:r>
      <w:r>
        <w:rPr>
          <w:rFonts w:hint="eastAsia" w:ascii="宋体" w:hAnsi="宋体" w:cs="宋体"/>
          <w:sz w:val="24"/>
          <w:highlight w:val="none"/>
          <w:lang w:eastAsia="zh-CN"/>
        </w:rPr>
        <w:t>2</w:t>
      </w:r>
      <w:r>
        <w:rPr>
          <w:rFonts w:hint="eastAsia" w:ascii="宋体" w:hAnsi="宋体" w:eastAsia="宋体" w:cs="宋体"/>
          <w:sz w:val="24"/>
          <w:highlight w:val="none"/>
        </w:rPr>
        <w:t>.2.5.5</w:t>
      </w:r>
      <w:r>
        <w:rPr>
          <w:rFonts w:hint="eastAsia" w:ascii="宋体" w:hAnsi="宋体" w:eastAsia="宋体" w:cs="宋体"/>
          <w:sz w:val="24"/>
          <w:highlight w:val="none"/>
        </w:rPr>
        <w:tab/>
      </w:r>
      <w:r>
        <w:rPr>
          <w:rFonts w:hint="eastAsia" w:ascii="宋体" w:hAnsi="宋体" w:cs="宋体"/>
          <w:sz w:val="24"/>
          <w:lang w:val="en-US" w:eastAsia="zh-CN"/>
        </w:rPr>
        <w:t>具备</w:t>
      </w:r>
      <w:r>
        <w:rPr>
          <w:rFonts w:hint="eastAsia" w:ascii="宋体" w:hAnsi="宋体" w:eastAsia="宋体" w:cs="宋体"/>
          <w:sz w:val="24"/>
          <w:highlight w:val="none"/>
        </w:rPr>
        <w:t>自动胎儿颅脑切面分析，单帧容积数据自动获取丘脑、侧脑室和小脑平面，可自动测量双顶径、头围、枕额径、侧脑室宽度、透明隔腔宽度、小脑横径、小脑延髓池深度</w:t>
      </w:r>
      <w:r>
        <w:rPr>
          <w:rFonts w:hint="eastAsia" w:ascii="宋体" w:hAnsi="宋体" w:cs="宋体"/>
          <w:sz w:val="24"/>
          <w:highlight w:val="none"/>
          <w:lang w:val="en-US" w:eastAsia="zh-CN"/>
        </w:rPr>
        <w:t>等。</w:t>
      </w:r>
    </w:p>
    <w:p w14:paraId="1F839323">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b w:val="0"/>
          <w:bCs w:val="0"/>
          <w:i w:val="0"/>
          <w:iCs w:val="0"/>
          <w:color w:val="auto"/>
          <w:kern w:val="2"/>
          <w:sz w:val="24"/>
          <w:szCs w:val="24"/>
          <w:highlight w:val="none"/>
          <w:vertAlign w:val="baseline"/>
          <w:lang w:val="en-US" w:eastAsia="zh-CN" w:bidi="ar-SA"/>
        </w:rPr>
        <w:t>2</w:t>
      </w:r>
      <w:r>
        <w:rPr>
          <w:rFonts w:hint="eastAsia" w:ascii="宋体" w:hAnsi="宋体" w:eastAsia="宋体" w:cs="宋体"/>
          <w:sz w:val="24"/>
          <w:highlight w:val="none"/>
        </w:rPr>
        <w:t>.2.5.6</w:t>
      </w:r>
      <w:r>
        <w:rPr>
          <w:rFonts w:hint="eastAsia" w:ascii="宋体" w:hAnsi="宋体" w:cs="宋体"/>
          <w:sz w:val="24"/>
          <w:highlight w:val="none"/>
          <w:lang w:val="en-US" w:eastAsia="zh-CN"/>
        </w:rPr>
        <w:t xml:space="preserve">  </w:t>
      </w:r>
      <w:r>
        <w:rPr>
          <w:rFonts w:hint="eastAsia" w:ascii="宋体" w:hAnsi="宋体" w:cs="宋体"/>
          <w:sz w:val="24"/>
          <w:lang w:val="en-US" w:eastAsia="zh-CN"/>
        </w:rPr>
        <w:t>具备</w:t>
      </w:r>
      <w:r>
        <w:rPr>
          <w:rFonts w:hint="eastAsia" w:ascii="宋体" w:hAnsi="宋体" w:eastAsia="宋体" w:cs="宋体"/>
          <w:sz w:val="24"/>
          <w:highlight w:val="none"/>
        </w:rPr>
        <w:t>卵泡自动测量，在冻结场景下自动识别卵巢和卵泡，自动测量卵泡大小及数量，可将卵泡按照大小进行分类和排序，支持用户手动编辑卵泡识别结果</w:t>
      </w:r>
      <w:r>
        <w:rPr>
          <w:rFonts w:hint="eastAsia" w:ascii="宋体" w:hAnsi="宋体" w:cs="宋体"/>
          <w:sz w:val="24"/>
          <w:highlight w:val="none"/>
          <w:lang w:eastAsia="zh-CN"/>
        </w:rPr>
        <w:t>。</w:t>
      </w:r>
    </w:p>
    <w:p w14:paraId="455215C6">
      <w:pPr>
        <w:spacing w:line="360" w:lineRule="auto"/>
        <w:ind w:firstLine="480" w:firstLineChars="200"/>
        <w:rPr>
          <w:rFonts w:hint="eastAsia" w:ascii="宋体" w:hAnsi="宋体" w:eastAsia="宋体" w:cs="宋体"/>
          <w:sz w:val="24"/>
          <w:lang w:eastAsia="zh-CN"/>
        </w:rPr>
      </w:pPr>
      <w:r>
        <w:rPr>
          <w:rFonts w:hint="eastAsia" w:ascii="宋体" w:hAnsi="宋体" w:cs="宋体"/>
          <w:b w:val="0"/>
          <w:bCs w:val="0"/>
          <w:i w:val="0"/>
          <w:iCs w:val="0"/>
          <w:color w:val="auto"/>
          <w:kern w:val="2"/>
          <w:sz w:val="24"/>
          <w:szCs w:val="24"/>
          <w:highlight w:val="none"/>
          <w:vertAlign w:val="baseline"/>
          <w:lang w:val="en-US" w:eastAsia="zh-CN" w:bidi="ar-SA"/>
        </w:rPr>
        <w:t>2</w:t>
      </w:r>
      <w:r>
        <w:rPr>
          <w:rFonts w:hint="eastAsia" w:ascii="宋体" w:hAnsi="宋体" w:eastAsia="宋体" w:cs="宋体"/>
          <w:sz w:val="24"/>
          <w:highlight w:val="none"/>
        </w:rPr>
        <w:t>.2.5.7</w:t>
      </w:r>
      <w:r>
        <w:rPr>
          <w:rFonts w:hint="eastAsia" w:ascii="宋体" w:hAnsi="宋体" w:cs="宋体"/>
          <w:sz w:val="24"/>
          <w:highlight w:val="none"/>
          <w:lang w:val="en-US" w:eastAsia="zh-CN"/>
        </w:rPr>
        <w:t xml:space="preserve">  </w:t>
      </w:r>
      <w:r>
        <w:rPr>
          <w:rFonts w:hint="eastAsia" w:ascii="宋体" w:hAnsi="宋体" w:cs="宋体"/>
          <w:sz w:val="24"/>
          <w:lang w:val="en-US" w:eastAsia="zh-CN"/>
        </w:rPr>
        <w:t>具备</w:t>
      </w:r>
      <w:r>
        <w:rPr>
          <w:rFonts w:hint="eastAsia" w:ascii="宋体" w:hAnsi="宋体" w:eastAsia="宋体" w:cs="宋体"/>
          <w:sz w:val="24"/>
          <w:highlight w:val="none"/>
        </w:rPr>
        <w:t>子宫内膜自动测量，自动识别子宫内膜低回声组织，可实现厚度分段测量，支持用户手动编辑子宫内膜边界</w:t>
      </w:r>
      <w:r>
        <w:rPr>
          <w:rFonts w:hint="eastAsia" w:ascii="宋体" w:hAnsi="宋体" w:cs="宋体"/>
          <w:sz w:val="24"/>
          <w:highlight w:val="none"/>
          <w:lang w:eastAsia="zh-CN"/>
        </w:rPr>
        <w:t>。</w:t>
      </w:r>
    </w:p>
    <w:p w14:paraId="2CBCC694">
      <w:pPr>
        <w:spacing w:line="360" w:lineRule="auto"/>
        <w:ind w:firstLine="480" w:firstLineChars="200"/>
        <w:rPr>
          <w:rFonts w:hint="eastAsia" w:ascii="宋体" w:hAnsi="宋体" w:eastAsia="宋体" w:cs="宋体"/>
          <w:sz w:val="24"/>
          <w:highlight w:val="none"/>
        </w:rPr>
      </w:pPr>
      <w:r>
        <w:rPr>
          <w:rFonts w:hint="eastAsia" w:ascii="宋体" w:hAnsi="宋体" w:cs="宋体"/>
          <w:b w:val="0"/>
          <w:bCs w:val="0"/>
          <w:i w:val="0"/>
          <w:iCs w:val="0"/>
          <w:color w:val="auto"/>
          <w:kern w:val="2"/>
          <w:sz w:val="24"/>
          <w:szCs w:val="24"/>
          <w:highlight w:val="none"/>
          <w:vertAlign w:val="baseline"/>
          <w:lang w:val="en-US" w:eastAsia="zh-CN" w:bidi="ar-SA"/>
        </w:rPr>
        <w:t>2</w:t>
      </w:r>
      <w:r>
        <w:rPr>
          <w:rFonts w:hint="eastAsia" w:ascii="宋体" w:hAnsi="宋体" w:eastAsia="宋体" w:cs="宋体"/>
          <w:sz w:val="24"/>
          <w:highlight w:val="none"/>
        </w:rPr>
        <w:t>.2.6</w:t>
      </w:r>
      <w:r>
        <w:rPr>
          <w:rFonts w:hint="eastAsia" w:ascii="宋体" w:hAnsi="宋体" w:eastAsia="宋体" w:cs="宋体"/>
          <w:sz w:val="24"/>
          <w:highlight w:val="none"/>
        </w:rPr>
        <w:tab/>
      </w:r>
      <w:r>
        <w:rPr>
          <w:rFonts w:hint="eastAsia" w:ascii="宋体" w:hAnsi="宋体" w:cs="宋体"/>
          <w:sz w:val="24"/>
          <w:lang w:val="en-US" w:eastAsia="zh-CN"/>
        </w:rPr>
        <w:t>具备</w:t>
      </w:r>
      <w:r>
        <w:rPr>
          <w:rFonts w:hint="eastAsia" w:ascii="宋体" w:hAnsi="宋体" w:eastAsia="宋体" w:cs="宋体"/>
          <w:sz w:val="24"/>
          <w:highlight w:val="none"/>
        </w:rPr>
        <w:t>膀胱自动测量;冻结场景下进行膀胱自动测量;自动测量膀胱左右、前后及上下径，自动计算膀胱容积;支持用户手动编辑测量结果，支持单幅和双幅测量。</w:t>
      </w:r>
    </w:p>
    <w:p w14:paraId="4EDD0CA7">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w:t>
      </w:r>
      <w:r>
        <w:rPr>
          <w:rFonts w:hint="eastAsia" w:ascii="宋体" w:hAnsi="宋体" w:cs="宋体"/>
          <w:b w:val="0"/>
          <w:bCs w:val="0"/>
          <w:i w:val="0"/>
          <w:iCs w:val="0"/>
          <w:color w:val="auto"/>
          <w:kern w:val="2"/>
          <w:sz w:val="24"/>
          <w:szCs w:val="24"/>
          <w:highlight w:val="none"/>
          <w:vertAlign w:val="baseline"/>
          <w:lang w:val="en-US" w:eastAsia="zh-CN" w:bidi="ar-SA"/>
        </w:rPr>
        <w:t>2</w:t>
      </w:r>
      <w:r>
        <w:rPr>
          <w:rFonts w:hint="eastAsia" w:ascii="宋体" w:hAnsi="宋体" w:eastAsia="宋体" w:cs="宋体"/>
          <w:sz w:val="24"/>
        </w:rPr>
        <w:t>.2.7</w:t>
      </w:r>
      <w:r>
        <w:rPr>
          <w:rFonts w:hint="eastAsia" w:ascii="宋体" w:hAnsi="宋体" w:cs="宋体"/>
          <w:sz w:val="24"/>
          <w:lang w:val="en-US" w:eastAsia="zh-CN"/>
        </w:rPr>
        <w:t xml:space="preserve">  具备</w:t>
      </w:r>
      <w:r>
        <w:rPr>
          <w:rFonts w:hint="eastAsia" w:ascii="宋体" w:hAnsi="宋体" w:eastAsia="宋体" w:cs="宋体"/>
          <w:sz w:val="24"/>
        </w:rPr>
        <w:t>肝肾指数自动测量;冻结场景下进行肝肾指数自动测量，自动识别肝脏和肾脏皮质灰阶值，自动计算肝肾比指数;支持手动调整识别框位</w:t>
      </w:r>
      <w:r>
        <w:rPr>
          <w:rFonts w:hint="eastAsia" w:ascii="宋体" w:hAnsi="宋体" w:cs="宋体"/>
          <w:sz w:val="24"/>
          <w:lang w:eastAsia="zh-CN"/>
        </w:rPr>
        <w:t>。</w:t>
      </w:r>
    </w:p>
    <w:p w14:paraId="4B0086DE">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w:t>
      </w:r>
      <w:r>
        <w:rPr>
          <w:rFonts w:hint="eastAsia" w:ascii="宋体" w:hAnsi="宋体" w:cs="宋体"/>
          <w:b w:val="0"/>
          <w:bCs w:val="0"/>
          <w:i w:val="0"/>
          <w:iCs w:val="0"/>
          <w:color w:val="auto"/>
          <w:kern w:val="2"/>
          <w:sz w:val="24"/>
          <w:szCs w:val="24"/>
          <w:highlight w:val="none"/>
          <w:vertAlign w:val="baseline"/>
          <w:lang w:val="en-US" w:eastAsia="zh-CN" w:bidi="ar-SA"/>
        </w:rPr>
        <w:t>2</w:t>
      </w:r>
      <w:r>
        <w:rPr>
          <w:rFonts w:hint="eastAsia" w:ascii="宋体" w:hAnsi="宋体" w:eastAsia="宋体" w:cs="宋体"/>
          <w:sz w:val="24"/>
        </w:rPr>
        <w:t>.2.</w:t>
      </w:r>
      <w:r>
        <w:rPr>
          <w:rFonts w:hint="eastAsia" w:ascii="宋体" w:hAnsi="宋体" w:eastAsia="宋体" w:cs="宋体"/>
          <w:sz w:val="24"/>
          <w:lang w:val="en-US" w:eastAsia="zh-CN"/>
        </w:rPr>
        <w:t>8</w:t>
      </w:r>
      <w:r>
        <w:rPr>
          <w:rFonts w:hint="eastAsia" w:ascii="宋体" w:hAnsi="宋体" w:cs="宋体"/>
          <w:sz w:val="24"/>
          <w:lang w:val="en-US" w:eastAsia="zh-CN"/>
        </w:rPr>
        <w:t xml:space="preserve">  具备</w:t>
      </w:r>
      <w:r>
        <w:rPr>
          <w:rFonts w:hint="eastAsia" w:ascii="宋体" w:hAnsi="宋体" w:eastAsia="宋体" w:cs="宋体"/>
          <w:sz w:val="24"/>
        </w:rPr>
        <w:t>甲状腺自动测量及分析功能，实时扫查、冻结、回顾场景下进行甲状腺病变自动识别和分析;可自动识别及手动修改病变的轮廓及性状；保存至报告，支持手动添加、查看、修改</w:t>
      </w:r>
      <w:r>
        <w:rPr>
          <w:rFonts w:hint="eastAsia" w:ascii="宋体" w:hAnsi="宋体" w:cs="宋体"/>
          <w:sz w:val="24"/>
          <w:lang w:eastAsia="zh-CN"/>
        </w:rPr>
        <w:t>。</w:t>
      </w:r>
    </w:p>
    <w:p w14:paraId="48205166">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w:t>
      </w:r>
      <w:r>
        <w:rPr>
          <w:rFonts w:hint="eastAsia" w:ascii="宋体" w:hAnsi="宋体" w:cs="宋体"/>
          <w:b w:val="0"/>
          <w:bCs w:val="0"/>
          <w:i w:val="0"/>
          <w:iCs w:val="0"/>
          <w:color w:val="auto"/>
          <w:kern w:val="2"/>
          <w:sz w:val="24"/>
          <w:szCs w:val="24"/>
          <w:highlight w:val="none"/>
          <w:vertAlign w:val="baseline"/>
          <w:lang w:val="en-US" w:eastAsia="zh-CN" w:bidi="ar-SA"/>
        </w:rPr>
        <w:t>2</w:t>
      </w:r>
      <w:r>
        <w:rPr>
          <w:rFonts w:hint="eastAsia" w:ascii="宋体" w:hAnsi="宋体" w:eastAsia="宋体" w:cs="宋体"/>
          <w:sz w:val="24"/>
        </w:rPr>
        <w:t>.2.</w:t>
      </w:r>
      <w:r>
        <w:rPr>
          <w:rFonts w:hint="eastAsia" w:ascii="宋体" w:hAnsi="宋体" w:cs="宋体"/>
          <w:sz w:val="24"/>
          <w:lang w:eastAsia="zh-CN"/>
        </w:rPr>
        <w:t>9</w:t>
      </w:r>
      <w:r>
        <w:rPr>
          <w:rFonts w:hint="eastAsia" w:ascii="宋体" w:hAnsi="宋体" w:cs="宋体"/>
          <w:sz w:val="24"/>
          <w:lang w:val="en-US" w:eastAsia="zh-CN"/>
        </w:rPr>
        <w:t xml:space="preserve">  </w:t>
      </w:r>
      <w:r>
        <w:rPr>
          <w:rFonts w:hint="eastAsia" w:ascii="宋体" w:hAnsi="宋体" w:cs="宋体"/>
          <w:sz w:val="24"/>
          <w:szCs w:val="24"/>
          <w:lang w:val="en-US" w:eastAsia="zh-CN"/>
        </w:rPr>
        <w:t>具备</w:t>
      </w:r>
      <w:r>
        <w:rPr>
          <w:rFonts w:hint="eastAsia" w:ascii="宋体" w:hAnsi="宋体" w:eastAsia="宋体" w:cs="宋体"/>
          <w:sz w:val="24"/>
        </w:rPr>
        <w:t>乳腺自动测量及分析功能，实时扫查、冻结、回顾场景下进行自动识别和分析;可自动识别及手动修改病变的轮廓及性状;信息保存至报告，支持手动添加、查看、修改</w:t>
      </w:r>
      <w:r>
        <w:rPr>
          <w:rFonts w:hint="eastAsia" w:ascii="宋体" w:hAnsi="宋体" w:cs="宋体"/>
          <w:sz w:val="24"/>
          <w:lang w:eastAsia="zh-CN"/>
        </w:rPr>
        <w:t>。</w:t>
      </w:r>
    </w:p>
    <w:p w14:paraId="712ECB7E">
      <w:pPr>
        <w:spacing w:line="360" w:lineRule="auto"/>
        <w:ind w:firstLine="482" w:firstLineChars="200"/>
        <w:rPr>
          <w:rFonts w:hint="eastAsia" w:ascii="宋体" w:hAnsi="宋体" w:eastAsia="宋体" w:cs="宋体"/>
          <w:b/>
          <w:bCs/>
          <w:sz w:val="24"/>
        </w:rPr>
      </w:pPr>
      <w:r>
        <w:rPr>
          <w:rFonts w:hint="eastAsia" w:ascii="宋体" w:hAnsi="宋体" w:cs="宋体"/>
          <w:b/>
          <w:bCs/>
          <w:sz w:val="24"/>
          <w:lang w:eastAsia="zh-CN"/>
        </w:rPr>
        <w:t>2</w:t>
      </w:r>
      <w:r>
        <w:rPr>
          <w:rFonts w:hint="eastAsia" w:ascii="宋体" w:hAnsi="宋体" w:eastAsia="宋体" w:cs="宋体"/>
          <w:b/>
          <w:bCs/>
          <w:sz w:val="24"/>
        </w:rPr>
        <w:t>.3输入/输出信号：</w:t>
      </w:r>
    </w:p>
    <w:p w14:paraId="393C1CC1">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ab/>
      </w:r>
      <w:r>
        <w:rPr>
          <w:rFonts w:hint="eastAsia" w:ascii="宋体" w:hAnsi="宋体" w:eastAsia="宋体" w:cs="宋体"/>
          <w:sz w:val="24"/>
        </w:rPr>
        <w:t>生理信号:ECG、AUX</w:t>
      </w:r>
      <w:r>
        <w:rPr>
          <w:rFonts w:hint="eastAsia" w:ascii="宋体" w:hAnsi="宋体" w:cs="宋体"/>
          <w:sz w:val="24"/>
          <w:lang w:val="en-US" w:eastAsia="zh-CN"/>
        </w:rPr>
        <w:t>等</w:t>
      </w:r>
    </w:p>
    <w:p w14:paraId="466407B4">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ab/>
      </w:r>
      <w:r>
        <w:rPr>
          <w:rFonts w:hint="eastAsia" w:ascii="宋体" w:hAnsi="宋体" w:eastAsia="宋体" w:cs="宋体"/>
          <w:sz w:val="24"/>
        </w:rPr>
        <w:t>视频信号:DVI-D、HD-SDI、HDMI</w:t>
      </w:r>
      <w:r>
        <w:rPr>
          <w:rFonts w:hint="eastAsia" w:ascii="宋体" w:hAnsi="宋体" w:cs="宋体"/>
          <w:sz w:val="24"/>
          <w:lang w:val="en-US" w:eastAsia="zh-CN"/>
        </w:rPr>
        <w:t>等</w:t>
      </w:r>
    </w:p>
    <w:p w14:paraId="332701B8">
      <w:pPr>
        <w:spacing w:line="360" w:lineRule="auto"/>
        <w:ind w:firstLine="480" w:firstLineChars="20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支持Trigger接口:Trigger in;Trigger out</w:t>
      </w:r>
    </w:p>
    <w:p w14:paraId="18984833">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ab/>
      </w:r>
      <w:r>
        <w:rPr>
          <w:rFonts w:hint="eastAsia" w:ascii="宋体" w:hAnsi="宋体" w:eastAsia="宋体" w:cs="宋体"/>
          <w:sz w:val="24"/>
        </w:rPr>
        <w:t>支持USB接口:USB3.</w:t>
      </w:r>
      <w:r>
        <w:rPr>
          <w:rFonts w:hint="eastAsia" w:ascii="宋体" w:hAnsi="宋体" w:eastAsia="宋体" w:cs="宋体"/>
          <w:sz w:val="24"/>
          <w:lang w:val="en-US" w:eastAsia="zh-CN"/>
        </w:rPr>
        <w:t>0</w:t>
      </w:r>
      <w:r>
        <w:rPr>
          <w:rFonts w:hint="eastAsia" w:ascii="宋体" w:hAnsi="宋体" w:eastAsia="宋体" w:cs="宋体"/>
          <w:sz w:val="24"/>
        </w:rPr>
        <w:t>、Type C</w:t>
      </w:r>
      <w:r>
        <w:rPr>
          <w:rFonts w:hint="eastAsia" w:ascii="宋体" w:hAnsi="宋体" w:cs="宋体"/>
          <w:sz w:val="24"/>
          <w:lang w:val="en-US" w:eastAsia="zh-CN"/>
        </w:rPr>
        <w:t>等。</w:t>
      </w:r>
    </w:p>
    <w:p w14:paraId="29019AAC">
      <w:pPr>
        <w:spacing w:line="360" w:lineRule="auto"/>
        <w:ind w:firstLine="482" w:firstLineChars="200"/>
        <w:rPr>
          <w:rFonts w:hint="eastAsia" w:ascii="宋体" w:hAnsi="宋体" w:eastAsia="宋体" w:cs="宋体"/>
          <w:b/>
          <w:bCs/>
          <w:sz w:val="24"/>
        </w:rPr>
      </w:pPr>
      <w:r>
        <w:rPr>
          <w:rFonts w:hint="eastAsia" w:ascii="宋体" w:hAnsi="宋体" w:cs="宋体"/>
          <w:b/>
          <w:bCs/>
          <w:sz w:val="24"/>
          <w:lang w:eastAsia="zh-CN"/>
        </w:rPr>
        <w:t>2</w:t>
      </w:r>
      <w:r>
        <w:rPr>
          <w:rFonts w:hint="eastAsia" w:ascii="宋体" w:hAnsi="宋体" w:eastAsia="宋体" w:cs="宋体"/>
          <w:b/>
          <w:bCs/>
          <w:sz w:val="24"/>
        </w:rPr>
        <w:t>.4</w:t>
      </w:r>
      <w:r>
        <w:rPr>
          <w:rFonts w:hint="eastAsia" w:ascii="宋体" w:hAnsi="宋体" w:eastAsia="宋体" w:cs="宋体"/>
          <w:b/>
          <w:bCs/>
          <w:sz w:val="24"/>
        </w:rPr>
        <w:tab/>
      </w:r>
      <w:r>
        <w:rPr>
          <w:rFonts w:hint="eastAsia" w:ascii="宋体" w:hAnsi="宋体" w:eastAsia="宋体" w:cs="宋体"/>
          <w:b/>
          <w:bCs/>
          <w:sz w:val="24"/>
        </w:rPr>
        <w:t>网络功能:</w:t>
      </w:r>
    </w:p>
    <w:p w14:paraId="59C8BA3F">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w:t>
      </w:r>
      <w:r>
        <w:rPr>
          <w:rFonts w:hint="eastAsia" w:ascii="宋体" w:hAnsi="宋体" w:eastAsia="宋体" w:cs="宋体"/>
          <w:sz w:val="24"/>
        </w:rPr>
        <w:t>.4.1</w:t>
      </w:r>
      <w:r>
        <w:rPr>
          <w:rFonts w:hint="eastAsia" w:ascii="宋体" w:hAnsi="宋体" w:eastAsia="宋体" w:cs="宋体"/>
          <w:sz w:val="24"/>
        </w:rPr>
        <w:tab/>
      </w:r>
      <w:r>
        <w:rPr>
          <w:rFonts w:hint="eastAsia" w:ascii="宋体" w:hAnsi="宋体" w:eastAsia="宋体" w:cs="宋体"/>
          <w:sz w:val="24"/>
          <w:szCs w:val="24"/>
        </w:rPr>
        <w:t>支持有线、无线网络， 5G 模块</w:t>
      </w:r>
      <w:r>
        <w:rPr>
          <w:rFonts w:hint="eastAsia" w:ascii="宋体" w:hAnsi="宋体" w:cs="宋体"/>
          <w:sz w:val="24"/>
          <w:szCs w:val="24"/>
          <w:lang w:eastAsia="zh-CN"/>
        </w:rPr>
        <w:t>。</w:t>
      </w:r>
    </w:p>
    <w:p w14:paraId="7E95A182">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w:t>
      </w:r>
      <w:r>
        <w:rPr>
          <w:rFonts w:hint="eastAsia" w:ascii="宋体" w:hAnsi="宋体" w:eastAsia="宋体" w:cs="宋体"/>
          <w:sz w:val="24"/>
        </w:rPr>
        <w:t>.4.2</w:t>
      </w:r>
      <w:r>
        <w:rPr>
          <w:rFonts w:hint="eastAsia" w:ascii="宋体" w:hAnsi="宋体" w:eastAsia="宋体" w:cs="宋体"/>
          <w:sz w:val="24"/>
        </w:rPr>
        <w:tab/>
      </w:r>
      <w:r>
        <w:rPr>
          <w:rFonts w:hint="eastAsia" w:ascii="宋体" w:hAnsi="宋体" w:eastAsia="宋体" w:cs="宋体"/>
          <w:sz w:val="24"/>
        </w:rPr>
        <w:t>支持DICOM3.0，支持DICOM结构化报告</w:t>
      </w:r>
      <w:r>
        <w:rPr>
          <w:rFonts w:hint="eastAsia" w:ascii="宋体" w:hAnsi="宋体" w:cs="宋体"/>
          <w:sz w:val="24"/>
          <w:lang w:eastAsia="zh-CN"/>
        </w:rPr>
        <w:t>。</w:t>
      </w:r>
    </w:p>
    <w:p w14:paraId="51B9C488">
      <w:pPr>
        <w:spacing w:line="360" w:lineRule="auto"/>
        <w:ind w:firstLine="482" w:firstLineChars="200"/>
        <w:rPr>
          <w:rFonts w:hint="eastAsia" w:ascii="宋体" w:hAnsi="宋体" w:eastAsia="宋体" w:cs="宋体"/>
          <w:b/>
          <w:bCs/>
          <w:sz w:val="24"/>
        </w:rPr>
      </w:pPr>
      <w:r>
        <w:rPr>
          <w:rFonts w:hint="eastAsia" w:ascii="宋体" w:hAnsi="宋体" w:cs="宋体"/>
          <w:b/>
          <w:bCs/>
          <w:sz w:val="24"/>
          <w:lang w:eastAsia="zh-CN"/>
        </w:rPr>
        <w:t>2</w:t>
      </w:r>
      <w:r>
        <w:rPr>
          <w:rFonts w:hint="eastAsia" w:ascii="宋体" w:hAnsi="宋体" w:eastAsia="宋体" w:cs="宋体"/>
          <w:b/>
          <w:bCs/>
          <w:sz w:val="24"/>
        </w:rPr>
        <w:t>.5</w:t>
      </w:r>
      <w:r>
        <w:rPr>
          <w:rFonts w:hint="eastAsia" w:ascii="宋体" w:hAnsi="宋体" w:eastAsia="宋体" w:cs="宋体"/>
          <w:b/>
          <w:bCs/>
          <w:sz w:val="24"/>
        </w:rPr>
        <w:tab/>
      </w:r>
      <w:r>
        <w:rPr>
          <w:rFonts w:hint="eastAsia" w:ascii="宋体" w:hAnsi="宋体" w:eastAsia="宋体" w:cs="宋体"/>
          <w:b/>
          <w:bCs/>
          <w:sz w:val="24"/>
        </w:rPr>
        <w:t>图像存储与(电影)回放重现单元:</w:t>
      </w:r>
    </w:p>
    <w:p w14:paraId="265D6A18">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w:t>
      </w:r>
      <w:r>
        <w:rPr>
          <w:rFonts w:hint="eastAsia" w:ascii="宋体" w:hAnsi="宋体" w:eastAsia="宋体" w:cs="宋体"/>
          <w:sz w:val="24"/>
        </w:rPr>
        <w:t>.5.1</w:t>
      </w:r>
      <w:r>
        <w:rPr>
          <w:rFonts w:hint="eastAsia" w:ascii="宋体" w:hAnsi="宋体" w:eastAsia="宋体" w:cs="宋体"/>
          <w:sz w:val="24"/>
        </w:rPr>
        <w:tab/>
      </w:r>
      <w:r>
        <w:rPr>
          <w:rFonts w:hint="eastAsia" w:ascii="宋体" w:hAnsi="宋体" w:eastAsia="宋体" w:cs="宋体"/>
          <w:sz w:val="24"/>
        </w:rPr>
        <w:t>支持图像存储，可存储动态静态图像</w:t>
      </w:r>
      <w:r>
        <w:rPr>
          <w:rFonts w:hint="eastAsia" w:ascii="宋体" w:hAnsi="宋体" w:cs="宋体"/>
          <w:sz w:val="24"/>
          <w:lang w:eastAsia="zh-CN"/>
        </w:rPr>
        <w:t>。</w:t>
      </w:r>
    </w:p>
    <w:p w14:paraId="7152D248">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2</w:t>
      </w:r>
      <w:r>
        <w:rPr>
          <w:rFonts w:hint="eastAsia" w:ascii="宋体" w:hAnsi="宋体" w:eastAsia="宋体" w:cs="宋体"/>
          <w:sz w:val="24"/>
        </w:rPr>
        <w:t>.5.2</w:t>
      </w:r>
      <w:r>
        <w:rPr>
          <w:rFonts w:hint="eastAsia" w:ascii="宋体" w:hAnsi="宋体" w:eastAsia="宋体" w:cs="宋体"/>
          <w:sz w:val="24"/>
        </w:rPr>
        <w:tab/>
      </w:r>
      <w:r>
        <w:rPr>
          <w:rFonts w:hint="eastAsia" w:ascii="宋体" w:hAnsi="宋体" w:eastAsia="宋体" w:cs="宋体"/>
          <w:sz w:val="24"/>
        </w:rPr>
        <w:t>支持一键传输图像至云端</w:t>
      </w:r>
    </w:p>
    <w:p w14:paraId="312D1BFE">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eastAsia="zh-CN"/>
        </w:rPr>
        <w:t>2</w:t>
      </w:r>
      <w:r>
        <w:rPr>
          <w:rFonts w:hint="eastAsia" w:ascii="宋体" w:hAnsi="宋体" w:eastAsia="宋体" w:cs="宋体"/>
          <w:sz w:val="24"/>
        </w:rPr>
        <w:t>.5.3</w:t>
      </w:r>
      <w:r>
        <w:rPr>
          <w:rFonts w:hint="eastAsia" w:ascii="宋体" w:hAnsi="宋体" w:eastAsia="宋体" w:cs="宋体"/>
          <w:sz w:val="24"/>
        </w:rPr>
        <w:tab/>
      </w:r>
      <w:r>
        <w:rPr>
          <w:rFonts w:hint="eastAsia" w:ascii="宋体" w:hAnsi="宋体" w:eastAsia="宋体" w:cs="宋体"/>
          <w:sz w:val="24"/>
        </w:rPr>
        <w:t>持导出图像、检查、报告;导出的格式为JPEG、MP4、DiCOM</w:t>
      </w:r>
      <w:r>
        <w:rPr>
          <w:rFonts w:hint="eastAsia" w:ascii="宋体" w:hAnsi="宋体" w:cs="宋体"/>
          <w:sz w:val="24"/>
          <w:lang w:val="en-US" w:eastAsia="zh-CN"/>
        </w:rPr>
        <w:t>等。</w:t>
      </w:r>
    </w:p>
    <w:p w14:paraId="39AB7D2A">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w:t>
      </w:r>
      <w:r>
        <w:rPr>
          <w:rFonts w:hint="eastAsia" w:ascii="宋体" w:hAnsi="宋体" w:eastAsia="宋体" w:cs="宋体"/>
          <w:sz w:val="24"/>
        </w:rPr>
        <w:t>.5.4</w:t>
      </w:r>
      <w:r>
        <w:rPr>
          <w:rFonts w:hint="eastAsia" w:ascii="宋体" w:hAnsi="宋体" w:eastAsia="宋体" w:cs="宋体"/>
          <w:sz w:val="24"/>
        </w:rPr>
        <w:tab/>
      </w:r>
      <w:r>
        <w:rPr>
          <w:rFonts w:hint="eastAsia" w:ascii="宋体" w:hAnsi="宋体" w:eastAsia="宋体" w:cs="宋体"/>
          <w:sz w:val="24"/>
        </w:rPr>
        <w:t>所有模式下</w:t>
      </w:r>
      <w:r>
        <w:rPr>
          <w:rFonts w:hint="eastAsia" w:ascii="宋体" w:hAnsi="宋体" w:cs="宋体"/>
          <w:sz w:val="24"/>
          <w:lang w:val="en-US" w:eastAsia="zh-CN"/>
        </w:rPr>
        <w:t>均可</w:t>
      </w:r>
      <w:r>
        <w:rPr>
          <w:rFonts w:hint="eastAsia" w:ascii="宋体" w:hAnsi="宋体" w:eastAsia="宋体" w:cs="宋体"/>
          <w:sz w:val="24"/>
        </w:rPr>
        <w:t>回顾，支持手动、自动回顾</w:t>
      </w:r>
      <w:r>
        <w:rPr>
          <w:rFonts w:hint="eastAsia" w:ascii="宋体" w:hAnsi="宋体" w:cs="宋体"/>
          <w:sz w:val="24"/>
          <w:lang w:eastAsia="zh-CN"/>
        </w:rPr>
        <w:t>。</w:t>
      </w:r>
    </w:p>
    <w:p w14:paraId="7E81F151">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w:t>
      </w:r>
      <w:r>
        <w:rPr>
          <w:rFonts w:hint="eastAsia" w:ascii="宋体" w:hAnsi="宋体" w:eastAsia="宋体" w:cs="宋体"/>
          <w:sz w:val="24"/>
        </w:rPr>
        <w:t>.5.5</w:t>
      </w:r>
      <w:r>
        <w:rPr>
          <w:rFonts w:hint="eastAsia" w:ascii="宋体" w:hAnsi="宋体" w:eastAsia="宋体" w:cs="宋体"/>
          <w:sz w:val="24"/>
        </w:rPr>
        <w:tab/>
      </w:r>
      <w:r>
        <w:rPr>
          <w:rFonts w:hint="eastAsia" w:ascii="宋体" w:hAnsi="宋体" w:eastAsia="宋体" w:cs="宋体"/>
          <w:sz w:val="24"/>
        </w:rPr>
        <w:t>支持剪贴板显示图像，可在剪切板直接回顾或操作图像</w:t>
      </w:r>
      <w:r>
        <w:rPr>
          <w:rFonts w:hint="eastAsia" w:ascii="宋体" w:hAnsi="宋体" w:cs="宋体"/>
          <w:sz w:val="24"/>
          <w:lang w:eastAsia="zh-CN"/>
        </w:rPr>
        <w:t>。</w:t>
      </w:r>
    </w:p>
    <w:p w14:paraId="79FA5257">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2</w:t>
      </w:r>
      <w:r>
        <w:rPr>
          <w:rFonts w:hint="eastAsia" w:ascii="宋体" w:hAnsi="宋体" w:eastAsia="宋体" w:cs="宋体"/>
          <w:sz w:val="24"/>
        </w:rPr>
        <w:t>.5.6</w:t>
      </w:r>
      <w:r>
        <w:rPr>
          <w:rFonts w:hint="eastAsia" w:ascii="宋体" w:hAnsi="宋体" w:eastAsia="宋体" w:cs="宋体"/>
          <w:sz w:val="24"/>
        </w:rPr>
        <w:tab/>
      </w:r>
      <w:r>
        <w:rPr>
          <w:rFonts w:hint="eastAsia" w:ascii="宋体" w:hAnsi="宋体" w:eastAsia="宋体" w:cs="宋体"/>
          <w:sz w:val="24"/>
        </w:rPr>
        <w:t>支持DICOM服务:影像存储、DICOM 3.0;支持DICOM无损压缩</w:t>
      </w:r>
    </w:p>
    <w:p w14:paraId="4D4CCACE">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w:t>
      </w:r>
      <w:r>
        <w:rPr>
          <w:rFonts w:hint="eastAsia" w:ascii="宋体" w:hAnsi="宋体" w:eastAsia="宋体" w:cs="宋体"/>
          <w:sz w:val="24"/>
        </w:rPr>
        <w:t>.5.7</w:t>
      </w:r>
      <w:r>
        <w:rPr>
          <w:rFonts w:hint="eastAsia" w:ascii="宋体" w:hAnsi="宋体" w:eastAsia="宋体" w:cs="宋体"/>
          <w:sz w:val="24"/>
        </w:rPr>
        <w:tab/>
      </w:r>
      <w:r>
        <w:rPr>
          <w:rFonts w:hint="eastAsia" w:ascii="宋体" w:hAnsi="宋体" w:eastAsia="宋体" w:cs="宋体"/>
          <w:sz w:val="24"/>
        </w:rPr>
        <w:t>支持配置打印参数、支持打印图像和报告</w:t>
      </w:r>
      <w:r>
        <w:rPr>
          <w:rFonts w:hint="eastAsia" w:ascii="宋体" w:hAnsi="宋体" w:cs="宋体"/>
          <w:sz w:val="24"/>
          <w:lang w:eastAsia="zh-CN"/>
        </w:rPr>
        <w:t>。</w:t>
      </w:r>
    </w:p>
    <w:p w14:paraId="6AB56637">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2</w:t>
      </w:r>
      <w:r>
        <w:rPr>
          <w:rFonts w:hint="eastAsia" w:ascii="宋体" w:hAnsi="宋体" w:eastAsia="宋体" w:cs="宋体"/>
          <w:sz w:val="24"/>
        </w:rPr>
        <w:t>.5.8</w:t>
      </w:r>
      <w:r>
        <w:rPr>
          <w:rFonts w:hint="eastAsia" w:ascii="宋体" w:hAnsi="宋体" w:eastAsia="宋体" w:cs="宋体"/>
          <w:sz w:val="24"/>
        </w:rPr>
        <w:tab/>
      </w:r>
      <w:r>
        <w:rPr>
          <w:rFonts w:hint="eastAsia" w:ascii="宋体" w:hAnsi="宋体" w:eastAsia="宋体" w:cs="宋体"/>
          <w:sz w:val="24"/>
        </w:rPr>
        <w:t>固态硬盘存储≥1TB</w:t>
      </w:r>
    </w:p>
    <w:p w14:paraId="78BE55F1">
      <w:pPr>
        <w:spacing w:line="360" w:lineRule="auto"/>
        <w:ind w:firstLine="482" w:firstLineChars="200"/>
        <w:rPr>
          <w:rFonts w:hint="eastAsia" w:ascii="宋体" w:hAnsi="宋体" w:eastAsia="宋体" w:cs="宋体"/>
          <w:b/>
          <w:bCs/>
          <w:sz w:val="24"/>
        </w:rPr>
      </w:pPr>
      <w:r>
        <w:rPr>
          <w:rFonts w:hint="eastAsia" w:ascii="宋体" w:hAnsi="宋体" w:cs="宋体"/>
          <w:b/>
          <w:bCs/>
          <w:sz w:val="24"/>
          <w:lang w:val="en-US" w:eastAsia="zh-CN"/>
        </w:rPr>
        <w:t>三</w:t>
      </w:r>
      <w:r>
        <w:rPr>
          <w:rFonts w:hint="eastAsia" w:ascii="宋体" w:hAnsi="宋体" w:eastAsia="宋体" w:cs="宋体"/>
          <w:b/>
          <w:bCs/>
          <w:sz w:val="24"/>
        </w:rPr>
        <w:tab/>
      </w:r>
      <w:r>
        <w:rPr>
          <w:rFonts w:hint="eastAsia" w:ascii="宋体" w:hAnsi="宋体" w:eastAsia="宋体" w:cs="宋体"/>
          <w:b/>
          <w:bCs/>
          <w:sz w:val="24"/>
        </w:rPr>
        <w:t>技术参数及要求</w:t>
      </w:r>
    </w:p>
    <w:p w14:paraId="350C4067">
      <w:pPr>
        <w:spacing w:line="360" w:lineRule="auto"/>
        <w:ind w:firstLine="482" w:firstLineChars="200"/>
        <w:rPr>
          <w:rFonts w:hint="eastAsia" w:ascii="宋体" w:hAnsi="宋体" w:eastAsia="宋体" w:cs="宋体"/>
          <w:sz w:val="24"/>
        </w:rPr>
      </w:pPr>
      <w:r>
        <w:rPr>
          <w:rFonts w:hint="eastAsia" w:ascii="宋体" w:hAnsi="宋体" w:cs="宋体"/>
          <w:b/>
          <w:bCs/>
          <w:sz w:val="24"/>
          <w:lang w:eastAsia="zh-CN"/>
        </w:rPr>
        <w:t>3</w:t>
      </w:r>
      <w:r>
        <w:rPr>
          <w:rFonts w:hint="eastAsia" w:ascii="宋体" w:hAnsi="宋体" w:eastAsia="宋体" w:cs="宋体"/>
          <w:b/>
          <w:bCs/>
          <w:sz w:val="24"/>
        </w:rPr>
        <w:t>.1</w:t>
      </w:r>
      <w:r>
        <w:rPr>
          <w:rFonts w:hint="eastAsia" w:ascii="宋体" w:hAnsi="宋体" w:eastAsia="宋体" w:cs="宋体"/>
          <w:b/>
          <w:bCs/>
          <w:sz w:val="24"/>
        </w:rPr>
        <w:tab/>
      </w:r>
      <w:r>
        <w:rPr>
          <w:rFonts w:hint="eastAsia" w:ascii="宋体" w:hAnsi="宋体" w:eastAsia="宋体" w:cs="宋体"/>
          <w:b/>
          <w:bCs/>
          <w:sz w:val="24"/>
        </w:rPr>
        <w:t>系统通用功能:</w:t>
      </w:r>
    </w:p>
    <w:p w14:paraId="0E37FC98">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.1.1</w:t>
      </w:r>
      <w:r>
        <w:rPr>
          <w:rFonts w:hint="eastAsia" w:ascii="宋体" w:hAnsi="宋体" w:eastAsia="宋体" w:cs="宋体"/>
          <w:sz w:val="24"/>
        </w:rPr>
        <w:tab/>
      </w:r>
      <w:r>
        <w:rPr>
          <w:rFonts w:hint="eastAsia" w:ascii="宋体" w:hAnsi="宋体" w:eastAsia="宋体" w:cs="宋体"/>
          <w:sz w:val="24"/>
        </w:rPr>
        <w:t>显示器:</w:t>
      </w:r>
      <w:r>
        <w:rPr>
          <w:rFonts w:hint="eastAsia" w:ascii="宋体" w:hAnsi="宋体" w:eastAsia="宋体" w:cs="宋体"/>
          <w:sz w:val="24"/>
          <w:szCs w:val="24"/>
        </w:rPr>
        <w:t>≥27 英寸 4K 高清显示器</w:t>
      </w:r>
      <w:r>
        <w:rPr>
          <w:rFonts w:hint="eastAsia" w:ascii="宋体" w:hAnsi="宋体" w:eastAsia="宋体" w:cs="宋体"/>
          <w:sz w:val="24"/>
        </w:rPr>
        <w:t>，可上下、左右、前后、俯仰调节</w:t>
      </w:r>
      <w:r>
        <w:rPr>
          <w:rFonts w:hint="eastAsia" w:ascii="宋体" w:hAnsi="宋体" w:cs="宋体"/>
          <w:sz w:val="24"/>
          <w:lang w:eastAsia="zh-CN"/>
        </w:rPr>
        <w:t>。</w:t>
      </w:r>
    </w:p>
    <w:p w14:paraId="6D3D6AB1">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.1.2</w:t>
      </w:r>
      <w:r>
        <w:rPr>
          <w:rFonts w:hint="eastAsia" w:ascii="宋体" w:hAnsi="宋体" w:eastAsia="宋体" w:cs="宋体"/>
          <w:sz w:val="24"/>
        </w:rPr>
        <w:tab/>
      </w:r>
      <w:r>
        <w:rPr>
          <w:rFonts w:hint="eastAsia" w:ascii="宋体" w:hAnsi="宋体" w:eastAsia="宋体" w:cs="宋体"/>
          <w:sz w:val="24"/>
          <w:szCs w:val="24"/>
        </w:rPr>
        <w:t>≥15英寸</w:t>
      </w:r>
      <w:r>
        <w:rPr>
          <w:rFonts w:hint="eastAsia" w:ascii="宋体" w:hAnsi="宋体" w:cs="宋体"/>
          <w:sz w:val="24"/>
          <w:szCs w:val="24"/>
          <w:lang w:val="en-US" w:eastAsia="zh-CN"/>
        </w:rPr>
        <w:t>液晶</w:t>
      </w:r>
      <w:r>
        <w:rPr>
          <w:rFonts w:hint="eastAsia" w:ascii="宋体" w:hAnsi="宋体" w:eastAsia="宋体" w:cs="宋体"/>
          <w:sz w:val="24"/>
          <w:szCs w:val="24"/>
        </w:rPr>
        <w:t>触摸屏</w:t>
      </w:r>
      <w:r>
        <w:rPr>
          <w:rFonts w:hint="eastAsia" w:ascii="宋体" w:hAnsi="宋体" w:cs="宋体"/>
          <w:sz w:val="24"/>
          <w:szCs w:val="24"/>
          <w:lang w:eastAsia="zh-CN"/>
        </w:rPr>
        <w:t>，</w:t>
      </w:r>
      <w:r>
        <w:rPr>
          <w:rFonts w:hint="eastAsia" w:ascii="宋体" w:hAnsi="宋体" w:eastAsia="宋体" w:cs="宋体"/>
          <w:sz w:val="24"/>
        </w:rPr>
        <w:t>触摸屏角度可调</w:t>
      </w:r>
      <w:r>
        <w:rPr>
          <w:rFonts w:hint="eastAsia" w:ascii="宋体" w:hAnsi="宋体" w:cs="宋体"/>
          <w:sz w:val="24"/>
          <w:lang w:eastAsia="zh-CN"/>
        </w:rPr>
        <w:t>。</w:t>
      </w:r>
    </w:p>
    <w:p w14:paraId="6A238040">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.1.3</w:t>
      </w:r>
      <w:r>
        <w:rPr>
          <w:rFonts w:hint="eastAsia" w:ascii="宋体" w:hAnsi="宋体" w:eastAsia="宋体" w:cs="宋体"/>
          <w:sz w:val="24"/>
        </w:rPr>
        <w:tab/>
      </w:r>
      <w:r>
        <w:rPr>
          <w:rFonts w:hint="eastAsia" w:ascii="宋体" w:hAnsi="宋体" w:eastAsia="宋体" w:cs="宋体"/>
          <w:sz w:val="24"/>
        </w:rPr>
        <w:t>操作面板:具有上下升降、左右旋转和前后平移电动调节功能</w:t>
      </w:r>
      <w:r>
        <w:rPr>
          <w:rFonts w:hint="eastAsia" w:ascii="宋体" w:hAnsi="宋体" w:cs="宋体"/>
          <w:sz w:val="24"/>
          <w:lang w:eastAsia="zh-CN"/>
        </w:rPr>
        <w:t>。</w:t>
      </w:r>
    </w:p>
    <w:p w14:paraId="08014EF0">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.1.4</w:t>
      </w:r>
      <w:r>
        <w:rPr>
          <w:rFonts w:hint="eastAsia" w:ascii="宋体" w:hAnsi="宋体" w:eastAsia="宋体" w:cs="宋体"/>
          <w:sz w:val="24"/>
        </w:rPr>
        <w:tab/>
      </w:r>
      <w:r>
        <w:rPr>
          <w:rFonts w:hint="eastAsia" w:ascii="宋体" w:hAnsi="宋体" w:eastAsia="宋体" w:cs="宋体"/>
          <w:sz w:val="24"/>
        </w:rPr>
        <w:t>探头接口:接口数量≥5个，均为无针式接口，大小一致，</w:t>
      </w:r>
      <w:r>
        <w:rPr>
          <w:rFonts w:hint="eastAsia" w:ascii="宋体" w:hAnsi="宋体" w:eastAsia="宋体" w:cs="宋体"/>
          <w:sz w:val="24"/>
          <w:lang w:val="en-US"/>
        </w:rPr>
        <w:t>通用</w:t>
      </w:r>
      <w:r>
        <w:rPr>
          <w:rFonts w:hint="eastAsia" w:ascii="宋体" w:hAnsi="宋体" w:eastAsia="宋体" w:cs="宋体"/>
          <w:sz w:val="24"/>
        </w:rPr>
        <w:t>可全激活</w:t>
      </w:r>
      <w:r>
        <w:rPr>
          <w:rFonts w:hint="eastAsia" w:ascii="宋体" w:hAnsi="宋体" w:cs="宋体"/>
          <w:sz w:val="24"/>
          <w:lang w:eastAsia="zh-CN"/>
        </w:rPr>
        <w:t>。</w:t>
      </w:r>
    </w:p>
    <w:p w14:paraId="42A3256C">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3</w:t>
      </w:r>
      <w:r>
        <w:rPr>
          <w:rFonts w:hint="eastAsia"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ab/>
      </w:r>
      <w:r>
        <w:rPr>
          <w:rFonts w:hint="eastAsia" w:ascii="宋体" w:hAnsi="宋体" w:eastAsia="宋体" w:cs="宋体"/>
          <w:sz w:val="24"/>
        </w:rPr>
        <w:t>动态范围:≥3</w:t>
      </w:r>
      <w:r>
        <w:rPr>
          <w:rFonts w:hint="eastAsia" w:ascii="宋体" w:hAnsi="宋体" w:eastAsia="宋体" w:cs="宋体"/>
          <w:sz w:val="24"/>
          <w:lang w:val="en-US" w:eastAsia="zh-CN"/>
        </w:rPr>
        <w:t>0</w:t>
      </w:r>
      <w:r>
        <w:rPr>
          <w:rFonts w:hint="eastAsia" w:ascii="宋体" w:hAnsi="宋体" w:eastAsia="宋体" w:cs="宋体"/>
          <w:sz w:val="24"/>
        </w:rPr>
        <w:t>0dB</w:t>
      </w:r>
    </w:p>
    <w:p w14:paraId="53F81ABE">
      <w:pPr>
        <w:spacing w:line="360" w:lineRule="auto"/>
        <w:ind w:firstLine="482" w:firstLineChars="200"/>
        <w:rPr>
          <w:rFonts w:hint="eastAsia" w:ascii="宋体" w:hAnsi="宋体" w:eastAsia="宋体" w:cs="宋体"/>
          <w:b/>
          <w:bCs/>
          <w:sz w:val="24"/>
        </w:rPr>
      </w:pPr>
      <w:r>
        <w:rPr>
          <w:rFonts w:hint="eastAsia" w:ascii="宋体" w:hAnsi="宋体" w:cs="宋体"/>
          <w:b/>
          <w:bCs/>
          <w:sz w:val="24"/>
          <w:lang w:eastAsia="zh-CN"/>
        </w:rPr>
        <w:t>3</w:t>
      </w:r>
      <w:r>
        <w:rPr>
          <w:rFonts w:hint="eastAsia" w:ascii="宋体" w:hAnsi="宋体" w:eastAsia="宋体" w:cs="宋体"/>
          <w:b/>
          <w:bCs/>
          <w:sz w:val="24"/>
        </w:rPr>
        <w:t>.1.</w:t>
      </w:r>
      <w:r>
        <w:rPr>
          <w:rFonts w:hint="eastAsia" w:ascii="宋体" w:hAnsi="宋体" w:eastAsia="宋体" w:cs="宋体"/>
          <w:b/>
          <w:bCs/>
          <w:sz w:val="24"/>
          <w:lang w:val="en-US" w:eastAsia="zh-CN"/>
        </w:rPr>
        <w:t>6</w:t>
      </w:r>
      <w:r>
        <w:rPr>
          <w:rFonts w:hint="eastAsia" w:ascii="宋体" w:hAnsi="宋体" w:eastAsia="宋体" w:cs="宋体"/>
          <w:b/>
          <w:bCs/>
          <w:sz w:val="24"/>
        </w:rPr>
        <w:tab/>
      </w:r>
      <w:r>
        <w:rPr>
          <w:rFonts w:hint="eastAsia" w:ascii="宋体" w:hAnsi="宋体" w:eastAsia="宋体" w:cs="宋体"/>
          <w:b/>
          <w:bCs/>
          <w:sz w:val="24"/>
        </w:rPr>
        <w:t>探头规格：</w:t>
      </w:r>
    </w:p>
    <w:p w14:paraId="6F4DA002">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3</w:t>
      </w: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.1</w:t>
      </w:r>
      <w:r>
        <w:rPr>
          <w:rFonts w:hint="eastAsia" w:ascii="宋体" w:hAnsi="宋体" w:cs="宋体"/>
          <w:sz w:val="24"/>
          <w:lang w:val="en-US" w:eastAsia="zh-CN"/>
        </w:rPr>
        <w:t xml:space="preserve">  </w:t>
      </w:r>
      <w:r>
        <w:rPr>
          <w:rFonts w:hint="eastAsia" w:ascii="宋体" w:hAnsi="宋体" w:eastAsia="宋体" w:cs="宋体"/>
          <w:sz w:val="24"/>
        </w:rPr>
        <w:t>系统支持探头频率范围1</w:t>
      </w:r>
      <w:r>
        <w:rPr>
          <w:rFonts w:hint="eastAsia" w:ascii="宋体" w:hAnsi="宋体" w:cs="宋体"/>
          <w:sz w:val="24"/>
          <w:lang w:val="en-US" w:eastAsia="zh-CN"/>
        </w:rPr>
        <w:t>-</w:t>
      </w:r>
      <w:r>
        <w:rPr>
          <w:rFonts w:hint="eastAsia" w:ascii="宋体" w:hAnsi="宋体" w:eastAsia="宋体" w:cs="宋体"/>
          <w:sz w:val="24"/>
        </w:rPr>
        <w:t>24MHz</w:t>
      </w:r>
      <w:r>
        <w:rPr>
          <w:rFonts w:hint="eastAsia" w:ascii="宋体" w:hAnsi="宋体" w:eastAsia="宋体" w:cs="宋体"/>
          <w:sz w:val="24"/>
        </w:rPr>
        <w:tab/>
      </w:r>
    </w:p>
    <w:p w14:paraId="56C574B6">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.2</w:t>
      </w:r>
      <w:r>
        <w:rPr>
          <w:rFonts w:hint="eastAsia" w:ascii="宋体" w:hAnsi="宋体" w:cs="宋体"/>
          <w:sz w:val="24"/>
          <w:lang w:val="en-US" w:eastAsia="zh-CN"/>
        </w:rPr>
        <w:t xml:space="preserve">  </w:t>
      </w:r>
      <w:r>
        <w:rPr>
          <w:rFonts w:hint="eastAsia" w:ascii="宋体" w:hAnsi="宋体" w:eastAsia="宋体" w:cs="宋体"/>
          <w:sz w:val="24"/>
          <w:lang w:val="en-US" w:eastAsia="zh-CN"/>
        </w:rPr>
        <w:t>探头</w:t>
      </w:r>
      <w:r>
        <w:rPr>
          <w:rFonts w:hint="eastAsia" w:ascii="宋体" w:hAnsi="宋体" w:eastAsia="宋体" w:cs="宋体"/>
          <w:sz w:val="24"/>
        </w:rPr>
        <w:t>配置包括凸阵、线阵、相控阵</w:t>
      </w:r>
      <w:r>
        <w:rPr>
          <w:rFonts w:hint="eastAsia" w:ascii="宋体" w:hAnsi="宋体" w:cs="宋体"/>
          <w:sz w:val="24"/>
          <w:lang w:eastAsia="zh-CN"/>
        </w:rPr>
        <w:t>。</w:t>
      </w:r>
    </w:p>
    <w:p w14:paraId="03C29B99">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w:t>
      </w:r>
      <w:r>
        <w:rPr>
          <w:rFonts w:hint="eastAsia" w:ascii="宋体" w:hAnsi="宋体" w:cs="宋体"/>
          <w:sz w:val="24"/>
          <w:lang w:eastAsia="zh-CN"/>
        </w:rPr>
        <w:t>3</w:t>
      </w: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ab/>
      </w:r>
      <w:r>
        <w:rPr>
          <w:rFonts w:hint="eastAsia" w:ascii="宋体" w:hAnsi="宋体" w:eastAsia="宋体" w:cs="宋体"/>
          <w:sz w:val="24"/>
          <w:lang w:val="en-US"/>
        </w:rPr>
        <w:t>所配</w:t>
      </w:r>
      <w:r>
        <w:rPr>
          <w:rFonts w:hint="eastAsia" w:ascii="宋体" w:hAnsi="宋体" w:eastAsia="宋体" w:cs="宋体"/>
          <w:sz w:val="24"/>
        </w:rPr>
        <w:t>探头</w:t>
      </w:r>
      <w:r>
        <w:rPr>
          <w:rFonts w:hint="eastAsia" w:ascii="宋体" w:hAnsi="宋体" w:eastAsia="宋体" w:cs="宋体"/>
          <w:sz w:val="24"/>
          <w:lang w:val="en-US"/>
        </w:rPr>
        <w:t>均支持</w:t>
      </w:r>
      <w:r>
        <w:rPr>
          <w:rFonts w:hint="eastAsia" w:ascii="宋体" w:hAnsi="宋体" w:eastAsia="宋体" w:cs="宋体"/>
          <w:sz w:val="24"/>
        </w:rPr>
        <w:t>单晶体</w:t>
      </w:r>
    </w:p>
    <w:p w14:paraId="22C77694">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w:t>
      </w:r>
      <w:r>
        <w:rPr>
          <w:rFonts w:hint="eastAsia" w:ascii="宋体" w:hAnsi="宋体" w:eastAsia="宋体" w:cs="宋体"/>
          <w:sz w:val="24"/>
          <w:lang w:val="en-US"/>
        </w:rPr>
        <w:t xml:space="preserve">4 </w:t>
      </w:r>
      <w:r>
        <w:rPr>
          <w:rFonts w:hint="eastAsia" w:ascii="宋体" w:hAnsi="宋体" w:cs="宋体"/>
          <w:sz w:val="24"/>
          <w:lang w:val="en-US" w:eastAsia="zh-CN"/>
        </w:rPr>
        <w:t xml:space="preserve">  </w:t>
      </w:r>
      <w:r>
        <w:rPr>
          <w:rFonts w:hint="eastAsia" w:ascii="宋体" w:hAnsi="宋体" w:eastAsia="宋体" w:cs="宋体"/>
          <w:sz w:val="24"/>
        </w:rPr>
        <w:t>所有成像探头均为宽频变频探头，二维、谐波、彩色多普勒频率独立可调</w:t>
      </w:r>
      <w:r>
        <w:rPr>
          <w:rFonts w:hint="eastAsia" w:ascii="宋体" w:hAnsi="宋体" w:cs="宋体"/>
          <w:sz w:val="24"/>
          <w:lang w:eastAsia="zh-CN"/>
        </w:rPr>
        <w:t>。</w:t>
      </w:r>
    </w:p>
    <w:p w14:paraId="3BCEB621">
      <w:pPr>
        <w:spacing w:line="360" w:lineRule="auto"/>
        <w:ind w:firstLine="482" w:firstLineChars="200"/>
        <w:rPr>
          <w:rFonts w:hint="eastAsia" w:ascii="宋体" w:hAnsi="宋体" w:eastAsia="宋体" w:cs="宋体"/>
          <w:b/>
          <w:bCs/>
          <w:sz w:val="24"/>
        </w:rPr>
      </w:pPr>
      <w:r>
        <w:rPr>
          <w:rFonts w:hint="eastAsia" w:ascii="宋体" w:hAnsi="宋体" w:cs="宋体"/>
          <w:b/>
          <w:bCs/>
          <w:sz w:val="24"/>
          <w:lang w:eastAsia="zh-CN"/>
        </w:rPr>
        <w:t>3</w:t>
      </w:r>
      <w:r>
        <w:rPr>
          <w:rFonts w:hint="eastAsia" w:ascii="宋体" w:hAnsi="宋体" w:eastAsia="宋体" w:cs="宋体"/>
          <w:b/>
          <w:bCs/>
          <w:sz w:val="24"/>
        </w:rPr>
        <w:t>.1.</w:t>
      </w:r>
      <w:r>
        <w:rPr>
          <w:rFonts w:hint="eastAsia" w:ascii="宋体" w:hAnsi="宋体" w:eastAsia="宋体" w:cs="宋体"/>
          <w:b/>
          <w:bCs/>
          <w:sz w:val="24"/>
          <w:lang w:val="en-US" w:eastAsia="zh-CN"/>
        </w:rPr>
        <w:t>7</w:t>
      </w:r>
      <w:r>
        <w:rPr>
          <w:rFonts w:hint="eastAsia" w:ascii="宋体" w:hAnsi="宋体" w:eastAsia="宋体" w:cs="宋体"/>
          <w:b/>
          <w:bCs/>
          <w:sz w:val="24"/>
        </w:rPr>
        <w:tab/>
      </w:r>
      <w:r>
        <w:rPr>
          <w:rFonts w:hint="eastAsia" w:ascii="宋体" w:hAnsi="宋体" w:eastAsia="宋体" w:cs="宋体"/>
          <w:b/>
          <w:bCs/>
          <w:sz w:val="24"/>
          <w:lang w:val="en-US" w:eastAsia="zh-CN"/>
        </w:rPr>
        <w:t>配置</w:t>
      </w:r>
      <w:r>
        <w:rPr>
          <w:rFonts w:hint="eastAsia" w:ascii="宋体" w:hAnsi="宋体" w:eastAsia="宋体" w:cs="宋体"/>
          <w:b/>
          <w:bCs/>
          <w:sz w:val="24"/>
        </w:rPr>
        <w:t>探头</w:t>
      </w:r>
    </w:p>
    <w:p w14:paraId="528C8B46">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eastAsia="zh-CN"/>
        </w:rPr>
        <w:t>3</w:t>
      </w:r>
      <w:r>
        <w:rPr>
          <w:rFonts w:hint="eastAsia" w:ascii="宋体" w:hAnsi="宋体" w:eastAsia="宋体" w:cs="宋体"/>
          <w:color w:val="auto"/>
          <w:sz w:val="24"/>
        </w:rPr>
        <w:t>.1.</w:t>
      </w:r>
      <w:r>
        <w:rPr>
          <w:rFonts w:hint="eastAsia" w:ascii="宋体" w:hAnsi="宋体" w:cs="宋体"/>
          <w:color w:val="auto"/>
          <w:sz w:val="24"/>
          <w:lang w:val="en-US" w:eastAsia="zh-CN"/>
        </w:rPr>
        <w:t>7</w:t>
      </w:r>
      <w:r>
        <w:rPr>
          <w:rFonts w:hint="eastAsia" w:ascii="宋体" w:hAnsi="宋体" w:eastAsia="宋体" w:cs="宋体"/>
          <w:color w:val="auto"/>
          <w:sz w:val="24"/>
        </w:rPr>
        <w:t>.1</w:t>
      </w:r>
      <w:r>
        <w:rPr>
          <w:rFonts w:hint="eastAsia" w:ascii="宋体" w:hAnsi="宋体" w:cs="宋体"/>
          <w:color w:val="auto"/>
          <w:sz w:val="24"/>
          <w:lang w:val="en-US" w:eastAsia="zh-CN"/>
        </w:rPr>
        <w:t xml:space="preserve">  </w:t>
      </w:r>
      <w:r>
        <w:rPr>
          <w:rFonts w:hint="eastAsia" w:ascii="宋体" w:hAnsi="宋体" w:eastAsia="宋体" w:cs="宋体"/>
          <w:color w:val="auto"/>
          <w:sz w:val="24"/>
        </w:rPr>
        <w:t>成人腹部凸阵探头:成像频率范围</w:t>
      </w:r>
      <w:r>
        <w:rPr>
          <w:rFonts w:hint="eastAsia" w:ascii="宋体" w:hAnsi="宋体" w:cs="宋体"/>
          <w:color w:val="auto"/>
          <w:sz w:val="24"/>
          <w:lang w:val="en-US" w:eastAsia="zh-CN"/>
        </w:rPr>
        <w:t>约</w:t>
      </w:r>
      <w:r>
        <w:rPr>
          <w:rFonts w:hint="eastAsia" w:ascii="宋体" w:hAnsi="宋体" w:eastAsia="宋体" w:cs="宋体"/>
          <w:color w:val="auto"/>
          <w:sz w:val="24"/>
        </w:rPr>
        <w:t>1-</w:t>
      </w:r>
      <w:r>
        <w:rPr>
          <w:rFonts w:hint="eastAsia" w:ascii="宋体" w:hAnsi="宋体" w:eastAsia="宋体" w:cs="宋体"/>
          <w:color w:val="auto"/>
          <w:sz w:val="24"/>
          <w:lang w:val="en-US" w:eastAsia="zh-CN"/>
        </w:rPr>
        <w:t>6</w:t>
      </w:r>
      <w:r>
        <w:rPr>
          <w:rFonts w:hint="eastAsia" w:ascii="宋体" w:hAnsi="宋体" w:eastAsia="宋体" w:cs="宋体"/>
          <w:color w:val="auto"/>
          <w:sz w:val="24"/>
        </w:rPr>
        <w:t>MHz</w:t>
      </w:r>
      <w:r>
        <w:rPr>
          <w:rFonts w:hint="eastAsia" w:ascii="宋体" w:hAnsi="宋体" w:cs="宋体"/>
          <w:color w:val="auto"/>
          <w:sz w:val="24"/>
          <w:lang w:eastAsia="zh-CN"/>
        </w:rPr>
        <w:t>。</w:t>
      </w:r>
    </w:p>
    <w:p w14:paraId="19324FCE">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eastAsia="zh-CN"/>
        </w:rPr>
        <w:t>3</w:t>
      </w:r>
      <w:r>
        <w:rPr>
          <w:rFonts w:hint="eastAsia" w:ascii="宋体" w:hAnsi="宋体" w:eastAsia="宋体" w:cs="宋体"/>
          <w:color w:val="auto"/>
          <w:sz w:val="24"/>
        </w:rPr>
        <w:t>.1.</w:t>
      </w:r>
      <w:r>
        <w:rPr>
          <w:rFonts w:hint="eastAsia" w:ascii="宋体" w:hAnsi="宋体" w:cs="宋体"/>
          <w:color w:val="auto"/>
          <w:sz w:val="24"/>
          <w:lang w:val="en-US" w:eastAsia="zh-CN"/>
        </w:rPr>
        <w:t>7</w:t>
      </w:r>
      <w:r>
        <w:rPr>
          <w:rFonts w:hint="eastAsia" w:ascii="宋体" w:hAnsi="宋体" w:eastAsia="宋体" w:cs="宋体"/>
          <w:color w:val="auto"/>
          <w:sz w:val="24"/>
        </w:rPr>
        <w:t>.2</w:t>
      </w:r>
      <w:r>
        <w:rPr>
          <w:rFonts w:hint="eastAsia" w:ascii="宋体" w:hAnsi="宋体" w:cs="宋体"/>
          <w:color w:val="auto"/>
          <w:sz w:val="24"/>
          <w:lang w:val="en-US" w:eastAsia="zh-CN"/>
        </w:rPr>
        <w:t xml:space="preserve">  </w:t>
      </w:r>
      <w:r>
        <w:rPr>
          <w:rFonts w:hint="eastAsia" w:ascii="宋体" w:hAnsi="宋体" w:eastAsia="宋体" w:cs="宋体"/>
          <w:color w:val="auto"/>
          <w:sz w:val="24"/>
        </w:rPr>
        <w:t>高频线阵探头:成像频率范围</w:t>
      </w:r>
      <w:r>
        <w:rPr>
          <w:rFonts w:hint="eastAsia" w:ascii="宋体" w:hAnsi="宋体" w:cs="宋体"/>
          <w:color w:val="auto"/>
          <w:sz w:val="24"/>
          <w:lang w:val="en-US" w:eastAsia="zh-CN"/>
        </w:rPr>
        <w:t>约3</w:t>
      </w:r>
      <w:r>
        <w:rPr>
          <w:rFonts w:hint="eastAsia" w:ascii="宋体" w:hAnsi="宋体" w:eastAsia="宋体" w:cs="宋体"/>
          <w:color w:val="auto"/>
          <w:sz w:val="24"/>
        </w:rPr>
        <w:t>-</w:t>
      </w:r>
      <w:r>
        <w:rPr>
          <w:rFonts w:hint="eastAsia" w:ascii="宋体" w:hAnsi="宋体" w:cs="宋体"/>
          <w:color w:val="auto"/>
          <w:sz w:val="24"/>
          <w:lang w:val="en-US" w:eastAsia="zh-CN"/>
        </w:rPr>
        <w:t>10</w:t>
      </w:r>
      <w:r>
        <w:rPr>
          <w:rFonts w:hint="eastAsia" w:ascii="宋体" w:hAnsi="宋体" w:eastAsia="宋体" w:cs="宋体"/>
          <w:color w:val="auto"/>
          <w:sz w:val="24"/>
        </w:rPr>
        <w:t>MHz</w:t>
      </w:r>
      <w:r>
        <w:rPr>
          <w:rFonts w:hint="eastAsia" w:ascii="宋体" w:hAnsi="宋体" w:cs="宋体"/>
          <w:color w:val="auto"/>
          <w:sz w:val="24"/>
          <w:lang w:eastAsia="zh-CN"/>
        </w:rPr>
        <w:t>。</w:t>
      </w:r>
    </w:p>
    <w:p w14:paraId="79177B96">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eastAsia="zh-CN"/>
        </w:rPr>
        <w:t>3</w:t>
      </w:r>
      <w:r>
        <w:rPr>
          <w:rFonts w:hint="eastAsia" w:ascii="宋体" w:hAnsi="宋体" w:eastAsia="宋体" w:cs="宋体"/>
          <w:color w:val="auto"/>
          <w:sz w:val="24"/>
        </w:rPr>
        <w:t>.1.</w:t>
      </w:r>
      <w:r>
        <w:rPr>
          <w:rFonts w:hint="eastAsia" w:ascii="宋体" w:hAnsi="宋体" w:cs="宋体"/>
          <w:color w:val="auto"/>
          <w:sz w:val="24"/>
          <w:lang w:val="en-US" w:eastAsia="zh-CN"/>
        </w:rPr>
        <w:t>7</w:t>
      </w:r>
      <w:r>
        <w:rPr>
          <w:rFonts w:hint="eastAsia" w:ascii="宋体" w:hAnsi="宋体" w:eastAsia="宋体" w:cs="宋体"/>
          <w:color w:val="auto"/>
          <w:sz w:val="24"/>
        </w:rPr>
        <w:t>.3</w:t>
      </w:r>
      <w:r>
        <w:rPr>
          <w:rFonts w:hint="eastAsia" w:ascii="宋体" w:hAnsi="宋体" w:cs="宋体"/>
          <w:color w:val="auto"/>
          <w:sz w:val="24"/>
          <w:lang w:val="en-US" w:eastAsia="zh-CN"/>
        </w:rPr>
        <w:t xml:space="preserve">  </w:t>
      </w:r>
      <w:r>
        <w:rPr>
          <w:rFonts w:hint="eastAsia" w:ascii="宋体" w:hAnsi="宋体" w:eastAsia="宋体" w:cs="宋体"/>
          <w:color w:val="auto"/>
          <w:sz w:val="24"/>
        </w:rPr>
        <w:t>线阵探头:成像频率范围</w:t>
      </w:r>
      <w:r>
        <w:rPr>
          <w:rFonts w:hint="eastAsia" w:ascii="宋体" w:hAnsi="宋体" w:cs="宋体"/>
          <w:color w:val="auto"/>
          <w:sz w:val="24"/>
          <w:lang w:val="en-US" w:eastAsia="zh-CN"/>
        </w:rPr>
        <w:t>约</w:t>
      </w:r>
      <w:r>
        <w:rPr>
          <w:rFonts w:hint="eastAsia" w:ascii="宋体" w:hAnsi="宋体" w:eastAsia="宋体" w:cs="宋体"/>
          <w:color w:val="auto"/>
          <w:sz w:val="24"/>
        </w:rPr>
        <w:t>3-1</w:t>
      </w:r>
      <w:r>
        <w:rPr>
          <w:rFonts w:hint="eastAsia" w:ascii="宋体" w:hAnsi="宋体" w:eastAsia="宋体" w:cs="宋体"/>
          <w:color w:val="auto"/>
          <w:sz w:val="24"/>
          <w:lang w:val="en-US" w:eastAsia="zh-CN"/>
        </w:rPr>
        <w:t>5</w:t>
      </w:r>
      <w:r>
        <w:rPr>
          <w:rFonts w:hint="eastAsia" w:ascii="宋体" w:hAnsi="宋体" w:cs="宋体"/>
          <w:color w:val="auto"/>
          <w:sz w:val="24"/>
          <w:lang w:val="en-US" w:eastAsia="zh-CN"/>
        </w:rPr>
        <w:t xml:space="preserve"> </w:t>
      </w:r>
      <w:r>
        <w:rPr>
          <w:rFonts w:hint="eastAsia" w:ascii="宋体" w:hAnsi="宋体" w:eastAsia="宋体" w:cs="宋体"/>
          <w:color w:val="auto"/>
          <w:sz w:val="24"/>
        </w:rPr>
        <w:t>MHz</w:t>
      </w:r>
      <w:r>
        <w:rPr>
          <w:rFonts w:hint="eastAsia" w:ascii="宋体" w:hAnsi="宋体" w:cs="宋体"/>
          <w:color w:val="auto"/>
          <w:sz w:val="24"/>
          <w:lang w:eastAsia="zh-CN"/>
        </w:rPr>
        <w:t>。</w:t>
      </w:r>
    </w:p>
    <w:p w14:paraId="0E3C1E9F">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eastAsia="zh-CN"/>
        </w:rPr>
        <w:t>3</w:t>
      </w:r>
      <w:r>
        <w:rPr>
          <w:rFonts w:hint="eastAsia" w:ascii="宋体" w:hAnsi="宋体" w:eastAsia="宋体" w:cs="宋体"/>
          <w:color w:val="auto"/>
          <w:sz w:val="24"/>
        </w:rPr>
        <w:t>.1.</w:t>
      </w:r>
      <w:r>
        <w:rPr>
          <w:rFonts w:hint="eastAsia" w:ascii="宋体" w:hAnsi="宋体" w:cs="宋体"/>
          <w:color w:val="auto"/>
          <w:sz w:val="24"/>
          <w:lang w:val="en-US" w:eastAsia="zh-CN"/>
        </w:rPr>
        <w:t>7</w:t>
      </w:r>
      <w:r>
        <w:rPr>
          <w:rFonts w:hint="eastAsia" w:ascii="宋体" w:hAnsi="宋体" w:eastAsia="宋体" w:cs="宋体"/>
          <w:color w:val="auto"/>
          <w:sz w:val="24"/>
        </w:rPr>
        <w:t>.4</w:t>
      </w:r>
      <w:r>
        <w:rPr>
          <w:rFonts w:hint="eastAsia" w:ascii="宋体" w:hAnsi="宋体" w:cs="宋体"/>
          <w:color w:val="auto"/>
          <w:sz w:val="24"/>
          <w:lang w:val="en-US" w:eastAsia="zh-CN"/>
        </w:rPr>
        <w:t xml:space="preserve">  </w:t>
      </w:r>
      <w:r>
        <w:rPr>
          <w:rFonts w:hint="eastAsia" w:ascii="宋体" w:hAnsi="宋体" w:eastAsia="宋体" w:cs="宋体"/>
          <w:color w:val="auto"/>
          <w:sz w:val="24"/>
        </w:rPr>
        <w:t>相控阵心脏探头:成像频率范围</w:t>
      </w:r>
      <w:r>
        <w:rPr>
          <w:rFonts w:hint="eastAsia" w:ascii="宋体" w:hAnsi="宋体" w:cs="宋体"/>
          <w:color w:val="auto"/>
          <w:sz w:val="24"/>
          <w:lang w:val="en-US" w:eastAsia="zh-CN"/>
        </w:rPr>
        <w:t>约</w:t>
      </w:r>
      <w:r>
        <w:rPr>
          <w:rFonts w:hint="eastAsia" w:ascii="宋体" w:hAnsi="宋体" w:eastAsia="宋体" w:cs="宋体"/>
          <w:color w:val="auto"/>
          <w:sz w:val="24"/>
        </w:rPr>
        <w:t>1-5MHz，扫描角度≥120°</w:t>
      </w:r>
      <w:r>
        <w:rPr>
          <w:rFonts w:hint="eastAsia" w:ascii="宋体" w:hAnsi="宋体" w:cs="宋体"/>
          <w:color w:val="auto"/>
          <w:sz w:val="24"/>
          <w:lang w:eastAsia="zh-CN"/>
        </w:rPr>
        <w:t>。</w:t>
      </w:r>
    </w:p>
    <w:p w14:paraId="55D28E2B">
      <w:pPr>
        <w:spacing w:line="360" w:lineRule="auto"/>
        <w:ind w:firstLine="480" w:firstLineChars="200"/>
        <w:jc w:val="both"/>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lang w:val="en-US"/>
        </w:rPr>
        <w:t>.1.</w:t>
      </w:r>
      <w:r>
        <w:rPr>
          <w:rFonts w:hint="eastAsia" w:ascii="宋体" w:hAnsi="宋体" w:cs="宋体"/>
          <w:color w:val="auto"/>
          <w:sz w:val="24"/>
          <w:lang w:val="en-US" w:eastAsia="zh-CN"/>
        </w:rPr>
        <w:t>7</w:t>
      </w:r>
      <w:r>
        <w:rPr>
          <w:rFonts w:hint="eastAsia" w:ascii="宋体" w:hAnsi="宋体" w:eastAsia="宋体" w:cs="宋体"/>
          <w:color w:val="auto"/>
          <w:sz w:val="24"/>
          <w:lang w:val="en-US"/>
        </w:rPr>
        <w:t>.</w:t>
      </w:r>
      <w:r>
        <w:rPr>
          <w:rFonts w:hint="eastAsia" w:ascii="宋体" w:hAnsi="宋体" w:cs="宋体"/>
          <w:color w:val="auto"/>
          <w:sz w:val="24"/>
          <w:lang w:val="en-US" w:eastAsia="zh-CN"/>
        </w:rPr>
        <w:t xml:space="preserve">5  </w:t>
      </w:r>
      <w:r>
        <w:rPr>
          <w:rFonts w:hint="eastAsia" w:ascii="宋体" w:hAnsi="宋体" w:eastAsia="宋体" w:cs="宋体"/>
          <w:b w:val="0"/>
          <w:bCs w:val="0"/>
          <w:i w:val="0"/>
          <w:iCs w:val="0"/>
          <w:color w:val="auto"/>
          <w:kern w:val="2"/>
          <w:sz w:val="24"/>
          <w:szCs w:val="24"/>
          <w:highlight w:val="none"/>
          <w:vertAlign w:val="baseline"/>
          <w:lang w:val="en-US" w:eastAsia="zh-CN" w:bidi="ar-SA"/>
        </w:rPr>
        <w:t>高频线阵探头:成像频率范围</w:t>
      </w:r>
      <w:r>
        <w:rPr>
          <w:rFonts w:hint="eastAsia" w:ascii="宋体" w:hAnsi="宋体" w:cs="宋体"/>
          <w:color w:val="auto"/>
          <w:sz w:val="24"/>
          <w:lang w:val="en-US" w:eastAsia="zh-CN"/>
        </w:rPr>
        <w:t>约</w:t>
      </w:r>
      <w:r>
        <w:rPr>
          <w:rFonts w:hint="eastAsia" w:ascii="宋体" w:hAnsi="宋体" w:cs="宋体"/>
          <w:b w:val="0"/>
          <w:bCs w:val="0"/>
          <w:i w:val="0"/>
          <w:iCs w:val="0"/>
          <w:color w:val="auto"/>
          <w:kern w:val="2"/>
          <w:sz w:val="24"/>
          <w:szCs w:val="24"/>
          <w:highlight w:val="none"/>
          <w:vertAlign w:val="baseline"/>
          <w:lang w:val="en-US" w:eastAsia="zh-CN" w:bidi="ar-SA"/>
        </w:rPr>
        <w:t>2</w:t>
      </w:r>
      <w:r>
        <w:rPr>
          <w:rFonts w:hint="eastAsia" w:ascii="宋体" w:hAnsi="宋体" w:eastAsia="宋体" w:cs="宋体"/>
          <w:b w:val="0"/>
          <w:bCs w:val="0"/>
          <w:i w:val="0"/>
          <w:iCs w:val="0"/>
          <w:color w:val="auto"/>
          <w:kern w:val="2"/>
          <w:sz w:val="24"/>
          <w:szCs w:val="24"/>
          <w:highlight w:val="none"/>
          <w:vertAlign w:val="baseline"/>
          <w:lang w:val="en-US" w:eastAsia="zh-CN" w:bidi="ar-SA"/>
        </w:rPr>
        <w:t>-20MHz</w:t>
      </w:r>
      <w:r>
        <w:rPr>
          <w:rFonts w:hint="eastAsia" w:ascii="宋体" w:hAnsi="宋体" w:cs="宋体"/>
          <w:b w:val="0"/>
          <w:bCs w:val="0"/>
          <w:i w:val="0"/>
          <w:iCs w:val="0"/>
          <w:color w:val="auto"/>
          <w:kern w:val="2"/>
          <w:sz w:val="24"/>
          <w:szCs w:val="24"/>
          <w:highlight w:val="none"/>
          <w:vertAlign w:val="baseline"/>
          <w:lang w:val="en-US" w:eastAsia="zh-CN" w:bidi="ar-SA"/>
        </w:rPr>
        <w:t>。</w:t>
      </w:r>
    </w:p>
    <w:p w14:paraId="30D80027">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.1.</w:t>
      </w:r>
      <w:r>
        <w:rPr>
          <w:rFonts w:hint="eastAsia" w:ascii="宋体" w:hAnsi="宋体" w:cs="宋体"/>
          <w:sz w:val="24"/>
          <w:lang w:val="en-US" w:eastAsia="zh-CN"/>
        </w:rPr>
        <w:t xml:space="preserve">8  </w:t>
      </w:r>
      <w:r>
        <w:rPr>
          <w:rFonts w:hint="eastAsia" w:ascii="宋体" w:hAnsi="宋体" w:eastAsia="宋体" w:cs="宋体"/>
          <w:sz w:val="24"/>
        </w:rPr>
        <w:t>组织谐波成像:可用于全部成像探头、成像频率可视可调</w:t>
      </w:r>
      <w:r>
        <w:rPr>
          <w:rFonts w:hint="eastAsia" w:ascii="宋体" w:hAnsi="宋体" w:cs="宋体"/>
          <w:sz w:val="24"/>
          <w:lang w:eastAsia="zh-CN"/>
        </w:rPr>
        <w:t>。</w:t>
      </w:r>
    </w:p>
    <w:p w14:paraId="61CCD6B2">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.1.</w:t>
      </w:r>
      <w:r>
        <w:rPr>
          <w:rFonts w:hint="eastAsia" w:ascii="宋体" w:hAnsi="宋体" w:cs="宋体"/>
          <w:sz w:val="24"/>
          <w:lang w:val="en-US" w:eastAsia="zh-CN"/>
        </w:rPr>
        <w:t xml:space="preserve">9  </w:t>
      </w:r>
      <w:r>
        <w:rPr>
          <w:rFonts w:hint="eastAsia" w:ascii="宋体" w:hAnsi="宋体" w:eastAsia="宋体" w:cs="宋体"/>
          <w:sz w:val="24"/>
        </w:rPr>
        <w:t>穿刺导向:标配探头支持穿刺引导</w:t>
      </w:r>
      <w:r>
        <w:rPr>
          <w:rFonts w:hint="eastAsia" w:ascii="宋体" w:hAnsi="宋体" w:cs="宋体"/>
          <w:sz w:val="24"/>
          <w:lang w:eastAsia="zh-CN"/>
        </w:rPr>
        <w:t>。</w:t>
      </w:r>
    </w:p>
    <w:p w14:paraId="4A05786F">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.1.1</w:t>
      </w:r>
      <w:r>
        <w:rPr>
          <w:rFonts w:hint="eastAsia" w:ascii="宋体" w:hAnsi="宋体" w:cs="宋体"/>
          <w:sz w:val="24"/>
          <w:lang w:val="en-US" w:eastAsia="zh-CN"/>
        </w:rPr>
        <w:t>0</w:t>
      </w:r>
      <w:r>
        <w:rPr>
          <w:rFonts w:hint="eastAsia" w:ascii="宋体" w:hAnsi="宋体" w:eastAsia="宋体" w:cs="宋体"/>
          <w:sz w:val="24"/>
        </w:rPr>
        <w:tab/>
      </w:r>
      <w:r>
        <w:rPr>
          <w:rFonts w:hint="eastAsia" w:ascii="宋体" w:hAnsi="宋体" w:cs="宋体"/>
          <w:sz w:val="24"/>
          <w:lang w:val="en-US" w:eastAsia="zh-CN"/>
        </w:rPr>
        <w:t xml:space="preserve">  </w:t>
      </w:r>
      <w:r>
        <w:rPr>
          <w:rFonts w:hint="eastAsia" w:ascii="宋体" w:hAnsi="宋体" w:eastAsia="宋体" w:cs="宋体"/>
          <w:sz w:val="24"/>
        </w:rPr>
        <w:t>预设条件:针对不同的检查脏器预置最佳化图像的检查条件</w:t>
      </w:r>
      <w:r>
        <w:rPr>
          <w:rFonts w:hint="eastAsia" w:ascii="宋体" w:hAnsi="宋体" w:cs="宋体"/>
          <w:sz w:val="24"/>
          <w:lang w:eastAsia="zh-CN"/>
        </w:rPr>
        <w:t>。</w:t>
      </w:r>
    </w:p>
    <w:p w14:paraId="2F4B02C0">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.1.1</w:t>
      </w:r>
      <w:r>
        <w:rPr>
          <w:rFonts w:hint="eastAsia" w:ascii="宋体" w:hAnsi="宋体" w:cs="宋体"/>
          <w:sz w:val="24"/>
          <w:lang w:val="en-US" w:eastAsia="zh-CN"/>
        </w:rPr>
        <w:t>1</w:t>
      </w:r>
      <w:r>
        <w:rPr>
          <w:rFonts w:hint="eastAsia" w:ascii="宋体" w:hAnsi="宋体" w:eastAsia="宋体" w:cs="宋体"/>
          <w:sz w:val="24"/>
        </w:rPr>
        <w:tab/>
      </w:r>
      <w:r>
        <w:rPr>
          <w:rFonts w:hint="eastAsia" w:ascii="宋体" w:hAnsi="宋体" w:cs="宋体"/>
          <w:sz w:val="24"/>
          <w:lang w:val="en-US" w:eastAsia="zh-CN"/>
        </w:rPr>
        <w:t xml:space="preserve">  </w:t>
      </w:r>
      <w:r>
        <w:rPr>
          <w:rFonts w:hint="eastAsia" w:ascii="宋体" w:hAnsi="宋体" w:eastAsia="宋体" w:cs="宋体"/>
          <w:sz w:val="24"/>
        </w:rPr>
        <w:t>用户个性化设置:支持用户个性化配置操作界面;支持基于不同临床场景和检查模式的个性化操作设置</w:t>
      </w:r>
      <w:r>
        <w:rPr>
          <w:rFonts w:hint="eastAsia" w:ascii="宋体" w:hAnsi="宋体" w:cs="宋体"/>
          <w:sz w:val="24"/>
          <w:lang w:eastAsia="zh-CN"/>
        </w:rPr>
        <w:t>。</w:t>
      </w:r>
    </w:p>
    <w:p w14:paraId="55901A3D">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.1.1</w:t>
      </w:r>
      <w:r>
        <w:rPr>
          <w:rFonts w:hint="eastAsia" w:ascii="宋体" w:hAnsi="宋体" w:cs="宋体"/>
          <w:sz w:val="24"/>
          <w:lang w:val="en-US" w:eastAsia="zh-CN"/>
        </w:rPr>
        <w:t>2</w:t>
      </w:r>
      <w:r>
        <w:rPr>
          <w:rFonts w:hint="eastAsia" w:ascii="宋体" w:hAnsi="宋体" w:eastAsia="宋体" w:cs="宋体"/>
          <w:sz w:val="24"/>
        </w:rPr>
        <w:tab/>
      </w:r>
      <w:r>
        <w:rPr>
          <w:rFonts w:hint="eastAsia" w:ascii="宋体" w:hAnsi="宋体" w:cs="宋体"/>
          <w:sz w:val="24"/>
          <w:lang w:val="en-US" w:eastAsia="zh-CN"/>
        </w:rPr>
        <w:t xml:space="preserve">  </w:t>
      </w:r>
      <w:r>
        <w:rPr>
          <w:rFonts w:hint="eastAsia" w:ascii="宋体" w:hAnsi="宋体" w:eastAsia="宋体" w:cs="宋体"/>
          <w:sz w:val="24"/>
        </w:rPr>
        <w:t>超声功率输出调节:B/M、PWD、Color Doppler输出功率可调</w:t>
      </w:r>
      <w:r>
        <w:rPr>
          <w:rFonts w:hint="eastAsia" w:ascii="宋体" w:hAnsi="宋体" w:cs="宋体"/>
          <w:sz w:val="24"/>
          <w:lang w:eastAsia="zh-CN"/>
        </w:rPr>
        <w:t>。</w:t>
      </w:r>
    </w:p>
    <w:p w14:paraId="597DAEBB">
      <w:pPr>
        <w:spacing w:line="360" w:lineRule="auto"/>
        <w:ind w:firstLine="482" w:firstLineChars="200"/>
        <w:rPr>
          <w:rFonts w:hint="eastAsia" w:ascii="宋体" w:hAnsi="宋体" w:eastAsia="宋体" w:cs="宋体"/>
          <w:b/>
          <w:bCs/>
          <w:sz w:val="24"/>
        </w:rPr>
      </w:pPr>
      <w:r>
        <w:rPr>
          <w:rFonts w:hint="eastAsia" w:ascii="宋体" w:hAnsi="宋体" w:cs="宋体"/>
          <w:b/>
          <w:bCs/>
          <w:sz w:val="24"/>
          <w:lang w:eastAsia="zh-CN"/>
        </w:rPr>
        <w:t>3</w:t>
      </w:r>
      <w:r>
        <w:rPr>
          <w:rFonts w:hint="eastAsia" w:ascii="宋体" w:hAnsi="宋体" w:eastAsia="宋体" w:cs="宋体"/>
          <w:b/>
          <w:bCs/>
          <w:sz w:val="24"/>
        </w:rPr>
        <w:t>.2</w:t>
      </w:r>
      <w:r>
        <w:rPr>
          <w:rFonts w:hint="eastAsia" w:ascii="宋体" w:hAnsi="宋体" w:eastAsia="宋体" w:cs="宋体"/>
          <w:b/>
          <w:bCs/>
          <w:sz w:val="24"/>
        </w:rPr>
        <w:tab/>
      </w:r>
      <w:r>
        <w:rPr>
          <w:rFonts w:hint="eastAsia" w:ascii="宋体" w:hAnsi="宋体" w:eastAsia="宋体" w:cs="宋体"/>
          <w:b/>
          <w:bCs/>
          <w:sz w:val="24"/>
        </w:rPr>
        <w:t>二维灰阶成像主要参数</w:t>
      </w:r>
    </w:p>
    <w:p w14:paraId="6964CDE6">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eastAsia="zh-CN"/>
        </w:rPr>
        <w:t>3</w:t>
      </w:r>
      <w:r>
        <w:rPr>
          <w:rFonts w:hint="eastAsia" w:ascii="宋体" w:hAnsi="宋体" w:eastAsia="宋体" w:cs="宋体"/>
          <w:sz w:val="24"/>
        </w:rPr>
        <w:t>.2.</w:t>
      </w:r>
      <w:r>
        <w:rPr>
          <w:rFonts w:hint="eastAsia" w:ascii="宋体" w:hAnsi="宋体" w:eastAsia="宋体" w:cs="宋体"/>
          <w:sz w:val="24"/>
          <w:lang w:val="en-US" w:eastAsia="zh-CN"/>
        </w:rPr>
        <w:t>2</w:t>
      </w:r>
      <w:r>
        <w:rPr>
          <w:rFonts w:hint="eastAsia" w:ascii="宋体" w:hAnsi="宋体" w:cs="宋体"/>
          <w:sz w:val="24"/>
          <w:lang w:val="en-US" w:eastAsia="zh-CN"/>
        </w:rPr>
        <w:t xml:space="preserve">  </w:t>
      </w:r>
      <w:r>
        <w:rPr>
          <w:rFonts w:hint="eastAsia" w:ascii="宋体" w:hAnsi="宋体" w:eastAsia="宋体" w:cs="宋体"/>
          <w:sz w:val="24"/>
        </w:rPr>
        <w:t>相控阵探头，18cm深度，扫描角度90，二维帧频≥60</w:t>
      </w:r>
      <w:r>
        <w:rPr>
          <w:rFonts w:hint="eastAsia" w:ascii="宋体" w:hAnsi="宋体" w:cs="宋体"/>
          <w:sz w:val="24"/>
          <w:lang w:val="en-US" w:eastAsia="zh-CN"/>
        </w:rPr>
        <w:t>fp/s。</w:t>
      </w:r>
    </w:p>
    <w:p w14:paraId="460B5ADE">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3</w:t>
      </w:r>
      <w:r>
        <w:rPr>
          <w:rFonts w:hint="eastAsia" w:ascii="宋体" w:hAnsi="宋体" w:eastAsia="宋体" w:cs="宋体"/>
          <w:sz w:val="24"/>
        </w:rPr>
        <w:t>.2.3</w:t>
      </w:r>
      <w:r>
        <w:rPr>
          <w:rFonts w:hint="eastAsia" w:ascii="宋体" w:hAnsi="宋体" w:eastAsia="宋体" w:cs="宋体"/>
          <w:sz w:val="24"/>
        </w:rPr>
        <w:tab/>
      </w:r>
      <w:r>
        <w:rPr>
          <w:rFonts w:hint="eastAsia" w:ascii="宋体" w:hAnsi="宋体" w:eastAsia="宋体" w:cs="宋体"/>
          <w:sz w:val="24"/>
        </w:rPr>
        <w:t>扫描深度≥45cm</w:t>
      </w:r>
    </w:p>
    <w:p w14:paraId="19A5E5F1">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.2.4</w:t>
      </w:r>
      <w:r>
        <w:rPr>
          <w:rFonts w:hint="eastAsia" w:ascii="宋体" w:hAnsi="宋体" w:eastAsia="宋体" w:cs="宋体"/>
          <w:sz w:val="24"/>
        </w:rPr>
        <w:tab/>
      </w:r>
      <w:r>
        <w:rPr>
          <w:rFonts w:hint="eastAsia" w:ascii="宋体" w:hAnsi="宋体" w:eastAsia="宋体" w:cs="宋体"/>
          <w:sz w:val="24"/>
        </w:rPr>
        <w:t>显示位置调整:线阵扫描感兴趣的图像范围:-20°</w:t>
      </w:r>
      <w:r>
        <w:rPr>
          <w:rFonts w:hint="eastAsia" w:ascii="微软雅黑" w:hAnsi="微软雅黑" w:eastAsia="微软雅黑" w:cs="微软雅黑"/>
          <w:sz w:val="24"/>
        </w:rPr>
        <w:t>～</w:t>
      </w:r>
      <w:r>
        <w:rPr>
          <w:rFonts w:hint="eastAsia" w:ascii="宋体" w:hAnsi="宋体" w:eastAsia="宋体" w:cs="宋体"/>
          <w:sz w:val="24"/>
        </w:rPr>
        <w:t>+20°</w:t>
      </w:r>
      <w:r>
        <w:rPr>
          <w:rFonts w:hint="eastAsia" w:ascii="宋体" w:hAnsi="宋体" w:cs="宋体"/>
          <w:sz w:val="24"/>
          <w:lang w:eastAsia="zh-CN"/>
        </w:rPr>
        <w:t>。</w:t>
      </w:r>
    </w:p>
    <w:p w14:paraId="06552920">
      <w:pPr>
        <w:spacing w:line="360" w:lineRule="auto"/>
        <w:ind w:firstLine="482" w:firstLineChars="200"/>
        <w:rPr>
          <w:rFonts w:hint="eastAsia" w:ascii="宋体" w:hAnsi="宋体" w:eastAsia="宋体" w:cs="宋体"/>
          <w:b/>
          <w:bCs/>
          <w:sz w:val="24"/>
        </w:rPr>
      </w:pPr>
      <w:r>
        <w:rPr>
          <w:rFonts w:hint="eastAsia" w:ascii="宋体" w:hAnsi="宋体" w:cs="宋体"/>
          <w:b/>
          <w:bCs/>
          <w:sz w:val="24"/>
          <w:lang w:eastAsia="zh-CN"/>
        </w:rPr>
        <w:t>3</w:t>
      </w:r>
      <w:r>
        <w:rPr>
          <w:rFonts w:hint="eastAsia" w:ascii="宋体" w:hAnsi="宋体" w:eastAsia="宋体" w:cs="宋体"/>
          <w:b/>
          <w:bCs/>
          <w:sz w:val="24"/>
        </w:rPr>
        <w:t>.2.5</w:t>
      </w:r>
      <w:r>
        <w:rPr>
          <w:rFonts w:hint="eastAsia" w:ascii="宋体" w:hAnsi="宋体" w:eastAsia="宋体" w:cs="宋体"/>
          <w:b/>
          <w:bCs/>
          <w:sz w:val="24"/>
        </w:rPr>
        <w:tab/>
      </w:r>
      <w:r>
        <w:rPr>
          <w:rFonts w:hint="eastAsia" w:ascii="宋体" w:hAnsi="宋体" w:eastAsia="宋体" w:cs="宋体"/>
          <w:b/>
          <w:bCs/>
          <w:sz w:val="24"/>
        </w:rPr>
        <w:t>增益调节：</w:t>
      </w:r>
    </w:p>
    <w:p w14:paraId="29DDF45F">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3</w:t>
      </w:r>
      <w:r>
        <w:rPr>
          <w:rFonts w:hint="eastAsia" w:ascii="宋体" w:hAnsi="宋体" w:eastAsia="宋体" w:cs="宋体"/>
          <w:sz w:val="24"/>
        </w:rPr>
        <w:t>.2.5.1</w:t>
      </w:r>
      <w:r>
        <w:rPr>
          <w:rFonts w:hint="eastAsia" w:ascii="宋体" w:hAnsi="宋体" w:cs="宋体"/>
          <w:sz w:val="24"/>
          <w:lang w:val="en-US" w:eastAsia="zh-CN"/>
        </w:rPr>
        <w:t xml:space="preserve">  </w:t>
      </w:r>
      <w:r>
        <w:rPr>
          <w:rFonts w:hint="eastAsia" w:ascii="宋体" w:hAnsi="宋体" w:eastAsia="宋体" w:cs="宋体"/>
          <w:sz w:val="24"/>
        </w:rPr>
        <w:t>B/M可独立调节，B增益可调</w:t>
      </w:r>
    </w:p>
    <w:p w14:paraId="3862C0D5">
      <w:pPr>
        <w:spacing w:line="360" w:lineRule="auto"/>
        <w:ind w:firstLine="480" w:firstLineChars="200"/>
        <w:rPr>
          <w:rFonts w:hint="eastAsia" w:ascii="宋体" w:hAnsi="宋体" w:eastAsia="宋体" w:cs="宋体"/>
          <w:color w:val="auto"/>
          <w:sz w:val="24"/>
          <w:lang w:eastAsia="zh-CN"/>
        </w:rPr>
      </w:pPr>
      <w:r>
        <w:rPr>
          <w:rFonts w:hint="eastAsia" w:ascii="宋体" w:hAnsi="宋体" w:cs="宋体"/>
          <w:sz w:val="24"/>
          <w:lang w:eastAsia="zh-CN"/>
        </w:rPr>
        <w:t>3</w:t>
      </w:r>
      <w:r>
        <w:rPr>
          <w:rFonts w:hint="eastAsia" w:ascii="宋体" w:hAnsi="宋体" w:eastAsia="宋体" w:cs="宋体"/>
          <w:sz w:val="24"/>
        </w:rPr>
        <w:t>.2.5.2</w:t>
      </w:r>
      <w:r>
        <w:rPr>
          <w:rFonts w:hint="eastAsia" w:ascii="宋体" w:hAnsi="宋体" w:cs="宋体"/>
          <w:sz w:val="24"/>
          <w:lang w:val="en-US" w:eastAsia="zh-CN"/>
        </w:rPr>
        <w:t xml:space="preserve">  </w:t>
      </w:r>
      <w:r>
        <w:rPr>
          <w:rFonts w:hint="eastAsia" w:ascii="宋体" w:hAnsi="宋体" w:eastAsia="宋体" w:cs="宋体"/>
          <w:sz w:val="24"/>
        </w:rPr>
        <w:t>TGC时间增益补偿分段≥8.LGC侧向增益补偿:8</w:t>
      </w:r>
      <w:r>
        <w:rPr>
          <w:rFonts w:hint="eastAsia" w:ascii="宋体" w:hAnsi="宋体" w:eastAsia="宋体" w:cs="宋体"/>
          <w:color w:val="auto"/>
          <w:sz w:val="24"/>
          <w:highlight w:val="none"/>
        </w:rPr>
        <w:t>段</w:t>
      </w:r>
      <w:r>
        <w:rPr>
          <w:rFonts w:hint="eastAsia" w:ascii="宋体" w:hAnsi="宋体" w:eastAsia="宋体" w:cs="宋体"/>
          <w:color w:val="auto"/>
          <w:sz w:val="24"/>
          <w:highlight w:val="none"/>
          <w:lang w:val="en-US"/>
        </w:rPr>
        <w:t>可视</w:t>
      </w:r>
      <w:r>
        <w:rPr>
          <w:rFonts w:hint="eastAsia" w:ascii="宋体" w:hAnsi="宋体" w:eastAsia="宋体" w:cs="宋体"/>
          <w:color w:val="auto"/>
          <w:sz w:val="24"/>
          <w:highlight w:val="none"/>
        </w:rPr>
        <w:t>可调</w:t>
      </w:r>
      <w:r>
        <w:rPr>
          <w:rFonts w:hint="eastAsia" w:ascii="宋体" w:hAnsi="宋体" w:cs="宋体"/>
          <w:color w:val="auto"/>
          <w:sz w:val="24"/>
          <w:highlight w:val="none"/>
          <w:lang w:eastAsia="zh-CN"/>
        </w:rPr>
        <w:t>。</w:t>
      </w:r>
    </w:p>
    <w:p w14:paraId="3B22EA7B">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3</w:t>
      </w:r>
      <w:r>
        <w:rPr>
          <w:rFonts w:hint="eastAsia" w:ascii="宋体" w:hAnsi="宋体" w:eastAsia="宋体" w:cs="宋体"/>
          <w:sz w:val="24"/>
        </w:rPr>
        <w:t>.2.6</w:t>
      </w:r>
      <w:r>
        <w:rPr>
          <w:rFonts w:hint="eastAsia" w:ascii="宋体" w:hAnsi="宋体" w:eastAsia="宋体" w:cs="宋体"/>
          <w:sz w:val="24"/>
        </w:rPr>
        <w:tab/>
      </w:r>
      <w:r>
        <w:rPr>
          <w:rFonts w:hint="eastAsia" w:ascii="宋体" w:hAnsi="宋体" w:eastAsia="宋体" w:cs="宋体"/>
          <w:sz w:val="24"/>
        </w:rPr>
        <w:t>回放重现:灰阶图像回放</w:t>
      </w:r>
    </w:p>
    <w:p w14:paraId="114AB298">
      <w:pPr>
        <w:spacing w:line="360" w:lineRule="auto"/>
        <w:ind w:firstLine="482" w:firstLineChars="200"/>
        <w:rPr>
          <w:rFonts w:hint="eastAsia" w:ascii="宋体" w:hAnsi="宋体" w:eastAsia="宋体" w:cs="宋体"/>
          <w:b/>
          <w:bCs/>
          <w:sz w:val="24"/>
        </w:rPr>
      </w:pPr>
      <w:r>
        <w:rPr>
          <w:rFonts w:hint="eastAsia" w:ascii="宋体" w:hAnsi="宋体" w:cs="宋体"/>
          <w:b/>
          <w:bCs/>
          <w:sz w:val="24"/>
          <w:lang w:eastAsia="zh-CN"/>
        </w:rPr>
        <w:t>3</w:t>
      </w:r>
      <w:r>
        <w:rPr>
          <w:rFonts w:hint="eastAsia" w:ascii="宋体" w:hAnsi="宋体" w:eastAsia="宋体" w:cs="宋体"/>
          <w:b/>
          <w:bCs/>
          <w:sz w:val="24"/>
        </w:rPr>
        <w:t>.3</w:t>
      </w:r>
      <w:r>
        <w:rPr>
          <w:rFonts w:hint="eastAsia" w:ascii="宋体" w:hAnsi="宋体" w:eastAsia="宋体" w:cs="宋体"/>
          <w:b/>
          <w:bCs/>
          <w:sz w:val="24"/>
        </w:rPr>
        <w:tab/>
      </w:r>
      <w:r>
        <w:rPr>
          <w:rFonts w:hint="eastAsia" w:ascii="宋体" w:hAnsi="宋体" w:eastAsia="宋体" w:cs="宋体"/>
          <w:b/>
          <w:bCs/>
          <w:sz w:val="24"/>
        </w:rPr>
        <w:t>彩色多普勒成像主要参数</w:t>
      </w:r>
    </w:p>
    <w:p w14:paraId="5E3C9683">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.3.1</w:t>
      </w:r>
      <w:r>
        <w:rPr>
          <w:rFonts w:hint="eastAsia" w:ascii="宋体" w:hAnsi="宋体" w:eastAsia="宋体" w:cs="宋体"/>
          <w:sz w:val="24"/>
        </w:rPr>
        <w:tab/>
      </w:r>
      <w:r>
        <w:rPr>
          <w:rFonts w:hint="eastAsia" w:ascii="宋体" w:hAnsi="宋体" w:eastAsia="宋体" w:cs="宋体"/>
          <w:sz w:val="24"/>
        </w:rPr>
        <w:t>显示方式:速度方差显示、能量显示，速度显示</w:t>
      </w:r>
      <w:r>
        <w:rPr>
          <w:rFonts w:hint="eastAsia" w:ascii="宋体" w:hAnsi="宋体" w:cs="宋体"/>
          <w:sz w:val="24"/>
          <w:lang w:eastAsia="zh-CN"/>
        </w:rPr>
        <w:t>。</w:t>
      </w:r>
    </w:p>
    <w:p w14:paraId="3227132A">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3</w:t>
      </w:r>
      <w:r>
        <w:rPr>
          <w:rFonts w:hint="eastAsia" w:ascii="宋体" w:hAnsi="宋体" w:eastAsia="宋体" w:cs="宋体"/>
          <w:sz w:val="24"/>
        </w:rPr>
        <w:t>.3.2</w:t>
      </w:r>
      <w:r>
        <w:rPr>
          <w:rFonts w:hint="eastAsia" w:ascii="宋体" w:hAnsi="宋体" w:eastAsia="宋体" w:cs="宋体"/>
          <w:sz w:val="24"/>
        </w:rPr>
        <w:tab/>
      </w:r>
      <w:r>
        <w:rPr>
          <w:rFonts w:hint="eastAsia" w:ascii="宋体" w:hAnsi="宋体" w:eastAsia="宋体" w:cs="宋体"/>
          <w:sz w:val="24"/>
        </w:rPr>
        <w:t>具有双同步/三同步显示(B/D/CFM）</w:t>
      </w:r>
    </w:p>
    <w:p w14:paraId="201C1C46">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3</w:t>
      </w:r>
      <w:r>
        <w:rPr>
          <w:rFonts w:hint="eastAsia" w:ascii="宋体" w:hAnsi="宋体" w:eastAsia="宋体" w:cs="宋体"/>
          <w:sz w:val="24"/>
        </w:rPr>
        <w:t>.3.3</w:t>
      </w:r>
      <w:r>
        <w:rPr>
          <w:rFonts w:hint="eastAsia" w:ascii="宋体" w:hAnsi="宋体" w:eastAsia="宋体" w:cs="宋体"/>
          <w:sz w:val="24"/>
        </w:rPr>
        <w:tab/>
      </w:r>
      <w:r>
        <w:rPr>
          <w:rFonts w:hint="eastAsia" w:ascii="宋体" w:hAnsi="宋体" w:eastAsia="宋体" w:cs="宋体"/>
          <w:sz w:val="24"/>
        </w:rPr>
        <w:t>彩色取样框偏转角度:-20°</w:t>
      </w:r>
      <w:r>
        <w:rPr>
          <w:rFonts w:hint="eastAsia" w:ascii="微软雅黑" w:hAnsi="微软雅黑" w:eastAsia="微软雅黑" w:cs="微软雅黑"/>
          <w:sz w:val="24"/>
        </w:rPr>
        <w:t>～</w:t>
      </w:r>
      <w:r>
        <w:rPr>
          <w:rFonts w:hint="eastAsia" w:ascii="宋体" w:hAnsi="宋体" w:eastAsia="宋体" w:cs="宋体"/>
          <w:sz w:val="24"/>
        </w:rPr>
        <w:t>+20°</w:t>
      </w:r>
    </w:p>
    <w:p w14:paraId="74EFC17C">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3</w:t>
      </w:r>
      <w:r>
        <w:rPr>
          <w:rFonts w:hint="eastAsia" w:ascii="宋体" w:hAnsi="宋体" w:eastAsia="宋体" w:cs="宋体"/>
          <w:sz w:val="24"/>
        </w:rPr>
        <w:t>.3.4.1</w:t>
      </w:r>
      <w:r>
        <w:rPr>
          <w:rFonts w:hint="eastAsia" w:ascii="宋体" w:hAnsi="宋体" w:cs="宋体"/>
          <w:sz w:val="24"/>
          <w:lang w:val="en-US" w:eastAsia="zh-CN"/>
        </w:rPr>
        <w:t xml:space="preserve">  </w:t>
      </w:r>
      <w:r>
        <w:rPr>
          <w:rFonts w:hint="eastAsia" w:ascii="宋体" w:hAnsi="宋体" w:eastAsia="宋体" w:cs="宋体"/>
          <w:sz w:val="24"/>
        </w:rPr>
        <w:t>凸阵探头，18cm深度，全视野，彩色帧频≥10</w:t>
      </w:r>
      <w:r>
        <w:rPr>
          <w:rFonts w:hint="eastAsia" w:ascii="宋体" w:hAnsi="宋体" w:cs="宋体"/>
          <w:sz w:val="24"/>
          <w:lang w:val="en-US" w:eastAsia="zh-CN"/>
        </w:rPr>
        <w:t>fp/s。</w:t>
      </w:r>
    </w:p>
    <w:p w14:paraId="1A4B9888">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3</w:t>
      </w:r>
      <w:r>
        <w:rPr>
          <w:rFonts w:hint="eastAsia" w:ascii="宋体" w:hAnsi="宋体" w:eastAsia="宋体" w:cs="宋体"/>
          <w:sz w:val="24"/>
        </w:rPr>
        <w:t>.3.4.2</w:t>
      </w:r>
      <w:r>
        <w:rPr>
          <w:rFonts w:hint="eastAsia" w:ascii="宋体" w:hAnsi="宋体" w:cs="宋体"/>
          <w:sz w:val="24"/>
          <w:lang w:val="en-US" w:eastAsia="zh-CN"/>
        </w:rPr>
        <w:t xml:space="preserve">  </w:t>
      </w:r>
      <w:r>
        <w:rPr>
          <w:rFonts w:hint="eastAsia" w:ascii="宋体" w:hAnsi="宋体" w:eastAsia="宋体" w:cs="宋体"/>
          <w:sz w:val="24"/>
        </w:rPr>
        <w:t>相控阵探头，18cm深度，扫描角度90，彩色帧频≥15</w:t>
      </w:r>
      <w:r>
        <w:rPr>
          <w:rFonts w:hint="eastAsia" w:ascii="宋体" w:hAnsi="宋体" w:cs="宋体"/>
          <w:sz w:val="24"/>
          <w:lang w:val="en-US" w:eastAsia="zh-CN"/>
        </w:rPr>
        <w:t>fp/s。</w:t>
      </w:r>
    </w:p>
    <w:p w14:paraId="35C6C292">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3</w:t>
      </w:r>
      <w:r>
        <w:rPr>
          <w:rFonts w:hint="eastAsia" w:ascii="宋体" w:hAnsi="宋体" w:eastAsia="宋体" w:cs="宋体"/>
          <w:sz w:val="24"/>
        </w:rPr>
        <w:t>.3.5</w:t>
      </w:r>
      <w:r>
        <w:rPr>
          <w:rFonts w:hint="eastAsia" w:ascii="宋体" w:hAnsi="宋体" w:eastAsia="宋体" w:cs="宋体"/>
          <w:sz w:val="24"/>
        </w:rPr>
        <w:tab/>
      </w:r>
      <w:r>
        <w:rPr>
          <w:rFonts w:hint="eastAsia" w:ascii="宋体" w:hAnsi="宋体" w:eastAsia="宋体" w:cs="宋体"/>
          <w:sz w:val="24"/>
        </w:rPr>
        <w:t>彩色多普勒增强显示技术：</w:t>
      </w:r>
    </w:p>
    <w:p w14:paraId="13423899">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.3.5.1</w:t>
      </w:r>
      <w:r>
        <w:rPr>
          <w:rFonts w:hint="eastAsia" w:ascii="宋体" w:hAnsi="宋体" w:cs="宋体"/>
          <w:sz w:val="24"/>
          <w:lang w:val="en-US" w:eastAsia="zh-CN"/>
        </w:rPr>
        <w:t xml:space="preserve">  </w:t>
      </w:r>
      <w:r>
        <w:rPr>
          <w:rFonts w:hint="eastAsia" w:ascii="宋体" w:hAnsi="宋体" w:eastAsia="宋体" w:cs="宋体"/>
          <w:sz w:val="24"/>
        </w:rPr>
        <w:t>具备彩色多普勒能量图(PD)，彩色方向性能量图(DPDI)</w:t>
      </w:r>
      <w:r>
        <w:rPr>
          <w:rFonts w:hint="eastAsia" w:ascii="宋体" w:hAnsi="宋体" w:cs="宋体"/>
          <w:sz w:val="24"/>
          <w:lang w:eastAsia="zh-CN"/>
        </w:rPr>
        <w:t>。</w:t>
      </w:r>
    </w:p>
    <w:p w14:paraId="38533F6F">
      <w:pPr>
        <w:spacing w:line="360" w:lineRule="auto"/>
        <w:ind w:firstLine="482" w:firstLineChars="200"/>
        <w:rPr>
          <w:rFonts w:hint="eastAsia" w:ascii="宋体" w:hAnsi="宋体" w:eastAsia="宋体" w:cs="宋体"/>
          <w:b/>
          <w:bCs/>
          <w:sz w:val="24"/>
        </w:rPr>
      </w:pPr>
      <w:r>
        <w:rPr>
          <w:rFonts w:hint="eastAsia" w:ascii="宋体" w:hAnsi="宋体" w:cs="宋体"/>
          <w:b/>
          <w:bCs/>
          <w:sz w:val="24"/>
          <w:lang w:eastAsia="zh-CN"/>
        </w:rPr>
        <w:t>3</w:t>
      </w:r>
      <w:r>
        <w:rPr>
          <w:rFonts w:hint="eastAsia" w:ascii="宋体" w:hAnsi="宋体" w:eastAsia="宋体" w:cs="宋体"/>
          <w:b/>
          <w:bCs/>
          <w:sz w:val="24"/>
        </w:rPr>
        <w:t>.4</w:t>
      </w:r>
      <w:r>
        <w:rPr>
          <w:rFonts w:hint="eastAsia" w:ascii="宋体" w:hAnsi="宋体" w:eastAsia="宋体" w:cs="宋体"/>
          <w:b/>
          <w:bCs/>
          <w:sz w:val="24"/>
        </w:rPr>
        <w:tab/>
      </w:r>
      <w:r>
        <w:rPr>
          <w:rFonts w:hint="eastAsia" w:ascii="宋体" w:hAnsi="宋体" w:eastAsia="宋体" w:cs="宋体"/>
          <w:b/>
          <w:bCs/>
          <w:sz w:val="24"/>
        </w:rPr>
        <w:t>频谱多普勒主要参数</w:t>
      </w:r>
    </w:p>
    <w:p w14:paraId="5C5318DF">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3</w:t>
      </w:r>
      <w:r>
        <w:rPr>
          <w:rFonts w:hint="eastAsia" w:ascii="宋体" w:hAnsi="宋体" w:eastAsia="宋体" w:cs="宋体"/>
          <w:sz w:val="24"/>
        </w:rPr>
        <w:t>.4.1</w:t>
      </w:r>
      <w:r>
        <w:rPr>
          <w:rFonts w:hint="eastAsia" w:ascii="宋体" w:hAnsi="宋体" w:eastAsia="宋体" w:cs="宋体"/>
          <w:sz w:val="24"/>
        </w:rPr>
        <w:tab/>
      </w:r>
      <w:r>
        <w:rPr>
          <w:rFonts w:hint="eastAsia" w:ascii="宋体" w:hAnsi="宋体" w:eastAsia="宋体" w:cs="宋体"/>
          <w:sz w:val="24"/>
          <w:lang w:val="en-US" w:eastAsia="zh-CN"/>
        </w:rPr>
        <w:t>成</w:t>
      </w:r>
      <w:r>
        <w:rPr>
          <w:rFonts w:hint="eastAsia" w:ascii="宋体" w:hAnsi="宋体" w:eastAsia="宋体" w:cs="宋体"/>
          <w:sz w:val="24"/>
        </w:rPr>
        <w:t>像模式:PW，CW，HPRF</w:t>
      </w:r>
    </w:p>
    <w:p w14:paraId="4328EACE">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3</w:t>
      </w:r>
      <w:r>
        <w:rPr>
          <w:rFonts w:hint="eastAsia" w:ascii="宋体" w:hAnsi="宋体" w:eastAsia="宋体" w:cs="宋体"/>
          <w:sz w:val="24"/>
        </w:rPr>
        <w:t>.4.2</w:t>
      </w:r>
      <w:r>
        <w:rPr>
          <w:rFonts w:hint="eastAsia" w:ascii="宋体" w:hAnsi="宋体" w:eastAsia="宋体" w:cs="宋体"/>
          <w:sz w:val="24"/>
        </w:rPr>
        <w:tab/>
      </w:r>
      <w:r>
        <w:rPr>
          <w:rFonts w:hint="eastAsia" w:ascii="宋体" w:hAnsi="宋体" w:eastAsia="宋体" w:cs="宋体"/>
          <w:sz w:val="24"/>
        </w:rPr>
        <w:t>多普勒频率可视可调</w:t>
      </w:r>
    </w:p>
    <w:p w14:paraId="1F111885">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.4.3</w:t>
      </w:r>
      <w:r>
        <w:rPr>
          <w:rFonts w:hint="eastAsia" w:ascii="宋体" w:hAnsi="宋体" w:eastAsia="宋体" w:cs="宋体"/>
          <w:sz w:val="24"/>
        </w:rPr>
        <w:tab/>
      </w:r>
      <w:r>
        <w:rPr>
          <w:rFonts w:hint="eastAsia" w:ascii="宋体" w:hAnsi="宋体" w:eastAsia="宋体" w:cs="宋体"/>
          <w:sz w:val="24"/>
          <w:lang w:val="en-US" w:eastAsia="zh-CN"/>
        </w:rPr>
        <w:t>P</w:t>
      </w:r>
      <w:r>
        <w:rPr>
          <w:rFonts w:hint="eastAsia" w:ascii="宋体" w:hAnsi="宋体" w:eastAsia="宋体" w:cs="宋体"/>
          <w:sz w:val="24"/>
        </w:rPr>
        <w:t>W</w:t>
      </w:r>
      <w:r>
        <w:rPr>
          <w:rFonts w:hint="eastAsia" w:ascii="宋体" w:hAnsi="宋体" w:eastAsia="宋体" w:cs="宋体"/>
          <w:sz w:val="24"/>
          <w:lang w:val="en-US"/>
        </w:rPr>
        <w:t>D</w:t>
      </w:r>
      <w:r>
        <w:rPr>
          <w:rFonts w:hint="eastAsia" w:ascii="宋体" w:hAnsi="宋体" w:eastAsia="宋体" w:cs="宋体"/>
          <w:sz w:val="24"/>
        </w:rPr>
        <w:t>:血流速度≥5.4m/s;CWD:血流速度≥11.5m/s</w:t>
      </w:r>
      <w:r>
        <w:rPr>
          <w:rFonts w:hint="eastAsia" w:ascii="宋体" w:hAnsi="宋体" w:cs="宋体"/>
          <w:sz w:val="24"/>
          <w:lang w:eastAsia="zh-CN"/>
        </w:rPr>
        <w:t>。</w:t>
      </w:r>
    </w:p>
    <w:p w14:paraId="3CE050B1">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.4.4</w:t>
      </w:r>
      <w:r>
        <w:rPr>
          <w:rFonts w:hint="eastAsia" w:ascii="宋体" w:hAnsi="宋体" w:eastAsia="宋体" w:cs="宋体"/>
          <w:sz w:val="24"/>
        </w:rPr>
        <w:tab/>
      </w:r>
      <w:r>
        <w:rPr>
          <w:rFonts w:hint="eastAsia" w:ascii="宋体" w:hAnsi="宋体" w:eastAsia="宋体" w:cs="宋体"/>
          <w:sz w:val="24"/>
        </w:rPr>
        <w:t>最低测量速度:≤</w:t>
      </w:r>
      <w:r>
        <w:rPr>
          <w:rFonts w:hint="eastAsia" w:ascii="宋体" w:hAnsi="宋体" w:eastAsia="宋体" w:cs="宋体"/>
          <w:sz w:val="24"/>
          <w:lang w:val="en-US" w:eastAsia="zh-CN"/>
        </w:rPr>
        <w:t>2</w:t>
      </w:r>
      <w:r>
        <w:rPr>
          <w:rFonts w:hint="eastAsia" w:ascii="宋体" w:hAnsi="宋体" w:eastAsia="宋体" w:cs="宋体"/>
          <w:sz w:val="24"/>
        </w:rPr>
        <w:t>cm/s(非噪声信号）</w:t>
      </w:r>
      <w:r>
        <w:rPr>
          <w:rFonts w:hint="eastAsia" w:ascii="宋体" w:hAnsi="宋体" w:cs="宋体"/>
          <w:sz w:val="24"/>
          <w:lang w:eastAsia="zh-CN"/>
        </w:rPr>
        <w:t>。</w:t>
      </w:r>
    </w:p>
    <w:p w14:paraId="15B362EF">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.4.5</w:t>
      </w:r>
      <w:r>
        <w:rPr>
          <w:rFonts w:hint="eastAsia" w:ascii="宋体" w:hAnsi="宋体" w:eastAsia="宋体" w:cs="宋体"/>
          <w:sz w:val="24"/>
        </w:rPr>
        <w:tab/>
      </w:r>
      <w:r>
        <w:rPr>
          <w:rFonts w:hint="eastAsia" w:ascii="宋体" w:hAnsi="宋体" w:eastAsia="宋体" w:cs="宋体"/>
          <w:sz w:val="24"/>
        </w:rPr>
        <w:t>取样容积范围:0.5-20mm</w:t>
      </w:r>
      <w:r>
        <w:rPr>
          <w:rFonts w:hint="eastAsia" w:ascii="宋体" w:hAnsi="宋体" w:cs="宋体"/>
          <w:sz w:val="24"/>
          <w:lang w:eastAsia="zh-CN"/>
        </w:rPr>
        <w:t>。</w:t>
      </w:r>
    </w:p>
    <w:p w14:paraId="11BF8C3C">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3</w:t>
      </w:r>
      <w:r>
        <w:rPr>
          <w:rFonts w:hint="eastAsia" w:ascii="宋体" w:hAnsi="宋体" w:eastAsia="宋体" w:cs="宋体"/>
          <w:sz w:val="24"/>
        </w:rPr>
        <w:t>.4.6</w:t>
      </w:r>
      <w:r>
        <w:rPr>
          <w:rFonts w:hint="eastAsia" w:ascii="宋体" w:hAnsi="宋体" w:eastAsia="宋体" w:cs="宋体"/>
          <w:sz w:val="24"/>
        </w:rPr>
        <w:tab/>
      </w:r>
      <w:r>
        <w:rPr>
          <w:rFonts w:hint="eastAsia" w:ascii="宋体" w:hAnsi="宋体" w:eastAsia="宋体" w:cs="宋体"/>
          <w:sz w:val="24"/>
        </w:rPr>
        <w:t>电影回放</w:t>
      </w:r>
    </w:p>
    <w:p w14:paraId="3D7AC835">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.4.7</w:t>
      </w:r>
      <w:r>
        <w:rPr>
          <w:rFonts w:hint="eastAsia" w:ascii="宋体" w:hAnsi="宋体" w:eastAsia="宋体" w:cs="宋体"/>
          <w:sz w:val="24"/>
        </w:rPr>
        <w:tab/>
      </w:r>
      <w:r>
        <w:rPr>
          <w:rFonts w:hint="eastAsia" w:ascii="宋体" w:hAnsi="宋体" w:eastAsia="宋体" w:cs="宋体"/>
          <w:sz w:val="24"/>
        </w:rPr>
        <w:t>零位移动:≥10级</w:t>
      </w:r>
      <w:r>
        <w:rPr>
          <w:rFonts w:hint="eastAsia" w:ascii="宋体" w:hAnsi="宋体" w:cs="宋体"/>
          <w:sz w:val="24"/>
          <w:lang w:eastAsia="zh-CN"/>
        </w:rPr>
        <w:t>。</w:t>
      </w:r>
    </w:p>
    <w:p w14:paraId="6FD77241">
      <w:pPr>
        <w:spacing w:line="360" w:lineRule="auto"/>
        <w:ind w:firstLine="482" w:firstLineChars="200"/>
        <w:rPr>
          <w:rFonts w:hint="eastAsia" w:ascii="宋体" w:hAnsi="宋体" w:eastAsia="宋体" w:cs="宋体"/>
          <w:b/>
          <w:bCs/>
          <w:sz w:val="24"/>
        </w:rPr>
      </w:pPr>
      <w:r>
        <w:rPr>
          <w:rFonts w:hint="eastAsia" w:ascii="宋体" w:hAnsi="宋体" w:cs="宋体"/>
          <w:b/>
          <w:bCs/>
          <w:sz w:val="24"/>
          <w:lang w:eastAsia="zh-CN"/>
        </w:rPr>
        <w:t>3</w:t>
      </w:r>
      <w:r>
        <w:rPr>
          <w:rFonts w:hint="eastAsia" w:ascii="宋体" w:hAnsi="宋体" w:eastAsia="宋体" w:cs="宋体"/>
          <w:b/>
          <w:bCs/>
          <w:sz w:val="24"/>
        </w:rPr>
        <w:t>.5</w:t>
      </w:r>
      <w:r>
        <w:rPr>
          <w:rFonts w:hint="eastAsia" w:ascii="宋体" w:hAnsi="宋体" w:eastAsia="宋体" w:cs="宋体"/>
          <w:b/>
          <w:bCs/>
          <w:sz w:val="24"/>
        </w:rPr>
        <w:tab/>
      </w:r>
      <w:r>
        <w:rPr>
          <w:rFonts w:hint="eastAsia" w:ascii="宋体" w:hAnsi="宋体" w:eastAsia="宋体" w:cs="宋体"/>
          <w:b/>
          <w:bCs/>
          <w:sz w:val="24"/>
        </w:rPr>
        <w:t>造影成像技术</w:t>
      </w:r>
    </w:p>
    <w:p w14:paraId="32317DA6">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.5.1</w:t>
      </w:r>
      <w:r>
        <w:rPr>
          <w:rFonts w:hint="eastAsia" w:ascii="宋体" w:hAnsi="宋体" w:eastAsia="宋体" w:cs="宋体"/>
          <w:sz w:val="24"/>
        </w:rPr>
        <w:tab/>
      </w:r>
      <w:r>
        <w:rPr>
          <w:rFonts w:hint="eastAsia" w:ascii="宋体" w:hAnsi="宋体" w:eastAsia="宋体" w:cs="宋体"/>
          <w:sz w:val="24"/>
        </w:rPr>
        <w:t>成像探头</w:t>
      </w:r>
      <w:r>
        <w:rPr>
          <w:rFonts w:hint="eastAsia" w:ascii="宋体" w:hAnsi="宋体" w:cs="宋体"/>
          <w:b/>
          <w:bCs/>
          <w:sz w:val="24"/>
          <w:lang w:val="en-US" w:eastAsia="zh-CN"/>
        </w:rPr>
        <w:t>支持</w:t>
      </w:r>
      <w:r>
        <w:rPr>
          <w:rFonts w:hint="eastAsia" w:ascii="宋体" w:hAnsi="宋体" w:eastAsia="宋体" w:cs="宋体"/>
          <w:sz w:val="24"/>
        </w:rPr>
        <w:t>凸阵、线阵、相控阵、容积、腔内双平面</w:t>
      </w:r>
      <w:r>
        <w:rPr>
          <w:rFonts w:hint="eastAsia" w:ascii="宋体" w:hAnsi="宋体" w:cs="宋体"/>
          <w:sz w:val="24"/>
          <w:lang w:eastAsia="zh-CN"/>
        </w:rPr>
        <w:t>。</w:t>
      </w:r>
    </w:p>
    <w:p w14:paraId="4E7DDD3C">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.5.2</w:t>
      </w:r>
      <w:r>
        <w:rPr>
          <w:rFonts w:hint="eastAsia" w:ascii="宋体" w:hAnsi="宋体" w:eastAsia="宋体" w:cs="宋体"/>
          <w:sz w:val="24"/>
        </w:rPr>
        <w:tab/>
      </w:r>
      <w:r>
        <w:rPr>
          <w:rFonts w:hint="eastAsia" w:ascii="宋体" w:hAnsi="宋体" w:eastAsia="宋体" w:cs="宋体"/>
          <w:sz w:val="24"/>
        </w:rPr>
        <w:t>具备心腔及心肌造影、容积造影及输卵管造影功能</w:t>
      </w:r>
      <w:r>
        <w:rPr>
          <w:rFonts w:hint="eastAsia" w:ascii="宋体" w:hAnsi="宋体" w:cs="宋体"/>
          <w:sz w:val="24"/>
          <w:lang w:eastAsia="zh-CN"/>
        </w:rPr>
        <w:t>。</w:t>
      </w:r>
    </w:p>
    <w:p w14:paraId="16D15E0A">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.5.</w:t>
      </w:r>
      <w:r>
        <w:rPr>
          <w:rFonts w:hint="eastAsia" w:ascii="宋体" w:hAnsi="宋体" w:eastAsia="宋体" w:cs="宋体"/>
          <w:sz w:val="24"/>
          <w:lang w:val="en-US" w:eastAsia="zh-CN"/>
        </w:rPr>
        <w:t>3</w:t>
      </w:r>
      <w:r>
        <w:rPr>
          <w:rFonts w:hint="eastAsia" w:ascii="宋体" w:hAnsi="宋体" w:eastAsia="宋体" w:cs="宋体"/>
          <w:sz w:val="24"/>
        </w:rPr>
        <w:tab/>
      </w:r>
      <w:r>
        <w:rPr>
          <w:rFonts w:hint="eastAsia" w:ascii="宋体" w:hAnsi="宋体" w:eastAsia="宋体" w:cs="宋体"/>
          <w:sz w:val="24"/>
        </w:rPr>
        <w:t>具备造影图像与B图叠加混合显示模式</w:t>
      </w:r>
      <w:r>
        <w:rPr>
          <w:rFonts w:hint="eastAsia" w:ascii="宋体" w:hAnsi="宋体" w:cs="宋体"/>
          <w:sz w:val="24"/>
          <w:lang w:eastAsia="zh-CN"/>
        </w:rPr>
        <w:t>。</w:t>
      </w:r>
    </w:p>
    <w:p w14:paraId="1F8B7491">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.5.</w:t>
      </w:r>
      <w:r>
        <w:rPr>
          <w:rFonts w:hint="eastAsia" w:ascii="宋体" w:hAnsi="宋体" w:eastAsia="宋体" w:cs="宋体"/>
          <w:sz w:val="24"/>
          <w:lang w:val="en-US" w:eastAsia="zh-CN"/>
        </w:rPr>
        <w:t>4</w:t>
      </w:r>
      <w:r>
        <w:rPr>
          <w:rFonts w:hint="eastAsia" w:ascii="宋体" w:hAnsi="宋体" w:eastAsia="宋体" w:cs="宋体"/>
          <w:sz w:val="24"/>
        </w:rPr>
        <w:tab/>
      </w:r>
      <w:r>
        <w:rPr>
          <w:rFonts w:hint="eastAsia" w:ascii="宋体" w:hAnsi="宋体" w:eastAsia="宋体" w:cs="宋体"/>
          <w:sz w:val="24"/>
        </w:rPr>
        <w:t>具备在机时间强度曲线分析(TIC):支持多个ROI区域分析</w:t>
      </w:r>
      <w:r>
        <w:rPr>
          <w:rFonts w:hint="eastAsia" w:ascii="宋体" w:hAnsi="宋体" w:cs="宋体"/>
          <w:sz w:val="24"/>
          <w:lang w:eastAsia="zh-CN"/>
        </w:rPr>
        <w:t>。</w:t>
      </w:r>
    </w:p>
    <w:p w14:paraId="16875FF5">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.5.</w:t>
      </w:r>
      <w:r>
        <w:rPr>
          <w:rFonts w:hint="eastAsia" w:ascii="宋体" w:hAnsi="宋体" w:eastAsia="宋体" w:cs="宋体"/>
          <w:sz w:val="24"/>
          <w:lang w:val="en-US" w:eastAsia="zh-CN"/>
        </w:rPr>
        <w:t>5</w:t>
      </w:r>
      <w:r>
        <w:rPr>
          <w:rFonts w:hint="eastAsia" w:ascii="宋体" w:hAnsi="宋体" w:eastAsia="宋体" w:cs="宋体"/>
          <w:sz w:val="24"/>
        </w:rPr>
        <w:tab/>
      </w:r>
      <w:r>
        <w:rPr>
          <w:rFonts w:hint="eastAsia" w:ascii="宋体" w:hAnsi="宋体" w:eastAsia="宋体" w:cs="宋体"/>
          <w:sz w:val="24"/>
        </w:rPr>
        <w:t>具备造影灌注时间成像:造影剂达到时间成像，时间可编辑</w:t>
      </w:r>
      <w:r>
        <w:rPr>
          <w:rFonts w:hint="eastAsia" w:ascii="宋体" w:hAnsi="宋体" w:cs="宋体"/>
          <w:sz w:val="24"/>
          <w:lang w:eastAsia="zh-CN"/>
        </w:rPr>
        <w:t>。</w:t>
      </w:r>
    </w:p>
    <w:p w14:paraId="022CA147">
      <w:pPr>
        <w:spacing w:line="360" w:lineRule="auto"/>
        <w:ind w:firstLine="482" w:firstLineChars="200"/>
        <w:rPr>
          <w:rFonts w:hint="eastAsia" w:ascii="宋体" w:hAnsi="宋体" w:eastAsia="宋体" w:cs="宋体"/>
          <w:b/>
          <w:bCs/>
          <w:sz w:val="24"/>
        </w:rPr>
      </w:pPr>
      <w:r>
        <w:rPr>
          <w:rFonts w:hint="eastAsia" w:ascii="宋体" w:hAnsi="宋体" w:cs="宋体"/>
          <w:b/>
          <w:bCs/>
          <w:sz w:val="24"/>
          <w:lang w:eastAsia="zh-CN"/>
        </w:rPr>
        <w:t>3</w:t>
      </w:r>
      <w:r>
        <w:rPr>
          <w:rFonts w:hint="eastAsia" w:ascii="宋体" w:hAnsi="宋体" w:eastAsia="宋体" w:cs="宋体"/>
          <w:b/>
          <w:bCs/>
          <w:sz w:val="24"/>
        </w:rPr>
        <w:t>.6</w:t>
      </w:r>
      <w:r>
        <w:rPr>
          <w:rFonts w:hint="eastAsia" w:ascii="宋体" w:hAnsi="宋体" w:eastAsia="宋体" w:cs="宋体"/>
          <w:b/>
          <w:bCs/>
          <w:sz w:val="24"/>
        </w:rPr>
        <w:tab/>
      </w:r>
      <w:r>
        <w:rPr>
          <w:rFonts w:hint="eastAsia" w:ascii="宋体" w:hAnsi="宋体" w:eastAsia="宋体" w:cs="宋体"/>
          <w:b/>
          <w:bCs/>
          <w:sz w:val="24"/>
        </w:rPr>
        <w:t>弹性成像技术</w:t>
      </w:r>
    </w:p>
    <w:p w14:paraId="407644B9">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.6.1</w:t>
      </w:r>
      <w:r>
        <w:rPr>
          <w:rFonts w:hint="eastAsia" w:ascii="宋体" w:hAnsi="宋体" w:eastAsia="宋体" w:cs="宋体"/>
          <w:sz w:val="24"/>
        </w:rPr>
        <w:tab/>
      </w:r>
      <w:r>
        <w:rPr>
          <w:rFonts w:hint="eastAsia" w:ascii="宋体" w:hAnsi="宋体" w:eastAsia="宋体" w:cs="宋体"/>
          <w:sz w:val="24"/>
        </w:rPr>
        <w:t>支持凸阵、线阵、腔内探头应用</w:t>
      </w:r>
      <w:r>
        <w:rPr>
          <w:rFonts w:hint="eastAsia" w:ascii="宋体" w:hAnsi="宋体" w:cs="宋体"/>
          <w:sz w:val="24"/>
          <w:lang w:eastAsia="zh-CN"/>
        </w:rPr>
        <w:t>。</w:t>
      </w:r>
    </w:p>
    <w:p w14:paraId="61604D7A">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eastAsia="zh-CN"/>
        </w:rPr>
        <w:t>3</w:t>
      </w:r>
      <w:r>
        <w:rPr>
          <w:rFonts w:hint="eastAsia" w:ascii="宋体" w:hAnsi="宋体" w:eastAsia="宋体" w:cs="宋体"/>
          <w:sz w:val="24"/>
        </w:rPr>
        <w:t>.6.2</w:t>
      </w:r>
      <w:r>
        <w:rPr>
          <w:rFonts w:hint="eastAsia" w:ascii="宋体" w:hAnsi="宋体" w:eastAsia="宋体" w:cs="宋体"/>
          <w:sz w:val="24"/>
        </w:rPr>
        <w:tab/>
      </w:r>
      <w:r>
        <w:rPr>
          <w:rFonts w:hint="eastAsia" w:ascii="宋体" w:hAnsi="宋体" w:eastAsia="宋体" w:cs="宋体"/>
          <w:sz w:val="24"/>
        </w:rPr>
        <w:t>可针对不同组织成分(囊/实性)进行弹性成像优化</w:t>
      </w:r>
      <w:r>
        <w:rPr>
          <w:rFonts w:hint="eastAsia" w:ascii="宋体" w:hAnsi="宋体" w:cs="宋体"/>
          <w:sz w:val="24"/>
          <w:lang w:eastAsia="zh-CN"/>
        </w:rPr>
        <w:t>。</w:t>
      </w:r>
    </w:p>
    <w:p w14:paraId="0E611A08">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eastAsia="zh-CN"/>
        </w:rPr>
        <w:t>3</w:t>
      </w:r>
      <w:r>
        <w:rPr>
          <w:rFonts w:hint="eastAsia" w:ascii="宋体" w:hAnsi="宋体" w:eastAsia="宋体" w:cs="宋体"/>
          <w:sz w:val="24"/>
        </w:rPr>
        <w:t>.6.3</w:t>
      </w:r>
      <w:r>
        <w:rPr>
          <w:rFonts w:hint="eastAsia" w:ascii="宋体" w:hAnsi="宋体" w:eastAsia="宋体" w:cs="宋体"/>
          <w:sz w:val="24"/>
        </w:rPr>
        <w:tab/>
      </w:r>
      <w:r>
        <w:rPr>
          <w:rFonts w:hint="eastAsia" w:ascii="宋体" w:hAnsi="宋体" w:eastAsia="宋体" w:cs="宋体"/>
          <w:sz w:val="24"/>
        </w:rPr>
        <w:t>支持实时扫查、冻结识别、回顾下进入弹性分析，定量包含选取区域的平均值、最大值、最小值</w:t>
      </w:r>
      <w:r>
        <w:rPr>
          <w:rFonts w:hint="eastAsia" w:ascii="宋体" w:hAnsi="宋体" w:cs="宋体"/>
          <w:sz w:val="24"/>
          <w:lang w:eastAsia="zh-CN"/>
        </w:rPr>
        <w:t>。</w:t>
      </w:r>
    </w:p>
    <w:p w14:paraId="78FC2BDF">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cs="宋体"/>
          <w:sz w:val="24"/>
          <w:lang w:val="en-US" w:eastAsia="zh-CN"/>
        </w:rPr>
        <w:t xml:space="preserve">  </w:t>
      </w:r>
      <w:r>
        <w:rPr>
          <w:rFonts w:hint="eastAsia" w:ascii="宋体" w:hAnsi="宋体" w:eastAsia="宋体" w:cs="宋体"/>
          <w:sz w:val="24"/>
        </w:rPr>
        <w:t>全自动工作流包括探头自激活、自动识别探头并切换临床场景和预设、自动识别切面，并具备图像质量评价体系、自动图像采集存储、自动体标，标注、及自动测量</w:t>
      </w:r>
      <w:r>
        <w:rPr>
          <w:rFonts w:hint="eastAsia" w:ascii="宋体" w:hAnsi="宋体" w:cs="宋体"/>
          <w:sz w:val="24"/>
          <w:lang w:eastAsia="zh-CN"/>
        </w:rPr>
        <w:t>。</w:t>
      </w:r>
    </w:p>
    <w:p w14:paraId="4A890913">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3</w:t>
      </w: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cs="宋体"/>
          <w:sz w:val="24"/>
          <w:lang w:val="en-US" w:eastAsia="zh-CN"/>
        </w:rPr>
        <w:t xml:space="preserve">  </w:t>
      </w:r>
      <w:r>
        <w:rPr>
          <w:rFonts w:hint="eastAsia" w:ascii="宋体" w:hAnsi="宋体" w:eastAsia="宋体" w:cs="宋体"/>
          <w:sz w:val="24"/>
        </w:rPr>
        <w:t>支持标准的扫查协议及用户自定义扫查协议，支持手动介入操作</w:t>
      </w:r>
      <w:r>
        <w:rPr>
          <w:rFonts w:hint="eastAsia" w:ascii="宋体" w:hAnsi="宋体" w:cs="宋体"/>
          <w:sz w:val="24"/>
          <w:lang w:eastAsia="zh-CN"/>
        </w:rPr>
        <w:t>。</w:t>
      </w:r>
    </w:p>
    <w:p w14:paraId="52A16EC3">
      <w:pPr>
        <w:spacing w:line="360" w:lineRule="auto"/>
        <w:ind w:firstLine="482" w:firstLineChars="200"/>
        <w:rPr>
          <w:rFonts w:hint="eastAsia" w:ascii="宋体" w:hAnsi="宋体" w:eastAsia="宋体" w:cs="宋体"/>
          <w:b/>
          <w:bCs/>
          <w:sz w:val="24"/>
          <w:lang w:val="en-US" w:eastAsia="zh-CN"/>
        </w:rPr>
      </w:pPr>
      <w:r>
        <w:rPr>
          <w:rFonts w:hint="eastAsia" w:ascii="宋体" w:hAnsi="宋体" w:cs="宋体"/>
          <w:b/>
          <w:bCs/>
          <w:sz w:val="24"/>
          <w:lang w:val="en-US" w:eastAsia="zh-CN"/>
        </w:rPr>
        <w:t>四</w:t>
      </w:r>
      <w:r>
        <w:rPr>
          <w:rFonts w:hint="eastAsia" w:ascii="宋体" w:hAnsi="宋体" w:eastAsia="宋体" w:cs="宋体"/>
          <w:b/>
          <w:bCs/>
          <w:sz w:val="24"/>
        </w:rPr>
        <w:t>、</w:t>
      </w:r>
      <w:r>
        <w:rPr>
          <w:rFonts w:hint="eastAsia" w:ascii="宋体" w:hAnsi="宋体" w:cs="宋体"/>
          <w:b/>
          <w:bCs/>
          <w:sz w:val="24"/>
          <w:lang w:val="en-US" w:eastAsia="zh-CN"/>
        </w:rPr>
        <w:t>配置要求：</w:t>
      </w:r>
    </w:p>
    <w:p w14:paraId="787923D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cs="宋体"/>
          <w:sz w:val="24"/>
          <w:lang w:val="en-US" w:eastAsia="zh-CN"/>
        </w:rPr>
        <w:t>妇产</w:t>
      </w:r>
      <w:r>
        <w:rPr>
          <w:rFonts w:hint="eastAsia" w:ascii="宋体" w:hAnsi="宋体" w:eastAsia="宋体" w:cs="宋体"/>
          <w:sz w:val="24"/>
        </w:rPr>
        <w:t>超声专用检查床、检查椅一套</w:t>
      </w:r>
      <w:r>
        <w:rPr>
          <w:rFonts w:hint="eastAsia" w:ascii="宋体" w:hAnsi="宋体" w:cs="宋体"/>
          <w:sz w:val="24"/>
          <w:lang w:eastAsia="zh-CN"/>
        </w:rPr>
        <w:t>。</w:t>
      </w:r>
    </w:p>
    <w:p w14:paraId="19ED7863">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2</w:t>
      </w:r>
      <w:r>
        <w:rPr>
          <w:rFonts w:hint="eastAsia" w:ascii="宋体" w:hAnsi="宋体" w:eastAsia="宋体" w:cs="宋体"/>
          <w:sz w:val="24"/>
        </w:rPr>
        <w:t>)超声工作站一套；包括</w:t>
      </w:r>
      <w:r>
        <w:rPr>
          <w:rFonts w:hint="eastAsia" w:ascii="宋体" w:hAnsi="宋体" w:cs="宋体"/>
          <w:sz w:val="24"/>
          <w:lang w:val="en-US" w:eastAsia="zh-CN"/>
        </w:rPr>
        <w:t>电脑</w:t>
      </w:r>
      <w:r>
        <w:rPr>
          <w:rFonts w:hint="eastAsia" w:ascii="宋体" w:hAnsi="宋体" w:eastAsia="宋体" w:cs="宋体"/>
          <w:sz w:val="24"/>
        </w:rPr>
        <w:t>一台、UPS电源、</w:t>
      </w:r>
      <w:r>
        <w:rPr>
          <w:rFonts w:hint="eastAsia" w:ascii="宋体" w:hAnsi="宋体" w:cs="宋体"/>
          <w:sz w:val="24"/>
          <w:lang w:val="en-US" w:eastAsia="zh-CN"/>
        </w:rPr>
        <w:t>高清采集卡一个、</w:t>
      </w:r>
      <w:r>
        <w:rPr>
          <w:rFonts w:hint="eastAsia" w:ascii="宋体" w:hAnsi="宋体" w:eastAsia="宋体" w:cs="宋体"/>
          <w:sz w:val="24"/>
        </w:rPr>
        <w:t>打印机一台、电脑桌椅一套，并承担超声工作站系统连入PACS 连接费。</w:t>
      </w:r>
    </w:p>
    <w:p w14:paraId="620963DC">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3）配穿刺架：腹部1套、高频1套</w:t>
      </w:r>
    </w:p>
    <w:p w14:paraId="32636C62">
      <w:pPr>
        <w:ind w:firstLine="640" w:firstLineChars="200"/>
        <w:jc w:val="center"/>
        <w:rPr>
          <w:rFonts w:hint="eastAsia"/>
          <w:sz w:val="32"/>
          <w:szCs w:val="32"/>
          <w:lang w:val="en-US" w:eastAsia="zh-CN"/>
        </w:rPr>
        <w:sectPr>
          <w:pgSz w:w="11906" w:h="16838"/>
          <w:pgMar w:top="1440" w:right="1800" w:bottom="1440" w:left="1800" w:header="851" w:footer="992" w:gutter="0"/>
          <w:cols w:space="425" w:num="1"/>
          <w:docGrid w:type="lines" w:linePitch="312" w:charSpace="0"/>
        </w:sectPr>
      </w:pPr>
    </w:p>
    <w:p w14:paraId="3CF8F13E">
      <w:pPr>
        <w:ind w:firstLine="562" w:firstLineChars="200"/>
        <w:rPr>
          <w:rFonts w:hint="default" w:ascii="宋体" w:hAnsi="宋体"/>
          <w:b/>
          <w:bCs/>
          <w:sz w:val="28"/>
          <w:szCs w:val="28"/>
        </w:rPr>
      </w:pPr>
      <w:r>
        <w:rPr>
          <w:rFonts w:hint="eastAsia" w:ascii="宋体" w:hAnsi="宋体"/>
          <w:b/>
          <w:bCs/>
          <w:sz w:val="28"/>
          <w:szCs w:val="28"/>
          <w:lang w:val="en-US" w:eastAsia="zh-CN"/>
        </w:rPr>
        <w:t>设备2：</w:t>
      </w:r>
      <w:r>
        <w:rPr>
          <w:rFonts w:hint="eastAsia" w:ascii="宋体" w:hAnsi="宋体"/>
          <w:b/>
          <w:bCs/>
          <w:sz w:val="28"/>
          <w:szCs w:val="28"/>
        </w:rPr>
        <w:t>便携式彩色多普勒超声</w:t>
      </w:r>
      <w:r>
        <w:rPr>
          <w:rFonts w:hint="eastAsia" w:ascii="宋体" w:hAnsi="宋体" w:eastAsia="宋体" w:cs="宋体"/>
          <w:b/>
          <w:bCs/>
          <w:sz w:val="28"/>
          <w:szCs w:val="28"/>
          <w:lang w:val="en-US" w:eastAsia="zh-CN"/>
        </w:rPr>
        <w:t>1台</w:t>
      </w:r>
    </w:p>
    <w:p w14:paraId="1DCE1B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一、用于腹部、妇产、心脏、泌尿、外周血管、小器官、肌肉骨骼、神经，介入等方面的临床诊断。</w:t>
      </w:r>
    </w:p>
    <w:p w14:paraId="59FF251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二、具备远程会诊功能，支持电脑PC端和手机APP终端。可进行远程维护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升级</w:t>
      </w:r>
      <w:r>
        <w:rPr>
          <w:rFonts w:hint="eastAsia" w:ascii="宋体" w:hAnsi="宋体" w:eastAsia="宋体" w:cs="宋体"/>
          <w:color w:val="auto"/>
          <w:sz w:val="24"/>
          <w:szCs w:val="24"/>
          <w:highlight w:val="none"/>
        </w:rPr>
        <w:t>等操作</w:t>
      </w:r>
      <w:r>
        <w:rPr>
          <w:rFonts w:hint="eastAsia" w:ascii="宋体" w:hAnsi="宋体" w:cs="宋体"/>
          <w:color w:val="auto"/>
          <w:sz w:val="24"/>
          <w:szCs w:val="24"/>
          <w:highlight w:val="none"/>
          <w:lang w:eastAsia="zh-CN"/>
        </w:rPr>
        <w:t>。</w:t>
      </w:r>
    </w:p>
    <w:p w14:paraId="1C810BC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三、患者可通过二维码，随时翻阅网络上的检查超声图像和诊断报告</w:t>
      </w:r>
      <w:r>
        <w:rPr>
          <w:rFonts w:hint="eastAsia" w:ascii="宋体" w:hAnsi="宋体" w:cs="宋体"/>
          <w:color w:val="auto"/>
          <w:sz w:val="24"/>
          <w:szCs w:val="24"/>
          <w:highlight w:val="none"/>
          <w:lang w:eastAsia="zh-CN"/>
        </w:rPr>
        <w:t>。</w:t>
      </w:r>
    </w:p>
    <w:p w14:paraId="5D8E9A59">
      <w:pPr>
        <w:pStyle w:val="66"/>
        <w:numPr>
          <w:ilvl w:val="0"/>
          <w:numId w:val="0"/>
        </w:numPr>
        <w:spacing w:line="360" w:lineRule="auto"/>
        <w:ind w:firstLine="480"/>
        <w:jc w:val="left"/>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none"/>
        </w:rPr>
        <w:t>四、具备教学功能，</w:t>
      </w:r>
      <w:r>
        <w:rPr>
          <w:rFonts w:hint="eastAsia" w:ascii="宋体" w:hAnsi="宋体" w:eastAsia="宋体" w:cs="宋体"/>
          <w:color w:val="auto"/>
          <w:sz w:val="24"/>
          <w:szCs w:val="24"/>
          <w:highlight w:val="none"/>
          <w:lang w:val="en-US" w:eastAsia="zh-CN"/>
        </w:rPr>
        <w:t>支</w:t>
      </w:r>
      <w:r>
        <w:rPr>
          <w:rFonts w:hint="eastAsia" w:ascii="宋体" w:hAnsi="宋体" w:eastAsia="宋体" w:cs="宋体"/>
          <w:color w:val="auto"/>
          <w:sz w:val="24"/>
          <w:szCs w:val="24"/>
          <w:highlight w:val="none"/>
        </w:rPr>
        <w:t>持实时动态3D组织解剖结构和标准超声组织结构的实时动态扫查视频同屏对照显示，支持扫查教学操作步骤语音解读和扫查手法技巧介绍，包含腹部、浅表、血管、肌骨关节和神经等标准超声扫查教学内容。</w:t>
      </w:r>
    </w:p>
    <w:p w14:paraId="2F7123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五、主要规格及系统概述：</w:t>
      </w:r>
    </w:p>
    <w:p w14:paraId="3FA4008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数字化二维灰阶成像单元</w:t>
      </w:r>
    </w:p>
    <w:p w14:paraId="11EE8F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数字化彩色多普勒单元</w:t>
      </w:r>
    </w:p>
    <w:p w14:paraId="748A4B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数字化频谱多普勒显示和分析单元</w:t>
      </w:r>
    </w:p>
    <w:p w14:paraId="7D4B60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数字化能量血流成像单元</w:t>
      </w:r>
    </w:p>
    <w:p w14:paraId="254581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全数字式波束形成器</w:t>
      </w:r>
    </w:p>
    <w:p w14:paraId="2BD56C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B模式/ CFM / PWD模式分别独立角度偏转功能</w:t>
      </w:r>
    </w:p>
    <w:p w14:paraId="48C314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两种组织谐波成像模式, 可用于全部2D探头和4D探头，谐波频率明确显示，可视可调。</w:t>
      </w:r>
    </w:p>
    <w:p w14:paraId="4B03FC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5.8</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高清晰斑点噪音抑制技术</w:t>
      </w:r>
    </w:p>
    <w:p w14:paraId="51F1FFF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5.9</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空间复合成像技术≥7线偏转的曲别针试验</w:t>
      </w:r>
    </w:p>
    <w:p w14:paraId="35B9CB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系统动态范围≥280dB</w:t>
      </w:r>
    </w:p>
    <w:p w14:paraId="7DF555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自动优化，智能优化二维、彩色、频谱参数。</w:t>
      </w:r>
    </w:p>
    <w:p w14:paraId="228AF3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灰阶与彩色独立偏转</w:t>
      </w:r>
    </w:p>
    <w:p w14:paraId="6765BBE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5.13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立体血流成像技术，CF模式下呈现立体血流</w:t>
      </w:r>
      <w:r>
        <w:rPr>
          <w:rFonts w:hint="eastAsia" w:ascii="宋体" w:hAnsi="宋体" w:cs="宋体"/>
          <w:color w:val="auto"/>
          <w:sz w:val="24"/>
          <w:szCs w:val="24"/>
          <w:highlight w:val="none"/>
          <w:lang w:eastAsia="zh-CN"/>
        </w:rPr>
        <w:t>。</w:t>
      </w:r>
    </w:p>
    <w:p w14:paraId="14C070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标配探头均支持彩色模式的彩色立体血流显示</w:t>
      </w:r>
    </w:p>
    <w:p w14:paraId="072EB8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图像剪贴板功能</w:t>
      </w:r>
    </w:p>
    <w:p w14:paraId="0CC9EE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实时双同步、三同步。</w:t>
      </w:r>
    </w:p>
    <w:p w14:paraId="456E21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5.17</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全域聚焦技术</w:t>
      </w:r>
    </w:p>
    <w:p w14:paraId="493EE4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5.18</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支持跟踪对比技术，可将不同日期，不同时间、不同病人图像进行同屏对比显示，支持不同探头图像、动静态图像同屏对比显示。</w:t>
      </w:r>
    </w:p>
    <w:p w14:paraId="78F378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5.19</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凸阵探头、线阵探头、相控阵探头、腔内探头支持梯形成像、凸型扩展功能</w:t>
      </w:r>
    </w:p>
    <w:p w14:paraId="2306680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5.20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灰阶与彩色双幅显示，一幅二维和一幅彩色多普勒图像双幅同屏同步实时显示</w:t>
      </w:r>
      <w:r>
        <w:rPr>
          <w:rFonts w:hint="eastAsia" w:ascii="宋体" w:hAnsi="宋体" w:cs="宋体"/>
          <w:color w:val="auto"/>
          <w:sz w:val="24"/>
          <w:szCs w:val="24"/>
          <w:highlight w:val="none"/>
          <w:lang w:eastAsia="zh-CN"/>
        </w:rPr>
        <w:t>。</w:t>
      </w:r>
    </w:p>
    <w:p w14:paraId="1173DA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支持M型成像</w:t>
      </w:r>
    </w:p>
    <w:p w14:paraId="592104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全屏放大显示功能。</w:t>
      </w:r>
    </w:p>
    <w:p w14:paraId="1D1833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Zoom 局部放大功能。</w:t>
      </w:r>
    </w:p>
    <w:p w14:paraId="1AB150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连续多普勒，测量心脏高速血流双幅实时成像，成像大小不变。</w:t>
      </w:r>
    </w:p>
    <w:p w14:paraId="0D018F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具备多点聚焦技术，</w:t>
      </w:r>
      <w:r>
        <w:rPr>
          <w:rFonts w:hint="eastAsia" w:ascii="宋体" w:hAnsi="宋体" w:eastAsia="宋体" w:cs="宋体"/>
          <w:color w:val="auto"/>
          <w:sz w:val="24"/>
          <w:szCs w:val="24"/>
          <w:highlight w:val="none"/>
        </w:rPr>
        <w:t>≥8个焦点可调。</w:t>
      </w:r>
    </w:p>
    <w:p w14:paraId="28F831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支持自由臂3D容积成像技术，可对感兴趣组织进行快速容积成像。</w:t>
      </w:r>
    </w:p>
    <w:p w14:paraId="782F77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5.27</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具备穿刺引导，≥3种引导方式。</w:t>
      </w:r>
    </w:p>
    <w:p w14:paraId="700607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5.28</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支持穿刺增强技术。</w:t>
      </w:r>
    </w:p>
    <w:p w14:paraId="46BC410D">
      <w:pPr>
        <w:pStyle w:val="66"/>
        <w:numPr>
          <w:ilvl w:val="0"/>
          <w:numId w:val="0"/>
        </w:num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5.29</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甲状腺病灶自动检测分析功能（非外接其他设备实现）</w:t>
      </w:r>
      <w:r>
        <w:rPr>
          <w:rFonts w:hint="eastAsia" w:ascii="宋体" w:hAnsi="宋体" w:eastAsia="宋体" w:cs="宋体"/>
          <w:color w:val="auto"/>
          <w:sz w:val="24"/>
          <w:szCs w:val="24"/>
          <w:highlight w:val="none"/>
        </w:rPr>
        <w:t>，实时扫查时自动检测并提示单个或多个病灶位置，冻结后自动测量可疑病灶大小，根据病灶特征分析提示TI-RADS分类</w:t>
      </w:r>
    </w:p>
    <w:p w14:paraId="280F965D">
      <w:pPr>
        <w:pStyle w:val="66"/>
        <w:numPr>
          <w:ilvl w:val="0"/>
          <w:numId w:val="0"/>
        </w:num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5.30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甲状腺扫查规范化工具，在图像实时扫查过程中，可自动识别并保存标准切面，支持的标准切面数量≥5个</w:t>
      </w:r>
      <w:r>
        <w:rPr>
          <w:rFonts w:hint="eastAsia" w:ascii="宋体" w:hAnsi="宋体" w:cs="宋体"/>
          <w:color w:val="auto"/>
          <w:sz w:val="24"/>
          <w:szCs w:val="24"/>
          <w:highlight w:val="none"/>
          <w:lang w:eastAsia="zh-CN"/>
        </w:rPr>
        <w:t>。</w:t>
      </w:r>
    </w:p>
    <w:p w14:paraId="70593E14">
      <w:pPr>
        <w:pStyle w:val="66"/>
        <w:numPr>
          <w:ilvl w:val="0"/>
          <w:numId w:val="0"/>
        </w:num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肝脏</w:t>
      </w:r>
      <w:r>
        <w:rPr>
          <w:rFonts w:hint="eastAsia" w:ascii="宋体" w:hAnsi="宋体" w:eastAsia="宋体" w:cs="宋体"/>
          <w:color w:val="auto"/>
          <w:kern w:val="0"/>
          <w:sz w:val="24"/>
          <w:szCs w:val="24"/>
          <w:highlight w:val="none"/>
        </w:rPr>
        <w:t>病灶自动检测分析功能</w:t>
      </w:r>
      <w:r>
        <w:rPr>
          <w:rFonts w:hint="eastAsia" w:ascii="宋体" w:hAnsi="宋体" w:eastAsia="宋体" w:cs="宋体"/>
          <w:color w:val="auto"/>
          <w:sz w:val="24"/>
          <w:szCs w:val="24"/>
          <w:highlight w:val="none"/>
        </w:rPr>
        <w:t>，实时扫查时自动检测并提示单个或多个病灶位置，冻结后自动测量可疑病灶大小，对于肝脏弥漫性病变和局灶性病变均可予以提示。</w:t>
      </w:r>
    </w:p>
    <w:p w14:paraId="34188AB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乳腺病灶自动检测分析功能（非外接其他设备实现）</w:t>
      </w:r>
      <w:r>
        <w:rPr>
          <w:rFonts w:hint="eastAsia" w:ascii="宋体" w:hAnsi="宋体" w:eastAsia="宋体" w:cs="宋体"/>
          <w:color w:val="auto"/>
          <w:sz w:val="24"/>
          <w:szCs w:val="24"/>
          <w:highlight w:val="none"/>
        </w:rPr>
        <w:t>，实时扫查时自动检测并提示单个或多个病灶位置，冻结后自动测量可疑病灶大小，根据病灶特征分析提示BI-RADS分类</w:t>
      </w:r>
      <w:r>
        <w:rPr>
          <w:rFonts w:hint="eastAsia" w:ascii="宋体" w:hAnsi="宋体" w:cs="宋体"/>
          <w:color w:val="auto"/>
          <w:sz w:val="24"/>
          <w:szCs w:val="24"/>
          <w:highlight w:val="none"/>
          <w:lang w:eastAsia="zh-CN"/>
        </w:rPr>
        <w:t>。</w:t>
      </w:r>
    </w:p>
    <w:p w14:paraId="089B93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彩色M型功能</w:t>
      </w:r>
    </w:p>
    <w:p w14:paraId="4BAEE0A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组织多普勒成像，定量分析心肌运动和功能，检测室壁运动异常</w:t>
      </w:r>
      <w:r>
        <w:rPr>
          <w:rFonts w:hint="eastAsia" w:ascii="宋体" w:hAnsi="宋体" w:cs="宋体"/>
          <w:color w:val="auto"/>
          <w:sz w:val="24"/>
          <w:szCs w:val="24"/>
          <w:highlight w:val="none"/>
          <w:lang w:eastAsia="zh-CN"/>
        </w:rPr>
        <w:t>。</w:t>
      </w:r>
    </w:p>
    <w:p w14:paraId="168E782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组织速度成像，对心肌组织反射回来的频移信号进行与CDFI编码原则相同的彩色编码，颜色和亮度代表心肌运动的方向和速度，定量分析心肌运动和功能，检测室壁运动异常</w:t>
      </w:r>
      <w:r>
        <w:rPr>
          <w:rFonts w:hint="eastAsia" w:ascii="宋体" w:hAnsi="宋体" w:cs="宋体"/>
          <w:color w:val="auto"/>
          <w:sz w:val="24"/>
          <w:szCs w:val="24"/>
          <w:highlight w:val="none"/>
          <w:lang w:eastAsia="zh-CN"/>
        </w:rPr>
        <w:t>。</w:t>
      </w:r>
    </w:p>
    <w:p w14:paraId="2A9750D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颈动脉内中膜自动测量，冻结模式，无需手动操作，自动获得前后壁测量结果并自动获取≥3组IMT内膜厚度值</w:t>
      </w:r>
      <w:r>
        <w:rPr>
          <w:rFonts w:hint="eastAsia" w:ascii="宋体" w:hAnsi="宋体" w:cs="宋体"/>
          <w:color w:val="auto"/>
          <w:sz w:val="24"/>
          <w:szCs w:val="24"/>
          <w:highlight w:val="none"/>
          <w:lang w:eastAsia="zh-CN"/>
        </w:rPr>
        <w:t>。</w:t>
      </w:r>
    </w:p>
    <w:p w14:paraId="20CD56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左心室射血分数自动测量包功能</w:t>
      </w:r>
    </w:p>
    <w:p w14:paraId="5E5091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频谱自动跟踪测量</w:t>
      </w:r>
    </w:p>
    <w:p w14:paraId="7D6013E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可对回放的常规图像进行≥20种参数调节</w:t>
      </w:r>
    </w:p>
    <w:p w14:paraId="6A4863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40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可根据医生习惯自定义检查规范。</w:t>
      </w:r>
    </w:p>
    <w:p w14:paraId="4BDDA3A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测量和分析：(B型、M型、频谱多普勒、彩色模式)</w:t>
      </w:r>
      <w:r>
        <w:rPr>
          <w:rFonts w:hint="eastAsia" w:ascii="宋体" w:hAnsi="宋体" w:cs="宋体"/>
          <w:color w:val="auto"/>
          <w:sz w:val="24"/>
          <w:szCs w:val="24"/>
          <w:highlight w:val="none"/>
          <w:lang w:eastAsia="zh-CN"/>
        </w:rPr>
        <w:t>。</w:t>
      </w:r>
    </w:p>
    <w:p w14:paraId="0E8BCC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一般测量。</w:t>
      </w:r>
    </w:p>
    <w:p w14:paraId="110CB0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急诊、肾内、麻醉、重症、肌骨测量包。</w:t>
      </w:r>
    </w:p>
    <w:p w14:paraId="418C89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妇、产科测量包，支持产科自动测量。</w:t>
      </w:r>
    </w:p>
    <w:p w14:paraId="2129E4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血管测量包</w:t>
      </w:r>
    </w:p>
    <w:p w14:paraId="2F16E7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泌尿科测量与分析，支持膀胱自动测量</w:t>
      </w:r>
    </w:p>
    <w:p w14:paraId="3F2E32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肾脏测量包</w:t>
      </w:r>
    </w:p>
    <w:p w14:paraId="02C24B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容积测量包</w:t>
      </w:r>
    </w:p>
    <w:p w14:paraId="2D1D4D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多普勒血流测量与分析</w:t>
      </w:r>
    </w:p>
    <w:p w14:paraId="2A710C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自动多普勒血流测量与分析</w:t>
      </w:r>
    </w:p>
    <w:p w14:paraId="073D17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客户自定义测量</w:t>
      </w:r>
    </w:p>
    <w:p w14:paraId="5819F5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图像存储与(电影)回放重现单元</w:t>
      </w:r>
    </w:p>
    <w:p w14:paraId="242F78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输入/输出信号：</w:t>
      </w:r>
    </w:p>
    <w:p w14:paraId="4B73B1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输入：音频。</w:t>
      </w:r>
    </w:p>
    <w:p w14:paraId="4F1189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输出：DVI、音频。</w:t>
      </w:r>
    </w:p>
    <w:p w14:paraId="48418F0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连通性：AVI, VRD，医学数字图像格式</w:t>
      </w:r>
      <w:r>
        <w:rPr>
          <w:rFonts w:hint="eastAsia" w:ascii="宋体" w:hAnsi="宋体" w:cs="宋体"/>
          <w:color w:val="auto"/>
          <w:sz w:val="24"/>
          <w:szCs w:val="24"/>
          <w:highlight w:val="none"/>
          <w:lang w:eastAsia="zh-CN"/>
        </w:rPr>
        <w:t>。</w:t>
      </w:r>
    </w:p>
    <w:p w14:paraId="438681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图像管理与记录装置：</w:t>
      </w:r>
    </w:p>
    <w:p w14:paraId="126A43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超声图像存档与病案管理系统</w:t>
      </w:r>
    </w:p>
    <w:p w14:paraId="536EC2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硬盘≥120GB</w:t>
      </w:r>
    </w:p>
    <w:p w14:paraId="0FA9AE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一体化原始数据的剪贴版可以存储和回放动态及静态图像以往图像与当前图像同屏对比显示。</w:t>
      </w:r>
    </w:p>
    <w:p w14:paraId="14C9A1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≥2个USB接口，可一键快速将图象存储至USB、硬盘。</w:t>
      </w:r>
    </w:p>
    <w:p w14:paraId="6B22F4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客户报告系统。</w:t>
      </w:r>
    </w:p>
    <w:p w14:paraId="181A44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六、技术参数及要求：</w:t>
      </w:r>
    </w:p>
    <w:p w14:paraId="637211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系统通用功能：</w:t>
      </w:r>
    </w:p>
    <w:p w14:paraId="62A401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≥15英寸液晶监视器</w:t>
      </w:r>
    </w:p>
    <w:p w14:paraId="268AFD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≥8英寸触摸屏</w:t>
      </w:r>
    </w:p>
    <w:p w14:paraId="158AB37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6.1.3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支持触摸屏参数、功能布局界面任意移动</w:t>
      </w:r>
      <w:r>
        <w:rPr>
          <w:rFonts w:hint="eastAsia" w:ascii="宋体" w:hAnsi="宋体" w:cs="宋体"/>
          <w:color w:val="auto"/>
          <w:sz w:val="24"/>
          <w:szCs w:val="24"/>
          <w:highlight w:val="none"/>
          <w:lang w:eastAsia="zh-CN"/>
        </w:rPr>
        <w:t>。</w:t>
      </w:r>
    </w:p>
    <w:p w14:paraId="1A6C367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6.1.4触摸屏可手写画图、手动圈注、手写标记示教</w:t>
      </w:r>
      <w:r>
        <w:rPr>
          <w:rFonts w:hint="eastAsia" w:ascii="宋体" w:hAnsi="宋体" w:eastAsia="宋体" w:cs="宋体"/>
          <w:color w:val="auto"/>
          <w:sz w:val="24"/>
          <w:szCs w:val="24"/>
          <w:highlight w:val="none"/>
          <w:lang w:val="en-US" w:eastAsia="zh-CN"/>
        </w:rPr>
        <w:t>等</w:t>
      </w:r>
      <w:r>
        <w:rPr>
          <w:rFonts w:hint="eastAsia" w:ascii="宋体" w:hAnsi="宋体" w:cs="宋体"/>
          <w:color w:val="auto"/>
          <w:sz w:val="24"/>
          <w:szCs w:val="24"/>
          <w:highlight w:val="none"/>
          <w:lang w:val="en-US" w:eastAsia="zh-CN"/>
        </w:rPr>
        <w:t>。</w:t>
      </w:r>
    </w:p>
    <w:p w14:paraId="5B0CD9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6.2探头规格：</w:t>
      </w:r>
    </w:p>
    <w:p w14:paraId="47E310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6.2.1探头数量：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个(线阵，凸阵，</w:t>
      </w:r>
      <w:r>
        <w:rPr>
          <w:rFonts w:hint="eastAsia" w:ascii="宋体" w:hAnsi="宋体" w:eastAsia="宋体" w:cs="宋体"/>
          <w:color w:val="auto"/>
          <w:sz w:val="24"/>
          <w:szCs w:val="24"/>
          <w:highlight w:val="none"/>
          <w:lang w:val="en-US" w:eastAsia="zh-CN"/>
        </w:rPr>
        <w:t>心脏，</w:t>
      </w:r>
      <w:r>
        <w:rPr>
          <w:rFonts w:hint="eastAsia" w:ascii="宋体" w:hAnsi="宋体" w:eastAsia="宋体" w:cs="宋体"/>
          <w:color w:val="auto"/>
          <w:sz w:val="24"/>
          <w:szCs w:val="24"/>
          <w:highlight w:val="none"/>
        </w:rPr>
        <w:t>肌骨)。</w:t>
      </w:r>
    </w:p>
    <w:p w14:paraId="3C642B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6.2.2频率：宽频带或变频探头，实现二维、彩色、多普勒频率独立可调，基波中心频率可选择≥4种，谐波频率可选≥4种，多普勒可选不同频率≥3种。</w:t>
      </w:r>
    </w:p>
    <w:p w14:paraId="7BB302A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腹部探头：频率范围约2-6MHz，</w:t>
      </w:r>
    </w:p>
    <w:p w14:paraId="4E1D4BB4">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浅表探头：频率范围约4-12MHz </w:t>
      </w:r>
    </w:p>
    <w:p w14:paraId="2E127E80">
      <w:pPr>
        <w:spacing w:line="360" w:lineRule="auto"/>
        <w:ind w:firstLine="960" w:firstLineChars="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心脏探头：频率范围</w:t>
      </w:r>
      <w:r>
        <w:rPr>
          <w:rFonts w:hint="eastAsia" w:ascii="宋体" w:hAnsi="宋体" w:eastAsia="宋体" w:cs="宋体"/>
          <w:color w:val="auto"/>
          <w:sz w:val="24"/>
          <w:szCs w:val="24"/>
          <w:highlight w:val="none"/>
        </w:rPr>
        <w:t>约</w:t>
      </w:r>
      <w:r>
        <w:rPr>
          <w:rFonts w:hint="eastAsia" w:ascii="宋体" w:hAnsi="宋体" w:eastAsia="宋体" w:cs="宋体"/>
          <w:color w:val="auto"/>
          <w:sz w:val="24"/>
          <w:szCs w:val="24"/>
          <w:highlight w:val="none"/>
          <w:lang w:val="en-US" w:eastAsia="zh-CN"/>
        </w:rPr>
        <w:t>1-5MHz</w:t>
      </w:r>
    </w:p>
    <w:p w14:paraId="0BFA378B">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肌骨探头：频率范围约6-16MHz</w:t>
      </w:r>
    </w:p>
    <w:p w14:paraId="20A043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振子：凸阵探头有效振子数≥128振子。</w:t>
      </w:r>
    </w:p>
    <w:p w14:paraId="537B4D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相控阵探头角度≥120°。</w:t>
      </w:r>
    </w:p>
    <w:p w14:paraId="40C6B8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探头配穿刺导向装置。</w:t>
      </w:r>
    </w:p>
    <w:p w14:paraId="795316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二维灰阶显像主要参数：</w:t>
      </w:r>
    </w:p>
    <w:p w14:paraId="7C72DB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扫描速率：凸阵探头，全视野，18cm深度时，帧速率≥30帧/秒。</w:t>
      </w:r>
    </w:p>
    <w:p w14:paraId="7B768F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扫描线：每帧线密度≥512超声线。</w:t>
      </w:r>
    </w:p>
    <w:p w14:paraId="0E2A3D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发射声束聚焦：连续聚焦</w:t>
      </w:r>
    </w:p>
    <w:p w14:paraId="14F893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接收方式：多倍信号并行处理</w:t>
      </w:r>
    </w:p>
    <w:p w14:paraId="138C8C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数字式声束形成器：数字式全程动态连续聚焦，数字式可变孔径及动态变迹，A/D≥12bit。</w:t>
      </w:r>
    </w:p>
    <w:p w14:paraId="048DC0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回放重现：回放时间≥1000秒。</w:t>
      </w:r>
    </w:p>
    <w:p w14:paraId="4E17F8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6.3.7</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预设条件：针对不同的检查脏器，预置最佳化图像的检查条件增益调节：B/M可独立调节，TGC分段调节。</w:t>
      </w:r>
    </w:p>
    <w:p w14:paraId="18F268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6.3.8</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最大显示深度≥38cm</w:t>
      </w:r>
    </w:p>
    <w:p w14:paraId="33890B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频谱多普勒：</w:t>
      </w:r>
    </w:p>
    <w:p w14:paraId="21BF67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方式：脉冲波多普勒：PWD</w:t>
      </w:r>
    </w:p>
    <w:p w14:paraId="5ADE2A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PWD：最高测量速度≥9m/s。最低测量速度≤1mm/s(非噪声信号)。</w:t>
      </w:r>
    </w:p>
    <w:p w14:paraId="7CA028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显示方式：B/PWD、B/CF+PWD。</w:t>
      </w:r>
    </w:p>
    <w:p w14:paraId="02FA1F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取样宽度及位置范围：宽度0.5mm至30mm。</w:t>
      </w:r>
    </w:p>
    <w:p w14:paraId="11D85A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显示控制：反转显示(左/右；上/下)零移位。</w:t>
      </w:r>
    </w:p>
    <w:p w14:paraId="730A2A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频谱自动跟踪与测量。</w:t>
      </w:r>
    </w:p>
    <w:p w14:paraId="425C77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彩色多普勒：</w:t>
      </w:r>
    </w:p>
    <w:p w14:paraId="0AF592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显示方式：速度方差显示、能量显示，速度显示、方差显示。</w:t>
      </w:r>
    </w:p>
    <w:p w14:paraId="5D26F3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具有双同步 / 三同步显示(B/PW/CF、B/PW/PDI)。</w:t>
      </w:r>
    </w:p>
    <w:p w14:paraId="437CD0C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6.5.3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彩色模式下支持彩色立体血流显示功能（提供线阵探头临床图片证明）</w:t>
      </w:r>
      <w:r>
        <w:rPr>
          <w:rFonts w:hint="eastAsia" w:ascii="宋体" w:hAnsi="宋体" w:cs="宋体"/>
          <w:color w:val="auto"/>
          <w:sz w:val="24"/>
          <w:szCs w:val="24"/>
          <w:highlight w:val="none"/>
          <w:lang w:eastAsia="zh-CN"/>
        </w:rPr>
        <w:t>。</w:t>
      </w:r>
    </w:p>
    <w:p w14:paraId="79CC76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彩色显示帧频：凸阵探头、最大角度，18cm深时，彩色显示帧频≥15帧/秒。</w:t>
      </w:r>
    </w:p>
    <w:p w14:paraId="0D8CB5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显示位置调整：线阵扫描感兴趣的图像范围：-20°～+20°。</w:t>
      </w:r>
    </w:p>
    <w:p w14:paraId="3B02D6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显示控制：零位移动</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级、黑/白与彩色比较、彩色对比。</w:t>
      </w:r>
    </w:p>
    <w:p w14:paraId="5AC0493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6.5.7</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彩色多普勒能量图，彩色方向性能量图。</w:t>
      </w:r>
    </w:p>
    <w:p w14:paraId="3F71B4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6.5.8</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彩色显示速度：最低平均血流显示速度≤1cm/s（非噪声信号）。</w:t>
      </w:r>
    </w:p>
    <w:p w14:paraId="0D046FA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、配置要求</w:t>
      </w:r>
    </w:p>
    <w:p w14:paraId="475302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便携式数字化超声诊断仪 1台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腹部探头1把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浅表探头1把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心脏探头1把</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肌骨探头1把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专用拉杆箱1个</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专用</w:t>
      </w:r>
      <w:r>
        <w:rPr>
          <w:rFonts w:hint="eastAsia" w:ascii="宋体" w:hAnsi="宋体" w:eastAsia="宋体" w:cs="宋体"/>
          <w:color w:val="auto"/>
          <w:sz w:val="24"/>
          <w:szCs w:val="24"/>
          <w:highlight w:val="none"/>
        </w:rPr>
        <w:t>台车1台</w:t>
      </w:r>
    </w:p>
    <w:p w14:paraId="1042A947">
      <w:pPr>
        <w:widowControl/>
        <w:spacing w:line="360" w:lineRule="auto"/>
        <w:ind w:firstLine="540" w:firstLineChars="200"/>
        <w:jc w:val="left"/>
        <w:rPr>
          <w:rFonts w:hint="eastAsia" w:ascii="宋体" w:hAnsi="宋体" w:eastAsia="宋体" w:cs="宋体"/>
          <w:color w:val="auto"/>
          <w:sz w:val="24"/>
          <w:szCs w:val="24"/>
          <w:highlight w:val="none"/>
        </w:rPr>
        <w:sectPr>
          <w:headerReference r:id="rId7" w:type="default"/>
          <w:footerReference r:id="rId8" w:type="default"/>
          <w:pgSz w:w="11905" w:h="16838"/>
          <w:pgMar w:top="1440" w:right="1080" w:bottom="1440" w:left="1080" w:header="851" w:footer="992" w:gutter="0"/>
          <w:cols w:space="0" w:num="1"/>
          <w:docGrid w:linePitch="462" w:charSpace="0"/>
        </w:sectPr>
      </w:pPr>
      <w:r>
        <w:rPr>
          <w:rFonts w:hint="eastAsia" w:ascii="宋体" w:hAnsi="宋体" w:cs="宋体"/>
          <w:color w:val="000000"/>
          <w:spacing w:val="15"/>
          <w:kern w:val="0"/>
          <w:sz w:val="24"/>
          <w:szCs w:val="24"/>
          <w:lang w:val="en-US" w:eastAsia="zh-CN"/>
        </w:rPr>
        <w:t>（2）</w:t>
      </w:r>
      <w:r>
        <w:rPr>
          <w:rFonts w:hint="eastAsia" w:ascii="宋体" w:hAnsi="宋体" w:eastAsia="宋体" w:cs="宋体"/>
          <w:color w:val="auto"/>
          <w:sz w:val="24"/>
          <w:szCs w:val="24"/>
          <w:highlight w:val="none"/>
        </w:rPr>
        <w:t>超声工作站一套；包括电脑一台、高清采集卡一个、打印机一台，需承担超声工作站系统连入PACS 连接费。</w:t>
      </w:r>
    </w:p>
    <w:p w14:paraId="7047FCBB">
      <w:pPr>
        <w:jc w:val="center"/>
        <w:rPr>
          <w:rFonts w:hint="default" w:ascii="宋体" w:hAnsi="宋体" w:cs="宋体"/>
          <w:b/>
          <w:bCs/>
          <w:sz w:val="32"/>
          <w:szCs w:val="32"/>
          <w:highlight w:val="yellow"/>
        </w:rPr>
      </w:pPr>
      <w:r>
        <w:rPr>
          <w:rFonts w:hint="eastAsia" w:ascii="宋体" w:hAnsi="宋体" w:cs="宋体"/>
          <w:b/>
          <w:bCs/>
          <w:sz w:val="32"/>
          <w:szCs w:val="32"/>
          <w:highlight w:val="yellow"/>
          <w:lang w:val="en-US" w:eastAsia="zh-CN"/>
        </w:rPr>
        <w:t>第二包：采购</w:t>
      </w:r>
      <w:r>
        <w:rPr>
          <w:rFonts w:hint="eastAsia" w:ascii="宋体" w:hAnsi="宋体" w:cs="宋体"/>
          <w:b/>
          <w:bCs/>
          <w:sz w:val="32"/>
          <w:szCs w:val="32"/>
          <w:highlight w:val="yellow"/>
        </w:rPr>
        <w:t>高端心脏彩色多普勒超声诊断仪（1套）</w:t>
      </w:r>
    </w:p>
    <w:p w14:paraId="0CD27EC2">
      <w:pPr>
        <w:rPr>
          <w:rFonts w:hint="eastAsia"/>
        </w:rPr>
      </w:pPr>
    </w:p>
    <w:p w14:paraId="67029B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设备用途及说明：</w:t>
      </w:r>
    </w:p>
    <w:p w14:paraId="09948B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 .用于成人心脏、小儿心脏、新生儿心脏、血管（外周、腹部、脑血管）、腹部等临床应用;</w:t>
      </w:r>
      <w:r>
        <w:rPr>
          <w:rFonts w:hint="eastAsia" w:ascii="宋体" w:hAnsi="宋体" w:eastAsia="宋体" w:cs="宋体"/>
          <w:color w:val="auto"/>
          <w:sz w:val="24"/>
          <w:rtl w:val="0"/>
          <w:lang w:val="zh-TW" w:eastAsia="zh-TW"/>
        </w:rPr>
        <w:t>支持实时二维和</w:t>
      </w:r>
      <w:r>
        <w:rPr>
          <w:rFonts w:hint="eastAsia" w:ascii="宋体" w:hAnsi="宋体" w:eastAsia="宋体" w:cs="宋体"/>
          <w:color w:val="auto"/>
          <w:sz w:val="24"/>
          <w:rtl w:val="0"/>
          <w:lang w:val="en-US" w:eastAsia="zh-CN"/>
        </w:rPr>
        <w:t>三</w:t>
      </w:r>
      <w:r>
        <w:rPr>
          <w:rFonts w:hint="eastAsia" w:ascii="宋体" w:hAnsi="宋体" w:eastAsia="宋体" w:cs="宋体"/>
          <w:color w:val="auto"/>
          <w:sz w:val="24"/>
          <w:rtl w:val="0"/>
          <w:lang w:val="zh-TW" w:eastAsia="zh-TW"/>
        </w:rPr>
        <w:t>维经胸和经食管超声心动图成像</w:t>
      </w:r>
      <w:r>
        <w:rPr>
          <w:rFonts w:hint="eastAsia" w:ascii="宋体" w:hAnsi="宋体" w:eastAsia="宋体" w:cs="宋体"/>
          <w:color w:val="auto"/>
          <w:sz w:val="24"/>
          <w:rtl w:val="0"/>
          <w:lang w:val="zh-TW" w:eastAsia="zh-CN"/>
        </w:rPr>
        <w:t>，</w:t>
      </w:r>
      <w:r>
        <w:rPr>
          <w:rFonts w:hint="eastAsia" w:ascii="宋体" w:hAnsi="宋体" w:eastAsia="宋体" w:cs="宋体"/>
          <w:sz w:val="24"/>
        </w:rPr>
        <w:t>以超声临床诊断应用和相关科研为主。</w:t>
      </w:r>
    </w:p>
    <w:p w14:paraId="428B8D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2.投标产品为最新版本高端机型。</w:t>
      </w:r>
    </w:p>
    <w:p w14:paraId="579A9E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技术规格要求： </w:t>
      </w:r>
    </w:p>
    <w:p w14:paraId="253C3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1.主机成像系统： </w:t>
      </w:r>
    </w:p>
    <w:p w14:paraId="7A9E6F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1.1 超高数字化系统，声束的形成、采集和处理 </w:t>
      </w:r>
      <w:r>
        <w:rPr>
          <w:rFonts w:hint="eastAsia" w:ascii="宋体" w:hAnsi="宋体" w:cs="宋体"/>
          <w:sz w:val="24"/>
          <w:lang w:eastAsia="zh-CN"/>
        </w:rPr>
        <w:t>。</w:t>
      </w:r>
    </w:p>
    <w:p w14:paraId="2F832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1.2 ≥21"显示器，可上下左右旋转</w:t>
      </w:r>
      <w:r>
        <w:rPr>
          <w:rFonts w:hint="eastAsia" w:ascii="宋体" w:hAnsi="宋体" w:cs="宋体"/>
          <w:sz w:val="24"/>
          <w:lang w:eastAsia="zh-CN"/>
        </w:rPr>
        <w:t>。</w:t>
      </w:r>
    </w:p>
    <w:p w14:paraId="3FEE6F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1.3 ≥12"液晶触摸屏,可通过手指滑动触摸屏进行翻页，直接点击触摸屏即可选择需要调节的参数，操作面板可上下左右进行高度调整及旋转 </w:t>
      </w:r>
      <w:r>
        <w:rPr>
          <w:rFonts w:hint="eastAsia" w:ascii="宋体" w:hAnsi="宋体" w:cs="宋体"/>
          <w:sz w:val="24"/>
          <w:lang w:eastAsia="zh-CN"/>
        </w:rPr>
        <w:t>。</w:t>
      </w:r>
    </w:p>
    <w:p w14:paraId="21CD6B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1.4 同屏双幅2D成像 </w:t>
      </w:r>
    </w:p>
    <w:p w14:paraId="4AADC1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1.5 显示器可放大扫描图像，包括二维、彩色、频谱等</w:t>
      </w:r>
      <w:r>
        <w:rPr>
          <w:rFonts w:hint="eastAsia" w:ascii="宋体" w:hAnsi="宋体" w:cs="宋体"/>
          <w:sz w:val="24"/>
          <w:lang w:eastAsia="zh-CN"/>
        </w:rPr>
        <w:t>。</w:t>
      </w:r>
    </w:p>
    <w:p w14:paraId="7EACE3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sz w:val="24"/>
        </w:rPr>
        <w:t>1.6 通用成像探头接口≥4 个</w:t>
      </w:r>
      <w:r>
        <w:rPr>
          <w:rFonts w:hint="eastAsia" w:ascii="宋体" w:hAnsi="宋体" w:eastAsia="宋体" w:cs="宋体"/>
          <w:sz w:val="24"/>
          <w:lang w:eastAsia="zh-CN"/>
        </w:rPr>
        <w:t>，</w:t>
      </w:r>
      <w:r>
        <w:rPr>
          <w:rFonts w:hint="eastAsia" w:ascii="宋体" w:hAnsi="宋体" w:eastAsia="宋体" w:cs="宋体"/>
          <w:sz w:val="24"/>
          <w:lang w:val="en-US" w:eastAsia="zh-CN"/>
        </w:rPr>
        <w:t>全部激活，可互换、</w:t>
      </w:r>
      <w:r>
        <w:rPr>
          <w:rFonts w:hint="eastAsia" w:ascii="宋体" w:hAnsi="宋体" w:eastAsia="宋体" w:cs="宋体"/>
          <w:color w:val="auto"/>
          <w:sz w:val="24"/>
        </w:rPr>
        <w:t>1.7配</w:t>
      </w:r>
      <w:r>
        <w:rPr>
          <w:rFonts w:hint="eastAsia" w:ascii="宋体" w:hAnsi="宋体" w:eastAsia="宋体" w:cs="宋体"/>
          <w:color w:val="auto"/>
          <w:sz w:val="24"/>
          <w:lang w:val="en-US" w:eastAsia="zh-CN"/>
        </w:rPr>
        <w:t>解剖</w:t>
      </w:r>
      <w:r>
        <w:rPr>
          <w:rFonts w:hint="eastAsia" w:ascii="宋体" w:hAnsi="宋体" w:eastAsia="宋体" w:cs="宋体"/>
          <w:color w:val="auto"/>
          <w:sz w:val="24"/>
        </w:rPr>
        <w:t>M型模式</w:t>
      </w:r>
      <w:r>
        <w:rPr>
          <w:rFonts w:hint="eastAsia" w:ascii="宋体" w:hAnsi="宋体" w:cs="宋体"/>
          <w:color w:val="auto"/>
          <w:sz w:val="24"/>
          <w:lang w:eastAsia="zh-CN"/>
        </w:rPr>
        <w:t>。</w:t>
      </w:r>
    </w:p>
    <w:p w14:paraId="1C2F42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1.8 空间复合成像</w:t>
      </w:r>
    </w:p>
    <w:p w14:paraId="330B1E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1.9 具备</w:t>
      </w:r>
      <w:r>
        <w:rPr>
          <w:rFonts w:hint="eastAsia" w:ascii="宋体" w:hAnsi="宋体" w:eastAsia="宋体" w:cs="宋体"/>
          <w:sz w:val="24"/>
          <w:highlight w:val="none"/>
          <w:lang w:val="en-US" w:eastAsia="zh-CN"/>
        </w:rPr>
        <w:t>超分辨率显微</w:t>
      </w:r>
      <w:r>
        <w:rPr>
          <w:rFonts w:hint="eastAsia" w:ascii="宋体" w:hAnsi="宋体" w:eastAsia="宋体" w:cs="宋体"/>
          <w:sz w:val="24"/>
          <w:highlight w:val="none"/>
        </w:rPr>
        <w:t>技术</w:t>
      </w:r>
    </w:p>
    <w:p w14:paraId="4F480E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1.10 高分辨率血流成像 </w:t>
      </w:r>
    </w:p>
    <w:p w14:paraId="12F928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1.11 数字化二维灰阶成像及 M 型显像单元 </w:t>
      </w:r>
    </w:p>
    <w:p w14:paraId="185B4E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1.12 M型彩色多普勒 </w:t>
      </w:r>
    </w:p>
    <w:p w14:paraId="3EA1AE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1.13 M型组织多普勒 </w:t>
      </w:r>
    </w:p>
    <w:p w14:paraId="50C432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1.14 彩色多普勒成像技术 </w:t>
      </w:r>
    </w:p>
    <w:p w14:paraId="68277A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1.15 彩色多普勒能量图技术 </w:t>
      </w:r>
    </w:p>
    <w:p w14:paraId="5067BD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1.16 可实时双幅显示</w:t>
      </w:r>
    </w:p>
    <w:p w14:paraId="1CF631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1.17 感兴趣区域分析</w:t>
      </w:r>
    </w:p>
    <w:p w14:paraId="0E904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1.18 自适应宽频彩色血流 </w:t>
      </w:r>
    </w:p>
    <w:p w14:paraId="2C4909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1.19 使用多个伪彩进行色度着色</w:t>
      </w:r>
    </w:p>
    <w:p w14:paraId="7416B6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1.20 根据彩色取样框位置自动调整发射和接收带宽处理</w:t>
      </w:r>
    </w:p>
    <w:p w14:paraId="170711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1.21 内置 DICOM 3.0 标准输出接口 </w:t>
      </w:r>
    </w:p>
    <w:p w14:paraId="5E3AE9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1.22 内有一体化超声工作站 </w:t>
      </w:r>
    </w:p>
    <w:p w14:paraId="1C8D03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1.23 系统主机内置 </w:t>
      </w:r>
      <w:r>
        <w:rPr>
          <w:rFonts w:hint="eastAsia" w:ascii="宋体" w:hAnsi="宋体" w:eastAsia="宋体" w:cs="宋体"/>
          <w:sz w:val="24"/>
          <w:lang w:val="en-US" w:eastAsia="zh-CN"/>
        </w:rPr>
        <w:t>≥</w:t>
      </w:r>
      <w:r>
        <w:rPr>
          <w:rFonts w:hint="eastAsia" w:ascii="宋体" w:hAnsi="宋体" w:eastAsia="宋体" w:cs="宋体"/>
          <w:sz w:val="24"/>
        </w:rPr>
        <w:t>1TB 硬盘，具备中文操作界面</w:t>
      </w:r>
      <w:r>
        <w:rPr>
          <w:rFonts w:hint="eastAsia" w:ascii="宋体" w:hAnsi="宋体" w:cs="宋体"/>
          <w:sz w:val="24"/>
          <w:lang w:eastAsia="zh-CN"/>
        </w:rPr>
        <w:t>。</w:t>
      </w:r>
    </w:p>
    <w:p w14:paraId="0D3E0E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2 二维灰阶成像单元 </w:t>
      </w:r>
    </w:p>
    <w:p w14:paraId="0F4614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2.1 所有探头均为宽频、变频探头，基波频率、基波的具体数值可在屏幕上显示</w:t>
      </w:r>
      <w:r>
        <w:rPr>
          <w:rFonts w:hint="eastAsia" w:ascii="宋体" w:hAnsi="宋体" w:cs="宋体"/>
          <w:sz w:val="24"/>
          <w:lang w:eastAsia="zh-CN"/>
        </w:rPr>
        <w:t>。</w:t>
      </w:r>
      <w:r>
        <w:rPr>
          <w:rFonts w:hint="eastAsia" w:ascii="宋体" w:hAnsi="宋体" w:eastAsia="宋体" w:cs="宋体"/>
          <w:sz w:val="24"/>
        </w:rPr>
        <w:t xml:space="preserve"> </w:t>
      </w:r>
    </w:p>
    <w:p w14:paraId="1C5421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2.2 具备增强组织边界，抑制斑点噪声功能，支持所有探头 </w:t>
      </w:r>
      <w:r>
        <w:rPr>
          <w:rFonts w:hint="eastAsia" w:ascii="宋体" w:hAnsi="宋体" w:cs="宋体"/>
          <w:sz w:val="24"/>
          <w:lang w:eastAsia="zh-CN"/>
        </w:rPr>
        <w:t>。</w:t>
      </w:r>
    </w:p>
    <w:p w14:paraId="3CEFF0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2.3 具备斑点噪声抑制技术</w:t>
      </w:r>
    </w:p>
    <w:p w14:paraId="592BAB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2.4 频率复合成像</w:t>
      </w:r>
    </w:p>
    <w:p w14:paraId="0CAD66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2.5 二维立体血流模式，能够测量超低速血流及微细血流显示</w:t>
      </w:r>
      <w:r>
        <w:rPr>
          <w:rFonts w:hint="eastAsia" w:ascii="宋体" w:hAnsi="宋体" w:cs="宋体"/>
          <w:sz w:val="24"/>
          <w:lang w:eastAsia="zh-CN"/>
        </w:rPr>
        <w:t>。</w:t>
      </w:r>
    </w:p>
    <w:p w14:paraId="13D1F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2.6 一键优化图像，可实时优化二维增益、TGC 曲线等成像参数</w:t>
      </w:r>
      <w:r>
        <w:rPr>
          <w:rFonts w:hint="eastAsia" w:ascii="宋体" w:hAnsi="宋体" w:cs="宋体"/>
          <w:sz w:val="24"/>
          <w:lang w:eastAsia="zh-CN"/>
        </w:rPr>
        <w:t>。</w:t>
      </w:r>
      <w:r>
        <w:rPr>
          <w:rFonts w:hint="eastAsia" w:ascii="宋体" w:hAnsi="宋体" w:eastAsia="宋体" w:cs="宋体"/>
          <w:sz w:val="24"/>
        </w:rPr>
        <w:t xml:space="preserve"> </w:t>
      </w:r>
    </w:p>
    <w:p w14:paraId="1983C1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2.7自动实时持续增益补偿 </w:t>
      </w:r>
    </w:p>
    <w:p w14:paraId="2ED230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2.8 支持左心室心腔显影</w:t>
      </w:r>
    </w:p>
    <w:p w14:paraId="2694AD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2.9 可支持实时任意多平面经食道扫查，支持成人及小儿经食道诊断</w:t>
      </w:r>
      <w:r>
        <w:rPr>
          <w:rFonts w:hint="eastAsia" w:ascii="宋体" w:hAnsi="宋体" w:cs="宋体"/>
          <w:sz w:val="24"/>
          <w:lang w:eastAsia="zh-CN"/>
        </w:rPr>
        <w:t>。</w:t>
      </w:r>
    </w:p>
    <w:p w14:paraId="059365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2.10 具备穿刺针增强技术</w:t>
      </w:r>
    </w:p>
    <w:p w14:paraId="6DD9F3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2.11 支持手动触摸屏上包络测量 </w:t>
      </w:r>
    </w:p>
    <w:p w14:paraId="1E4635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2.12 具备心超定制界面</w:t>
      </w:r>
    </w:p>
    <w:p w14:paraId="0415CA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3. 彩色多普勒血流成像单元 </w:t>
      </w:r>
    </w:p>
    <w:p w14:paraId="10AA38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3.1 可选择灰度曲线</w:t>
      </w:r>
    </w:p>
    <w:p w14:paraId="30C5B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3.2 自适应超宽频带彩色多普勒成像技术 </w:t>
      </w:r>
    </w:p>
    <w:p w14:paraId="10463D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3.3 彩色多普勒血流算法可实现血管描绘和时间显示</w:t>
      </w:r>
    </w:p>
    <w:p w14:paraId="19E88E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3.4 彩色实时同屏双幅对比显像 </w:t>
      </w:r>
    </w:p>
    <w:p w14:paraId="5C924D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3.5 具备冠脉血流成像模式</w:t>
      </w:r>
    </w:p>
    <w:p w14:paraId="6ADA62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3.6 彩色增益可独立调节，支持凸阵、线阵、相控阵 </w:t>
      </w:r>
      <w:r>
        <w:rPr>
          <w:rFonts w:hint="eastAsia" w:ascii="宋体" w:hAnsi="宋体" w:cs="宋体"/>
          <w:sz w:val="24"/>
          <w:lang w:eastAsia="zh-CN"/>
        </w:rPr>
        <w:t>。</w:t>
      </w:r>
    </w:p>
    <w:p w14:paraId="58708A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3.7 微细血流成像</w:t>
      </w:r>
    </w:p>
    <w:p w14:paraId="58B6EA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4 频谱多普勒成像单元 </w:t>
      </w:r>
    </w:p>
    <w:p w14:paraId="0D0A13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4.1 毫秒频谱FFT速率 </w:t>
      </w:r>
    </w:p>
    <w:p w14:paraId="498D92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4.2 实时自动多普勒测量分析，可提供多参数选择</w:t>
      </w:r>
      <w:r>
        <w:rPr>
          <w:rFonts w:hint="eastAsia" w:ascii="宋体" w:hAnsi="宋体" w:cs="宋体"/>
          <w:sz w:val="24"/>
          <w:lang w:eastAsia="zh-CN"/>
        </w:rPr>
        <w:t>。</w:t>
      </w:r>
      <w:r>
        <w:rPr>
          <w:rFonts w:hint="eastAsia" w:ascii="宋体" w:hAnsi="宋体" w:eastAsia="宋体" w:cs="宋体"/>
          <w:sz w:val="24"/>
        </w:rPr>
        <w:t xml:space="preserve"> </w:t>
      </w:r>
    </w:p>
    <w:p w14:paraId="2C40C6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4.3 通过角度校正，自动调节速度标尺 </w:t>
      </w:r>
      <w:r>
        <w:rPr>
          <w:rFonts w:hint="eastAsia" w:ascii="宋体" w:hAnsi="宋体" w:cs="宋体"/>
          <w:sz w:val="24"/>
          <w:lang w:eastAsia="zh-CN"/>
        </w:rPr>
        <w:t>。</w:t>
      </w:r>
    </w:p>
    <w:p w14:paraId="1D5D4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4.4 频谱自动分析系统：包括实时自动包络、手动包络等；自动计算各血流动力学参数</w:t>
      </w:r>
      <w:r>
        <w:rPr>
          <w:rFonts w:hint="eastAsia" w:ascii="宋体" w:hAnsi="宋体" w:cs="宋体"/>
          <w:sz w:val="24"/>
          <w:lang w:eastAsia="zh-CN"/>
        </w:rPr>
        <w:t>。</w:t>
      </w:r>
    </w:p>
    <w:p w14:paraId="523497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4.5 组织多普勒成像单元 </w:t>
      </w:r>
    </w:p>
    <w:p w14:paraId="4FBE28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5.1 具备高帧频彩色和脉冲波组织多普勒成像 </w:t>
      </w:r>
    </w:p>
    <w:p w14:paraId="513340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5.2 二维、速度曲线同屏显示 </w:t>
      </w:r>
    </w:p>
    <w:p w14:paraId="262017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5.3 心脏功能测量与分析：使用2D和双平面图像进行左心室和左心房整体容积分析、不依赖心电图定量、自动检测心肌和血流的边界、计算左室面积、容积、收缩和舒张功能</w:t>
      </w:r>
      <w:r>
        <w:rPr>
          <w:rFonts w:hint="eastAsia" w:ascii="宋体" w:hAnsi="宋体" w:cs="宋体"/>
          <w:sz w:val="24"/>
          <w:lang w:eastAsia="zh-CN"/>
        </w:rPr>
        <w:t>。</w:t>
      </w:r>
    </w:p>
    <w:p w14:paraId="460AB7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5.4 编码成像功能，可获取高轴向分辨率、高信噪比图像</w:t>
      </w:r>
      <w:r>
        <w:rPr>
          <w:rFonts w:hint="eastAsia" w:ascii="宋体" w:hAnsi="宋体" w:cs="宋体"/>
          <w:sz w:val="24"/>
          <w:lang w:eastAsia="zh-CN"/>
        </w:rPr>
        <w:t>。</w:t>
      </w:r>
    </w:p>
    <w:p w14:paraId="321B2A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6 组织谐波成像单元 </w:t>
      </w:r>
    </w:p>
    <w:p w14:paraId="6EAE71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6.1 具备脉冲多普勒技术 </w:t>
      </w:r>
    </w:p>
    <w:p w14:paraId="5F33BB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6.2可用于组织分析、造影分析、彩色多普勒分析，针对相应的感兴趣区进行声学定量分析 </w:t>
      </w:r>
      <w:r>
        <w:rPr>
          <w:rFonts w:hint="eastAsia" w:ascii="宋体" w:hAnsi="宋体" w:cs="宋体"/>
          <w:sz w:val="24"/>
          <w:lang w:eastAsia="zh-CN"/>
        </w:rPr>
        <w:t>。</w:t>
      </w:r>
    </w:p>
    <w:p w14:paraId="53A31F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7 超声造影成像单元 </w:t>
      </w:r>
    </w:p>
    <w:p w14:paraId="3C0C5B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7.1 造影剂成像单元,包含左心腔造影实时灌注成像和爆破造影成像</w:t>
      </w:r>
      <w:r>
        <w:rPr>
          <w:rFonts w:hint="eastAsia" w:ascii="宋体" w:hAnsi="宋体" w:cs="宋体"/>
          <w:sz w:val="24"/>
          <w:lang w:eastAsia="zh-CN"/>
        </w:rPr>
        <w:t>。</w:t>
      </w:r>
      <w:r>
        <w:rPr>
          <w:rFonts w:hint="eastAsia" w:ascii="宋体" w:hAnsi="宋体" w:eastAsia="宋体" w:cs="宋体"/>
          <w:sz w:val="24"/>
        </w:rPr>
        <w:t xml:space="preserve"> </w:t>
      </w:r>
    </w:p>
    <w:p w14:paraId="0A2341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7.2 支持负荷超声成像下的心肌灌注造影 </w:t>
      </w:r>
    </w:p>
    <w:p w14:paraId="267C17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7.3 具有心腔和心肌造影、腹部造影、血管造影 </w:t>
      </w:r>
    </w:p>
    <w:p w14:paraId="654002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7.4 可进行二维与造影实时双幅对比显示</w:t>
      </w:r>
    </w:p>
    <w:p w14:paraId="2B520B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7.5 具备在机及脱机造影定量分析软件 </w:t>
      </w:r>
    </w:p>
    <w:p w14:paraId="1FA31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8  二维成像单元 </w:t>
      </w:r>
    </w:p>
    <w:p w14:paraId="112A61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9  单晶体探头 </w:t>
      </w:r>
    </w:p>
    <w:p w14:paraId="4939FF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10 </w:t>
      </w:r>
      <w:r>
        <w:rPr>
          <w:rFonts w:hint="eastAsia" w:ascii="宋体" w:hAnsi="宋体" w:eastAsia="宋体" w:cs="宋体"/>
          <w:sz w:val="24"/>
          <w:lang w:val="en-US" w:eastAsia="zh-CN"/>
        </w:rPr>
        <w:t>支持</w:t>
      </w:r>
      <w:r>
        <w:rPr>
          <w:rFonts w:hint="eastAsia" w:ascii="宋体" w:hAnsi="宋体" w:eastAsia="宋体" w:cs="宋体"/>
          <w:sz w:val="24"/>
        </w:rPr>
        <w:t>二维、造影等模式。</w:t>
      </w:r>
    </w:p>
    <w:p w14:paraId="3E4B6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10.1 支持直接测量功能，可测量距离、面积等 </w:t>
      </w:r>
    </w:p>
    <w:p w14:paraId="55F85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11 测量及定量分析 </w:t>
      </w:r>
    </w:p>
    <w:p w14:paraId="7C67D0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11.1 常规测量和分析（B 型、M 型、频谱多普勒、彩色多普勒） </w:t>
      </w:r>
      <w:r>
        <w:rPr>
          <w:rFonts w:hint="eastAsia" w:ascii="宋体" w:hAnsi="宋体" w:cs="宋体"/>
          <w:sz w:val="24"/>
          <w:lang w:eastAsia="zh-CN"/>
        </w:rPr>
        <w:t>。</w:t>
      </w:r>
    </w:p>
    <w:p w14:paraId="325FFD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11.1.1 外周血管血流测量与分析（自动、实时显示）：具有快速测量下肢血管局部狭窄的功能 </w:t>
      </w:r>
      <w:r>
        <w:rPr>
          <w:rFonts w:hint="eastAsia" w:ascii="宋体" w:hAnsi="宋体" w:cs="宋体"/>
          <w:sz w:val="24"/>
          <w:lang w:eastAsia="zh-CN"/>
        </w:rPr>
        <w:t>。</w:t>
      </w:r>
    </w:p>
    <w:p w14:paraId="65890E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11.1.2 腹部测量和分析 </w:t>
      </w:r>
    </w:p>
    <w:p w14:paraId="5688FB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11.1.3 心脏功能测量与分析，支持 Simpson 三点法快速描记心内膜 </w:t>
      </w:r>
      <w:r>
        <w:rPr>
          <w:rFonts w:hint="eastAsia" w:ascii="宋体" w:hAnsi="宋体" w:cs="宋体"/>
          <w:sz w:val="24"/>
          <w:lang w:eastAsia="zh-CN"/>
        </w:rPr>
        <w:t>。</w:t>
      </w:r>
    </w:p>
    <w:p w14:paraId="25E911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11.1.4 自动、实时多普勒频谱波形分析，在实时或者冻结模式下都可以使用</w:t>
      </w:r>
      <w:r>
        <w:rPr>
          <w:rFonts w:hint="eastAsia" w:ascii="宋体" w:hAnsi="宋体" w:cs="宋体"/>
          <w:sz w:val="24"/>
          <w:lang w:eastAsia="zh-CN"/>
        </w:rPr>
        <w:t>。</w:t>
      </w:r>
      <w:r>
        <w:rPr>
          <w:rFonts w:hint="eastAsia" w:ascii="宋体" w:hAnsi="宋体" w:eastAsia="宋体" w:cs="宋体"/>
          <w:sz w:val="24"/>
        </w:rPr>
        <w:t xml:space="preserve"> </w:t>
      </w:r>
    </w:p>
    <w:p w14:paraId="15ACD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11.2 感兴趣区定量 </w:t>
      </w:r>
    </w:p>
    <w:p w14:paraId="0E2490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11.2.1 具备用户自定义的区域 </w:t>
      </w:r>
    </w:p>
    <w:p w14:paraId="0BB306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11.2.2 自动标记 ECG 触发，以实现特定心动周期时相的定量分析 </w:t>
      </w:r>
      <w:r>
        <w:rPr>
          <w:rFonts w:hint="eastAsia" w:ascii="宋体" w:hAnsi="宋体" w:cs="宋体"/>
          <w:sz w:val="24"/>
          <w:lang w:eastAsia="zh-CN"/>
        </w:rPr>
        <w:t>。</w:t>
      </w:r>
    </w:p>
    <w:p w14:paraId="2A318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11.2.3 生成时间－密度曲线，支持多种曲线拟合模式 </w:t>
      </w:r>
      <w:r>
        <w:rPr>
          <w:rFonts w:hint="eastAsia" w:ascii="宋体" w:hAnsi="宋体" w:cs="宋体"/>
          <w:sz w:val="24"/>
          <w:lang w:eastAsia="zh-CN"/>
        </w:rPr>
        <w:t>。</w:t>
      </w:r>
    </w:p>
    <w:p w14:paraId="5043FC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11.2.4 高精细动态血流，具有无二维背景显示及取样框 </w:t>
      </w:r>
      <w:r>
        <w:rPr>
          <w:rFonts w:hint="eastAsia" w:ascii="宋体" w:hAnsi="宋体" w:cs="宋体"/>
          <w:sz w:val="24"/>
          <w:lang w:eastAsia="zh-CN"/>
        </w:rPr>
        <w:t>。</w:t>
      </w:r>
    </w:p>
    <w:p w14:paraId="00B080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11.3 血管中内膜厚度自动测量: </w:t>
      </w:r>
    </w:p>
    <w:p w14:paraId="4AE907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11.3.1 对感兴趣区域内自动测量，并可根据血管内中膜厚度不同进行优化设置，脱机数据可输出</w:t>
      </w:r>
      <w:r>
        <w:rPr>
          <w:rFonts w:hint="eastAsia" w:ascii="宋体" w:hAnsi="宋体" w:cs="宋体"/>
          <w:sz w:val="24"/>
          <w:lang w:eastAsia="zh-CN"/>
        </w:rPr>
        <w:t>。</w:t>
      </w:r>
      <w:r>
        <w:rPr>
          <w:rFonts w:hint="eastAsia" w:ascii="宋体" w:hAnsi="宋体" w:eastAsia="宋体" w:cs="宋体"/>
          <w:sz w:val="24"/>
        </w:rPr>
        <w:t xml:space="preserve"> </w:t>
      </w:r>
    </w:p>
    <w:p w14:paraId="2918E8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11.4 能在应变曲线上叠加主动脉瓣和二尖瓣的打开和关闭，以显示左心室机械事件</w:t>
      </w:r>
      <w:r>
        <w:rPr>
          <w:rFonts w:hint="eastAsia" w:ascii="宋体" w:hAnsi="宋体" w:cs="宋体"/>
          <w:sz w:val="24"/>
          <w:lang w:eastAsia="zh-CN"/>
        </w:rPr>
        <w:t>。</w:t>
      </w:r>
    </w:p>
    <w:p w14:paraId="65AC38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11.5 手动三点式感兴趣区域</w:t>
      </w:r>
    </w:p>
    <w:p w14:paraId="7291B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11.5.1依据选择的心脏切面自动描记感兴趣区，</w:t>
      </w:r>
    </w:p>
    <w:p w14:paraId="37C286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▲11.5.2 自动组织瓣环位移功能可自动对二尖瓣瓣环运动进行可视化定量分析，快速评估心脏整体功能</w:t>
      </w:r>
      <w:r>
        <w:rPr>
          <w:rFonts w:hint="eastAsia" w:ascii="宋体" w:hAnsi="宋体" w:cs="宋体"/>
          <w:sz w:val="24"/>
          <w:lang w:eastAsia="zh-CN"/>
        </w:rPr>
        <w:t>。</w:t>
      </w:r>
      <w:r>
        <w:rPr>
          <w:rFonts w:hint="eastAsia" w:ascii="宋体" w:hAnsi="宋体" w:eastAsia="宋体" w:cs="宋体"/>
          <w:sz w:val="24"/>
        </w:rPr>
        <w:t xml:space="preserve"> </w:t>
      </w:r>
    </w:p>
    <w:p w14:paraId="5A968C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11.5.3 可使用回放或存储剪辑分析，可在机和脱机分析 </w:t>
      </w:r>
      <w:r>
        <w:rPr>
          <w:rFonts w:hint="eastAsia" w:ascii="宋体" w:hAnsi="宋体" w:cs="宋体"/>
          <w:sz w:val="24"/>
          <w:lang w:eastAsia="zh-CN"/>
        </w:rPr>
        <w:t>。</w:t>
      </w:r>
      <w:r>
        <w:rPr>
          <w:rFonts w:hint="eastAsia" w:ascii="宋体" w:hAnsi="宋体" w:eastAsia="宋体" w:cs="宋体"/>
          <w:sz w:val="24"/>
        </w:rPr>
        <w:t xml:space="preserve"> </w:t>
      </w:r>
    </w:p>
    <w:p w14:paraId="26BE9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11.6.1 连接和未连接心电信号的超声图像均可在机分析 </w:t>
      </w:r>
      <w:r>
        <w:rPr>
          <w:rFonts w:hint="eastAsia" w:ascii="宋体" w:hAnsi="宋体" w:cs="宋体"/>
          <w:sz w:val="24"/>
          <w:lang w:eastAsia="zh-CN"/>
        </w:rPr>
        <w:t>。</w:t>
      </w:r>
    </w:p>
    <w:p w14:paraId="2C74A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11.6.2 右室四腔切面整体纵向应变 </w:t>
      </w:r>
    </w:p>
    <w:p w14:paraId="56353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11.6.3 全快速同时斑点追踪三个心尖视图</w:t>
      </w:r>
    </w:p>
    <w:p w14:paraId="19BC9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6.</w:t>
      </w:r>
      <w:r>
        <w:rPr>
          <w:rFonts w:hint="eastAsia" w:ascii="宋体" w:hAnsi="宋体" w:eastAsia="宋体" w:cs="宋体"/>
          <w:sz w:val="24"/>
        </w:rPr>
        <w:t>4 具备二维斑点追踪技术，评估左心室整体功能和局部室壁运动、形变和时间</w:t>
      </w:r>
      <w:r>
        <w:rPr>
          <w:rFonts w:hint="eastAsia" w:ascii="宋体" w:hAnsi="宋体" w:cs="宋体"/>
          <w:sz w:val="24"/>
          <w:lang w:eastAsia="zh-CN"/>
        </w:rPr>
        <w:t>。</w:t>
      </w:r>
      <w:r>
        <w:rPr>
          <w:rFonts w:hint="eastAsia" w:ascii="宋体" w:hAnsi="宋体" w:eastAsia="宋体" w:cs="宋体"/>
          <w:sz w:val="24"/>
        </w:rPr>
        <w:t xml:space="preserve"> </w:t>
      </w:r>
    </w:p>
    <w:p w14:paraId="437F1B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11.6.5三维/</w:t>
      </w:r>
      <w:r>
        <w:rPr>
          <w:rFonts w:hint="eastAsia" w:ascii="宋体" w:hAnsi="宋体" w:eastAsia="宋体" w:cs="宋体"/>
          <w:color w:val="auto"/>
          <w:sz w:val="24"/>
        </w:rPr>
        <w:t>四维成像单元</w:t>
      </w:r>
    </w:p>
    <w:p w14:paraId="4DC14F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rPr>
        <w:t>▲</w:t>
      </w: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.1支持纯净波或单晶体成人经胸矩阵容积成像探头、纯净波或单晶体儿童经胸矩阵容积成像探头及纯净波或单晶体经食道矩阵成像探头</w:t>
      </w:r>
      <w:r>
        <w:rPr>
          <w:rFonts w:hint="eastAsia" w:ascii="宋体" w:hAnsi="宋体" w:cs="宋体"/>
          <w:color w:val="auto"/>
          <w:sz w:val="24"/>
          <w:rtl w:val="0"/>
          <w:lang w:val="en-US" w:eastAsia="zh-CN"/>
        </w:rPr>
        <w:t>。</w:t>
      </w:r>
    </w:p>
    <w:p w14:paraId="58708C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.2</w:t>
      </w:r>
      <w:r>
        <w:rPr>
          <w:rFonts w:hint="eastAsia" w:ascii="宋体" w:hAnsi="宋体" w:eastAsia="宋体" w:cs="宋体"/>
          <w:color w:val="auto"/>
          <w:sz w:val="24"/>
          <w:rtl w:val="0"/>
          <w:lang w:val="zh-TW" w:eastAsia="zh-TW"/>
        </w:rPr>
        <w:t>实时智能旋转成像</w:t>
      </w:r>
    </w:p>
    <w:p w14:paraId="1B6B54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.2.1.</w:t>
      </w:r>
      <w:r>
        <w:rPr>
          <w:rFonts w:hint="eastAsia" w:ascii="宋体" w:hAnsi="宋体" w:eastAsia="宋体" w:cs="宋体"/>
          <w:color w:val="auto"/>
          <w:sz w:val="24"/>
          <w:rtl w:val="0"/>
          <w:lang w:val="zh-TW" w:eastAsia="zh-TW"/>
        </w:rPr>
        <w:t>矩阵实时三维探头可在不移动探头情况下可实现</w:t>
      </w:r>
      <w:r>
        <w:rPr>
          <w:rFonts w:hint="eastAsia" w:ascii="宋体" w:hAnsi="宋体" w:eastAsia="宋体" w:cs="宋体"/>
          <w:color w:val="auto"/>
          <w:sz w:val="24"/>
          <w:rtl w:val="0"/>
          <w:lang w:val="en-US" w:eastAsia="zh-CN"/>
        </w:rPr>
        <w:t>0</w:t>
      </w:r>
      <w:r>
        <w:rPr>
          <w:rFonts w:hint="eastAsia" w:ascii="宋体" w:hAnsi="宋体" w:eastAsia="宋体" w:cs="宋体"/>
          <w:color w:val="auto"/>
          <w:sz w:val="24"/>
          <w:rtl w:val="0"/>
          <w:lang w:val="zh-TW" w:eastAsia="zh-TW"/>
        </w:rPr>
        <w:t>－</w:t>
      </w:r>
      <w:r>
        <w:rPr>
          <w:rFonts w:hint="eastAsia" w:ascii="宋体" w:hAnsi="宋体" w:eastAsia="宋体" w:cs="宋体"/>
          <w:color w:val="auto"/>
          <w:sz w:val="24"/>
          <w:rtl w:val="0"/>
          <w:lang w:val="en-US" w:eastAsia="zh-CN"/>
        </w:rPr>
        <w:t>360</w:t>
      </w:r>
      <w:r>
        <w:rPr>
          <w:rFonts w:hint="eastAsia" w:ascii="宋体" w:hAnsi="宋体" w:eastAsia="宋体" w:cs="宋体"/>
          <w:color w:val="auto"/>
          <w:sz w:val="24"/>
          <w:rtl w:val="0"/>
          <w:lang w:val="zh-TW" w:eastAsia="zh-TW"/>
        </w:rPr>
        <w:t>度任意平面显像，无需转动探头，快速进行心尖四腔、心尖两腔、心尖三腔等常用心脏切面切换</w:t>
      </w:r>
      <w:r>
        <w:rPr>
          <w:rFonts w:hint="eastAsia" w:ascii="宋体" w:hAnsi="宋体" w:cs="宋体"/>
          <w:color w:val="auto"/>
          <w:sz w:val="24"/>
          <w:rtl w:val="0"/>
          <w:lang w:val="zh-TW" w:eastAsia="zh-CN"/>
        </w:rPr>
        <w:t>。</w:t>
      </w:r>
    </w:p>
    <w:p w14:paraId="77BDBD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.2.2.</w:t>
      </w:r>
      <w:r>
        <w:rPr>
          <w:rFonts w:hint="eastAsia" w:ascii="宋体" w:hAnsi="宋体" w:eastAsia="宋体" w:cs="宋体"/>
          <w:color w:val="auto"/>
          <w:sz w:val="24"/>
          <w:rtl w:val="0"/>
          <w:lang w:val="zh-TW" w:eastAsia="zh-TW"/>
        </w:rPr>
        <w:t>支持二维、彩色、</w:t>
      </w:r>
      <w:r>
        <w:rPr>
          <w:rFonts w:hint="eastAsia" w:ascii="宋体" w:hAnsi="宋体" w:eastAsia="宋体" w:cs="宋体"/>
          <w:color w:val="auto"/>
          <w:sz w:val="24"/>
          <w:rtl w:val="0"/>
          <w:lang w:val="en-US" w:eastAsia="zh-CN"/>
        </w:rPr>
        <w:t>M</w:t>
      </w:r>
      <w:r>
        <w:rPr>
          <w:rFonts w:hint="eastAsia" w:ascii="宋体" w:hAnsi="宋体" w:eastAsia="宋体" w:cs="宋体"/>
          <w:color w:val="auto"/>
          <w:sz w:val="24"/>
          <w:rtl w:val="0"/>
          <w:lang w:val="zh-TW" w:eastAsia="zh-TW"/>
        </w:rPr>
        <w:t>型、</w:t>
      </w:r>
      <w:r>
        <w:rPr>
          <w:rFonts w:hint="eastAsia" w:ascii="宋体" w:hAnsi="宋体" w:eastAsia="宋体" w:cs="宋体"/>
          <w:color w:val="auto"/>
          <w:sz w:val="24"/>
          <w:rtl w:val="0"/>
          <w:lang w:val="en-US" w:eastAsia="zh-CN"/>
        </w:rPr>
        <w:t>TDI</w:t>
      </w:r>
      <w:r>
        <w:rPr>
          <w:rFonts w:hint="eastAsia" w:ascii="宋体" w:hAnsi="宋体" w:eastAsia="宋体" w:cs="宋体"/>
          <w:color w:val="auto"/>
          <w:sz w:val="24"/>
          <w:rtl w:val="0"/>
          <w:lang w:val="zh-TW" w:eastAsia="zh-TW"/>
        </w:rPr>
        <w:t>、负荷、心腔造影、心肌造影等多种模式下应用</w:t>
      </w:r>
      <w:r>
        <w:rPr>
          <w:rFonts w:hint="eastAsia" w:ascii="宋体" w:hAnsi="宋体" w:cs="宋体"/>
          <w:color w:val="auto"/>
          <w:sz w:val="24"/>
          <w:rtl w:val="0"/>
          <w:lang w:val="zh-TW" w:eastAsia="zh-CN"/>
        </w:rPr>
        <w:t>。</w:t>
      </w:r>
    </w:p>
    <w:p w14:paraId="54B527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.3</w:t>
      </w:r>
      <w:r>
        <w:rPr>
          <w:rFonts w:hint="eastAsia" w:ascii="宋体" w:hAnsi="宋体" w:eastAsia="宋体" w:cs="宋体"/>
          <w:color w:val="auto"/>
          <w:sz w:val="24"/>
          <w:rtl w:val="0"/>
          <w:lang w:val="zh-TW" w:eastAsia="zh-TW"/>
        </w:rPr>
        <w:t>实时多平面成像</w:t>
      </w:r>
    </w:p>
    <w:p w14:paraId="7AC105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.3.1</w:t>
      </w:r>
      <w:r>
        <w:rPr>
          <w:rFonts w:hint="eastAsia" w:ascii="宋体" w:hAnsi="宋体" w:eastAsia="宋体" w:cs="宋体"/>
          <w:color w:val="auto"/>
          <w:sz w:val="24"/>
          <w:rtl w:val="0"/>
          <w:lang w:val="zh-TW" w:eastAsia="zh-TW"/>
        </w:rPr>
        <w:t>同屏显示任意相交互的两幅图像，支持倾斜、旋转和仰角，可角度调节</w:t>
      </w:r>
      <w:r>
        <w:rPr>
          <w:rFonts w:hint="eastAsia" w:ascii="宋体" w:hAnsi="宋体" w:cs="宋体"/>
          <w:color w:val="auto"/>
          <w:sz w:val="24"/>
          <w:rtl w:val="0"/>
          <w:lang w:val="zh-TW" w:eastAsia="zh-CN"/>
        </w:rPr>
        <w:t>。</w:t>
      </w:r>
    </w:p>
    <w:p w14:paraId="23038C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.3.2</w:t>
      </w:r>
      <w:r>
        <w:rPr>
          <w:rFonts w:hint="eastAsia" w:ascii="宋体" w:hAnsi="宋体" w:eastAsia="宋体" w:cs="宋体"/>
          <w:color w:val="auto"/>
          <w:sz w:val="24"/>
          <w:rtl w:val="0"/>
          <w:lang w:val="zh-TW" w:eastAsia="zh-TW"/>
        </w:rPr>
        <w:t>支持二维、彩色、负荷、心腔造影、心肌造影等多种模式下应用</w:t>
      </w:r>
      <w:r>
        <w:rPr>
          <w:rFonts w:hint="eastAsia" w:ascii="宋体" w:hAnsi="宋体" w:cs="宋体"/>
          <w:color w:val="auto"/>
          <w:sz w:val="24"/>
          <w:rtl w:val="0"/>
          <w:lang w:val="zh-TW" w:eastAsia="zh-CN"/>
        </w:rPr>
        <w:t>。</w:t>
      </w:r>
    </w:p>
    <w:p w14:paraId="6B883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.3.3</w:t>
      </w:r>
      <w:r>
        <w:rPr>
          <w:rFonts w:hint="eastAsia" w:ascii="宋体" w:hAnsi="宋体" w:eastAsia="宋体" w:cs="宋体"/>
          <w:color w:val="auto"/>
          <w:sz w:val="24"/>
          <w:rtl w:val="0"/>
          <w:lang w:val="zh-TW" w:eastAsia="zh-TW"/>
        </w:rPr>
        <w:t>实时多平面成像支持自动心脏功能定量分析</w:t>
      </w:r>
    </w:p>
    <w:p w14:paraId="3C7050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.4</w:t>
      </w:r>
      <w:r>
        <w:rPr>
          <w:rFonts w:hint="eastAsia" w:ascii="宋体" w:hAnsi="宋体" w:eastAsia="宋体" w:cs="宋体"/>
          <w:color w:val="auto"/>
          <w:sz w:val="24"/>
          <w:rtl w:val="0"/>
          <w:lang w:val="zh-TW" w:eastAsia="zh-TW"/>
        </w:rPr>
        <w:t>实时三维成像模式</w:t>
      </w:r>
    </w:p>
    <w:p w14:paraId="02B5DD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4.1</w:t>
      </w:r>
      <w:r>
        <w:rPr>
          <w:rFonts w:hint="eastAsia" w:ascii="宋体" w:hAnsi="宋体" w:eastAsia="宋体" w:cs="宋体"/>
          <w:color w:val="auto"/>
          <w:sz w:val="24"/>
          <w:rtl w:val="0"/>
          <w:lang w:val="zh-TW" w:eastAsia="zh-TW"/>
        </w:rPr>
        <w:t>实时三维灰阶成像和实时三维血流成像</w:t>
      </w:r>
    </w:p>
    <w:p w14:paraId="01823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.4.2</w:t>
      </w:r>
      <w:r>
        <w:rPr>
          <w:rFonts w:hint="eastAsia" w:ascii="宋体" w:hAnsi="宋体" w:eastAsia="宋体" w:cs="宋体"/>
          <w:color w:val="auto"/>
          <w:sz w:val="24"/>
          <w:rtl w:val="0"/>
          <w:lang w:val="zh-TW" w:eastAsia="zh-TW"/>
        </w:rPr>
        <w:t>实时三维全容积</w:t>
      </w:r>
      <w:r>
        <w:rPr>
          <w:rFonts w:hint="eastAsia" w:ascii="宋体" w:hAnsi="宋体" w:eastAsia="宋体" w:cs="宋体"/>
          <w:color w:val="auto"/>
          <w:sz w:val="24"/>
          <w:rtl w:val="0"/>
          <w:lang w:val="en-US" w:eastAsia="zh-CN"/>
        </w:rPr>
        <w:t>/</w:t>
      </w:r>
      <w:r>
        <w:rPr>
          <w:rFonts w:hint="eastAsia" w:ascii="宋体" w:hAnsi="宋体" w:eastAsia="宋体" w:cs="宋体"/>
          <w:color w:val="auto"/>
          <w:sz w:val="24"/>
          <w:rtl w:val="0"/>
          <w:lang w:val="zh-TW" w:eastAsia="zh-TW"/>
        </w:rPr>
        <w:t>高帧频成像，且可以独立调节分辨率和帧频</w:t>
      </w:r>
      <w:r>
        <w:rPr>
          <w:rFonts w:hint="eastAsia" w:ascii="宋体" w:hAnsi="宋体" w:cs="宋体"/>
          <w:color w:val="auto"/>
          <w:sz w:val="24"/>
          <w:rtl w:val="0"/>
          <w:lang w:val="zh-TW" w:eastAsia="zh-CN"/>
        </w:rPr>
        <w:t>。</w:t>
      </w:r>
    </w:p>
    <w:p w14:paraId="3BA2A8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.4.3</w:t>
      </w:r>
      <w:r>
        <w:rPr>
          <w:rFonts w:hint="eastAsia" w:ascii="宋体" w:hAnsi="宋体" w:eastAsia="宋体" w:cs="宋体"/>
          <w:color w:val="auto"/>
          <w:sz w:val="24"/>
          <w:rtl w:val="0"/>
          <w:lang w:val="zh-TW" w:eastAsia="zh-TW"/>
        </w:rPr>
        <w:t>实时三维缩放成像，专用成像预设模式，可快速用于心脏瓣膜等结构成像</w:t>
      </w:r>
      <w:r>
        <w:rPr>
          <w:rFonts w:hint="eastAsia" w:ascii="宋体" w:hAnsi="宋体" w:cs="宋体"/>
          <w:color w:val="auto"/>
          <w:sz w:val="24"/>
          <w:rtl w:val="0"/>
          <w:lang w:val="zh-TW" w:eastAsia="zh-CN"/>
        </w:rPr>
        <w:t>。</w:t>
      </w:r>
    </w:p>
    <w:p w14:paraId="53B65B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zh-TW" w:eastAsia="zh-CN"/>
        </w:rPr>
      </w:pPr>
      <w:r>
        <w:rPr>
          <w:rFonts w:hint="eastAsia" w:ascii="宋体" w:hAnsi="宋体" w:eastAsia="宋体" w:cs="宋体"/>
          <w:color w:val="auto"/>
          <w:sz w:val="24"/>
        </w:rPr>
        <w:t>▲</w:t>
      </w: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4.4</w:t>
      </w:r>
      <w:r>
        <w:rPr>
          <w:rFonts w:hint="eastAsia" w:ascii="宋体" w:hAnsi="宋体" w:eastAsia="宋体" w:cs="宋体"/>
          <w:color w:val="auto"/>
          <w:sz w:val="24"/>
          <w:rtl w:val="0"/>
          <w:lang w:val="zh-TW" w:eastAsia="zh-TW"/>
        </w:rPr>
        <w:t>心脏高清实时三维成像，支持平面和深度光源投照，根据需要改变光源投照角度、方向及深度，增加心脏结构立体显示效果，表面渲染成像，三维纵深编码显示</w:t>
      </w:r>
      <w:r>
        <w:rPr>
          <w:rFonts w:hint="eastAsia" w:ascii="宋体" w:hAnsi="宋体" w:cs="宋体"/>
          <w:color w:val="auto"/>
          <w:sz w:val="24"/>
          <w:rtl w:val="0"/>
          <w:lang w:val="zh-TW" w:eastAsia="zh-CN"/>
        </w:rPr>
        <w:t>。</w:t>
      </w:r>
    </w:p>
    <w:p w14:paraId="183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.4.5</w:t>
      </w:r>
      <w:r>
        <w:rPr>
          <w:rFonts w:hint="eastAsia" w:ascii="宋体" w:hAnsi="宋体" w:eastAsia="宋体" w:cs="宋体"/>
          <w:color w:val="auto"/>
          <w:sz w:val="24"/>
          <w:rtl w:val="0"/>
          <w:lang w:val="zh-TW" w:eastAsia="zh-TW"/>
        </w:rPr>
        <w:t>实时双容积成像，可一键同时显示同一心脏容积图像不同观察方向两个容积切面，支持实时和冻结状态下的经胸和经食管实时三维图像显示</w:t>
      </w:r>
      <w:r>
        <w:rPr>
          <w:rFonts w:hint="eastAsia" w:ascii="宋体" w:hAnsi="宋体" w:cs="宋体"/>
          <w:color w:val="auto"/>
          <w:sz w:val="24"/>
          <w:rtl w:val="0"/>
          <w:lang w:val="zh-TW" w:eastAsia="zh-CN"/>
        </w:rPr>
        <w:t>。</w:t>
      </w:r>
    </w:p>
    <w:p w14:paraId="2B1420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.4.6</w:t>
      </w:r>
      <w:r>
        <w:rPr>
          <w:rFonts w:hint="eastAsia" w:ascii="宋体" w:hAnsi="宋体" w:eastAsia="宋体" w:cs="宋体"/>
          <w:color w:val="auto"/>
          <w:sz w:val="24"/>
          <w:rtl w:val="0"/>
          <w:lang w:val="zh-TW" w:eastAsia="zh-TW"/>
        </w:rPr>
        <w:t>实时三维智能切割技术，可以从多个方向观察感兴趣区</w:t>
      </w:r>
      <w:r>
        <w:rPr>
          <w:rFonts w:hint="eastAsia" w:ascii="宋体" w:hAnsi="宋体" w:cs="宋体"/>
          <w:color w:val="auto"/>
          <w:sz w:val="24"/>
          <w:rtl w:val="0"/>
          <w:lang w:val="zh-TW" w:eastAsia="zh-CN"/>
        </w:rPr>
        <w:t>。</w:t>
      </w:r>
    </w:p>
    <w:p w14:paraId="04B5BC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zh-TW" w:eastAsia="zh-CN"/>
        </w:rPr>
      </w:pP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4.7</w:t>
      </w:r>
      <w:r>
        <w:rPr>
          <w:rFonts w:hint="eastAsia" w:ascii="宋体" w:hAnsi="宋体" w:eastAsia="宋体" w:cs="宋体"/>
          <w:color w:val="auto"/>
          <w:sz w:val="24"/>
          <w:rtl w:val="0"/>
          <w:lang w:val="zh-TW" w:eastAsia="zh-TW"/>
        </w:rPr>
        <w:t>实时三维两点获取感兴趣区容积图像，可从任意方向、角度两点切割，快速获取所容积图像</w:t>
      </w:r>
      <w:r>
        <w:rPr>
          <w:rFonts w:hint="eastAsia" w:ascii="宋体" w:hAnsi="宋体" w:cs="宋体"/>
          <w:color w:val="auto"/>
          <w:sz w:val="24"/>
          <w:rtl w:val="0"/>
          <w:lang w:val="zh-TW" w:eastAsia="zh-CN"/>
        </w:rPr>
        <w:t>。</w:t>
      </w:r>
    </w:p>
    <w:p w14:paraId="56633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4.8实时三维心脏结构识别和评估技术</w:t>
      </w:r>
    </w:p>
    <w:p w14:paraId="100C46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lang w:val="en-US" w:eastAsia="zh-CN"/>
        </w:rPr>
        <w:t>11.6.5.</w:t>
      </w:r>
      <w:r>
        <w:rPr>
          <w:rFonts w:hint="eastAsia" w:ascii="宋体" w:hAnsi="宋体" w:eastAsia="宋体" w:cs="宋体"/>
          <w:color w:val="auto"/>
          <w:sz w:val="24"/>
          <w:rtl w:val="0"/>
          <w:lang w:val="en-US" w:eastAsia="zh-CN"/>
        </w:rPr>
        <w:t>4.9实时三维断层成像，实时或冻结状态下，容积图像一键进入多切面模式</w:t>
      </w:r>
      <w:r>
        <w:rPr>
          <w:rFonts w:hint="eastAsia" w:ascii="宋体" w:hAnsi="宋体" w:cs="宋体"/>
          <w:color w:val="auto"/>
          <w:sz w:val="24"/>
          <w:rtl w:val="0"/>
          <w:lang w:val="en-US" w:eastAsia="zh-CN"/>
        </w:rPr>
        <w:t>，</w:t>
      </w:r>
      <w:r>
        <w:rPr>
          <w:rFonts w:hint="eastAsia" w:ascii="宋体" w:hAnsi="宋体" w:eastAsia="宋体" w:cs="宋体"/>
          <w:color w:val="auto"/>
          <w:sz w:val="24"/>
          <w:rtl w:val="0"/>
          <w:lang w:val="en-US" w:eastAsia="zh-CN"/>
        </w:rPr>
        <w:t>支持造影，负荷等多种模式应用，可同步显示≥6个切面</w:t>
      </w:r>
      <w:r>
        <w:rPr>
          <w:rFonts w:hint="eastAsia" w:ascii="宋体" w:hAnsi="宋体" w:cs="宋体"/>
          <w:color w:val="auto"/>
          <w:sz w:val="24"/>
          <w:rtl w:val="0"/>
          <w:lang w:val="en-US" w:eastAsia="zh-CN"/>
        </w:rPr>
        <w:t>。</w:t>
      </w:r>
    </w:p>
    <w:p w14:paraId="334F41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TW"/>
        </w:rPr>
      </w:pPr>
      <w:r>
        <w:rPr>
          <w:rFonts w:hint="eastAsia" w:ascii="宋体" w:hAnsi="宋体" w:eastAsia="宋体" w:cs="宋体"/>
          <w:color w:val="auto"/>
          <w:sz w:val="24"/>
          <w:rtl w:val="0"/>
          <w:lang w:val="en-US" w:eastAsia="zh-CN"/>
        </w:rPr>
        <w:t>11.6.5.5</w:t>
      </w:r>
      <w:r>
        <w:rPr>
          <w:rFonts w:hint="eastAsia" w:ascii="宋体" w:hAnsi="宋体" w:eastAsia="宋体" w:cs="宋体"/>
          <w:color w:val="auto"/>
          <w:sz w:val="24"/>
          <w:rtl w:val="0"/>
          <w:lang w:val="en-US" w:eastAsia="zh-TW"/>
        </w:rPr>
        <w:t>三维自动二尖瓣定量</w:t>
      </w:r>
    </w:p>
    <w:p w14:paraId="653DE3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rtl w:val="0"/>
          <w:lang w:val="en-US" w:eastAsia="zh-CN"/>
        </w:rPr>
        <w:t>11.6.5.5</w:t>
      </w:r>
      <w:r>
        <w:rPr>
          <w:rFonts w:hint="eastAsia" w:ascii="宋体" w:hAnsi="宋体" w:eastAsia="宋体" w:cs="宋体"/>
          <w:color w:val="auto"/>
          <w:sz w:val="24"/>
          <w:rtl w:val="0"/>
          <w:lang w:val="en-US" w:eastAsia="zh-TW"/>
        </w:rPr>
        <w:t>.1使用实时经食管三维超声数据，一键式启动，自动建模及追踪分析，匹配不同心动周期二尖瓣模型视图</w:t>
      </w:r>
      <w:r>
        <w:rPr>
          <w:rFonts w:hint="eastAsia" w:ascii="宋体" w:hAnsi="宋体" w:cs="宋体"/>
          <w:color w:val="auto"/>
          <w:sz w:val="24"/>
          <w:rtl w:val="0"/>
          <w:lang w:val="en-US" w:eastAsia="zh-CN"/>
        </w:rPr>
        <w:t>。</w:t>
      </w:r>
    </w:p>
    <w:p w14:paraId="108547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tl w:val="0"/>
          <w:lang w:val="en-US" w:eastAsia="zh-CN"/>
        </w:rPr>
      </w:pPr>
      <w:r>
        <w:rPr>
          <w:rFonts w:hint="eastAsia" w:ascii="宋体" w:hAnsi="宋体" w:eastAsia="宋体" w:cs="宋体"/>
          <w:color w:val="auto"/>
          <w:sz w:val="24"/>
          <w:rtl w:val="0"/>
          <w:lang w:val="en-US" w:eastAsia="zh-CN"/>
        </w:rPr>
        <w:t>11.6.5.5</w:t>
      </w:r>
      <w:r>
        <w:rPr>
          <w:rFonts w:hint="eastAsia" w:ascii="宋体" w:hAnsi="宋体" w:eastAsia="宋体" w:cs="宋体"/>
          <w:color w:val="auto"/>
          <w:sz w:val="24"/>
          <w:rtl w:val="0"/>
          <w:lang w:val="en-US" w:eastAsia="zh-TW"/>
        </w:rPr>
        <w:t>.2全自动识别、描记、分析三维二尖瓣数据，自动生成彩色二尖瓣三维模型，同时获取</w:t>
      </w:r>
      <w:r>
        <w:rPr>
          <w:rFonts w:hint="eastAsia" w:ascii="宋体" w:hAnsi="宋体" w:eastAsia="宋体" w:cs="宋体"/>
          <w:color w:val="auto"/>
          <w:sz w:val="24"/>
          <w:rtl w:val="0"/>
          <w:lang w:val="en-US" w:eastAsia="zh-CN"/>
        </w:rPr>
        <w:t>多</w:t>
      </w:r>
      <w:r>
        <w:rPr>
          <w:rFonts w:hint="eastAsia" w:ascii="宋体" w:hAnsi="宋体" w:eastAsia="宋体" w:cs="宋体"/>
          <w:color w:val="auto"/>
          <w:sz w:val="24"/>
          <w:rtl w:val="0"/>
          <w:lang w:val="en-US" w:eastAsia="zh-TW"/>
        </w:rPr>
        <w:t>个测量组别对应的</w:t>
      </w:r>
      <w:r>
        <w:rPr>
          <w:rFonts w:hint="eastAsia" w:ascii="宋体" w:hAnsi="宋体" w:eastAsia="宋体" w:cs="宋体"/>
          <w:color w:val="auto"/>
          <w:sz w:val="24"/>
          <w:rtl w:val="0"/>
          <w:lang w:val="en-US" w:eastAsia="zh-CN"/>
        </w:rPr>
        <w:t>多</w:t>
      </w:r>
      <w:r>
        <w:rPr>
          <w:rFonts w:hint="eastAsia" w:ascii="宋体" w:hAnsi="宋体" w:eastAsia="宋体" w:cs="宋体"/>
          <w:color w:val="auto"/>
          <w:sz w:val="24"/>
          <w:rtl w:val="0"/>
          <w:lang w:val="en-US" w:eastAsia="zh-TW"/>
        </w:rPr>
        <w:t>项核心参数及其曲线</w:t>
      </w:r>
      <w:r>
        <w:rPr>
          <w:rFonts w:hint="eastAsia" w:ascii="宋体" w:hAnsi="宋体" w:cs="宋体"/>
          <w:color w:val="auto"/>
          <w:sz w:val="24"/>
          <w:rtl w:val="0"/>
          <w:lang w:val="en-US" w:eastAsia="zh-CN"/>
        </w:rPr>
        <w:t>。</w:t>
      </w:r>
    </w:p>
    <w:p w14:paraId="460DE5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tl w:val="0"/>
          <w:lang w:val="zh-TW" w:eastAsia="zh-TW"/>
        </w:rPr>
        <w:t>▲</w:t>
      </w:r>
      <w:r>
        <w:rPr>
          <w:rFonts w:hint="eastAsia" w:ascii="宋体" w:hAnsi="宋体" w:eastAsia="宋体" w:cs="宋体"/>
          <w:color w:val="auto"/>
          <w:sz w:val="24"/>
          <w:rtl w:val="0"/>
          <w:lang w:val="en-US" w:eastAsia="zh-TW"/>
        </w:rPr>
        <w:t>11.</w:t>
      </w:r>
      <w:r>
        <w:rPr>
          <w:rFonts w:hint="eastAsia" w:ascii="宋体" w:hAnsi="宋体" w:eastAsia="宋体" w:cs="宋体"/>
          <w:color w:val="auto"/>
          <w:sz w:val="24"/>
          <w:rtl w:val="0"/>
          <w:lang w:val="en-US" w:eastAsia="zh-CN"/>
        </w:rPr>
        <w:t>6.</w:t>
      </w:r>
      <w:r>
        <w:rPr>
          <w:rFonts w:hint="eastAsia" w:ascii="宋体" w:hAnsi="宋体" w:eastAsia="宋体" w:cs="宋体"/>
          <w:color w:val="auto"/>
          <w:sz w:val="24"/>
          <w:rtl w:val="0"/>
          <w:lang w:val="en-US" w:eastAsia="zh-TW"/>
        </w:rPr>
        <w:t>5.</w:t>
      </w:r>
      <w:r>
        <w:rPr>
          <w:rFonts w:hint="eastAsia" w:ascii="宋体" w:hAnsi="宋体" w:eastAsia="宋体" w:cs="宋体"/>
          <w:color w:val="auto"/>
          <w:sz w:val="24"/>
          <w:rtl w:val="0"/>
          <w:lang w:val="en-US" w:eastAsia="zh-CN"/>
        </w:rPr>
        <w:t>6</w:t>
      </w:r>
      <w:r>
        <w:rPr>
          <w:rFonts w:hint="eastAsia" w:ascii="宋体" w:hAnsi="宋体" w:eastAsia="宋体" w:cs="宋体"/>
          <w:color w:val="auto"/>
          <w:sz w:val="24"/>
          <w:rtl w:val="0"/>
          <w:lang w:val="zh-TW" w:eastAsia="zh-TW"/>
        </w:rPr>
        <w:t>三维自动左心耳定量</w:t>
      </w:r>
      <w:r>
        <w:rPr>
          <w:rFonts w:hint="eastAsia" w:ascii="宋体" w:hAnsi="宋体" w:eastAsia="宋体" w:cs="宋体"/>
          <w:color w:val="auto"/>
          <w:sz w:val="24"/>
          <w:rtl w:val="0"/>
          <w:lang w:val="en-US" w:eastAsia="zh-CN"/>
        </w:rPr>
        <w:t>技术</w:t>
      </w:r>
      <w:r>
        <w:rPr>
          <w:rFonts w:hint="eastAsia" w:ascii="宋体" w:hAnsi="宋体" w:eastAsia="宋体" w:cs="宋体"/>
          <w:color w:val="auto"/>
          <w:sz w:val="24"/>
          <w:rtl w:val="0"/>
          <w:lang w:val="zh-TW" w:eastAsia="zh-TW"/>
        </w:rPr>
        <w:t>，可快速识别左心耳结构；自动追踪、描记、获取左心耳开口相关参数</w:t>
      </w:r>
      <w:r>
        <w:rPr>
          <w:rFonts w:hint="eastAsia" w:ascii="宋体" w:hAnsi="宋体" w:cs="宋体"/>
          <w:color w:val="auto"/>
          <w:sz w:val="24"/>
          <w:rtl w:val="0"/>
          <w:lang w:val="zh-TW" w:eastAsia="zh-CN"/>
        </w:rPr>
        <w:t>。</w:t>
      </w:r>
    </w:p>
    <w:p w14:paraId="67FCC8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12 图像存储与（电影）回放重现及病案管理单元 </w:t>
      </w:r>
    </w:p>
    <w:p w14:paraId="7EA4E4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12.1 数字化捕捉、回放、存储动、静态图像，实时图像传输，实时JPEG解压缩，可进行参数编程调节 </w:t>
      </w:r>
      <w:r>
        <w:rPr>
          <w:rFonts w:hint="eastAsia" w:ascii="宋体" w:hAnsi="宋体" w:cs="宋体"/>
          <w:sz w:val="24"/>
          <w:lang w:eastAsia="zh-CN"/>
        </w:rPr>
        <w:t>。</w:t>
      </w:r>
    </w:p>
    <w:p w14:paraId="33F427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12.2 内置硬盘≥1T，可扩展：移动硬盘、DVD-RW、DVR 等 </w:t>
      </w:r>
      <w:r>
        <w:rPr>
          <w:rFonts w:hint="eastAsia" w:ascii="宋体" w:hAnsi="宋体" w:cs="宋体"/>
          <w:sz w:val="24"/>
          <w:lang w:eastAsia="zh-CN"/>
        </w:rPr>
        <w:t>。</w:t>
      </w:r>
    </w:p>
    <w:p w14:paraId="40E7B8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12.3 具备主机硬盘图像数据存储 </w:t>
      </w:r>
    </w:p>
    <w:p w14:paraId="02854A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12.4 病案管理单元包括病人资料、报告、图像等的存储、修改、检索和打印等 </w:t>
      </w:r>
      <w:r>
        <w:rPr>
          <w:rFonts w:hint="eastAsia" w:ascii="宋体" w:hAnsi="宋体" w:cs="宋体"/>
          <w:sz w:val="24"/>
          <w:lang w:eastAsia="zh-CN"/>
        </w:rPr>
        <w:t>。</w:t>
      </w:r>
    </w:p>
    <w:p w14:paraId="28F908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12.5 可根据检查要求对工作站参数（存储、压缩、回放）进行编程调节 </w:t>
      </w:r>
      <w:r>
        <w:rPr>
          <w:rFonts w:hint="eastAsia" w:ascii="宋体" w:hAnsi="宋体" w:cs="宋体"/>
          <w:sz w:val="24"/>
          <w:lang w:eastAsia="zh-CN"/>
        </w:rPr>
        <w:t>。</w:t>
      </w:r>
    </w:p>
    <w:p w14:paraId="4DA29F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13 参考信号：ECG 心电信号 </w:t>
      </w:r>
    </w:p>
    <w:p w14:paraId="5C2C8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14 输入和输出信号： </w:t>
      </w:r>
    </w:p>
    <w:p w14:paraId="057800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14.1 输入：标准DICOM 3.0 </w:t>
      </w:r>
    </w:p>
    <w:p w14:paraId="401F8A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14.2 输出：</w:t>
      </w:r>
      <w:r>
        <w:rPr>
          <w:rFonts w:hint="eastAsia" w:ascii="宋体" w:hAnsi="宋体" w:eastAsia="宋体" w:cs="宋体"/>
          <w:sz w:val="24"/>
          <w:szCs w:val="24"/>
        </w:rPr>
        <w:t>标配高清视频输出、网络输出、USB 数据输出</w:t>
      </w:r>
      <w:r>
        <w:rPr>
          <w:rFonts w:hint="eastAsia" w:ascii="宋体" w:hAnsi="宋体" w:eastAsia="宋体" w:cs="宋体"/>
          <w:sz w:val="24"/>
          <w:szCs w:val="24"/>
          <w:lang w:val="en-US" w:eastAsia="zh-CN"/>
        </w:rPr>
        <w:t>等</w:t>
      </w:r>
      <w:r>
        <w:rPr>
          <w:rFonts w:hint="eastAsia" w:ascii="宋体" w:hAnsi="宋体" w:eastAsia="宋体" w:cs="宋体"/>
          <w:sz w:val="24"/>
          <w:szCs w:val="24"/>
        </w:rPr>
        <w:t>通用接口</w:t>
      </w:r>
      <w:r>
        <w:rPr>
          <w:rFonts w:hint="eastAsia" w:ascii="宋体" w:hAnsi="宋体" w:cs="宋体"/>
          <w:sz w:val="24"/>
          <w:szCs w:val="24"/>
          <w:lang w:eastAsia="zh-CN"/>
        </w:rPr>
        <w:t>。</w:t>
      </w:r>
      <w:r>
        <w:rPr>
          <w:rFonts w:hint="eastAsia" w:ascii="宋体" w:hAnsi="宋体" w:eastAsia="宋体" w:cs="宋体"/>
          <w:sz w:val="24"/>
        </w:rPr>
        <w:t xml:space="preserve"> </w:t>
      </w:r>
    </w:p>
    <w:p w14:paraId="0F2B88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15 图像管理与记录装置： </w:t>
      </w:r>
    </w:p>
    <w:p w14:paraId="1D884C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15.1 内置图像管理系统 </w:t>
      </w:r>
    </w:p>
    <w:p w14:paraId="0C0206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15.2 支持 DVD／USB 图像导出存储 </w:t>
      </w:r>
    </w:p>
    <w:p w14:paraId="3E986C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16 连通性 </w:t>
      </w:r>
    </w:p>
    <w:p w14:paraId="0F875D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16.1 通信协议， DICOM 3.0 版接口部件 </w:t>
      </w:r>
    </w:p>
    <w:p w14:paraId="61BB53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 技术参数及要求 </w:t>
      </w:r>
    </w:p>
    <w:p w14:paraId="138F26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17 系统通用功能 </w:t>
      </w:r>
    </w:p>
    <w:p w14:paraId="66169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17.1 标准成像探头接口≥4 个</w:t>
      </w:r>
    </w:p>
    <w:p w14:paraId="0E6C12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17.2 探头规格 </w:t>
      </w:r>
    </w:p>
    <w:p w14:paraId="0C2373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17.2.1 频率:宽频变频探头 </w:t>
      </w:r>
    </w:p>
    <w:p w14:paraId="50B65E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17.2.2 包括心脏、腹部、血管检查条件</w:t>
      </w:r>
    </w:p>
    <w:p w14:paraId="2E6099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17.2.3 探头具备单晶体材料</w:t>
      </w:r>
    </w:p>
    <w:p w14:paraId="05A261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17.3 二维成像主要参数: </w:t>
      </w:r>
    </w:p>
    <w:p w14:paraId="45861D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 xml:space="preserve">17.3.1 </w:t>
      </w:r>
      <w:r>
        <w:rPr>
          <w:rFonts w:hint="eastAsia" w:ascii="宋体" w:hAnsi="宋体" w:eastAsia="宋体" w:cs="宋体"/>
          <w:color w:val="auto"/>
          <w:sz w:val="24"/>
          <w:lang w:val="en-US" w:eastAsia="zh-CN"/>
        </w:rPr>
        <w:t>探头配备：</w:t>
      </w:r>
    </w:p>
    <w:p w14:paraId="5757CC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心脏探头频率：      约1-5MHz </w:t>
      </w:r>
      <w:r>
        <w:rPr>
          <w:rFonts w:hint="eastAsia" w:ascii="宋体" w:hAnsi="宋体" w:eastAsia="宋体" w:cs="宋体"/>
          <w:color w:val="auto"/>
          <w:sz w:val="24"/>
          <w:lang w:val="en-US" w:eastAsia="zh-CN"/>
        </w:rPr>
        <w:t xml:space="preserve">  2</w:t>
      </w:r>
      <w:r>
        <w:rPr>
          <w:rFonts w:hint="eastAsia" w:ascii="宋体" w:hAnsi="宋体" w:eastAsia="宋体" w:cs="宋体"/>
          <w:color w:val="auto"/>
          <w:sz w:val="24"/>
        </w:rPr>
        <w:t xml:space="preserve">把 </w:t>
      </w:r>
    </w:p>
    <w:p w14:paraId="01CDCC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腹部探头频率：      约1-5MHz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1</w:t>
      </w:r>
      <w:r>
        <w:rPr>
          <w:rFonts w:hint="eastAsia" w:ascii="宋体" w:hAnsi="宋体" w:eastAsia="宋体" w:cs="宋体"/>
          <w:color w:val="auto"/>
          <w:sz w:val="24"/>
        </w:rPr>
        <w:t xml:space="preserve">把 </w:t>
      </w:r>
    </w:p>
    <w:p w14:paraId="4A0204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血管探头频率：      约3-12MH</w:t>
      </w:r>
      <w:r>
        <w:rPr>
          <w:rFonts w:hint="eastAsia" w:ascii="宋体" w:hAnsi="宋体" w:eastAsia="宋体" w:cs="宋体"/>
          <w:color w:val="auto"/>
          <w:sz w:val="24"/>
          <w:lang w:val="en-US" w:eastAsia="zh-CN"/>
        </w:rPr>
        <w:t>z</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1</w:t>
      </w:r>
      <w:r>
        <w:rPr>
          <w:rFonts w:hint="eastAsia" w:ascii="宋体" w:hAnsi="宋体" w:eastAsia="宋体" w:cs="宋体"/>
          <w:color w:val="auto"/>
          <w:sz w:val="24"/>
        </w:rPr>
        <w:t xml:space="preserve">把   </w:t>
      </w:r>
    </w:p>
    <w:p w14:paraId="084818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经食道三维矩阵</w:t>
      </w:r>
      <w:r>
        <w:rPr>
          <w:rFonts w:hint="eastAsia" w:ascii="宋体" w:hAnsi="宋体" w:eastAsia="宋体" w:cs="宋体"/>
          <w:color w:val="auto"/>
          <w:sz w:val="24"/>
        </w:rPr>
        <w:t>探头：约</w:t>
      </w:r>
      <w:r>
        <w:rPr>
          <w:rFonts w:hint="eastAsia" w:ascii="宋体" w:hAnsi="宋体" w:eastAsia="宋体" w:cs="宋体"/>
          <w:color w:val="auto"/>
          <w:sz w:val="24"/>
          <w:lang w:val="en-US" w:eastAsia="zh-CN"/>
        </w:rPr>
        <w:t>2</w:t>
      </w:r>
      <w:r>
        <w:rPr>
          <w:rFonts w:hint="eastAsia" w:ascii="宋体" w:hAnsi="宋体" w:eastAsia="宋体" w:cs="宋体"/>
          <w:color w:val="auto"/>
          <w:sz w:val="24"/>
        </w:rPr>
        <w:t>-8MHz</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1</w:t>
      </w:r>
      <w:r>
        <w:rPr>
          <w:rFonts w:hint="eastAsia" w:ascii="宋体" w:hAnsi="宋体" w:eastAsia="宋体" w:cs="宋体"/>
          <w:color w:val="auto"/>
          <w:sz w:val="24"/>
        </w:rPr>
        <w:t>把</w:t>
      </w:r>
    </w:p>
    <w:p w14:paraId="4103E1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17.3.2 扫描速率: 相控阵,全视野，18cm 深度时，帧速率≥ 100 帧/秒</w:t>
      </w:r>
      <w:r>
        <w:rPr>
          <w:rFonts w:hint="eastAsia" w:ascii="宋体" w:hAnsi="宋体" w:cs="宋体"/>
          <w:sz w:val="24"/>
          <w:lang w:eastAsia="zh-CN"/>
        </w:rPr>
        <w:t>。</w:t>
      </w:r>
      <w:r>
        <w:rPr>
          <w:rFonts w:hint="eastAsia" w:ascii="宋体" w:hAnsi="宋体" w:eastAsia="宋体" w:cs="宋体"/>
          <w:sz w:val="24"/>
        </w:rPr>
        <w:t xml:space="preserve"> </w:t>
      </w:r>
    </w:p>
    <w:p w14:paraId="1F332E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凸阵,全视野，18cm 深度时，帧速率≥ 36 帧/秒 </w:t>
      </w:r>
    </w:p>
    <w:p w14:paraId="31D737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线阵,全视野，4cm 深度时，帧速率≥ 60 帧/秒 </w:t>
      </w:r>
    </w:p>
    <w:p w14:paraId="1C1350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17.3.3 扫描深度：凸阵探头扫描深度 ≥45cm </w:t>
      </w:r>
    </w:p>
    <w:p w14:paraId="5F654F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17.3.4 声束聚焦:发射接收动态连续聚焦 </w:t>
      </w:r>
    </w:p>
    <w:p w14:paraId="0C4377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17.3.5回放重现及存储:灰阶图像回放≥2500 幅，</w:t>
      </w:r>
      <w:r>
        <w:rPr>
          <w:rFonts w:hint="eastAsia" w:ascii="宋体" w:hAnsi="宋体" w:eastAsia="宋体" w:cs="宋体"/>
          <w:sz w:val="24"/>
          <w:szCs w:val="24"/>
        </w:rPr>
        <w:t>连续动态存储≥5 分钟</w:t>
      </w:r>
      <w:r>
        <w:rPr>
          <w:rFonts w:hint="eastAsia" w:ascii="宋体" w:hAnsi="宋体" w:cs="宋体"/>
          <w:sz w:val="24"/>
          <w:szCs w:val="24"/>
          <w:lang w:eastAsia="zh-CN"/>
        </w:rPr>
        <w:t>。</w:t>
      </w:r>
      <w:r>
        <w:rPr>
          <w:rFonts w:hint="eastAsia" w:ascii="宋体" w:hAnsi="宋体" w:eastAsia="宋体" w:cs="宋体"/>
          <w:sz w:val="24"/>
        </w:rPr>
        <w:t xml:space="preserve"> </w:t>
      </w:r>
    </w:p>
    <w:p w14:paraId="2E137F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17.3.6 预设条件:针对不同的检查脏器,预置最佳化图像的检查条件，</w:t>
      </w:r>
      <w:r>
        <w:rPr>
          <w:rFonts w:hint="eastAsia" w:ascii="宋体" w:hAnsi="宋体" w:eastAsia="宋体" w:cs="宋体"/>
          <w:sz w:val="24"/>
          <w:szCs w:val="24"/>
        </w:rPr>
        <w:t>每个探头内置≥1 组以上预设</w:t>
      </w:r>
      <w:r>
        <w:rPr>
          <w:rFonts w:hint="eastAsia" w:ascii="宋体" w:hAnsi="宋体" w:cs="宋体"/>
          <w:sz w:val="24"/>
          <w:szCs w:val="24"/>
          <w:lang w:eastAsia="zh-CN"/>
        </w:rPr>
        <w:t>。</w:t>
      </w:r>
    </w:p>
    <w:p w14:paraId="76534E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17.3.7 增益调节:2D/Color/Doppler 可独立调节</w:t>
      </w:r>
      <w:r>
        <w:rPr>
          <w:rFonts w:hint="eastAsia" w:ascii="宋体" w:hAnsi="宋体" w:cs="宋体"/>
          <w:sz w:val="24"/>
          <w:lang w:eastAsia="zh-CN"/>
        </w:rPr>
        <w:t>。</w:t>
      </w:r>
    </w:p>
    <w:p w14:paraId="042291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▲17.3.8 系统支持经食管探头≥4支，支持新生儿经食管超声</w:t>
      </w:r>
      <w:r>
        <w:rPr>
          <w:rFonts w:hint="eastAsia" w:ascii="宋体" w:hAnsi="宋体" w:eastAsia="宋体" w:cs="宋体"/>
          <w:color w:val="auto"/>
          <w:sz w:val="24"/>
          <w:lang w:eastAsia="zh-CN"/>
        </w:rPr>
        <w:t>。</w:t>
      </w:r>
    </w:p>
    <w:p w14:paraId="06B154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17.4 二维成像主要参数 </w:t>
      </w:r>
    </w:p>
    <w:p w14:paraId="22C82D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17.4.1 实时图像放大功能 </w:t>
      </w:r>
    </w:p>
    <w:p w14:paraId="52792B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17.4.1.1 具备 2D、M 型、彩色、PW、CW、TDI、造影、负荷等多种应用模式 </w:t>
      </w:r>
      <w:r>
        <w:rPr>
          <w:rFonts w:hint="eastAsia" w:ascii="宋体" w:hAnsi="宋体" w:cs="宋体"/>
          <w:color w:val="auto"/>
          <w:sz w:val="24"/>
          <w:lang w:eastAsia="zh-CN"/>
        </w:rPr>
        <w:t>。</w:t>
      </w:r>
    </w:p>
    <w:p w14:paraId="0DD214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17.4.1.2 具备右室定量在机分析 </w:t>
      </w:r>
    </w:p>
    <w:p w14:paraId="66008C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▲17.4.1.3 </w:t>
      </w:r>
      <w:r>
        <w:rPr>
          <w:rFonts w:hint="eastAsia" w:ascii="宋体" w:hAnsi="宋体" w:eastAsia="宋体" w:cs="宋体"/>
          <w:color w:val="auto"/>
          <w:sz w:val="24"/>
          <w:lang w:val="en-US" w:eastAsia="zh-CN"/>
        </w:rPr>
        <w:t>单晶体或</w:t>
      </w:r>
      <w:r>
        <w:rPr>
          <w:rFonts w:hint="eastAsia" w:ascii="宋体" w:hAnsi="宋体" w:eastAsia="宋体" w:cs="宋体"/>
          <w:color w:val="auto"/>
          <w:sz w:val="24"/>
        </w:rPr>
        <w:t>纯净波心脏探头</w:t>
      </w:r>
      <w:r>
        <w:rPr>
          <w:rFonts w:hint="eastAsia" w:ascii="宋体" w:hAnsi="宋体" w:eastAsia="宋体" w:cs="宋体"/>
          <w:color w:val="auto"/>
          <w:sz w:val="24"/>
          <w:lang w:val="en-US" w:eastAsia="zh-CN"/>
        </w:rPr>
        <w:t>视野角度</w:t>
      </w:r>
      <w:r>
        <w:rPr>
          <w:rFonts w:hint="eastAsia" w:ascii="宋体" w:hAnsi="宋体" w:eastAsia="宋体" w:cs="宋体"/>
          <w:color w:val="auto"/>
          <w:sz w:val="24"/>
        </w:rPr>
        <w:t>≥120°</w:t>
      </w:r>
    </w:p>
    <w:p w14:paraId="5D2E61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color w:val="auto"/>
          <w:sz w:val="24"/>
        </w:rPr>
        <w:t>17.4.1.4 提供基于组织多普勒的定量分析，可同时显示多个亚节</w:t>
      </w:r>
      <w:r>
        <w:rPr>
          <w:rFonts w:hint="eastAsia" w:ascii="宋体" w:hAnsi="宋体" w:eastAsia="宋体" w:cs="宋体"/>
          <w:sz w:val="24"/>
        </w:rPr>
        <w:t>段的心肌速度曲线、位移曲线、应变及应变率曲线，可用于整体及节段功能评价</w:t>
      </w:r>
      <w:r>
        <w:rPr>
          <w:rFonts w:hint="eastAsia" w:ascii="宋体" w:hAnsi="宋体" w:cs="宋体"/>
          <w:sz w:val="24"/>
          <w:lang w:eastAsia="zh-CN"/>
        </w:rPr>
        <w:t>。</w:t>
      </w:r>
    </w:p>
    <w:p w14:paraId="72D72F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rPr>
        <w:t>▲</w:t>
      </w:r>
      <w:r>
        <w:rPr>
          <w:rFonts w:hint="eastAsia" w:ascii="宋体" w:hAnsi="宋体" w:eastAsia="宋体" w:cs="宋体"/>
          <w:color w:val="auto"/>
          <w:sz w:val="24"/>
          <w:highlight w:val="none"/>
          <w:lang w:val="en-US" w:eastAsia="zh-CN"/>
        </w:rPr>
        <w:t>17.4.1.5 动态范围</w:t>
      </w:r>
      <w:r>
        <w:rPr>
          <w:rFonts w:hint="eastAsia" w:ascii="宋体" w:hAnsi="宋体" w:eastAsia="宋体" w:cs="宋体"/>
          <w:color w:val="auto"/>
          <w:sz w:val="24"/>
        </w:rPr>
        <w:t>≥</w:t>
      </w:r>
      <w:r>
        <w:rPr>
          <w:rFonts w:hint="eastAsia" w:ascii="宋体" w:hAnsi="宋体" w:eastAsia="宋体" w:cs="宋体"/>
          <w:color w:val="auto"/>
          <w:sz w:val="24"/>
          <w:lang w:val="en-US" w:eastAsia="zh-CN"/>
        </w:rPr>
        <w:t>390dB</w:t>
      </w:r>
    </w:p>
    <w:p w14:paraId="13FA01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17.5 频率多普勒 </w:t>
      </w:r>
    </w:p>
    <w:p w14:paraId="231E8F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17.5.1 脉冲波多普勒 PW，连续波多普勒 CW，高脉冲重复频率 HPRF </w:t>
      </w:r>
      <w:r>
        <w:rPr>
          <w:rFonts w:hint="eastAsia" w:ascii="宋体" w:hAnsi="宋体" w:cs="宋体"/>
          <w:sz w:val="24"/>
          <w:lang w:eastAsia="zh-CN"/>
        </w:rPr>
        <w:t>。</w:t>
      </w:r>
    </w:p>
    <w:p w14:paraId="189640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17.5.2 多普勒探头与频率: PW，CW </w:t>
      </w:r>
      <w:r>
        <w:rPr>
          <w:rFonts w:hint="eastAsia" w:ascii="宋体" w:hAnsi="宋体" w:cs="宋体"/>
          <w:sz w:val="24"/>
          <w:lang w:eastAsia="zh-CN"/>
        </w:rPr>
        <w:t>。</w:t>
      </w:r>
    </w:p>
    <w:p w14:paraId="66C251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17.5.3显示方式:B/D、B/C/D、D </w:t>
      </w:r>
      <w:r>
        <w:rPr>
          <w:rFonts w:hint="eastAsia" w:ascii="宋体" w:hAnsi="宋体" w:cs="宋体"/>
          <w:sz w:val="24"/>
          <w:lang w:eastAsia="zh-CN"/>
        </w:rPr>
        <w:t>。</w:t>
      </w:r>
    </w:p>
    <w:p w14:paraId="47B951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17.5.4 电影回放:≥2000 帧 </w:t>
      </w:r>
    </w:p>
    <w:p w14:paraId="540DB8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17.5.5 零位移动: ≥6 级 </w:t>
      </w:r>
    </w:p>
    <w:p w14:paraId="26A4F6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17.5.6 取样宽度及位置范围:宽度 </w:t>
      </w:r>
      <w:r>
        <w:rPr>
          <w:rFonts w:hint="eastAsia" w:ascii="宋体" w:hAnsi="宋体" w:eastAsia="宋体" w:cs="宋体"/>
          <w:color w:val="auto"/>
          <w:sz w:val="24"/>
          <w:rtl w:val="0"/>
          <w:lang w:val="en-US" w:eastAsia="zh-CN"/>
        </w:rPr>
        <w:t>1</w:t>
      </w:r>
      <w:r>
        <w:rPr>
          <w:rFonts w:hint="eastAsia" w:ascii="宋体" w:hAnsi="宋体" w:eastAsia="宋体" w:cs="宋体"/>
          <w:color w:val="auto"/>
          <w:sz w:val="24"/>
          <w:rtl w:val="0"/>
          <w:lang w:val="en-US" w:eastAsia="zh-TW"/>
        </w:rPr>
        <w:t>-</w:t>
      </w:r>
      <w:r>
        <w:rPr>
          <w:rFonts w:hint="eastAsia" w:ascii="宋体" w:hAnsi="宋体" w:eastAsia="宋体" w:cs="宋体"/>
          <w:color w:val="auto"/>
          <w:sz w:val="24"/>
          <w:rtl w:val="0"/>
          <w:lang w:val="en-US" w:eastAsia="zh-CN"/>
        </w:rPr>
        <w:t>16</w:t>
      </w:r>
      <w:r>
        <w:rPr>
          <w:rFonts w:hint="eastAsia" w:ascii="宋体" w:hAnsi="宋体" w:eastAsia="宋体" w:cs="宋体"/>
          <w:color w:val="auto"/>
          <w:sz w:val="24"/>
          <w:rtl w:val="0"/>
          <w:lang w:val="en-US" w:eastAsia="zh-TW"/>
        </w:rPr>
        <w:t>mm</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多</w:t>
      </w:r>
      <w:r>
        <w:rPr>
          <w:rFonts w:hint="eastAsia" w:ascii="宋体" w:hAnsi="宋体" w:eastAsia="宋体" w:cs="宋体"/>
          <w:color w:val="auto"/>
          <w:sz w:val="24"/>
        </w:rPr>
        <w:t xml:space="preserve">级可调 </w:t>
      </w:r>
      <w:r>
        <w:rPr>
          <w:rFonts w:hint="eastAsia" w:ascii="宋体" w:hAnsi="宋体" w:cs="宋体"/>
          <w:color w:val="auto"/>
          <w:sz w:val="24"/>
          <w:lang w:eastAsia="zh-CN"/>
        </w:rPr>
        <w:t>。</w:t>
      </w:r>
    </w:p>
    <w:p w14:paraId="4FA6B4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17.6 彩色多普勒 </w:t>
      </w:r>
    </w:p>
    <w:p w14:paraId="6E9B07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17.6.1 显示方式: 速度方差显示、能量显示、速度显示、方差显示 </w:t>
      </w:r>
      <w:r>
        <w:rPr>
          <w:rFonts w:hint="eastAsia" w:ascii="宋体" w:hAnsi="宋体" w:cs="宋体"/>
          <w:sz w:val="24"/>
          <w:lang w:eastAsia="zh-CN"/>
        </w:rPr>
        <w:t>。</w:t>
      </w:r>
    </w:p>
    <w:p w14:paraId="25A210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17.6.2 二维图像/频谱多普勒/彩色血流成像三同步显示 </w:t>
      </w:r>
      <w:r>
        <w:rPr>
          <w:rFonts w:hint="eastAsia" w:ascii="宋体" w:hAnsi="宋体" w:cs="宋体"/>
          <w:sz w:val="24"/>
          <w:lang w:eastAsia="zh-CN"/>
        </w:rPr>
        <w:t>。</w:t>
      </w:r>
    </w:p>
    <w:p w14:paraId="56571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17.6.3 彩色显示角度: 20-120°</w:t>
      </w:r>
      <w:r>
        <w:rPr>
          <w:rFonts w:hint="eastAsia" w:ascii="宋体" w:hAnsi="宋体" w:eastAsia="宋体" w:cs="宋体"/>
          <w:sz w:val="24"/>
          <w:lang w:val="en-US" w:eastAsia="zh-CN"/>
        </w:rPr>
        <w:t>可调</w:t>
      </w:r>
      <w:r>
        <w:rPr>
          <w:rFonts w:hint="eastAsia" w:ascii="宋体" w:hAnsi="宋体" w:eastAsia="宋体" w:cs="宋体"/>
          <w:sz w:val="24"/>
        </w:rPr>
        <w:t xml:space="preserve"> </w:t>
      </w:r>
      <w:r>
        <w:rPr>
          <w:rFonts w:hint="eastAsia" w:ascii="宋体" w:hAnsi="宋体" w:cs="宋体"/>
          <w:sz w:val="24"/>
          <w:lang w:eastAsia="zh-CN"/>
        </w:rPr>
        <w:t>。</w:t>
      </w:r>
    </w:p>
    <w:p w14:paraId="603F34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17.6.4 彩色显示帧数: 全视野, 18cm 深,帧频≥18 帧/秒 </w:t>
      </w:r>
      <w:r>
        <w:rPr>
          <w:rFonts w:hint="eastAsia" w:ascii="宋体" w:hAnsi="宋体" w:cs="宋体"/>
          <w:sz w:val="24"/>
          <w:lang w:eastAsia="zh-CN"/>
        </w:rPr>
        <w:t>。</w:t>
      </w:r>
    </w:p>
    <w:p w14:paraId="3F4F9C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17.6.5 组织多普勒帧频：全视野，18cm 深，帧频≥100 帧/秒</w:t>
      </w:r>
      <w:r>
        <w:rPr>
          <w:rFonts w:hint="eastAsia" w:ascii="宋体" w:hAnsi="宋体" w:cs="宋体"/>
          <w:sz w:val="24"/>
          <w:lang w:eastAsia="zh-CN"/>
        </w:rPr>
        <w:t>。</w:t>
      </w:r>
      <w:r>
        <w:rPr>
          <w:rFonts w:hint="eastAsia" w:ascii="宋体" w:hAnsi="宋体" w:eastAsia="宋体" w:cs="宋体"/>
          <w:sz w:val="24"/>
        </w:rPr>
        <w:t xml:space="preserve"> </w:t>
      </w:r>
    </w:p>
    <w:p w14:paraId="61BB8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rPr>
      </w:pPr>
      <w:r>
        <w:rPr>
          <w:rFonts w:hint="eastAsia" w:ascii="宋体" w:hAnsi="宋体" w:eastAsia="宋体" w:cs="宋体"/>
          <w:color w:val="auto"/>
          <w:sz w:val="24"/>
        </w:rPr>
        <w:t>17.6.6 显示位置调整:感兴趣的图像范围:-</w:t>
      </w:r>
      <w:r>
        <w:rPr>
          <w:rFonts w:hint="eastAsia" w:ascii="宋体" w:hAnsi="宋体" w:eastAsia="宋体" w:cs="宋体"/>
          <w:color w:val="auto"/>
          <w:sz w:val="24"/>
          <w:lang w:val="en-US" w:eastAsia="zh-CN"/>
        </w:rPr>
        <w:t>2</w:t>
      </w:r>
      <w:r>
        <w:rPr>
          <w:rFonts w:hint="eastAsia" w:ascii="宋体" w:hAnsi="宋体" w:eastAsia="宋体" w:cs="宋体"/>
          <w:color w:val="auto"/>
          <w:sz w:val="24"/>
        </w:rPr>
        <w:t>0°— +</w:t>
      </w:r>
      <w:r>
        <w:rPr>
          <w:rFonts w:hint="eastAsia" w:ascii="宋体" w:hAnsi="宋体" w:eastAsia="宋体" w:cs="宋体"/>
          <w:color w:val="auto"/>
          <w:sz w:val="24"/>
          <w:lang w:val="en-US" w:eastAsia="zh-CN"/>
        </w:rPr>
        <w:t>2</w:t>
      </w:r>
      <w:r>
        <w:rPr>
          <w:rFonts w:hint="eastAsia" w:ascii="宋体" w:hAnsi="宋体" w:eastAsia="宋体" w:cs="宋体"/>
          <w:color w:val="auto"/>
          <w:sz w:val="24"/>
        </w:rPr>
        <w:t>0°</w:t>
      </w:r>
      <w:r>
        <w:rPr>
          <w:rFonts w:hint="eastAsia" w:ascii="宋体" w:hAnsi="宋体" w:cs="宋体"/>
          <w:color w:val="auto"/>
          <w:sz w:val="24"/>
          <w:lang w:eastAsia="zh-CN"/>
        </w:rPr>
        <w:t>。</w:t>
      </w:r>
      <w:r>
        <w:rPr>
          <w:rFonts w:hint="eastAsia" w:ascii="宋体" w:hAnsi="宋体" w:eastAsia="宋体" w:cs="宋体"/>
          <w:color w:val="FF0000"/>
          <w:sz w:val="24"/>
        </w:rPr>
        <w:t xml:space="preserve"> </w:t>
      </w:r>
    </w:p>
    <w:p w14:paraId="451B69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17.6.7 彩色增强功能:彩色多普勒能量图(CDE/CPI);组织多普勒(TDI) </w:t>
      </w:r>
      <w:r>
        <w:rPr>
          <w:rFonts w:hint="eastAsia" w:ascii="宋体" w:hAnsi="宋体" w:cs="宋体"/>
          <w:sz w:val="24"/>
          <w:lang w:eastAsia="zh-CN"/>
        </w:rPr>
        <w:t>。</w:t>
      </w:r>
    </w:p>
    <w:p w14:paraId="3B1FC2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17.7 超声图像及病案管理系统 </w:t>
      </w:r>
    </w:p>
    <w:p w14:paraId="015246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17.7.1 动态图像采集,存储, 一次连续采集≥100 幅 </w:t>
      </w:r>
      <w:r>
        <w:rPr>
          <w:rFonts w:hint="eastAsia" w:ascii="宋体" w:hAnsi="宋体" w:cs="宋体"/>
          <w:sz w:val="24"/>
          <w:lang w:eastAsia="zh-CN"/>
        </w:rPr>
        <w:t>。</w:t>
      </w:r>
    </w:p>
    <w:p w14:paraId="5179B9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17.7.2 同屏电影回放≥4 画面,可调回放速度 </w:t>
      </w:r>
      <w:r>
        <w:rPr>
          <w:rFonts w:hint="eastAsia" w:ascii="宋体" w:hAnsi="宋体" w:cs="宋体"/>
          <w:sz w:val="24"/>
          <w:lang w:eastAsia="zh-CN"/>
        </w:rPr>
        <w:t>。</w:t>
      </w:r>
    </w:p>
    <w:p w14:paraId="24A5F3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17.7.3 存储图像及文档:</w:t>
      </w:r>
      <w:r>
        <w:rPr>
          <w:rFonts w:hint="eastAsia" w:ascii="宋体" w:hAnsi="宋体" w:eastAsia="宋体" w:cs="宋体"/>
          <w:sz w:val="24"/>
          <w:lang w:val="en-US" w:eastAsia="zh-CN"/>
        </w:rPr>
        <w:t>≥</w:t>
      </w:r>
      <w:r>
        <w:rPr>
          <w:rFonts w:hint="eastAsia" w:ascii="宋体" w:hAnsi="宋体" w:eastAsia="宋体" w:cs="宋体"/>
          <w:sz w:val="24"/>
        </w:rPr>
        <w:t xml:space="preserve">1TB 硬盘,CD/DVD </w:t>
      </w:r>
      <w:r>
        <w:rPr>
          <w:rFonts w:hint="eastAsia" w:ascii="宋体" w:hAnsi="宋体" w:cs="宋体"/>
          <w:sz w:val="24"/>
          <w:lang w:eastAsia="zh-CN"/>
        </w:rPr>
        <w:t>。</w:t>
      </w:r>
    </w:p>
    <w:p w14:paraId="4104D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17.7.4 支持报告存储,检索,统计 </w:t>
      </w:r>
      <w:r>
        <w:rPr>
          <w:rFonts w:hint="eastAsia" w:ascii="宋体" w:hAnsi="宋体" w:cs="宋体"/>
          <w:sz w:val="24"/>
          <w:lang w:eastAsia="zh-CN"/>
        </w:rPr>
        <w:t>。</w:t>
      </w:r>
    </w:p>
    <w:p w14:paraId="00E017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17.7.5 为保护病人隐私，图像存储时可隐去病案信息进行存储</w:t>
      </w:r>
      <w:r>
        <w:rPr>
          <w:rFonts w:hint="eastAsia" w:ascii="宋体" w:hAnsi="宋体" w:cs="宋体"/>
          <w:sz w:val="24"/>
          <w:lang w:eastAsia="zh-CN"/>
        </w:rPr>
        <w:t>。</w:t>
      </w:r>
      <w:r>
        <w:rPr>
          <w:rFonts w:hint="eastAsia" w:ascii="宋体" w:hAnsi="宋体" w:eastAsia="宋体" w:cs="宋体"/>
          <w:sz w:val="24"/>
        </w:rPr>
        <w:t xml:space="preserve"> </w:t>
      </w:r>
    </w:p>
    <w:p w14:paraId="4B16EF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17.7.6 图像阅读器 </w:t>
      </w:r>
    </w:p>
    <w:p w14:paraId="38FCB3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17.8. 超声功率输出调节: B/M,PW,CDFI,输出功率选择多级可调</w:t>
      </w:r>
      <w:r>
        <w:rPr>
          <w:rFonts w:hint="eastAsia" w:ascii="宋体" w:hAnsi="宋体" w:cs="宋体"/>
          <w:sz w:val="24"/>
          <w:lang w:eastAsia="zh-CN"/>
        </w:rPr>
        <w:t>。</w:t>
      </w:r>
      <w:r>
        <w:rPr>
          <w:rFonts w:hint="eastAsia" w:ascii="宋体" w:hAnsi="宋体" w:eastAsia="宋体" w:cs="宋体"/>
          <w:sz w:val="24"/>
        </w:rPr>
        <w:t xml:space="preserve"> </w:t>
      </w:r>
    </w:p>
    <w:p w14:paraId="6970364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rPr>
        <w:t xml:space="preserve"> </w:t>
      </w:r>
      <w:r>
        <w:rPr>
          <w:rFonts w:hint="eastAsia" w:ascii="宋体" w:hAnsi="宋体" w:eastAsia="宋体" w:cs="宋体"/>
          <w:b/>
          <w:bCs/>
          <w:sz w:val="24"/>
          <w:lang w:val="en-US" w:eastAsia="zh-CN"/>
        </w:rPr>
        <w:t>其他</w:t>
      </w:r>
      <w:r>
        <w:rPr>
          <w:rFonts w:hint="eastAsia" w:ascii="宋体" w:hAnsi="宋体" w:eastAsia="宋体" w:cs="宋体"/>
          <w:b/>
          <w:bCs/>
          <w:sz w:val="24"/>
        </w:rPr>
        <w:t xml:space="preserve">要求: </w:t>
      </w:r>
    </w:p>
    <w:p w14:paraId="127EBE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lang w:val="en-US" w:eastAsia="zh-CN"/>
        </w:rPr>
        <w:t>整机质3</w:t>
      </w:r>
      <w:r>
        <w:rPr>
          <w:rFonts w:hint="eastAsia" w:ascii="宋体" w:hAnsi="宋体" w:eastAsia="宋体" w:cs="宋体"/>
          <w:sz w:val="24"/>
        </w:rPr>
        <w:t xml:space="preserve">年 </w:t>
      </w:r>
    </w:p>
    <w:p w14:paraId="30B3F7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2、</w:t>
      </w:r>
      <w:r>
        <w:rPr>
          <w:rFonts w:hint="eastAsia" w:ascii="宋体" w:hAnsi="宋体" w:eastAsia="宋体" w:cs="宋体"/>
          <w:sz w:val="24"/>
        </w:rPr>
        <w:t>心脏超声专用检查床、检查椅一套</w:t>
      </w:r>
      <w:r>
        <w:rPr>
          <w:rFonts w:hint="eastAsia" w:ascii="宋体" w:hAnsi="宋体" w:cs="宋体"/>
          <w:sz w:val="24"/>
          <w:lang w:eastAsia="zh-CN"/>
        </w:rPr>
        <w:t>。</w:t>
      </w:r>
    </w:p>
    <w:p w14:paraId="575498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超声工作站一套；电脑一台、UPS电源、</w:t>
      </w:r>
      <w:r>
        <w:rPr>
          <w:rFonts w:hint="eastAsia" w:ascii="宋体" w:hAnsi="宋体" w:eastAsia="宋体" w:cs="宋体"/>
          <w:sz w:val="24"/>
          <w:lang w:val="en-US" w:eastAsia="zh-CN"/>
        </w:rPr>
        <w:t>高清采集卡一个、</w:t>
      </w:r>
      <w:r>
        <w:rPr>
          <w:rFonts w:hint="eastAsia" w:ascii="宋体" w:hAnsi="宋体" w:eastAsia="宋体" w:cs="宋体"/>
          <w:sz w:val="24"/>
        </w:rPr>
        <w:t>打印机一台、电脑桌椅一套，并承担超声工作站系统连入PACS 连接费。</w:t>
      </w:r>
    </w:p>
    <w:p w14:paraId="55E7A9F8">
      <w:pPr>
        <w:widowControl/>
        <w:spacing w:line="360" w:lineRule="auto"/>
        <w:jc w:val="left"/>
        <w:rPr>
          <w:rFonts w:hint="eastAsia" w:ascii="宋体" w:hAnsi="宋体" w:eastAsia="宋体" w:cs="宋体"/>
          <w:color w:val="auto"/>
          <w:sz w:val="24"/>
          <w:szCs w:val="24"/>
          <w:highlight w:val="none"/>
          <w:lang w:eastAsia="zh-CN"/>
        </w:rPr>
        <w:sectPr>
          <w:pgSz w:w="11905" w:h="16838"/>
          <w:pgMar w:top="1440" w:right="1080" w:bottom="1440" w:left="1080" w:header="851" w:footer="992" w:gutter="0"/>
          <w:cols w:space="0" w:num="1"/>
          <w:docGrid w:linePitch="462" w:charSpace="0"/>
        </w:sectPr>
      </w:pPr>
    </w:p>
    <w:p w14:paraId="3DD70614">
      <w:pPr>
        <w:keepNext w:val="0"/>
        <w:keepLines w:val="0"/>
        <w:pageBreakBefore w:val="0"/>
        <w:widowControl w:val="0"/>
        <w:kinsoku w:val="0"/>
        <w:wordWrap/>
        <w:overflowPunct/>
        <w:topLinePunct w:val="0"/>
        <w:autoSpaceDE w:val="0"/>
        <w:autoSpaceDN w:val="0"/>
        <w:bidi w:val="0"/>
        <w:adjustRightInd w:val="0"/>
        <w:snapToGrid/>
        <w:spacing w:line="520" w:lineRule="exact"/>
        <w:ind w:firstLine="480" w:firstLineChars="200"/>
        <w:jc w:val="left"/>
        <w:textAlignment w:val="baseline"/>
        <w:rPr>
          <w:rStyle w:val="40"/>
          <w:rFonts w:hint="eastAsia" w:ascii="微软雅黑" w:hAnsi="微软雅黑" w:eastAsia="微软雅黑" w:cs="微软雅黑"/>
          <w:color w:val="auto"/>
          <w:sz w:val="32"/>
          <w:szCs w:val="32"/>
          <w:highlight w:val="none"/>
          <w:lang w:eastAsia="zh-CN"/>
        </w:rPr>
      </w:pPr>
      <w:r>
        <w:rPr>
          <w:rFonts w:hint="eastAsia" w:ascii="微软雅黑" w:hAnsi="微软雅黑" w:eastAsia="微软雅黑" w:cs="微软雅黑"/>
          <w:b/>
          <w:bCs/>
          <w:sz w:val="24"/>
          <w:szCs w:val="24"/>
          <w:highlight w:val="yellow"/>
        </w:rPr>
        <w:t>备注：</w:t>
      </w:r>
      <w:r>
        <w:rPr>
          <w:rFonts w:hint="eastAsia" w:ascii="微软雅黑" w:hAnsi="微软雅黑" w:eastAsia="微软雅黑" w:cs="微软雅黑"/>
          <w:b/>
          <w:bCs/>
          <w:sz w:val="24"/>
          <w:szCs w:val="24"/>
          <w:highlight w:val="yellow"/>
          <w:lang w:eastAsia="zh-CN"/>
        </w:rPr>
        <w:t>以上</w:t>
      </w:r>
      <w:r>
        <w:rPr>
          <w:rFonts w:hint="eastAsia" w:ascii="微软雅黑" w:hAnsi="微软雅黑" w:eastAsia="微软雅黑" w:cs="微软雅黑"/>
          <w:b/>
          <w:bCs/>
          <w:sz w:val="24"/>
          <w:szCs w:val="24"/>
          <w:highlight w:val="yellow"/>
        </w:rPr>
        <w:t>参数不指向任何品牌和型号，如指向某一品牌和型号，品牌仅供参考，此参数不作为限制供应商所投产品的品牌和型号。</w:t>
      </w:r>
    </w:p>
    <w:p w14:paraId="7D538430">
      <w:pPr>
        <w:pStyle w:val="23"/>
        <w:numPr>
          <w:ilvl w:val="0"/>
          <w:numId w:val="0"/>
        </w:numPr>
        <w:ind w:left="0" w:leftChars="0" w:firstLine="0" w:firstLineChars="0"/>
        <w:outlineLvl w:val="9"/>
        <w:rPr>
          <w:rStyle w:val="40"/>
          <w:rFonts w:hint="eastAsia" w:ascii="微软雅黑" w:hAnsi="微软雅黑" w:eastAsia="微软雅黑" w:cs="微软雅黑"/>
          <w:color w:val="auto"/>
          <w:sz w:val="32"/>
          <w:szCs w:val="32"/>
          <w:highlight w:val="none"/>
          <w:lang w:eastAsia="zh-CN"/>
        </w:rPr>
      </w:pPr>
      <w:bookmarkStart w:id="760" w:name="_Toc14077"/>
      <w:bookmarkStart w:id="761" w:name="_Toc20213"/>
      <w:bookmarkStart w:id="762" w:name="_Toc4872"/>
      <w:bookmarkStart w:id="763" w:name="_Toc8570"/>
      <w:bookmarkStart w:id="764" w:name="_Toc9691"/>
      <w:bookmarkStart w:id="765" w:name="_Toc25040"/>
      <w:r>
        <w:rPr>
          <w:rFonts w:hint="eastAsia" w:ascii="微软雅黑" w:hAnsi="微软雅黑" w:eastAsia="微软雅黑" w:cs="微软雅黑"/>
          <w:b/>
          <w:bCs/>
          <w:color w:val="auto"/>
          <w:kern w:val="44"/>
          <w:sz w:val="32"/>
          <w:szCs w:val="32"/>
          <w:highlight w:val="none"/>
          <w:lang w:val="en-US" w:eastAsia="zh-CN" w:bidi="ar-SA"/>
        </w:rPr>
        <w:t>二、</w:t>
      </w:r>
      <w:r>
        <w:rPr>
          <w:rStyle w:val="40"/>
          <w:rFonts w:hint="eastAsia" w:ascii="微软雅黑" w:hAnsi="微软雅黑" w:eastAsia="微软雅黑" w:cs="微软雅黑"/>
          <w:color w:val="auto"/>
          <w:sz w:val="32"/>
          <w:szCs w:val="32"/>
          <w:highlight w:val="none"/>
          <w:lang w:eastAsia="zh-CN"/>
        </w:rPr>
        <w:t>项目其他要求</w:t>
      </w:r>
      <w:bookmarkEnd w:id="760"/>
      <w:bookmarkEnd w:id="761"/>
      <w:bookmarkEnd w:id="762"/>
      <w:bookmarkEnd w:id="763"/>
      <w:bookmarkEnd w:id="764"/>
      <w:bookmarkEnd w:id="765"/>
    </w:p>
    <w:p w14:paraId="4E054C35">
      <w:pPr>
        <w:keepNext w:val="0"/>
        <w:keepLines w:val="0"/>
        <w:pageBreakBefore w:val="0"/>
        <w:kinsoku/>
        <w:wordWrap/>
        <w:overflowPunct/>
        <w:topLinePunct w:val="0"/>
        <w:bidi w:val="0"/>
        <w:spacing w:line="520" w:lineRule="exac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eastAsia="zh-CN"/>
        </w:rPr>
        <w:t>1.</w:t>
      </w:r>
      <w:r>
        <w:rPr>
          <w:rFonts w:hint="eastAsia" w:ascii="微软雅黑" w:hAnsi="微软雅黑" w:eastAsia="微软雅黑" w:cs="微软雅黑"/>
          <w:b/>
          <w:color w:val="auto"/>
          <w:sz w:val="24"/>
          <w:szCs w:val="24"/>
          <w:highlight w:val="none"/>
        </w:rPr>
        <w:t>所招设备的性能要求</w:t>
      </w:r>
    </w:p>
    <w:p w14:paraId="12B1B7CE">
      <w:pPr>
        <w:keepNext w:val="0"/>
        <w:keepLines w:val="0"/>
        <w:pageBreakBefore w:val="0"/>
        <w:widowControl/>
        <w:kinsoku/>
        <w:wordWrap/>
        <w:overflowPunct/>
        <w:topLinePunct w:val="0"/>
        <w:bidi w:val="0"/>
        <w:spacing w:line="520" w:lineRule="exact"/>
        <w:ind w:firstLine="480" w:firstLineChars="200"/>
        <w:jc w:val="left"/>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凡技术参数指标执行的国家相关标准、行业标准、地方标准或者其他标准、规范。供应商需要提供投标产品技术支持</w:t>
      </w:r>
      <w:r>
        <w:rPr>
          <w:rFonts w:hint="eastAsia" w:ascii="微软雅黑" w:hAnsi="微软雅黑" w:eastAsia="微软雅黑" w:cs="微软雅黑"/>
          <w:color w:val="auto"/>
          <w:sz w:val="24"/>
          <w:szCs w:val="24"/>
          <w:highlight w:val="none"/>
          <w:lang w:eastAsia="zh-CN"/>
        </w:rPr>
        <w:t>文件</w:t>
      </w:r>
      <w:r>
        <w:rPr>
          <w:rFonts w:hint="eastAsia" w:ascii="微软雅黑" w:hAnsi="微软雅黑" w:eastAsia="微软雅黑" w:cs="微软雅黑"/>
          <w:color w:val="auto"/>
          <w:sz w:val="24"/>
          <w:szCs w:val="24"/>
          <w:highlight w:val="none"/>
        </w:rPr>
        <w:t>，其中技术支持资料指生产厂家公开发布的印刷资料</w:t>
      </w:r>
      <w:r>
        <w:rPr>
          <w:rFonts w:hint="eastAsia" w:ascii="微软雅黑" w:hAnsi="微软雅黑" w:eastAsia="微软雅黑" w:cs="微软雅黑"/>
          <w:color w:val="auto"/>
          <w:sz w:val="24"/>
          <w:szCs w:val="24"/>
          <w:highlight w:val="none"/>
          <w:lang w:eastAsia="zh-CN"/>
        </w:rPr>
        <w:t>或技术白皮书</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val="en-US" w:eastAsia="zh-CN"/>
        </w:rPr>
        <w:t>官方或官方授权的第三方机构出具的检测报告</w:t>
      </w:r>
      <w:r>
        <w:rPr>
          <w:rFonts w:hint="eastAsia" w:ascii="微软雅黑" w:hAnsi="微软雅黑" w:eastAsia="微软雅黑" w:cs="微软雅黑"/>
          <w:color w:val="auto"/>
          <w:sz w:val="24"/>
          <w:szCs w:val="24"/>
          <w:highlight w:val="none"/>
        </w:rPr>
        <w:t>，若生产厂家公开发布的印刷资料或</w:t>
      </w:r>
      <w:r>
        <w:rPr>
          <w:rFonts w:hint="eastAsia" w:ascii="微软雅黑" w:hAnsi="微软雅黑" w:eastAsia="微软雅黑" w:cs="微软雅黑"/>
          <w:color w:val="auto"/>
          <w:sz w:val="24"/>
          <w:szCs w:val="24"/>
          <w:highlight w:val="none"/>
          <w:lang w:val="en-US" w:eastAsia="zh-CN"/>
        </w:rPr>
        <w:t>官方或官方授权第三方机构出具的检测报告</w:t>
      </w:r>
      <w:r>
        <w:rPr>
          <w:rFonts w:hint="eastAsia" w:ascii="微软雅黑" w:hAnsi="微软雅黑" w:eastAsia="微软雅黑" w:cs="微软雅黑"/>
          <w:color w:val="auto"/>
          <w:sz w:val="24"/>
          <w:szCs w:val="24"/>
          <w:highlight w:val="none"/>
        </w:rPr>
        <w:t>不一致，以</w:t>
      </w:r>
      <w:r>
        <w:rPr>
          <w:rFonts w:hint="eastAsia" w:ascii="微软雅黑" w:hAnsi="微软雅黑" w:eastAsia="微软雅黑" w:cs="微软雅黑"/>
          <w:color w:val="auto"/>
          <w:sz w:val="24"/>
          <w:szCs w:val="24"/>
          <w:highlight w:val="none"/>
          <w:lang w:val="en-US" w:eastAsia="zh-CN"/>
        </w:rPr>
        <w:t>官方或官方授权第三方机构出具的检测报告</w:t>
      </w:r>
      <w:r>
        <w:rPr>
          <w:rFonts w:hint="eastAsia" w:ascii="微软雅黑" w:hAnsi="微软雅黑" w:eastAsia="微软雅黑" w:cs="微软雅黑"/>
          <w:color w:val="auto"/>
          <w:sz w:val="24"/>
          <w:szCs w:val="24"/>
          <w:highlight w:val="none"/>
        </w:rPr>
        <w:t>为准。</w:t>
      </w:r>
      <w:r>
        <w:rPr>
          <w:rFonts w:hint="eastAsia" w:ascii="微软雅黑" w:hAnsi="微软雅黑" w:eastAsia="微软雅黑" w:cs="微软雅黑"/>
          <w:b/>
          <w:bCs/>
          <w:color w:val="auto"/>
          <w:sz w:val="24"/>
          <w:szCs w:val="24"/>
          <w:highlight w:val="none"/>
        </w:rPr>
        <w:t>供应商须在</w:t>
      </w:r>
      <w:r>
        <w:rPr>
          <w:rFonts w:hint="eastAsia" w:ascii="微软雅黑" w:hAnsi="微软雅黑" w:eastAsia="微软雅黑" w:cs="微软雅黑"/>
          <w:b/>
          <w:bCs/>
          <w:color w:val="auto"/>
          <w:sz w:val="24"/>
          <w:szCs w:val="24"/>
          <w:highlight w:val="none"/>
          <w:lang w:val="en-US" w:eastAsia="zh-CN"/>
        </w:rPr>
        <w:t>投标文件</w:t>
      </w:r>
      <w:r>
        <w:rPr>
          <w:rFonts w:hint="eastAsia" w:ascii="微软雅黑" w:hAnsi="微软雅黑" w:eastAsia="微软雅黑" w:cs="微软雅黑"/>
          <w:b/>
          <w:bCs/>
          <w:color w:val="auto"/>
          <w:sz w:val="24"/>
          <w:szCs w:val="24"/>
          <w:highlight w:val="none"/>
        </w:rPr>
        <w:t>中按照</w:t>
      </w:r>
      <w:r>
        <w:rPr>
          <w:rFonts w:hint="eastAsia" w:ascii="微软雅黑" w:hAnsi="微软雅黑" w:eastAsia="微软雅黑" w:cs="微软雅黑"/>
          <w:b/>
          <w:bCs/>
          <w:color w:val="auto"/>
          <w:sz w:val="24"/>
          <w:szCs w:val="24"/>
          <w:highlight w:val="none"/>
          <w:lang w:val="en-US" w:eastAsia="zh-CN"/>
        </w:rPr>
        <w:t>招标文件</w:t>
      </w:r>
      <w:r>
        <w:rPr>
          <w:rFonts w:hint="eastAsia" w:ascii="微软雅黑" w:hAnsi="微软雅黑" w:eastAsia="微软雅黑" w:cs="微软雅黑"/>
          <w:b/>
          <w:bCs/>
          <w:color w:val="auto"/>
          <w:sz w:val="24"/>
          <w:szCs w:val="24"/>
          <w:highlight w:val="none"/>
        </w:rPr>
        <w:t>技术规格的要求提供技术应答的证明材料，如技术规格中无特殊要求则应提交本条款规定的技术支持资料。对于供应商提供的</w:t>
      </w:r>
      <w:r>
        <w:rPr>
          <w:rFonts w:hint="eastAsia" w:ascii="微软雅黑" w:hAnsi="微软雅黑" w:eastAsia="微软雅黑" w:cs="微软雅黑"/>
          <w:b/>
          <w:bCs/>
          <w:color w:val="auto"/>
          <w:sz w:val="24"/>
          <w:szCs w:val="24"/>
          <w:highlight w:val="none"/>
          <w:lang w:val="en-US" w:eastAsia="zh-CN"/>
        </w:rPr>
        <w:t>投标文件</w:t>
      </w:r>
      <w:r>
        <w:rPr>
          <w:rFonts w:hint="eastAsia" w:ascii="微软雅黑" w:hAnsi="微软雅黑" w:eastAsia="微软雅黑" w:cs="微软雅黑"/>
          <w:b/>
          <w:bCs/>
          <w:color w:val="auto"/>
          <w:sz w:val="24"/>
          <w:szCs w:val="24"/>
          <w:highlight w:val="none"/>
        </w:rPr>
        <w:t>技术应答未按本条款要求提供</w:t>
      </w:r>
      <w:r>
        <w:rPr>
          <w:rFonts w:hint="eastAsia" w:ascii="微软雅黑" w:hAnsi="微软雅黑" w:eastAsia="微软雅黑" w:cs="微软雅黑"/>
          <w:b/>
          <w:bCs/>
          <w:color w:val="auto"/>
          <w:sz w:val="24"/>
          <w:szCs w:val="24"/>
          <w:highlight w:val="none"/>
          <w:lang w:val="en-US" w:eastAsia="zh-CN"/>
        </w:rPr>
        <w:t>所投</w:t>
      </w:r>
      <w:r>
        <w:rPr>
          <w:rFonts w:hint="eastAsia" w:ascii="微软雅黑" w:hAnsi="微软雅黑" w:eastAsia="微软雅黑" w:cs="微软雅黑"/>
          <w:b/>
          <w:bCs/>
          <w:color w:val="auto"/>
          <w:sz w:val="24"/>
          <w:szCs w:val="24"/>
          <w:highlight w:val="none"/>
        </w:rPr>
        <w:t>产品技术支持资料的，或提供的投标产品技术支持资料</w:t>
      </w:r>
      <w:r>
        <w:rPr>
          <w:rFonts w:hint="eastAsia" w:ascii="微软雅黑" w:hAnsi="微软雅黑" w:eastAsia="微软雅黑" w:cs="微软雅黑"/>
          <w:b/>
          <w:bCs/>
          <w:color w:val="auto"/>
          <w:sz w:val="24"/>
          <w:szCs w:val="24"/>
          <w:highlight w:val="none"/>
          <w:lang w:val="en-US" w:eastAsia="zh-CN"/>
        </w:rPr>
        <w:t>不完整，技术参数则作为负偏离处理</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技术证明材料为原件扫描件</w:t>
      </w:r>
      <w:r>
        <w:rPr>
          <w:rFonts w:hint="eastAsia" w:ascii="微软雅黑" w:hAnsi="微软雅黑" w:eastAsia="微软雅黑" w:cs="微软雅黑"/>
          <w:b/>
          <w:bCs/>
          <w:color w:val="auto"/>
          <w:sz w:val="24"/>
          <w:szCs w:val="24"/>
          <w:highlight w:val="none"/>
          <w:lang w:eastAsia="zh-CN"/>
        </w:rPr>
        <w:t>）</w:t>
      </w:r>
    </w:p>
    <w:p w14:paraId="0A06025A">
      <w:pPr>
        <w:keepNext w:val="0"/>
        <w:keepLines w:val="0"/>
        <w:pageBreakBefore w:val="0"/>
        <w:kinsoku/>
        <w:wordWrap/>
        <w:overflowPunct/>
        <w:topLinePunct w:val="0"/>
        <w:bidi w:val="0"/>
        <w:spacing w:line="520" w:lineRule="exact"/>
        <w:textAlignment w:val="auto"/>
        <w:rPr>
          <w:rFonts w:hint="eastAsia" w:ascii="微软雅黑" w:hAnsi="微软雅黑" w:eastAsia="微软雅黑" w:cs="微软雅黑"/>
          <w:b/>
          <w:color w:val="auto"/>
          <w:sz w:val="24"/>
          <w:szCs w:val="24"/>
          <w:highlight w:val="none"/>
          <w:lang w:eastAsia="zh-CN"/>
        </w:rPr>
      </w:pPr>
      <w:r>
        <w:rPr>
          <w:rFonts w:hint="eastAsia" w:ascii="微软雅黑" w:hAnsi="微软雅黑" w:eastAsia="微软雅黑" w:cs="微软雅黑"/>
          <w:b/>
          <w:color w:val="auto"/>
          <w:sz w:val="24"/>
          <w:szCs w:val="24"/>
          <w:highlight w:val="none"/>
          <w:lang w:eastAsia="zh-CN"/>
        </w:rPr>
        <w:t>2.</w:t>
      </w:r>
      <w:r>
        <w:rPr>
          <w:rFonts w:hint="eastAsia" w:ascii="微软雅黑" w:hAnsi="微软雅黑" w:eastAsia="微软雅黑" w:cs="微软雅黑"/>
          <w:b/>
          <w:color w:val="auto"/>
          <w:sz w:val="24"/>
          <w:szCs w:val="24"/>
          <w:highlight w:val="none"/>
        </w:rPr>
        <w:t>项目的交货期</w:t>
      </w:r>
      <w:r>
        <w:rPr>
          <w:rFonts w:hint="eastAsia" w:ascii="微软雅黑" w:hAnsi="微软雅黑" w:eastAsia="微软雅黑" w:cs="微软雅黑"/>
          <w:b/>
          <w:color w:val="auto"/>
          <w:sz w:val="24"/>
          <w:szCs w:val="24"/>
          <w:highlight w:val="none"/>
          <w:lang w:eastAsia="zh-CN"/>
        </w:rPr>
        <w:t>、质保期、实施地：</w:t>
      </w:r>
    </w:p>
    <w:p w14:paraId="603F0305">
      <w:pPr>
        <w:keepNext w:val="0"/>
        <w:keepLines w:val="0"/>
        <w:pageBreakBefore w:val="0"/>
        <w:kinsoku/>
        <w:wordWrap/>
        <w:overflowPunct/>
        <w:topLinePunct w:val="0"/>
        <w:bidi w:val="0"/>
        <w:spacing w:line="520" w:lineRule="exact"/>
        <w:ind w:firstLine="480" w:firstLineChars="200"/>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交货期</w:t>
      </w:r>
      <w:r>
        <w:rPr>
          <w:rFonts w:hint="eastAsia" w:ascii="微软雅黑" w:hAnsi="微软雅黑" w:eastAsia="微软雅黑" w:cs="微软雅黑"/>
          <w:b/>
          <w:bCs/>
          <w:color w:val="auto"/>
          <w:sz w:val="24"/>
          <w:szCs w:val="24"/>
          <w:highlight w:val="none"/>
          <w:lang w:val="en-US" w:eastAsia="zh-CN"/>
        </w:rPr>
        <w:t>：签订合同后60天内完成货物的交付、安装、培训等工作 。</w:t>
      </w:r>
    </w:p>
    <w:p w14:paraId="24E07B57">
      <w:pPr>
        <w:pStyle w:val="4"/>
        <w:keepNext w:val="0"/>
        <w:keepLines w:val="0"/>
        <w:pageBreakBefore w:val="0"/>
        <w:widowControl w:val="0"/>
        <w:kinsoku/>
        <w:wordWrap/>
        <w:overflowPunct/>
        <w:topLinePunct w:val="0"/>
        <w:bidi w:val="0"/>
        <w:snapToGrid/>
        <w:spacing w:line="520" w:lineRule="exact"/>
        <w:ind w:left="0" w:leftChars="0" w:firstLine="480" w:firstLineChars="200"/>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（2）保证所供设备是 2025年1月后生产的全新的、未使用过的，并符合国家有关标准、制造厂标准及技术标准要求，（提供承诺函）。</w:t>
      </w:r>
    </w:p>
    <w:p w14:paraId="76A15081">
      <w:pPr>
        <w:keepNext w:val="0"/>
        <w:keepLines w:val="0"/>
        <w:pageBreakBefore w:val="0"/>
        <w:kinsoku/>
        <w:wordWrap/>
        <w:overflowPunct/>
        <w:topLinePunct w:val="0"/>
        <w:bidi w:val="0"/>
        <w:spacing w:line="520" w:lineRule="exact"/>
        <w:ind w:firstLine="480" w:firstLineChars="200"/>
        <w:textAlignment w:val="auto"/>
        <w:rPr>
          <w:rFonts w:hint="eastAsia" w:ascii="微软雅黑" w:hAnsi="微软雅黑" w:eastAsia="宋体" w:cs="微软雅黑"/>
          <w:b w:val="0"/>
          <w:bCs w:val="0"/>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（2）</w:t>
      </w:r>
      <w:r>
        <w:rPr>
          <w:rFonts w:hint="eastAsia" w:ascii="微软雅黑" w:hAnsi="微软雅黑" w:eastAsia="微软雅黑" w:cs="微软雅黑"/>
          <w:b/>
          <w:bCs/>
          <w:color w:val="auto"/>
          <w:sz w:val="24"/>
          <w:szCs w:val="24"/>
          <w:highlight w:val="none"/>
          <w:lang w:eastAsia="zh-CN"/>
        </w:rPr>
        <w:t>质保期限</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val="0"/>
          <w:bCs w:val="0"/>
          <w:color w:val="auto"/>
          <w:sz w:val="24"/>
          <w:szCs w:val="24"/>
          <w:highlight w:val="none"/>
          <w:lang w:val="en-US" w:eastAsia="zh-CN"/>
        </w:rPr>
        <w:t>质保期</w:t>
      </w:r>
      <w:r>
        <w:rPr>
          <w:rFonts w:hint="eastAsia" w:ascii="宋体" w:hAnsi="宋体" w:cs="宋体"/>
          <w:sz w:val="24"/>
          <w:highlight w:val="none"/>
          <w:lang w:val="en-US" w:eastAsia="zh-CN"/>
        </w:rPr>
        <w:t>3</w:t>
      </w:r>
      <w:r>
        <w:rPr>
          <w:rFonts w:hint="eastAsia" w:ascii="宋体" w:hAnsi="宋体" w:eastAsia="宋体" w:cs="宋体"/>
          <w:sz w:val="24"/>
          <w:highlight w:val="none"/>
        </w:rPr>
        <w:t>年</w:t>
      </w:r>
    </w:p>
    <w:p w14:paraId="2B2368D9">
      <w:pPr>
        <w:keepNext w:val="0"/>
        <w:keepLines w:val="0"/>
        <w:pageBreakBefore w:val="0"/>
        <w:kinsoku/>
        <w:wordWrap/>
        <w:overflowPunct/>
        <w:topLinePunct w:val="0"/>
        <w:bidi w:val="0"/>
        <w:spacing w:line="520" w:lineRule="exact"/>
        <w:ind w:firstLine="480" w:firstLineChars="200"/>
        <w:textAlignment w:val="auto"/>
        <w:rPr>
          <w:rFonts w:hint="default"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（3）项目实施地：沙湾市人民医院</w:t>
      </w:r>
    </w:p>
    <w:p w14:paraId="3DBC8843">
      <w:pPr>
        <w:pStyle w:val="4"/>
        <w:keepNext w:val="0"/>
        <w:keepLines w:val="0"/>
        <w:pageBreakBefore w:val="0"/>
        <w:kinsoku/>
        <w:wordWrap/>
        <w:overflowPunct/>
        <w:topLinePunct w:val="0"/>
        <w:bidi w:val="0"/>
        <w:spacing w:line="520" w:lineRule="exact"/>
        <w:ind w:left="0" w:leftChars="0" w:firstLine="0" w:firstLineChars="0"/>
        <w:textAlignment w:val="auto"/>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
          <w:color w:val="auto"/>
          <w:sz w:val="24"/>
          <w:szCs w:val="24"/>
          <w:highlight w:val="none"/>
          <w:lang w:eastAsia="zh-CN"/>
        </w:rPr>
        <w:t>3.</w:t>
      </w:r>
      <w:r>
        <w:rPr>
          <w:rFonts w:hint="eastAsia" w:ascii="微软雅黑" w:hAnsi="微软雅黑" w:eastAsia="微软雅黑" w:cs="微软雅黑"/>
          <w:b/>
          <w:color w:val="auto"/>
          <w:sz w:val="24"/>
          <w:szCs w:val="24"/>
          <w:highlight w:val="none"/>
          <w:lang w:val="en-US" w:eastAsia="zh-CN"/>
        </w:rPr>
        <w:t>付款方式：签订合同后甲方支付合同价款的40%，货到后甲方支付合同价款的30%，验收合格后甲方支付合同价款的 30%。</w:t>
      </w:r>
    </w:p>
    <w:p w14:paraId="082E5A9B">
      <w:pPr>
        <w:pStyle w:val="4"/>
        <w:keepNext w:val="0"/>
        <w:keepLines w:val="0"/>
        <w:pageBreakBefore w:val="0"/>
        <w:kinsoku/>
        <w:wordWrap/>
        <w:overflowPunct/>
        <w:topLinePunct w:val="0"/>
        <w:bidi w:val="0"/>
        <w:spacing w:line="520" w:lineRule="exact"/>
        <w:ind w:left="0" w:leftChars="0" w:firstLine="0" w:firstLineChars="0"/>
        <w:textAlignment w:val="auto"/>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
          <w:color w:val="auto"/>
          <w:sz w:val="24"/>
          <w:szCs w:val="24"/>
          <w:highlight w:val="none"/>
          <w:lang w:val="en-US" w:eastAsia="zh-CN"/>
        </w:rPr>
        <w:t>4.售后服务：</w:t>
      </w:r>
    </w:p>
    <w:p w14:paraId="108F4475">
      <w:pPr>
        <w:pStyle w:val="4"/>
        <w:keepNext w:val="0"/>
        <w:keepLines w:val="0"/>
        <w:pageBreakBefore w:val="0"/>
        <w:widowControl w:val="0"/>
        <w:kinsoku/>
        <w:wordWrap/>
        <w:overflowPunct/>
        <w:topLinePunct w:val="0"/>
        <w:bidi w:val="0"/>
        <w:snapToGrid/>
        <w:spacing w:line="52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产品厂家或供应商须到使用单位提供的现场免费安装，调试设备，进行操作试验，直至运行正常，为仪器操作人员提供操作及维护培训。在质保期内出现故障时，中标供应商在接到故障报修电话后，1小时响应，48小时内必须赶到现场解决故障，如当日无法修复，对故障件提供备件支持，不再单独收取任何费用。维修过程中需要更换零配件时，应向医院解释说明并快速调用配件，负责故障件更换直至排除故障， 每次维修完成后，中标供应商应向设备使用方提供书面维修报告一份。设备需要软硬件安全升级的，中标供应商须提供设备的系统软件升级补丁和技术支持， 以提高设备的安全性和性能，并提供所有升级资料和记录，不再单独收取任何费用。</w:t>
      </w:r>
      <w:r>
        <w:rPr>
          <w:rFonts w:hint="eastAsia" w:ascii="微软雅黑" w:hAnsi="微软雅黑" w:eastAsia="微软雅黑" w:cs="微软雅黑"/>
          <w:b/>
          <w:bCs/>
          <w:color w:val="auto"/>
          <w:sz w:val="24"/>
          <w:szCs w:val="24"/>
          <w:highlight w:val="none"/>
          <w:lang w:val="en-US" w:eastAsia="zh-CN"/>
        </w:rPr>
        <w:t>（提供承诺函）</w:t>
      </w:r>
    </w:p>
    <w:p w14:paraId="258AC9CC">
      <w:pPr>
        <w:pStyle w:val="4"/>
        <w:keepNext w:val="0"/>
        <w:keepLines w:val="0"/>
        <w:pageBreakBefore w:val="0"/>
        <w:widowControl w:val="0"/>
        <w:kinsoku/>
        <w:wordWrap/>
        <w:overflowPunct/>
        <w:topLinePunct w:val="0"/>
        <w:bidi w:val="0"/>
        <w:snapToGrid/>
        <w:spacing w:line="52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（2）为保证设备的正常运行，须提供7*24小时的售后服务，并附上地点、联系方式。</w:t>
      </w:r>
    </w:p>
    <w:p w14:paraId="365ADE14">
      <w:pPr>
        <w:pStyle w:val="4"/>
        <w:keepNext w:val="0"/>
        <w:keepLines w:val="0"/>
        <w:pageBreakBefore w:val="0"/>
        <w:widowControl w:val="0"/>
        <w:kinsoku/>
        <w:wordWrap/>
        <w:overflowPunct/>
        <w:topLinePunct w:val="0"/>
        <w:bidi w:val="0"/>
        <w:snapToGrid/>
        <w:spacing w:line="520" w:lineRule="exact"/>
        <w:ind w:left="0" w:leftChars="0" w:firstLine="480" w:firstLineChars="200"/>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（3）在质保期内，派遣维修或技术人员巡访设备使用单位，</w:t>
      </w:r>
      <w:r>
        <w:rPr>
          <w:rFonts w:hint="eastAsia" w:ascii="微软雅黑" w:hAnsi="微软雅黑" w:eastAsia="微软雅黑" w:cs="微软雅黑"/>
          <w:b w:val="0"/>
          <w:bCs/>
          <w:color w:val="auto"/>
          <w:sz w:val="24"/>
          <w:szCs w:val="24"/>
          <w:highlight w:val="none"/>
          <w:lang w:val="en-US" w:eastAsia="zh-CN"/>
        </w:rPr>
        <w:t>每年设备巡检不少于4次</w:t>
      </w:r>
      <w:r>
        <w:rPr>
          <w:rFonts w:hint="eastAsia" w:ascii="微软雅黑" w:hAnsi="微软雅黑" w:eastAsia="微软雅黑" w:cs="微软雅黑"/>
          <w:color w:val="auto"/>
          <w:sz w:val="24"/>
          <w:szCs w:val="24"/>
          <w:highlight w:val="none"/>
          <w:lang w:val="en-US" w:eastAsia="zh-CN"/>
        </w:rPr>
        <w:t>，协助并指导运维人员进行日常维护保养工作，并与直接使用人交流设备使用相关事宜，</w:t>
      </w:r>
      <w:r>
        <w:rPr>
          <w:rFonts w:hint="eastAsia" w:ascii="微软雅黑" w:hAnsi="微软雅黑" w:eastAsia="微软雅黑" w:cs="微软雅黑"/>
          <w:b w:val="0"/>
          <w:bCs/>
          <w:color w:val="auto"/>
          <w:sz w:val="24"/>
          <w:szCs w:val="24"/>
          <w:highlight w:val="none"/>
          <w:lang w:val="en-US" w:eastAsia="zh-CN"/>
        </w:rPr>
        <w:t>以保证所投设备在本院正常运转。</w:t>
      </w:r>
      <w:r>
        <w:rPr>
          <w:rFonts w:hint="eastAsia" w:ascii="微软雅黑" w:hAnsi="微软雅黑" w:eastAsia="微软雅黑" w:cs="微软雅黑"/>
          <w:b/>
          <w:bCs w:val="0"/>
          <w:color w:val="auto"/>
          <w:sz w:val="24"/>
          <w:szCs w:val="24"/>
          <w:highlight w:val="none"/>
          <w:lang w:val="en-US" w:eastAsia="zh-CN"/>
        </w:rPr>
        <w:t>（提供承诺函）</w:t>
      </w:r>
    </w:p>
    <w:p w14:paraId="36AF3DF3">
      <w:pPr>
        <w:pStyle w:val="4"/>
        <w:keepNext w:val="0"/>
        <w:keepLines w:val="0"/>
        <w:pageBreakBefore w:val="0"/>
        <w:widowControl w:val="0"/>
        <w:kinsoku/>
        <w:wordWrap/>
        <w:overflowPunct/>
        <w:topLinePunct w:val="0"/>
        <w:bidi w:val="0"/>
        <w:snapToGrid/>
        <w:spacing w:line="520" w:lineRule="exact"/>
        <w:ind w:left="0" w:leftChars="0" w:firstLine="480" w:firstLineChars="200"/>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（4）生产厂家或供应商具有固定的售后服务网点或分公司及维修工程师</w:t>
      </w:r>
      <w:r>
        <w:rPr>
          <w:rFonts w:hint="eastAsia" w:ascii="微软雅黑" w:hAnsi="微软雅黑" w:eastAsia="微软雅黑" w:cs="微软雅黑"/>
          <w:b/>
          <w:bCs w:val="0"/>
          <w:color w:val="auto"/>
          <w:sz w:val="24"/>
          <w:szCs w:val="24"/>
          <w:highlight w:val="none"/>
          <w:lang w:val="en-US" w:eastAsia="zh-CN"/>
        </w:rPr>
        <w:t>（提供营业执照及技术人员名单、社保、资质）</w:t>
      </w:r>
      <w:r>
        <w:rPr>
          <w:rFonts w:hint="eastAsia" w:ascii="微软雅黑" w:hAnsi="微软雅黑" w:eastAsia="微软雅黑" w:cs="微软雅黑"/>
          <w:b w:val="0"/>
          <w:bCs/>
          <w:color w:val="auto"/>
          <w:sz w:val="24"/>
          <w:szCs w:val="24"/>
          <w:highlight w:val="none"/>
          <w:lang w:val="en-US" w:eastAsia="zh-CN"/>
        </w:rPr>
        <w:t>。</w:t>
      </w:r>
    </w:p>
    <w:p w14:paraId="7BC30BCD">
      <w:pPr>
        <w:pStyle w:val="4"/>
        <w:keepNext w:val="0"/>
        <w:keepLines w:val="0"/>
        <w:pageBreakBefore w:val="0"/>
        <w:widowControl w:val="0"/>
        <w:kinsoku/>
        <w:wordWrap/>
        <w:overflowPunct/>
        <w:topLinePunct w:val="0"/>
        <w:bidi w:val="0"/>
        <w:snapToGrid/>
        <w:spacing w:line="520" w:lineRule="exact"/>
        <w:ind w:left="0" w:leftChars="0" w:firstLine="480" w:firstLineChars="200"/>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（5）设备安装到位后需提供由具备法定计量监测机构的单位，对该设备完成检测，检测所产生的任何费用由中标单位承担，并出具报告。（提供承诺函）</w:t>
      </w:r>
    </w:p>
    <w:p w14:paraId="5AF928F2">
      <w:pPr>
        <w:pStyle w:val="4"/>
        <w:keepNext w:val="0"/>
        <w:keepLines w:val="0"/>
        <w:pageBreakBefore w:val="0"/>
        <w:widowControl w:val="0"/>
        <w:kinsoku/>
        <w:wordWrap/>
        <w:overflowPunct/>
        <w:topLinePunct w:val="0"/>
        <w:bidi w:val="0"/>
        <w:snapToGrid/>
        <w:spacing w:line="520" w:lineRule="exact"/>
        <w:ind w:left="0" w:leftChars="0" w:firstLine="480" w:firstLineChars="200"/>
        <w:textAlignment w:val="auto"/>
        <w:rPr>
          <w:rFonts w:hint="eastAsia"/>
          <w:lang w:val="en-US" w:eastAsia="zh-CN"/>
        </w:rPr>
      </w:pPr>
      <w:r>
        <w:rPr>
          <w:rFonts w:hint="eastAsia" w:ascii="微软雅黑" w:hAnsi="微软雅黑" w:eastAsia="微软雅黑" w:cs="微软雅黑"/>
          <w:b w:val="0"/>
          <w:bCs/>
          <w:color w:val="auto"/>
          <w:sz w:val="24"/>
          <w:szCs w:val="24"/>
          <w:highlight w:val="none"/>
          <w:lang w:val="en-US" w:eastAsia="zh-CN"/>
        </w:rPr>
        <w:t>（6）设备所用性能验证、校准及仪器设备试运行的试剂由中标方提供。</w:t>
      </w:r>
      <w:r>
        <w:rPr>
          <w:rFonts w:hint="eastAsia" w:ascii="微软雅黑" w:hAnsi="微软雅黑" w:eastAsia="微软雅黑" w:cs="微软雅黑"/>
          <w:b/>
          <w:bCs w:val="0"/>
          <w:color w:val="auto"/>
          <w:sz w:val="24"/>
          <w:szCs w:val="24"/>
          <w:highlight w:val="none"/>
          <w:lang w:val="en-US" w:eastAsia="zh-CN"/>
        </w:rPr>
        <w:t>（提供承诺函）</w:t>
      </w:r>
    </w:p>
    <w:p w14:paraId="2E9F6338">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（7）人员安排：</w:t>
      </w:r>
    </w:p>
    <w:p w14:paraId="226394E4">
      <w:pPr>
        <w:pStyle w:val="4"/>
        <w:keepNext w:val="0"/>
        <w:keepLines w:val="0"/>
        <w:pageBreakBefore w:val="0"/>
        <w:widowControl w:val="0"/>
        <w:kinsoku/>
        <w:wordWrap/>
        <w:overflowPunct/>
        <w:topLinePunct w:val="0"/>
        <w:bidi w:val="0"/>
        <w:snapToGrid/>
        <w:spacing w:line="520" w:lineRule="exact"/>
        <w:textAlignment w:val="auto"/>
        <w:rPr>
          <w:rFonts w:hint="default"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①供应商应有长期且固定的项目负责人，主要负责项目前期对接、合同签订、设备安装相关事宜接洽、</w:t>
      </w:r>
      <w:r>
        <w:rPr>
          <w:rFonts w:hint="eastAsia" w:ascii="微软雅黑" w:hAnsi="微软雅黑" w:eastAsia="微软雅黑" w:cs="微软雅黑"/>
          <w:color w:val="auto"/>
          <w:sz w:val="24"/>
          <w:szCs w:val="24"/>
          <w:highlight w:val="none"/>
          <w:lang w:val="en-US" w:eastAsia="zh-CN"/>
        </w:rPr>
        <w:t>配合采购人共同参与项目验收</w:t>
      </w:r>
      <w:r>
        <w:rPr>
          <w:rFonts w:hint="eastAsia" w:ascii="微软雅黑" w:hAnsi="微软雅黑" w:eastAsia="微软雅黑" w:cs="微软雅黑"/>
          <w:b w:val="0"/>
          <w:bCs/>
          <w:color w:val="auto"/>
          <w:sz w:val="24"/>
          <w:szCs w:val="24"/>
          <w:highlight w:val="none"/>
          <w:lang w:val="en-US" w:eastAsia="zh-CN"/>
        </w:rPr>
        <w:t>、后期设备维修保养事宜、专业技术人员安排、培训安排等相关事宜。项目负责人1人。</w:t>
      </w:r>
    </w:p>
    <w:p w14:paraId="353984C1">
      <w:pPr>
        <w:pStyle w:val="4"/>
        <w:keepNext w:val="0"/>
        <w:keepLines w:val="0"/>
        <w:pageBreakBefore w:val="0"/>
        <w:widowControl w:val="0"/>
        <w:kinsoku/>
        <w:wordWrap/>
        <w:overflowPunct/>
        <w:topLinePunct w:val="0"/>
        <w:bidi w:val="0"/>
        <w:snapToGrid/>
        <w:spacing w:line="520" w:lineRule="exact"/>
        <w:ind w:left="0" w:leftChars="0" w:firstLine="480" w:firstLineChars="200"/>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②供应商应派相关技术人员到现场进行指导安装，解决安装过程中的相关问题，</w:t>
      </w:r>
      <w:r>
        <w:rPr>
          <w:rFonts w:hint="eastAsia" w:ascii="微软雅黑" w:hAnsi="微软雅黑" w:eastAsia="微软雅黑" w:cs="微软雅黑"/>
          <w:b w:val="0"/>
          <w:bCs/>
          <w:color w:val="auto"/>
          <w:sz w:val="24"/>
          <w:szCs w:val="24"/>
          <w:highlight w:val="none"/>
          <w:lang w:val="en-US" w:eastAsia="zh-CN"/>
        </w:rPr>
        <w:t>设备安装技术人员不得少于1人。</w:t>
      </w:r>
    </w:p>
    <w:p w14:paraId="567A0B1B">
      <w:pPr>
        <w:pStyle w:val="4"/>
        <w:keepNext w:val="0"/>
        <w:keepLines w:val="0"/>
        <w:pageBreakBefore w:val="0"/>
        <w:widowControl w:val="0"/>
        <w:kinsoku/>
        <w:wordWrap/>
        <w:overflowPunct/>
        <w:topLinePunct w:val="0"/>
        <w:bidi w:val="0"/>
        <w:snapToGrid/>
        <w:spacing w:line="520" w:lineRule="exact"/>
        <w:ind w:left="0" w:leftChars="0" w:firstLine="480" w:firstLineChars="200"/>
        <w:textAlignment w:val="auto"/>
        <w:rPr>
          <w:rFonts w:hint="default"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③售后服务维修保养专业技术人员不得少于2人。</w:t>
      </w:r>
    </w:p>
    <w:p w14:paraId="35CF5B62">
      <w:pPr>
        <w:pStyle w:val="4"/>
        <w:keepNext w:val="0"/>
        <w:keepLines w:val="0"/>
        <w:pageBreakBefore w:val="0"/>
        <w:widowControl w:val="0"/>
        <w:kinsoku/>
        <w:wordWrap/>
        <w:overflowPunct/>
        <w:topLinePunct w:val="0"/>
        <w:bidi w:val="0"/>
        <w:snapToGrid/>
        <w:spacing w:line="52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（8）向采购单位有关技术人员在使用现场提供全套技术指导及培训。</w:t>
      </w:r>
    </w:p>
    <w:p w14:paraId="53D385D7">
      <w:pPr>
        <w:pStyle w:val="4"/>
        <w:keepNext w:val="0"/>
        <w:keepLines w:val="0"/>
        <w:pageBreakBefore w:val="0"/>
        <w:widowControl w:val="0"/>
        <w:kinsoku/>
        <w:wordWrap/>
        <w:overflowPunct/>
        <w:topLinePunct w:val="0"/>
        <w:bidi w:val="0"/>
        <w:snapToGrid/>
        <w:spacing w:line="520" w:lineRule="exact"/>
        <w:ind w:left="0" w:leftChars="0" w:firstLine="480" w:firstLineChars="200"/>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售后服务承诺：供应商应对质保期内及其以后的服务做出承诺，并具有切实可行的措施,不能及时兑现服务承诺内容而影响使用方使用，供应商应怎样给予补偿；供应商在项目实施所在区域内应有设或指派的法定售后服务机构，维修人员应是供应商派出的具有一定专业技术水平的人员，并具有供应商的法人授权委托，并在投标文件中均应明确说明。</w:t>
      </w:r>
      <w:r>
        <w:rPr>
          <w:rFonts w:hint="eastAsia" w:ascii="微软雅黑" w:hAnsi="微软雅黑" w:eastAsia="微软雅黑" w:cs="微软雅黑"/>
          <w:b/>
          <w:bCs/>
          <w:color w:val="auto"/>
          <w:sz w:val="24"/>
          <w:szCs w:val="24"/>
          <w:highlight w:val="none"/>
          <w:lang w:val="en-US" w:eastAsia="zh-CN"/>
        </w:rPr>
        <w:t>（提供承诺函）</w:t>
      </w:r>
    </w:p>
    <w:p w14:paraId="045C412A">
      <w:pPr>
        <w:pStyle w:val="4"/>
        <w:keepNext w:val="0"/>
        <w:keepLines w:val="0"/>
        <w:pageBreakBefore w:val="0"/>
        <w:widowControl w:val="0"/>
        <w:kinsoku/>
        <w:wordWrap/>
        <w:overflowPunct/>
        <w:topLinePunct w:val="0"/>
        <w:bidi w:val="0"/>
        <w:snapToGrid/>
        <w:spacing w:line="52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备品备件：生产厂家在国内有相应的零配件保税库，所投产品均须提供备品备件，供应商根据自身所投产品提供相对应的部件之间及设备之间的连线或接插件，均视为备品备件的种类。列明备品备件的种类、数量、价格。</w:t>
      </w:r>
    </w:p>
    <w:p w14:paraId="693750B6">
      <w:pPr>
        <w:pStyle w:val="4"/>
        <w:keepNext w:val="0"/>
        <w:keepLines w:val="0"/>
        <w:pageBreakBefore w:val="0"/>
        <w:widowControl w:val="0"/>
        <w:kinsoku/>
        <w:wordWrap/>
        <w:overflowPunct/>
        <w:topLinePunct w:val="0"/>
        <w:bidi w:val="0"/>
        <w:snapToGrid/>
        <w:spacing w:line="52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（11）如有未尽事宜或收到服务需求不合要求情况，可双方协商决定，但决定权在购买方，购买方有权利退回所购买产品。</w:t>
      </w:r>
    </w:p>
    <w:p w14:paraId="2FF68004">
      <w:pPr>
        <w:pStyle w:val="4"/>
        <w:keepNext w:val="0"/>
        <w:keepLines w:val="0"/>
        <w:pageBreakBefore w:val="0"/>
        <w:widowControl w:val="0"/>
        <w:kinsoku/>
        <w:wordWrap/>
        <w:overflowPunct/>
        <w:topLinePunct w:val="0"/>
        <w:bidi w:val="0"/>
        <w:snapToGrid/>
        <w:spacing w:line="52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（12）提供24小时免费400保修电话号码。</w:t>
      </w:r>
    </w:p>
    <w:p w14:paraId="3EC640D7">
      <w:pPr>
        <w:pStyle w:val="4"/>
        <w:keepNext w:val="0"/>
        <w:keepLines w:val="0"/>
        <w:pageBreakBefore w:val="0"/>
        <w:widowControl w:val="0"/>
        <w:kinsoku/>
        <w:wordWrap/>
        <w:overflowPunct/>
        <w:topLinePunct w:val="0"/>
        <w:bidi w:val="0"/>
        <w:snapToGrid/>
        <w:spacing w:line="52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（13）没有按时提供货物或者提供不合格货物等原因影响我院正常工作开展，供货商承担我医院的一切损失。</w:t>
      </w:r>
    </w:p>
    <w:p w14:paraId="37E20AFC">
      <w:pPr>
        <w:pStyle w:val="4"/>
        <w:keepNext w:val="0"/>
        <w:keepLines w:val="0"/>
        <w:pageBreakBefore w:val="0"/>
        <w:widowControl w:val="0"/>
        <w:kinsoku/>
        <w:wordWrap/>
        <w:overflowPunct/>
        <w:topLinePunct w:val="0"/>
        <w:bidi w:val="0"/>
        <w:snapToGrid/>
        <w:spacing w:line="520" w:lineRule="exact"/>
        <w:ind w:left="0" w:leftChars="0"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(14)供应商所投产品与本中心现有医疗软件以及沙湾市人民医院对接产生的接口费、调测费等均有中标供应商支付给现有医疗系统的供应商，采购人不再另行支付任务对接产生的费用。</w:t>
      </w:r>
    </w:p>
    <w:p w14:paraId="4B9A6879">
      <w:pPr>
        <w:pStyle w:val="4"/>
        <w:keepNext w:val="0"/>
        <w:keepLines w:val="0"/>
        <w:pageBreakBefore w:val="0"/>
        <w:kinsoku/>
        <w:wordWrap/>
        <w:overflowPunct/>
        <w:topLinePunct w:val="0"/>
        <w:bidi w:val="0"/>
        <w:spacing w:line="520" w:lineRule="exact"/>
        <w:ind w:left="0" w:leftChars="0" w:firstLine="0" w:firstLineChars="0"/>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5.实施方案及培训方案（具体详见综合评分表）</w:t>
      </w:r>
    </w:p>
    <w:p w14:paraId="1956A881">
      <w:pPr>
        <w:pStyle w:val="4"/>
        <w:keepNext w:val="0"/>
        <w:keepLines w:val="0"/>
        <w:pageBreakBefore w:val="0"/>
        <w:kinsoku/>
        <w:wordWrap/>
        <w:overflowPunct/>
        <w:topLinePunct w:val="0"/>
        <w:bidi w:val="0"/>
        <w:spacing w:line="52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供应商应保证供货设备在项目实施过程中的实施方案、设备质量、及供货安装、项目安全措施、应急处理、进度安排等五方面进行拓展，供应商能够在设备运输中保障设备的功能不被破坏，在发货前保证对货物的质量、规格、性能、数量和重量等进行准确而全面的检验，并出具一份产品检验合格证书。在项目供货安装时进行核对，如若发生设备不能正常运行，供应商必须在突发应急时给予响应并在最快时间内处理，保障设备正常运行。</w:t>
      </w:r>
    </w:p>
    <w:p w14:paraId="0AA44BA6">
      <w:pPr>
        <w:pStyle w:val="4"/>
        <w:keepNext w:val="0"/>
        <w:keepLines w:val="0"/>
        <w:pageBreakBefore w:val="0"/>
        <w:kinsoku/>
        <w:wordWrap/>
        <w:overflowPunct/>
        <w:topLinePunct w:val="0"/>
        <w:bidi w:val="0"/>
        <w:spacing w:line="520" w:lineRule="exact"/>
        <w:ind w:left="0" w:leftChars="0"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2）须提供所投设备的相关技术培训，指涉及产品基本原理、安装、调试、操作使用和保养维修等有关内容的学习。提供相对应的培训方案，培训人员的差旅费、食宿费、培训教材等费用，应计入投标报价，随时排除所有设备故障进行明确的计划阐述，并对所有设备保修期过后维保进行阐述。</w:t>
      </w:r>
    </w:p>
    <w:p w14:paraId="25766BBC">
      <w:pPr>
        <w:pStyle w:val="95"/>
        <w:keepNext w:val="0"/>
        <w:keepLines w:val="0"/>
        <w:pageBreakBefore w:val="0"/>
        <w:widowControl w:val="0"/>
        <w:kinsoku/>
        <w:wordWrap/>
        <w:overflowPunct/>
        <w:topLinePunct w:val="0"/>
        <w:autoSpaceDE/>
        <w:autoSpaceDN/>
        <w:bidi w:val="0"/>
        <w:spacing w:line="480" w:lineRule="exact"/>
        <w:jc w:val="both"/>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
          <w:color w:val="auto"/>
          <w:sz w:val="24"/>
          <w:szCs w:val="24"/>
          <w:highlight w:val="none"/>
          <w:lang w:val="en-US" w:eastAsia="zh-CN"/>
        </w:rPr>
        <w:t>6.采购标的的验收标准：</w:t>
      </w:r>
    </w:p>
    <w:p w14:paraId="395CB812">
      <w:pPr>
        <w:pStyle w:val="9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验收主体：沙湾市人民医院、沙湾市卫生健康委员会 、医疗设备类相关专业专家、中标供应商等；</w:t>
      </w:r>
    </w:p>
    <w:p w14:paraId="56C9E32E">
      <w:pPr>
        <w:pStyle w:val="9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验收时间：供货安装调试完毕</w:t>
      </w:r>
    </w:p>
    <w:p w14:paraId="1CE30A6B">
      <w:pPr>
        <w:pStyle w:val="9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验收方式：现场验收</w:t>
      </w:r>
    </w:p>
    <w:p w14:paraId="02091A4B">
      <w:pPr>
        <w:pStyle w:val="9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 xml:space="preserve">验收程序：货物到位后，由沙湾市人民医院验收货物包装是否完好及数量是否正确，安装调试后由中标单位发出验收申请，沙湾市人民医院分管领导签批后，由沙湾市人民医院组织邀请投标单位、医疗设备相关专业专家、沙湾市卫生健康委员会进行验收。 </w:t>
      </w:r>
    </w:p>
    <w:p w14:paraId="40D8A354">
      <w:pPr>
        <w:pStyle w:val="9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4E2FCA7F">
      <w:pPr>
        <w:pStyle w:val="9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验收内容：包括但不限于机械性能、电气性能、图像质量、功能软件、稳定性能等。</w:t>
      </w:r>
    </w:p>
    <w:p w14:paraId="4FAC9D1F">
      <w:pPr>
        <w:pStyle w:val="9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验收标准：本项目严格按照《财政部关于进一步加强政府采购需求和履约验收管理的指导意见》（财库〔2016〕205 号）等政府采购相关法律法规的要求进行验收。</w:t>
      </w:r>
    </w:p>
    <w:p w14:paraId="572BA959">
      <w:pPr>
        <w:pStyle w:val="4"/>
        <w:keepNext w:val="0"/>
        <w:keepLines w:val="0"/>
        <w:pageBreakBefore w:val="0"/>
        <w:kinsoku/>
        <w:wordWrap/>
        <w:overflowPunct/>
        <w:topLinePunct w:val="0"/>
        <w:bidi w:val="0"/>
        <w:spacing w:line="520" w:lineRule="exact"/>
        <w:ind w:left="0" w:leftChars="0"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color w:val="auto"/>
          <w:sz w:val="24"/>
          <w:szCs w:val="24"/>
          <w:highlight w:val="none"/>
          <w:lang w:val="en-US" w:eastAsia="zh-CN"/>
        </w:rPr>
        <w:t>验收中发现供应商未达到货物质量标准或合同的规定，供应商必须及时免费提供达到标准的货物，并且承担由此给委托人造成的损失。</w:t>
      </w:r>
    </w:p>
    <w:p w14:paraId="64A23898">
      <w:pPr>
        <w:pStyle w:val="9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7.采购标的的其他技术、服务等要求：</w:t>
      </w:r>
    </w:p>
    <w:p w14:paraId="69582FF0">
      <w:pPr>
        <w:pStyle w:val="4"/>
        <w:keepNext w:val="0"/>
        <w:keepLines w:val="0"/>
        <w:pageBreakBefore w:val="0"/>
        <w:kinsoku/>
        <w:wordWrap/>
        <w:overflowPunct/>
        <w:topLinePunct w:val="0"/>
        <w:bidi w:val="0"/>
        <w:spacing w:line="5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1.无论招标文件中或采购合同中是否要求，供应商所投货物均应符合国家强制性标准及地方强制性标准。</w:t>
      </w:r>
    </w:p>
    <w:p w14:paraId="5853FA72">
      <w:pPr>
        <w:pStyle w:val="9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bookmarkStart w:id="766" w:name="_Toc12838"/>
      <w:bookmarkStart w:id="767" w:name="_Toc24213"/>
      <w:r>
        <w:rPr>
          <w:rFonts w:hint="eastAsia" w:ascii="微软雅黑" w:hAnsi="微软雅黑" w:eastAsia="微软雅黑" w:cs="微软雅黑"/>
          <w:color w:val="auto"/>
          <w:kern w:val="0"/>
          <w:sz w:val="24"/>
          <w:szCs w:val="24"/>
          <w:highlight w:val="none"/>
          <w:lang w:val="en-US" w:eastAsia="zh-CN" w:bidi="ar-SA"/>
        </w:rPr>
        <w:t xml:space="preserve">2.中标供应商在供货期间出现下列情况之一者，应立即停止供货：（采购人有权终止合同） </w:t>
      </w:r>
    </w:p>
    <w:bookmarkEnd w:id="766"/>
    <w:bookmarkEnd w:id="767"/>
    <w:p w14:paraId="2B4DA498">
      <w:pPr>
        <w:pStyle w:val="9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bookmarkStart w:id="768" w:name="_Toc427"/>
      <w:bookmarkStart w:id="769" w:name="_Toc17054"/>
      <w:r>
        <w:rPr>
          <w:rFonts w:hint="eastAsia" w:ascii="微软雅黑" w:hAnsi="微软雅黑" w:eastAsia="微软雅黑" w:cs="微软雅黑"/>
          <w:color w:val="auto"/>
          <w:kern w:val="0"/>
          <w:sz w:val="24"/>
          <w:szCs w:val="24"/>
          <w:highlight w:val="none"/>
          <w:lang w:val="en-US" w:eastAsia="zh-CN" w:bidi="ar-SA"/>
        </w:rPr>
        <w:t xml:space="preserve">①出现降低供货质量和货物标准，随意变更供货物品牌等情况，或在供货质量评议中采购单位满意度较低，经约谈警告后，仍不改正的； </w:t>
      </w:r>
    </w:p>
    <w:bookmarkEnd w:id="768"/>
    <w:bookmarkEnd w:id="769"/>
    <w:p w14:paraId="7E645AA6">
      <w:pPr>
        <w:pStyle w:val="9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bookmarkStart w:id="770" w:name="_Toc11235"/>
      <w:bookmarkStart w:id="771" w:name="_Toc9910"/>
      <w:r>
        <w:rPr>
          <w:rFonts w:hint="eastAsia" w:ascii="微软雅黑" w:hAnsi="微软雅黑" w:eastAsia="微软雅黑" w:cs="微软雅黑"/>
          <w:color w:val="auto"/>
          <w:kern w:val="0"/>
          <w:sz w:val="24"/>
          <w:szCs w:val="24"/>
          <w:highlight w:val="none"/>
          <w:lang w:val="en-US" w:eastAsia="zh-CN" w:bidi="ar-SA"/>
        </w:rPr>
        <w:t xml:space="preserve">②擅自转包、分包供货业务或存在擅自变更货物生产及配送地址、擅自更换履约人等违约行为； </w:t>
      </w:r>
    </w:p>
    <w:bookmarkEnd w:id="770"/>
    <w:bookmarkEnd w:id="771"/>
    <w:p w14:paraId="092CAE44">
      <w:pPr>
        <w:pStyle w:val="9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bookmarkStart w:id="772" w:name="_Toc31980"/>
      <w:r>
        <w:rPr>
          <w:rFonts w:hint="eastAsia" w:ascii="微软雅黑" w:hAnsi="微软雅黑" w:eastAsia="微软雅黑" w:cs="微软雅黑"/>
          <w:color w:val="auto"/>
          <w:kern w:val="0"/>
          <w:sz w:val="24"/>
          <w:szCs w:val="24"/>
          <w:highlight w:val="none"/>
          <w:lang w:val="en-US" w:eastAsia="zh-CN" w:bidi="ar-SA"/>
        </w:rPr>
        <w:t>③出现其他违反法律法规及有关规定的行为。</w:t>
      </w:r>
    </w:p>
    <w:bookmarkEnd w:id="772"/>
    <w:p w14:paraId="37409BA8">
      <w:pPr>
        <w:pStyle w:val="9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3.如有未尽事宜或收到服务需求不合要求情况，可双方协商决定，但决定权在购买方。</w:t>
      </w:r>
    </w:p>
    <w:p w14:paraId="5DF8A104">
      <w:pPr>
        <w:pStyle w:val="9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微软雅黑" w:hAnsi="微软雅黑" w:eastAsia="微软雅黑" w:cs="微软雅黑"/>
          <w:b w:val="0"/>
          <w:bCs w:val="0"/>
          <w:color w:val="auto"/>
          <w:kern w:val="2"/>
          <w:sz w:val="24"/>
          <w:szCs w:val="24"/>
          <w:highlight w:val="none"/>
          <w:lang w:val="en-US" w:eastAsia="zh-CN" w:bidi="ar-SA"/>
        </w:rPr>
      </w:pPr>
    </w:p>
    <w:p w14:paraId="02E47A07">
      <w:pPr>
        <w:pStyle w:val="23"/>
        <w:rPr>
          <w:rStyle w:val="40"/>
          <w:rFonts w:ascii="微软雅黑" w:hAnsi="微软雅黑" w:eastAsia="微软雅黑" w:cs="微软雅黑"/>
          <w:color w:val="auto"/>
          <w:sz w:val="32"/>
          <w:szCs w:val="32"/>
          <w:highlight w:val="none"/>
        </w:rPr>
      </w:pPr>
    </w:p>
    <w:p w14:paraId="5FA875E3">
      <w:pPr>
        <w:rPr>
          <w:rStyle w:val="40"/>
          <w:rFonts w:hint="eastAsia" w:ascii="微软雅黑" w:hAnsi="微软雅黑" w:eastAsia="微软雅黑" w:cs="微软雅黑"/>
          <w:color w:val="auto"/>
          <w:sz w:val="32"/>
          <w:szCs w:val="32"/>
          <w:highlight w:val="none"/>
        </w:rPr>
      </w:pPr>
      <w:r>
        <w:rPr>
          <w:rStyle w:val="40"/>
          <w:rFonts w:hint="eastAsia" w:ascii="微软雅黑" w:hAnsi="微软雅黑" w:eastAsia="微软雅黑" w:cs="微软雅黑"/>
          <w:color w:val="auto"/>
          <w:sz w:val="32"/>
          <w:szCs w:val="32"/>
          <w:highlight w:val="none"/>
        </w:rPr>
        <w:br w:type="page"/>
      </w:r>
    </w:p>
    <w:p w14:paraId="10FA0D44">
      <w:pPr>
        <w:jc w:val="center"/>
        <w:outlineLvl w:val="0"/>
        <w:rPr>
          <w:rFonts w:ascii="微软雅黑" w:hAnsi="微软雅黑" w:eastAsia="微软雅黑" w:cs="微软雅黑"/>
          <w:color w:val="auto"/>
          <w:sz w:val="32"/>
          <w:szCs w:val="32"/>
          <w:highlight w:val="none"/>
        </w:rPr>
      </w:pPr>
      <w:bookmarkStart w:id="773" w:name="_Toc23288"/>
      <w:bookmarkStart w:id="774" w:name="_Toc3755"/>
      <w:bookmarkStart w:id="775" w:name="_Toc10825"/>
      <w:r>
        <w:rPr>
          <w:rStyle w:val="40"/>
          <w:rFonts w:hint="eastAsia" w:ascii="微软雅黑" w:hAnsi="微软雅黑" w:eastAsia="微软雅黑" w:cs="微软雅黑"/>
          <w:color w:val="auto"/>
          <w:sz w:val="32"/>
          <w:szCs w:val="32"/>
          <w:highlight w:val="none"/>
        </w:rPr>
        <w:t>第6章</w:t>
      </w:r>
      <w:r>
        <w:rPr>
          <w:rStyle w:val="40"/>
          <w:rFonts w:hint="eastAsia" w:ascii="微软雅黑" w:hAnsi="微软雅黑" w:eastAsia="微软雅黑" w:cs="微软雅黑"/>
          <w:color w:val="auto"/>
          <w:sz w:val="32"/>
          <w:szCs w:val="32"/>
          <w:highlight w:val="none"/>
          <w:lang w:val="en-US" w:eastAsia="zh-CN"/>
        </w:rPr>
        <w:t xml:space="preserve">   </w:t>
      </w:r>
      <w:r>
        <w:rPr>
          <w:rStyle w:val="40"/>
          <w:rFonts w:hint="eastAsia" w:ascii="微软雅黑" w:hAnsi="微软雅黑" w:eastAsia="微软雅黑" w:cs="微软雅黑"/>
          <w:color w:val="auto"/>
          <w:sz w:val="32"/>
          <w:szCs w:val="32"/>
          <w:highlight w:val="none"/>
        </w:rPr>
        <w:t>评标方法和标准</w:t>
      </w:r>
      <w:bookmarkEnd w:id="752"/>
      <w:bookmarkEnd w:id="753"/>
      <w:bookmarkEnd w:id="754"/>
      <w:bookmarkEnd w:id="755"/>
      <w:bookmarkEnd w:id="756"/>
      <w:bookmarkEnd w:id="757"/>
      <w:bookmarkEnd w:id="758"/>
      <w:bookmarkEnd w:id="759"/>
      <w:bookmarkEnd w:id="773"/>
      <w:bookmarkEnd w:id="774"/>
      <w:bookmarkEnd w:id="775"/>
    </w:p>
    <w:p w14:paraId="0794250C">
      <w:pPr>
        <w:pStyle w:val="11"/>
        <w:tabs>
          <w:tab w:val="clear" w:pos="567"/>
        </w:tabs>
        <w:spacing w:before="0" w:line="480" w:lineRule="exact"/>
        <w:ind w:firstLine="540" w:firstLineChars="225"/>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本项目将按照招标文件第一章供应商须知中“五 开标及评标</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rPr>
        <w:t>六 确定中标”及本章的规定评标。</w:t>
      </w:r>
    </w:p>
    <w:p w14:paraId="1350BDB7">
      <w:pPr>
        <w:spacing w:line="480" w:lineRule="exact"/>
        <w:ind w:firstLine="240" w:firstLineChars="1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w:t>
      </w:r>
      <w:r>
        <w:rPr>
          <w:rFonts w:hint="eastAsia" w:ascii="微软雅黑" w:hAnsi="微软雅黑" w:eastAsia="微软雅黑" w:cs="微软雅黑"/>
          <w:b/>
          <w:bCs/>
          <w:color w:val="auto"/>
          <w:sz w:val="24"/>
          <w:szCs w:val="24"/>
          <w:highlight w:val="none"/>
        </w:rPr>
        <w:t>落实政府采购政策</w:t>
      </w:r>
    </w:p>
    <w:p w14:paraId="309B68F6">
      <w:pPr>
        <w:widowControl/>
        <w:spacing w:line="480" w:lineRule="exact"/>
        <w:ind w:firstLine="480" w:firstLineChars="200"/>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rPr>
        <w:t>①根据《政府采购促进中小企业发展管理办法》（财库﹝2020﹞46 号）、《关于落实好政府采购支持中小企业发展的通知》（新财购 〔2022〕22号）、《财政部司法部关于政府采购支持监狱企业发展有关问题的通知》（财库〔2014〕68号）和《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u w:val="single"/>
          <w:lang w:val="en-US" w:eastAsia="zh-CN"/>
        </w:rPr>
        <w:t xml:space="preserve">10 </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rPr>
        <w:t>%后参与评审。对于同时属于小型、微型及小微企业、监狱企业或残疾人福利性单位的，不重复进行报价扣除。</w:t>
      </w:r>
    </w:p>
    <w:p w14:paraId="04D332DC">
      <w:pPr>
        <w:pStyle w:val="4"/>
        <w:snapToGrid w:val="0"/>
        <w:spacing w:line="480" w:lineRule="exact"/>
        <w:ind w:firstLine="480" w:firstLineChars="200"/>
        <w:textAlignment w:val="baseline"/>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②联合协议中约定，小型、微型企业和监狱企业的协议合同金额</w:t>
      </w:r>
      <w:r>
        <w:rPr>
          <w:rFonts w:hint="eastAsia" w:ascii="微软雅黑" w:hAnsi="微软雅黑" w:eastAsia="微软雅黑" w:cs="微软雅黑"/>
          <w:b/>
          <w:bCs/>
          <w:color w:val="auto"/>
          <w:highlight w:val="none"/>
          <w:lang w:eastAsia="zh-CN"/>
        </w:rPr>
        <w:t>占</w:t>
      </w:r>
      <w:r>
        <w:rPr>
          <w:rFonts w:hint="eastAsia" w:ascii="微软雅黑" w:hAnsi="微软雅黑" w:eastAsia="微软雅黑" w:cs="微软雅黑"/>
          <w:b/>
          <w:bCs/>
          <w:color w:val="auto"/>
          <w:highlight w:val="none"/>
        </w:rPr>
        <w:t>联合体协议合同总金额40%以上的，可给予联合体4%～6%的价格扣除。（本项目不适用）</w:t>
      </w:r>
    </w:p>
    <w:p w14:paraId="1E261E0C">
      <w:pPr>
        <w:pStyle w:val="4"/>
        <w:snapToGrid w:val="0"/>
        <w:spacing w:line="480" w:lineRule="exact"/>
        <w:ind w:firstLine="0"/>
        <w:textAlignment w:val="baseline"/>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联合体各方均为小型、微型企业和监狱</w:t>
      </w:r>
      <w:r>
        <w:rPr>
          <w:rFonts w:hint="eastAsia" w:ascii="微软雅黑" w:hAnsi="微软雅黑" w:eastAsia="微软雅黑" w:cs="微软雅黑"/>
          <w:b/>
          <w:bCs/>
          <w:color w:val="auto"/>
          <w:highlight w:val="none"/>
          <w:lang w:eastAsia="zh-CN"/>
        </w:rPr>
        <w:t>企业</w:t>
      </w:r>
      <w:r>
        <w:rPr>
          <w:rFonts w:hint="eastAsia" w:ascii="微软雅黑" w:hAnsi="微软雅黑" w:eastAsia="微软雅黑" w:cs="微软雅黑"/>
          <w:b/>
          <w:bCs/>
          <w:color w:val="auto"/>
          <w:highlight w:val="none"/>
        </w:rPr>
        <w:t>，联合体视同为小型、微型企业和监狱企业。</w:t>
      </w:r>
    </w:p>
    <w:p w14:paraId="7EA172C5">
      <w:pPr>
        <w:pStyle w:val="4"/>
        <w:snapToGrid w:val="0"/>
        <w:spacing w:line="480" w:lineRule="exact"/>
        <w:ind w:firstLine="480" w:firstLineChars="200"/>
        <w:textAlignment w:val="baseline"/>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③供应商所投产品如被列入财政部与国家主管部门颁发的节能产品目录或环境标志产品目录或无线局域网产品目录，应提供相关证明，在评标时予以优先采购，具体优惠措施为：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14:paraId="6BCB48ED">
      <w:pPr>
        <w:pStyle w:val="4"/>
        <w:snapToGrid w:val="0"/>
        <w:spacing w:line="480" w:lineRule="exact"/>
        <w:ind w:firstLine="480" w:firstLineChars="200"/>
        <w:textAlignment w:val="baseline"/>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④如采购人所采购产品为政府强制采购的节能产品，供应商所投产品的品牌及型号必须为清单中有效期内产品并提供证明文件，否则其投标将被认定为投标无效。</w:t>
      </w:r>
    </w:p>
    <w:p w14:paraId="34440EB0">
      <w:pPr>
        <w:ind w:firstLine="480" w:firstLineChars="2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b/>
          <w:bCs/>
          <w:color w:val="auto"/>
          <w:sz w:val="24"/>
          <w:szCs w:val="24"/>
          <w:highlight w:val="none"/>
        </w:rPr>
        <w:t>⑤对创新产品或创新型企业的优惠措施为：</w:t>
      </w:r>
      <w:r>
        <w:rPr>
          <w:rFonts w:hint="eastAsia" w:ascii="微软雅黑" w:hAnsi="微软雅黑" w:eastAsia="微软雅黑" w:cs="微软雅黑"/>
          <w:b/>
          <w:bCs/>
          <w:color w:val="auto"/>
          <w:sz w:val="24"/>
          <w:szCs w:val="24"/>
          <w:highlight w:val="none"/>
          <w:u w:val="single"/>
        </w:rPr>
        <w:t xml:space="preserve">    / </w:t>
      </w:r>
      <w:r>
        <w:rPr>
          <w:rFonts w:hint="eastAsia" w:ascii="微软雅黑" w:hAnsi="微软雅黑" w:eastAsia="微软雅黑" w:cs="微软雅黑"/>
          <w:color w:val="auto"/>
          <w:sz w:val="24"/>
          <w:szCs w:val="24"/>
          <w:highlight w:val="none"/>
          <w:u w:val="single"/>
        </w:rPr>
        <w:t xml:space="preserve">    </w:t>
      </w:r>
    </w:p>
    <w:p w14:paraId="123488E6">
      <w:pPr>
        <w:pStyle w:val="5"/>
        <w:ind w:firstLine="480" w:firstLineChars="200"/>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highlight w:val="none"/>
          <w:lang w:val="en-US" w:eastAsia="zh-CN"/>
        </w:rPr>
        <w:t>⑥</w:t>
      </w:r>
      <w:r>
        <w:rPr>
          <w:rFonts w:hint="eastAsia" w:ascii="微软雅黑" w:hAnsi="微软雅黑" w:eastAsia="微软雅黑" w:cs="微软雅黑"/>
          <w:b/>
          <w:bCs/>
          <w:color w:val="auto"/>
          <w:kern w:val="0"/>
          <w:sz w:val="24"/>
          <w:szCs w:val="24"/>
          <w:highlight w:val="none"/>
          <w:lang w:val="en-US" w:eastAsia="zh-CN" w:bidi="ar-SA"/>
        </w:rPr>
        <w:t>供应商所投产品满足本国产品标准相关条件的，供应商对其提供的产品出具《关于符合本国产品标准的声明函 》或财政部会同有关部门规定的有关证明文件，其报价根据</w:t>
      </w:r>
      <w:bookmarkStart w:id="776" w:name="_Toc25387"/>
      <w:r>
        <w:rPr>
          <w:rFonts w:hint="eastAsia" w:ascii="微软雅黑" w:hAnsi="微软雅黑" w:eastAsia="微软雅黑" w:cs="微软雅黑"/>
          <w:b/>
          <w:bCs/>
          <w:color w:val="auto"/>
          <w:kern w:val="0"/>
          <w:sz w:val="24"/>
          <w:szCs w:val="24"/>
          <w:highlight w:val="none"/>
          <w:lang w:val="en-US" w:eastAsia="zh-CN" w:bidi="ar-SA"/>
        </w:rPr>
        <w:t>国办发〔2025〕34号《国务院办公厅关于在政府采购中实施本国产品标准及相关政策的通知》</w:t>
      </w:r>
      <w:bookmarkEnd w:id="776"/>
      <w:r>
        <w:rPr>
          <w:rFonts w:hint="eastAsia" w:ascii="微软雅黑" w:hAnsi="微软雅黑" w:eastAsia="微软雅黑" w:cs="微软雅黑"/>
          <w:b/>
          <w:bCs/>
          <w:color w:val="auto"/>
          <w:kern w:val="0"/>
          <w:sz w:val="24"/>
          <w:szCs w:val="24"/>
          <w:highlight w:val="none"/>
          <w:lang w:val="en-US" w:eastAsia="zh-CN" w:bidi="ar-SA"/>
        </w:rPr>
        <w:t>给予价格扣除，用扣除后的价格参与评审。</w:t>
      </w:r>
    </w:p>
    <w:p w14:paraId="3E9ABD11">
      <w:pPr>
        <w:pStyle w:val="5"/>
        <w:ind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 xml:space="preserve">政府采购活动中既有本国产品又有非本国产品参与竞争的，依法对本国产品给予价格评审优惠，对本国产品的报价给予20%的价格扣除，用扣除后的价格参与评审。 </w:t>
      </w:r>
    </w:p>
    <w:p w14:paraId="1A60633E">
      <w:pPr>
        <w:pStyle w:val="5"/>
        <w:ind w:firstLine="480" w:firstLineChars="200"/>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4853A136">
      <w:pPr>
        <w:snapToGrid w:val="0"/>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2.</w:t>
      </w:r>
      <w:r>
        <w:rPr>
          <w:rFonts w:hint="eastAsia" w:ascii="微软雅黑" w:hAnsi="微软雅黑" w:eastAsia="微软雅黑" w:cs="微软雅黑"/>
          <w:b/>
          <w:bCs/>
          <w:color w:val="auto"/>
          <w:sz w:val="24"/>
          <w:szCs w:val="24"/>
          <w:highlight w:val="none"/>
        </w:rPr>
        <w:t xml:space="preserve"> 开标</w:t>
      </w:r>
    </w:p>
    <w:p w14:paraId="5F5C13D8">
      <w:pPr>
        <w:snapToGrid w:val="0"/>
        <w:spacing w:line="480" w:lineRule="exact"/>
        <w:ind w:firstLine="480" w:firstLineChars="200"/>
        <w:rPr>
          <w:rFonts w:ascii="微软雅黑" w:hAnsi="微软雅黑" w:eastAsia="微软雅黑" w:cs="微软雅黑"/>
          <w:b/>
          <w:bCs/>
          <w:color w:val="auto"/>
          <w:sz w:val="24"/>
          <w:szCs w:val="24"/>
          <w:highlight w:val="none"/>
        </w:rPr>
      </w:pPr>
      <w:bookmarkStart w:id="777" w:name="_Toc73975822"/>
      <w:r>
        <w:rPr>
          <w:rFonts w:hint="eastAsia" w:ascii="微软雅黑" w:hAnsi="微软雅黑" w:eastAsia="微软雅黑" w:cs="微软雅黑"/>
          <w:b/>
          <w:bCs/>
          <w:color w:val="auto"/>
          <w:sz w:val="24"/>
          <w:szCs w:val="24"/>
          <w:highlight w:val="none"/>
        </w:rPr>
        <w:t>2.1开标邀请</w:t>
      </w:r>
      <w:bookmarkEnd w:id="777"/>
    </w:p>
    <w:p w14:paraId="7BCD633A">
      <w:pPr>
        <w:pStyle w:val="15"/>
        <w:snapToGrid w:val="0"/>
        <w:spacing w:line="480" w:lineRule="exact"/>
        <w:ind w:firstLine="480" w:firstLineChars="200"/>
        <w:rPr>
          <w:rFonts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（1）开标准备：本项目开标的准备工作由采购组织机构负责落实，开标过程由采购组织机构负责记录；</w:t>
      </w:r>
    </w:p>
    <w:p w14:paraId="74038BAD">
      <w:pPr>
        <w:pStyle w:val="15"/>
        <w:snapToGrid w:val="0"/>
        <w:spacing w:line="480" w:lineRule="exact"/>
        <w:ind w:firstLine="480" w:firstLineChars="200"/>
        <w:rPr>
          <w:rFonts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（2）开标主持：本项目开标由采购人或者采购代理机构主持；</w:t>
      </w:r>
    </w:p>
    <w:p w14:paraId="2DD9F8A4">
      <w:pPr>
        <w:pStyle w:val="15"/>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（3）开标邀请：本项目采用电子交易，采购组织机构将按照招标文件规定的时间通过“新疆政府采购云平台，网址：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Style w:val="35"/>
          <w:rFonts w:hint="eastAsia" w:ascii="微软雅黑" w:hAnsi="微软雅黑" w:eastAsia="微软雅黑" w:cs="微软雅黑"/>
          <w:color w:val="auto"/>
          <w:sz w:val="24"/>
          <w:szCs w:val="24"/>
          <w:highlight w:val="none"/>
          <w:u w:val="none"/>
        </w:rPr>
        <w:t>www.zcygov.cn</w:t>
      </w:r>
      <w:r>
        <w:rPr>
          <w:rStyle w:val="35"/>
          <w:rFonts w:hint="eastAsia" w:ascii="微软雅黑" w:hAnsi="微软雅黑" w:eastAsia="微软雅黑" w:cs="微软雅黑"/>
          <w:color w:val="auto"/>
          <w:sz w:val="24"/>
          <w:szCs w:val="24"/>
          <w:highlight w:val="none"/>
          <w:u w:val="none"/>
        </w:rPr>
        <w:fldChar w:fldCharType="end"/>
      </w:r>
      <w:r>
        <w:rPr>
          <w:rFonts w:hint="eastAsia" w:ascii="微软雅黑" w:hAnsi="微软雅黑" w:eastAsia="微软雅黑" w:cs="微软雅黑"/>
          <w:color w:val="auto"/>
          <w:sz w:val="24"/>
          <w:szCs w:val="24"/>
          <w:highlight w:val="none"/>
        </w:rPr>
        <w:t>”组织开标、开启投标文件，所有供应商均应当准时在线参加。</w:t>
      </w:r>
    </w:p>
    <w:p w14:paraId="3627C875">
      <w:pPr>
        <w:pStyle w:val="15"/>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供应商因未在线参加开标而导致投标文件无法按时解密等一切后果由供应商自行承担。</w:t>
      </w:r>
    </w:p>
    <w:p w14:paraId="7A172192">
      <w:pPr>
        <w:snapToGrid w:val="0"/>
        <w:spacing w:line="480" w:lineRule="exact"/>
        <w:ind w:firstLine="480" w:firstLineChars="200"/>
        <w:rPr>
          <w:rFonts w:ascii="微软雅黑" w:hAnsi="微软雅黑" w:eastAsia="微软雅黑" w:cs="微软雅黑"/>
          <w:b/>
          <w:color w:val="auto"/>
          <w:sz w:val="24"/>
          <w:szCs w:val="24"/>
          <w:highlight w:val="none"/>
        </w:rPr>
      </w:pPr>
      <w:bookmarkStart w:id="778" w:name="_Toc19065"/>
      <w:bookmarkStart w:id="779" w:name="_Toc27602"/>
      <w:bookmarkStart w:id="780" w:name="_Toc22653"/>
      <w:bookmarkStart w:id="781" w:name="_Toc73975823"/>
      <w:bookmarkStart w:id="782" w:name="_Toc32017"/>
      <w:bookmarkStart w:id="783" w:name="_Toc21384"/>
      <w:bookmarkStart w:id="784" w:name="_Toc32193"/>
      <w:r>
        <w:rPr>
          <w:rFonts w:hint="eastAsia" w:ascii="微软雅黑" w:hAnsi="微软雅黑" w:eastAsia="微软雅黑" w:cs="微软雅黑"/>
          <w:b/>
          <w:color w:val="auto"/>
          <w:sz w:val="24"/>
          <w:szCs w:val="24"/>
          <w:highlight w:val="none"/>
        </w:rPr>
        <w:t>2.2</w:t>
      </w:r>
      <w:r>
        <w:rPr>
          <w:rFonts w:hint="eastAsia" w:ascii="微软雅黑" w:hAnsi="微软雅黑" w:eastAsia="微软雅黑" w:cs="微软雅黑"/>
          <w:b/>
          <w:bCs/>
          <w:color w:val="auto"/>
          <w:sz w:val="24"/>
          <w:szCs w:val="24"/>
          <w:highlight w:val="none"/>
        </w:rPr>
        <w:t>开标程序（先资格性、后符合性、最终报价、再商务技术）</w:t>
      </w:r>
      <w:bookmarkEnd w:id="778"/>
      <w:bookmarkEnd w:id="779"/>
      <w:bookmarkEnd w:id="780"/>
      <w:bookmarkEnd w:id="781"/>
      <w:bookmarkEnd w:id="782"/>
      <w:bookmarkEnd w:id="783"/>
      <w:bookmarkEnd w:id="784"/>
    </w:p>
    <w:p w14:paraId="57146180">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（1）开标时间到后，主持人宣布开标会议开始。</w:t>
      </w:r>
    </w:p>
    <w:p w14:paraId="31CD2968">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kern w:val="0"/>
          <w:sz w:val="24"/>
          <w:szCs w:val="24"/>
          <w:highlight w:val="none"/>
        </w:rPr>
        <w:t>投标文件解密（</w:t>
      </w:r>
      <w:r>
        <w:rPr>
          <w:rFonts w:hint="eastAsia" w:ascii="微软雅黑" w:hAnsi="微软雅黑" w:eastAsia="微软雅黑" w:cs="微软雅黑"/>
          <w:b/>
          <w:color w:val="auto"/>
          <w:kern w:val="0"/>
          <w:sz w:val="24"/>
          <w:szCs w:val="24"/>
          <w:highlight w:val="none"/>
        </w:rPr>
        <w:t>解密规定见《供应商须知前附表》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1C6346CE">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kern w:val="0"/>
          <w:sz w:val="24"/>
          <w:szCs w:val="24"/>
          <w:highlight w:val="none"/>
        </w:rPr>
        <w:t>投标文件解密异常情况处理（</w:t>
      </w:r>
      <w:r>
        <w:rPr>
          <w:rFonts w:hint="eastAsia" w:ascii="微软雅黑" w:hAnsi="微软雅黑" w:eastAsia="微软雅黑" w:cs="微软雅黑"/>
          <w:b/>
          <w:color w:val="auto"/>
          <w:kern w:val="0"/>
          <w:sz w:val="24"/>
          <w:szCs w:val="24"/>
          <w:highlight w:val="none"/>
        </w:rPr>
        <w:t>处理办法见《13、</w:t>
      </w:r>
      <w:r>
        <w:rPr>
          <w:rFonts w:hint="eastAsia" w:ascii="微软雅黑" w:hAnsi="微软雅黑" w:eastAsia="微软雅黑" w:cs="微软雅黑"/>
          <w:b/>
          <w:bCs/>
          <w:color w:val="auto"/>
          <w:sz w:val="24"/>
          <w:szCs w:val="24"/>
          <w:highlight w:val="none"/>
        </w:rPr>
        <w:t>突发情况处理</w:t>
      </w:r>
      <w:r>
        <w:rPr>
          <w:rFonts w:hint="eastAsia" w:ascii="微软雅黑" w:hAnsi="微软雅黑" w:eastAsia="微软雅黑" w:cs="微软雅黑"/>
          <w:b/>
          <w:color w:val="auto"/>
          <w:kern w:val="0"/>
          <w:sz w:val="24"/>
          <w:szCs w:val="24"/>
          <w:highlight w:val="none"/>
        </w:rPr>
        <w:t>》</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5C46BBB7">
      <w:pPr>
        <w:snapToGrid w:val="0"/>
        <w:spacing w:line="480" w:lineRule="exact"/>
        <w:ind w:firstLine="480" w:firstLineChars="20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（4）公布投标文件解密情况（投标文件成功解密的供应商名单等信息）。</w:t>
      </w:r>
    </w:p>
    <w:p w14:paraId="251AE639">
      <w:pPr>
        <w:snapToGrid w:val="0"/>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（5）开启标书信息（资格证明文件、商务技术文件）。标书信息开启后，首先由采购人或采购代理机构或评标小组成员依法对供应商的资格证明文件进行审查， 审查结</w:t>
      </w:r>
      <w:r>
        <w:rPr>
          <w:rFonts w:hint="eastAsia" w:ascii="微软雅黑" w:hAnsi="微软雅黑" w:eastAsia="微软雅黑" w:cs="微软雅黑"/>
          <w:color w:val="auto"/>
          <w:kern w:val="0"/>
          <w:sz w:val="24"/>
          <w:szCs w:val="24"/>
          <w:highlight w:val="none"/>
          <w:lang w:eastAsia="zh-CN"/>
        </w:rPr>
        <w:t>束后</w:t>
      </w:r>
      <w:r>
        <w:rPr>
          <w:rFonts w:hint="eastAsia" w:ascii="微软雅黑" w:hAnsi="微软雅黑" w:eastAsia="微软雅黑" w:cs="微软雅黑"/>
          <w:color w:val="auto"/>
          <w:kern w:val="0"/>
          <w:sz w:val="24"/>
          <w:szCs w:val="24"/>
          <w:highlight w:val="none"/>
        </w:rPr>
        <w:t>公布供应商的资格符合情况。资格审查未获通过的供应商，其符合性不再进入评审。</w:t>
      </w:r>
    </w:p>
    <w:p w14:paraId="5AA9F28E">
      <w:pPr>
        <w:snapToGrid w:val="0"/>
        <w:spacing w:line="480" w:lineRule="exact"/>
        <w:ind w:firstLine="480" w:firstLineChars="200"/>
        <w:jc w:val="left"/>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（6）通过</w:t>
      </w:r>
      <w:r>
        <w:rPr>
          <w:rFonts w:hint="eastAsia" w:ascii="微软雅黑" w:hAnsi="微软雅黑" w:eastAsia="微软雅黑" w:cs="微软雅黑"/>
          <w:color w:val="auto"/>
          <w:kern w:val="0"/>
          <w:sz w:val="24"/>
          <w:szCs w:val="24"/>
          <w:highlight w:val="none"/>
          <w:lang w:eastAsia="zh-CN"/>
        </w:rPr>
        <w:t>资格</w:t>
      </w:r>
      <w:r>
        <w:rPr>
          <w:rFonts w:hint="eastAsia" w:ascii="微软雅黑" w:hAnsi="微软雅黑" w:eastAsia="微软雅黑" w:cs="微软雅黑"/>
          <w:color w:val="auto"/>
          <w:kern w:val="0"/>
          <w:sz w:val="24"/>
          <w:szCs w:val="24"/>
          <w:highlight w:val="none"/>
        </w:rPr>
        <w:t>审查的供应商，评标小组成员依法对供应商的符合性证明文件进行审查， 审查结</w:t>
      </w:r>
      <w:r>
        <w:rPr>
          <w:rFonts w:hint="eastAsia" w:ascii="微软雅黑" w:hAnsi="微软雅黑" w:eastAsia="微软雅黑" w:cs="微软雅黑"/>
          <w:color w:val="auto"/>
          <w:kern w:val="0"/>
          <w:sz w:val="24"/>
          <w:szCs w:val="24"/>
          <w:highlight w:val="none"/>
          <w:lang w:eastAsia="zh-CN"/>
        </w:rPr>
        <w:t>束后</w:t>
      </w:r>
      <w:r>
        <w:rPr>
          <w:rFonts w:hint="eastAsia" w:ascii="微软雅黑" w:hAnsi="微软雅黑" w:eastAsia="微软雅黑" w:cs="微软雅黑"/>
          <w:color w:val="auto"/>
          <w:kern w:val="0"/>
          <w:sz w:val="24"/>
          <w:szCs w:val="24"/>
          <w:highlight w:val="none"/>
        </w:rPr>
        <w:t>公布供应商的符合性审查情况。符合性审查未获通过的供应商，其不再进入商务技术评分环节。</w:t>
      </w:r>
    </w:p>
    <w:p w14:paraId="7B881D99">
      <w:pPr>
        <w:snapToGrid w:val="0"/>
        <w:spacing w:line="480" w:lineRule="exact"/>
        <w:ind w:firstLine="480" w:firstLineChars="200"/>
        <w:jc w:val="left"/>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（7）评标小组成员依法对供应商通过符合性审查投标文件进行商务技术评分。</w:t>
      </w:r>
    </w:p>
    <w:p w14:paraId="1E4CD6C8">
      <w:pPr>
        <w:ind w:firstLine="240" w:firstLineChars="10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（8）商务技术评分结束，评标小组成员根据中小企业政策对供应商进行价格评审；</w:t>
      </w:r>
    </w:p>
    <w:p w14:paraId="6B2D43B4">
      <w:pPr>
        <w:ind w:firstLine="240" w:firstLineChars="100"/>
        <w:rPr>
          <w:color w:val="auto"/>
          <w:highlight w:val="none"/>
        </w:rPr>
      </w:pPr>
      <w:r>
        <w:rPr>
          <w:rFonts w:hint="eastAsia" w:ascii="微软雅黑" w:hAnsi="微软雅黑" w:eastAsia="微软雅黑" w:cs="微软雅黑"/>
          <w:color w:val="auto"/>
          <w:kern w:val="0"/>
          <w:sz w:val="24"/>
          <w:szCs w:val="24"/>
          <w:highlight w:val="none"/>
        </w:rPr>
        <w:t>（9）评标小组成员提交推荐供应商。</w:t>
      </w:r>
    </w:p>
    <w:p w14:paraId="3657A690">
      <w:pPr>
        <w:snapToGrid w:val="0"/>
        <w:spacing w:line="480" w:lineRule="exact"/>
        <w:ind w:left="480"/>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特别情况说明：</w:t>
      </w:r>
    </w:p>
    <w:p w14:paraId="0A71C32A">
      <w:pPr>
        <w:snapToGrid w:val="0"/>
        <w:spacing w:line="480" w:lineRule="exact"/>
        <w:ind w:firstLine="425" w:firstLineChars="177"/>
        <w:jc w:val="left"/>
        <w:rPr>
          <w:rFonts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（1）本项目采用电子交易，如遇“新疆政府采购云平台”电子化开标或评标程序调整的，按调整后程序执行。</w:t>
      </w:r>
    </w:p>
    <w:p w14:paraId="4780ABD7">
      <w:pPr>
        <w:snapToGrid w:val="0"/>
        <w:spacing w:line="480" w:lineRule="exact"/>
        <w:ind w:firstLine="425" w:firstLineChars="177"/>
        <w:jc w:val="left"/>
        <w:rPr>
          <w:rFonts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微软雅黑" w:hAnsi="微软雅黑" w:eastAsia="微软雅黑" w:cs="微软雅黑"/>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微软雅黑" w:hAnsi="微软雅黑" w:eastAsia="微软雅黑" w:cs="微软雅黑"/>
          <w:b/>
          <w:color w:val="auto"/>
          <w:kern w:val="0"/>
          <w:sz w:val="24"/>
          <w:szCs w:val="24"/>
          <w:highlight w:val="none"/>
        </w:rPr>
        <w:t>。</w:t>
      </w:r>
    </w:p>
    <w:p w14:paraId="4B7AE6F1">
      <w:pPr>
        <w:snapToGrid w:val="0"/>
        <w:spacing w:line="480" w:lineRule="exact"/>
        <w:ind w:firstLine="480" w:firstLineChars="200"/>
        <w:rPr>
          <w:rFonts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2.3 供应商资格审查：</w:t>
      </w:r>
    </w:p>
    <w:p w14:paraId="78716065">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Cs/>
          <w:color w:val="auto"/>
          <w:kern w:val="0"/>
          <w:sz w:val="24"/>
          <w:szCs w:val="24"/>
          <w:highlight w:val="none"/>
        </w:rPr>
        <w:t>开标（标书信息开启）后，采购人或采购代理机构或</w:t>
      </w:r>
      <w:r>
        <w:rPr>
          <w:rFonts w:hint="eastAsia" w:ascii="微软雅黑" w:hAnsi="微软雅黑" w:eastAsia="微软雅黑" w:cs="微软雅黑"/>
          <w:color w:val="auto"/>
          <w:kern w:val="0"/>
          <w:sz w:val="24"/>
          <w:szCs w:val="24"/>
          <w:highlight w:val="none"/>
        </w:rPr>
        <w:t>评标小组成员</w:t>
      </w:r>
      <w:r>
        <w:rPr>
          <w:rFonts w:hint="eastAsia" w:ascii="微软雅黑" w:hAnsi="微软雅黑" w:eastAsia="微软雅黑" w:cs="微软雅黑"/>
          <w:bCs/>
          <w:color w:val="auto"/>
          <w:kern w:val="0"/>
          <w:sz w:val="24"/>
          <w:szCs w:val="24"/>
          <w:highlight w:val="none"/>
        </w:rPr>
        <w:t>首先依法对供应商的资格文件进行审查，审查各供应商的资格符合情况。</w:t>
      </w:r>
      <w:r>
        <w:rPr>
          <w:rFonts w:hint="eastAsia" w:ascii="微软雅黑" w:hAnsi="微软雅黑" w:eastAsia="微软雅黑" w:cs="微软雅黑"/>
          <w:color w:val="auto"/>
          <w:sz w:val="24"/>
          <w:szCs w:val="24"/>
          <w:highlight w:val="none"/>
        </w:rPr>
        <w:t>采购人或采购代理机构</w:t>
      </w:r>
      <w:r>
        <w:rPr>
          <w:rFonts w:hint="eastAsia" w:ascii="微软雅黑" w:hAnsi="微软雅黑" w:eastAsia="微软雅黑" w:cs="微软雅黑"/>
          <w:bCs/>
          <w:color w:val="auto"/>
          <w:kern w:val="0"/>
          <w:sz w:val="24"/>
          <w:szCs w:val="24"/>
          <w:highlight w:val="none"/>
        </w:rPr>
        <w:t>或</w:t>
      </w:r>
      <w:r>
        <w:rPr>
          <w:rFonts w:hint="eastAsia" w:ascii="微软雅黑" w:hAnsi="微软雅黑" w:eastAsia="微软雅黑" w:cs="微软雅黑"/>
          <w:color w:val="auto"/>
          <w:kern w:val="0"/>
          <w:sz w:val="24"/>
          <w:szCs w:val="24"/>
          <w:highlight w:val="none"/>
        </w:rPr>
        <w:t>评标小组成员</w:t>
      </w:r>
      <w:r>
        <w:rPr>
          <w:rFonts w:hint="eastAsia" w:ascii="微软雅黑" w:hAnsi="微软雅黑" w:eastAsia="微软雅黑" w:cs="微软雅黑"/>
          <w:color w:val="auto"/>
          <w:sz w:val="24"/>
          <w:szCs w:val="24"/>
          <w:highlight w:val="none"/>
        </w:rPr>
        <w:t>对供应商所提交的资格证明材料仅负责审核的责任。如发现供应商所提交的资格证明材料不合法或与事实不符，采购人可取消其中标（成交）资格并追究供应商的法律责任。</w:t>
      </w:r>
    </w:p>
    <w:p w14:paraId="50A42A7D">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rPr>
        <w:t>（2</w:t>
      </w:r>
      <w:r>
        <w:rPr>
          <w:rFonts w:hint="eastAsia" w:ascii="微软雅黑" w:hAnsi="微软雅黑" w:eastAsia="微软雅黑" w:cs="微软雅黑"/>
          <w:color w:val="auto"/>
          <w:sz w:val="24"/>
          <w:szCs w:val="24"/>
          <w:highlight w:val="none"/>
        </w:rPr>
        <w:t>）供应商提交的资格证明材料无法证明其符合招标文件规定的“供应商资格要求”的，采购人或采购代理机构将对其作“资格审查不合格”处理（无效投标），并不再将其投标提交评标委员会进行后续评审。</w:t>
      </w:r>
    </w:p>
    <w:p w14:paraId="21348A66">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（3）供应商信用记录查询与使用：见《供应商须知前附表》。</w:t>
      </w:r>
    </w:p>
    <w:p w14:paraId="1C0546A6">
      <w:pPr>
        <w:snapToGrid w:val="0"/>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3.</w:t>
      </w:r>
      <w:r>
        <w:rPr>
          <w:rFonts w:hint="eastAsia" w:ascii="微软雅黑" w:hAnsi="微软雅黑" w:eastAsia="微软雅黑" w:cs="微软雅黑"/>
          <w:b/>
          <w:bCs/>
          <w:color w:val="auto"/>
          <w:sz w:val="24"/>
          <w:szCs w:val="24"/>
          <w:highlight w:val="none"/>
        </w:rPr>
        <w:t>评审工作的组织</w:t>
      </w:r>
    </w:p>
    <w:p w14:paraId="297E35DB">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采购人或采购代理机构负责组织本项目的评审工作，并依据《政府采购货物和服务招标投标管理办法（财政部第87号令）》第四十五条的相关规定履行职责。</w:t>
      </w:r>
    </w:p>
    <w:p w14:paraId="7E9C56C4">
      <w:pPr>
        <w:snapToGrid w:val="0"/>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4.</w:t>
      </w:r>
      <w:r>
        <w:rPr>
          <w:rFonts w:hint="eastAsia" w:ascii="微软雅黑" w:hAnsi="微软雅黑" w:eastAsia="微软雅黑" w:cs="微软雅黑"/>
          <w:b/>
          <w:bCs/>
          <w:color w:val="auto"/>
          <w:sz w:val="24"/>
          <w:szCs w:val="24"/>
          <w:highlight w:val="none"/>
        </w:rPr>
        <w:t>评标委员会的组建</w:t>
      </w:r>
    </w:p>
    <w:p w14:paraId="74DC21B1">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4.1评标委员会由采购人或采购代理机构依法组建，成员由采购人代表和评标专家组成，成员人数为5人或以上单数，其中评标专家不少于成员总数的三分之二。</w:t>
      </w:r>
    </w:p>
    <w:p w14:paraId="5155333F">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4.2</w:t>
      </w:r>
      <w:r>
        <w:rPr>
          <w:rFonts w:hint="eastAsia" w:ascii="微软雅黑" w:hAnsi="微软雅黑" w:eastAsia="微软雅黑" w:cs="微软雅黑"/>
          <w:b/>
          <w:bCs/>
          <w:color w:val="auto"/>
          <w:sz w:val="24"/>
          <w:highlight w:val="none"/>
        </w:rPr>
        <w:t>按照《中华人民共和国政府采购法》《中华人民共和国政府采购法实施条例》及本项目本级和上级财政部门的有关规定</w:t>
      </w:r>
      <w:r>
        <w:rPr>
          <w:rFonts w:hint="eastAsia" w:ascii="微软雅黑" w:hAnsi="微软雅黑" w:eastAsia="微软雅黑" w:cs="微软雅黑"/>
          <w:b/>
          <w:bCs/>
          <w:color w:val="auto"/>
          <w:sz w:val="24"/>
          <w:highlight w:val="none"/>
          <w:lang w:eastAsia="zh-CN"/>
        </w:rPr>
        <w:t>依法组建</w:t>
      </w:r>
      <w:r>
        <w:rPr>
          <w:rFonts w:hint="eastAsia" w:ascii="微软雅黑" w:hAnsi="微软雅黑" w:eastAsia="微软雅黑" w:cs="微软雅黑"/>
          <w:b/>
          <w:bCs/>
          <w:color w:val="auto"/>
          <w:sz w:val="24"/>
          <w:highlight w:val="none"/>
          <w:lang w:val="en-US" w:eastAsia="zh-CN"/>
        </w:rPr>
        <w:t>5人</w:t>
      </w:r>
      <w:r>
        <w:rPr>
          <w:rFonts w:hint="eastAsia" w:ascii="微软雅黑" w:hAnsi="微软雅黑" w:eastAsia="微软雅黑" w:cs="微软雅黑"/>
          <w:b/>
          <w:bCs/>
          <w:color w:val="auto"/>
          <w:sz w:val="24"/>
          <w:highlight w:val="none"/>
        </w:rPr>
        <w:t>组成评标小组，负责本项目的评标工作</w:t>
      </w:r>
      <w:r>
        <w:rPr>
          <w:rFonts w:hint="eastAsia" w:ascii="微软雅黑" w:hAnsi="微软雅黑" w:eastAsia="微软雅黑" w:cs="微软雅黑"/>
          <w:color w:val="auto"/>
          <w:sz w:val="24"/>
          <w:szCs w:val="24"/>
          <w:highlight w:val="none"/>
        </w:rPr>
        <w:t>。</w:t>
      </w:r>
    </w:p>
    <w:p w14:paraId="6718C974">
      <w:pPr>
        <w:snapToGrid w:val="0"/>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5.</w:t>
      </w:r>
      <w:r>
        <w:rPr>
          <w:rFonts w:hint="eastAsia" w:ascii="微软雅黑" w:hAnsi="微软雅黑" w:eastAsia="微软雅黑" w:cs="微软雅黑"/>
          <w:b/>
          <w:bCs/>
          <w:color w:val="auto"/>
          <w:sz w:val="24"/>
          <w:szCs w:val="24"/>
          <w:highlight w:val="none"/>
        </w:rPr>
        <w:t>评标委员会的职责</w:t>
      </w:r>
    </w:p>
    <w:p w14:paraId="5C7D6572">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5.1审查、评价投标文件是否符合招标文件的商务、技术等实质性要求。</w:t>
      </w:r>
    </w:p>
    <w:p w14:paraId="42F2A7C3">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5.2要求供应商对投标文件有关事项作出澄清或者说明。</w:t>
      </w:r>
    </w:p>
    <w:p w14:paraId="4F035806">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5.3对投标文件进行比较和评价。</w:t>
      </w:r>
    </w:p>
    <w:p w14:paraId="313A7090">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5.4确定中标候选人名单，以及根据采购人委托直接确定中标人。</w:t>
      </w:r>
    </w:p>
    <w:p w14:paraId="12000281">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5.5向采购人、采购代理机构或者有关部门报告评标中发现的违法行为。</w:t>
      </w:r>
    </w:p>
    <w:p w14:paraId="6CCCEF23">
      <w:pPr>
        <w:widowControl/>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6.</w:t>
      </w:r>
      <w:r>
        <w:rPr>
          <w:rFonts w:hint="eastAsia" w:ascii="微软雅黑" w:hAnsi="微软雅黑" w:eastAsia="微软雅黑" w:cs="微软雅黑"/>
          <w:b/>
          <w:bCs/>
          <w:color w:val="auto"/>
          <w:sz w:val="24"/>
          <w:szCs w:val="24"/>
          <w:highlight w:val="none"/>
        </w:rPr>
        <w:t>评标原则</w:t>
      </w:r>
    </w:p>
    <w:p w14:paraId="6B3ADDC2">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6.1评标委员会将遵循公平、公正、科学的原则，对供应商提交的投标文件进行综合评审，评标委员会按照招标文件规定的评标细则进行评分。</w:t>
      </w:r>
    </w:p>
    <w:p w14:paraId="6FC0B192">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6.2客观公正对待所有供应商，对所有投标评价均采用相同的程序和标准。 </w:t>
      </w:r>
    </w:p>
    <w:p w14:paraId="2A199304">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6.3评标委员会成员对需要共同认定的事项存在争议的，按照少数服从多数的原则作出结论。持不同意见的评标委员会成员应当在评标报告上签署不同意见及理由，否则视为同意评标报告。</w:t>
      </w:r>
    </w:p>
    <w:p w14:paraId="5F25C1AF">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成交）人推荐资格；评审得分相同的，由采购人或者采购人委托评标委员会按照招标文件规定的方式确定一个供应商获得中标（成交）人推荐资格，招标文件未规定的采取随机抽取方式确定，其他同品牌供应商不作为中标（成交）候选人。</w:t>
      </w:r>
    </w:p>
    <w:p w14:paraId="1FF379D7">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非单一产品采购项目，采购人应当根据采购项目技术构成、产品价格比重等合理确定核心产品，并在招标文件中载明。多家供应商提供的核心产品品牌相同的，按前款规定处理。</w:t>
      </w:r>
    </w:p>
    <w:p w14:paraId="4889FE84">
      <w:pPr>
        <w:widowControl/>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7.</w:t>
      </w:r>
      <w:r>
        <w:rPr>
          <w:rFonts w:hint="eastAsia" w:ascii="微软雅黑" w:hAnsi="微软雅黑" w:eastAsia="微软雅黑" w:cs="微软雅黑"/>
          <w:b/>
          <w:bCs/>
          <w:color w:val="auto"/>
          <w:sz w:val="24"/>
          <w:szCs w:val="24"/>
          <w:highlight w:val="none"/>
        </w:rPr>
        <w:t>评委纪律</w:t>
      </w:r>
    </w:p>
    <w:p w14:paraId="02E5C794">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7.1评标委员会成员必须严格遵守保密规定，不得携带手机进入评标场所，不得泄露评审的有关情况，任何单位和个人不得干扰、影响评标的正常进行，评标委员会成员不得私下与供应商接触，不得出现新疆政府采购活动现场组织管理办法中规定的其他禁止行为。</w:t>
      </w:r>
    </w:p>
    <w:p w14:paraId="45866E24">
      <w:pPr>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7.2评标专家</w:t>
      </w:r>
      <w:r>
        <w:rPr>
          <w:rFonts w:hint="eastAsia" w:ascii="微软雅黑" w:hAnsi="微软雅黑" w:eastAsia="微软雅黑" w:cs="微软雅黑"/>
          <w:b/>
          <w:bCs/>
          <w:color w:val="auto"/>
          <w:kern w:val="0"/>
          <w:sz w:val="24"/>
          <w:szCs w:val="24"/>
          <w:highlight w:val="none"/>
        </w:rPr>
        <w:t>与供应商有下列利害关系之一的人员，应当回避</w:t>
      </w:r>
    </w:p>
    <w:p w14:paraId="2F669756">
      <w:pPr>
        <w:pStyle w:val="85"/>
        <w:spacing w:line="480" w:lineRule="exact"/>
        <w:ind w:firstLine="480"/>
        <w:rPr>
          <w:color w:val="auto"/>
          <w:highlight w:val="none"/>
        </w:rPr>
      </w:pPr>
      <w:r>
        <w:rPr>
          <w:rFonts w:hint="eastAsia" w:ascii="微软雅黑" w:hAnsi="微软雅黑" w:eastAsia="微软雅黑" w:cs="微软雅黑"/>
          <w:color w:val="auto"/>
          <w:sz w:val="24"/>
          <w:szCs w:val="24"/>
          <w:highlight w:val="none"/>
        </w:rPr>
        <w:t>1）参加采购活动前3年内与供应商存在劳动关系；</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　 2）参加采购活动前3年内担任供应商的董事、监事；</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　 3）参加采购活动前3年内是供应商的控股股东或者实际控制人；</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　 4）与供应商的法定代表人或者负责人有夫妻、直系血亲、三代以内旁系血亲或者近姻亲关系。</w:t>
      </w:r>
    </w:p>
    <w:p w14:paraId="63CF34FC">
      <w:pPr>
        <w:widowControl/>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8.</w:t>
      </w:r>
      <w:r>
        <w:rPr>
          <w:rFonts w:hint="eastAsia" w:ascii="微软雅黑" w:hAnsi="微软雅黑" w:eastAsia="微软雅黑" w:cs="微软雅黑"/>
          <w:b/>
          <w:bCs/>
          <w:color w:val="auto"/>
          <w:sz w:val="24"/>
          <w:szCs w:val="24"/>
          <w:highlight w:val="none"/>
        </w:rPr>
        <w:t>评标程序</w:t>
      </w:r>
    </w:p>
    <w:p w14:paraId="4D7A7480">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8.1 在评标专家中推选评标委员会组长，采购人代表不得担任评标委员会组长。</w:t>
      </w:r>
    </w:p>
    <w:p w14:paraId="54A2EA16">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8.2 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7C71E562">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8.3 评标专家对符合资格的供应商的投标文件的有效性、符合性、完整性和响应程度进行审查，确定是否对招标文件作出实质性响应。</w:t>
      </w:r>
    </w:p>
    <w:p w14:paraId="7070F535">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8.4评标专家按招标文件规定的评审方法和评审标准，依法独立对供应商投标文件进行评估、比较，并给予评价或打分，不受任何单位和个人的干预。</w:t>
      </w:r>
    </w:p>
    <w:p w14:paraId="164A494E">
      <w:pPr>
        <w:widowControl/>
        <w:spacing w:line="480" w:lineRule="exact"/>
        <w:ind w:firstLine="48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b/>
          <w:bCs/>
          <w:color w:val="auto"/>
          <w:kern w:val="0"/>
          <w:sz w:val="24"/>
          <w:szCs w:val="24"/>
          <w:highlight w:val="none"/>
        </w:rPr>
        <w:t>本项目采用：综合评分法，</w:t>
      </w:r>
      <w:r>
        <w:rPr>
          <w:rFonts w:hint="eastAsia" w:ascii="微软雅黑" w:hAnsi="微软雅黑" w:eastAsia="微软雅黑" w:cs="微软雅黑"/>
          <w:color w:val="auto"/>
          <w:kern w:val="0"/>
          <w:sz w:val="24"/>
          <w:szCs w:val="24"/>
          <w:highlight w:val="none"/>
        </w:rPr>
        <w:t>是指投标文件满足招标文件全部实质性要求且按评审因素的量化指标评审得分最高的供应商为成交候选供应商的评审方法。</w:t>
      </w:r>
    </w:p>
    <w:p w14:paraId="5E007F1C">
      <w:pPr>
        <w:widowControl/>
        <w:spacing w:line="480" w:lineRule="exact"/>
        <w:ind w:firstLine="48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综合评分法中的价格分统一采用低价优先法计算，即满足招标文件要求且最后报价最低的供应商的价格为招标基准价，其价格分为满分。其他供应商的价格分统一按照下列公式计算：</w:t>
      </w:r>
    </w:p>
    <w:p w14:paraId="4DE4924B">
      <w:pPr>
        <w:widowControl/>
        <w:spacing w:line="480" w:lineRule="exact"/>
        <w:ind w:firstLine="48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投标报价得分=（基准价/投标报价）×30%</w:t>
      </w:r>
    </w:p>
    <w:p w14:paraId="635189C7">
      <w:pPr>
        <w:widowControl/>
        <w:spacing w:line="480" w:lineRule="exact"/>
        <w:ind w:firstLine="48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项目评审过程中，不得去掉报价中的最高报价和最低报价。</w:t>
      </w:r>
    </w:p>
    <w:p w14:paraId="19A1326D">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8.6评标专家对各供应商投标文件非实质性内容有疑义或异议，或者审查发现明显的文字或计算错误等，及时向评标委员会组长提出。经评标委员会商议认为需要供应商作出必</w:t>
      </w:r>
      <w:r>
        <w:rPr>
          <w:rFonts w:hint="eastAsia" w:ascii="微软雅黑" w:hAnsi="微软雅黑" w:eastAsia="微软雅黑" w:cs="微软雅黑"/>
          <w:color w:val="auto"/>
          <w:sz w:val="24"/>
          <w:szCs w:val="24"/>
          <w:highlight w:val="none"/>
          <w:lang w:eastAsia="zh-CN"/>
        </w:rPr>
        <w:t>要的</w:t>
      </w:r>
      <w:r>
        <w:rPr>
          <w:rFonts w:hint="eastAsia" w:ascii="微软雅黑" w:hAnsi="微软雅黑" w:eastAsia="微软雅黑" w:cs="微软雅黑"/>
          <w:color w:val="auto"/>
          <w:sz w:val="24"/>
          <w:szCs w:val="24"/>
          <w:highlight w:val="none"/>
        </w:rPr>
        <w:t>澄清、说明或者补正的，应当以在线询标形式要求供应商作出必要的澄清、说明或者补正。澄清、说明或者补正的内容应作为政府采购项目档案归档留存。</w:t>
      </w:r>
    </w:p>
    <w:p w14:paraId="0103D443">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8.7 评标专家需对采购方工作人员唱票或统计的评审结果进行确认，现场监督员应对评标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67DC14F9">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8.8 评标委员会根据评审汇总情况和招标文件规定推荐中标（成交）候选供应商排序名单。</w:t>
      </w:r>
    </w:p>
    <w:p w14:paraId="5F7309FA">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8.9 起草评标报告，所有评标专家须在评标报告上签字确认，对自己的评审意见承担法律责任。 </w:t>
      </w:r>
    </w:p>
    <w:p w14:paraId="715BE340">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8.10 采购组织机构对评标委员会评标专家进行评价。</w:t>
      </w:r>
    </w:p>
    <w:p w14:paraId="476A2743">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8.11修改评审结果</w:t>
      </w:r>
    </w:p>
    <w:p w14:paraId="27BCF16C">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评标结果汇总完成后，除下列情形外，任何人不得修改评标结果：</w:t>
      </w:r>
    </w:p>
    <w:p w14:paraId="27532781">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（1）分值汇总计算错误的；</w:t>
      </w:r>
    </w:p>
    <w:p w14:paraId="0B02B7A8">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（2）分项评分超出评分标准范围的；</w:t>
      </w:r>
    </w:p>
    <w:p w14:paraId="4F8410F9">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（3）评标委员会成员对客观评审因素评分不一致的；</w:t>
      </w:r>
    </w:p>
    <w:p w14:paraId="008BFD53">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（4）经评标委员会认定评分畸高、畸低的。</w:t>
      </w:r>
    </w:p>
    <w:p w14:paraId="4EF7022F">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81F985E">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9.</w:t>
      </w:r>
      <w:r>
        <w:rPr>
          <w:rFonts w:hint="eastAsia" w:ascii="微软雅黑" w:hAnsi="微软雅黑" w:eastAsia="微软雅黑" w:cs="微软雅黑"/>
          <w:b/>
          <w:bCs/>
          <w:color w:val="auto"/>
          <w:sz w:val="24"/>
          <w:szCs w:val="24"/>
          <w:highlight w:val="none"/>
        </w:rPr>
        <w:t>澄清、说明或补正的形式</w:t>
      </w:r>
    </w:p>
    <w:p w14:paraId="1D9613DF">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9.1对于投标文件中含义不明确、同类问题表述不一致或者有明显文字和计算错误的内容，评标委员会将通过“政府采购云平台”在线询标的方式要求供应商在规定的时间内作出必要的澄清、说明或者补正，</w:t>
      </w:r>
      <w:r>
        <w:rPr>
          <w:rFonts w:hint="eastAsia" w:ascii="微软雅黑" w:hAnsi="微软雅黑" w:eastAsia="微软雅黑" w:cs="微软雅黑"/>
          <w:b/>
          <w:bCs/>
          <w:color w:val="auto"/>
          <w:sz w:val="24"/>
          <w:szCs w:val="24"/>
          <w:highlight w:val="none"/>
        </w:rPr>
        <w:t>供应商澄清、说明或补正时间为</w:t>
      </w:r>
      <w:r>
        <w:rPr>
          <w:rFonts w:hint="eastAsia" w:ascii="微软雅黑" w:hAnsi="微软雅黑" w:eastAsia="微软雅黑" w:cs="微软雅黑"/>
          <w:b/>
          <w:bCs/>
          <w:color w:val="auto"/>
          <w:sz w:val="24"/>
          <w:szCs w:val="24"/>
          <w:highlight w:val="none"/>
          <w:lang w:val="en-US" w:eastAsia="zh-CN"/>
        </w:rPr>
        <w:t>30</w:t>
      </w:r>
      <w:r>
        <w:rPr>
          <w:rFonts w:hint="eastAsia" w:ascii="微软雅黑" w:hAnsi="微软雅黑" w:eastAsia="微软雅黑" w:cs="微软雅黑"/>
          <w:b/>
          <w:bCs/>
          <w:color w:val="auto"/>
          <w:sz w:val="24"/>
          <w:szCs w:val="24"/>
          <w:highlight w:val="none"/>
        </w:rPr>
        <w:t>分钟</w:t>
      </w:r>
      <w:r>
        <w:rPr>
          <w:rFonts w:hint="eastAsia" w:ascii="微软雅黑" w:hAnsi="微软雅黑" w:eastAsia="微软雅黑" w:cs="微软雅黑"/>
          <w:color w:val="auto"/>
          <w:sz w:val="24"/>
          <w:szCs w:val="24"/>
          <w:highlight w:val="none"/>
        </w:rPr>
        <w:t>。</w:t>
      </w:r>
    </w:p>
    <w:p w14:paraId="17919411">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9.2供应商的澄清、说明或者补正应当通过“政府采购云平台”在线答复的方式提交，并加盖公章（电子印章），或者由法定代表人（负责人）或其授权的代表签字。供应商的澄清、说明或者补正不得超出投标文件的范围或者改变投标文件的实质性内容，不接受供应商主动对投标文件的澄清、说明或者补正。</w:t>
      </w:r>
    </w:p>
    <w:p w14:paraId="2D669EB2">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062601FE">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10.</w:t>
      </w:r>
      <w:r>
        <w:rPr>
          <w:rFonts w:hint="eastAsia" w:ascii="微软雅黑" w:hAnsi="微软雅黑" w:eastAsia="微软雅黑" w:cs="微软雅黑"/>
          <w:b/>
          <w:bCs/>
          <w:color w:val="auto"/>
          <w:sz w:val="24"/>
          <w:szCs w:val="24"/>
          <w:highlight w:val="none"/>
        </w:rPr>
        <w:t>错误修正的原则</w:t>
      </w:r>
    </w:p>
    <w:p w14:paraId="06BF09E0">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10.1投标文件报价出现前后不一致的，除招标文件另有规定外，按照下列规定修正：</w:t>
      </w:r>
    </w:p>
    <w:p w14:paraId="447B1384">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10.2电子交易平台客户端里开标一览表录入的投标报价或优惠率与扫描上传的报价文件信息不一致的，以扫描上传的报价文件信息为准进行修正：</w:t>
      </w:r>
    </w:p>
    <w:p w14:paraId="5A2214A8">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10.3 投标函中表述的内容与报价表中不一致的，以报价表为准；报价表中的内容与报价明细表不一致的，以报价表为准；</w:t>
      </w:r>
    </w:p>
    <w:p w14:paraId="12A66FE9">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10.4投标文件中的大写金额和小写金额不一致的，以大写金额为准；</w:t>
      </w:r>
    </w:p>
    <w:p w14:paraId="767BEC26">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10.5 单价金额小数点或者百分比有明显错位的，以开标一览表的总价为准，并修改单价；</w:t>
      </w:r>
    </w:p>
    <w:p w14:paraId="61A9717B">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10.6 总价金额与按单价汇总金额不一致的，以单价金额计算结果为准；</w:t>
      </w:r>
    </w:p>
    <w:p w14:paraId="47E951FD">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10.7若用文字表示的数值与用数字表示的数值不一致，以文字表示的数值为准；</w:t>
      </w:r>
    </w:p>
    <w:p w14:paraId="194DC923">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10.8 如有多报（指数量超出招标文件需求）、重报（指同一货物重复报价），其投标总价在评标过程中不予调整，如其中标，其合同价按其投标单价予以调整；</w:t>
      </w:r>
    </w:p>
    <w:p w14:paraId="3AE0FA69">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10.9对不同文字文本投标文件的解释发生异议的，以中文文本为准；</w:t>
      </w:r>
    </w:p>
    <w:p w14:paraId="00810310">
      <w:pPr>
        <w:spacing w:line="480" w:lineRule="exact"/>
        <w:ind w:firstLine="240" w:firstLineChars="1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微软雅黑" w:hAnsi="微软雅黑" w:eastAsia="微软雅黑" w:cs="微软雅黑"/>
          <w:b/>
          <w:bCs/>
          <w:color w:val="auto"/>
          <w:sz w:val="24"/>
          <w:szCs w:val="24"/>
          <w:highlight w:val="none"/>
        </w:rPr>
        <w:t>修正应当采用电子标的形式，并加盖公章（电子印章）。</w:t>
      </w:r>
    </w:p>
    <w:p w14:paraId="6149449F">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eastAsia="zh-CN"/>
        </w:rPr>
        <w:t>11.</w:t>
      </w:r>
      <w:r>
        <w:rPr>
          <w:rFonts w:hint="eastAsia" w:ascii="微软雅黑" w:hAnsi="微软雅黑" w:eastAsia="微软雅黑" w:cs="微软雅黑"/>
          <w:b/>
          <w:bCs/>
          <w:color w:val="auto"/>
          <w:sz w:val="24"/>
          <w:szCs w:val="24"/>
          <w:highlight w:val="none"/>
        </w:rPr>
        <w:t>有下列情形之一的，投标文件按无效标处理：</w:t>
      </w:r>
    </w:p>
    <w:p w14:paraId="0FED443D">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 报名的供应商与参加投标的供应商发生实质性变更的且未提供有效证明的；</w:t>
      </w:r>
    </w:p>
    <w:p w14:paraId="75D2BBC7">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11.2供应商提交两份或两份以上内容不同的投标文件，未声明哪一份有效的；</w:t>
      </w:r>
    </w:p>
    <w:p w14:paraId="6191CC2B">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 投标文件非供应商法定代表人签署的，未提供或提供无效的法定代表人授权书的；</w:t>
      </w:r>
    </w:p>
    <w:p w14:paraId="0C8E931E">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11.4投标文件内容未按招标文件规定签字或盖章的；</w:t>
      </w:r>
    </w:p>
    <w:p w14:paraId="091C7A50">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11.5 投标文件组成漏项或未按规定的格式编制或上传的投标文件内容不全或内容字迹模糊辨认不清的而导致评标活动无法正常进行；</w:t>
      </w:r>
    </w:p>
    <w:p w14:paraId="65057B6B">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11.6供应商未按招标文件变更通知更改投标文件的；</w:t>
      </w:r>
    </w:p>
    <w:p w14:paraId="215FA731">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11.7《开标一览表》和《投标分项报价表》内容不完整且不接受修正意见或字迹不能辨认的或未提供的；</w:t>
      </w:r>
    </w:p>
    <w:p w14:paraId="791C236F">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11.8标项投标报价超过招标文件规定的预算金额或最高限价；</w:t>
      </w:r>
    </w:p>
    <w:p w14:paraId="6948614C">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11.9 因供应商原因编制错误造成经评标委员会修正后的报价达到或超过投标报价的0.5%；</w:t>
      </w:r>
    </w:p>
    <w:p w14:paraId="365B613A">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11.10供应商的报价明显低于其他通过符合性审查供应商的报价，有可能影响产品质量或者不能诚信履约的，且在规定时间内不能合理说明原因并提供证明材料的；</w:t>
      </w:r>
    </w:p>
    <w:p w14:paraId="2BE8DEBB">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11.11 未实质性响应招标文件中条款要求的投标文件；</w:t>
      </w:r>
    </w:p>
    <w:p w14:paraId="2757C491">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11.12 不符合招标范围、技术规格、技术标准的要求无法满足采购人使用要求；</w:t>
      </w:r>
    </w:p>
    <w:p w14:paraId="735C107E">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11.13 投标文件附有采购人不能接受的条款；</w:t>
      </w:r>
    </w:p>
    <w:p w14:paraId="4B477506">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11.14 投标文件中提供了赠品或者与本项目采购无关的其他商品、服务；</w:t>
      </w:r>
    </w:p>
    <w:p w14:paraId="3E02A10E">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11.15投标文件中承诺的投标有效期少于招标文件中载明的投标有效期；</w:t>
      </w:r>
    </w:p>
    <w:p w14:paraId="20CEC48C">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11.16供应商串通投标，妨碍其他供应商的竞争行为，损害采购人或者其他供应商的合法权益；</w:t>
      </w:r>
    </w:p>
    <w:p w14:paraId="6D005C5C">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11.17违反国家及政府部门相关</w:t>
      </w:r>
      <w:r>
        <w:rPr>
          <w:rFonts w:hint="eastAsia" w:ascii="微软雅黑" w:hAnsi="微软雅黑" w:eastAsia="微软雅黑" w:cs="微软雅黑"/>
          <w:color w:val="auto"/>
          <w:sz w:val="24"/>
          <w:szCs w:val="24"/>
          <w:highlight w:val="none"/>
          <w:lang w:eastAsia="zh-CN"/>
        </w:rPr>
        <w:t>法律法规</w:t>
      </w:r>
      <w:r>
        <w:rPr>
          <w:rFonts w:hint="eastAsia" w:ascii="微软雅黑" w:hAnsi="微软雅黑" w:eastAsia="微软雅黑" w:cs="微软雅黑"/>
          <w:color w:val="auto"/>
          <w:sz w:val="24"/>
          <w:szCs w:val="24"/>
          <w:highlight w:val="none"/>
        </w:rPr>
        <w:t>、文件规定或经评标委员会认定的其他属于重大偏离；</w:t>
      </w:r>
    </w:p>
    <w:p w14:paraId="2DD36046">
      <w:pPr>
        <w:pStyle w:val="23"/>
        <w:ind w:firstLine="480" w:firstLineChars="200"/>
        <w:rPr>
          <w:rFonts w:eastAsia="微软雅黑"/>
          <w:color w:val="auto"/>
          <w:highlight w:val="none"/>
        </w:rPr>
      </w:pPr>
      <w:r>
        <w:rPr>
          <w:rFonts w:hint="eastAsia" w:ascii="微软雅黑" w:hAnsi="微软雅黑" w:eastAsia="微软雅黑" w:cs="微软雅黑"/>
          <w:color w:val="auto"/>
          <w:sz w:val="24"/>
          <w:szCs w:val="24"/>
          <w:highlight w:val="none"/>
        </w:rPr>
        <w:t>11.18未按招标文件要求递交投标保证金的。</w:t>
      </w:r>
    </w:p>
    <w:p w14:paraId="32C36F2F">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12.</w:t>
      </w:r>
      <w:r>
        <w:rPr>
          <w:rFonts w:hint="eastAsia" w:ascii="微软雅黑" w:hAnsi="微软雅黑" w:eastAsia="微软雅黑" w:cs="微软雅黑"/>
          <w:b/>
          <w:bCs/>
          <w:color w:val="auto"/>
          <w:sz w:val="24"/>
          <w:szCs w:val="24"/>
          <w:highlight w:val="none"/>
        </w:rPr>
        <w:t>废标</w:t>
      </w:r>
    </w:p>
    <w:p w14:paraId="78B8A980">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 符合招标文件规定废标情形的；</w:t>
      </w:r>
    </w:p>
    <w:p w14:paraId="69CA6BBA">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12.2出现影响采购公正的违法、违规行为的；</w:t>
      </w:r>
    </w:p>
    <w:p w14:paraId="44C26434">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12.3供应商的报价均超过了采购预算（或最高限价），采购人不能支付的；</w:t>
      </w:r>
    </w:p>
    <w:p w14:paraId="1F07B6EF">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12.4因重大变故，采购任务取消的。</w:t>
      </w:r>
    </w:p>
    <w:p w14:paraId="5FE09F79">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13.</w:t>
      </w:r>
      <w:r>
        <w:rPr>
          <w:rFonts w:hint="eastAsia" w:ascii="微软雅黑" w:hAnsi="微软雅黑" w:eastAsia="微软雅黑" w:cs="微软雅黑"/>
          <w:b/>
          <w:bCs/>
          <w:color w:val="auto"/>
          <w:sz w:val="24"/>
          <w:szCs w:val="24"/>
          <w:highlight w:val="none"/>
        </w:rPr>
        <w:t>突发情况处理</w:t>
      </w:r>
    </w:p>
    <w:p w14:paraId="74434200">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 采购过程中出现以下情形，导致电子交易平台无法正常运行，或者无法保证电子交易的公平、公正和安全时，采购组织机构可中止电子交易活动：</w:t>
      </w:r>
    </w:p>
    <w:p w14:paraId="31DDEE8A">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（1）电子交易平台发生故障而无法登录访问的； </w:t>
      </w:r>
    </w:p>
    <w:p w14:paraId="60D2011D">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（2）电子交易平台应用或数据库出现错误，不能进行正常操作的；</w:t>
      </w:r>
    </w:p>
    <w:p w14:paraId="4D6AA48C">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（3）电子交易平台发现严重安全漏洞，有潜在泄密危险的；</w:t>
      </w:r>
    </w:p>
    <w:p w14:paraId="6D82FE81">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（4）病毒发作导致不能进行正常操作的； </w:t>
      </w:r>
    </w:p>
    <w:p w14:paraId="71311FB1">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（5）其他无法保证电子交易的公平、公正和安全的情况。</w:t>
      </w:r>
    </w:p>
    <w:p w14:paraId="55BFCE7A">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1EC3310C">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13.2 采购代理机构或评标小组成员因不可抗力（不可抗力包括但不限于自然灾害、断电、传播疫病等）原因造成电子交易活动无法正常运行的，将采取以下措施：</w:t>
      </w:r>
    </w:p>
    <w:p w14:paraId="448BD763">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（1）短时间内能消除不可抗力因素的，采购代理机构或评标小组成员在消除不可抗力因素后继续组织电子交易活动； </w:t>
      </w:r>
    </w:p>
    <w:p w14:paraId="41433833">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（2）长时间内无法消除不可抗力因素的，采购代理机构或评标小组成员将中止电子交易活动。中止电子交易活动的，采购人应当重新组织政府采购活动。</w:t>
      </w:r>
    </w:p>
    <w:p w14:paraId="56912CBC">
      <w:pPr>
        <w:pStyle w:val="11"/>
        <w:snapToGrid w:val="0"/>
        <w:spacing w:before="0" w:line="480" w:lineRule="exact"/>
        <w:ind w:firstLine="480" w:firstLineChars="200"/>
        <w:textAlignment w:val="baseline"/>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14.保密要求：</w:t>
      </w:r>
    </w:p>
    <w:p w14:paraId="1D6E3A32">
      <w:pPr>
        <w:widowControl/>
        <w:spacing w:line="480" w:lineRule="exact"/>
        <w:ind w:firstLine="240" w:firstLineChars="10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采购人、采购代理机构确保评标活动在严格保密的情况下进行。在采购结果确定前，采购人、采购代理机构对评标专家名单保密。</w:t>
      </w:r>
      <w:r>
        <w:rPr>
          <w:rFonts w:hint="eastAsia" w:ascii="微软雅黑" w:hAnsi="微软雅黑" w:eastAsia="微软雅黑" w:cs="微软雅黑"/>
          <w:color w:val="auto"/>
          <w:sz w:val="24"/>
          <w:szCs w:val="24"/>
          <w:highlight w:val="none"/>
        </w:rPr>
        <w:t>与评审工作无关的人员不得进入现场</w:t>
      </w:r>
      <w:r>
        <w:rPr>
          <w:rFonts w:hint="eastAsia" w:ascii="微软雅黑" w:hAnsi="微软雅黑" w:eastAsia="微软雅黑" w:cs="微软雅黑"/>
          <w:color w:val="auto"/>
          <w:kern w:val="0"/>
          <w:sz w:val="24"/>
          <w:szCs w:val="24"/>
          <w:highlight w:val="none"/>
        </w:rPr>
        <w:t>。有关人员须对评审情况以及在评审过程中获悉的国家秘密、商业秘密负有保密责任。</w:t>
      </w:r>
    </w:p>
    <w:p w14:paraId="280F5D84">
      <w:pPr>
        <w:snapToGrid w:val="0"/>
        <w:spacing w:line="480" w:lineRule="exact"/>
        <w:ind w:firstLine="421"/>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eastAsia="zh-CN"/>
        </w:rPr>
        <w:t>15.</w:t>
      </w:r>
      <w:r>
        <w:rPr>
          <w:rFonts w:hint="eastAsia" w:ascii="微软雅黑" w:hAnsi="微软雅黑" w:eastAsia="微软雅黑" w:cs="微软雅黑"/>
          <w:b/>
          <w:color w:val="auto"/>
          <w:sz w:val="24"/>
          <w:szCs w:val="24"/>
          <w:highlight w:val="none"/>
        </w:rPr>
        <w:t xml:space="preserve"> 定标</w:t>
      </w:r>
    </w:p>
    <w:p w14:paraId="43470B39">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15.1采购结果确认（确定中标（成交）供应商）</w:t>
      </w:r>
    </w:p>
    <w:p w14:paraId="56E70234">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采购结果确认（确定中标（成交）供应商）：本项目由采购人根据评标专家提交的《评标报告》，通过“政府采购云平台”依法确认采购结果、确定中标（成交）供应商。具体流程如下：</w:t>
      </w:r>
    </w:p>
    <w:p w14:paraId="581A0EE8">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（1）采购代理机构将在评审结束后2个工作日内将评标报告</w:t>
      </w:r>
      <w:r>
        <w:rPr>
          <w:rFonts w:hint="eastAsia" w:ascii="微软雅黑" w:hAnsi="微软雅黑" w:eastAsia="微软雅黑" w:cs="微软雅黑"/>
          <w:color w:val="auto"/>
          <w:sz w:val="24"/>
          <w:szCs w:val="24"/>
          <w:highlight w:val="none"/>
          <w:lang w:eastAsia="zh-CN"/>
        </w:rPr>
        <w:t>送达</w:t>
      </w:r>
      <w:r>
        <w:rPr>
          <w:rFonts w:hint="eastAsia" w:ascii="微软雅黑" w:hAnsi="微软雅黑" w:eastAsia="微软雅黑" w:cs="微软雅黑"/>
          <w:color w:val="auto"/>
          <w:sz w:val="24"/>
          <w:szCs w:val="24"/>
          <w:highlight w:val="none"/>
        </w:rPr>
        <w:t>采购人，同时在政采云平台提交采购结果至采购人确认。</w:t>
      </w:r>
    </w:p>
    <w:p w14:paraId="3063B69D">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采购人将在收到评标报告之日起5个工作日内，在评标报告推荐的中标（成交）候选供应商名单中按顺序确定中标（成交）供应商，并将确认意见以书面形式回复采购代理机构，同时在政采云平台线上确认采购结果。 </w:t>
      </w:r>
    </w:p>
    <w:p w14:paraId="478DB6E8">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15.2采购结果经采购人确认后2个工作日内，采购代理机构将在</w:t>
      </w:r>
      <w:r>
        <w:rPr>
          <w:rFonts w:hint="eastAsia" w:ascii="微软雅黑" w:hAnsi="微软雅黑" w:eastAsia="微软雅黑" w:cs="微软雅黑"/>
          <w:b/>
          <w:bCs/>
          <w:color w:val="auto"/>
          <w:sz w:val="24"/>
          <w:szCs w:val="24"/>
          <w:highlight w:val="none"/>
        </w:rPr>
        <w:t>新疆政府采购网（www.zjzfcg.gov.cn）上公示采购结果，中标（成交）公示期限为1个工作日。</w:t>
      </w:r>
    </w:p>
    <w:p w14:paraId="117A0CA2">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16.</w:t>
      </w:r>
      <w:r>
        <w:rPr>
          <w:rFonts w:hint="eastAsia" w:ascii="微软雅黑" w:hAnsi="微软雅黑" w:eastAsia="微软雅黑" w:cs="微软雅黑"/>
          <w:b/>
          <w:bCs/>
          <w:color w:val="auto"/>
          <w:sz w:val="24"/>
          <w:szCs w:val="24"/>
          <w:highlight w:val="none"/>
        </w:rPr>
        <w:t xml:space="preserve"> 中标（成交）通知书</w:t>
      </w:r>
    </w:p>
    <w:p w14:paraId="62394691">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16.1在中标（成交）通知书发出前，采购人将中标（成交）供应商的情况在新疆政府采购网予以公示，</w:t>
      </w:r>
      <w:r>
        <w:rPr>
          <w:rFonts w:hint="eastAsia" w:ascii="微软雅黑" w:hAnsi="微软雅黑" w:eastAsia="微软雅黑" w:cs="微软雅黑"/>
          <w:b/>
          <w:bCs/>
          <w:color w:val="auto"/>
          <w:sz w:val="24"/>
          <w:szCs w:val="24"/>
          <w:highlight w:val="none"/>
        </w:rPr>
        <w:t>公示期为一个工作日。待公示期结束后，</w:t>
      </w:r>
      <w:r>
        <w:rPr>
          <w:rFonts w:hint="eastAsia" w:ascii="微软雅黑" w:hAnsi="微软雅黑" w:eastAsia="微软雅黑" w:cs="微软雅黑"/>
          <w:color w:val="auto"/>
          <w:sz w:val="24"/>
          <w:szCs w:val="24"/>
          <w:highlight w:val="none"/>
        </w:rPr>
        <w:t>采购组织机构向中标（成交）供应商发出中标（成交）通知书。</w:t>
      </w:r>
    </w:p>
    <w:p w14:paraId="219E7E51">
      <w:pPr>
        <w:pStyle w:val="4"/>
        <w:snapToGrid w:val="0"/>
        <w:spacing w:line="480" w:lineRule="exact"/>
        <w:ind w:firstLine="480" w:firstLineChars="200"/>
        <w:textAlignment w:val="baseline"/>
        <w:rPr>
          <w:rFonts w:hint="default" w:eastAsia="宋体"/>
          <w:lang w:val="en-US" w:eastAsia="zh-CN"/>
        </w:rPr>
      </w:pPr>
      <w:r>
        <w:rPr>
          <w:rFonts w:hint="eastAsia" w:ascii="微软雅黑" w:hAnsi="微软雅黑" w:eastAsia="微软雅黑" w:cs="微软雅黑"/>
          <w:color w:val="auto"/>
          <w:kern w:val="2"/>
          <w:highlight w:val="none"/>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14:paraId="1E00837A">
      <w:pPr>
        <w:pStyle w:val="28"/>
        <w:spacing w:line="480" w:lineRule="exact"/>
        <w:rPr>
          <w:rFonts w:ascii="微软雅黑" w:hAnsi="微软雅黑" w:eastAsia="微软雅黑" w:cs="微软雅黑"/>
          <w:b/>
          <w:bCs/>
          <w:color w:val="auto"/>
          <w:kern w:val="2"/>
          <w:highlight w:val="none"/>
        </w:rPr>
      </w:pPr>
      <w:r>
        <w:rPr>
          <w:rFonts w:hint="eastAsia" w:ascii="微软雅黑" w:hAnsi="微软雅黑" w:eastAsia="微软雅黑" w:cs="微软雅黑"/>
          <w:b/>
          <w:bCs/>
          <w:color w:val="auto"/>
          <w:kern w:val="2"/>
          <w:highlight w:val="none"/>
          <w:lang w:eastAsia="zh-CN"/>
        </w:rPr>
        <w:t>17.</w:t>
      </w:r>
      <w:r>
        <w:rPr>
          <w:rFonts w:hint="eastAsia" w:ascii="微软雅黑" w:hAnsi="微软雅黑" w:eastAsia="微软雅黑" w:cs="微软雅黑"/>
          <w:b/>
          <w:bCs/>
          <w:color w:val="auto"/>
          <w:kern w:val="2"/>
          <w:highlight w:val="none"/>
        </w:rPr>
        <w:t>评标专家推荐预中标供应商的数量</w:t>
      </w:r>
      <w:r>
        <w:rPr>
          <w:rFonts w:hint="eastAsia" w:ascii="微软雅黑" w:hAnsi="微软雅黑" w:eastAsia="微软雅黑" w:cs="微软雅黑"/>
          <w:b/>
          <w:bCs/>
          <w:color w:val="auto"/>
          <w:kern w:val="2"/>
          <w:highlight w:val="none"/>
          <w:u w:val="single"/>
        </w:rPr>
        <w:t>：3</w:t>
      </w:r>
      <w:r>
        <w:rPr>
          <w:rFonts w:hint="eastAsia" w:ascii="微软雅黑" w:hAnsi="微软雅黑" w:eastAsia="微软雅黑" w:cs="微软雅黑"/>
          <w:b/>
          <w:bCs/>
          <w:color w:val="auto"/>
          <w:kern w:val="2"/>
          <w:highlight w:val="none"/>
          <w:u w:val="single"/>
          <w:lang w:eastAsia="zh-CN"/>
        </w:rPr>
        <w:t>（</w:t>
      </w:r>
      <w:r>
        <w:rPr>
          <w:rFonts w:hint="eastAsia" w:ascii="微软雅黑" w:hAnsi="微软雅黑" w:eastAsia="微软雅黑" w:cs="微软雅黑"/>
          <w:b/>
          <w:bCs/>
          <w:color w:val="auto"/>
          <w:kern w:val="2"/>
          <w:highlight w:val="none"/>
          <w:u w:val="single"/>
          <w:lang w:val="en-US" w:eastAsia="zh-CN"/>
        </w:rPr>
        <w:t>每包</w:t>
      </w:r>
      <w:r>
        <w:rPr>
          <w:rFonts w:hint="eastAsia" w:ascii="微软雅黑" w:hAnsi="微软雅黑" w:eastAsia="微软雅黑" w:cs="微软雅黑"/>
          <w:b/>
          <w:bCs/>
          <w:color w:val="auto"/>
          <w:kern w:val="2"/>
          <w:highlight w:val="none"/>
          <w:u w:val="single"/>
          <w:lang w:eastAsia="zh-CN"/>
        </w:rPr>
        <w:t>）</w:t>
      </w:r>
      <w:r>
        <w:rPr>
          <w:rFonts w:hint="eastAsia" w:ascii="微软雅黑" w:hAnsi="微软雅黑" w:eastAsia="微软雅黑" w:cs="微软雅黑"/>
          <w:b/>
          <w:bCs/>
          <w:color w:val="auto"/>
          <w:kern w:val="2"/>
          <w:highlight w:val="none"/>
        </w:rPr>
        <w:t xml:space="preserve">。 </w:t>
      </w:r>
    </w:p>
    <w:p w14:paraId="15065B76">
      <w:pPr>
        <w:rPr>
          <w:rFonts w:ascii="微软雅黑" w:hAnsi="微软雅黑" w:eastAsia="微软雅黑" w:cs="微软雅黑"/>
          <w:color w:val="auto"/>
          <w:sz w:val="24"/>
          <w:szCs w:val="24"/>
          <w:highlight w:val="none"/>
        </w:rPr>
      </w:pPr>
    </w:p>
    <w:p w14:paraId="1C897188">
      <w:pPr>
        <w:rPr>
          <w:rFonts w:ascii="微软雅黑" w:hAnsi="微软雅黑" w:eastAsia="微软雅黑" w:cs="微软雅黑"/>
          <w:color w:val="auto"/>
          <w:sz w:val="24"/>
          <w:szCs w:val="24"/>
          <w:highlight w:val="none"/>
        </w:rPr>
      </w:pPr>
    </w:p>
    <w:p w14:paraId="5660480D">
      <w:pPr>
        <w:rPr>
          <w:rFonts w:ascii="微软雅黑" w:hAnsi="微软雅黑" w:eastAsia="微软雅黑" w:cs="微软雅黑"/>
          <w:color w:val="auto"/>
          <w:sz w:val="24"/>
          <w:szCs w:val="24"/>
          <w:highlight w:val="none"/>
        </w:rPr>
      </w:pPr>
    </w:p>
    <w:p w14:paraId="3D382B4A">
      <w:pPr>
        <w:pStyle w:val="4"/>
        <w:rPr>
          <w:rFonts w:ascii="微软雅黑" w:hAnsi="微软雅黑" w:eastAsia="微软雅黑" w:cs="微软雅黑"/>
          <w:color w:val="auto"/>
          <w:highlight w:val="none"/>
        </w:rPr>
      </w:pPr>
    </w:p>
    <w:p w14:paraId="4B322400">
      <w:pPr>
        <w:rPr>
          <w:rFonts w:ascii="微软雅黑" w:hAnsi="微软雅黑" w:eastAsia="微软雅黑" w:cs="微软雅黑"/>
          <w:color w:val="auto"/>
          <w:highlight w:val="none"/>
        </w:rPr>
      </w:pPr>
    </w:p>
    <w:p w14:paraId="24DEA7EC">
      <w:pPr>
        <w:pStyle w:val="23"/>
        <w:rPr>
          <w:rFonts w:ascii="微软雅黑" w:hAnsi="微软雅黑" w:eastAsia="微软雅黑" w:cs="微软雅黑"/>
          <w:color w:val="auto"/>
          <w:highlight w:val="none"/>
        </w:rPr>
      </w:pPr>
    </w:p>
    <w:p w14:paraId="2A3946ED">
      <w:pPr>
        <w:pStyle w:val="23"/>
        <w:rPr>
          <w:rFonts w:ascii="微软雅黑" w:hAnsi="微软雅黑" w:eastAsia="微软雅黑" w:cs="微软雅黑"/>
          <w:color w:val="auto"/>
          <w:highlight w:val="none"/>
        </w:rPr>
      </w:pPr>
    </w:p>
    <w:p w14:paraId="5108272E">
      <w:pPr>
        <w:pStyle w:val="23"/>
        <w:rPr>
          <w:rFonts w:ascii="微软雅黑" w:hAnsi="微软雅黑" w:eastAsia="微软雅黑" w:cs="微软雅黑"/>
          <w:color w:val="auto"/>
          <w:highlight w:val="none"/>
        </w:rPr>
      </w:pPr>
    </w:p>
    <w:p w14:paraId="695DE8B8">
      <w:pPr>
        <w:pStyle w:val="5"/>
        <w:rPr>
          <w:rFonts w:ascii="微软雅黑" w:hAnsi="微软雅黑" w:eastAsia="微软雅黑" w:cs="微软雅黑"/>
          <w:color w:val="auto"/>
          <w:highlight w:val="none"/>
        </w:rPr>
      </w:pPr>
    </w:p>
    <w:p w14:paraId="677CE550">
      <w:pPr>
        <w:rPr>
          <w:rFonts w:ascii="微软雅黑" w:hAnsi="微软雅黑" w:eastAsia="微软雅黑" w:cs="微软雅黑"/>
          <w:color w:val="auto"/>
          <w:sz w:val="24"/>
          <w:szCs w:val="24"/>
          <w:highlight w:val="none"/>
        </w:rPr>
      </w:pPr>
    </w:p>
    <w:p w14:paraId="2E8DF414">
      <w:pPr>
        <w:rPr>
          <w:rFonts w:ascii="微软雅黑" w:hAnsi="微软雅黑" w:eastAsia="微软雅黑" w:cs="微软雅黑"/>
          <w:color w:val="auto"/>
          <w:sz w:val="24"/>
          <w:szCs w:val="24"/>
          <w:highlight w:val="none"/>
        </w:rPr>
      </w:pPr>
    </w:p>
    <w:p w14:paraId="26B47D66">
      <w:pPr>
        <w:rPr>
          <w:rFonts w:ascii="微软雅黑" w:hAnsi="微软雅黑" w:eastAsia="微软雅黑" w:cs="微软雅黑"/>
          <w:color w:val="auto"/>
          <w:sz w:val="24"/>
          <w:szCs w:val="24"/>
          <w:highlight w:val="none"/>
        </w:rPr>
      </w:pPr>
    </w:p>
    <w:p w14:paraId="3B36DF4C">
      <w:pPr>
        <w:jc w:val="center"/>
        <w:outlineLvl w:val="1"/>
        <w:rPr>
          <w:rFonts w:hint="eastAsia" w:ascii="微软雅黑" w:hAnsi="微软雅黑" w:eastAsia="微软雅黑" w:cs="微软雅黑"/>
          <w:b/>
          <w:bCs/>
          <w:color w:val="auto"/>
          <w:sz w:val="22"/>
          <w:szCs w:val="22"/>
          <w:highlight w:val="none"/>
        </w:rPr>
        <w:sectPr>
          <w:pgSz w:w="11905" w:h="16838"/>
          <w:pgMar w:top="1440" w:right="1080" w:bottom="1440" w:left="1080" w:header="851" w:footer="992" w:gutter="0"/>
          <w:cols w:space="0" w:num="1"/>
          <w:docGrid w:linePitch="462" w:charSpace="0"/>
        </w:sectPr>
      </w:pPr>
      <w:bookmarkStart w:id="785" w:name="_Toc7251"/>
      <w:bookmarkStart w:id="786" w:name="_Toc12716"/>
      <w:bookmarkStart w:id="787" w:name="_Toc25224"/>
      <w:bookmarkStart w:id="788" w:name="_Toc21250"/>
      <w:bookmarkStart w:id="789" w:name="_Toc13647"/>
      <w:bookmarkStart w:id="790" w:name="_Toc3470"/>
      <w:bookmarkStart w:id="791" w:name="_Toc25776"/>
      <w:bookmarkStart w:id="792" w:name="_Toc22779"/>
      <w:bookmarkStart w:id="793" w:name="_Toc19633"/>
      <w:bookmarkStart w:id="794" w:name="_Toc15389"/>
      <w:bookmarkStart w:id="795" w:name="_Toc18687"/>
      <w:bookmarkStart w:id="796" w:name="_Toc13711"/>
      <w:bookmarkStart w:id="797" w:name="_Toc1126"/>
      <w:bookmarkStart w:id="798" w:name="_Toc14552"/>
      <w:bookmarkStart w:id="799" w:name="_Toc26572"/>
      <w:bookmarkStart w:id="800" w:name="_Toc32167"/>
      <w:bookmarkStart w:id="801" w:name="_Toc18194"/>
      <w:bookmarkStart w:id="802" w:name="_Toc28942"/>
      <w:bookmarkStart w:id="803" w:name="_Toc12438"/>
      <w:bookmarkStart w:id="804" w:name="_Toc1545"/>
      <w:bookmarkStart w:id="805" w:name="_Toc27829"/>
      <w:bookmarkStart w:id="806" w:name="_Toc32589"/>
      <w:bookmarkStart w:id="807" w:name="_Toc16055"/>
      <w:bookmarkStart w:id="808" w:name="_Toc31378"/>
    </w:p>
    <w:p w14:paraId="558480A8">
      <w:pPr>
        <w:jc w:val="center"/>
        <w:outlineLvl w:val="1"/>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初步评审—资格性审查表</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tbl>
      <w:tblPr>
        <w:tblStyle w:val="30"/>
        <w:tblpPr w:leftFromText="180" w:rightFromText="180" w:vertAnchor="text" w:horzAnchor="page" w:tblpXSpec="center" w:tblpY="234"/>
        <w:tblOverlap w:val="never"/>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534"/>
        <w:gridCol w:w="883"/>
        <w:gridCol w:w="833"/>
        <w:gridCol w:w="817"/>
      </w:tblGrid>
      <w:tr w14:paraId="47D9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8" w:type="dxa"/>
            <w:vMerge w:val="restart"/>
            <w:vAlign w:val="center"/>
          </w:tcPr>
          <w:p w14:paraId="308165E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序号</w:t>
            </w:r>
          </w:p>
        </w:tc>
        <w:tc>
          <w:tcPr>
            <w:tcW w:w="6534" w:type="dxa"/>
            <w:vMerge w:val="restart"/>
            <w:vAlign w:val="center"/>
          </w:tcPr>
          <w:p w14:paraId="5811F93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评审内容</w:t>
            </w:r>
          </w:p>
        </w:tc>
        <w:tc>
          <w:tcPr>
            <w:tcW w:w="2533" w:type="dxa"/>
            <w:gridSpan w:val="3"/>
            <w:vAlign w:val="center"/>
          </w:tcPr>
          <w:p w14:paraId="4F37CF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供应商</w:t>
            </w:r>
          </w:p>
        </w:tc>
      </w:tr>
      <w:tr w14:paraId="03F4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28" w:type="dxa"/>
            <w:vMerge w:val="continue"/>
            <w:vAlign w:val="center"/>
          </w:tcPr>
          <w:p w14:paraId="186ED59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b/>
                <w:bCs/>
                <w:color w:val="auto"/>
                <w:sz w:val="21"/>
                <w:szCs w:val="21"/>
                <w:highlight w:val="none"/>
              </w:rPr>
            </w:pPr>
          </w:p>
        </w:tc>
        <w:tc>
          <w:tcPr>
            <w:tcW w:w="6534" w:type="dxa"/>
            <w:vMerge w:val="continue"/>
            <w:vAlign w:val="center"/>
          </w:tcPr>
          <w:p w14:paraId="4FE0BB2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b/>
                <w:bCs/>
                <w:color w:val="auto"/>
                <w:sz w:val="21"/>
                <w:szCs w:val="21"/>
                <w:highlight w:val="none"/>
              </w:rPr>
            </w:pPr>
          </w:p>
        </w:tc>
        <w:tc>
          <w:tcPr>
            <w:tcW w:w="883" w:type="dxa"/>
            <w:vAlign w:val="center"/>
          </w:tcPr>
          <w:p w14:paraId="6BA607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是否</w:t>
            </w:r>
          </w:p>
          <w:p w14:paraId="7E591E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合格</w:t>
            </w:r>
          </w:p>
        </w:tc>
        <w:tc>
          <w:tcPr>
            <w:tcW w:w="833" w:type="dxa"/>
            <w:vAlign w:val="center"/>
          </w:tcPr>
          <w:p w14:paraId="4D8B0C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是否</w:t>
            </w:r>
          </w:p>
          <w:p w14:paraId="488282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合格</w:t>
            </w:r>
          </w:p>
        </w:tc>
        <w:tc>
          <w:tcPr>
            <w:tcW w:w="817" w:type="dxa"/>
            <w:vAlign w:val="center"/>
          </w:tcPr>
          <w:p w14:paraId="5DBDE9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是否</w:t>
            </w:r>
          </w:p>
          <w:p w14:paraId="0AE288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合格</w:t>
            </w:r>
          </w:p>
        </w:tc>
      </w:tr>
      <w:tr w14:paraId="11E6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14:paraId="7373E5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6534" w:type="dxa"/>
            <w:vAlign w:val="center"/>
          </w:tcPr>
          <w:p w14:paraId="570D3E0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具有独立承担民事责任的能力；（投标时，提供在中华人民共和国境内注册的法人或其他组织的营业执照或事业单位法人证书或社会团体法人登记证书）；</w:t>
            </w:r>
          </w:p>
        </w:tc>
        <w:tc>
          <w:tcPr>
            <w:tcW w:w="883" w:type="dxa"/>
            <w:vAlign w:val="center"/>
          </w:tcPr>
          <w:p w14:paraId="07CC4CB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4CA29BD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4821C455">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0000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14:paraId="402D4D2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6534" w:type="dxa"/>
            <w:vAlign w:val="center"/>
          </w:tcPr>
          <w:p w14:paraId="02676A9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供应商为制造商的须提供《医疗器械生产许可证》、所投产品的《医疗器械产品注册证》；供应商为经销商的须提供包含所投产品相应经营范围的《医疗器械经营许可证》或《医疗器械经营备案凭证》。供应商所投产品非医疗器械的，无需提供；</w:t>
            </w:r>
          </w:p>
        </w:tc>
        <w:tc>
          <w:tcPr>
            <w:tcW w:w="883" w:type="dxa"/>
            <w:vAlign w:val="center"/>
          </w:tcPr>
          <w:p w14:paraId="33EDCDC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25CF0B3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0B909C7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5D9F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14:paraId="3AA71C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tc>
        <w:tc>
          <w:tcPr>
            <w:tcW w:w="6534" w:type="dxa"/>
            <w:vAlign w:val="center"/>
          </w:tcPr>
          <w:p w14:paraId="5D6E696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提供法定代表人资格证明及授权书、被授权人身份证；（法定代表人投标需提供法定代表人身份证）；</w:t>
            </w:r>
          </w:p>
        </w:tc>
        <w:tc>
          <w:tcPr>
            <w:tcW w:w="883" w:type="dxa"/>
            <w:vAlign w:val="center"/>
          </w:tcPr>
          <w:p w14:paraId="0AEB2BC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0717C9C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245EE56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715D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28" w:type="dxa"/>
            <w:vAlign w:val="center"/>
          </w:tcPr>
          <w:p w14:paraId="23804B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w:t>
            </w:r>
          </w:p>
        </w:tc>
        <w:tc>
          <w:tcPr>
            <w:tcW w:w="6534" w:type="dxa"/>
            <w:vAlign w:val="center"/>
          </w:tcPr>
          <w:p w14:paraId="0AD29D3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提供本单位依法缴纳近三个月内任意一个月的社会保险证明（新成立公司提供相关证明文件）；</w:t>
            </w:r>
          </w:p>
        </w:tc>
        <w:tc>
          <w:tcPr>
            <w:tcW w:w="883" w:type="dxa"/>
            <w:vAlign w:val="center"/>
          </w:tcPr>
          <w:p w14:paraId="5C0B97BF">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1647A350">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204D6B7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5873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28" w:type="dxa"/>
            <w:vAlign w:val="center"/>
          </w:tcPr>
          <w:p w14:paraId="152CAD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w:t>
            </w:r>
          </w:p>
        </w:tc>
        <w:tc>
          <w:tcPr>
            <w:tcW w:w="6534" w:type="dxa"/>
            <w:vAlign w:val="center"/>
          </w:tcPr>
          <w:p w14:paraId="3032172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提供税务部门出具的本单位近六个月内任意一个月的完税证明（零申报需加盖税务机关章）；</w:t>
            </w:r>
          </w:p>
        </w:tc>
        <w:tc>
          <w:tcPr>
            <w:tcW w:w="883" w:type="dxa"/>
            <w:vAlign w:val="center"/>
          </w:tcPr>
          <w:p w14:paraId="7404466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3D82915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4496391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159D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8" w:type="dxa"/>
            <w:vAlign w:val="center"/>
          </w:tcPr>
          <w:p w14:paraId="6DEBC8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w:t>
            </w:r>
          </w:p>
        </w:tc>
        <w:tc>
          <w:tcPr>
            <w:tcW w:w="6534" w:type="dxa"/>
            <w:vAlign w:val="center"/>
          </w:tcPr>
          <w:p w14:paraId="0CD8D85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提供近两年任意一年完整的财务审计报告（新成立公司不足一年的提供近三个月内有效的银行资信证明）；</w:t>
            </w:r>
          </w:p>
        </w:tc>
        <w:tc>
          <w:tcPr>
            <w:tcW w:w="883" w:type="dxa"/>
            <w:vAlign w:val="center"/>
          </w:tcPr>
          <w:p w14:paraId="6238D450">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39BBB20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375D3BE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6E61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28" w:type="dxa"/>
            <w:vAlign w:val="center"/>
          </w:tcPr>
          <w:p w14:paraId="33BB94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w:t>
            </w:r>
          </w:p>
        </w:tc>
        <w:tc>
          <w:tcPr>
            <w:tcW w:w="6534" w:type="dxa"/>
            <w:vAlign w:val="center"/>
          </w:tcPr>
          <w:p w14:paraId="0054149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参与政府采购活动前3年内未被列入失信、重大税收违法案件、财政部门禁止参加政府采购活动的承诺书；</w:t>
            </w:r>
          </w:p>
        </w:tc>
        <w:tc>
          <w:tcPr>
            <w:tcW w:w="883" w:type="dxa"/>
            <w:vAlign w:val="center"/>
          </w:tcPr>
          <w:p w14:paraId="5B721628">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3B0FB1C4">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377B6B48">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09E0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28" w:type="dxa"/>
            <w:vAlign w:val="center"/>
          </w:tcPr>
          <w:p w14:paraId="2CB190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8</w:t>
            </w:r>
          </w:p>
        </w:tc>
        <w:tc>
          <w:tcPr>
            <w:tcW w:w="6534" w:type="dxa"/>
            <w:vAlign w:val="center"/>
          </w:tcPr>
          <w:p w14:paraId="524B26E6">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提供针对本次项目的反商业贿赂承诺书；</w:t>
            </w:r>
          </w:p>
        </w:tc>
        <w:tc>
          <w:tcPr>
            <w:tcW w:w="883" w:type="dxa"/>
            <w:vAlign w:val="center"/>
          </w:tcPr>
          <w:p w14:paraId="7D752DCE">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2241182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72444E1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2780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14:paraId="235356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9</w:t>
            </w:r>
          </w:p>
        </w:tc>
        <w:tc>
          <w:tcPr>
            <w:tcW w:w="6534" w:type="dxa"/>
            <w:vAlign w:val="center"/>
          </w:tcPr>
          <w:p w14:paraId="758523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tc>
        <w:tc>
          <w:tcPr>
            <w:tcW w:w="883" w:type="dxa"/>
            <w:vAlign w:val="center"/>
          </w:tcPr>
          <w:p w14:paraId="390DFC74">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1D8F4D7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0DD302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1D9B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14:paraId="78434C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10</w:t>
            </w:r>
          </w:p>
        </w:tc>
        <w:tc>
          <w:tcPr>
            <w:tcW w:w="6534" w:type="dxa"/>
            <w:vAlign w:val="center"/>
          </w:tcPr>
          <w:p w14:paraId="69944F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投标保证金有效凭证</w:t>
            </w:r>
            <w:r>
              <w:rPr>
                <w:rFonts w:hint="eastAsia" w:ascii="微软雅黑" w:hAnsi="微软雅黑" w:eastAsia="微软雅黑" w:cs="微软雅黑"/>
                <w:color w:val="auto"/>
                <w:sz w:val="21"/>
                <w:szCs w:val="21"/>
                <w:highlight w:val="none"/>
              </w:rPr>
              <w:t>。</w:t>
            </w:r>
          </w:p>
        </w:tc>
        <w:tc>
          <w:tcPr>
            <w:tcW w:w="883" w:type="dxa"/>
            <w:vAlign w:val="center"/>
          </w:tcPr>
          <w:p w14:paraId="3229462E">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7FB0E4C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5D72569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4D66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28" w:type="dxa"/>
            <w:vAlign w:val="center"/>
          </w:tcPr>
          <w:p w14:paraId="31C947CD">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6534" w:type="dxa"/>
            <w:vAlign w:val="center"/>
          </w:tcPr>
          <w:p w14:paraId="5D46ED1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结论</w:t>
            </w:r>
          </w:p>
        </w:tc>
        <w:tc>
          <w:tcPr>
            <w:tcW w:w="883" w:type="dxa"/>
            <w:vAlign w:val="center"/>
          </w:tcPr>
          <w:p w14:paraId="58EEF964">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6227459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3B97A2B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bl>
    <w:p w14:paraId="74323937">
      <w:pPr>
        <w:rPr>
          <w:rFonts w:ascii="微软雅黑" w:hAnsi="微软雅黑" w:eastAsia="微软雅黑" w:cs="微软雅黑"/>
          <w:color w:val="auto"/>
          <w:highlight w:val="none"/>
        </w:rPr>
      </w:pPr>
    </w:p>
    <w:p w14:paraId="5027F6DE">
      <w:pP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说明：（1）上述各项中用“合格”表示通过，“不合格”表示不通过；</w:t>
      </w:r>
    </w:p>
    <w:p w14:paraId="5AB6B132">
      <w:pP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（2）上述各项中如有一项为“不合格”，则结论为“不通过”，表示该投标文件中存在重大偏差，不能通过初步评审；评委对某一分项评审认为不合格时，</w:t>
      </w:r>
      <w:r>
        <w:rPr>
          <w:rFonts w:hint="eastAsia" w:ascii="微软雅黑" w:hAnsi="微软雅黑" w:eastAsia="微软雅黑" w:cs="微软雅黑"/>
          <w:color w:val="auto"/>
          <w:highlight w:val="none"/>
          <w:lang w:eastAsia="zh-CN"/>
        </w:rPr>
        <w:t>必须</w:t>
      </w:r>
      <w:r>
        <w:rPr>
          <w:rFonts w:hint="eastAsia" w:ascii="微软雅黑" w:hAnsi="微软雅黑" w:eastAsia="微软雅黑" w:cs="微软雅黑"/>
          <w:color w:val="auto"/>
          <w:highlight w:val="none"/>
        </w:rPr>
        <w:t>写明原因。</w:t>
      </w:r>
    </w:p>
    <w:p w14:paraId="26176D5A">
      <w:pPr>
        <w:ind w:left="6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（3）投标文件最终合格与否，以所有评委的评审意见中少数服从多数为原则定论。</w:t>
      </w:r>
    </w:p>
    <w:p w14:paraId="0D710206">
      <w:pPr>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未通过资格审查的供应商不进入评标；通过资格审查的供应商少于不足三家的，不得评标。</w:t>
      </w:r>
    </w:p>
    <w:p w14:paraId="10E6EBA1">
      <w:pPr>
        <w:rPr>
          <w:color w:val="auto"/>
          <w:highlight w:val="none"/>
        </w:rPr>
      </w:pPr>
    </w:p>
    <w:p w14:paraId="69371009">
      <w:pPr>
        <w:rPr>
          <w:color w:val="auto"/>
          <w:highlight w:val="none"/>
        </w:rPr>
      </w:pPr>
    </w:p>
    <w:p w14:paraId="6976A0C3">
      <w:pPr>
        <w:pStyle w:val="4"/>
        <w:spacing w:line="480" w:lineRule="exact"/>
        <w:ind w:firstLine="0"/>
        <w:jc w:val="center"/>
        <w:outlineLvl w:val="1"/>
        <w:rPr>
          <w:rFonts w:ascii="微软雅黑" w:hAnsi="微软雅黑" w:eastAsia="微软雅黑" w:cs="微软雅黑"/>
          <w:b/>
          <w:bCs/>
          <w:color w:val="auto"/>
          <w:sz w:val="21"/>
          <w:szCs w:val="21"/>
          <w:highlight w:val="none"/>
        </w:rPr>
      </w:pPr>
      <w:bookmarkStart w:id="809" w:name="_Toc8628"/>
      <w:bookmarkStart w:id="810" w:name="_Toc14887"/>
      <w:bookmarkStart w:id="811" w:name="_Toc14391"/>
      <w:bookmarkStart w:id="812" w:name="_Toc21232"/>
      <w:bookmarkStart w:id="813" w:name="_Toc11822"/>
      <w:bookmarkStart w:id="814" w:name="_Toc8771"/>
      <w:bookmarkStart w:id="815" w:name="_Toc12096"/>
      <w:bookmarkStart w:id="816" w:name="_Toc11487"/>
      <w:bookmarkStart w:id="817" w:name="_Toc28345"/>
      <w:bookmarkStart w:id="818" w:name="_Toc946"/>
      <w:bookmarkStart w:id="819" w:name="_Toc8014"/>
      <w:bookmarkStart w:id="820" w:name="_Toc20635"/>
      <w:bookmarkStart w:id="821" w:name="_Toc24305"/>
      <w:bookmarkStart w:id="822" w:name="_Toc4255"/>
      <w:bookmarkStart w:id="823" w:name="_Toc19523"/>
      <w:bookmarkStart w:id="824" w:name="_Toc7343"/>
      <w:bookmarkStart w:id="825" w:name="_Toc1293"/>
      <w:bookmarkStart w:id="826" w:name="_Toc22718"/>
      <w:bookmarkStart w:id="827" w:name="_Toc70"/>
      <w:bookmarkStart w:id="828" w:name="_Toc29061"/>
      <w:bookmarkStart w:id="829" w:name="_Toc23770"/>
      <w:bookmarkStart w:id="830" w:name="_Toc29777"/>
      <w:bookmarkStart w:id="831" w:name="_Toc21133"/>
      <w:bookmarkStart w:id="832" w:name="_Toc11241"/>
      <w:r>
        <w:rPr>
          <w:rFonts w:hint="eastAsia" w:ascii="微软雅黑" w:hAnsi="微软雅黑" w:eastAsia="微软雅黑" w:cs="微软雅黑"/>
          <w:b/>
          <w:bCs/>
          <w:color w:val="auto"/>
          <w:sz w:val="21"/>
          <w:szCs w:val="21"/>
          <w:highlight w:val="none"/>
        </w:rPr>
        <w:t>初步评审—符合性审查表</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tbl>
      <w:tblPr>
        <w:tblStyle w:val="30"/>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14:paraId="6AFC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vAlign w:val="center"/>
          </w:tcPr>
          <w:p w14:paraId="1F0869CE">
            <w:pPr>
              <w:spacing w:line="480" w:lineRule="exact"/>
              <w:jc w:val="center"/>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评审内容</w:t>
            </w:r>
          </w:p>
        </w:tc>
        <w:tc>
          <w:tcPr>
            <w:tcW w:w="1637" w:type="dxa"/>
            <w:vAlign w:val="center"/>
          </w:tcPr>
          <w:p w14:paraId="6BA7FD5C">
            <w:pPr>
              <w:spacing w:line="480" w:lineRule="exact"/>
              <w:jc w:val="center"/>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b/>
                <w:bCs/>
                <w:color w:val="auto"/>
                <w:sz w:val="22"/>
                <w:szCs w:val="22"/>
                <w:highlight w:val="none"/>
              </w:rPr>
              <w:t>评审意见</w:t>
            </w:r>
          </w:p>
        </w:tc>
      </w:tr>
      <w:tr w14:paraId="3501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14:paraId="3E6ED24D">
            <w:pPr>
              <w:spacing w:line="480" w:lineRule="exact"/>
              <w:jc w:val="center"/>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序号</w:t>
            </w:r>
          </w:p>
        </w:tc>
        <w:tc>
          <w:tcPr>
            <w:tcW w:w="6755" w:type="dxa"/>
            <w:vAlign w:val="center"/>
          </w:tcPr>
          <w:p w14:paraId="370598CE">
            <w:pPr>
              <w:spacing w:line="480" w:lineRule="exact"/>
              <w:rPr>
                <w:rFonts w:ascii="微软雅黑" w:hAnsi="微软雅黑" w:eastAsia="微软雅黑" w:cs="微软雅黑"/>
                <w:color w:val="auto"/>
                <w:spacing w:val="-2"/>
                <w:sz w:val="22"/>
                <w:szCs w:val="22"/>
                <w:highlight w:val="none"/>
              </w:rPr>
            </w:pPr>
          </w:p>
        </w:tc>
        <w:tc>
          <w:tcPr>
            <w:tcW w:w="1637" w:type="dxa"/>
            <w:vAlign w:val="center"/>
          </w:tcPr>
          <w:p w14:paraId="506CC319">
            <w:pPr>
              <w:spacing w:line="480" w:lineRule="exact"/>
              <w:jc w:val="center"/>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是否合格</w:t>
            </w:r>
          </w:p>
        </w:tc>
      </w:tr>
      <w:tr w14:paraId="5C98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48" w:type="dxa"/>
            <w:vAlign w:val="center"/>
          </w:tcPr>
          <w:p w14:paraId="478CD676">
            <w:pPr>
              <w:spacing w:line="480" w:lineRule="exact"/>
              <w:jc w:val="center"/>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p>
        </w:tc>
        <w:tc>
          <w:tcPr>
            <w:tcW w:w="6755" w:type="dxa"/>
            <w:vAlign w:val="center"/>
          </w:tcPr>
          <w:p w14:paraId="69D12AB9">
            <w:pPr>
              <w:spacing w:line="480" w:lineRule="exact"/>
              <w:jc w:val="left"/>
              <w:rPr>
                <w:rFonts w:hint="eastAsia" w:ascii="微软雅黑" w:hAnsi="微软雅黑" w:eastAsia="微软雅黑" w:cs="微软雅黑"/>
                <w:color w:val="auto"/>
                <w:spacing w:val="-2"/>
                <w:sz w:val="22"/>
                <w:szCs w:val="22"/>
                <w:highlight w:val="none"/>
                <w:lang w:eastAsia="zh-CN"/>
              </w:rPr>
            </w:pPr>
            <w:r>
              <w:rPr>
                <w:rFonts w:hint="eastAsia" w:ascii="微软雅黑" w:hAnsi="微软雅黑" w:eastAsia="微软雅黑" w:cs="微软雅黑"/>
                <w:color w:val="auto"/>
                <w:spacing w:val="-2"/>
                <w:sz w:val="22"/>
                <w:szCs w:val="22"/>
                <w:highlight w:val="none"/>
              </w:rPr>
              <w:t>各供应商投标报价未高于预算金额</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0DF11B2A">
            <w:pPr>
              <w:spacing w:line="480" w:lineRule="exact"/>
              <w:rPr>
                <w:rFonts w:ascii="微软雅黑" w:hAnsi="微软雅黑" w:eastAsia="微软雅黑" w:cs="微软雅黑"/>
                <w:color w:val="auto"/>
                <w:spacing w:val="-2"/>
                <w:sz w:val="22"/>
                <w:szCs w:val="22"/>
                <w:highlight w:val="none"/>
              </w:rPr>
            </w:pPr>
          </w:p>
        </w:tc>
      </w:tr>
      <w:tr w14:paraId="0849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48" w:type="dxa"/>
            <w:vAlign w:val="center"/>
          </w:tcPr>
          <w:p w14:paraId="3DA3EA29">
            <w:pPr>
              <w:spacing w:line="480" w:lineRule="exact"/>
              <w:jc w:val="center"/>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w:t>
            </w:r>
          </w:p>
        </w:tc>
        <w:tc>
          <w:tcPr>
            <w:tcW w:w="6755" w:type="dxa"/>
            <w:vAlign w:val="center"/>
          </w:tcPr>
          <w:p w14:paraId="24A46217">
            <w:pPr>
              <w:spacing w:line="480" w:lineRule="exact"/>
              <w:jc w:val="left"/>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评标委员会认为供应商的报价无明显低于其他通过符合性审查供应商的报价的，供应商的报价不存在异常一致</w:t>
            </w:r>
            <w:r>
              <w:rPr>
                <w:rFonts w:hint="eastAsia" w:ascii="微软雅黑" w:hAnsi="微软雅黑" w:eastAsia="微软雅黑" w:cs="微软雅黑"/>
                <w:color w:val="auto"/>
                <w:spacing w:val="-2"/>
                <w:sz w:val="22"/>
                <w:szCs w:val="22"/>
                <w:highlight w:val="none"/>
                <w:lang w:eastAsia="zh-CN"/>
              </w:rPr>
              <w:t>并形成</w:t>
            </w:r>
            <w:r>
              <w:rPr>
                <w:rFonts w:hint="eastAsia" w:ascii="微软雅黑" w:hAnsi="微软雅黑" w:eastAsia="微软雅黑" w:cs="微软雅黑"/>
                <w:color w:val="auto"/>
                <w:spacing w:val="-2"/>
                <w:sz w:val="22"/>
                <w:szCs w:val="22"/>
                <w:highlight w:val="none"/>
              </w:rPr>
              <w:t>规律性的，其报价合理</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70EB7252">
            <w:pPr>
              <w:spacing w:line="480" w:lineRule="exact"/>
              <w:rPr>
                <w:rFonts w:ascii="微软雅黑" w:hAnsi="微软雅黑" w:eastAsia="微软雅黑" w:cs="微软雅黑"/>
                <w:color w:val="auto"/>
                <w:spacing w:val="-2"/>
                <w:sz w:val="22"/>
                <w:szCs w:val="22"/>
                <w:highlight w:val="none"/>
              </w:rPr>
            </w:pPr>
          </w:p>
        </w:tc>
      </w:tr>
      <w:tr w14:paraId="1D20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48" w:type="dxa"/>
            <w:vAlign w:val="center"/>
          </w:tcPr>
          <w:p w14:paraId="5E46B122">
            <w:pPr>
              <w:spacing w:line="480" w:lineRule="exact"/>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3</w:t>
            </w:r>
          </w:p>
        </w:tc>
        <w:tc>
          <w:tcPr>
            <w:tcW w:w="6755" w:type="dxa"/>
            <w:vAlign w:val="center"/>
          </w:tcPr>
          <w:p w14:paraId="7FA2B045">
            <w:pPr>
              <w:spacing w:line="480" w:lineRule="exact"/>
              <w:jc w:val="left"/>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投标文件按照招标文件的规定编制、标记及签署盖章的，法定代表人或其授权代表签字（章）和加盖供应商公章的（所上传投标文件的印章和签字不能为复印件）</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553C732A">
            <w:pPr>
              <w:spacing w:line="480" w:lineRule="exact"/>
              <w:rPr>
                <w:rFonts w:ascii="微软雅黑" w:hAnsi="微软雅黑" w:eastAsia="微软雅黑" w:cs="微软雅黑"/>
                <w:color w:val="auto"/>
                <w:spacing w:val="-2"/>
                <w:sz w:val="22"/>
                <w:szCs w:val="22"/>
                <w:highlight w:val="none"/>
              </w:rPr>
            </w:pPr>
          </w:p>
        </w:tc>
      </w:tr>
      <w:tr w14:paraId="5CBA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8" w:type="dxa"/>
            <w:shd w:val="clear" w:color="auto" w:fill="auto"/>
            <w:vAlign w:val="center"/>
          </w:tcPr>
          <w:p w14:paraId="44559B12">
            <w:pPr>
              <w:spacing w:line="480" w:lineRule="exact"/>
              <w:jc w:val="center"/>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rPr>
              <w:t>4</w:t>
            </w:r>
          </w:p>
        </w:tc>
        <w:tc>
          <w:tcPr>
            <w:tcW w:w="6755" w:type="dxa"/>
            <w:vAlign w:val="center"/>
          </w:tcPr>
          <w:p w14:paraId="3C4CD895">
            <w:pPr>
              <w:spacing w:line="480" w:lineRule="exact"/>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lang w:val="en-US" w:eastAsia="zh-CN"/>
              </w:rPr>
              <w:t>投标文件的分项报价中设备、数量满足招标文件要求。</w:t>
            </w:r>
          </w:p>
        </w:tc>
        <w:tc>
          <w:tcPr>
            <w:tcW w:w="1637" w:type="dxa"/>
            <w:vAlign w:val="center"/>
          </w:tcPr>
          <w:p w14:paraId="1807FA52">
            <w:pPr>
              <w:spacing w:line="480" w:lineRule="exact"/>
              <w:rPr>
                <w:rFonts w:ascii="微软雅黑" w:hAnsi="微软雅黑" w:eastAsia="微软雅黑" w:cs="微软雅黑"/>
                <w:color w:val="auto"/>
                <w:spacing w:val="-2"/>
                <w:sz w:val="22"/>
                <w:szCs w:val="22"/>
                <w:highlight w:val="none"/>
              </w:rPr>
            </w:pPr>
          </w:p>
        </w:tc>
      </w:tr>
      <w:tr w14:paraId="519C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8" w:type="dxa"/>
            <w:shd w:val="clear" w:color="auto" w:fill="auto"/>
            <w:vAlign w:val="center"/>
          </w:tcPr>
          <w:p w14:paraId="2E2BF7BB">
            <w:pPr>
              <w:spacing w:line="4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w:t>
            </w:r>
          </w:p>
        </w:tc>
        <w:tc>
          <w:tcPr>
            <w:tcW w:w="6755" w:type="dxa"/>
            <w:vAlign w:val="center"/>
          </w:tcPr>
          <w:p w14:paraId="390454C5">
            <w:pPr>
              <w:spacing w:line="480" w:lineRule="exact"/>
              <w:jc w:val="left"/>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投标文件中货物分项报价表满足招标文件要求，有明确的货物名称、规格和型号、数量、单位、品牌、原产地、生产厂家名称、单价、总价。</w:t>
            </w:r>
          </w:p>
        </w:tc>
        <w:tc>
          <w:tcPr>
            <w:tcW w:w="1637" w:type="dxa"/>
            <w:vAlign w:val="center"/>
          </w:tcPr>
          <w:p w14:paraId="2F59938E">
            <w:pPr>
              <w:spacing w:line="480" w:lineRule="exact"/>
              <w:rPr>
                <w:rFonts w:ascii="微软雅黑" w:hAnsi="微软雅黑" w:eastAsia="微软雅黑" w:cs="微软雅黑"/>
                <w:color w:val="auto"/>
                <w:spacing w:val="-2"/>
                <w:sz w:val="22"/>
                <w:szCs w:val="22"/>
                <w:highlight w:val="none"/>
              </w:rPr>
            </w:pPr>
          </w:p>
        </w:tc>
      </w:tr>
      <w:tr w14:paraId="24A9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48" w:type="dxa"/>
            <w:shd w:val="clear" w:color="auto" w:fill="auto"/>
            <w:vAlign w:val="center"/>
          </w:tcPr>
          <w:p w14:paraId="02ADB8C6">
            <w:pPr>
              <w:spacing w:line="480" w:lineRule="exact"/>
              <w:jc w:val="center"/>
              <w:rPr>
                <w:rFonts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rPr>
              <w:t>6</w:t>
            </w:r>
          </w:p>
        </w:tc>
        <w:tc>
          <w:tcPr>
            <w:tcW w:w="6755" w:type="dxa"/>
            <w:vAlign w:val="center"/>
          </w:tcPr>
          <w:p w14:paraId="65799C1E">
            <w:pPr>
              <w:spacing w:line="480" w:lineRule="exact"/>
              <w:jc w:val="left"/>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按招标文件规定的格式填写，内容齐全</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7136771B">
            <w:pPr>
              <w:spacing w:line="480" w:lineRule="exact"/>
              <w:rPr>
                <w:rFonts w:ascii="微软雅黑" w:hAnsi="微软雅黑" w:eastAsia="微软雅黑" w:cs="微软雅黑"/>
                <w:color w:val="auto"/>
                <w:spacing w:val="-2"/>
                <w:sz w:val="22"/>
                <w:szCs w:val="22"/>
                <w:highlight w:val="none"/>
              </w:rPr>
            </w:pPr>
          </w:p>
        </w:tc>
      </w:tr>
      <w:tr w14:paraId="32AC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8" w:type="dxa"/>
            <w:shd w:val="clear" w:color="auto" w:fill="auto"/>
            <w:vAlign w:val="center"/>
          </w:tcPr>
          <w:p w14:paraId="34AD3DF8">
            <w:pPr>
              <w:spacing w:line="480" w:lineRule="exact"/>
              <w:jc w:val="center"/>
              <w:rPr>
                <w:rFonts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rPr>
              <w:t>7</w:t>
            </w:r>
          </w:p>
        </w:tc>
        <w:tc>
          <w:tcPr>
            <w:tcW w:w="6755" w:type="dxa"/>
            <w:vAlign w:val="center"/>
          </w:tcPr>
          <w:p w14:paraId="790EBB76">
            <w:pPr>
              <w:spacing w:line="480" w:lineRule="exact"/>
              <w:jc w:val="left"/>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没有采购人不能接受的附加条件的</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00E4568C">
            <w:pPr>
              <w:spacing w:line="480" w:lineRule="exact"/>
              <w:rPr>
                <w:rFonts w:ascii="微软雅黑" w:hAnsi="微软雅黑" w:eastAsia="微软雅黑" w:cs="微软雅黑"/>
                <w:color w:val="auto"/>
                <w:spacing w:val="-2"/>
                <w:sz w:val="22"/>
                <w:szCs w:val="22"/>
                <w:highlight w:val="none"/>
              </w:rPr>
            </w:pPr>
          </w:p>
        </w:tc>
      </w:tr>
      <w:tr w14:paraId="4AE8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shd w:val="clear" w:color="auto" w:fill="auto"/>
            <w:vAlign w:val="center"/>
          </w:tcPr>
          <w:p w14:paraId="55C732C4">
            <w:pPr>
              <w:spacing w:line="480" w:lineRule="exact"/>
              <w:jc w:val="center"/>
              <w:rPr>
                <w:rFonts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z w:val="22"/>
                <w:szCs w:val="22"/>
                <w:highlight w:val="none"/>
              </w:rPr>
              <w:t>8</w:t>
            </w:r>
          </w:p>
        </w:tc>
        <w:tc>
          <w:tcPr>
            <w:tcW w:w="6755" w:type="dxa"/>
            <w:vAlign w:val="center"/>
          </w:tcPr>
          <w:p w14:paraId="1BF491F4">
            <w:pPr>
              <w:spacing w:line="480" w:lineRule="exact"/>
              <w:jc w:val="left"/>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b/>
                <w:bCs/>
                <w:color w:val="auto"/>
                <w:spacing w:val="-2"/>
                <w:sz w:val="22"/>
                <w:szCs w:val="22"/>
                <w:highlight w:val="none"/>
              </w:rPr>
              <w:t>符合招标文件中规定的其他实质性要求</w:t>
            </w:r>
            <w:r>
              <w:rPr>
                <w:rFonts w:hint="eastAsia" w:ascii="微软雅黑" w:hAnsi="微软雅黑" w:eastAsia="微软雅黑" w:cs="微软雅黑"/>
                <w:b/>
                <w:bCs/>
                <w:color w:val="auto"/>
                <w:spacing w:val="-2"/>
                <w:sz w:val="22"/>
                <w:szCs w:val="22"/>
                <w:highlight w:val="none"/>
                <w:lang w:eastAsia="zh-CN"/>
              </w:rPr>
              <w:t>（投标保证金、投标有效期、交货期、质保期、承诺函、人员要求等）。</w:t>
            </w:r>
          </w:p>
        </w:tc>
        <w:tc>
          <w:tcPr>
            <w:tcW w:w="1637" w:type="dxa"/>
            <w:vAlign w:val="center"/>
          </w:tcPr>
          <w:p w14:paraId="690F0BEF">
            <w:pPr>
              <w:spacing w:line="480" w:lineRule="exact"/>
              <w:rPr>
                <w:rFonts w:ascii="微软雅黑" w:hAnsi="微软雅黑" w:eastAsia="微软雅黑" w:cs="微软雅黑"/>
                <w:color w:val="auto"/>
                <w:spacing w:val="-2"/>
                <w:sz w:val="22"/>
                <w:szCs w:val="22"/>
                <w:highlight w:val="none"/>
              </w:rPr>
            </w:pPr>
          </w:p>
        </w:tc>
      </w:tr>
      <w:tr w14:paraId="1348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shd w:val="clear" w:color="auto" w:fill="auto"/>
            <w:vAlign w:val="center"/>
          </w:tcPr>
          <w:p w14:paraId="23CC384D">
            <w:pPr>
              <w:spacing w:line="480" w:lineRule="exact"/>
              <w:jc w:val="center"/>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val="en-US" w:eastAsia="zh-CN"/>
              </w:rPr>
              <w:t>9</w:t>
            </w:r>
          </w:p>
        </w:tc>
        <w:tc>
          <w:tcPr>
            <w:tcW w:w="6755" w:type="dxa"/>
            <w:vAlign w:val="center"/>
          </w:tcPr>
          <w:p w14:paraId="1F3B5A3D">
            <w:pPr>
              <w:spacing w:line="480" w:lineRule="exact"/>
              <w:jc w:val="left"/>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不同供应商的投标文件没有错漏一致的情况</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4C173112">
            <w:pPr>
              <w:spacing w:line="480" w:lineRule="exact"/>
              <w:rPr>
                <w:rFonts w:ascii="微软雅黑" w:hAnsi="微软雅黑" w:eastAsia="微软雅黑" w:cs="微软雅黑"/>
                <w:color w:val="auto"/>
                <w:spacing w:val="-2"/>
                <w:sz w:val="22"/>
                <w:szCs w:val="22"/>
                <w:highlight w:val="none"/>
              </w:rPr>
            </w:pPr>
          </w:p>
        </w:tc>
      </w:tr>
      <w:tr w14:paraId="7C54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8" w:type="dxa"/>
            <w:vAlign w:val="center"/>
          </w:tcPr>
          <w:p w14:paraId="3C8EEA2A">
            <w:pPr>
              <w:spacing w:line="480" w:lineRule="exact"/>
              <w:jc w:val="center"/>
              <w:rPr>
                <w:rFonts w:hint="default"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10</w:t>
            </w:r>
          </w:p>
        </w:tc>
        <w:tc>
          <w:tcPr>
            <w:tcW w:w="6755" w:type="dxa"/>
            <w:vAlign w:val="center"/>
          </w:tcPr>
          <w:p w14:paraId="0C193FBA">
            <w:pPr>
              <w:spacing w:line="480" w:lineRule="exact"/>
              <w:jc w:val="left"/>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供应商附有详细地址、联系人、电话标明的</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12F9B557">
            <w:pPr>
              <w:spacing w:line="480" w:lineRule="exact"/>
              <w:rPr>
                <w:rFonts w:ascii="微软雅黑" w:hAnsi="微软雅黑" w:eastAsia="微软雅黑" w:cs="微软雅黑"/>
                <w:color w:val="auto"/>
                <w:spacing w:val="-2"/>
                <w:sz w:val="22"/>
                <w:szCs w:val="22"/>
                <w:highlight w:val="none"/>
              </w:rPr>
            </w:pPr>
          </w:p>
        </w:tc>
      </w:tr>
      <w:tr w14:paraId="3E74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14:paraId="6DD13369">
            <w:pPr>
              <w:spacing w:line="480" w:lineRule="exact"/>
              <w:ind w:firstLine="388" w:firstLineChars="180"/>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结论：</w:t>
            </w:r>
          </w:p>
        </w:tc>
        <w:tc>
          <w:tcPr>
            <w:tcW w:w="1637" w:type="dxa"/>
            <w:vAlign w:val="center"/>
          </w:tcPr>
          <w:p w14:paraId="769A5F26">
            <w:pPr>
              <w:spacing w:line="480" w:lineRule="exact"/>
              <w:ind w:firstLine="388" w:firstLineChars="180"/>
              <w:rPr>
                <w:rFonts w:ascii="微软雅黑" w:hAnsi="微软雅黑" w:eastAsia="微软雅黑" w:cs="微软雅黑"/>
                <w:color w:val="auto"/>
                <w:spacing w:val="-2"/>
                <w:sz w:val="22"/>
                <w:szCs w:val="22"/>
                <w:highlight w:val="none"/>
              </w:rPr>
            </w:pPr>
          </w:p>
        </w:tc>
      </w:tr>
    </w:tbl>
    <w:p w14:paraId="58C45F1E">
      <w:pPr>
        <w:spacing w:line="480" w:lineRule="exact"/>
        <w:rPr>
          <w:rFonts w:ascii="微软雅黑" w:hAnsi="微软雅黑" w:eastAsia="微软雅黑" w:cs="微软雅黑"/>
          <w:color w:val="auto"/>
          <w:highlight w:val="none"/>
        </w:rPr>
      </w:pPr>
    </w:p>
    <w:p w14:paraId="0EF5F6F0">
      <w:pPr>
        <w:spacing w:line="480" w:lineRule="exact"/>
        <w:ind w:left="6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说明：</w:t>
      </w:r>
    </w:p>
    <w:p w14:paraId="3F0C9BE7">
      <w:pPr>
        <w:spacing w:line="480" w:lineRule="exact"/>
        <w:ind w:left="6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（1）上述各项中用“合格”表示通过，“不合格”表示不通过；</w:t>
      </w:r>
    </w:p>
    <w:p w14:paraId="3919DC56">
      <w:pPr>
        <w:spacing w:line="480" w:lineRule="exact"/>
        <w:ind w:left="689" w:leftChars="28" w:hanging="630" w:hangingChars="3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（2）上述各项中如有一项为“不合格”，则结论为“不通过”，表示该投标文件中存在重大偏差，不能通过初步评审；评委对某一分项评审认为不合格时，</w:t>
      </w:r>
      <w:r>
        <w:rPr>
          <w:rFonts w:hint="eastAsia" w:ascii="微软雅黑" w:hAnsi="微软雅黑" w:eastAsia="微软雅黑" w:cs="微软雅黑"/>
          <w:color w:val="auto"/>
          <w:highlight w:val="none"/>
          <w:lang w:eastAsia="zh-CN"/>
        </w:rPr>
        <w:t>必须</w:t>
      </w:r>
      <w:r>
        <w:rPr>
          <w:rFonts w:hint="eastAsia" w:ascii="微软雅黑" w:hAnsi="微软雅黑" w:eastAsia="微软雅黑" w:cs="微软雅黑"/>
          <w:color w:val="auto"/>
          <w:highlight w:val="none"/>
        </w:rPr>
        <w:t>写明原因。</w:t>
      </w:r>
    </w:p>
    <w:p w14:paraId="4454D194">
      <w:pPr>
        <w:pStyle w:val="4"/>
        <w:spacing w:line="480" w:lineRule="exact"/>
        <w:ind w:firstLine="0"/>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（3）投标文件最终合格与否，以所有评委的评审意见中少数服从多数为原则定论。</w:t>
      </w:r>
    </w:p>
    <w:p w14:paraId="19320AC8">
      <w:pPr>
        <w:spacing w:line="480" w:lineRule="exact"/>
        <w:rPr>
          <w:color w:val="auto"/>
          <w:highlight w:val="none"/>
        </w:rPr>
      </w:pPr>
      <w:r>
        <w:rPr>
          <w:rFonts w:hint="eastAsia" w:ascii="微软雅黑" w:hAnsi="微软雅黑" w:eastAsia="微软雅黑" w:cs="微软雅黑"/>
          <w:b/>
          <w:bCs/>
          <w:color w:val="auto"/>
          <w:highlight w:val="none"/>
        </w:rPr>
        <w:t>未通过符合性审查的供应商不进入评标；通过符合性审查的供应商少于不足三家的，不得评标。</w:t>
      </w:r>
      <w:bookmarkStart w:id="833" w:name="_Toc507399904"/>
    </w:p>
    <w:p w14:paraId="0BF3483A">
      <w:pPr>
        <w:jc w:val="center"/>
        <w:outlineLvl w:val="1"/>
        <w:rPr>
          <w:rFonts w:hint="eastAsia" w:ascii="微软雅黑" w:hAnsi="微软雅黑" w:eastAsia="微软雅黑" w:cs="微软雅黑"/>
          <w:b/>
          <w:bCs/>
          <w:color w:val="auto"/>
          <w:kern w:val="0"/>
          <w:sz w:val="32"/>
          <w:szCs w:val="32"/>
          <w:highlight w:val="none"/>
        </w:rPr>
      </w:pPr>
      <w:bookmarkStart w:id="834" w:name="_Toc8567"/>
      <w:bookmarkStart w:id="835" w:name="_Toc15493"/>
      <w:bookmarkStart w:id="836" w:name="_Toc14846"/>
      <w:r>
        <w:rPr>
          <w:rFonts w:hint="eastAsia" w:ascii="微软雅黑" w:hAnsi="微软雅黑" w:eastAsia="微软雅黑" w:cs="微软雅黑"/>
          <w:b/>
          <w:bCs/>
          <w:color w:val="auto"/>
          <w:kern w:val="0"/>
          <w:sz w:val="32"/>
          <w:szCs w:val="32"/>
          <w:highlight w:val="none"/>
        </w:rPr>
        <w:t>综合评分法评分标准</w:t>
      </w:r>
      <w:bookmarkEnd w:id="834"/>
      <w:bookmarkEnd w:id="835"/>
      <w:bookmarkEnd w:id="836"/>
      <w:bookmarkStart w:id="837" w:name="_Toc14078"/>
      <w:bookmarkStart w:id="838" w:name="_Toc30135"/>
      <w:bookmarkStart w:id="839" w:name="_Toc21397"/>
      <w:bookmarkStart w:id="840" w:name="_Toc8709"/>
      <w:bookmarkStart w:id="841" w:name="_Toc21588"/>
      <w:bookmarkStart w:id="842" w:name="_Toc29605"/>
      <w:bookmarkStart w:id="843" w:name="_Toc997"/>
      <w:bookmarkStart w:id="844" w:name="_Toc5580"/>
      <w:bookmarkStart w:id="845" w:name="_Toc16427"/>
      <w:bookmarkStart w:id="846" w:name="_Toc14344"/>
      <w:bookmarkStart w:id="847" w:name="_Toc18037"/>
      <w:bookmarkStart w:id="848" w:name="_Toc11667"/>
      <w:bookmarkStart w:id="849" w:name="_Toc20854"/>
      <w:bookmarkStart w:id="850" w:name="_Toc2497"/>
      <w:bookmarkStart w:id="851" w:name="_Toc25236"/>
      <w:bookmarkStart w:id="852" w:name="_Toc27374"/>
      <w:bookmarkStart w:id="853" w:name="_Toc20321"/>
      <w:bookmarkStart w:id="854" w:name="_Toc10296"/>
      <w:bookmarkStart w:id="855" w:name="_Toc11428"/>
    </w:p>
    <w:tbl>
      <w:tblPr>
        <w:tblStyle w:val="30"/>
        <w:tblpPr w:leftFromText="180" w:rightFromText="180" w:vertAnchor="text" w:horzAnchor="page" w:tblpX="993" w:tblpY="893"/>
        <w:tblOverlap w:val="never"/>
        <w:tblW w:w="10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33"/>
        <w:gridCol w:w="600"/>
        <w:gridCol w:w="6405"/>
        <w:gridCol w:w="1287"/>
      </w:tblGrid>
      <w:tr w14:paraId="1666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46" w:type="dxa"/>
            <w:vAlign w:val="center"/>
          </w:tcPr>
          <w:p w14:paraId="22F99B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序号</w:t>
            </w:r>
          </w:p>
        </w:tc>
        <w:tc>
          <w:tcPr>
            <w:tcW w:w="1233" w:type="dxa"/>
            <w:vAlign w:val="center"/>
          </w:tcPr>
          <w:p w14:paraId="3BF427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评分因素</w:t>
            </w:r>
          </w:p>
          <w:p w14:paraId="4E1BA8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及权重</w:t>
            </w:r>
          </w:p>
        </w:tc>
        <w:tc>
          <w:tcPr>
            <w:tcW w:w="600" w:type="dxa"/>
            <w:vAlign w:val="center"/>
          </w:tcPr>
          <w:p w14:paraId="70018A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分值</w:t>
            </w:r>
          </w:p>
        </w:tc>
        <w:tc>
          <w:tcPr>
            <w:tcW w:w="6405" w:type="dxa"/>
            <w:vAlign w:val="center"/>
          </w:tcPr>
          <w:p w14:paraId="705412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评分标准</w:t>
            </w:r>
          </w:p>
          <w:p w14:paraId="19657C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价   格：</w:t>
            </w:r>
            <w:r>
              <w:rPr>
                <w:rFonts w:hint="eastAsia" w:ascii="微软雅黑" w:hAnsi="微软雅黑" w:eastAsia="微软雅黑" w:cs="微软雅黑"/>
                <w:b/>
                <w:bCs/>
                <w:color w:val="auto"/>
                <w:kern w:val="0"/>
                <w:sz w:val="24"/>
                <w:szCs w:val="24"/>
                <w:highlight w:val="none"/>
                <w:lang w:val="en-US" w:eastAsia="zh-CN"/>
              </w:rPr>
              <w:t>30</w:t>
            </w:r>
            <w:r>
              <w:rPr>
                <w:rFonts w:hint="eastAsia" w:ascii="微软雅黑" w:hAnsi="微软雅黑" w:eastAsia="微软雅黑" w:cs="微软雅黑"/>
                <w:b/>
                <w:bCs/>
                <w:color w:val="auto"/>
                <w:kern w:val="0"/>
                <w:sz w:val="24"/>
                <w:szCs w:val="24"/>
                <w:highlight w:val="none"/>
              </w:rPr>
              <w:t xml:space="preserve">分  </w:t>
            </w:r>
            <w:r>
              <w:rPr>
                <w:rFonts w:hint="eastAsia" w:ascii="微软雅黑" w:hAnsi="微软雅黑" w:eastAsia="微软雅黑" w:cs="微软雅黑"/>
                <w:b/>
                <w:bCs/>
                <w:color w:val="auto"/>
                <w:kern w:val="0"/>
                <w:sz w:val="24"/>
                <w:szCs w:val="24"/>
                <w:highlight w:val="none"/>
                <w:lang w:val="en-US" w:eastAsia="zh-CN"/>
              </w:rPr>
              <w:t xml:space="preserve">  </w:t>
            </w:r>
            <w:r>
              <w:rPr>
                <w:rFonts w:hint="eastAsia" w:ascii="微软雅黑" w:hAnsi="微软雅黑" w:eastAsia="微软雅黑" w:cs="微软雅黑"/>
                <w:b/>
                <w:bCs/>
                <w:color w:val="auto"/>
                <w:kern w:val="0"/>
                <w:sz w:val="24"/>
                <w:szCs w:val="24"/>
                <w:highlight w:val="none"/>
                <w:lang w:eastAsia="zh-CN"/>
              </w:rPr>
              <w:t>商务及技术：</w:t>
            </w:r>
            <w:r>
              <w:rPr>
                <w:rFonts w:hint="eastAsia" w:ascii="微软雅黑" w:hAnsi="微软雅黑" w:eastAsia="微软雅黑" w:cs="微软雅黑"/>
                <w:b/>
                <w:bCs/>
                <w:color w:val="auto"/>
                <w:kern w:val="0"/>
                <w:sz w:val="24"/>
                <w:szCs w:val="24"/>
                <w:highlight w:val="none"/>
                <w:lang w:val="en-US" w:eastAsia="zh-CN"/>
              </w:rPr>
              <w:t>70分</w:t>
            </w:r>
            <w:r>
              <w:rPr>
                <w:rFonts w:hint="eastAsia" w:ascii="微软雅黑" w:hAnsi="微软雅黑" w:eastAsia="微软雅黑" w:cs="微软雅黑"/>
                <w:b/>
                <w:bCs/>
                <w:color w:val="auto"/>
                <w:kern w:val="0"/>
                <w:sz w:val="24"/>
                <w:szCs w:val="24"/>
                <w:highlight w:val="none"/>
              </w:rPr>
              <w:t xml:space="preserve">              </w:t>
            </w:r>
          </w:p>
        </w:tc>
        <w:tc>
          <w:tcPr>
            <w:tcW w:w="1287" w:type="dxa"/>
            <w:vAlign w:val="center"/>
          </w:tcPr>
          <w:p w14:paraId="6ED2F09C">
            <w:pPr>
              <w:pStyle w:val="61"/>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说明</w:t>
            </w:r>
          </w:p>
        </w:tc>
      </w:tr>
      <w:tr w14:paraId="7AF3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46" w:type="dxa"/>
            <w:vAlign w:val="center"/>
          </w:tcPr>
          <w:p w14:paraId="2CC40B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价格评分标准</w:t>
            </w:r>
          </w:p>
        </w:tc>
        <w:tc>
          <w:tcPr>
            <w:tcW w:w="1233" w:type="dxa"/>
            <w:vAlign w:val="center"/>
          </w:tcPr>
          <w:p w14:paraId="75EC3F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投标报价</w:t>
            </w:r>
          </w:p>
        </w:tc>
        <w:tc>
          <w:tcPr>
            <w:tcW w:w="600" w:type="dxa"/>
            <w:vAlign w:val="center"/>
          </w:tcPr>
          <w:p w14:paraId="27EBC9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30</w:t>
            </w:r>
          </w:p>
        </w:tc>
        <w:tc>
          <w:tcPr>
            <w:tcW w:w="6405" w:type="dxa"/>
            <w:vAlign w:val="center"/>
          </w:tcPr>
          <w:p w14:paraId="33A5682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完全满足</w:t>
            </w:r>
            <w:r>
              <w:rPr>
                <w:rFonts w:hint="eastAsia" w:ascii="微软雅黑" w:hAnsi="微软雅黑" w:eastAsia="微软雅黑" w:cs="微软雅黑"/>
                <w:color w:val="auto"/>
                <w:kern w:val="0"/>
                <w:sz w:val="24"/>
                <w:szCs w:val="24"/>
                <w:highlight w:val="none"/>
                <w:lang w:eastAsia="zh-CN"/>
              </w:rPr>
              <w:t>招标文件</w:t>
            </w:r>
            <w:r>
              <w:rPr>
                <w:rFonts w:hint="eastAsia" w:ascii="微软雅黑" w:hAnsi="微软雅黑" w:eastAsia="微软雅黑" w:cs="微软雅黑"/>
                <w:color w:val="auto"/>
                <w:kern w:val="0"/>
                <w:sz w:val="24"/>
                <w:szCs w:val="24"/>
                <w:highlight w:val="none"/>
              </w:rPr>
              <w:t>参数的投标报价中的最低价为</w:t>
            </w:r>
            <w:r>
              <w:rPr>
                <w:rFonts w:hint="eastAsia" w:ascii="微软雅黑" w:hAnsi="微软雅黑" w:eastAsia="微软雅黑" w:cs="微软雅黑"/>
                <w:color w:val="auto"/>
                <w:kern w:val="0"/>
                <w:sz w:val="24"/>
                <w:szCs w:val="24"/>
                <w:highlight w:val="none"/>
                <w:lang w:eastAsia="zh-CN"/>
              </w:rPr>
              <w:t>评审</w:t>
            </w:r>
            <w:r>
              <w:rPr>
                <w:rFonts w:hint="eastAsia" w:ascii="微软雅黑" w:hAnsi="微软雅黑" w:eastAsia="微软雅黑" w:cs="微软雅黑"/>
                <w:color w:val="auto"/>
                <w:kern w:val="0"/>
                <w:sz w:val="24"/>
                <w:szCs w:val="24"/>
                <w:highlight w:val="none"/>
              </w:rPr>
              <w:t>基准价，按照下列公式计算每个</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的投标价格得分。投标报价得分＝（基准价/投标报价）×价格权重×100。</w:t>
            </w:r>
            <w:r>
              <w:rPr>
                <w:rFonts w:hint="eastAsia" w:ascii="微软雅黑" w:hAnsi="微软雅黑" w:eastAsia="微软雅黑" w:cs="微软雅黑"/>
                <w:b/>
                <w:bCs/>
                <w:color w:val="auto"/>
                <w:kern w:val="2"/>
                <w:sz w:val="24"/>
                <w:szCs w:val="24"/>
                <w:highlight w:val="none"/>
                <w:lang w:val="en-US" w:eastAsia="zh-CN" w:bidi="ar-SA"/>
              </w:rPr>
              <w:t>（注：本项目不属于专门面向中小企业项目，产品制造商为小型企业或微型企业的可享受价10%的价格扣除后参与评审。须根据招标文件中的法定格式提供中小企业声明函。）</w:t>
            </w:r>
          </w:p>
        </w:tc>
        <w:tc>
          <w:tcPr>
            <w:tcW w:w="1287" w:type="dxa"/>
            <w:vAlign w:val="center"/>
          </w:tcPr>
          <w:p w14:paraId="2D3193C8">
            <w:pPr>
              <w:keepNext w:val="0"/>
              <w:keepLines w:val="0"/>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投标报价超过采购预算价的按废标处理</w:t>
            </w:r>
          </w:p>
        </w:tc>
      </w:tr>
      <w:tr w14:paraId="2503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46" w:type="dxa"/>
            <w:vAlign w:val="center"/>
          </w:tcPr>
          <w:p w14:paraId="6AD3C9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kern w:val="0"/>
                <w:sz w:val="24"/>
                <w:szCs w:val="24"/>
                <w:highlight w:val="none"/>
              </w:rPr>
            </w:pPr>
          </w:p>
          <w:p w14:paraId="613C73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lang w:eastAsia="zh-CN"/>
              </w:rPr>
              <w:t>商务评分</w:t>
            </w:r>
            <w:r>
              <w:rPr>
                <w:rFonts w:hint="eastAsia" w:ascii="微软雅黑" w:hAnsi="微软雅黑" w:eastAsia="微软雅黑" w:cs="微软雅黑"/>
                <w:b/>
                <w:bCs/>
                <w:color w:val="auto"/>
                <w:kern w:val="0"/>
                <w:sz w:val="24"/>
                <w:szCs w:val="24"/>
                <w:highlight w:val="none"/>
              </w:rPr>
              <w:t>标准</w:t>
            </w:r>
          </w:p>
        </w:tc>
        <w:tc>
          <w:tcPr>
            <w:tcW w:w="1233" w:type="dxa"/>
            <w:vAlign w:val="center"/>
          </w:tcPr>
          <w:p w14:paraId="7A6974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类似业绩</w:t>
            </w:r>
          </w:p>
        </w:tc>
        <w:tc>
          <w:tcPr>
            <w:tcW w:w="600" w:type="dxa"/>
            <w:vAlign w:val="center"/>
          </w:tcPr>
          <w:p w14:paraId="66F4A1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w:t>
            </w:r>
          </w:p>
        </w:tc>
        <w:tc>
          <w:tcPr>
            <w:tcW w:w="6405" w:type="dxa"/>
            <w:shd w:val="clear" w:color="auto" w:fill="auto"/>
            <w:vAlign w:val="center"/>
          </w:tcPr>
          <w:p w14:paraId="668A26E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投标单位：</w:t>
            </w:r>
          </w:p>
          <w:p w14:paraId="73130D0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提供（2023年5月1日至投标截止之日，以合同签订日期为准）所投产品的业绩证明材料，每提供1个业绩得1分，本项最高可得3分，未提供或提供的证明材料不全、材料内容不清晰导致专家无法判断的均不计入得分。</w:t>
            </w:r>
          </w:p>
          <w:p w14:paraId="371B220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注：证明材料包括：中标（成交）通知书和项目合同（合同包括但不限于合同首页、合同相关信息页、双方签章页）。</w:t>
            </w:r>
          </w:p>
        </w:tc>
        <w:tc>
          <w:tcPr>
            <w:tcW w:w="1287" w:type="dxa"/>
            <w:vAlign w:val="center"/>
          </w:tcPr>
          <w:p w14:paraId="2934D8D8">
            <w:pPr>
              <w:keepNext w:val="0"/>
              <w:keepLines w:val="0"/>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4"/>
                <w:szCs w:val="24"/>
                <w:highlight w:val="none"/>
              </w:rPr>
            </w:pPr>
          </w:p>
        </w:tc>
      </w:tr>
      <w:tr w14:paraId="05B9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46" w:type="dxa"/>
            <w:vMerge w:val="restart"/>
            <w:vAlign w:val="center"/>
          </w:tcPr>
          <w:p w14:paraId="5D6CEC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kern w:val="0"/>
                <w:sz w:val="24"/>
                <w:szCs w:val="24"/>
                <w:highlight w:val="none"/>
                <w:lang w:eastAsia="zh-CN"/>
              </w:rPr>
            </w:pPr>
            <w:r>
              <w:rPr>
                <w:rFonts w:hint="eastAsia" w:ascii="微软雅黑" w:hAnsi="微软雅黑" w:eastAsia="微软雅黑" w:cs="微软雅黑"/>
                <w:b/>
                <w:bCs/>
                <w:color w:val="auto"/>
                <w:kern w:val="0"/>
                <w:sz w:val="24"/>
                <w:szCs w:val="24"/>
                <w:highlight w:val="none"/>
                <w:lang w:eastAsia="zh-CN"/>
              </w:rPr>
              <w:t>技术评分标准</w:t>
            </w:r>
          </w:p>
        </w:tc>
        <w:tc>
          <w:tcPr>
            <w:tcW w:w="1233" w:type="dxa"/>
            <w:vAlign w:val="center"/>
          </w:tcPr>
          <w:p w14:paraId="34C4862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rPr>
              <w:t>配置与性能指标</w:t>
            </w:r>
          </w:p>
        </w:tc>
        <w:tc>
          <w:tcPr>
            <w:tcW w:w="600" w:type="dxa"/>
            <w:vAlign w:val="center"/>
          </w:tcPr>
          <w:p w14:paraId="675875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43</w:t>
            </w:r>
          </w:p>
        </w:tc>
        <w:tc>
          <w:tcPr>
            <w:tcW w:w="6405" w:type="dxa"/>
            <w:shd w:val="clear" w:color="auto" w:fill="auto"/>
            <w:vAlign w:val="center"/>
          </w:tcPr>
          <w:p w14:paraId="0960C6F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default"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以招标文件的技术参数要求为基准，提供详细技术偏离表及参数证明文件（即技术支持资料）。评审专家根据供应商所投产品的性能指标响应程度打分，完全满足招标要求的得43分，▲号条款每有一项负偏离扣3分、普通条款每有一项负偏离扣1分；扣完为止（逐条响应，标注页码，点对点对应。</w:t>
            </w:r>
          </w:p>
          <w:p w14:paraId="6205E2D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 xml:space="preserve">注： </w:t>
            </w:r>
          </w:p>
          <w:p w14:paraId="6026ADD3">
            <w:pPr>
              <w:keepNext w:val="0"/>
              <w:keepLines w:val="0"/>
              <w:pageBreakBefore w:val="0"/>
              <w:widowControl w:val="0"/>
              <w:numPr>
                <w:ilvl w:val="0"/>
                <w:numId w:val="11"/>
              </w:numPr>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供应商需对所投设备提供参数证明文件，技术参数中有要求提供相应证明文件的按技术参数要求提供，技术参数中未要求的须提供</w:t>
            </w:r>
            <w:r>
              <w:rPr>
                <w:rFonts w:hint="eastAsia" w:ascii="微软雅黑" w:hAnsi="微软雅黑" w:eastAsia="微软雅黑" w:cs="微软雅黑"/>
                <w:color w:val="auto"/>
                <w:sz w:val="24"/>
                <w:szCs w:val="24"/>
                <w:highlight w:val="none"/>
              </w:rPr>
              <w:t>生产厂家公开发布的印刷资料</w:t>
            </w:r>
            <w:r>
              <w:rPr>
                <w:rFonts w:hint="eastAsia" w:ascii="微软雅黑" w:hAnsi="微软雅黑" w:eastAsia="微软雅黑" w:cs="微软雅黑"/>
                <w:color w:val="auto"/>
                <w:sz w:val="24"/>
                <w:szCs w:val="24"/>
                <w:highlight w:val="none"/>
                <w:lang w:eastAsia="zh-CN"/>
              </w:rPr>
              <w:t>或技术白皮书</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val="en-US" w:eastAsia="zh-CN"/>
              </w:rPr>
              <w:t>官方授权第三方机构出具的检测报告作为技术参数的印证资料；（上述支持资料有不一致的情况出现，以第三方出具的检测报告为准；</w:t>
            </w:r>
          </w:p>
          <w:p w14:paraId="4037FF99">
            <w:pPr>
              <w:keepNext w:val="0"/>
              <w:keepLines w:val="0"/>
              <w:pageBreakBefore w:val="0"/>
              <w:widowControl w:val="0"/>
              <w:numPr>
                <w:ilvl w:val="0"/>
                <w:numId w:val="11"/>
              </w:numPr>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证明文件为生产厂商提供的，原件扫描件附在投标文件中；证明文件为</w:t>
            </w:r>
            <w:r>
              <w:rPr>
                <w:rFonts w:hint="eastAsia" w:ascii="微软雅黑" w:hAnsi="微软雅黑" w:eastAsia="微软雅黑" w:cs="微软雅黑"/>
                <w:color w:val="auto"/>
                <w:sz w:val="24"/>
                <w:szCs w:val="24"/>
                <w:highlight w:val="none"/>
                <w:lang w:val="en-US" w:eastAsia="zh-CN"/>
              </w:rPr>
              <w:t>官方或官方授权</w:t>
            </w:r>
            <w:r>
              <w:rPr>
                <w:rFonts w:hint="eastAsia" w:ascii="微软雅黑" w:hAnsi="微软雅黑" w:eastAsia="微软雅黑" w:cs="微软雅黑"/>
                <w:color w:val="auto"/>
                <w:kern w:val="0"/>
                <w:sz w:val="24"/>
                <w:szCs w:val="24"/>
                <w:highlight w:val="none"/>
                <w:lang w:val="en-US" w:eastAsia="zh-CN" w:bidi="ar"/>
              </w:rPr>
              <w:t xml:space="preserve">第三方检测机构提供的需提供原件扫描件及查询渠道；证明文件为网络查询的，需提供截图及查询路径。 </w:t>
            </w:r>
          </w:p>
          <w:p w14:paraId="7EE829B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3.</w:t>
            </w:r>
            <w:r>
              <w:rPr>
                <w:rFonts w:ascii="微软雅黑" w:hAnsi="微软雅黑" w:eastAsia="微软雅黑" w:cs="微软雅黑"/>
                <w:color w:val="auto"/>
                <w:spacing w:val="-3"/>
                <w:sz w:val="22"/>
                <w:szCs w:val="22"/>
              </w:rPr>
              <w:t>若</w:t>
            </w:r>
            <w:r>
              <w:rPr>
                <w:rFonts w:ascii="微软雅黑" w:hAnsi="微软雅黑" w:eastAsia="微软雅黑" w:cs="微软雅黑"/>
                <w:color w:val="auto"/>
                <w:spacing w:val="-4"/>
                <w:sz w:val="22"/>
                <w:szCs w:val="22"/>
              </w:rPr>
              <w:t>证明文件</w:t>
            </w:r>
            <w:r>
              <w:rPr>
                <w:rFonts w:hint="eastAsia" w:ascii="微软雅黑" w:hAnsi="微软雅黑" w:eastAsia="微软雅黑" w:cs="微软雅黑"/>
                <w:color w:val="auto"/>
                <w:spacing w:val="-4"/>
                <w:sz w:val="22"/>
                <w:szCs w:val="22"/>
                <w:lang w:eastAsia="zh-CN"/>
              </w:rPr>
              <w:t>中</w:t>
            </w:r>
            <w:r>
              <w:rPr>
                <w:rFonts w:ascii="微软雅黑" w:hAnsi="微软雅黑" w:eastAsia="微软雅黑" w:cs="微软雅黑"/>
                <w:color w:val="auto"/>
                <w:spacing w:val="-4"/>
                <w:sz w:val="22"/>
                <w:szCs w:val="22"/>
              </w:rPr>
              <w:t>无法证明参数真实有效</w:t>
            </w:r>
            <w:r>
              <w:rPr>
                <w:rFonts w:hint="eastAsia" w:ascii="微软雅黑" w:hAnsi="微软雅黑" w:eastAsia="微软雅黑" w:cs="微软雅黑"/>
                <w:color w:val="auto"/>
                <w:spacing w:val="-4"/>
                <w:sz w:val="22"/>
                <w:szCs w:val="22"/>
                <w:lang w:eastAsia="zh-CN"/>
              </w:rPr>
              <w:t>的，该条技术参数按负偏离处理。</w:t>
            </w:r>
          </w:p>
        </w:tc>
        <w:tc>
          <w:tcPr>
            <w:tcW w:w="1287" w:type="dxa"/>
            <w:vMerge w:val="restart"/>
            <w:vAlign w:val="center"/>
          </w:tcPr>
          <w:p w14:paraId="44D9C67C">
            <w:pPr>
              <w:keepNext w:val="0"/>
              <w:keepLines w:val="0"/>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4"/>
                <w:szCs w:val="24"/>
                <w:highlight w:val="none"/>
              </w:rPr>
            </w:pPr>
          </w:p>
        </w:tc>
      </w:tr>
      <w:tr w14:paraId="0247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46" w:type="dxa"/>
            <w:vMerge w:val="continue"/>
            <w:vAlign w:val="center"/>
          </w:tcPr>
          <w:p w14:paraId="269065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kern w:val="0"/>
                <w:sz w:val="24"/>
                <w:szCs w:val="24"/>
                <w:highlight w:val="none"/>
                <w:lang w:eastAsia="zh-CN"/>
              </w:rPr>
            </w:pPr>
          </w:p>
        </w:tc>
        <w:tc>
          <w:tcPr>
            <w:tcW w:w="1233" w:type="dxa"/>
            <w:vAlign w:val="center"/>
          </w:tcPr>
          <w:p w14:paraId="47C0525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质保期</w:t>
            </w:r>
          </w:p>
        </w:tc>
        <w:tc>
          <w:tcPr>
            <w:tcW w:w="600" w:type="dxa"/>
            <w:vAlign w:val="center"/>
          </w:tcPr>
          <w:p w14:paraId="3D87C2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2</w:t>
            </w:r>
          </w:p>
        </w:tc>
        <w:tc>
          <w:tcPr>
            <w:tcW w:w="6405" w:type="dxa"/>
            <w:shd w:val="clear" w:color="auto" w:fill="auto"/>
            <w:vAlign w:val="center"/>
          </w:tcPr>
          <w:p w14:paraId="6FBCD62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default"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整机质保每延长1年得1分，最高得2分。</w:t>
            </w:r>
          </w:p>
        </w:tc>
        <w:tc>
          <w:tcPr>
            <w:tcW w:w="1287" w:type="dxa"/>
            <w:vMerge w:val="continue"/>
            <w:vAlign w:val="center"/>
          </w:tcPr>
          <w:p w14:paraId="04B18531">
            <w:pPr>
              <w:keepNext w:val="0"/>
              <w:keepLines w:val="0"/>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4"/>
                <w:szCs w:val="24"/>
                <w:highlight w:val="none"/>
              </w:rPr>
            </w:pPr>
          </w:p>
        </w:tc>
      </w:tr>
      <w:tr w14:paraId="0FC0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14:paraId="000182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kern w:val="0"/>
                <w:sz w:val="24"/>
                <w:szCs w:val="24"/>
                <w:highlight w:val="none"/>
              </w:rPr>
            </w:pPr>
          </w:p>
        </w:tc>
        <w:tc>
          <w:tcPr>
            <w:tcW w:w="1233" w:type="dxa"/>
            <w:vAlign w:val="center"/>
          </w:tcPr>
          <w:p w14:paraId="632CED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eastAsia="zh-CN"/>
              </w:rPr>
              <w:t>实施方案</w:t>
            </w:r>
          </w:p>
        </w:tc>
        <w:tc>
          <w:tcPr>
            <w:tcW w:w="600" w:type="dxa"/>
            <w:vAlign w:val="center"/>
          </w:tcPr>
          <w:p w14:paraId="2C3AC1A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w:t>
            </w:r>
          </w:p>
        </w:tc>
        <w:tc>
          <w:tcPr>
            <w:tcW w:w="6405" w:type="dxa"/>
            <w:vAlign w:val="center"/>
          </w:tcPr>
          <w:p w14:paraId="03AB15F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供应商需根据采购需求提供适用于本项目实施的项目实施方案，方案内容包括但不限于①详细进度安排表（项目对接时间、合同签订时间、设备到位时间、安装技术人员到位时间、设备安装时间、调试时间以及设备组织验收等）；②人员安排表、③设备质量保证措施（出厂、运输、安装）、④项目实施安全措施、⑤各种突发事件（货源不足、运输损坏、安装损坏、设备故障等）项目实施方案。</w:t>
            </w:r>
          </w:p>
          <w:p w14:paraId="3360C2F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供应商提供上述5项方案内容且5项方案内容均无缺陷的得5分，其中缺少1项方案内容扣1分，每项方案内容中存在1处缺陷扣0.5分（每项方案内容最多可扣2分），扣完为止。</w:t>
            </w:r>
          </w:p>
          <w:p w14:paraId="2366A57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注：上述评分细则中“缺陷”是指：</w:t>
            </w:r>
            <w:r>
              <w:rPr>
                <w:rFonts w:hint="eastAsia" w:ascii="微软雅黑" w:hAnsi="微软雅黑" w:eastAsia="微软雅黑" w:cs="微软雅黑"/>
                <w:b/>
                <w:bCs/>
                <w:color w:val="auto"/>
                <w:kern w:val="0"/>
                <w:sz w:val="24"/>
                <w:szCs w:val="24"/>
                <w:highlight w:val="none"/>
                <w:cs w:val="0"/>
                <w:lang w:val="en-US" w:eastAsia="zh-CN" w:bidi="ar"/>
              </w:rPr>
              <w:t>①该项内容描述前后矛盾，前后逻辑错误；②该项内容所阐述的内容与本项目实际信息不一致，如项目名称错误、实施地点不符、服务内容偏离等；③该项内容引用的规定、规范错误；④该项内容描述不符合国家相关法律法规、政策文件、规范标准要求；⑤其他：单项方案内容中小项内容缺失或漏项的。</w:t>
            </w:r>
          </w:p>
        </w:tc>
        <w:tc>
          <w:tcPr>
            <w:tcW w:w="1287" w:type="dxa"/>
            <w:vMerge w:val="continue"/>
            <w:vAlign w:val="center"/>
          </w:tcPr>
          <w:p w14:paraId="5FCEC28F">
            <w:pPr>
              <w:keepNext w:val="0"/>
              <w:keepLines w:val="0"/>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4"/>
                <w:szCs w:val="24"/>
                <w:highlight w:val="none"/>
              </w:rPr>
            </w:pPr>
          </w:p>
        </w:tc>
      </w:tr>
      <w:tr w14:paraId="4069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46" w:type="dxa"/>
            <w:vMerge w:val="continue"/>
            <w:vAlign w:val="center"/>
          </w:tcPr>
          <w:p w14:paraId="3AE693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kern w:val="0"/>
                <w:sz w:val="24"/>
                <w:szCs w:val="24"/>
                <w:highlight w:val="none"/>
              </w:rPr>
            </w:pPr>
          </w:p>
        </w:tc>
        <w:tc>
          <w:tcPr>
            <w:tcW w:w="1233" w:type="dxa"/>
            <w:vAlign w:val="center"/>
          </w:tcPr>
          <w:p w14:paraId="68BDED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培训方案</w:t>
            </w:r>
          </w:p>
        </w:tc>
        <w:tc>
          <w:tcPr>
            <w:tcW w:w="600" w:type="dxa"/>
            <w:vAlign w:val="center"/>
          </w:tcPr>
          <w:p w14:paraId="7FCF6E4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6</w:t>
            </w:r>
          </w:p>
        </w:tc>
        <w:tc>
          <w:tcPr>
            <w:tcW w:w="6405" w:type="dxa"/>
            <w:vAlign w:val="center"/>
          </w:tcPr>
          <w:p w14:paraId="44F83BD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提供所投设备的相关技术培训，培训内容涉及产品基本原理、安装、调试、操作使用和保养维修等有关内容。根据培训内容提供相对应的技术培训方案，方案内容包括但不限于①培训内容，②培训方式，③培训时间安排，④培训的专业技术人员安排，⑤培训次数，⑥预期达到的培训效果。</w:t>
            </w:r>
          </w:p>
          <w:p w14:paraId="415FA78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供应商提供上述6项方案内容且6项方案内容均无缺陷的得6分，其中缺少1项方案内容扣1分，每项方案内容中存在1处缺陷扣0.5分（每项方案内容最多可扣1分），扣完为止。</w:t>
            </w:r>
          </w:p>
          <w:p w14:paraId="2200DEB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注：上述评分细则中“缺陷”是指：</w:t>
            </w:r>
            <w:r>
              <w:rPr>
                <w:rFonts w:hint="eastAsia" w:ascii="微软雅黑" w:hAnsi="微软雅黑" w:eastAsia="微软雅黑" w:cs="微软雅黑"/>
                <w:b/>
                <w:bCs/>
                <w:color w:val="auto"/>
                <w:kern w:val="0"/>
                <w:sz w:val="24"/>
                <w:szCs w:val="24"/>
                <w:highlight w:val="none"/>
                <w:cs w:val="0"/>
                <w:lang w:val="en-US" w:eastAsia="zh-CN" w:bidi="ar"/>
              </w:rPr>
              <w:t>①该项内容描述前后矛盾，前后逻辑错误；②该项内容所阐述的内容与本项目实际信息不一致，如项目名称错误、实施地点不符、服务内容偏离等；③该项内容引用的规定、规范错误；④该项内容描述不符合国家相关法律法规、政策文件、规范标准要求；⑤其他：单项方案内容中小项内容缺失或漏项的。</w:t>
            </w:r>
          </w:p>
        </w:tc>
        <w:tc>
          <w:tcPr>
            <w:tcW w:w="1287" w:type="dxa"/>
            <w:vMerge w:val="continue"/>
            <w:vAlign w:val="center"/>
          </w:tcPr>
          <w:p w14:paraId="53036609">
            <w:pPr>
              <w:keepNext w:val="0"/>
              <w:keepLines w:val="0"/>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4"/>
                <w:szCs w:val="24"/>
                <w:highlight w:val="none"/>
              </w:rPr>
            </w:pPr>
          </w:p>
        </w:tc>
      </w:tr>
      <w:tr w14:paraId="741D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46" w:type="dxa"/>
            <w:vMerge w:val="continue"/>
            <w:vAlign w:val="center"/>
          </w:tcPr>
          <w:p w14:paraId="1F2CAE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kern w:val="0"/>
                <w:sz w:val="24"/>
                <w:szCs w:val="24"/>
                <w:highlight w:val="none"/>
              </w:rPr>
            </w:pPr>
          </w:p>
        </w:tc>
        <w:tc>
          <w:tcPr>
            <w:tcW w:w="1233" w:type="dxa"/>
            <w:vMerge w:val="restart"/>
            <w:vAlign w:val="center"/>
          </w:tcPr>
          <w:p w14:paraId="32D4289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售后服务</w:t>
            </w:r>
          </w:p>
        </w:tc>
        <w:tc>
          <w:tcPr>
            <w:tcW w:w="600" w:type="dxa"/>
            <w:vAlign w:val="center"/>
          </w:tcPr>
          <w:p w14:paraId="6891275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6</w:t>
            </w:r>
          </w:p>
        </w:tc>
        <w:tc>
          <w:tcPr>
            <w:tcW w:w="6405" w:type="dxa"/>
            <w:vAlign w:val="center"/>
          </w:tcPr>
          <w:p w14:paraId="79C0B1D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 xml:space="preserve">1、产品厂家/供应商有售后服务网点的得1分；  </w:t>
            </w:r>
          </w:p>
          <w:p w14:paraId="5FB864E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（须提供房屋及库房的购买合同或租赁合同）不提供此项不得分。</w:t>
            </w:r>
          </w:p>
          <w:p w14:paraId="4157AA5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本项目要求（设备安装技术人员不得少于1人，售后服务维修保养专业技术人员不得少于2人。），在此基数上，产品厂家/供货商拟投入本项的设备安装及维修保养专业技术人员每增加1人得1分，最高得3分。（须提供人员身份证、聘用合同、专业技术能力的证明材料）未提供或提供资料不全的不计入得分。</w:t>
            </w:r>
          </w:p>
          <w:p w14:paraId="1865297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3、本项目要求质保期内每年设备巡检不少于4次，每年每增加1次得1分，最高可得2分。</w:t>
            </w:r>
          </w:p>
        </w:tc>
        <w:tc>
          <w:tcPr>
            <w:tcW w:w="1287" w:type="dxa"/>
            <w:vMerge w:val="continue"/>
            <w:vAlign w:val="center"/>
          </w:tcPr>
          <w:p w14:paraId="21814C98">
            <w:pPr>
              <w:keepNext w:val="0"/>
              <w:keepLines w:val="0"/>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4"/>
                <w:szCs w:val="24"/>
                <w:highlight w:val="none"/>
              </w:rPr>
            </w:pPr>
          </w:p>
        </w:tc>
      </w:tr>
      <w:tr w14:paraId="4998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46" w:type="dxa"/>
            <w:vMerge w:val="continue"/>
            <w:vAlign w:val="center"/>
          </w:tcPr>
          <w:p w14:paraId="661DA5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kern w:val="0"/>
                <w:sz w:val="24"/>
                <w:szCs w:val="24"/>
                <w:highlight w:val="none"/>
              </w:rPr>
            </w:pPr>
          </w:p>
        </w:tc>
        <w:tc>
          <w:tcPr>
            <w:tcW w:w="1233" w:type="dxa"/>
            <w:vMerge w:val="continue"/>
            <w:vAlign w:val="center"/>
          </w:tcPr>
          <w:p w14:paraId="1B0298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kern w:val="0"/>
                <w:sz w:val="24"/>
                <w:szCs w:val="24"/>
                <w:highlight w:val="none"/>
                <w:lang w:val="en-US" w:eastAsia="zh-CN" w:bidi="ar-SA"/>
              </w:rPr>
            </w:pPr>
          </w:p>
        </w:tc>
        <w:tc>
          <w:tcPr>
            <w:tcW w:w="600" w:type="dxa"/>
            <w:vAlign w:val="center"/>
          </w:tcPr>
          <w:p w14:paraId="16A2CE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3</w:t>
            </w:r>
          </w:p>
        </w:tc>
        <w:tc>
          <w:tcPr>
            <w:tcW w:w="6405" w:type="dxa"/>
            <w:vAlign w:val="center"/>
          </w:tcPr>
          <w:p w14:paraId="4BE1B27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售后服务承诺：</w:t>
            </w:r>
          </w:p>
          <w:p w14:paraId="57A459A4">
            <w:pPr>
              <w:keepNext w:val="0"/>
              <w:keepLines w:val="0"/>
              <w:pageBreakBefore w:val="0"/>
              <w:widowControl/>
              <w:numPr>
                <w:ilvl w:val="0"/>
                <w:numId w:val="12"/>
              </w:numPr>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在设备安装调试以及设备质保期内免费提供技术支持的得1分。</w:t>
            </w:r>
          </w:p>
          <w:p w14:paraId="4A248EE2">
            <w:pPr>
              <w:keepNext w:val="0"/>
              <w:keepLines w:val="0"/>
              <w:pageBreakBefore w:val="0"/>
              <w:widowControl/>
              <w:numPr>
                <w:ilvl w:val="0"/>
                <w:numId w:val="12"/>
              </w:numPr>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承诺2小时内远程响应、24小时内现场处置的，得2分； 仅满足远程响应要求的，得1分；均不满足不得分。</w:t>
            </w:r>
          </w:p>
        </w:tc>
        <w:tc>
          <w:tcPr>
            <w:tcW w:w="1287" w:type="dxa"/>
            <w:vMerge w:val="continue"/>
            <w:vAlign w:val="center"/>
          </w:tcPr>
          <w:p w14:paraId="10CD08E3">
            <w:pPr>
              <w:keepNext w:val="0"/>
              <w:keepLines w:val="0"/>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4"/>
                <w:szCs w:val="24"/>
                <w:highlight w:val="none"/>
              </w:rPr>
            </w:pPr>
          </w:p>
        </w:tc>
      </w:tr>
      <w:tr w14:paraId="0AEA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46" w:type="dxa"/>
            <w:vMerge w:val="continue"/>
            <w:vAlign w:val="center"/>
          </w:tcPr>
          <w:p w14:paraId="0A42F6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kern w:val="0"/>
                <w:sz w:val="24"/>
                <w:szCs w:val="24"/>
                <w:highlight w:val="none"/>
              </w:rPr>
            </w:pPr>
          </w:p>
        </w:tc>
        <w:tc>
          <w:tcPr>
            <w:tcW w:w="1233" w:type="dxa"/>
            <w:vMerge w:val="continue"/>
            <w:vAlign w:val="center"/>
          </w:tcPr>
          <w:p w14:paraId="4AC908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kern w:val="0"/>
                <w:sz w:val="24"/>
                <w:szCs w:val="24"/>
                <w:highlight w:val="none"/>
              </w:rPr>
            </w:pPr>
          </w:p>
        </w:tc>
        <w:tc>
          <w:tcPr>
            <w:tcW w:w="600" w:type="dxa"/>
            <w:vAlign w:val="center"/>
          </w:tcPr>
          <w:p w14:paraId="426BD3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2</w:t>
            </w:r>
          </w:p>
        </w:tc>
        <w:tc>
          <w:tcPr>
            <w:tcW w:w="6405" w:type="dxa"/>
            <w:vAlign w:val="center"/>
          </w:tcPr>
          <w:p w14:paraId="2B8730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供应商根据设备需求提供相应的设备零部件备品备件，有提供具体的零部件种类、数量、质保期内及质保期外备品备件价格的得</w:t>
            </w:r>
            <w:r>
              <w:rPr>
                <w:rFonts w:hint="eastAsia" w:ascii="微软雅黑" w:hAnsi="微软雅黑" w:eastAsia="微软雅黑" w:cs="微软雅黑"/>
                <w:color w:val="auto"/>
                <w:kern w:val="0"/>
                <w:sz w:val="24"/>
                <w:szCs w:val="24"/>
                <w:highlight w:val="none"/>
                <w:lang w:val="en-US" w:eastAsia="zh-CN"/>
              </w:rPr>
              <w:t>2分，未提供或提供不全的此项不得分。</w:t>
            </w:r>
          </w:p>
        </w:tc>
        <w:tc>
          <w:tcPr>
            <w:tcW w:w="1287" w:type="dxa"/>
            <w:vAlign w:val="center"/>
          </w:tcPr>
          <w:p w14:paraId="727FAF7D">
            <w:pPr>
              <w:keepNext w:val="0"/>
              <w:keepLines w:val="0"/>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4"/>
                <w:szCs w:val="24"/>
                <w:highlight w:val="none"/>
              </w:rPr>
            </w:pPr>
          </w:p>
        </w:tc>
      </w:tr>
      <w:tr w14:paraId="753D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371" w:type="dxa"/>
            <w:gridSpan w:val="5"/>
            <w:vAlign w:val="center"/>
          </w:tcPr>
          <w:p w14:paraId="7290ACD5">
            <w:pPr>
              <w:keepNext w:val="0"/>
              <w:keepLines w:val="0"/>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4"/>
                <w:szCs w:val="24"/>
                <w:highlight w:val="none"/>
              </w:rPr>
            </w:pPr>
            <w:r>
              <w:rPr>
                <w:rFonts w:ascii="微软雅黑" w:hAnsi="微软雅黑" w:eastAsia="微软雅黑" w:cs="微软雅黑"/>
                <w:b/>
                <w:bCs/>
                <w:spacing w:val="5"/>
                <w:sz w:val="24"/>
                <w:szCs w:val="24"/>
              </w:rPr>
              <w:t>注： 评审得分合计</w:t>
            </w:r>
            <w:r>
              <w:rPr>
                <w:rFonts w:ascii="微软雅黑" w:hAnsi="微软雅黑" w:eastAsia="微软雅黑" w:cs="微软雅黑"/>
                <w:b/>
                <w:bCs/>
                <w:spacing w:val="29"/>
                <w:sz w:val="24"/>
                <w:szCs w:val="24"/>
              </w:rPr>
              <w:t xml:space="preserve"> </w:t>
            </w:r>
            <w:r>
              <w:rPr>
                <w:rFonts w:ascii="微软雅黑" w:hAnsi="微软雅黑" w:eastAsia="微软雅黑" w:cs="微软雅黑"/>
                <w:b/>
                <w:bCs/>
                <w:spacing w:val="5"/>
                <w:sz w:val="24"/>
                <w:szCs w:val="24"/>
              </w:rPr>
              <w:t>100 分， 评分计算结果保留</w:t>
            </w:r>
            <w:r>
              <w:rPr>
                <w:rFonts w:ascii="微软雅黑" w:hAnsi="微软雅黑" w:eastAsia="微软雅黑" w:cs="微软雅黑"/>
                <w:b/>
                <w:bCs/>
                <w:spacing w:val="4"/>
                <w:sz w:val="24"/>
                <w:szCs w:val="24"/>
              </w:rPr>
              <w:t>两位小数， 第三位小数四舍五入。</w:t>
            </w:r>
          </w:p>
        </w:tc>
      </w:tr>
    </w:tbl>
    <w:p w14:paraId="1909674C">
      <w:pPr>
        <w:outlineLvl w:val="9"/>
        <w:rPr>
          <w:rFonts w:hint="eastAsia" w:ascii="微软雅黑" w:hAnsi="微软雅黑" w:eastAsia="微软雅黑" w:cs="微软雅黑"/>
          <w:b/>
          <w:bCs/>
          <w:color w:val="auto"/>
          <w:kern w:val="0"/>
          <w:sz w:val="32"/>
          <w:szCs w:val="32"/>
          <w:highlight w:val="none"/>
        </w:rPr>
      </w:pPr>
    </w:p>
    <w:p w14:paraId="46B8BCD8">
      <w:pPr>
        <w:jc w:val="center"/>
        <w:outlineLvl w:val="9"/>
        <w:rPr>
          <w:rFonts w:hint="eastAsia" w:ascii="微软雅黑" w:hAnsi="微软雅黑" w:eastAsia="微软雅黑" w:cs="微软雅黑"/>
          <w:b/>
          <w:bCs/>
          <w:color w:val="auto"/>
          <w:kern w:val="0"/>
          <w:sz w:val="32"/>
          <w:szCs w:val="32"/>
          <w:highlight w:val="none"/>
        </w:rPr>
      </w:pPr>
    </w:p>
    <w:p w14:paraId="01EC9552">
      <w:pPr>
        <w:jc w:val="center"/>
        <w:outlineLvl w:val="9"/>
        <w:rPr>
          <w:rFonts w:hint="eastAsia" w:ascii="微软雅黑" w:hAnsi="微软雅黑" w:eastAsia="微软雅黑" w:cs="微软雅黑"/>
          <w:b/>
          <w:bCs/>
          <w:color w:val="auto"/>
          <w:kern w:val="0"/>
          <w:sz w:val="32"/>
          <w:szCs w:val="32"/>
          <w:highlight w:val="none"/>
        </w:rPr>
      </w:pPr>
    </w:p>
    <w:p w14:paraId="499ABAE8">
      <w:pPr>
        <w:jc w:val="center"/>
        <w:outlineLvl w:val="9"/>
        <w:rPr>
          <w:rFonts w:hint="eastAsia" w:ascii="微软雅黑" w:hAnsi="微软雅黑" w:eastAsia="微软雅黑" w:cs="微软雅黑"/>
          <w:b/>
          <w:bCs/>
          <w:color w:val="auto"/>
          <w:kern w:val="0"/>
          <w:sz w:val="32"/>
          <w:szCs w:val="32"/>
          <w:highlight w:val="none"/>
        </w:rPr>
      </w:pPr>
    </w:p>
    <w:p w14:paraId="4E5FC3C3">
      <w:pPr>
        <w:jc w:val="center"/>
        <w:outlineLvl w:val="9"/>
        <w:rPr>
          <w:rFonts w:hint="eastAsia" w:ascii="微软雅黑" w:hAnsi="微软雅黑" w:eastAsia="微软雅黑" w:cs="微软雅黑"/>
          <w:b/>
          <w:bCs/>
          <w:color w:val="auto"/>
          <w:kern w:val="0"/>
          <w:sz w:val="32"/>
          <w:szCs w:val="32"/>
          <w:highlight w:val="none"/>
        </w:rPr>
      </w:pPr>
    </w:p>
    <w:p w14:paraId="0F3ADB16">
      <w:pPr>
        <w:jc w:val="center"/>
        <w:outlineLvl w:val="9"/>
        <w:rPr>
          <w:rFonts w:hint="eastAsia" w:ascii="微软雅黑" w:hAnsi="微软雅黑" w:eastAsia="微软雅黑" w:cs="微软雅黑"/>
          <w:b/>
          <w:bCs/>
          <w:color w:val="auto"/>
          <w:kern w:val="0"/>
          <w:sz w:val="32"/>
          <w:szCs w:val="32"/>
          <w:highlight w:val="none"/>
        </w:rPr>
      </w:pPr>
    </w:p>
    <w:p w14:paraId="6E3F1307">
      <w:pPr>
        <w:jc w:val="center"/>
        <w:outlineLvl w:val="9"/>
        <w:rPr>
          <w:rFonts w:hint="eastAsia" w:ascii="微软雅黑" w:hAnsi="微软雅黑" w:eastAsia="微软雅黑" w:cs="微软雅黑"/>
          <w:b/>
          <w:bCs/>
          <w:color w:val="auto"/>
          <w:kern w:val="0"/>
          <w:sz w:val="32"/>
          <w:szCs w:val="32"/>
          <w:highlight w:val="none"/>
        </w:rPr>
      </w:pPr>
    </w:p>
    <w:p w14:paraId="31ED5B93">
      <w:pPr>
        <w:jc w:val="center"/>
        <w:outlineLvl w:val="9"/>
        <w:rPr>
          <w:rFonts w:hint="eastAsia" w:ascii="微软雅黑" w:hAnsi="微软雅黑" w:eastAsia="微软雅黑" w:cs="微软雅黑"/>
          <w:b/>
          <w:bCs/>
          <w:color w:val="auto"/>
          <w:kern w:val="0"/>
          <w:sz w:val="32"/>
          <w:szCs w:val="32"/>
          <w:highlight w:val="none"/>
        </w:rPr>
      </w:pPr>
    </w:p>
    <w:p w14:paraId="38FEF180">
      <w:pPr>
        <w:jc w:val="center"/>
        <w:outlineLvl w:val="9"/>
        <w:rPr>
          <w:rFonts w:hint="eastAsia" w:ascii="微软雅黑" w:hAnsi="微软雅黑" w:eastAsia="微软雅黑" w:cs="微软雅黑"/>
          <w:b/>
          <w:bCs/>
          <w:color w:val="auto"/>
          <w:kern w:val="0"/>
          <w:sz w:val="32"/>
          <w:szCs w:val="32"/>
          <w:highlight w:val="none"/>
        </w:rPr>
      </w:pPr>
    </w:p>
    <w:p w14:paraId="1168E23B">
      <w:pPr>
        <w:rPr>
          <w:rFonts w:hint="eastAsia" w:eastAsia="宋体"/>
          <w:color w:val="auto"/>
          <w:highlight w:val="none"/>
          <w:lang w:val="en-US" w:eastAsia="zh-CN"/>
        </w:rPr>
      </w:pPr>
    </w:p>
    <w:p w14:paraId="4D616C90">
      <w:pPr>
        <w:pStyle w:val="4"/>
        <w:rPr>
          <w:color w:val="auto"/>
          <w:highlight w:val="none"/>
        </w:rPr>
      </w:pPr>
    </w:p>
    <w:p w14:paraId="4A25AA49">
      <w:pPr>
        <w:rPr>
          <w:color w:val="auto"/>
          <w:highlight w:val="none"/>
        </w:rPr>
      </w:pPr>
    </w:p>
    <w:p w14:paraId="5CBAFD3C">
      <w:pPr>
        <w:rPr>
          <w:color w:val="auto"/>
          <w:highlight w:val="none"/>
        </w:rPr>
      </w:pPr>
    </w:p>
    <w:p w14:paraId="36CB5C3D">
      <w:pPr>
        <w:rPr>
          <w:color w:val="auto"/>
          <w:highlight w:val="none"/>
        </w:rPr>
      </w:pPr>
    </w:p>
    <w:p w14:paraId="005641AB">
      <w:pPr>
        <w:rPr>
          <w:color w:val="auto"/>
          <w:highlight w:val="none"/>
        </w:rPr>
      </w:pPr>
    </w:p>
    <w:p w14:paraId="33AA7923">
      <w:pPr>
        <w:rPr>
          <w:color w:val="auto"/>
          <w:highlight w:val="none"/>
        </w:rPr>
      </w:pPr>
    </w:p>
    <w:p w14:paraId="5F2DA85E">
      <w:pPr>
        <w:pStyle w:val="28"/>
        <w:rPr>
          <w:color w:val="auto"/>
          <w:highlight w:val="none"/>
        </w:rPr>
      </w:pPr>
    </w:p>
    <w:p w14:paraId="0FD0384A">
      <w:pPr>
        <w:jc w:val="center"/>
        <w:rPr>
          <w:rFonts w:ascii="微软雅黑" w:hAnsi="微软雅黑" w:eastAsia="微软雅黑" w:cs="微软雅黑"/>
          <w:b/>
          <w:bCs/>
          <w:color w:val="auto"/>
          <w:sz w:val="44"/>
          <w:szCs w:val="44"/>
          <w:highlight w:val="none"/>
        </w:rPr>
      </w:pPr>
    </w:p>
    <w:p w14:paraId="1B25A2E4">
      <w:pPr>
        <w:jc w:val="both"/>
        <w:rPr>
          <w:rFonts w:ascii="微软雅黑" w:hAnsi="微软雅黑" w:eastAsia="微软雅黑" w:cs="微软雅黑"/>
          <w:b/>
          <w:bCs/>
          <w:color w:val="auto"/>
          <w:sz w:val="44"/>
          <w:szCs w:val="44"/>
          <w:highlight w:val="none"/>
        </w:rPr>
      </w:pPr>
    </w:p>
    <w:p w14:paraId="7C129431">
      <w:pPr>
        <w:jc w:val="center"/>
        <w:rPr>
          <w:rFonts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招 标 文 件</w:t>
      </w:r>
    </w:p>
    <w:p w14:paraId="6564D7C4">
      <w:pPr>
        <w:pStyle w:val="28"/>
        <w:spacing w:line="240" w:lineRule="auto"/>
        <w:rPr>
          <w:color w:val="auto"/>
          <w:highlight w:val="none"/>
        </w:rPr>
      </w:pPr>
    </w:p>
    <w:p w14:paraId="6A16755E">
      <w:pPr>
        <w:rPr>
          <w:color w:val="auto"/>
          <w:highlight w:val="none"/>
        </w:rPr>
      </w:pPr>
    </w:p>
    <w:p w14:paraId="149BB7D3">
      <w:pPr>
        <w:jc w:val="center"/>
        <w:rPr>
          <w:rFonts w:ascii="微软雅黑" w:hAnsi="微软雅黑" w:eastAsia="微软雅黑" w:cs="微软雅黑"/>
          <w:b/>
          <w:bCs/>
          <w:color w:val="auto"/>
          <w:sz w:val="40"/>
          <w:szCs w:val="40"/>
          <w:highlight w:val="none"/>
        </w:rPr>
      </w:pPr>
    </w:p>
    <w:p w14:paraId="0B649B76">
      <w:pPr>
        <w:jc w:val="center"/>
        <w:rPr>
          <w:rFonts w:ascii="微软雅黑" w:hAnsi="微软雅黑" w:eastAsia="微软雅黑" w:cs="微软雅黑"/>
          <w:b/>
          <w:bCs/>
          <w:color w:val="auto"/>
          <w:sz w:val="40"/>
          <w:szCs w:val="40"/>
          <w:highlight w:val="none"/>
        </w:rPr>
      </w:pPr>
      <w:bookmarkStart w:id="856" w:name="_Toc28212"/>
      <w:r>
        <w:rPr>
          <w:rFonts w:hint="eastAsia" w:ascii="微软雅黑" w:hAnsi="微软雅黑" w:eastAsia="微软雅黑" w:cs="微软雅黑"/>
          <w:b/>
          <w:bCs/>
          <w:color w:val="auto"/>
          <w:sz w:val="40"/>
          <w:szCs w:val="40"/>
          <w:highlight w:val="none"/>
        </w:rPr>
        <w:t>第 三 册</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17D87747">
      <w:pPr>
        <w:jc w:val="center"/>
        <w:rPr>
          <w:rFonts w:ascii="微软雅黑" w:hAnsi="微软雅黑" w:eastAsia="微软雅黑" w:cs="微软雅黑"/>
          <w:b/>
          <w:bCs/>
          <w:color w:val="auto"/>
          <w:sz w:val="32"/>
          <w:szCs w:val="32"/>
          <w:highlight w:val="none"/>
        </w:rPr>
      </w:pPr>
    </w:p>
    <w:p w14:paraId="35BBCA20">
      <w:pPr>
        <w:ind w:left="1080" w:leftChars="257" w:hanging="540"/>
        <w:jc w:val="center"/>
        <w:rPr>
          <w:rFonts w:ascii="微软雅黑" w:hAnsi="微软雅黑" w:eastAsia="微软雅黑" w:cs="微软雅黑"/>
          <w:b/>
          <w:bCs/>
          <w:color w:val="auto"/>
          <w:sz w:val="52"/>
          <w:szCs w:val="52"/>
          <w:highlight w:val="none"/>
        </w:rPr>
      </w:pPr>
    </w:p>
    <w:p w14:paraId="0602B52F">
      <w:pPr>
        <w:ind w:left="1080" w:leftChars="257" w:hanging="540"/>
        <w:jc w:val="center"/>
        <w:rPr>
          <w:rFonts w:ascii="微软雅黑" w:hAnsi="微软雅黑" w:eastAsia="微软雅黑" w:cs="微软雅黑"/>
          <w:b/>
          <w:bCs/>
          <w:color w:val="auto"/>
          <w:sz w:val="52"/>
          <w:szCs w:val="52"/>
          <w:highlight w:val="none"/>
        </w:rPr>
      </w:pPr>
    </w:p>
    <w:p w14:paraId="458AE9E2">
      <w:pPr>
        <w:rPr>
          <w:rFonts w:ascii="微软雅黑" w:hAnsi="微软雅黑" w:eastAsia="微软雅黑" w:cs="微软雅黑"/>
          <w:b/>
          <w:bCs/>
          <w:color w:val="auto"/>
          <w:sz w:val="52"/>
          <w:szCs w:val="52"/>
          <w:highlight w:val="none"/>
        </w:rPr>
        <w:sectPr>
          <w:pgSz w:w="11905" w:h="16838"/>
          <w:pgMar w:top="1440" w:right="1080" w:bottom="1440" w:left="1080" w:header="851" w:footer="992" w:gutter="0"/>
          <w:cols w:space="0" w:num="1"/>
          <w:docGrid w:linePitch="462" w:charSpace="0"/>
        </w:sectPr>
      </w:pPr>
    </w:p>
    <w:bookmarkEnd w:id="833"/>
    <w:p w14:paraId="1531F769">
      <w:pPr>
        <w:pStyle w:val="2"/>
        <w:spacing w:line="240" w:lineRule="auto"/>
        <w:rPr>
          <w:rFonts w:ascii="微软雅黑" w:hAnsi="微软雅黑" w:eastAsia="微软雅黑" w:cs="微软雅黑"/>
          <w:b/>
          <w:bCs/>
          <w:color w:val="auto"/>
          <w:highlight w:val="none"/>
        </w:rPr>
      </w:pPr>
      <w:bookmarkStart w:id="857" w:name="_Toc9171"/>
      <w:bookmarkStart w:id="858" w:name="_Toc6865"/>
      <w:bookmarkStart w:id="859" w:name="_Toc14922"/>
      <w:bookmarkStart w:id="860" w:name="_Toc12089"/>
      <w:bookmarkStart w:id="861" w:name="_Toc10636"/>
      <w:bookmarkStart w:id="862" w:name="_Toc4796"/>
      <w:bookmarkStart w:id="863" w:name="_Toc515647833"/>
      <w:r>
        <w:rPr>
          <w:rFonts w:hint="eastAsia" w:ascii="微软雅黑" w:hAnsi="微软雅黑" w:eastAsia="微软雅黑" w:cs="微软雅黑"/>
          <w:b/>
          <w:bCs/>
          <w:color w:val="auto"/>
          <w:highlight w:val="none"/>
        </w:rPr>
        <w:t>第7章</w:t>
      </w:r>
      <w:r>
        <w:rPr>
          <w:rFonts w:hint="eastAsia" w:ascii="微软雅黑" w:hAnsi="微软雅黑" w:eastAsia="微软雅黑" w:cs="微软雅黑"/>
          <w:b/>
          <w:bCs/>
          <w:color w:val="auto"/>
          <w:highlight w:val="none"/>
          <w:lang w:val="en-US" w:eastAsia="zh-CN"/>
        </w:rPr>
        <w:t xml:space="preserve">   </w:t>
      </w:r>
      <w:r>
        <w:rPr>
          <w:rFonts w:hint="eastAsia" w:ascii="微软雅黑" w:hAnsi="微软雅黑" w:eastAsia="微软雅黑" w:cs="微软雅黑"/>
          <w:b/>
          <w:bCs/>
          <w:color w:val="auto"/>
          <w:highlight w:val="none"/>
        </w:rPr>
        <w:t>政府采购合同</w:t>
      </w:r>
      <w:bookmarkEnd w:id="857"/>
      <w:bookmarkEnd w:id="858"/>
      <w:bookmarkEnd w:id="859"/>
      <w:bookmarkEnd w:id="860"/>
      <w:bookmarkEnd w:id="861"/>
      <w:bookmarkEnd w:id="862"/>
      <w:bookmarkEnd w:id="863"/>
      <w:bookmarkStart w:id="864" w:name="_Hlt487972895"/>
      <w:bookmarkEnd w:id="864"/>
      <w:bookmarkStart w:id="865" w:name="_Toc216513788"/>
      <w:bookmarkStart w:id="866" w:name="_Toc487900382"/>
    </w:p>
    <w:bookmarkEnd w:id="865"/>
    <w:bookmarkEnd w:id="866"/>
    <w:p w14:paraId="3428BA35">
      <w:pPr>
        <w:rPr>
          <w:rFonts w:ascii="微软雅黑" w:hAnsi="微软雅黑" w:eastAsia="微软雅黑" w:cs="微软雅黑"/>
          <w:color w:val="auto"/>
          <w:highlight w:val="none"/>
        </w:rPr>
      </w:pPr>
    </w:p>
    <w:p w14:paraId="537037E6">
      <w:pPr>
        <w:pStyle w:val="11"/>
        <w:spacing w:after="0"/>
        <w:jc w:val="center"/>
        <w:rPr>
          <w:rFonts w:hint="eastAsia" w:ascii="微软雅黑" w:hAnsi="微软雅黑" w:eastAsia="微软雅黑" w:cs="微软雅黑"/>
          <w:b/>
          <w:bCs/>
          <w:color w:val="auto"/>
          <w:spacing w:val="-20"/>
          <w:kern w:val="44"/>
          <w:sz w:val="48"/>
          <w:szCs w:val="48"/>
          <w:highlight w:val="none"/>
        </w:rPr>
      </w:pPr>
    </w:p>
    <w:p w14:paraId="3EAE395D">
      <w:pPr>
        <w:pStyle w:val="11"/>
        <w:spacing w:after="0"/>
        <w:jc w:val="both"/>
        <w:rPr>
          <w:rFonts w:hint="eastAsia" w:ascii="微软雅黑" w:hAnsi="微软雅黑" w:eastAsia="微软雅黑" w:cs="微软雅黑"/>
          <w:b/>
          <w:bCs/>
          <w:color w:val="auto"/>
          <w:spacing w:val="-20"/>
          <w:kern w:val="44"/>
          <w:sz w:val="48"/>
          <w:szCs w:val="48"/>
          <w:highlight w:val="none"/>
        </w:rPr>
      </w:pPr>
    </w:p>
    <w:p w14:paraId="45F99BA9">
      <w:pPr>
        <w:pStyle w:val="11"/>
        <w:spacing w:after="0"/>
        <w:jc w:val="center"/>
        <w:rPr>
          <w:rFonts w:hint="eastAsia" w:ascii="微软雅黑" w:hAnsi="微软雅黑" w:eastAsia="微软雅黑" w:cs="微软雅黑"/>
          <w:b/>
          <w:bCs/>
          <w:color w:val="auto"/>
          <w:spacing w:val="-20"/>
          <w:kern w:val="44"/>
          <w:sz w:val="48"/>
          <w:szCs w:val="48"/>
          <w:highlight w:val="none"/>
        </w:rPr>
      </w:pPr>
      <w:r>
        <w:rPr>
          <w:rFonts w:hint="eastAsia" w:ascii="微软雅黑" w:hAnsi="微软雅黑" w:eastAsia="微软雅黑" w:cs="微软雅黑"/>
          <w:b/>
          <w:bCs/>
          <w:color w:val="auto"/>
          <w:spacing w:val="-20"/>
          <w:kern w:val="44"/>
          <w:sz w:val="48"/>
          <w:szCs w:val="48"/>
          <w:highlight w:val="none"/>
        </w:rPr>
        <w:t>政府采购</w:t>
      </w:r>
      <w:r>
        <w:rPr>
          <w:rFonts w:hint="eastAsia" w:ascii="微软雅黑" w:hAnsi="微软雅黑" w:eastAsia="微软雅黑" w:cs="微软雅黑"/>
          <w:b/>
          <w:bCs/>
          <w:color w:val="auto"/>
          <w:spacing w:val="-20"/>
          <w:kern w:val="44"/>
          <w:sz w:val="48"/>
          <w:szCs w:val="48"/>
          <w:highlight w:val="none"/>
          <w:lang w:eastAsia="zh-CN"/>
        </w:rPr>
        <w:t>货物买卖</w:t>
      </w:r>
      <w:r>
        <w:rPr>
          <w:rFonts w:hint="eastAsia" w:ascii="微软雅黑" w:hAnsi="微软雅黑" w:eastAsia="微软雅黑" w:cs="微软雅黑"/>
          <w:b/>
          <w:bCs/>
          <w:color w:val="auto"/>
          <w:spacing w:val="-20"/>
          <w:kern w:val="44"/>
          <w:sz w:val="48"/>
          <w:szCs w:val="48"/>
          <w:highlight w:val="none"/>
        </w:rPr>
        <w:t>合同</w:t>
      </w:r>
    </w:p>
    <w:p w14:paraId="447BD7C4">
      <w:pPr>
        <w:pStyle w:val="11"/>
        <w:spacing w:after="0"/>
        <w:jc w:val="center"/>
        <w:rPr>
          <w:rFonts w:hint="eastAsia" w:ascii="微软雅黑" w:hAnsi="微软雅黑" w:eastAsia="微软雅黑" w:cs="微软雅黑"/>
          <w:b/>
          <w:bCs/>
          <w:color w:val="auto"/>
          <w:spacing w:val="-20"/>
          <w:kern w:val="44"/>
          <w:sz w:val="48"/>
          <w:szCs w:val="48"/>
          <w:highlight w:val="none"/>
          <w:lang w:eastAsia="zh-CN"/>
        </w:rPr>
      </w:pPr>
      <w:r>
        <w:rPr>
          <w:rFonts w:hint="eastAsia" w:ascii="微软雅黑" w:hAnsi="微软雅黑" w:eastAsia="微软雅黑" w:cs="微软雅黑"/>
          <w:b/>
          <w:bCs/>
          <w:color w:val="auto"/>
          <w:spacing w:val="-20"/>
          <w:kern w:val="44"/>
          <w:sz w:val="48"/>
          <w:szCs w:val="48"/>
          <w:highlight w:val="none"/>
          <w:lang w:eastAsia="zh-CN"/>
        </w:rPr>
        <w:t>（试行）</w:t>
      </w:r>
    </w:p>
    <w:p w14:paraId="7E779BE0">
      <w:pPr>
        <w:rPr>
          <w:rFonts w:hint="eastAsia" w:ascii="微软雅黑" w:hAnsi="微软雅黑" w:eastAsia="微软雅黑" w:cs="微软雅黑"/>
          <w:b/>
          <w:bCs/>
          <w:color w:val="auto"/>
          <w:spacing w:val="-20"/>
          <w:kern w:val="44"/>
          <w:sz w:val="40"/>
          <w:szCs w:val="40"/>
          <w:highlight w:val="none"/>
        </w:rPr>
      </w:pPr>
    </w:p>
    <w:p w14:paraId="40F309F8">
      <w:pPr>
        <w:rPr>
          <w:rFonts w:hint="eastAsia" w:ascii="微软雅黑" w:hAnsi="微软雅黑" w:eastAsia="微软雅黑" w:cs="微软雅黑"/>
          <w:b/>
          <w:bCs/>
          <w:color w:val="auto"/>
          <w:spacing w:val="-20"/>
          <w:kern w:val="44"/>
          <w:sz w:val="40"/>
          <w:szCs w:val="40"/>
          <w:highlight w:val="none"/>
        </w:rPr>
      </w:pPr>
    </w:p>
    <w:p w14:paraId="40AFB27E">
      <w:pPr>
        <w:spacing w:line="360" w:lineRule="auto"/>
        <w:ind w:left="420" w:leftChars="200"/>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kern w:val="0"/>
          <w:sz w:val="32"/>
          <w:szCs w:val="32"/>
          <w:highlight w:val="none"/>
        </w:rPr>
        <w:t>项目名称：</w:t>
      </w:r>
      <w:r>
        <w:rPr>
          <w:rFonts w:hint="eastAsia" w:ascii="微软雅黑" w:hAnsi="微软雅黑" w:eastAsia="微软雅黑" w:cs="微软雅黑"/>
          <w:color w:val="auto"/>
          <w:sz w:val="32"/>
          <w:szCs w:val="32"/>
          <w:highlight w:val="none"/>
          <w:u w:val="single"/>
        </w:rPr>
        <w:t xml:space="preserve">                             </w:t>
      </w:r>
    </w:p>
    <w:p w14:paraId="3B79571A">
      <w:pPr>
        <w:spacing w:line="360" w:lineRule="auto"/>
        <w:ind w:left="420" w:leftChars="200"/>
        <w:rPr>
          <w:rFonts w:hint="eastAsia" w:ascii="微软雅黑" w:hAnsi="微软雅黑" w:eastAsia="微软雅黑" w:cs="微软雅黑"/>
          <w:color w:val="auto"/>
          <w:sz w:val="32"/>
          <w:szCs w:val="32"/>
          <w:highlight w:val="none"/>
          <w:u w:val="single"/>
        </w:rPr>
      </w:pPr>
      <w:r>
        <w:rPr>
          <w:rFonts w:hint="eastAsia" w:ascii="微软雅黑" w:hAnsi="微软雅黑" w:eastAsia="微软雅黑" w:cs="微软雅黑"/>
          <w:color w:val="auto"/>
          <w:sz w:val="32"/>
          <w:szCs w:val="32"/>
          <w:highlight w:val="none"/>
        </w:rPr>
        <w:t>合同编号：</w:t>
      </w:r>
      <w:r>
        <w:rPr>
          <w:rFonts w:hint="eastAsia" w:ascii="微软雅黑" w:hAnsi="微软雅黑" w:eastAsia="微软雅黑" w:cs="微软雅黑"/>
          <w:color w:val="auto"/>
          <w:sz w:val="32"/>
          <w:szCs w:val="32"/>
          <w:highlight w:val="none"/>
          <w:u w:val="single"/>
        </w:rPr>
        <w:t xml:space="preserve">                             </w:t>
      </w:r>
    </w:p>
    <w:p w14:paraId="6F89AAFC">
      <w:pPr>
        <w:spacing w:line="360" w:lineRule="auto"/>
        <w:ind w:left="420" w:leftChars="200"/>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t>甲    方：</w:t>
      </w:r>
      <w:r>
        <w:rPr>
          <w:rFonts w:hint="eastAsia" w:ascii="微软雅黑" w:hAnsi="微软雅黑" w:eastAsia="微软雅黑" w:cs="微软雅黑"/>
          <w:color w:val="auto"/>
          <w:sz w:val="32"/>
          <w:szCs w:val="32"/>
          <w:highlight w:val="none"/>
          <w:u w:val="single"/>
        </w:rPr>
        <w:t xml:space="preserve">                             </w:t>
      </w:r>
    </w:p>
    <w:p w14:paraId="10A9F0B6">
      <w:pPr>
        <w:spacing w:line="360" w:lineRule="auto"/>
        <w:ind w:left="420" w:leftChars="200"/>
        <w:rPr>
          <w:rFonts w:hint="eastAsia" w:ascii="微软雅黑" w:hAnsi="微软雅黑" w:eastAsia="微软雅黑" w:cs="微软雅黑"/>
          <w:color w:val="auto"/>
          <w:sz w:val="32"/>
          <w:szCs w:val="32"/>
          <w:highlight w:val="none"/>
          <w:u w:val="single"/>
        </w:rPr>
      </w:pPr>
      <w:r>
        <w:rPr>
          <w:rFonts w:hint="eastAsia" w:ascii="微软雅黑" w:hAnsi="微软雅黑" w:eastAsia="微软雅黑" w:cs="微软雅黑"/>
          <w:color w:val="auto"/>
          <w:sz w:val="32"/>
          <w:szCs w:val="32"/>
          <w:highlight w:val="none"/>
        </w:rPr>
        <w:t>乙    方：</w:t>
      </w:r>
      <w:r>
        <w:rPr>
          <w:rFonts w:hint="eastAsia" w:ascii="微软雅黑" w:hAnsi="微软雅黑" w:eastAsia="微软雅黑" w:cs="微软雅黑"/>
          <w:color w:val="auto"/>
          <w:sz w:val="32"/>
          <w:szCs w:val="32"/>
          <w:highlight w:val="none"/>
          <w:u w:val="single"/>
        </w:rPr>
        <w:t xml:space="preserve">                             </w:t>
      </w:r>
    </w:p>
    <w:p w14:paraId="679F5CDA">
      <w:pPr>
        <w:spacing w:line="360" w:lineRule="auto"/>
        <w:ind w:left="420" w:leftChars="200"/>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t>签订时间：</w:t>
      </w:r>
      <w:r>
        <w:rPr>
          <w:rFonts w:hint="eastAsia" w:ascii="微软雅黑" w:hAnsi="微软雅黑" w:eastAsia="微软雅黑" w:cs="微软雅黑"/>
          <w:color w:val="auto"/>
          <w:sz w:val="32"/>
          <w:szCs w:val="32"/>
          <w:highlight w:val="none"/>
          <w:u w:val="single"/>
        </w:rPr>
        <w:t xml:space="preserve">                             </w:t>
      </w:r>
    </w:p>
    <w:p w14:paraId="2255EC9F">
      <w:pPr>
        <w:rPr>
          <w:rFonts w:hint="eastAsia" w:ascii="微软雅黑" w:hAnsi="微软雅黑" w:eastAsia="微软雅黑" w:cs="微软雅黑"/>
          <w:color w:val="auto"/>
          <w:highlight w:val="none"/>
        </w:rPr>
      </w:pPr>
    </w:p>
    <w:p w14:paraId="35343DEA">
      <w:pPr>
        <w:rPr>
          <w:rFonts w:hint="eastAsia" w:ascii="微软雅黑" w:hAnsi="微软雅黑" w:eastAsia="微软雅黑" w:cs="微软雅黑"/>
          <w:color w:val="auto"/>
          <w:sz w:val="36"/>
          <w:szCs w:val="36"/>
          <w:highlight w:val="none"/>
          <w:lang w:eastAsia="zh-CN"/>
        </w:rPr>
      </w:pPr>
    </w:p>
    <w:p w14:paraId="051FFD88">
      <w:pPr>
        <w:rPr>
          <w:rFonts w:hint="eastAsia" w:ascii="微软雅黑" w:hAnsi="微软雅黑" w:eastAsia="微软雅黑" w:cs="微软雅黑"/>
          <w:b/>
          <w:bCs/>
          <w:color w:val="auto"/>
          <w:sz w:val="36"/>
          <w:szCs w:val="36"/>
          <w:highlight w:val="none"/>
          <w:lang w:eastAsia="zh-CN"/>
        </w:rPr>
      </w:pPr>
      <w:r>
        <w:rPr>
          <w:rFonts w:hint="eastAsia" w:ascii="微软雅黑" w:hAnsi="微软雅黑" w:eastAsia="微软雅黑" w:cs="微软雅黑"/>
          <w:b/>
          <w:bCs/>
          <w:color w:val="auto"/>
          <w:sz w:val="36"/>
          <w:szCs w:val="36"/>
          <w:highlight w:val="none"/>
          <w:lang w:eastAsia="zh-CN"/>
        </w:rPr>
        <w:t>注：该模版仅供参考，具体以双方实际签订合同为准。</w:t>
      </w:r>
    </w:p>
    <w:p w14:paraId="7AF75CA4">
      <w:pPr>
        <w:rPr>
          <w:rFonts w:hint="eastAsia" w:ascii="微软雅黑" w:hAnsi="微软雅黑" w:eastAsia="微软雅黑" w:cs="微软雅黑"/>
          <w:color w:val="auto"/>
          <w:sz w:val="44"/>
          <w:szCs w:val="44"/>
          <w:highlight w:val="none"/>
        </w:rPr>
      </w:pPr>
    </w:p>
    <w:p w14:paraId="2152D2BC">
      <w:pPr>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eastAsia="zh-CN"/>
        </w:rPr>
        <w:br w:type="page"/>
      </w:r>
    </w:p>
    <w:p w14:paraId="6954BDFA">
      <w:pPr>
        <w:jc w:val="center"/>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eastAsia="zh-CN"/>
        </w:rPr>
        <w:t>使</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lang w:eastAsia="zh-CN"/>
        </w:rPr>
        <w:t>用</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lang w:eastAsia="zh-CN"/>
        </w:rPr>
        <w:t>说</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lang w:eastAsia="zh-CN"/>
        </w:rPr>
        <w:t>明</w:t>
      </w:r>
    </w:p>
    <w:p w14:paraId="59B9D957">
      <w:pPr>
        <w:ind w:firstLine="560" w:firstLineChars="200"/>
        <w:rPr>
          <w:rFonts w:hint="eastAsia" w:ascii="微软雅黑" w:hAnsi="微软雅黑" w:eastAsia="微软雅黑" w:cs="微软雅黑"/>
          <w:color w:val="auto"/>
          <w:sz w:val="28"/>
          <w:szCs w:val="28"/>
          <w:highlight w:val="none"/>
          <w:lang w:val="en-US" w:eastAsia="zh-CN"/>
        </w:rPr>
      </w:pPr>
    </w:p>
    <w:p w14:paraId="7791CDC7">
      <w:pPr>
        <w:ind w:firstLine="560" w:firstLineChars="2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1.本合同标准文本适用于购买现成货物的采购项目，不包括需要供应商定制开发、创新研发的货物采购项目。</w:t>
      </w:r>
    </w:p>
    <w:p w14:paraId="6F10176E">
      <w:pPr>
        <w:ind w:firstLine="0" w:firstLineChars="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45E5CFA1">
      <w:pPr>
        <w:ind w:firstLine="560" w:firstLineChars="2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3CFB06E7">
      <w:pPr>
        <w:ind w:firstLine="560" w:firstLineChars="200"/>
        <w:jc w:val="both"/>
        <w:rPr>
          <w:rFonts w:hint="eastAsia" w:ascii="微软雅黑" w:hAnsi="微软雅黑" w:eastAsia="微软雅黑" w:cs="微软雅黑"/>
          <w:color w:val="auto"/>
          <w:sz w:val="28"/>
          <w:szCs w:val="28"/>
          <w:highlight w:val="none"/>
        </w:rPr>
        <w:sectPr>
          <w:headerReference r:id="rId9" w:type="default"/>
          <w:footerReference r:id="rId10" w:type="default"/>
          <w:pgSz w:w="11905" w:h="16838"/>
          <w:pgMar w:top="1440" w:right="1080" w:bottom="1440" w:left="108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34973CA4">
      <w:pPr>
        <w:adjustRightInd w:val="0"/>
        <w:snapToGrid w:val="0"/>
        <w:spacing w:beforeLines="0" w:line="400" w:lineRule="exact"/>
        <w:jc w:val="center"/>
        <w:outlineLvl w:val="9"/>
        <w:rPr>
          <w:rFonts w:hint="eastAsia" w:ascii="微软雅黑" w:hAnsi="微软雅黑" w:eastAsia="微软雅黑" w:cs="微软雅黑"/>
          <w:color w:val="auto"/>
          <w:sz w:val="28"/>
          <w:szCs w:val="28"/>
          <w:highlight w:val="none"/>
        </w:rPr>
      </w:pPr>
      <w:bookmarkStart w:id="867" w:name="_Toc22209"/>
    </w:p>
    <w:p w14:paraId="03CE33CD">
      <w:pPr>
        <w:adjustRightInd w:val="0"/>
        <w:snapToGrid w:val="0"/>
        <w:spacing w:beforeLines="0" w:line="400" w:lineRule="exact"/>
        <w:jc w:val="center"/>
        <w:outlineLvl w:val="9"/>
        <w:rPr>
          <w:rFonts w:hint="eastAsia" w:ascii="微软雅黑" w:hAnsi="微软雅黑" w:eastAsia="微软雅黑" w:cs="微软雅黑"/>
          <w:b w:val="0"/>
          <w:bCs w:val="0"/>
          <w:color w:val="auto"/>
          <w:sz w:val="28"/>
          <w:szCs w:val="28"/>
          <w:highlight w:val="none"/>
        </w:rPr>
      </w:pPr>
      <w:r>
        <w:rPr>
          <w:rFonts w:hint="eastAsia" w:ascii="微软雅黑" w:hAnsi="微软雅黑" w:eastAsia="微软雅黑" w:cs="微软雅黑"/>
          <w:b w:val="0"/>
          <w:bCs w:val="0"/>
          <w:color w:val="auto"/>
          <w:sz w:val="28"/>
          <w:szCs w:val="28"/>
          <w:highlight w:val="none"/>
        </w:rPr>
        <w:t>第一节 政府采购合同协议书</w:t>
      </w:r>
      <w:bookmarkEnd w:id="867"/>
    </w:p>
    <w:p w14:paraId="2C4E4C5A">
      <w:pPr>
        <w:adjustRightInd w:val="0"/>
        <w:snapToGrid w:val="0"/>
        <w:spacing w:beforeLines="0" w:line="400" w:lineRule="exact"/>
        <w:jc w:val="center"/>
        <w:outlineLvl w:val="9"/>
        <w:rPr>
          <w:rFonts w:hint="eastAsia" w:ascii="微软雅黑" w:hAnsi="微软雅黑" w:eastAsia="微软雅黑" w:cs="微软雅黑"/>
          <w:b w:val="0"/>
          <w:bCs w:val="0"/>
          <w:color w:val="auto"/>
          <w:sz w:val="28"/>
          <w:szCs w:val="28"/>
          <w:highlight w:val="none"/>
        </w:rPr>
      </w:pPr>
    </w:p>
    <w:p w14:paraId="2F24ADBA">
      <w:pPr>
        <w:adjustRightInd w:val="0"/>
        <w:snapToGrid w:val="0"/>
        <w:spacing w:before="0" w:beforeLines="0" w:line="400" w:lineRule="exac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甲方（全称）：</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（采购人</w:t>
      </w:r>
      <w:r>
        <w:rPr>
          <w:rFonts w:hint="eastAsia" w:ascii="微软雅黑" w:hAnsi="微软雅黑" w:eastAsia="微软雅黑" w:cs="微软雅黑"/>
          <w:color w:val="auto"/>
          <w:szCs w:val="21"/>
          <w:highlight w:val="none"/>
          <w:lang w:eastAsia="zh-CN"/>
        </w:rPr>
        <w:t>、受采购人委托签订合同的单位</w:t>
      </w:r>
      <w:r>
        <w:rPr>
          <w:rFonts w:hint="eastAsia" w:ascii="微软雅黑" w:hAnsi="微软雅黑" w:eastAsia="微软雅黑" w:cs="微软雅黑"/>
          <w:color w:val="auto"/>
          <w:szCs w:val="21"/>
          <w:highlight w:val="none"/>
        </w:rPr>
        <w:t>或采购</w:t>
      </w:r>
      <w:r>
        <w:rPr>
          <w:rFonts w:hint="eastAsia" w:ascii="微软雅黑" w:hAnsi="微软雅黑" w:eastAsia="微软雅黑" w:cs="微软雅黑"/>
          <w:color w:val="auto"/>
          <w:szCs w:val="21"/>
          <w:highlight w:val="none"/>
          <w:lang w:val="en-US" w:eastAsia="zh-CN"/>
        </w:rPr>
        <w:tab/>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文件约定的合同甲方）</w:t>
      </w:r>
    </w:p>
    <w:p w14:paraId="397C351C">
      <w:pPr>
        <w:adjustRightInd w:val="0"/>
        <w:snapToGrid w:val="0"/>
        <w:spacing w:before="0" w:beforeLines="0" w:line="400" w:lineRule="exac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乙方</w:t>
      </w:r>
      <w:r>
        <w:rPr>
          <w:rFonts w:hint="eastAsia" w:ascii="微软雅黑" w:hAnsi="微软雅黑" w:eastAsia="微软雅黑" w:cs="微软雅黑"/>
          <w:color w:val="auto"/>
          <w:szCs w:val="21"/>
          <w:highlight w:val="none"/>
          <w:lang w:val="en-US" w:eastAsia="zh-CN"/>
        </w:rPr>
        <w:t>1</w:t>
      </w:r>
      <w:r>
        <w:rPr>
          <w:rFonts w:hint="eastAsia" w:ascii="微软雅黑" w:hAnsi="微软雅黑" w:eastAsia="微软雅黑" w:cs="微软雅黑"/>
          <w:color w:val="auto"/>
          <w:szCs w:val="21"/>
          <w:highlight w:val="none"/>
        </w:rPr>
        <w:t>（全称）：</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（供应商）</w:t>
      </w:r>
    </w:p>
    <w:p w14:paraId="0DE2355E">
      <w:pPr>
        <w:adjustRightInd w:val="0"/>
        <w:snapToGrid w:val="0"/>
        <w:spacing w:before="0" w:beforeLines="0" w:line="400" w:lineRule="exac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乙方2（全称）：</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（联合体成员供应商或其他合同主体）（如有）</w:t>
      </w:r>
    </w:p>
    <w:p w14:paraId="2E9F5A35">
      <w:pPr>
        <w:adjustRightInd w:val="0"/>
        <w:snapToGrid w:val="0"/>
        <w:spacing w:before="0" w:beforeLines="0" w:line="400" w:lineRule="exac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highlight w:val="none"/>
          <w:lang w:eastAsia="zh-CN"/>
        </w:rPr>
        <w:t>乙方</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highlight w:val="none"/>
          <w:lang w:val="en-US" w:eastAsia="zh-CN"/>
        </w:rPr>
        <w:t>（全称）</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（联合体成员供应商或其他合同主体）（如有）</w:t>
      </w:r>
    </w:p>
    <w:p w14:paraId="398B82BE">
      <w:pPr>
        <w:spacing w:beforeLines="0" w:line="400" w:lineRule="exact"/>
        <w:outlineLvl w:val="9"/>
        <w:rPr>
          <w:rFonts w:hint="eastAsia" w:ascii="微软雅黑" w:hAnsi="微软雅黑" w:eastAsia="微软雅黑" w:cs="微软雅黑"/>
          <w:color w:val="auto"/>
          <w:highlight w:val="none"/>
          <w:lang w:val="en-US" w:eastAsia="zh-CN"/>
        </w:rPr>
      </w:pPr>
    </w:p>
    <w:p w14:paraId="50F8C791">
      <w:pPr>
        <w:pStyle w:val="12"/>
        <w:adjustRightInd w:val="0"/>
        <w:snapToGrid w:val="0"/>
        <w:spacing w:before="0" w:beforeLines="0" w:after="0" w:line="400" w:lineRule="exact"/>
        <w:ind w:left="0" w:leftChars="0" w:firstLine="48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依据《中华人民共和国民法典</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中华人民共和国政府采购法》等有关的法律法规，以及</w:t>
      </w:r>
      <w:r>
        <w:rPr>
          <w:rFonts w:hint="eastAsia" w:ascii="微软雅黑" w:hAnsi="微软雅黑" w:eastAsia="微软雅黑" w:cs="微软雅黑"/>
          <w:i w:val="0"/>
          <w:iCs w:val="0"/>
          <w:color w:val="auto"/>
          <w:szCs w:val="21"/>
          <w:highlight w:val="none"/>
          <w:u w:val="none"/>
          <w:lang w:eastAsia="zh-CN"/>
        </w:rPr>
        <w:t>本采购项目</w:t>
      </w:r>
      <w:r>
        <w:rPr>
          <w:rFonts w:hint="eastAsia" w:ascii="微软雅黑" w:hAnsi="微软雅黑" w:eastAsia="微软雅黑" w:cs="微软雅黑"/>
          <w:color w:val="auto"/>
          <w:szCs w:val="21"/>
          <w:highlight w:val="none"/>
        </w:rPr>
        <w:t>的</w:t>
      </w:r>
      <w:r>
        <w:rPr>
          <w:rFonts w:hint="eastAsia" w:ascii="微软雅黑" w:hAnsi="微软雅黑" w:eastAsia="微软雅黑" w:cs="微软雅黑"/>
          <w:color w:val="auto"/>
          <w:szCs w:val="21"/>
          <w:highlight w:val="none"/>
          <w:lang w:eastAsia="zh-CN"/>
        </w:rPr>
        <w:t>招标</w:t>
      </w:r>
      <w:r>
        <w:rPr>
          <w:rFonts w:hint="eastAsia" w:ascii="微软雅黑" w:hAnsi="微软雅黑" w:eastAsia="微软雅黑" w:cs="微软雅黑"/>
          <w:color w:val="auto"/>
          <w:szCs w:val="21"/>
          <w:highlight w:val="none"/>
          <w:lang w:val="en-US" w:eastAsia="zh-CN"/>
        </w:rPr>
        <w:t>/谈判</w:t>
      </w:r>
      <w:r>
        <w:rPr>
          <w:rFonts w:hint="eastAsia" w:ascii="微软雅黑" w:hAnsi="微软雅黑" w:eastAsia="微软雅黑" w:cs="微软雅黑"/>
          <w:color w:val="auto"/>
          <w:szCs w:val="21"/>
          <w:highlight w:val="none"/>
          <w:lang w:eastAsia="zh-CN"/>
        </w:rPr>
        <w:t>文件等</w:t>
      </w:r>
      <w:r>
        <w:rPr>
          <w:rFonts w:hint="eastAsia" w:ascii="微软雅黑" w:hAnsi="微软雅黑" w:eastAsia="微软雅黑" w:cs="微软雅黑"/>
          <w:color w:val="auto"/>
          <w:szCs w:val="21"/>
          <w:highlight w:val="none"/>
        </w:rPr>
        <w:t>采购文件</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 xml:space="preserve">乙方的《投标（响应）文件》及《中标（成交）通知书》，甲乙双方同意签订本合同。具体情况及要求如下：     </w:t>
      </w:r>
    </w:p>
    <w:p w14:paraId="23BD76BB">
      <w:pPr>
        <w:numPr>
          <w:ilvl w:val="0"/>
          <w:numId w:val="13"/>
        </w:numPr>
        <w:adjustRightInd w:val="0"/>
        <w:snapToGrid w:val="0"/>
        <w:spacing w:before="0" w:beforeLines="0" w:line="400" w:lineRule="exact"/>
        <w:ind w:firstLine="420" w:firstLineChars="200"/>
        <w:outlineLvl w:val="9"/>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项目信息</w:t>
      </w:r>
    </w:p>
    <w:p w14:paraId="760EC5DA">
      <w:pPr>
        <w:pStyle w:val="12"/>
        <w:numPr>
          <w:ilvl w:val="0"/>
          <w:numId w:val="14"/>
        </w:numPr>
        <w:adjustRightInd w:val="0"/>
        <w:snapToGrid w:val="0"/>
        <w:spacing w:before="0" w:beforeLines="0" w:after="0" w:line="400" w:lineRule="exact"/>
        <w:ind w:left="0" w:leftChars="0" w:firstLine="480" w:firstLineChars="20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采购项目名称：</w:t>
      </w:r>
      <w:r>
        <w:rPr>
          <w:rFonts w:hint="eastAsia" w:ascii="微软雅黑" w:hAnsi="微软雅黑" w:eastAsia="微软雅黑" w:cs="微软雅黑"/>
          <w:color w:val="auto"/>
          <w:szCs w:val="21"/>
          <w:highlight w:val="none"/>
          <w:u w:val="single"/>
        </w:rPr>
        <w:t xml:space="preserve">                                          </w:t>
      </w:r>
    </w:p>
    <w:p w14:paraId="6602CAF8">
      <w:pPr>
        <w:pStyle w:val="12"/>
        <w:numPr>
          <w:ilvl w:val="-1"/>
          <w:numId w:val="0"/>
        </w:numPr>
        <w:tabs>
          <w:tab w:val="left" w:pos="999"/>
        </w:tabs>
        <w:adjustRightInd w:val="0"/>
        <w:snapToGrid w:val="0"/>
        <w:spacing w:before="0" w:beforeLines="0" w:after="0" w:line="400" w:lineRule="exact"/>
        <w:ind w:left="0" w:leftChars="0" w:firstLine="0" w:firstLineChars="0"/>
        <w:outlineLvl w:val="9"/>
        <w:rPr>
          <w:rFonts w:hint="eastAsia" w:ascii="微软雅黑" w:hAnsi="微软雅黑" w:eastAsia="微软雅黑" w:cs="微软雅黑"/>
          <w:color w:val="auto"/>
          <w:szCs w:val="21"/>
          <w:highlight w:val="none"/>
          <w:u w:val="none"/>
          <w:lang w:val="en-US" w:eastAsia="zh-CN"/>
        </w:rPr>
      </w:pPr>
      <w:r>
        <w:rPr>
          <w:rFonts w:hint="eastAsia" w:ascii="微软雅黑" w:hAnsi="微软雅黑" w:eastAsia="微软雅黑" w:cs="微软雅黑"/>
          <w:color w:val="auto"/>
          <w:szCs w:val="21"/>
          <w:highlight w:val="none"/>
          <w:u w:val="none"/>
          <w:lang w:val="en-US" w:eastAsia="zh-CN"/>
        </w:rPr>
        <w:t xml:space="preserve">         采购项目编号：</w:t>
      </w:r>
      <w:r>
        <w:rPr>
          <w:rFonts w:hint="eastAsia" w:ascii="微软雅黑" w:hAnsi="微软雅黑" w:eastAsia="微软雅黑" w:cs="微软雅黑"/>
          <w:color w:val="auto"/>
          <w:szCs w:val="21"/>
          <w:highlight w:val="none"/>
          <w:u w:val="single"/>
        </w:rPr>
        <w:t xml:space="preserve">                                          </w:t>
      </w:r>
    </w:p>
    <w:p w14:paraId="74553357">
      <w:pPr>
        <w:pStyle w:val="12"/>
        <w:adjustRightInd w:val="0"/>
        <w:snapToGrid w:val="0"/>
        <w:spacing w:before="0" w:beforeLines="0" w:after="0" w:line="400" w:lineRule="exact"/>
        <w:ind w:left="0" w:leftChars="0" w:firstLine="48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（2）采购计划编号：</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 xml:space="preserve"> </w:t>
      </w:r>
    </w:p>
    <w:p w14:paraId="00F23F68">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（3）项目内容：</w:t>
      </w:r>
    </w:p>
    <w:p w14:paraId="260553B0">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lang w:eastAsia="zh-CN"/>
        </w:rPr>
        <w:t>采购标的及数量</w:t>
      </w:r>
      <w:r>
        <w:rPr>
          <w:rFonts w:hint="eastAsia" w:ascii="微软雅黑" w:hAnsi="微软雅黑" w:eastAsia="微软雅黑" w:cs="微软雅黑"/>
          <w:color w:val="auto"/>
          <w:szCs w:val="21"/>
          <w:highlight w:val="none"/>
          <w:lang w:val="en-US" w:eastAsia="zh-CN"/>
        </w:rPr>
        <w:t>（台/套</w:t>
      </w:r>
      <w:r>
        <w:rPr>
          <w:rFonts w:hint="eastAsia" w:ascii="微软雅黑" w:hAnsi="微软雅黑" w:eastAsia="微软雅黑" w:cs="微软雅黑"/>
          <w:color w:val="auto"/>
          <w:szCs w:val="21"/>
          <w:highlight w:val="none"/>
          <w:lang w:val="en" w:eastAsia="zh-CN"/>
        </w:rPr>
        <w:t>/个/架/组等</w:t>
      </w:r>
      <w:r>
        <w:rPr>
          <w:rFonts w:hint="eastAsia" w:ascii="微软雅黑" w:hAnsi="微软雅黑" w:eastAsia="微软雅黑" w:cs="微软雅黑"/>
          <w:color w:val="auto"/>
          <w:szCs w:val="21"/>
          <w:highlight w:val="none"/>
          <w:lang w:val="en-US" w:eastAsia="zh-CN"/>
        </w:rPr>
        <w:t>）</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none"/>
          <w:lang w:val="en-US" w:eastAsia="zh-CN"/>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lang w:val="en-US" w:eastAsia="zh-CN"/>
        </w:rPr>
        <w:t xml:space="preserve"> </w:t>
      </w:r>
    </w:p>
    <w:p w14:paraId="4553B695">
      <w:pPr>
        <w:numPr>
          <w:ilvl w:val="-1"/>
          <w:numId w:val="0"/>
        </w:num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lang w:val="en" w:eastAsia="zh-CN"/>
        </w:rPr>
      </w:pPr>
      <w:r>
        <w:rPr>
          <w:rFonts w:hint="eastAsia" w:ascii="微软雅黑" w:hAnsi="微软雅黑" w:eastAsia="微软雅黑" w:cs="微软雅黑"/>
          <w:color w:val="auto"/>
          <w:szCs w:val="21"/>
          <w:highlight w:val="none"/>
          <w:u w:val="none"/>
          <w:lang w:val="en-US" w:eastAsia="zh-CN"/>
        </w:rPr>
        <w:t xml:space="preserve">     </w:t>
      </w:r>
      <w:r>
        <w:rPr>
          <w:rFonts w:hint="eastAsia" w:ascii="微软雅黑" w:hAnsi="微软雅黑" w:eastAsia="微软雅黑" w:cs="微软雅黑"/>
          <w:color w:val="auto"/>
          <w:szCs w:val="21"/>
          <w:highlight w:val="none"/>
          <w:lang w:val="en-US" w:eastAsia="zh-CN"/>
        </w:rPr>
        <w:t>品牌：</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lang w:val="en" w:eastAsia="zh-CN"/>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lang w:val="en" w:eastAsia="zh-CN"/>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none"/>
          <w:lang w:val="en" w:eastAsia="zh-CN"/>
        </w:rPr>
        <w:t xml:space="preserve">     </w:t>
      </w:r>
      <w:r>
        <w:rPr>
          <w:rFonts w:hint="eastAsia" w:ascii="微软雅黑" w:hAnsi="微软雅黑" w:eastAsia="微软雅黑" w:cs="微软雅黑"/>
          <w:color w:val="auto"/>
          <w:szCs w:val="21"/>
          <w:highlight w:val="none"/>
          <w:lang w:val="en-US" w:eastAsia="zh-CN"/>
        </w:rPr>
        <w:t>规格型号：</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lang w:val="en" w:eastAsia="zh-CN"/>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lang w:val="en" w:eastAsia="zh-CN"/>
        </w:rPr>
        <w:t xml:space="preserve">   </w:t>
      </w:r>
    </w:p>
    <w:p w14:paraId="073FA2D3">
      <w:pPr>
        <w:adjustRightInd w:val="0"/>
        <w:snapToGrid w:val="0"/>
        <w:spacing w:before="0" w:beforeLines="0" w:line="400" w:lineRule="exact"/>
        <w:ind w:firstLine="945" w:firstLineChars="45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u w:val="none"/>
          <w:lang w:val="en-US" w:eastAsia="zh-CN"/>
        </w:rPr>
        <w:t>采购标的的技术要求、商务要求具体见附件。</w:t>
      </w:r>
    </w:p>
    <w:p w14:paraId="3EA66A6F">
      <w:pPr>
        <w:numPr>
          <w:ilvl w:val="-1"/>
          <w:numId w:val="0"/>
        </w:numPr>
        <w:adjustRightInd w:val="0"/>
        <w:snapToGrid w:val="0"/>
        <w:spacing w:before="0" w:beforeLines="0" w:line="400" w:lineRule="exact"/>
        <w:ind w:firstLine="945" w:firstLineChars="450"/>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①涉及信息类产品，请填写该产品关键部件的品牌、型号：</w:t>
      </w:r>
    </w:p>
    <w:p w14:paraId="12CAFE47">
      <w:pPr>
        <w:numPr>
          <w:ilvl w:val="-1"/>
          <w:numId w:val="0"/>
        </w:numPr>
        <w:adjustRightInd w:val="0"/>
        <w:snapToGrid w:val="0"/>
        <w:spacing w:before="0" w:beforeLines="0" w:line="400" w:lineRule="exact"/>
        <w:ind w:firstLine="420" w:firstLineChars="200"/>
        <w:outlineLvl w:val="9"/>
        <w:rPr>
          <w:rFonts w:hint="eastAsia" w:ascii="微软雅黑" w:hAnsi="微软雅黑" w:eastAsia="微软雅黑" w:cs="微软雅黑"/>
          <w:color w:val="auto"/>
          <w:kern w:val="0"/>
          <w:szCs w:val="21"/>
          <w:highlight w:val="none"/>
          <w:u w:val="single"/>
          <w:lang w:val="en-US" w:eastAsia="zh-CN"/>
        </w:rPr>
      </w:pPr>
      <w:r>
        <w:rPr>
          <w:rFonts w:hint="eastAsia" w:ascii="微软雅黑" w:hAnsi="微软雅黑" w:eastAsia="微软雅黑" w:cs="微软雅黑"/>
          <w:color w:val="auto"/>
          <w:szCs w:val="21"/>
          <w:highlight w:val="none"/>
          <w:lang w:val="en-US" w:eastAsia="zh-CN"/>
        </w:rPr>
        <w:t xml:space="preserve">     标的名称：</w:t>
      </w:r>
      <w:r>
        <w:rPr>
          <w:rFonts w:hint="eastAsia" w:ascii="微软雅黑" w:hAnsi="微软雅黑" w:eastAsia="微软雅黑" w:cs="微软雅黑"/>
          <w:color w:val="auto"/>
          <w:kern w:val="0"/>
          <w:szCs w:val="21"/>
          <w:highlight w:val="none"/>
          <w:u w:val="single"/>
          <w:lang w:val="en-US" w:eastAsia="zh-CN"/>
        </w:rPr>
        <w:t xml:space="preserve">      </w:t>
      </w:r>
      <w:r>
        <w:rPr>
          <w:rFonts w:hint="eastAsia" w:ascii="微软雅黑" w:hAnsi="微软雅黑" w:eastAsia="微软雅黑" w:cs="微软雅黑"/>
          <w:color w:val="auto"/>
          <w:kern w:val="0"/>
          <w:szCs w:val="21"/>
          <w:highlight w:val="none"/>
          <w:u w:val="single"/>
          <w:lang w:val="en" w:eastAsia="zh-CN"/>
        </w:rPr>
        <w:t xml:space="preserve">               </w:t>
      </w:r>
      <w:r>
        <w:rPr>
          <w:rFonts w:hint="eastAsia" w:ascii="微软雅黑" w:hAnsi="微软雅黑" w:eastAsia="微软雅黑" w:cs="微软雅黑"/>
          <w:color w:val="auto"/>
          <w:kern w:val="0"/>
          <w:szCs w:val="21"/>
          <w:highlight w:val="none"/>
          <w:u w:val="single"/>
          <w:lang w:val="en-US" w:eastAsia="zh-CN"/>
        </w:rPr>
        <w:t xml:space="preserve">    </w:t>
      </w:r>
    </w:p>
    <w:p w14:paraId="2AA2DBBA">
      <w:pPr>
        <w:numPr>
          <w:ilvl w:val="-1"/>
          <w:numId w:val="0"/>
        </w:num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 xml:space="preserve">     关键部件：</w:t>
      </w:r>
      <w:r>
        <w:rPr>
          <w:rFonts w:hint="eastAsia" w:ascii="微软雅黑" w:hAnsi="微软雅黑" w:eastAsia="微软雅黑" w:cs="微软雅黑"/>
          <w:color w:val="auto"/>
          <w:kern w:val="0"/>
          <w:szCs w:val="21"/>
          <w:highlight w:val="none"/>
          <w:u w:val="single"/>
          <w:lang w:val="en-US" w:eastAsia="zh-CN"/>
        </w:rPr>
        <w:t xml:space="preserve">          </w:t>
      </w:r>
      <w:r>
        <w:rPr>
          <w:rFonts w:hint="eastAsia" w:ascii="微软雅黑" w:hAnsi="微软雅黑" w:eastAsia="微软雅黑" w:cs="微软雅黑"/>
          <w:color w:val="auto"/>
          <w:kern w:val="0"/>
          <w:szCs w:val="21"/>
          <w:highlight w:val="none"/>
          <w:u w:val="none"/>
          <w:lang w:val="en-US" w:eastAsia="zh-CN"/>
        </w:rPr>
        <w:t xml:space="preserve"> </w:t>
      </w:r>
      <w:r>
        <w:rPr>
          <w:rFonts w:hint="eastAsia" w:ascii="微软雅黑" w:hAnsi="微软雅黑" w:eastAsia="微软雅黑" w:cs="微软雅黑"/>
          <w:color w:val="auto"/>
          <w:szCs w:val="21"/>
          <w:highlight w:val="none"/>
          <w:lang w:val="en-US" w:eastAsia="zh-CN"/>
        </w:rPr>
        <w:t>品牌：</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none"/>
          <w:lang w:val="en-US" w:eastAsia="zh-CN"/>
        </w:rPr>
        <w:t xml:space="preserve"> </w:t>
      </w:r>
      <w:r>
        <w:rPr>
          <w:rFonts w:hint="eastAsia" w:ascii="微软雅黑" w:hAnsi="微软雅黑" w:eastAsia="微软雅黑" w:cs="微软雅黑"/>
          <w:color w:val="auto"/>
          <w:szCs w:val="21"/>
          <w:highlight w:val="none"/>
          <w:lang w:val="en-US" w:eastAsia="zh-CN"/>
        </w:rPr>
        <w:t>型号：</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lang w:val="en-US" w:eastAsia="zh-CN"/>
        </w:rPr>
        <w:t xml:space="preserve"> </w:t>
      </w:r>
    </w:p>
    <w:p w14:paraId="773AD2E6">
      <w:pPr>
        <w:pStyle w:val="114"/>
        <w:spacing w:beforeLines="0"/>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w:t>
      </w:r>
      <w:r>
        <w:rPr>
          <w:rFonts w:hint="eastAsia" w:ascii="微软雅黑" w:hAnsi="微软雅黑" w:eastAsia="微软雅黑" w:cs="微软雅黑"/>
          <w:color w:val="auto"/>
          <w:kern w:val="2"/>
          <w:sz w:val="21"/>
          <w:szCs w:val="21"/>
          <w:highlight w:val="none"/>
          <w:lang w:val="en-US" w:eastAsia="zh-CN"/>
        </w:rPr>
        <w:t>关键部件</w:t>
      </w: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u w:val="none"/>
          <w:lang w:val="en-US" w:eastAsia="zh-CN"/>
        </w:rPr>
        <w:t xml:space="preserve"> </w:t>
      </w:r>
      <w:r>
        <w:rPr>
          <w:rFonts w:hint="eastAsia" w:ascii="微软雅黑" w:hAnsi="微软雅黑" w:eastAsia="微软雅黑" w:cs="微软雅黑"/>
          <w:color w:val="auto"/>
          <w:sz w:val="21"/>
          <w:szCs w:val="21"/>
          <w:highlight w:val="none"/>
          <w:lang w:val="en-US" w:eastAsia="zh-CN"/>
        </w:rPr>
        <w:t>品牌：</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u w:val="none"/>
          <w:lang w:val="en-US" w:eastAsia="zh-CN"/>
        </w:rPr>
        <w:t xml:space="preserve"> </w:t>
      </w:r>
      <w:r>
        <w:rPr>
          <w:rFonts w:hint="eastAsia" w:ascii="微软雅黑" w:hAnsi="微软雅黑" w:eastAsia="微软雅黑" w:cs="微软雅黑"/>
          <w:color w:val="auto"/>
          <w:sz w:val="21"/>
          <w:szCs w:val="21"/>
          <w:highlight w:val="none"/>
          <w:lang w:val="en-US" w:eastAsia="zh-CN"/>
        </w:rPr>
        <w:t>型号：</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lang w:val="en-US" w:eastAsia="zh-CN"/>
        </w:rPr>
        <w:t xml:space="preserve"> </w:t>
      </w:r>
    </w:p>
    <w:p w14:paraId="039DE72D">
      <w:pPr>
        <w:pStyle w:val="114"/>
        <w:spacing w:beforeLines="0"/>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关键部件：</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u w:val="none"/>
          <w:lang w:val="en-US" w:eastAsia="zh-CN"/>
        </w:rPr>
        <w:t xml:space="preserve"> </w:t>
      </w:r>
      <w:r>
        <w:rPr>
          <w:rFonts w:hint="eastAsia" w:ascii="微软雅黑" w:hAnsi="微软雅黑" w:eastAsia="微软雅黑" w:cs="微软雅黑"/>
          <w:color w:val="auto"/>
          <w:sz w:val="21"/>
          <w:szCs w:val="21"/>
          <w:highlight w:val="none"/>
          <w:lang w:val="en-US" w:eastAsia="zh-CN"/>
        </w:rPr>
        <w:t>品牌：</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u w:val="none"/>
          <w:lang w:val="en-US" w:eastAsia="zh-CN"/>
        </w:rPr>
        <w:t xml:space="preserve"> </w:t>
      </w:r>
      <w:r>
        <w:rPr>
          <w:rFonts w:hint="eastAsia" w:ascii="微软雅黑" w:hAnsi="微软雅黑" w:eastAsia="微软雅黑" w:cs="微软雅黑"/>
          <w:color w:val="auto"/>
          <w:sz w:val="21"/>
          <w:szCs w:val="21"/>
          <w:highlight w:val="none"/>
          <w:lang w:val="en-US" w:eastAsia="zh-CN"/>
        </w:rPr>
        <w:t>型号：</w:t>
      </w:r>
      <w:r>
        <w:rPr>
          <w:rFonts w:hint="eastAsia" w:ascii="微软雅黑" w:hAnsi="微软雅黑" w:eastAsia="微软雅黑" w:cs="微软雅黑"/>
          <w:color w:val="auto"/>
          <w:sz w:val="21"/>
          <w:szCs w:val="21"/>
          <w:highlight w:val="none"/>
          <w:u w:val="single"/>
          <w:lang w:val="en-US" w:eastAsia="zh-CN"/>
        </w:rPr>
        <w:t xml:space="preserve">       </w:t>
      </w:r>
    </w:p>
    <w:p w14:paraId="447B22B1">
      <w:pPr>
        <w:pStyle w:val="114"/>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BBE9158">
      <w:pPr>
        <w:pStyle w:val="114"/>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②涉及车辆采购，请填写是否属于新能源汽车：</w:t>
      </w:r>
    </w:p>
    <w:p w14:paraId="7AFE9686">
      <w:pPr>
        <w:pStyle w:val="114"/>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val="0"/>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rPr>
        <w:t>是</w:t>
      </w:r>
      <w:r>
        <w:rPr>
          <w:rFonts w:hint="eastAsia" w:ascii="微软雅黑" w:hAnsi="微软雅黑" w:eastAsia="微软雅黑" w:cs="微软雅黑"/>
          <w:iCs w:val="0"/>
          <w:color w:val="auto"/>
          <w:sz w:val="21"/>
          <w:szCs w:val="21"/>
          <w:highlight w:val="none"/>
          <w:lang w:eastAsia="zh-CN"/>
        </w:rPr>
        <w:t>，《政府采购品目分类目录》底级品目名称</w:t>
      </w: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lang w:val="en-US" w:eastAsia="zh-CN"/>
        </w:rPr>
        <w:t xml:space="preserve"> 数量：</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lang w:val="en-US" w:eastAsia="zh-CN"/>
        </w:rPr>
        <w:t xml:space="preserve"> 金额：</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iCs w:val="0"/>
          <w:color w:val="auto"/>
          <w:sz w:val="21"/>
          <w:szCs w:val="21"/>
          <w:highlight w:val="none"/>
          <w:lang w:val="en-US" w:eastAsia="zh-CN"/>
        </w:rPr>
        <w:t xml:space="preserve"> </w:t>
      </w:r>
    </w:p>
    <w:p w14:paraId="58BCA854">
      <w:pPr>
        <w:pStyle w:val="114"/>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val="0"/>
          <w:color w:val="auto"/>
          <w:sz w:val="21"/>
          <w:szCs w:val="21"/>
          <w:highlight w:val="none"/>
          <w:lang w:eastAsia="zh-CN"/>
        </w:rPr>
      </w:pP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否</w:t>
      </w:r>
    </w:p>
    <w:p w14:paraId="2D5FC843">
      <w:pPr>
        <w:pStyle w:val="114"/>
        <w:numPr>
          <w:ilvl w:val="-1"/>
          <w:numId w:val="0"/>
        </w:numPr>
        <w:adjustRightInd w:val="0"/>
        <w:snapToGrid w:val="0"/>
        <w:spacing w:before="0" w:beforeLines="0" w:line="400" w:lineRule="exact"/>
        <w:ind w:left="0" w:firstLine="0" w:firstLineChars="0"/>
        <w:outlineLvl w:val="9"/>
        <w:rPr>
          <w:rFonts w:hint="eastAsia" w:ascii="微软雅黑" w:hAnsi="微软雅黑" w:eastAsia="微软雅黑" w:cs="微软雅黑"/>
          <w:iCs w:val="0"/>
          <w:color w:val="auto"/>
          <w:sz w:val="21"/>
          <w:szCs w:val="21"/>
          <w:highlight w:val="none"/>
          <w:lang w:val="en-US" w:eastAsia="zh-CN"/>
        </w:rPr>
      </w:pP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lang w:val="en" w:eastAsia="zh-CN"/>
        </w:rPr>
        <w:t>4</w:t>
      </w:r>
      <w:r>
        <w:rPr>
          <w:rFonts w:hint="eastAsia" w:ascii="微软雅黑" w:hAnsi="微软雅黑" w:eastAsia="微软雅黑" w:cs="微软雅黑"/>
          <w:iCs w:val="0"/>
          <w:color w:val="auto"/>
          <w:sz w:val="21"/>
          <w:szCs w:val="21"/>
          <w:highlight w:val="none"/>
          <w:lang w:val="en-US" w:eastAsia="zh-CN"/>
        </w:rPr>
        <w:t>）政府采购组织形式：</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政府集中采购</w:t>
      </w: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val="en-US" w:eastAsia="zh-CN"/>
        </w:rPr>
        <w:t xml:space="preserve">部门集中采购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val="en-US" w:eastAsia="zh-CN"/>
        </w:rPr>
        <w:t>分散采购</w:t>
      </w:r>
    </w:p>
    <w:p w14:paraId="1A6AE40C">
      <w:pPr>
        <w:pStyle w:val="114"/>
        <w:numPr>
          <w:ilvl w:val="-1"/>
          <w:numId w:val="0"/>
        </w:numPr>
        <w:adjustRightInd w:val="0"/>
        <w:snapToGrid w:val="0"/>
        <w:spacing w:before="0" w:beforeLines="0" w:line="400" w:lineRule="exact"/>
        <w:ind w:left="0" w:firstLine="420" w:firstLineChars="0"/>
        <w:outlineLvl w:val="9"/>
        <w:rPr>
          <w:rFonts w:hint="eastAsia" w:ascii="微软雅黑" w:hAnsi="微软雅黑" w:eastAsia="微软雅黑" w:cs="微软雅黑"/>
          <w:iCs w:val="0"/>
          <w:color w:val="auto"/>
          <w:sz w:val="21"/>
          <w:szCs w:val="21"/>
          <w:highlight w:val="none"/>
          <w:lang w:eastAsia="zh-CN"/>
        </w:rPr>
      </w:pPr>
      <w:r>
        <w:rPr>
          <w:rFonts w:hint="eastAsia" w:ascii="微软雅黑" w:hAnsi="微软雅黑" w:eastAsia="微软雅黑" w:cs="微软雅黑"/>
          <w:iCs w:val="0"/>
          <w:color w:val="auto"/>
          <w:sz w:val="21"/>
          <w:szCs w:val="21"/>
          <w:highlight w:val="none"/>
          <w:lang w:val="en-US" w:eastAsia="zh-CN"/>
        </w:rPr>
        <w:t>（</w:t>
      </w:r>
      <w:r>
        <w:rPr>
          <w:rFonts w:hint="eastAsia" w:ascii="微软雅黑" w:hAnsi="微软雅黑" w:eastAsia="微软雅黑" w:cs="微软雅黑"/>
          <w:iCs w:val="0"/>
          <w:color w:val="auto"/>
          <w:sz w:val="21"/>
          <w:szCs w:val="21"/>
          <w:highlight w:val="none"/>
          <w:lang w:val="en" w:eastAsia="zh-CN"/>
        </w:rPr>
        <w:t>5</w:t>
      </w:r>
      <w:r>
        <w:rPr>
          <w:rFonts w:hint="eastAsia" w:ascii="微软雅黑" w:hAnsi="微软雅黑" w:eastAsia="微软雅黑" w:cs="微软雅黑"/>
          <w:iCs w:val="0"/>
          <w:color w:val="auto"/>
          <w:sz w:val="21"/>
          <w:szCs w:val="21"/>
          <w:highlight w:val="none"/>
          <w:lang w:val="en-US" w:eastAsia="zh-CN"/>
        </w:rPr>
        <w:t>）政府采购方式：</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公开招标</w:t>
      </w: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邀请招标</w:t>
      </w: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竞争性谈判</w:t>
      </w: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竞争性磋商</w:t>
      </w:r>
    </w:p>
    <w:p w14:paraId="49CC4518">
      <w:pPr>
        <w:pStyle w:val="114"/>
        <w:numPr>
          <w:ilvl w:val="-1"/>
          <w:numId w:val="0"/>
        </w:numPr>
        <w:adjustRightInd w:val="0"/>
        <w:snapToGrid w:val="0"/>
        <w:spacing w:before="0" w:beforeLines="0" w:line="400" w:lineRule="exact"/>
        <w:ind w:left="0" w:firstLine="420" w:firstLineChars="0"/>
        <w:outlineLvl w:val="9"/>
        <w:rPr>
          <w:rFonts w:hint="eastAsia" w:ascii="微软雅黑" w:hAnsi="微软雅黑" w:eastAsia="微软雅黑" w:cs="微软雅黑"/>
          <w:iCs w:val="0"/>
          <w:color w:val="auto"/>
          <w:sz w:val="21"/>
          <w:szCs w:val="21"/>
          <w:highlight w:val="none"/>
          <w:u w:val="single"/>
          <w:lang w:val="en-US" w:eastAsia="zh-CN"/>
        </w:rPr>
      </w:pPr>
      <w:r>
        <w:rPr>
          <w:rFonts w:hint="eastAsia" w:ascii="微软雅黑" w:hAnsi="微软雅黑" w:eastAsia="微软雅黑" w:cs="微软雅黑"/>
          <w:color w:val="auto"/>
          <w:szCs w:val="21"/>
          <w:highlight w:val="none"/>
          <w:u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询价</w:t>
      </w: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单一来源</w:t>
      </w: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框架协议</w:t>
      </w: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其他：</w:t>
      </w:r>
      <w:r>
        <w:rPr>
          <w:rFonts w:hint="eastAsia" w:ascii="微软雅黑" w:hAnsi="微软雅黑" w:eastAsia="微软雅黑" w:cs="微软雅黑"/>
          <w:iCs w:val="0"/>
          <w:color w:val="auto"/>
          <w:sz w:val="21"/>
          <w:szCs w:val="21"/>
          <w:highlight w:val="none"/>
          <w:u w:val="single"/>
          <w:lang w:val="en-US" w:eastAsia="zh-CN"/>
        </w:rPr>
        <w:t xml:space="preserve">          </w:t>
      </w:r>
    </w:p>
    <w:p w14:paraId="5C17BA76">
      <w:pPr>
        <w:pStyle w:val="114"/>
        <w:numPr>
          <w:ilvl w:val="-1"/>
          <w:numId w:val="0"/>
        </w:numPr>
        <w:adjustRightInd w:val="0"/>
        <w:snapToGrid w:val="0"/>
        <w:spacing w:before="0" w:beforeLines="0" w:line="400" w:lineRule="exact"/>
        <w:ind w:left="0" w:firstLine="420" w:firstLineChars="0"/>
        <w:outlineLvl w:val="9"/>
        <w:rPr>
          <w:rFonts w:hint="eastAsia" w:ascii="微软雅黑" w:hAnsi="微软雅黑" w:eastAsia="微软雅黑" w:cs="微软雅黑"/>
          <w:iCs w:val="0"/>
          <w:color w:val="auto"/>
          <w:sz w:val="21"/>
          <w:szCs w:val="21"/>
          <w:highlight w:val="none"/>
          <w:u w:val="none"/>
          <w:lang w:val="en-US" w:eastAsia="zh-CN"/>
        </w:rPr>
      </w:pPr>
      <w:r>
        <w:rPr>
          <w:rFonts w:hint="eastAsia" w:ascii="微软雅黑" w:hAnsi="微软雅黑" w:eastAsia="微软雅黑" w:cs="微软雅黑"/>
          <w:iCs w:val="0"/>
          <w:color w:val="auto"/>
          <w:sz w:val="21"/>
          <w:szCs w:val="21"/>
          <w:highlight w:val="none"/>
          <w:u w:val="none"/>
          <w:lang w:val="en-US" w:eastAsia="zh-CN"/>
        </w:rPr>
        <w:t>（注：在框架协议采购的第二阶段，可选择使用该合同文本）</w:t>
      </w:r>
    </w:p>
    <w:p w14:paraId="6D619B81">
      <w:pPr>
        <w:pStyle w:val="114"/>
        <w:numPr>
          <w:ilvl w:val="-1"/>
          <w:numId w:val="0"/>
        </w:numPr>
        <w:adjustRightInd w:val="0"/>
        <w:snapToGrid w:val="0"/>
        <w:spacing w:before="0" w:beforeLines="0" w:line="400" w:lineRule="exact"/>
        <w:ind w:firstLine="220" w:firstLineChars="100"/>
        <w:outlineLvl w:val="9"/>
        <w:rPr>
          <w:rFonts w:hint="eastAsia" w:ascii="微软雅黑" w:hAnsi="微软雅黑" w:eastAsia="微软雅黑" w:cs="微软雅黑"/>
          <w:color w:val="auto"/>
          <w:w w:val="100"/>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lang w:val="en" w:eastAsia="zh-CN"/>
        </w:rPr>
        <w:t>6</w:t>
      </w:r>
      <w:r>
        <w:rPr>
          <w:rFonts w:hint="eastAsia" w:ascii="微软雅黑" w:hAnsi="微软雅黑" w:eastAsia="微软雅黑" w:cs="微软雅黑"/>
          <w:color w:val="auto"/>
          <w:szCs w:val="21"/>
          <w:highlight w:val="none"/>
          <w:lang w:val="en-US" w:eastAsia="zh-CN"/>
        </w:rPr>
        <w:t>）</w:t>
      </w:r>
      <w:r>
        <w:rPr>
          <w:rFonts w:hint="eastAsia" w:ascii="微软雅黑" w:hAnsi="微软雅黑" w:eastAsia="微软雅黑" w:cs="微软雅黑"/>
          <w:color w:val="auto"/>
          <w:w w:val="100"/>
          <w:kern w:val="2"/>
          <w:sz w:val="21"/>
          <w:szCs w:val="21"/>
          <w:highlight w:val="none"/>
          <w:lang w:val="en-US" w:eastAsia="zh-CN" w:bidi="ar-SA"/>
        </w:rPr>
        <w:t>中标（成交）采购标的制造商是否为中小企业：</w:t>
      </w:r>
      <w:r>
        <w:rPr>
          <w:rFonts w:hint="eastAsia" w:ascii="微软雅黑" w:hAnsi="微软雅黑" w:eastAsia="微软雅黑" w:cs="微软雅黑"/>
          <w:color w:val="auto"/>
          <w:w w:val="100"/>
          <w:kern w:val="2"/>
          <w:sz w:val="21"/>
          <w:szCs w:val="21"/>
          <w:highlight w:val="none"/>
          <w:lang w:val="en-US" w:eastAsia="zh-CN" w:bidi="ar-SA"/>
        </w:rPr>
        <w:sym w:font="Wingdings" w:char="00A8"/>
      </w:r>
      <w:r>
        <w:rPr>
          <w:rFonts w:hint="eastAsia" w:ascii="微软雅黑" w:hAnsi="微软雅黑" w:eastAsia="微软雅黑" w:cs="微软雅黑"/>
          <w:color w:val="auto"/>
          <w:w w:val="100"/>
          <w:kern w:val="2"/>
          <w:sz w:val="21"/>
          <w:szCs w:val="21"/>
          <w:highlight w:val="none"/>
          <w:lang w:val="en-US" w:eastAsia="zh-CN" w:bidi="ar-SA"/>
        </w:rPr>
        <w:t xml:space="preserve">是      </w:t>
      </w:r>
      <w:r>
        <w:rPr>
          <w:rFonts w:hint="eastAsia" w:ascii="微软雅黑" w:hAnsi="微软雅黑" w:eastAsia="微软雅黑" w:cs="微软雅黑"/>
          <w:color w:val="auto"/>
          <w:w w:val="100"/>
          <w:kern w:val="2"/>
          <w:sz w:val="21"/>
          <w:szCs w:val="21"/>
          <w:highlight w:val="none"/>
          <w:lang w:val="en-US" w:eastAsia="zh-CN" w:bidi="ar-SA"/>
        </w:rPr>
        <w:sym w:font="Wingdings" w:char="00A8"/>
      </w:r>
      <w:r>
        <w:rPr>
          <w:rFonts w:hint="eastAsia" w:ascii="微软雅黑" w:hAnsi="微软雅黑" w:eastAsia="微软雅黑" w:cs="微软雅黑"/>
          <w:color w:val="auto"/>
          <w:w w:val="100"/>
          <w:kern w:val="2"/>
          <w:sz w:val="21"/>
          <w:szCs w:val="21"/>
          <w:highlight w:val="none"/>
          <w:lang w:val="en-US" w:eastAsia="zh-CN" w:bidi="ar-SA"/>
        </w:rPr>
        <w:t>否</w:t>
      </w:r>
    </w:p>
    <w:p w14:paraId="2352D14A">
      <w:pPr>
        <w:numPr>
          <w:ilvl w:val="-1"/>
          <w:numId w:val="0"/>
        </w:numPr>
        <w:adjustRightInd w:val="0"/>
        <w:snapToGrid w:val="0"/>
        <w:spacing w:before="0" w:beforeLines="0" w:line="400" w:lineRule="exact"/>
        <w:ind w:left="0" w:leftChars="0" w:firstLine="0" w:firstLineChars="0"/>
        <w:outlineLvl w:val="9"/>
        <w:rPr>
          <w:rFonts w:hint="eastAsia" w:ascii="微软雅黑" w:hAnsi="微软雅黑" w:eastAsia="微软雅黑" w:cs="微软雅黑"/>
          <w:iCs/>
          <w:color w:val="auto"/>
          <w:szCs w:val="21"/>
          <w:highlight w:val="none"/>
        </w:rPr>
      </w:pPr>
      <w:r>
        <w:rPr>
          <w:rFonts w:hint="eastAsia" w:ascii="微软雅黑" w:hAnsi="微软雅黑" w:eastAsia="微软雅黑" w:cs="微软雅黑"/>
          <w:color w:val="auto"/>
          <w:w w:val="100"/>
          <w:szCs w:val="21"/>
          <w:highlight w:val="none"/>
          <w:lang w:val="en-US" w:eastAsia="zh-CN"/>
        </w:rPr>
        <w:t xml:space="preserve">         本合同</w:t>
      </w:r>
      <w:r>
        <w:rPr>
          <w:rFonts w:hint="eastAsia" w:ascii="微软雅黑" w:hAnsi="微软雅黑" w:eastAsia="微软雅黑" w:cs="微软雅黑"/>
          <w:color w:val="auto"/>
          <w:w w:val="100"/>
          <w:szCs w:val="21"/>
          <w:highlight w:val="none"/>
        </w:rPr>
        <w:t>是否</w:t>
      </w:r>
      <w:r>
        <w:rPr>
          <w:rFonts w:hint="eastAsia" w:ascii="微软雅黑" w:hAnsi="微软雅黑" w:eastAsia="微软雅黑" w:cs="微软雅黑"/>
          <w:color w:val="auto"/>
          <w:w w:val="100"/>
          <w:szCs w:val="21"/>
          <w:highlight w:val="none"/>
          <w:lang w:eastAsia="zh-CN"/>
        </w:rPr>
        <w:t>为专门面向</w:t>
      </w:r>
      <w:r>
        <w:rPr>
          <w:rFonts w:hint="eastAsia" w:ascii="微软雅黑" w:hAnsi="微软雅黑" w:eastAsia="微软雅黑" w:cs="微软雅黑"/>
          <w:color w:val="auto"/>
          <w:w w:val="100"/>
          <w:szCs w:val="21"/>
          <w:highlight w:val="none"/>
        </w:rPr>
        <w:t>中小企业</w:t>
      </w:r>
      <w:r>
        <w:rPr>
          <w:rFonts w:hint="eastAsia" w:ascii="微软雅黑" w:hAnsi="微软雅黑" w:eastAsia="微软雅黑" w:cs="微软雅黑"/>
          <w:color w:val="auto"/>
          <w:w w:val="100"/>
          <w:szCs w:val="21"/>
          <w:highlight w:val="none"/>
          <w:lang w:eastAsia="zh-CN"/>
        </w:rPr>
        <w:t>的采</w:t>
      </w:r>
      <w:r>
        <w:rPr>
          <w:rFonts w:hint="eastAsia" w:ascii="微软雅黑" w:hAnsi="微软雅黑" w:eastAsia="微软雅黑" w:cs="微软雅黑"/>
          <w:color w:val="auto"/>
          <w:w w:val="100"/>
          <w:szCs w:val="21"/>
          <w:highlight w:val="none"/>
          <w:shd w:val="clear"/>
          <w:lang w:eastAsia="zh-CN"/>
        </w:rPr>
        <w:t>购</w:t>
      </w:r>
      <w:r>
        <w:rPr>
          <w:rFonts w:hint="eastAsia" w:ascii="微软雅黑" w:hAnsi="微软雅黑" w:eastAsia="微软雅黑" w:cs="微软雅黑"/>
          <w:color w:val="auto"/>
          <w:w w:val="100"/>
          <w:szCs w:val="21"/>
          <w:highlight w:val="none"/>
          <w:shd w:val="clear"/>
        </w:rPr>
        <w:t>合同</w:t>
      </w:r>
      <w:r>
        <w:rPr>
          <w:rFonts w:hint="eastAsia" w:ascii="微软雅黑" w:hAnsi="微软雅黑" w:eastAsia="微软雅黑" w:cs="微软雅黑"/>
          <w:color w:val="auto"/>
          <w:w w:val="100"/>
          <w:szCs w:val="21"/>
          <w:highlight w:val="none"/>
          <w:shd w:val="clear"/>
          <w:lang w:eastAsia="zh-CN"/>
        </w:rPr>
        <w:t>（中小企业预留合同）</w:t>
      </w:r>
      <w:r>
        <w:rPr>
          <w:rFonts w:hint="eastAsia" w:ascii="微软雅黑" w:hAnsi="微软雅黑" w:eastAsia="微软雅黑" w:cs="微软雅黑"/>
          <w:color w:val="auto"/>
          <w:szCs w:val="21"/>
          <w:highlight w:val="none"/>
          <w:shd w:val="clear"/>
        </w:rPr>
        <w:t>：</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是 </w:t>
      </w: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否</w:t>
      </w:r>
    </w:p>
    <w:p w14:paraId="2E0CFA76">
      <w:pPr>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color w:val="auto"/>
          <w:szCs w:val="21"/>
          <w:highlight w:val="none"/>
        </w:rPr>
      </w:pPr>
      <w:r>
        <w:rPr>
          <w:rFonts w:hint="eastAsia" w:ascii="微软雅黑" w:hAnsi="微软雅黑" w:eastAsia="微软雅黑" w:cs="微软雅黑"/>
          <w:color w:val="auto"/>
          <w:highlight w:val="none"/>
          <w:lang w:val="en-US" w:eastAsia="zh-CN"/>
        </w:rPr>
        <w:t xml:space="preserve">         若本项目不专门面向中小企业采购，是否给予小微企业评审优惠：</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是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否</w:t>
      </w:r>
    </w:p>
    <w:p w14:paraId="7BBD4AF7">
      <w:pPr>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color w:val="auto"/>
          <w:szCs w:val="21"/>
          <w:highlight w:val="none"/>
        </w:rPr>
      </w:pPr>
      <w:r>
        <w:rPr>
          <w:rFonts w:hint="eastAsia" w:ascii="微软雅黑" w:hAnsi="微软雅黑" w:eastAsia="微软雅黑" w:cs="微软雅黑"/>
          <w:color w:val="auto"/>
          <w:highlight w:val="none"/>
          <w:lang w:val="en-US" w:eastAsia="zh-CN"/>
        </w:rPr>
        <w:t xml:space="preserve">         中标（成交）采购标的制造商是否为残疾人福利性单位：</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是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否</w:t>
      </w:r>
    </w:p>
    <w:p w14:paraId="11AECCF8">
      <w:pPr>
        <w:numPr>
          <w:ilvl w:val="0"/>
          <w:numId w:val="0"/>
        </w:numPr>
        <w:snapToGrid w:val="0"/>
        <w:spacing w:beforeLines="0" w:line="400" w:lineRule="exact"/>
        <w:ind w:firstLine="0" w:firstLineChars="0"/>
        <w:outlineLvl w:val="9"/>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 xml:space="preserve">         中标（成交）采购标的制造商是否为监狱企业：</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是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否</w:t>
      </w:r>
    </w:p>
    <w:p w14:paraId="4FF8B29B">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 w:eastAsia="zh-CN"/>
        </w:rPr>
        <w:t>7</w:t>
      </w:r>
      <w:r>
        <w:rPr>
          <w:rFonts w:hint="eastAsia" w:ascii="微软雅黑" w:hAnsi="微软雅黑" w:eastAsia="微软雅黑" w:cs="微软雅黑"/>
          <w:color w:val="auto"/>
          <w:szCs w:val="21"/>
          <w:highlight w:val="none"/>
        </w:rPr>
        <w:t>）合同是否分包：</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是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否</w:t>
      </w:r>
    </w:p>
    <w:p w14:paraId="7A5A8CEC">
      <w:pPr>
        <w:adjustRightInd w:val="0"/>
        <w:snapToGrid w:val="0"/>
        <w:spacing w:before="0" w:beforeLines="0" w:line="400" w:lineRule="exact"/>
        <w:ind w:firstLine="840" w:firstLineChars="40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分包主要内容：</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p>
    <w:p w14:paraId="5ACF0CB7">
      <w:pPr>
        <w:adjustRightInd w:val="0"/>
        <w:snapToGrid w:val="0"/>
        <w:spacing w:before="0" w:beforeLines="0" w:line="400" w:lineRule="exact"/>
        <w:ind w:firstLine="840" w:firstLineChars="4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u w:val="none"/>
          <w:lang w:val="en-US" w:eastAsia="zh-CN"/>
        </w:rPr>
        <w:t xml:space="preserve"> </w:t>
      </w:r>
      <w:r>
        <w:rPr>
          <w:rFonts w:hint="eastAsia" w:ascii="微软雅黑" w:hAnsi="微软雅黑" w:eastAsia="微软雅黑" w:cs="微软雅黑"/>
          <w:color w:val="auto"/>
          <w:szCs w:val="21"/>
          <w:highlight w:val="none"/>
        </w:rPr>
        <w:t>分包供应商</w:t>
      </w:r>
      <w:r>
        <w:rPr>
          <w:rFonts w:hint="eastAsia" w:ascii="微软雅黑" w:hAnsi="微软雅黑" w:eastAsia="微软雅黑" w:cs="微软雅黑"/>
          <w:color w:val="auto"/>
          <w:szCs w:val="21"/>
          <w:highlight w:val="none"/>
          <w:lang w:eastAsia="zh-CN"/>
        </w:rPr>
        <w:t>/制造商</w:t>
      </w:r>
      <w:r>
        <w:rPr>
          <w:rFonts w:hint="eastAsia" w:ascii="微软雅黑" w:hAnsi="微软雅黑" w:eastAsia="微软雅黑" w:cs="微软雅黑"/>
          <w:color w:val="auto"/>
          <w:szCs w:val="21"/>
          <w:highlight w:val="none"/>
        </w:rPr>
        <w:t>名称</w:t>
      </w:r>
      <w:r>
        <w:rPr>
          <w:rFonts w:hint="eastAsia" w:ascii="微软雅黑" w:hAnsi="微软雅黑" w:eastAsia="微软雅黑" w:cs="微软雅黑"/>
          <w:color w:val="auto"/>
          <w:szCs w:val="21"/>
          <w:highlight w:val="none"/>
          <w:lang w:eastAsia="zh-CN"/>
        </w:rPr>
        <w:t>（如供应商和制造商不同，请分别填写）</w:t>
      </w:r>
      <w:r>
        <w:rPr>
          <w:rFonts w:hint="eastAsia" w:ascii="微软雅黑" w:hAnsi="微软雅黑" w:eastAsia="微软雅黑" w:cs="微软雅黑"/>
          <w:color w:val="auto"/>
          <w:szCs w:val="21"/>
          <w:highlight w:val="none"/>
        </w:rPr>
        <w:t>：</w:t>
      </w:r>
    </w:p>
    <w:p w14:paraId="04E830CB">
      <w:pPr>
        <w:adjustRightInd w:val="0"/>
        <w:snapToGrid w:val="0"/>
        <w:spacing w:before="0" w:beforeLines="0" w:line="400" w:lineRule="exact"/>
        <w:ind w:firstLine="840" w:firstLineChars="40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u w:val="non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p>
    <w:p w14:paraId="396E37F4">
      <w:pPr>
        <w:adjustRightInd w:val="0"/>
        <w:snapToGrid w:val="0"/>
        <w:spacing w:before="0" w:beforeLines="0" w:line="400" w:lineRule="exact"/>
        <w:ind w:firstLine="840" w:firstLineChars="4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分包供应商</w:t>
      </w:r>
      <w:r>
        <w:rPr>
          <w:rFonts w:hint="eastAsia" w:ascii="微软雅黑" w:hAnsi="微软雅黑" w:eastAsia="微软雅黑" w:cs="微软雅黑"/>
          <w:color w:val="auto"/>
          <w:szCs w:val="21"/>
          <w:highlight w:val="none"/>
          <w:lang w:val="en-US" w:eastAsia="zh-CN"/>
        </w:rPr>
        <w:t>/</w:t>
      </w:r>
      <w:r>
        <w:rPr>
          <w:rFonts w:hint="eastAsia" w:ascii="微软雅黑" w:hAnsi="微软雅黑" w:eastAsia="微软雅黑" w:cs="微软雅黑"/>
          <w:color w:val="auto"/>
          <w:szCs w:val="21"/>
          <w:highlight w:val="none"/>
          <w:lang w:eastAsia="zh-CN"/>
        </w:rPr>
        <w:t>制造商</w:t>
      </w:r>
      <w:r>
        <w:rPr>
          <w:rFonts w:hint="eastAsia" w:ascii="微软雅黑" w:hAnsi="微软雅黑" w:eastAsia="微软雅黑" w:cs="微软雅黑"/>
          <w:color w:val="auto"/>
          <w:szCs w:val="21"/>
          <w:highlight w:val="none"/>
        </w:rPr>
        <w:t>类型</w:t>
      </w:r>
      <w:r>
        <w:rPr>
          <w:rFonts w:hint="eastAsia" w:ascii="微软雅黑" w:hAnsi="微软雅黑" w:eastAsia="微软雅黑" w:cs="微软雅黑"/>
          <w:color w:val="auto"/>
          <w:szCs w:val="21"/>
          <w:highlight w:val="none"/>
          <w:lang w:eastAsia="zh-CN"/>
        </w:rPr>
        <w:t>（如果供应商和制造商不同，只填写制造商类型）</w:t>
      </w:r>
      <w:r>
        <w:rPr>
          <w:rFonts w:hint="eastAsia" w:ascii="微软雅黑" w:hAnsi="微软雅黑" w:eastAsia="微软雅黑" w:cs="微软雅黑"/>
          <w:color w:val="auto"/>
          <w:szCs w:val="21"/>
          <w:highlight w:val="none"/>
        </w:rPr>
        <w:t>：</w:t>
      </w:r>
    </w:p>
    <w:p w14:paraId="7755CF0B">
      <w:pPr>
        <w:adjustRightInd w:val="0"/>
        <w:snapToGrid w:val="0"/>
        <w:spacing w:beforeLines="0" w:line="400" w:lineRule="exact"/>
        <w:ind w:firstLine="840" w:firstLineChars="400"/>
        <w:outlineLvl w:val="9"/>
        <w:rPr>
          <w:rFonts w:hint="eastAsia" w:ascii="微软雅黑" w:hAnsi="微软雅黑" w:eastAsia="微软雅黑" w:cs="微软雅黑"/>
          <w:iCs/>
          <w:color w:val="auto"/>
          <w:szCs w:val="21"/>
          <w:highlight w:val="none"/>
          <w:lang w:val="en-US" w:eastAsia="zh-CN"/>
        </w:rPr>
      </w:pP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大型企业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中型企业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小微型企业</w:t>
      </w:r>
      <w:r>
        <w:rPr>
          <w:rFonts w:hint="eastAsia" w:ascii="微软雅黑" w:hAnsi="微软雅黑" w:eastAsia="微软雅黑" w:cs="微软雅黑"/>
          <w:iCs/>
          <w:color w:val="auto"/>
          <w:szCs w:val="21"/>
          <w:highlight w:val="none"/>
          <w:lang w:val="en-US" w:eastAsia="zh-CN"/>
        </w:rPr>
        <w:t xml:space="preserve">  </w:t>
      </w:r>
    </w:p>
    <w:p w14:paraId="24ACF4AA">
      <w:pPr>
        <w:adjustRightInd w:val="0"/>
        <w:snapToGrid w:val="0"/>
        <w:spacing w:beforeLines="0" w:line="400" w:lineRule="exact"/>
        <w:ind w:firstLine="840" w:firstLineChars="400"/>
        <w:outlineLvl w:val="9"/>
        <w:rPr>
          <w:rFonts w:hint="eastAsia" w:ascii="微软雅黑" w:hAnsi="微软雅黑" w:eastAsia="微软雅黑" w:cs="微软雅黑"/>
          <w:color w:val="auto"/>
          <w:highlight w:val="none"/>
          <w:u w:val="none"/>
          <w:lang w:val="en-US" w:eastAsia="zh-CN"/>
        </w:rPr>
      </w:pP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残疾人福利性单位</w:t>
      </w: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监狱</w:t>
      </w:r>
      <w:r>
        <w:rPr>
          <w:rFonts w:hint="eastAsia" w:ascii="微软雅黑" w:hAnsi="微软雅黑" w:eastAsia="微软雅黑" w:cs="微软雅黑"/>
          <w:iCs/>
          <w:color w:val="auto"/>
          <w:szCs w:val="21"/>
          <w:highlight w:val="none"/>
        </w:rPr>
        <w:t>企业</w:t>
      </w: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其他</w:t>
      </w:r>
    </w:p>
    <w:p w14:paraId="7A349A65">
      <w:pPr>
        <w:numPr>
          <w:ilvl w:val="-1"/>
          <w:numId w:val="0"/>
        </w:numPr>
        <w:adjustRightInd w:val="0"/>
        <w:snapToGrid w:val="0"/>
        <w:spacing w:before="0" w:beforeLines="0" w:line="400" w:lineRule="exact"/>
        <w:ind w:left="0" w:leftChars="0" w:firstLine="0" w:firstLineChars="0"/>
        <w:outlineLvl w:val="9"/>
        <w:rPr>
          <w:rFonts w:hint="eastAsia" w:ascii="微软雅黑" w:hAnsi="微软雅黑" w:eastAsia="微软雅黑" w:cs="微软雅黑"/>
          <w:iCs/>
          <w:color w:val="auto"/>
          <w:szCs w:val="21"/>
          <w:highlight w:val="none"/>
        </w:rPr>
      </w:pPr>
      <w:r>
        <w:rPr>
          <w:rFonts w:hint="eastAsia" w:ascii="微软雅黑" w:hAnsi="微软雅黑" w:eastAsia="微软雅黑" w:cs="微软雅黑"/>
          <w:color w:val="auto"/>
          <w:szCs w:val="21"/>
          <w:highlight w:val="none"/>
          <w:u w:val="none"/>
          <w:lang w:val="en-US" w:eastAsia="zh-CN"/>
        </w:rPr>
        <w:t xml:space="preserve">    （</w:t>
      </w:r>
      <w:r>
        <w:rPr>
          <w:rFonts w:hint="eastAsia" w:ascii="微软雅黑" w:hAnsi="微软雅黑" w:eastAsia="微软雅黑" w:cs="微软雅黑"/>
          <w:color w:val="auto"/>
          <w:szCs w:val="21"/>
          <w:highlight w:val="none"/>
          <w:u w:val="none"/>
          <w:lang w:val="en" w:eastAsia="zh-CN"/>
        </w:rPr>
        <w:t>8</w:t>
      </w:r>
      <w:r>
        <w:rPr>
          <w:rFonts w:hint="eastAsia" w:ascii="微软雅黑" w:hAnsi="微软雅黑" w:eastAsia="微软雅黑" w:cs="微软雅黑"/>
          <w:color w:val="auto"/>
          <w:szCs w:val="21"/>
          <w:highlight w:val="none"/>
          <w:u w:val="none"/>
          <w:lang w:val="en-US" w:eastAsia="zh-CN"/>
        </w:rPr>
        <w:t>）中标（成交）供应商是否为外商投资企业：</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是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否</w:t>
      </w:r>
    </w:p>
    <w:p w14:paraId="4455FD6A">
      <w:pPr>
        <w:pStyle w:val="114"/>
        <w:tabs>
          <w:tab w:val="left" w:pos="1340"/>
        </w:tabs>
        <w:spacing w:beforeLines="0"/>
        <w:outlineLvl w:val="9"/>
        <w:rPr>
          <w:rFonts w:hint="eastAsia" w:ascii="微软雅黑" w:hAnsi="微软雅黑" w:eastAsia="微软雅黑" w:cs="微软雅黑"/>
          <w:color w:val="auto"/>
          <w:sz w:val="21"/>
          <w:szCs w:val="21"/>
          <w:highlight w:val="none"/>
          <w:u w:val="single"/>
        </w:rPr>
      </w:pPr>
      <w:r>
        <w:rPr>
          <w:rFonts w:hint="eastAsia" w:ascii="微软雅黑" w:hAnsi="微软雅黑" w:eastAsia="微软雅黑" w:cs="微软雅黑"/>
          <w:color w:val="auto"/>
          <w:sz w:val="21"/>
          <w:szCs w:val="21"/>
          <w:highlight w:val="none"/>
          <w:u w:val="none"/>
          <w:lang w:val="en-US" w:eastAsia="zh-CN"/>
        </w:rPr>
        <w:t xml:space="preserve">     外商投资企业类型：</w:t>
      </w:r>
      <w:r>
        <w:rPr>
          <w:rFonts w:hint="eastAsia" w:ascii="微软雅黑" w:hAnsi="微软雅黑" w:eastAsia="微软雅黑" w:cs="微软雅黑"/>
          <w:iCs/>
          <w:color w:val="auto"/>
          <w:sz w:val="21"/>
          <w:szCs w:val="21"/>
          <w:highlight w:val="none"/>
        </w:rPr>
        <w:sym w:font="Wingdings" w:char="00A8"/>
      </w:r>
      <w:r>
        <w:rPr>
          <w:rFonts w:hint="eastAsia" w:ascii="微软雅黑" w:hAnsi="微软雅黑" w:eastAsia="微软雅黑" w:cs="微软雅黑"/>
          <w:color w:val="auto"/>
          <w:sz w:val="21"/>
          <w:szCs w:val="21"/>
          <w:highlight w:val="none"/>
          <w:u w:val="none"/>
          <w:lang w:val="en-US" w:eastAsia="zh-CN"/>
        </w:rPr>
        <w:t xml:space="preserve">全部由外国投资者投资  </w:t>
      </w:r>
      <w:r>
        <w:rPr>
          <w:rFonts w:hint="eastAsia" w:ascii="微软雅黑" w:hAnsi="微软雅黑" w:eastAsia="微软雅黑" w:cs="微软雅黑"/>
          <w:iCs/>
          <w:color w:val="auto"/>
          <w:sz w:val="21"/>
          <w:szCs w:val="21"/>
          <w:highlight w:val="none"/>
        </w:rPr>
        <w:sym w:font="Wingdings" w:char="00A8"/>
      </w:r>
      <w:r>
        <w:rPr>
          <w:rFonts w:hint="eastAsia" w:ascii="微软雅黑" w:hAnsi="微软雅黑" w:eastAsia="微软雅黑" w:cs="微软雅黑"/>
          <w:iCs/>
          <w:color w:val="auto"/>
          <w:sz w:val="21"/>
          <w:szCs w:val="21"/>
          <w:highlight w:val="none"/>
          <w:lang w:val="en-US" w:eastAsia="zh-CN"/>
        </w:rPr>
        <w:t>部分由外国投资者投资</w:t>
      </w:r>
    </w:p>
    <w:p w14:paraId="6689166C">
      <w:pPr>
        <w:numPr>
          <w:ilvl w:val="-1"/>
          <w:numId w:val="0"/>
        </w:numPr>
        <w:adjustRightInd w:val="0"/>
        <w:snapToGrid w:val="0"/>
        <w:spacing w:before="0" w:beforeLines="0" w:line="400" w:lineRule="exact"/>
        <w:ind w:firstLine="420" w:firstLineChars="200"/>
        <w:outlineLvl w:val="9"/>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w:t>
      </w:r>
      <w:r>
        <w:rPr>
          <w:rFonts w:hint="eastAsia" w:ascii="微软雅黑" w:hAnsi="微软雅黑" w:eastAsia="微软雅黑" w:cs="微软雅黑"/>
          <w:b w:val="0"/>
          <w:bCs w:val="0"/>
          <w:color w:val="auto"/>
          <w:sz w:val="21"/>
          <w:szCs w:val="21"/>
          <w:highlight w:val="none"/>
          <w:u w:val="none"/>
          <w:lang w:val="en" w:eastAsia="zh-CN"/>
        </w:rPr>
        <w:t>9</w:t>
      </w:r>
      <w:r>
        <w:rPr>
          <w:rFonts w:hint="eastAsia" w:ascii="微软雅黑" w:hAnsi="微软雅黑" w:eastAsia="微软雅黑" w:cs="微软雅黑"/>
          <w:b w:val="0"/>
          <w:bCs w:val="0"/>
          <w:color w:val="auto"/>
          <w:sz w:val="21"/>
          <w:szCs w:val="21"/>
          <w:highlight w:val="none"/>
          <w:u w:val="none"/>
          <w:lang w:val="en-US" w:eastAsia="zh-CN"/>
        </w:rPr>
        <w:t>）是否涉及进口产品：</w:t>
      </w:r>
    </w:p>
    <w:p w14:paraId="48501DF2">
      <w:pPr>
        <w:numPr>
          <w:ilvl w:val="-1"/>
          <w:numId w:val="0"/>
        </w:numPr>
        <w:adjustRightInd w:val="0"/>
        <w:snapToGrid w:val="0"/>
        <w:spacing w:before="0" w:beforeLines="0" w:line="400" w:lineRule="exact"/>
        <w:ind w:firstLine="840" w:firstLineChars="400"/>
        <w:outlineLvl w:val="9"/>
        <w:rPr>
          <w:rFonts w:hint="eastAsia" w:ascii="微软雅黑" w:hAnsi="微软雅黑" w:eastAsia="微软雅黑" w:cs="微软雅黑"/>
          <w:color w:val="auto"/>
          <w:szCs w:val="21"/>
          <w:highlight w:val="none"/>
          <w:u w:val="single"/>
          <w:lang w:val="en-US" w:eastAsia="zh-CN"/>
        </w:rPr>
      </w:pPr>
      <w:r>
        <w:rPr>
          <w:rFonts w:hint="eastAsia" w:ascii="微软雅黑" w:hAnsi="微软雅黑" w:eastAsia="微软雅黑" w:cs="微软雅黑"/>
          <w:iCs w:val="0"/>
          <w:color w:val="auto"/>
          <w:szCs w:val="21"/>
          <w:highlight w:val="none"/>
          <w:lang w:val="en-US" w:eastAsia="zh-CN"/>
        </w:rPr>
        <w:t xml:space="preserve"> </w:t>
      </w: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rPr>
        <w:t>是</w:t>
      </w:r>
      <w:r>
        <w:rPr>
          <w:rFonts w:hint="eastAsia" w:ascii="微软雅黑" w:hAnsi="微软雅黑" w:eastAsia="微软雅黑" w:cs="微软雅黑"/>
          <w:iCs w:val="0"/>
          <w:color w:val="auto"/>
          <w:szCs w:val="21"/>
          <w:highlight w:val="none"/>
          <w:lang w:eastAsia="zh-CN"/>
        </w:rPr>
        <w:t>，《政府采购品目分类目录》底级品目名称</w:t>
      </w:r>
      <w:r>
        <w:rPr>
          <w:rFonts w:hint="eastAsia" w:ascii="微软雅黑" w:hAnsi="微软雅黑" w:eastAsia="微软雅黑" w:cs="微软雅黑"/>
          <w:color w:val="auto"/>
          <w:szCs w:val="21"/>
          <w:highlight w:val="none"/>
          <w:lang w:val="en-US" w:eastAsia="zh-CN"/>
        </w:rPr>
        <w:t>：</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lang w:val="en-US" w:eastAsia="zh-CN"/>
        </w:rPr>
        <w:t xml:space="preserve"> 金额：</w:t>
      </w:r>
      <w:r>
        <w:rPr>
          <w:rFonts w:hint="eastAsia" w:ascii="微软雅黑" w:hAnsi="微软雅黑" w:eastAsia="微软雅黑" w:cs="微软雅黑"/>
          <w:color w:val="auto"/>
          <w:szCs w:val="21"/>
          <w:highlight w:val="none"/>
          <w:u w:val="single"/>
          <w:lang w:val="en-US" w:eastAsia="zh-CN"/>
        </w:rPr>
        <w:t xml:space="preserve">        </w:t>
      </w:r>
    </w:p>
    <w:p w14:paraId="0F459E14">
      <w:pPr>
        <w:numPr>
          <w:ilvl w:val="-1"/>
          <w:numId w:val="0"/>
        </w:numPr>
        <w:adjustRightInd w:val="0"/>
        <w:snapToGrid w:val="0"/>
        <w:spacing w:before="0" w:beforeLines="0" w:line="400" w:lineRule="exact"/>
        <w:ind w:firstLine="840" w:firstLineChars="400"/>
        <w:outlineLvl w:val="9"/>
        <w:rPr>
          <w:rFonts w:hint="eastAsia" w:ascii="微软雅黑" w:hAnsi="微软雅黑" w:eastAsia="微软雅黑" w:cs="微软雅黑"/>
          <w:iCs w:val="0"/>
          <w:color w:val="auto"/>
          <w:szCs w:val="21"/>
          <w:highlight w:val="none"/>
        </w:rPr>
      </w:pPr>
      <w:r>
        <w:rPr>
          <w:rFonts w:hint="eastAsia" w:ascii="微软雅黑" w:hAnsi="微软雅黑" w:eastAsia="微软雅黑" w:cs="微软雅黑"/>
          <w:color w:val="auto"/>
          <w:szCs w:val="21"/>
          <w:highlight w:val="none"/>
          <w:lang w:val="en-US" w:eastAsia="zh-CN"/>
        </w:rPr>
        <w:t xml:space="preserve">        国别：</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lang w:val="en-US" w:eastAsia="zh-CN"/>
        </w:rPr>
        <w:t xml:space="preserve"> 品牌：</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none"/>
          <w:lang w:val="en-US" w:eastAsia="zh-CN"/>
        </w:rPr>
        <w:t xml:space="preserve"> 规格型号：</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iCs w:val="0"/>
          <w:color w:val="auto"/>
          <w:szCs w:val="21"/>
          <w:highlight w:val="none"/>
        </w:rPr>
        <w:t xml:space="preserve">      </w:t>
      </w:r>
    </w:p>
    <w:p w14:paraId="1F5CD41B">
      <w:pPr>
        <w:adjustRightInd w:val="0"/>
        <w:snapToGrid w:val="0"/>
        <w:spacing w:before="0" w:beforeLines="0" w:line="400" w:lineRule="exact"/>
        <w:ind w:firstLine="840" w:firstLineChars="400"/>
        <w:outlineLvl w:val="9"/>
        <w:rPr>
          <w:rFonts w:hint="eastAsia" w:ascii="微软雅黑" w:hAnsi="微软雅黑" w:eastAsia="微软雅黑" w:cs="微软雅黑"/>
          <w:color w:val="auto"/>
          <w:szCs w:val="21"/>
          <w:highlight w:val="none"/>
          <w:u w:val="none"/>
          <w:lang w:val="en-US" w:eastAsia="zh-CN"/>
        </w:rPr>
      </w:pPr>
      <w:r>
        <w:rPr>
          <w:rFonts w:hint="eastAsia" w:ascii="微软雅黑" w:hAnsi="微软雅黑" w:eastAsia="微软雅黑" w:cs="微软雅黑"/>
          <w:iCs w:val="0"/>
          <w:color w:val="auto"/>
          <w:szCs w:val="21"/>
          <w:highlight w:val="none"/>
          <w:lang w:val="en-US" w:eastAsia="zh-CN"/>
        </w:rPr>
        <w:t xml:space="preserve"> </w:t>
      </w: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lang w:eastAsia="zh-CN"/>
        </w:rPr>
        <w:t>否</w:t>
      </w:r>
    </w:p>
    <w:p w14:paraId="67095747">
      <w:pPr>
        <w:numPr>
          <w:ilvl w:val="-1"/>
          <w:numId w:val="0"/>
        </w:numPr>
        <w:tabs>
          <w:tab w:val="left" w:pos="740"/>
        </w:tabs>
        <w:adjustRightInd w:val="0"/>
        <w:snapToGrid w:val="0"/>
        <w:spacing w:before="0" w:beforeLines="0" w:line="400" w:lineRule="exact"/>
        <w:ind w:left="0" w:firstLine="0" w:firstLineChars="0"/>
        <w:outlineLvl w:val="9"/>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 xml:space="preserve">    （1</w:t>
      </w:r>
      <w:r>
        <w:rPr>
          <w:rFonts w:hint="eastAsia" w:ascii="微软雅黑" w:hAnsi="微软雅黑" w:eastAsia="微软雅黑" w:cs="微软雅黑"/>
          <w:b w:val="0"/>
          <w:bCs w:val="0"/>
          <w:color w:val="auto"/>
          <w:sz w:val="21"/>
          <w:szCs w:val="21"/>
          <w:highlight w:val="none"/>
          <w:u w:val="none"/>
          <w:lang w:val="en" w:eastAsia="zh-CN"/>
        </w:rPr>
        <w:t>0</w:t>
      </w:r>
      <w:r>
        <w:rPr>
          <w:rFonts w:hint="eastAsia" w:ascii="微软雅黑" w:hAnsi="微软雅黑" w:eastAsia="微软雅黑" w:cs="微软雅黑"/>
          <w:b w:val="0"/>
          <w:bCs w:val="0"/>
          <w:color w:val="auto"/>
          <w:sz w:val="21"/>
          <w:szCs w:val="21"/>
          <w:highlight w:val="none"/>
          <w:u w:val="none"/>
          <w:lang w:val="en-US" w:eastAsia="zh-CN"/>
        </w:rPr>
        <w:t>）是否涉及节能产品：</w:t>
      </w:r>
    </w:p>
    <w:p w14:paraId="65BE1566">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color w:val="auto"/>
          <w:szCs w:val="21"/>
          <w:highlight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 xml:space="preserve">         </w:t>
      </w: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rPr>
        <w:t>是</w:t>
      </w:r>
      <w:r>
        <w:rPr>
          <w:rFonts w:hint="eastAsia" w:ascii="微软雅黑" w:hAnsi="微软雅黑" w:eastAsia="微软雅黑" w:cs="微软雅黑"/>
          <w:iCs w:val="0"/>
          <w:color w:val="auto"/>
          <w:szCs w:val="21"/>
          <w:highlight w:val="none"/>
          <w:lang w:eastAsia="zh-CN"/>
        </w:rPr>
        <w:t>，《节能产品政府采购品目清单》的底级品目名称：</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iCs/>
          <w:color w:val="auto"/>
          <w:szCs w:val="21"/>
          <w:highlight w:val="none"/>
          <w:lang w:val="en-US" w:eastAsia="zh-CN"/>
        </w:rPr>
        <w:t xml:space="preserve">     </w:t>
      </w:r>
    </w:p>
    <w:p w14:paraId="4C5B85A0">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color w:val="auto"/>
          <w:szCs w:val="21"/>
          <w:highlight w:val="none"/>
          <w:lang w:val="en-US" w:eastAsia="zh-CN"/>
        </w:rPr>
      </w:pP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强制采购</w:t>
      </w: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优先采购</w:t>
      </w:r>
      <w:r>
        <w:rPr>
          <w:rFonts w:hint="eastAsia" w:ascii="微软雅黑" w:hAnsi="微软雅黑" w:eastAsia="微软雅黑" w:cs="微软雅黑"/>
          <w:iCs/>
          <w:color w:val="auto"/>
          <w:szCs w:val="21"/>
          <w:highlight w:val="none"/>
          <w:lang w:val="en-US" w:eastAsia="zh-CN"/>
        </w:rPr>
        <w:t xml:space="preserve">    </w:t>
      </w:r>
    </w:p>
    <w:p w14:paraId="32A8AAC8">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val="0"/>
          <w:color w:val="auto"/>
          <w:szCs w:val="21"/>
          <w:highlight w:val="none"/>
        </w:rPr>
      </w:pP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rPr>
        <w:t>否</w:t>
      </w:r>
    </w:p>
    <w:p w14:paraId="242B9EAC">
      <w:pPr>
        <w:numPr>
          <w:ilvl w:val="-1"/>
          <w:numId w:val="0"/>
        </w:numPr>
        <w:tabs>
          <w:tab w:val="left" w:pos="740"/>
        </w:tabs>
        <w:adjustRightInd w:val="0"/>
        <w:snapToGrid w:val="0"/>
        <w:spacing w:before="0" w:beforeLines="0" w:line="400" w:lineRule="exact"/>
        <w:ind w:left="0" w:firstLine="0" w:firstLineChars="0"/>
        <w:outlineLvl w:val="9"/>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 xml:space="preserve">          是否涉及环境标志产品：</w:t>
      </w:r>
    </w:p>
    <w:p w14:paraId="0440E13D">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val="0"/>
          <w:color w:val="auto"/>
          <w:szCs w:val="21"/>
          <w:highlight w:val="none"/>
          <w:lang w:eastAsia="zh-CN"/>
        </w:rPr>
      </w:pPr>
      <w:r>
        <w:rPr>
          <w:rFonts w:hint="eastAsia" w:ascii="微软雅黑" w:hAnsi="微软雅黑" w:eastAsia="微软雅黑" w:cs="微软雅黑"/>
          <w:b w:val="0"/>
          <w:bCs w:val="0"/>
          <w:color w:val="auto"/>
          <w:sz w:val="21"/>
          <w:szCs w:val="21"/>
          <w:highlight w:val="none"/>
          <w:u w:val="none"/>
          <w:lang w:val="en-US" w:eastAsia="zh-CN"/>
        </w:rPr>
        <w:t xml:space="preserve">         </w:t>
      </w: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rPr>
        <w:t>是</w:t>
      </w:r>
      <w:r>
        <w:rPr>
          <w:rFonts w:hint="eastAsia" w:ascii="微软雅黑" w:hAnsi="微软雅黑" w:eastAsia="微软雅黑" w:cs="微软雅黑"/>
          <w:iCs w:val="0"/>
          <w:color w:val="auto"/>
          <w:szCs w:val="21"/>
          <w:highlight w:val="none"/>
          <w:lang w:eastAsia="zh-CN"/>
        </w:rPr>
        <w:t>，《环境标志产品政府采购品目清单》的底级品目名称：</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iCs/>
          <w:color w:val="auto"/>
          <w:szCs w:val="21"/>
          <w:highlight w:val="none"/>
          <w:lang w:val="en-US" w:eastAsia="zh-CN"/>
        </w:rPr>
        <w:t xml:space="preserve"> </w:t>
      </w:r>
    </w:p>
    <w:p w14:paraId="1B359B2A">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color w:val="auto"/>
          <w:szCs w:val="21"/>
          <w:highlight w:val="none"/>
          <w:lang w:val="en-US" w:eastAsia="zh-CN"/>
        </w:rPr>
      </w:pP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强制采购</w:t>
      </w: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优先采购</w:t>
      </w:r>
      <w:r>
        <w:rPr>
          <w:rFonts w:hint="eastAsia" w:ascii="微软雅黑" w:hAnsi="微软雅黑" w:eastAsia="微软雅黑" w:cs="微软雅黑"/>
          <w:iCs/>
          <w:color w:val="auto"/>
          <w:szCs w:val="21"/>
          <w:highlight w:val="none"/>
          <w:lang w:val="en-US" w:eastAsia="zh-CN"/>
        </w:rPr>
        <w:t xml:space="preserve">    </w:t>
      </w:r>
    </w:p>
    <w:p w14:paraId="07D66D7D">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rPr>
        <w:t>否</w:t>
      </w:r>
    </w:p>
    <w:p w14:paraId="1BB0B98F">
      <w:pPr>
        <w:pStyle w:val="114"/>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val="0"/>
          <w:color w:val="auto"/>
          <w:kern w:val="2"/>
          <w:sz w:val="21"/>
          <w:szCs w:val="21"/>
          <w:highlight w:val="none"/>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 xml:space="preserve">          </w:t>
      </w:r>
      <w:r>
        <w:rPr>
          <w:rFonts w:hint="eastAsia" w:ascii="微软雅黑" w:hAnsi="微软雅黑" w:eastAsia="微软雅黑" w:cs="微软雅黑"/>
          <w:b w:val="0"/>
          <w:bCs w:val="0"/>
          <w:color w:val="auto"/>
          <w:kern w:val="2"/>
          <w:sz w:val="21"/>
          <w:szCs w:val="21"/>
          <w:highlight w:val="none"/>
          <w:u w:val="none"/>
          <w:lang w:val="en-US" w:eastAsia="zh-CN"/>
        </w:rPr>
        <w:t>是否涉及绿色产品：</w:t>
      </w:r>
      <w:r>
        <w:rPr>
          <w:rFonts w:hint="eastAsia" w:ascii="微软雅黑" w:hAnsi="微软雅黑" w:eastAsia="微软雅黑" w:cs="微软雅黑"/>
          <w:iCs w:val="0"/>
          <w:color w:val="auto"/>
          <w:kern w:val="2"/>
          <w:sz w:val="21"/>
          <w:szCs w:val="21"/>
          <w:highlight w:val="none"/>
          <w:u w:val="none"/>
          <w:lang w:val="en-US" w:eastAsia="zh-CN"/>
        </w:rPr>
        <w:t xml:space="preserve"> </w:t>
      </w:r>
    </w:p>
    <w:p w14:paraId="08C89B50">
      <w:pPr>
        <w:pStyle w:val="114"/>
        <w:spacing w:beforeLines="0"/>
        <w:ind w:firstLine="420" w:firstLineChars="0"/>
        <w:outlineLvl w:val="9"/>
        <w:rPr>
          <w:rFonts w:hint="eastAsia" w:ascii="微软雅黑" w:hAnsi="微软雅黑" w:eastAsia="微软雅黑" w:cs="微软雅黑"/>
          <w:color w:val="auto"/>
          <w:szCs w:val="21"/>
          <w:highlight w:val="none"/>
          <w:u w:val="single"/>
          <w:lang w:val="en-US" w:eastAsia="zh-CN"/>
        </w:rPr>
      </w:pPr>
      <w:r>
        <w:rPr>
          <w:rFonts w:hint="eastAsia" w:ascii="微软雅黑" w:hAnsi="微软雅黑" w:eastAsia="微软雅黑" w:cs="微软雅黑"/>
          <w:iCs w:val="0"/>
          <w:color w:val="auto"/>
          <w:kern w:val="2"/>
          <w:sz w:val="21"/>
          <w:szCs w:val="21"/>
          <w:highlight w:val="none"/>
          <w:u w:val="none"/>
          <w:lang w:val="en-US" w:eastAsia="zh-CN"/>
        </w:rPr>
        <w:t xml:space="preserve">     </w:t>
      </w:r>
      <w:r>
        <w:rPr>
          <w:rFonts w:hint="eastAsia" w:ascii="微软雅黑" w:hAnsi="微软雅黑" w:eastAsia="微软雅黑" w:cs="微软雅黑"/>
          <w:iCs w:val="0"/>
          <w:color w:val="auto"/>
          <w:kern w:val="2"/>
          <w:sz w:val="21"/>
          <w:szCs w:val="21"/>
          <w:highlight w:val="none"/>
          <w:u w:val="none"/>
        </w:rPr>
        <w:sym w:font="Wingdings" w:char="00A8"/>
      </w:r>
      <w:r>
        <w:rPr>
          <w:rFonts w:hint="eastAsia" w:ascii="微软雅黑" w:hAnsi="微软雅黑" w:eastAsia="微软雅黑" w:cs="微软雅黑"/>
          <w:iCs w:val="0"/>
          <w:color w:val="auto"/>
          <w:kern w:val="2"/>
          <w:sz w:val="21"/>
          <w:szCs w:val="21"/>
          <w:highlight w:val="none"/>
          <w:u w:val="none"/>
        </w:rPr>
        <w:t>是</w:t>
      </w:r>
      <w:r>
        <w:rPr>
          <w:rFonts w:hint="eastAsia" w:ascii="微软雅黑" w:hAnsi="微软雅黑" w:eastAsia="微软雅黑" w:cs="微软雅黑"/>
          <w:iCs w:val="0"/>
          <w:color w:val="auto"/>
          <w:kern w:val="2"/>
          <w:sz w:val="21"/>
          <w:szCs w:val="21"/>
          <w:highlight w:val="none"/>
          <w:u w:val="none"/>
          <w:lang w:eastAsia="zh-CN"/>
        </w:rPr>
        <w:t>，绿色产品政府采购相关政策确定的底级品目名称：</w:t>
      </w:r>
      <w:r>
        <w:rPr>
          <w:rFonts w:hint="eastAsia" w:ascii="微软雅黑" w:hAnsi="微软雅黑" w:eastAsia="微软雅黑" w:cs="微软雅黑"/>
          <w:color w:val="auto"/>
          <w:szCs w:val="21"/>
          <w:highlight w:val="none"/>
          <w:u w:val="single"/>
          <w:lang w:val="en-US" w:eastAsia="zh-CN"/>
        </w:rPr>
        <w:t xml:space="preserve">         </w:t>
      </w:r>
    </w:p>
    <w:p w14:paraId="467A4A99">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color w:val="auto"/>
          <w:szCs w:val="21"/>
          <w:highlight w:val="none"/>
          <w:lang w:val="en-US" w:eastAsia="zh-CN"/>
        </w:rPr>
      </w:pP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强制采购</w:t>
      </w: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优先采购</w:t>
      </w:r>
      <w:r>
        <w:rPr>
          <w:rFonts w:hint="eastAsia" w:ascii="微软雅黑" w:hAnsi="微软雅黑" w:eastAsia="微软雅黑" w:cs="微软雅黑"/>
          <w:iCs/>
          <w:color w:val="auto"/>
          <w:szCs w:val="21"/>
          <w:highlight w:val="none"/>
          <w:lang w:val="en-US" w:eastAsia="zh-CN"/>
        </w:rPr>
        <w:t xml:space="preserve">    </w:t>
      </w:r>
    </w:p>
    <w:p w14:paraId="3B048B64">
      <w:pPr>
        <w:pStyle w:val="114"/>
        <w:spacing w:beforeLines="0"/>
        <w:ind w:firstLine="420" w:firstLineChars="0"/>
        <w:outlineLvl w:val="9"/>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iCs w:val="0"/>
          <w:color w:val="auto"/>
          <w:kern w:val="2"/>
          <w:sz w:val="21"/>
          <w:szCs w:val="21"/>
          <w:highlight w:val="none"/>
          <w:u w:val="none"/>
          <w:lang w:val="en-US" w:eastAsia="zh-CN"/>
        </w:rPr>
        <w:t xml:space="preserve">     </w:t>
      </w:r>
      <w:r>
        <w:rPr>
          <w:rFonts w:hint="eastAsia" w:ascii="微软雅黑" w:hAnsi="微软雅黑" w:eastAsia="微软雅黑" w:cs="微软雅黑"/>
          <w:iCs w:val="0"/>
          <w:color w:val="auto"/>
          <w:kern w:val="2"/>
          <w:sz w:val="21"/>
          <w:szCs w:val="21"/>
          <w:highlight w:val="none"/>
          <w:u w:val="none"/>
        </w:rPr>
        <w:sym w:font="Wingdings" w:char="00A8"/>
      </w:r>
      <w:r>
        <w:rPr>
          <w:rFonts w:hint="eastAsia" w:ascii="微软雅黑" w:hAnsi="微软雅黑" w:eastAsia="微软雅黑" w:cs="微软雅黑"/>
          <w:iCs w:val="0"/>
          <w:color w:val="auto"/>
          <w:kern w:val="2"/>
          <w:sz w:val="21"/>
          <w:szCs w:val="21"/>
          <w:highlight w:val="none"/>
          <w:u w:val="none"/>
        </w:rPr>
        <w:t>否</w:t>
      </w:r>
    </w:p>
    <w:p w14:paraId="695C02C7">
      <w:pPr>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 xml:space="preserve">    （1</w:t>
      </w:r>
      <w:r>
        <w:rPr>
          <w:rFonts w:hint="eastAsia" w:ascii="微软雅黑" w:hAnsi="微软雅黑" w:eastAsia="微软雅黑" w:cs="微软雅黑"/>
          <w:color w:val="auto"/>
          <w:szCs w:val="21"/>
          <w:highlight w:val="none"/>
          <w:lang w:val="en" w:eastAsia="zh-CN"/>
        </w:rPr>
        <w:t>1</w:t>
      </w:r>
      <w:r>
        <w:rPr>
          <w:rFonts w:hint="eastAsia" w:ascii="微软雅黑" w:hAnsi="微软雅黑" w:eastAsia="微软雅黑" w:cs="微软雅黑"/>
          <w:color w:val="auto"/>
          <w:szCs w:val="21"/>
          <w:highlight w:val="none"/>
          <w:lang w:val="en-US" w:eastAsia="zh-CN"/>
        </w:rPr>
        <w:t>）涉及商品包装和快递包装的，是否参考</w:t>
      </w:r>
      <w:r>
        <w:rPr>
          <w:rFonts w:hint="eastAsia" w:ascii="微软雅黑" w:hAnsi="微软雅黑" w:eastAsia="微软雅黑" w:cs="微软雅黑"/>
          <w:color w:val="auto"/>
          <w:szCs w:val="21"/>
          <w:highlight w:val="none"/>
        </w:rPr>
        <w:t>《商品包装政府采购需求标准（试行）</w:t>
      </w:r>
      <w:r>
        <w:rPr>
          <w:rFonts w:hint="eastAsia" w:ascii="微软雅黑" w:hAnsi="微软雅黑" w:eastAsia="微软雅黑" w:cs="微软雅黑"/>
          <w:color w:val="auto"/>
          <w:szCs w:val="21"/>
          <w:highlight w:val="none"/>
          <w:lang w:eastAsia="zh-CN"/>
        </w:rPr>
        <w:t>》和《</w:t>
      </w:r>
      <w:r>
        <w:rPr>
          <w:rFonts w:hint="eastAsia" w:ascii="微软雅黑" w:hAnsi="微软雅黑" w:eastAsia="微软雅黑" w:cs="微软雅黑"/>
          <w:color w:val="auto"/>
          <w:szCs w:val="21"/>
          <w:highlight w:val="none"/>
        </w:rPr>
        <w:t>快递包装政府采购需求标准（试行）》</w:t>
      </w:r>
      <w:r>
        <w:rPr>
          <w:rFonts w:hint="eastAsia" w:ascii="微软雅黑" w:hAnsi="微软雅黑" w:eastAsia="微软雅黑" w:cs="微软雅黑"/>
          <w:color w:val="auto"/>
          <w:szCs w:val="21"/>
          <w:highlight w:val="none"/>
          <w:lang w:eastAsia="zh-CN"/>
        </w:rPr>
        <w:t>明确产品及相关快递服务的具体包装要求：</w:t>
      </w:r>
    </w:p>
    <w:p w14:paraId="2162110F">
      <w:pPr>
        <w:numPr>
          <w:ilvl w:val="-1"/>
          <w:numId w:val="0"/>
        </w:numPr>
        <w:adjustRightInd w:val="0"/>
        <w:snapToGrid w:val="0"/>
        <w:spacing w:before="0" w:beforeLines="0" w:line="400" w:lineRule="exact"/>
        <w:ind w:firstLine="840" w:firstLineChars="400"/>
        <w:outlineLvl w:val="9"/>
        <w:rPr>
          <w:rFonts w:hint="eastAsia" w:ascii="微软雅黑" w:hAnsi="微软雅黑" w:eastAsia="微软雅黑" w:cs="微软雅黑"/>
          <w:iCs w:val="0"/>
          <w:color w:val="auto"/>
          <w:szCs w:val="21"/>
          <w:highlight w:val="none"/>
          <w:lang w:val="en-US" w:eastAsia="zh-CN"/>
        </w:rPr>
      </w:pP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rPr>
        <w:t xml:space="preserve">是       </w:t>
      </w: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rPr>
        <w:t>否</w:t>
      </w:r>
      <w:r>
        <w:rPr>
          <w:rFonts w:hint="eastAsia" w:ascii="微软雅黑" w:hAnsi="微软雅黑" w:eastAsia="微软雅黑" w:cs="微软雅黑"/>
          <w:iCs w:val="0"/>
          <w:color w:val="auto"/>
          <w:szCs w:val="21"/>
          <w:highlight w:val="none"/>
          <w:lang w:val="en-US" w:eastAsia="zh-CN"/>
        </w:rPr>
        <w:t xml:space="preserve">      </w:t>
      </w: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lang w:eastAsia="zh-CN"/>
        </w:rPr>
        <w:t>不涉及</w:t>
      </w:r>
    </w:p>
    <w:p w14:paraId="066895F6">
      <w:pPr>
        <w:numPr>
          <w:ilvl w:val="0"/>
          <w:numId w:val="13"/>
        </w:numPr>
        <w:adjustRightInd w:val="0"/>
        <w:snapToGrid w:val="0"/>
        <w:spacing w:before="0" w:beforeLines="0" w:line="400" w:lineRule="exact"/>
        <w:ind w:firstLine="420" w:firstLineChars="200"/>
        <w:outlineLvl w:val="9"/>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合同金额</w:t>
      </w:r>
    </w:p>
    <w:p w14:paraId="10350B84">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（1）合同金额小写：</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p>
    <w:p w14:paraId="71565DF3">
      <w:pPr>
        <w:adjustRightInd w:val="0"/>
        <w:snapToGrid w:val="0"/>
        <w:spacing w:before="0" w:beforeLines="0" w:line="400" w:lineRule="exact"/>
        <w:ind w:left="0" w:firstLine="0" w:firstLineChars="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大写：</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p>
    <w:p w14:paraId="03D17948">
      <w:pPr>
        <w:adjustRightInd w:val="0"/>
        <w:snapToGrid w:val="0"/>
        <w:spacing w:before="0" w:beforeLines="0" w:line="400" w:lineRule="exact"/>
        <w:ind w:firstLine="0" w:firstLineChars="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分包金额</w:t>
      </w:r>
      <w:r>
        <w:rPr>
          <w:rFonts w:hint="eastAsia" w:ascii="微软雅黑" w:hAnsi="微软雅黑" w:eastAsia="微软雅黑" w:cs="微软雅黑"/>
          <w:color w:val="auto"/>
          <w:szCs w:val="21"/>
          <w:highlight w:val="none"/>
          <w:lang w:eastAsia="zh-CN"/>
        </w:rPr>
        <w:t>（如有）</w:t>
      </w:r>
      <w:r>
        <w:rPr>
          <w:rFonts w:hint="eastAsia" w:ascii="微软雅黑" w:hAnsi="微软雅黑" w:eastAsia="微软雅黑" w:cs="微软雅黑"/>
          <w:color w:val="auto"/>
          <w:szCs w:val="21"/>
          <w:highlight w:val="none"/>
        </w:rPr>
        <w:t>小写：</w:t>
      </w:r>
      <w:r>
        <w:rPr>
          <w:rFonts w:hint="eastAsia" w:ascii="微软雅黑" w:hAnsi="微软雅黑" w:eastAsia="微软雅黑" w:cs="微软雅黑"/>
          <w:color w:val="auto"/>
          <w:szCs w:val="21"/>
          <w:highlight w:val="none"/>
          <w:u w:val="single"/>
        </w:rPr>
        <w:t xml:space="preserve">                   </w:t>
      </w:r>
    </w:p>
    <w:p w14:paraId="3B11BE48">
      <w:pPr>
        <w:adjustRightInd w:val="0"/>
        <w:snapToGrid w:val="0"/>
        <w:spacing w:before="0" w:beforeLines="0" w:line="400" w:lineRule="exact"/>
        <w:ind w:firstLine="0" w:firstLineChars="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大写：</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p>
    <w:p w14:paraId="272E1F82">
      <w:pPr>
        <w:adjustRightInd w:val="0"/>
        <w:snapToGrid w:val="0"/>
        <w:spacing w:before="0" w:beforeLines="0" w:line="400" w:lineRule="exact"/>
        <w:ind w:firstLine="0" w:firstLineChars="0"/>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 xml:space="preserve">    （注：固定单价合同应填写单价和最高限价）</w:t>
      </w:r>
    </w:p>
    <w:p w14:paraId="158BED63">
      <w:pPr>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合同定价方式</w:t>
      </w:r>
      <w:r>
        <w:rPr>
          <w:rFonts w:hint="eastAsia" w:ascii="微软雅黑" w:hAnsi="微软雅黑" w:eastAsia="微软雅黑" w:cs="微软雅黑"/>
          <w:color w:val="auto"/>
          <w:szCs w:val="21"/>
          <w:highlight w:val="none"/>
          <w:lang w:eastAsia="zh-CN"/>
        </w:rPr>
        <w:t>（采用组合定价方式的，可以勾选多项）</w:t>
      </w:r>
      <w:r>
        <w:rPr>
          <w:rFonts w:hint="eastAsia" w:ascii="微软雅黑" w:hAnsi="微软雅黑" w:eastAsia="微软雅黑" w:cs="微软雅黑"/>
          <w:color w:val="auto"/>
          <w:szCs w:val="21"/>
          <w:highlight w:val="none"/>
        </w:rPr>
        <w:t>：</w:t>
      </w:r>
    </w:p>
    <w:p w14:paraId="234DECD4">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固定总价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固定单价</w:t>
      </w: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固定费率</w:t>
      </w:r>
      <w:r>
        <w:rPr>
          <w:rFonts w:hint="eastAsia" w:ascii="微软雅黑" w:hAnsi="微软雅黑" w:eastAsia="微软雅黑" w:cs="微软雅黑"/>
          <w:iCs/>
          <w:color w:val="auto"/>
          <w:szCs w:val="21"/>
          <w:highlight w:val="none"/>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成本补偿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绩效激励</w:t>
      </w: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其他</w:t>
      </w:r>
      <w:r>
        <w:rPr>
          <w:rFonts w:hint="eastAsia" w:ascii="微软雅黑" w:hAnsi="微软雅黑" w:eastAsia="微软雅黑" w:cs="微软雅黑"/>
          <w:color w:val="auto"/>
          <w:szCs w:val="21"/>
          <w:highlight w:val="none"/>
          <w:u w:val="single"/>
        </w:rPr>
        <w:t xml:space="preserve">       </w:t>
      </w:r>
    </w:p>
    <w:p w14:paraId="1069DABF">
      <w:pPr>
        <w:pStyle w:val="78"/>
        <w:spacing w:beforeLines="0" w:line="400" w:lineRule="exact"/>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3</w:t>
      </w:r>
      <w:r>
        <w:rPr>
          <w:rFonts w:hint="eastAsia" w:ascii="微软雅黑" w:hAnsi="微软雅黑" w:eastAsia="微软雅黑" w:cs="微软雅黑"/>
          <w:color w:val="auto"/>
          <w:highlight w:val="none"/>
        </w:rPr>
        <w:t>）付款方式（按项目实际勾选填写）：</w:t>
      </w:r>
    </w:p>
    <w:p w14:paraId="5476D6ED">
      <w:pPr>
        <w:adjustRightInd w:val="0"/>
        <w:snapToGrid w:val="0"/>
        <w:spacing w:before="0" w:beforeLines="0" w:line="400" w:lineRule="exact"/>
        <w:ind w:firstLine="630" w:firstLineChars="30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sym w:font="Wingdings" w:char="00A8"/>
      </w:r>
      <w:r>
        <w:rPr>
          <w:rFonts w:hint="eastAsia" w:ascii="微软雅黑" w:hAnsi="微软雅黑" w:eastAsia="微软雅黑" w:cs="微软雅黑"/>
          <w:color w:val="auto"/>
          <w:szCs w:val="21"/>
          <w:highlight w:val="none"/>
        </w:rPr>
        <w:t>全额付款：</w:t>
      </w:r>
      <w:r>
        <w:rPr>
          <w:rFonts w:hint="eastAsia" w:ascii="微软雅黑" w:hAnsi="微软雅黑" w:eastAsia="微软雅黑" w:cs="微软雅黑"/>
          <w:color w:val="auto"/>
          <w:szCs w:val="21"/>
          <w:highlight w:val="none"/>
          <w:u w:val="single"/>
        </w:rPr>
        <w:t xml:space="preserve">     （应</w:t>
      </w:r>
      <w:r>
        <w:rPr>
          <w:rFonts w:hint="eastAsia" w:ascii="微软雅黑" w:hAnsi="微软雅黑" w:eastAsia="微软雅黑" w:cs="微软雅黑"/>
          <w:color w:val="auto"/>
          <w:szCs w:val="21"/>
          <w:highlight w:val="none"/>
          <w:u w:val="single"/>
          <w:lang w:eastAsia="zh-CN"/>
        </w:rPr>
        <w:t>明确</w:t>
      </w:r>
      <w:r>
        <w:rPr>
          <w:rFonts w:hint="eastAsia" w:ascii="微软雅黑" w:hAnsi="微软雅黑" w:eastAsia="微软雅黑" w:cs="微软雅黑"/>
          <w:color w:val="auto"/>
          <w:szCs w:val="21"/>
          <w:highlight w:val="none"/>
          <w:u w:val="single"/>
        </w:rPr>
        <w:t>一次性支付合同款项</w:t>
      </w:r>
      <w:r>
        <w:rPr>
          <w:rFonts w:hint="eastAsia" w:ascii="微软雅黑" w:hAnsi="微软雅黑" w:eastAsia="微软雅黑" w:cs="微软雅黑"/>
          <w:color w:val="auto"/>
          <w:szCs w:val="21"/>
          <w:highlight w:val="none"/>
          <w:u w:val="single"/>
          <w:lang w:eastAsia="zh-CN"/>
        </w:rPr>
        <w:t>的条件</w:t>
      </w:r>
      <w:r>
        <w:rPr>
          <w:rFonts w:hint="eastAsia" w:ascii="微软雅黑" w:hAnsi="微软雅黑" w:eastAsia="微软雅黑" w:cs="微软雅黑"/>
          <w:color w:val="auto"/>
          <w:szCs w:val="21"/>
          <w:highlight w:val="none"/>
          <w:u w:val="single"/>
        </w:rPr>
        <w:t xml:space="preserve">）                    </w:t>
      </w:r>
    </w:p>
    <w:p w14:paraId="1CFFEB1D">
      <w:pPr>
        <w:snapToGrid w:val="0"/>
        <w:spacing w:beforeLines="0" w:line="400" w:lineRule="exact"/>
        <w:ind w:firstLine="630" w:firstLineChars="300"/>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sym w:font="Wingdings" w:char="00A8"/>
      </w:r>
      <w:r>
        <w:rPr>
          <w:rFonts w:hint="eastAsia" w:ascii="微软雅黑" w:hAnsi="微软雅黑" w:eastAsia="微软雅黑" w:cs="微软雅黑"/>
          <w:color w:val="auto"/>
          <w:szCs w:val="21"/>
          <w:highlight w:val="none"/>
        </w:rPr>
        <w:t>分期付款：</w:t>
      </w:r>
      <w:r>
        <w:rPr>
          <w:rFonts w:hint="eastAsia" w:ascii="微软雅黑" w:hAnsi="微软雅黑" w:eastAsia="微软雅黑" w:cs="微软雅黑"/>
          <w:color w:val="auto"/>
          <w:szCs w:val="21"/>
          <w:highlight w:val="none"/>
          <w:u w:val="single"/>
        </w:rPr>
        <w:t xml:space="preserve">  （应明确分期支付合同款项的各期比例和支付条件</w:t>
      </w:r>
      <w:r>
        <w:rPr>
          <w:rFonts w:hint="eastAsia" w:ascii="微软雅黑" w:hAnsi="微软雅黑" w:eastAsia="微软雅黑" w:cs="微软雅黑"/>
          <w:color w:val="auto"/>
          <w:szCs w:val="21"/>
          <w:highlight w:val="none"/>
          <w:u w:val="single"/>
          <w:lang w:eastAsia="zh-CN"/>
        </w:rPr>
        <w:t>，各期支付条件应与分期履约验收情况挂钩</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none"/>
          <w:lang w:eastAsia="zh-CN"/>
        </w:rPr>
        <w:t>，</w:t>
      </w:r>
      <w:r>
        <w:rPr>
          <w:rFonts w:hint="eastAsia" w:ascii="微软雅黑" w:hAnsi="微软雅黑" w:eastAsia="微软雅黑" w:cs="微软雅黑"/>
          <w:color w:val="auto"/>
          <w:szCs w:val="21"/>
          <w:highlight w:val="none"/>
          <w:lang w:eastAsia="zh-CN"/>
        </w:rPr>
        <w:t>其中涉及预付款的</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u w:val="single"/>
        </w:rPr>
        <w:t xml:space="preserve"> （应明确预付款的支付比例和支付条件） </w:t>
      </w:r>
    </w:p>
    <w:p w14:paraId="58CD7B8A">
      <w:pPr>
        <w:adjustRightInd w:val="0"/>
        <w:snapToGrid w:val="0"/>
        <w:spacing w:before="0" w:beforeLines="0" w:line="400" w:lineRule="exact"/>
        <w:ind w:firstLine="630" w:firstLineChars="30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sym w:font="Wingdings" w:char="00A8"/>
      </w:r>
      <w:r>
        <w:rPr>
          <w:rFonts w:hint="eastAsia" w:ascii="微软雅黑" w:hAnsi="微软雅黑" w:eastAsia="微软雅黑" w:cs="微软雅黑"/>
          <w:color w:val="auto"/>
          <w:szCs w:val="21"/>
          <w:highlight w:val="none"/>
        </w:rPr>
        <w:t>成本补偿：</w:t>
      </w:r>
      <w:r>
        <w:rPr>
          <w:rFonts w:hint="eastAsia" w:ascii="微软雅黑" w:hAnsi="微软雅黑" w:eastAsia="微软雅黑" w:cs="微软雅黑"/>
          <w:color w:val="auto"/>
          <w:szCs w:val="21"/>
          <w:highlight w:val="none"/>
          <w:u w:val="single"/>
        </w:rPr>
        <w:t xml:space="preserve">      （应明确按照成本补偿方式的支付方式和支付条件）   </w:t>
      </w:r>
    </w:p>
    <w:p w14:paraId="27B02F27">
      <w:pPr>
        <w:adjustRightInd w:val="0"/>
        <w:snapToGrid w:val="0"/>
        <w:spacing w:before="0" w:beforeLines="0" w:line="400" w:lineRule="exact"/>
        <w:ind w:firstLine="630" w:firstLineChars="3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sym w:font="Wingdings" w:char="00A8"/>
      </w:r>
      <w:r>
        <w:rPr>
          <w:rFonts w:hint="eastAsia" w:ascii="微软雅黑" w:hAnsi="微软雅黑" w:eastAsia="微软雅黑" w:cs="微软雅黑"/>
          <w:color w:val="auto"/>
          <w:szCs w:val="21"/>
          <w:highlight w:val="none"/>
        </w:rPr>
        <w:t>绩效激励：</w:t>
      </w:r>
      <w:r>
        <w:rPr>
          <w:rFonts w:hint="eastAsia" w:ascii="微软雅黑" w:hAnsi="微软雅黑" w:eastAsia="微软雅黑" w:cs="微软雅黑"/>
          <w:color w:val="auto"/>
          <w:szCs w:val="21"/>
          <w:highlight w:val="none"/>
          <w:u w:val="single"/>
        </w:rPr>
        <w:t xml:space="preserve">      （应明确按照绩效激励方式的支付方式和支付条件）   </w:t>
      </w:r>
    </w:p>
    <w:p w14:paraId="5FF1CE7A">
      <w:pPr>
        <w:numPr>
          <w:ilvl w:val="0"/>
          <w:numId w:val="13"/>
        </w:numPr>
        <w:adjustRightInd w:val="0"/>
        <w:snapToGrid w:val="0"/>
        <w:spacing w:before="0" w:beforeLines="0" w:line="400" w:lineRule="exact"/>
        <w:ind w:firstLine="420" w:firstLineChars="200"/>
        <w:outlineLvl w:val="9"/>
        <w:rPr>
          <w:rFonts w:hint="eastAsia" w:ascii="微软雅黑" w:hAnsi="微软雅黑" w:eastAsia="微软雅黑" w:cs="微软雅黑"/>
          <w:b/>
          <w:bCs w:val="0"/>
          <w:color w:val="auto"/>
          <w:szCs w:val="21"/>
          <w:highlight w:val="none"/>
          <w:u w:val="single"/>
        </w:rPr>
      </w:pPr>
      <w:r>
        <w:rPr>
          <w:rFonts w:hint="eastAsia" w:ascii="微软雅黑" w:hAnsi="微软雅黑" w:eastAsia="微软雅黑" w:cs="微软雅黑"/>
          <w:b/>
          <w:bCs w:val="0"/>
          <w:color w:val="auto"/>
          <w:szCs w:val="21"/>
          <w:highlight w:val="none"/>
        </w:rPr>
        <w:t>合同履行</w:t>
      </w:r>
    </w:p>
    <w:p w14:paraId="4FA42046">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（1）起始日期：</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年</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月</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日，完成日期：</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年</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月</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日。</w:t>
      </w:r>
    </w:p>
    <w:p w14:paraId="002EE19E">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eastAsia="zh-CN"/>
        </w:rPr>
        <w:t>履约</w:t>
      </w:r>
      <w:r>
        <w:rPr>
          <w:rFonts w:hint="eastAsia" w:ascii="微软雅黑" w:hAnsi="微软雅黑" w:eastAsia="微软雅黑" w:cs="微软雅黑"/>
          <w:color w:val="auto"/>
          <w:szCs w:val="21"/>
          <w:highlight w:val="none"/>
        </w:rPr>
        <w:t>地点</w:t>
      </w:r>
      <w:r>
        <w:rPr>
          <w:rFonts w:hint="eastAsia" w:ascii="微软雅黑" w:hAnsi="微软雅黑" w:eastAsia="微软雅黑" w:cs="微软雅黑"/>
          <w:b w:val="0"/>
          <w:bCs/>
          <w:color w:val="auto"/>
          <w:szCs w:val="21"/>
          <w:highlight w:val="none"/>
        </w:rPr>
        <w:t>：</w:t>
      </w:r>
      <w:r>
        <w:rPr>
          <w:rFonts w:hint="eastAsia" w:ascii="微软雅黑" w:hAnsi="微软雅黑" w:eastAsia="微软雅黑" w:cs="微软雅黑"/>
          <w:color w:val="auto"/>
          <w:szCs w:val="21"/>
          <w:highlight w:val="none"/>
          <w:u w:val="single"/>
        </w:rPr>
        <w:t xml:space="preserve">                             </w:t>
      </w:r>
    </w:p>
    <w:p w14:paraId="755B9938">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bCs/>
          <w:color w:val="auto"/>
          <w:szCs w:val="21"/>
          <w:highlight w:val="none"/>
        </w:rPr>
        <w:t>（3）履约担保：</w:t>
      </w:r>
      <w:r>
        <w:rPr>
          <w:rFonts w:hint="eastAsia" w:ascii="微软雅黑" w:hAnsi="微软雅黑" w:eastAsia="微软雅黑" w:cs="微软雅黑"/>
          <w:color w:val="auto"/>
          <w:sz w:val="21"/>
          <w:highlight w:val="none"/>
          <w:lang w:val="en-US" w:eastAsia="zh-CN"/>
        </w:rPr>
        <w:t>是否收取履约保证金：</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color w:val="auto"/>
          <w:sz w:val="21"/>
          <w:szCs w:val="21"/>
          <w:highlight w:val="none"/>
          <w:lang w:eastAsia="zh-CN"/>
        </w:rPr>
        <w:t>是</w:t>
      </w:r>
      <w:r>
        <w:rPr>
          <w:rFonts w:hint="eastAsia" w:ascii="微软雅黑" w:hAnsi="微软雅黑" w:eastAsia="微软雅黑" w:cs="微软雅黑"/>
          <w:color w:val="auto"/>
          <w:sz w:val="21"/>
          <w:szCs w:val="21"/>
          <w:highlight w:val="none"/>
          <w:lang w:val="en-US" w:eastAsia="zh-CN"/>
        </w:rPr>
        <w:t xml:space="preserve">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color w:val="auto"/>
          <w:sz w:val="21"/>
          <w:szCs w:val="21"/>
          <w:highlight w:val="none"/>
          <w:lang w:eastAsia="zh-CN"/>
        </w:rPr>
        <w:t>否</w:t>
      </w:r>
    </w:p>
    <w:p w14:paraId="668167A9">
      <w:pPr>
        <w:pStyle w:val="114"/>
        <w:spacing w:beforeLines="0"/>
        <w:outlineLvl w:val="9"/>
        <w:rPr>
          <w:rFonts w:hint="eastAsia" w:ascii="微软雅黑" w:hAnsi="微软雅黑" w:eastAsia="微软雅黑" w:cs="微软雅黑"/>
          <w:color w:val="auto"/>
          <w:sz w:val="21"/>
          <w:highlight w:val="none"/>
          <w:lang w:val="en-US" w:eastAsia="zh-CN"/>
        </w:rPr>
      </w:pPr>
      <w:r>
        <w:rPr>
          <w:rFonts w:hint="eastAsia" w:ascii="微软雅黑" w:hAnsi="微软雅黑" w:eastAsia="微软雅黑" w:cs="微软雅黑"/>
          <w:bCs/>
          <w:color w:val="auto"/>
          <w:szCs w:val="21"/>
          <w:highlight w:val="none"/>
          <w:u w:val="none"/>
          <w:lang w:val="en-US" w:eastAsia="zh-CN"/>
        </w:rPr>
        <w:t xml:space="preserve">  </w:t>
      </w:r>
      <w:r>
        <w:rPr>
          <w:rFonts w:hint="eastAsia" w:ascii="微软雅黑" w:hAnsi="微软雅黑" w:eastAsia="微软雅黑" w:cs="微软雅黑"/>
          <w:color w:val="auto"/>
          <w:sz w:val="21"/>
          <w:highlight w:val="none"/>
          <w:lang w:val="en-US" w:eastAsia="zh-CN"/>
        </w:rPr>
        <w:t xml:space="preserve">  收取履约保证金形式：</w:t>
      </w:r>
      <w:r>
        <w:rPr>
          <w:rFonts w:hint="eastAsia" w:ascii="微软雅黑" w:hAnsi="微软雅黑" w:eastAsia="微软雅黑" w:cs="微软雅黑"/>
          <w:bCs/>
          <w:color w:val="auto"/>
          <w:sz w:val="21"/>
          <w:szCs w:val="21"/>
          <w:highlight w:val="none"/>
          <w:u w:val="single"/>
        </w:rPr>
        <w:t xml:space="preserve">                            </w:t>
      </w:r>
    </w:p>
    <w:p w14:paraId="32CADD2B">
      <w:pPr>
        <w:pStyle w:val="114"/>
        <w:spacing w:beforeLines="0"/>
        <w:outlineLvl w:val="9"/>
        <w:rPr>
          <w:rFonts w:hint="eastAsia" w:ascii="微软雅黑" w:hAnsi="微软雅黑" w:eastAsia="微软雅黑" w:cs="微软雅黑"/>
          <w:color w:val="auto"/>
          <w:sz w:val="21"/>
          <w:highlight w:val="none"/>
          <w:lang w:val="en-US" w:eastAsia="zh-CN"/>
        </w:rPr>
      </w:pPr>
      <w:r>
        <w:rPr>
          <w:rFonts w:hint="eastAsia" w:ascii="微软雅黑" w:hAnsi="微软雅黑" w:eastAsia="微软雅黑" w:cs="微软雅黑"/>
          <w:color w:val="auto"/>
          <w:sz w:val="21"/>
          <w:highlight w:val="none"/>
          <w:lang w:val="en-US" w:eastAsia="zh-CN"/>
        </w:rPr>
        <w:t xml:space="preserve">    收取履约保证金金额：</w:t>
      </w:r>
      <w:r>
        <w:rPr>
          <w:rFonts w:hint="eastAsia" w:ascii="微软雅黑" w:hAnsi="微软雅黑" w:eastAsia="微软雅黑" w:cs="微软雅黑"/>
          <w:bCs/>
          <w:color w:val="auto"/>
          <w:sz w:val="21"/>
          <w:szCs w:val="21"/>
          <w:highlight w:val="none"/>
          <w:u w:val="single"/>
        </w:rPr>
        <w:t xml:space="preserve">                            </w:t>
      </w:r>
    </w:p>
    <w:p w14:paraId="0CF716C9">
      <w:pPr>
        <w:snapToGrid w:val="0"/>
        <w:spacing w:beforeLines="0" w:line="400" w:lineRule="exact"/>
        <w:ind w:firstLine="420" w:firstLineChars="200"/>
        <w:outlineLvl w:val="9"/>
        <w:rPr>
          <w:rFonts w:hint="eastAsia" w:ascii="微软雅黑" w:hAnsi="微软雅黑" w:eastAsia="微软雅黑" w:cs="微软雅黑"/>
          <w:color w:val="auto"/>
          <w:sz w:val="21"/>
          <w:highlight w:val="none"/>
          <w:lang w:val="en-US" w:eastAsia="zh-CN"/>
        </w:rPr>
      </w:pPr>
      <w:r>
        <w:rPr>
          <w:rFonts w:hint="eastAsia" w:ascii="微软雅黑" w:hAnsi="微软雅黑" w:eastAsia="微软雅黑" w:cs="微软雅黑"/>
          <w:bCs/>
          <w:color w:val="auto"/>
          <w:szCs w:val="21"/>
          <w:highlight w:val="none"/>
          <w:u w:val="none"/>
          <w:lang w:val="en-US" w:eastAsia="zh-CN"/>
        </w:rPr>
        <w:t xml:space="preserve">    履约担保期限</w:t>
      </w:r>
      <w:r>
        <w:rPr>
          <w:rFonts w:hint="eastAsia" w:ascii="微软雅黑" w:hAnsi="微软雅黑" w:eastAsia="微软雅黑" w:cs="微软雅黑"/>
          <w:bCs/>
          <w:color w:val="auto"/>
          <w:szCs w:val="21"/>
          <w:highlight w:val="none"/>
          <w:u w:val="none"/>
          <w:lang w:eastAsia="zh-CN"/>
        </w:rPr>
        <w:t>：</w:t>
      </w:r>
      <w:r>
        <w:rPr>
          <w:rFonts w:hint="eastAsia" w:ascii="微软雅黑" w:hAnsi="微软雅黑" w:eastAsia="微软雅黑" w:cs="微软雅黑"/>
          <w:bCs/>
          <w:color w:val="auto"/>
          <w:sz w:val="21"/>
          <w:szCs w:val="21"/>
          <w:highlight w:val="none"/>
          <w:u w:val="single"/>
        </w:rPr>
        <w:t xml:space="preserve">      </w:t>
      </w:r>
      <w:r>
        <w:rPr>
          <w:rFonts w:hint="eastAsia" w:ascii="微软雅黑" w:hAnsi="微软雅黑" w:eastAsia="微软雅黑" w:cs="微软雅黑"/>
          <w:bCs/>
          <w:color w:val="auto"/>
          <w:sz w:val="21"/>
          <w:szCs w:val="21"/>
          <w:highlight w:val="none"/>
          <w:u w:val="single"/>
          <w:lang w:val="en-US" w:eastAsia="zh-CN"/>
        </w:rPr>
        <w:t xml:space="preserve">                     </w:t>
      </w:r>
      <w:r>
        <w:rPr>
          <w:rFonts w:hint="eastAsia" w:ascii="微软雅黑" w:hAnsi="微软雅黑" w:eastAsia="微软雅黑" w:cs="微软雅黑"/>
          <w:bCs/>
          <w:color w:val="auto"/>
          <w:sz w:val="21"/>
          <w:szCs w:val="21"/>
          <w:highlight w:val="none"/>
          <w:u w:val="single"/>
        </w:rPr>
        <w:t xml:space="preserve">       </w:t>
      </w:r>
    </w:p>
    <w:p w14:paraId="04237FC1">
      <w:pPr>
        <w:adjustRightInd w:val="0"/>
        <w:snapToGrid w:val="0"/>
        <w:spacing w:before="0" w:beforeLines="0" w:line="400" w:lineRule="exact"/>
        <w:ind w:firstLine="420" w:firstLineChars="20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（4）分期履行要求：</w:t>
      </w:r>
      <w:r>
        <w:rPr>
          <w:rFonts w:hint="eastAsia" w:ascii="微软雅黑" w:hAnsi="微软雅黑" w:eastAsia="微软雅黑" w:cs="微软雅黑"/>
          <w:bCs/>
          <w:color w:val="auto"/>
          <w:szCs w:val="21"/>
          <w:highlight w:val="none"/>
          <w:u w:val="single"/>
        </w:rPr>
        <w:t xml:space="preserve">                                                   </w:t>
      </w:r>
      <w:r>
        <w:rPr>
          <w:rFonts w:hint="eastAsia" w:ascii="微软雅黑" w:hAnsi="微软雅黑" w:eastAsia="微软雅黑" w:cs="微软雅黑"/>
          <w:bCs/>
          <w:color w:val="auto"/>
          <w:szCs w:val="21"/>
          <w:highlight w:val="none"/>
          <w:u w:val="single"/>
          <w:lang w:val="en-US" w:eastAsia="zh-CN"/>
        </w:rPr>
        <w:t xml:space="preserve">    </w:t>
      </w:r>
      <w:r>
        <w:rPr>
          <w:rFonts w:hint="eastAsia" w:ascii="微软雅黑" w:hAnsi="微软雅黑" w:eastAsia="微软雅黑" w:cs="微软雅黑"/>
          <w:bCs/>
          <w:color w:val="auto"/>
          <w:szCs w:val="21"/>
          <w:highlight w:val="none"/>
          <w:u w:val="single"/>
        </w:rPr>
        <w:t xml:space="preserve"> </w:t>
      </w:r>
    </w:p>
    <w:p w14:paraId="3D7F5FCB">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bCs/>
          <w:color w:val="auto"/>
          <w:szCs w:val="21"/>
          <w:highlight w:val="none"/>
        </w:rPr>
        <w:t>（5）</w:t>
      </w:r>
      <w:r>
        <w:rPr>
          <w:rFonts w:hint="eastAsia" w:ascii="微软雅黑" w:hAnsi="微软雅黑" w:eastAsia="微软雅黑" w:cs="微软雅黑"/>
          <w:bCs/>
          <w:color w:val="auto"/>
          <w:szCs w:val="21"/>
          <w:highlight w:val="none"/>
          <w:lang w:eastAsia="zh-CN"/>
        </w:rPr>
        <w:t>风险处置措施和替代方案</w:t>
      </w:r>
      <w:r>
        <w:rPr>
          <w:rFonts w:hint="eastAsia" w:ascii="微软雅黑" w:hAnsi="微软雅黑" w:eastAsia="微软雅黑" w:cs="微软雅黑"/>
          <w:bCs/>
          <w:color w:val="auto"/>
          <w:szCs w:val="21"/>
          <w:highlight w:val="none"/>
        </w:rPr>
        <w:t>：</w:t>
      </w:r>
      <w:r>
        <w:rPr>
          <w:rFonts w:hint="eastAsia" w:ascii="微软雅黑" w:hAnsi="微软雅黑" w:eastAsia="微软雅黑" w:cs="微软雅黑"/>
          <w:color w:val="auto"/>
          <w:szCs w:val="21"/>
          <w:highlight w:val="none"/>
          <w:u w:val="single"/>
        </w:rPr>
        <w:t xml:space="preserve">                                                               </w:t>
      </w:r>
    </w:p>
    <w:p w14:paraId="12D7A355">
      <w:pPr>
        <w:numPr>
          <w:ilvl w:val="0"/>
          <w:numId w:val="13"/>
        </w:numPr>
        <w:adjustRightInd w:val="0"/>
        <w:snapToGrid w:val="0"/>
        <w:spacing w:before="0" w:beforeLines="0" w:line="400" w:lineRule="exact"/>
        <w:ind w:firstLine="420" w:firstLineChars="200"/>
        <w:outlineLvl w:val="9"/>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合同验收</w:t>
      </w:r>
    </w:p>
    <w:p w14:paraId="29589BC6">
      <w:pPr>
        <w:numPr>
          <w:ilvl w:val="0"/>
          <w:numId w:val="15"/>
        </w:numPr>
        <w:adjustRightInd w:val="0"/>
        <w:snapToGrid w:val="0"/>
        <w:spacing w:before="0" w:beforeLines="0" w:line="400" w:lineRule="exact"/>
        <w:ind w:firstLine="420" w:firstLineChars="20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验收组织方式：</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 xml:space="preserve">自行组织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委托第三方组织</w:t>
      </w:r>
    </w:p>
    <w:p w14:paraId="60EFAE10">
      <w:pPr>
        <w:numPr>
          <w:ilvl w:val="0"/>
          <w:numId w:val="0"/>
        </w:numPr>
        <w:adjustRightInd w:val="0"/>
        <w:snapToGrid w:val="0"/>
        <w:spacing w:before="0" w:beforeLines="0" w:line="400" w:lineRule="exact"/>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lang w:val="en-US" w:eastAsia="zh-CN"/>
        </w:rPr>
        <w:t xml:space="preserve">         </w:t>
      </w:r>
      <w:r>
        <w:rPr>
          <w:rFonts w:hint="eastAsia" w:ascii="微软雅黑" w:hAnsi="微软雅黑" w:eastAsia="微软雅黑" w:cs="微软雅黑"/>
          <w:bCs/>
          <w:color w:val="auto"/>
          <w:szCs w:val="21"/>
          <w:highlight w:val="none"/>
        </w:rPr>
        <w:t>验收主体：</w:t>
      </w:r>
      <w:r>
        <w:rPr>
          <w:rFonts w:hint="eastAsia" w:ascii="微软雅黑" w:hAnsi="微软雅黑" w:eastAsia="微软雅黑" w:cs="微软雅黑"/>
          <w:bCs/>
          <w:color w:val="auto"/>
          <w:szCs w:val="21"/>
          <w:highlight w:val="none"/>
          <w:u w:val="single"/>
        </w:rPr>
        <w:t xml:space="preserve">                  </w:t>
      </w:r>
    </w:p>
    <w:p w14:paraId="042E54CE">
      <w:pPr>
        <w:adjustRightInd w:val="0"/>
        <w:snapToGrid w:val="0"/>
        <w:spacing w:before="0" w:beforeLines="0" w:line="400" w:lineRule="exact"/>
        <w:ind w:firstLine="0" w:firstLineChars="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lang w:val="en-US" w:eastAsia="zh-CN"/>
        </w:rPr>
        <w:t xml:space="preserve">        </w:t>
      </w:r>
      <w:r>
        <w:rPr>
          <w:rFonts w:hint="eastAsia" w:ascii="微软雅黑" w:hAnsi="微软雅黑" w:eastAsia="微软雅黑" w:cs="微软雅黑"/>
          <w:bCs/>
          <w:color w:val="auto"/>
          <w:szCs w:val="21"/>
          <w:highlight w:val="none"/>
        </w:rPr>
        <w:t>是否邀请本项目的其他供应商</w:t>
      </w:r>
      <w:r>
        <w:rPr>
          <w:rFonts w:hint="eastAsia" w:ascii="微软雅黑" w:hAnsi="微软雅黑" w:eastAsia="微软雅黑" w:cs="微软雅黑"/>
          <w:bCs/>
          <w:color w:val="auto"/>
          <w:szCs w:val="21"/>
          <w:highlight w:val="none"/>
          <w:lang w:eastAsia="zh-CN"/>
        </w:rPr>
        <w:t>参加验收</w:t>
      </w:r>
      <w:r>
        <w:rPr>
          <w:rFonts w:hint="eastAsia" w:ascii="微软雅黑" w:hAnsi="微软雅黑" w:eastAsia="微软雅黑" w:cs="微软雅黑"/>
          <w:bCs/>
          <w:color w:val="auto"/>
          <w:szCs w:val="21"/>
          <w:highlight w:val="none"/>
        </w:rPr>
        <w:t>：</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 xml:space="preserve">是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否</w:t>
      </w:r>
    </w:p>
    <w:p w14:paraId="3DEA2CF0">
      <w:pPr>
        <w:adjustRightInd w:val="0"/>
        <w:snapToGrid w:val="0"/>
        <w:spacing w:before="0" w:beforeLines="0" w:line="400" w:lineRule="exact"/>
        <w:ind w:firstLine="840" w:firstLineChars="40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是否邀请专家</w:t>
      </w:r>
      <w:r>
        <w:rPr>
          <w:rFonts w:hint="eastAsia" w:ascii="微软雅黑" w:hAnsi="微软雅黑" w:eastAsia="微软雅黑" w:cs="微软雅黑"/>
          <w:bCs/>
          <w:color w:val="auto"/>
          <w:szCs w:val="21"/>
          <w:highlight w:val="none"/>
          <w:lang w:eastAsia="zh-CN"/>
        </w:rPr>
        <w:t>参加验收</w:t>
      </w:r>
      <w:r>
        <w:rPr>
          <w:rFonts w:hint="eastAsia" w:ascii="微软雅黑" w:hAnsi="微软雅黑" w:eastAsia="微软雅黑" w:cs="微软雅黑"/>
          <w:bCs/>
          <w:color w:val="auto"/>
          <w:szCs w:val="21"/>
          <w:highlight w:val="none"/>
        </w:rPr>
        <w:t>：</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 xml:space="preserve">是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否</w:t>
      </w:r>
    </w:p>
    <w:p w14:paraId="5D1652AA">
      <w:pPr>
        <w:adjustRightInd w:val="0"/>
        <w:snapToGrid w:val="0"/>
        <w:spacing w:before="0" w:beforeLines="0" w:line="400" w:lineRule="exact"/>
        <w:ind w:firstLine="840" w:firstLineChars="40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是否邀请服务对象</w:t>
      </w:r>
      <w:r>
        <w:rPr>
          <w:rFonts w:hint="eastAsia" w:ascii="微软雅黑" w:hAnsi="微软雅黑" w:eastAsia="微软雅黑" w:cs="微软雅黑"/>
          <w:bCs/>
          <w:color w:val="auto"/>
          <w:szCs w:val="21"/>
          <w:highlight w:val="none"/>
          <w:lang w:eastAsia="zh-CN"/>
        </w:rPr>
        <w:t>参加验收</w:t>
      </w:r>
      <w:r>
        <w:rPr>
          <w:rFonts w:hint="eastAsia" w:ascii="微软雅黑" w:hAnsi="微软雅黑" w:eastAsia="微软雅黑" w:cs="微软雅黑"/>
          <w:bCs/>
          <w:color w:val="auto"/>
          <w:szCs w:val="21"/>
          <w:highlight w:val="none"/>
        </w:rPr>
        <w:t>：</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 xml:space="preserve">是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否</w:t>
      </w:r>
    </w:p>
    <w:p w14:paraId="3109F504">
      <w:pPr>
        <w:adjustRightInd w:val="0"/>
        <w:snapToGrid w:val="0"/>
        <w:spacing w:before="0" w:beforeLines="0" w:line="400" w:lineRule="exact"/>
        <w:ind w:firstLine="840" w:firstLineChars="40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是否邀请第三方检测机构</w:t>
      </w:r>
      <w:r>
        <w:rPr>
          <w:rFonts w:hint="eastAsia" w:ascii="微软雅黑" w:hAnsi="微软雅黑" w:eastAsia="微软雅黑" w:cs="微软雅黑"/>
          <w:bCs/>
          <w:color w:val="auto"/>
          <w:szCs w:val="21"/>
          <w:highlight w:val="none"/>
          <w:lang w:eastAsia="zh-CN"/>
        </w:rPr>
        <w:t>参加验收</w:t>
      </w:r>
      <w:r>
        <w:rPr>
          <w:rFonts w:hint="eastAsia" w:ascii="微软雅黑" w:hAnsi="微软雅黑" w:eastAsia="微软雅黑" w:cs="微软雅黑"/>
          <w:bCs/>
          <w:color w:val="auto"/>
          <w:szCs w:val="21"/>
          <w:highlight w:val="none"/>
        </w:rPr>
        <w:t>：</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 xml:space="preserve">是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否</w:t>
      </w:r>
    </w:p>
    <w:p w14:paraId="1BE13C75">
      <w:pPr>
        <w:adjustRightInd w:val="0"/>
        <w:snapToGrid w:val="0"/>
        <w:spacing w:before="0" w:beforeLines="0" w:line="400" w:lineRule="exact"/>
        <w:ind w:firstLine="840" w:firstLineChars="40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lang w:eastAsia="zh-CN"/>
        </w:rPr>
        <w:t>是否进行抽查检测：</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是</w:t>
      </w:r>
      <w:r>
        <w:rPr>
          <w:rFonts w:hint="eastAsia" w:ascii="微软雅黑" w:hAnsi="微软雅黑" w:eastAsia="微软雅黑" w:cs="微软雅黑"/>
          <w:bCs/>
          <w:color w:val="auto"/>
          <w:szCs w:val="21"/>
          <w:highlight w:val="none"/>
          <w:lang w:eastAsia="zh-CN"/>
        </w:rPr>
        <w:t>，抽查比例：</w:t>
      </w:r>
      <w:r>
        <w:rPr>
          <w:rFonts w:hint="eastAsia" w:ascii="微软雅黑" w:hAnsi="微软雅黑" w:eastAsia="微软雅黑" w:cs="微软雅黑"/>
          <w:bCs/>
          <w:color w:val="auto"/>
          <w:szCs w:val="21"/>
          <w:highlight w:val="none"/>
          <w:u w:val="single"/>
        </w:rPr>
        <w:t xml:space="preserve">   </w:t>
      </w:r>
      <w:r>
        <w:rPr>
          <w:rFonts w:hint="eastAsia" w:ascii="微软雅黑" w:hAnsi="微软雅黑" w:eastAsia="微软雅黑" w:cs="微软雅黑"/>
          <w:bCs/>
          <w:color w:val="auto"/>
          <w:szCs w:val="21"/>
          <w:highlight w:val="none"/>
          <w:u w:val="single"/>
          <w:lang w:val="en-US" w:eastAsia="zh-CN"/>
        </w:rPr>
        <w:t xml:space="preserve">     </w:t>
      </w:r>
      <w:r>
        <w:rPr>
          <w:rFonts w:hint="eastAsia" w:ascii="微软雅黑" w:hAnsi="微软雅黑" w:eastAsia="微软雅黑" w:cs="微软雅黑"/>
          <w:bCs/>
          <w:color w:val="auto"/>
          <w:szCs w:val="21"/>
          <w:highlight w:val="none"/>
        </w:rPr>
        <w:t xml:space="preserve">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否</w:t>
      </w:r>
    </w:p>
    <w:p w14:paraId="7C93E9BE">
      <w:pPr>
        <w:adjustRightInd w:val="0"/>
        <w:snapToGrid w:val="0"/>
        <w:spacing w:before="0" w:beforeLines="0" w:line="400" w:lineRule="exact"/>
        <w:ind w:firstLine="840" w:firstLineChars="400"/>
        <w:outlineLvl w:val="9"/>
        <w:rPr>
          <w:rFonts w:hint="eastAsia" w:ascii="微软雅黑" w:hAnsi="微软雅黑" w:eastAsia="微软雅黑" w:cs="微软雅黑"/>
          <w:bCs/>
          <w:color w:val="auto"/>
          <w:szCs w:val="21"/>
          <w:highlight w:val="none"/>
          <w:u w:val="single"/>
          <w:lang w:eastAsia="zh-CN"/>
        </w:rPr>
      </w:pPr>
      <w:r>
        <w:rPr>
          <w:rFonts w:hint="eastAsia" w:ascii="微软雅黑" w:hAnsi="微软雅黑" w:eastAsia="微软雅黑" w:cs="微软雅黑"/>
          <w:bCs/>
          <w:color w:val="auto"/>
          <w:szCs w:val="21"/>
          <w:highlight w:val="none"/>
          <w:lang w:val="en-US" w:eastAsia="zh-CN"/>
        </w:rPr>
        <w:t>是否存在破坏性检测：</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是</w:t>
      </w:r>
      <w:r>
        <w:rPr>
          <w:rFonts w:hint="eastAsia" w:ascii="微软雅黑" w:hAnsi="微软雅黑" w:eastAsia="微软雅黑" w:cs="微软雅黑"/>
          <w:bCs/>
          <w:color w:val="auto"/>
          <w:szCs w:val="21"/>
          <w:highlight w:val="none"/>
          <w:lang w:eastAsia="zh-CN"/>
        </w:rPr>
        <w:t>，</w:t>
      </w:r>
      <w:r>
        <w:rPr>
          <w:rFonts w:hint="eastAsia" w:ascii="微软雅黑" w:hAnsi="微软雅黑" w:eastAsia="微软雅黑" w:cs="微软雅黑"/>
          <w:bCs/>
          <w:color w:val="auto"/>
          <w:szCs w:val="21"/>
          <w:highlight w:val="none"/>
          <w:u w:val="single"/>
          <w:lang w:eastAsia="zh-CN"/>
        </w:rPr>
        <w:t>（应明确对被破坏的检测产品的处理方式）</w:t>
      </w:r>
    </w:p>
    <w:p w14:paraId="7287CDEE">
      <w:pPr>
        <w:adjustRightInd w:val="0"/>
        <w:snapToGrid w:val="0"/>
        <w:spacing w:before="0" w:beforeLines="0" w:line="400" w:lineRule="exact"/>
        <w:ind w:firstLine="840" w:firstLineChars="400"/>
        <w:outlineLvl w:val="9"/>
        <w:rPr>
          <w:rFonts w:hint="eastAsia" w:ascii="微软雅黑" w:hAnsi="微软雅黑" w:eastAsia="微软雅黑" w:cs="微软雅黑"/>
          <w:bCs/>
          <w:color w:val="auto"/>
          <w:szCs w:val="21"/>
          <w:highlight w:val="none"/>
          <w:lang w:eastAsia="zh-CN"/>
        </w:rPr>
      </w:pPr>
      <w:r>
        <w:rPr>
          <w:rFonts w:hint="eastAsia" w:ascii="微软雅黑" w:hAnsi="微软雅黑" w:eastAsia="微软雅黑" w:cs="微软雅黑"/>
          <w:bCs/>
          <w:color w:val="auto"/>
          <w:szCs w:val="21"/>
          <w:highlight w:val="none"/>
          <w:lang w:val="en-US" w:eastAsia="zh-CN"/>
        </w:rPr>
        <w:t xml:space="preserve">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否</w:t>
      </w:r>
    </w:p>
    <w:p w14:paraId="6A3DFA61">
      <w:pPr>
        <w:adjustRightInd w:val="0"/>
        <w:snapToGrid w:val="0"/>
        <w:spacing w:before="0" w:beforeLines="0" w:line="400" w:lineRule="exact"/>
        <w:ind w:firstLine="840" w:firstLineChars="400"/>
        <w:outlineLvl w:val="9"/>
        <w:rPr>
          <w:rFonts w:hint="eastAsia" w:ascii="微软雅黑" w:hAnsi="微软雅黑" w:eastAsia="微软雅黑" w:cs="微软雅黑"/>
          <w:bCs/>
          <w:color w:val="auto"/>
          <w:szCs w:val="21"/>
          <w:highlight w:val="none"/>
          <w:u w:val="single"/>
        </w:rPr>
      </w:pPr>
      <w:r>
        <w:rPr>
          <w:rFonts w:hint="eastAsia" w:ascii="微软雅黑" w:hAnsi="微软雅黑" w:eastAsia="微软雅黑" w:cs="微软雅黑"/>
          <w:bCs/>
          <w:color w:val="auto"/>
          <w:szCs w:val="21"/>
          <w:highlight w:val="none"/>
        </w:rPr>
        <w:t>验收组织的其他事项：</w:t>
      </w:r>
      <w:r>
        <w:rPr>
          <w:rFonts w:hint="eastAsia" w:ascii="微软雅黑" w:hAnsi="微软雅黑" w:eastAsia="微软雅黑" w:cs="微软雅黑"/>
          <w:bCs/>
          <w:color w:val="auto"/>
          <w:szCs w:val="21"/>
          <w:highlight w:val="none"/>
          <w:u w:val="single"/>
        </w:rPr>
        <w:t xml:space="preserve">                </w:t>
      </w:r>
    </w:p>
    <w:p w14:paraId="5126A954">
      <w:pPr>
        <w:adjustRightInd w:val="0"/>
        <w:snapToGrid w:val="0"/>
        <w:spacing w:before="0" w:beforeLines="0" w:line="400" w:lineRule="exact"/>
        <w:ind w:firstLine="420" w:firstLineChars="200"/>
        <w:outlineLvl w:val="9"/>
        <w:rPr>
          <w:rFonts w:hint="eastAsia" w:ascii="微软雅黑" w:hAnsi="微软雅黑" w:eastAsia="微软雅黑" w:cs="微软雅黑"/>
          <w:bCs/>
          <w:color w:val="auto"/>
          <w:szCs w:val="21"/>
          <w:highlight w:val="none"/>
          <w:u w:val="single"/>
        </w:rPr>
      </w:pPr>
      <w:r>
        <w:rPr>
          <w:rFonts w:hint="eastAsia" w:ascii="微软雅黑" w:hAnsi="微软雅黑" w:eastAsia="微软雅黑" w:cs="微软雅黑"/>
          <w:bCs/>
          <w:color w:val="auto"/>
          <w:szCs w:val="21"/>
          <w:highlight w:val="none"/>
        </w:rPr>
        <w:t>（2）履约验收时间：</w:t>
      </w:r>
      <w:r>
        <w:rPr>
          <w:rFonts w:hint="eastAsia" w:ascii="微软雅黑" w:hAnsi="微软雅黑" w:eastAsia="微软雅黑" w:cs="微软雅黑"/>
          <w:bCs/>
          <w:color w:val="auto"/>
          <w:szCs w:val="21"/>
          <w:highlight w:val="none"/>
          <w:u w:val="single"/>
        </w:rPr>
        <w:t>（计划于何时验收/供应商提出验收申请之日起   日内组织验收）</w:t>
      </w:r>
      <w:r>
        <w:rPr>
          <w:rFonts w:hint="eastAsia" w:ascii="微软雅黑" w:hAnsi="微软雅黑" w:eastAsia="微软雅黑" w:cs="微软雅黑"/>
          <w:bCs/>
          <w:color w:val="auto"/>
          <w:szCs w:val="21"/>
          <w:highlight w:val="none"/>
          <w:u w:val="single"/>
          <w:lang w:val="en-US" w:eastAsia="zh-CN"/>
        </w:rPr>
        <w:t xml:space="preserve"> </w:t>
      </w:r>
    </w:p>
    <w:p w14:paraId="3F36966C">
      <w:pPr>
        <w:adjustRightInd w:val="0"/>
        <w:snapToGrid w:val="0"/>
        <w:spacing w:before="0" w:beforeLines="0" w:line="400" w:lineRule="exact"/>
        <w:ind w:firstLine="420" w:firstLineChars="20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（3）履约验收方式：</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 xml:space="preserve">一次性验收         </w:t>
      </w:r>
    </w:p>
    <w:p w14:paraId="43E60C07">
      <w:pPr>
        <w:adjustRightInd w:val="0"/>
        <w:snapToGrid w:val="0"/>
        <w:spacing w:before="0" w:beforeLines="0" w:line="400" w:lineRule="exact"/>
        <w:ind w:firstLine="0" w:firstLineChars="0"/>
        <w:outlineLvl w:val="9"/>
        <w:rPr>
          <w:rFonts w:hint="eastAsia" w:ascii="微软雅黑" w:hAnsi="微软雅黑" w:eastAsia="微软雅黑" w:cs="微软雅黑"/>
          <w:bCs/>
          <w:color w:val="auto"/>
          <w:szCs w:val="21"/>
          <w:highlight w:val="none"/>
          <w:lang w:val="en-US" w:eastAsia="zh-CN"/>
        </w:rPr>
      </w:pPr>
      <w:r>
        <w:rPr>
          <w:rFonts w:hint="eastAsia" w:ascii="微软雅黑" w:hAnsi="微软雅黑" w:eastAsia="微软雅黑" w:cs="微软雅黑"/>
          <w:bCs/>
          <w:color w:val="auto"/>
          <w:szCs w:val="21"/>
          <w:highlight w:val="none"/>
          <w:lang w:val="en-US" w:eastAsia="zh-CN"/>
        </w:rPr>
        <w:t xml:space="preserve">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分期/分项验收</w:t>
      </w:r>
      <w:r>
        <w:rPr>
          <w:rFonts w:hint="eastAsia" w:ascii="微软雅黑" w:hAnsi="微软雅黑" w:eastAsia="微软雅黑" w:cs="微软雅黑"/>
          <w:bCs/>
          <w:color w:val="auto"/>
          <w:szCs w:val="21"/>
          <w:highlight w:val="none"/>
          <w:lang w:eastAsia="zh-CN"/>
        </w:rPr>
        <w:t>：</w:t>
      </w:r>
      <w:r>
        <w:rPr>
          <w:rFonts w:hint="eastAsia" w:ascii="微软雅黑" w:hAnsi="微软雅黑" w:eastAsia="微软雅黑" w:cs="微软雅黑"/>
          <w:bCs/>
          <w:color w:val="auto"/>
          <w:szCs w:val="21"/>
          <w:highlight w:val="none"/>
          <w:u w:val="single"/>
        </w:rPr>
        <w:t xml:space="preserve"> </w:t>
      </w:r>
      <w:r>
        <w:rPr>
          <w:rFonts w:hint="eastAsia" w:ascii="微软雅黑" w:hAnsi="微软雅黑" w:eastAsia="微软雅黑" w:cs="微软雅黑"/>
          <w:bCs/>
          <w:color w:val="auto"/>
          <w:szCs w:val="21"/>
          <w:highlight w:val="none"/>
          <w:u w:val="single"/>
          <w:lang w:eastAsia="zh-CN"/>
        </w:rPr>
        <w:t>（应明确分期</w:t>
      </w:r>
      <w:r>
        <w:rPr>
          <w:rFonts w:hint="eastAsia" w:ascii="微软雅黑" w:hAnsi="微软雅黑" w:eastAsia="微软雅黑" w:cs="微软雅黑"/>
          <w:bCs/>
          <w:color w:val="auto"/>
          <w:szCs w:val="21"/>
          <w:highlight w:val="none"/>
          <w:u w:val="single"/>
          <w:lang w:val="en" w:eastAsia="zh-CN"/>
        </w:rPr>
        <w:t>/分项验收的工作安排</w:t>
      </w:r>
      <w:r>
        <w:rPr>
          <w:rFonts w:hint="eastAsia" w:ascii="微软雅黑" w:hAnsi="微软雅黑" w:eastAsia="微软雅黑" w:cs="微软雅黑"/>
          <w:bCs/>
          <w:color w:val="auto"/>
          <w:szCs w:val="21"/>
          <w:highlight w:val="none"/>
          <w:u w:val="single"/>
          <w:lang w:eastAsia="zh-CN"/>
        </w:rPr>
        <w:t>）</w:t>
      </w:r>
      <w:r>
        <w:rPr>
          <w:rFonts w:hint="eastAsia" w:ascii="微软雅黑" w:hAnsi="微软雅黑" w:eastAsia="微软雅黑" w:cs="微软雅黑"/>
          <w:bCs/>
          <w:color w:val="auto"/>
          <w:szCs w:val="21"/>
          <w:highlight w:val="none"/>
          <w:u w:val="single"/>
        </w:rPr>
        <w:t xml:space="preserve"> </w:t>
      </w:r>
      <w:r>
        <w:rPr>
          <w:rFonts w:hint="eastAsia" w:ascii="微软雅黑" w:hAnsi="微软雅黑" w:eastAsia="微软雅黑" w:cs="微软雅黑"/>
          <w:bCs/>
          <w:color w:val="auto"/>
          <w:szCs w:val="21"/>
          <w:highlight w:val="none"/>
          <w:u w:val="single"/>
          <w:lang w:val="en-US" w:eastAsia="zh-CN"/>
        </w:rPr>
        <w:t xml:space="preserve"> </w:t>
      </w:r>
    </w:p>
    <w:p w14:paraId="2A412B4C">
      <w:pPr>
        <w:adjustRightInd w:val="0"/>
        <w:snapToGrid w:val="0"/>
        <w:spacing w:before="0" w:beforeLines="0" w:line="400" w:lineRule="exact"/>
        <w:ind w:firstLine="420" w:firstLineChars="20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（4）履约验收程序：</w:t>
      </w:r>
      <w:r>
        <w:rPr>
          <w:rFonts w:hint="eastAsia" w:ascii="微软雅黑" w:hAnsi="微软雅黑" w:eastAsia="微软雅黑" w:cs="微软雅黑"/>
          <w:bCs/>
          <w:color w:val="auto"/>
          <w:szCs w:val="21"/>
          <w:highlight w:val="none"/>
          <w:u w:val="single"/>
        </w:rPr>
        <w:t xml:space="preserve">                                         </w:t>
      </w:r>
    </w:p>
    <w:p w14:paraId="12A51F6A">
      <w:pPr>
        <w:adjustRightInd w:val="0"/>
        <w:snapToGrid w:val="0"/>
        <w:spacing w:before="0" w:beforeLines="0" w:line="400" w:lineRule="exact"/>
        <w:ind w:firstLine="420" w:firstLineChars="200"/>
        <w:outlineLvl w:val="9"/>
        <w:rPr>
          <w:rFonts w:hint="eastAsia" w:ascii="微软雅黑" w:hAnsi="微软雅黑" w:eastAsia="微软雅黑" w:cs="微软雅黑"/>
          <w:bCs/>
          <w:color w:val="auto"/>
          <w:szCs w:val="21"/>
          <w:highlight w:val="none"/>
          <w:u w:val="single"/>
        </w:rPr>
      </w:pPr>
      <w:r>
        <w:rPr>
          <w:rFonts w:hint="eastAsia" w:ascii="微软雅黑" w:hAnsi="微软雅黑" w:eastAsia="微软雅黑" w:cs="微软雅黑"/>
          <w:bCs/>
          <w:color w:val="auto"/>
          <w:szCs w:val="21"/>
          <w:highlight w:val="none"/>
        </w:rPr>
        <w:t>（5）履约验收的内容：</w:t>
      </w:r>
      <w:r>
        <w:rPr>
          <w:rFonts w:hint="eastAsia" w:ascii="微软雅黑" w:hAnsi="微软雅黑" w:eastAsia="微软雅黑" w:cs="微软雅黑"/>
          <w:bCs/>
          <w:color w:val="auto"/>
          <w:szCs w:val="21"/>
          <w:highlight w:val="none"/>
          <w:u w:val="single"/>
        </w:rPr>
        <w:t xml:space="preserve"> </w:t>
      </w:r>
      <w:r>
        <w:rPr>
          <w:rFonts w:hint="eastAsia" w:ascii="微软雅黑" w:hAnsi="微软雅黑" w:eastAsia="微软雅黑" w:cs="微软雅黑"/>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微软雅黑" w:hAnsi="微软雅黑" w:eastAsia="微软雅黑" w:cs="微软雅黑"/>
          <w:bCs/>
          <w:color w:val="auto"/>
          <w:szCs w:val="21"/>
          <w:highlight w:val="none"/>
          <w:u w:val="single"/>
        </w:rPr>
        <w:t xml:space="preserve">                                      </w:t>
      </w:r>
    </w:p>
    <w:p w14:paraId="1DBF6EA8">
      <w:pPr>
        <w:adjustRightInd w:val="0"/>
        <w:snapToGrid w:val="0"/>
        <w:spacing w:before="0" w:beforeLines="0" w:line="400" w:lineRule="exact"/>
        <w:ind w:firstLine="420" w:firstLineChars="200"/>
        <w:outlineLvl w:val="9"/>
        <w:rPr>
          <w:rFonts w:hint="eastAsia" w:ascii="微软雅黑" w:hAnsi="微软雅黑" w:eastAsia="微软雅黑" w:cs="微软雅黑"/>
          <w:bCs/>
          <w:color w:val="auto"/>
          <w:szCs w:val="21"/>
          <w:highlight w:val="none"/>
          <w:u w:val="single"/>
        </w:rPr>
      </w:pPr>
      <w:r>
        <w:rPr>
          <w:rFonts w:hint="eastAsia" w:ascii="微软雅黑" w:hAnsi="微软雅黑" w:eastAsia="微软雅黑" w:cs="微软雅黑"/>
          <w:bCs/>
          <w:color w:val="auto"/>
          <w:szCs w:val="21"/>
          <w:highlight w:val="none"/>
        </w:rPr>
        <w:t>（6）履约验收标准：</w:t>
      </w:r>
      <w:r>
        <w:rPr>
          <w:rFonts w:hint="eastAsia" w:ascii="微软雅黑" w:hAnsi="微软雅黑" w:eastAsia="微软雅黑" w:cs="微软雅黑"/>
          <w:bCs/>
          <w:color w:val="auto"/>
          <w:szCs w:val="21"/>
          <w:highlight w:val="none"/>
          <w:u w:val="single"/>
        </w:rPr>
        <w:t xml:space="preserve">                                         </w:t>
      </w:r>
    </w:p>
    <w:p w14:paraId="1AEF1C4C">
      <w:pPr>
        <w:pStyle w:val="114"/>
        <w:spacing w:beforeLines="0"/>
        <w:outlineLvl w:val="9"/>
        <w:rPr>
          <w:rFonts w:hint="eastAsia" w:ascii="微软雅黑" w:hAnsi="微软雅黑" w:eastAsia="微软雅黑" w:cs="微软雅黑"/>
          <w:color w:val="auto"/>
          <w:sz w:val="21"/>
          <w:highlight w:val="none"/>
          <w:lang w:eastAsia="zh-CN"/>
        </w:rPr>
      </w:pPr>
      <w:r>
        <w:rPr>
          <w:rFonts w:hint="eastAsia" w:ascii="微软雅黑" w:hAnsi="微软雅黑" w:eastAsia="微软雅黑" w:cs="微软雅黑"/>
          <w:bCs/>
          <w:color w:val="auto"/>
          <w:sz w:val="21"/>
          <w:szCs w:val="21"/>
          <w:highlight w:val="none"/>
          <w:u w:val="none"/>
          <w:lang w:eastAsia="zh-CN"/>
        </w:rPr>
        <w:t>（</w:t>
      </w:r>
      <w:r>
        <w:rPr>
          <w:rFonts w:hint="eastAsia" w:ascii="微软雅黑" w:hAnsi="微软雅黑" w:eastAsia="微软雅黑" w:cs="微软雅黑"/>
          <w:bCs/>
          <w:color w:val="auto"/>
          <w:sz w:val="21"/>
          <w:szCs w:val="21"/>
          <w:highlight w:val="none"/>
          <w:u w:val="none"/>
          <w:lang w:val="en-US" w:eastAsia="zh-CN"/>
        </w:rPr>
        <w:t>7</w:t>
      </w:r>
      <w:r>
        <w:rPr>
          <w:rFonts w:hint="eastAsia" w:ascii="微软雅黑" w:hAnsi="微软雅黑" w:eastAsia="微软雅黑" w:cs="微软雅黑"/>
          <w:bCs/>
          <w:color w:val="auto"/>
          <w:sz w:val="21"/>
          <w:szCs w:val="21"/>
          <w:highlight w:val="none"/>
          <w:u w:val="none"/>
          <w:lang w:eastAsia="zh-CN"/>
        </w:rPr>
        <w:t>）是否以采购活动中供应商提供的样品作为参考：</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 w:val="21"/>
          <w:szCs w:val="21"/>
          <w:highlight w:val="none"/>
        </w:rPr>
        <w:t xml:space="preserve">是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 w:val="21"/>
          <w:szCs w:val="21"/>
          <w:highlight w:val="none"/>
        </w:rPr>
        <w:t>否</w:t>
      </w:r>
    </w:p>
    <w:p w14:paraId="07F5B0F1">
      <w:pPr>
        <w:adjustRightInd w:val="0"/>
        <w:snapToGrid w:val="0"/>
        <w:spacing w:before="0" w:beforeLines="0" w:line="400" w:lineRule="exact"/>
        <w:ind w:firstLine="420" w:firstLineChars="200"/>
        <w:outlineLvl w:val="9"/>
        <w:rPr>
          <w:rFonts w:hint="eastAsia" w:ascii="微软雅黑" w:hAnsi="微软雅黑" w:eastAsia="微软雅黑" w:cs="微软雅黑"/>
          <w:bCs/>
          <w:color w:val="auto"/>
          <w:szCs w:val="21"/>
          <w:highlight w:val="none"/>
          <w:u w:val="single"/>
        </w:rPr>
      </w:pPr>
      <w:r>
        <w:rPr>
          <w:rFonts w:hint="eastAsia" w:ascii="微软雅黑" w:hAnsi="微软雅黑" w:eastAsia="微软雅黑" w:cs="微软雅黑"/>
          <w:bCs/>
          <w:color w:val="auto"/>
          <w:szCs w:val="21"/>
          <w:highlight w:val="none"/>
        </w:rPr>
        <w:t>（8）履约验收其他事项：</w:t>
      </w:r>
      <w:r>
        <w:rPr>
          <w:rFonts w:hint="eastAsia" w:ascii="微软雅黑" w:hAnsi="微软雅黑" w:eastAsia="微软雅黑" w:cs="微软雅黑"/>
          <w:bCs/>
          <w:color w:val="auto"/>
          <w:szCs w:val="21"/>
          <w:highlight w:val="none"/>
          <w:u w:val="single"/>
        </w:rPr>
        <w:t xml:space="preserve">      </w:t>
      </w:r>
      <w:r>
        <w:rPr>
          <w:rFonts w:hint="eastAsia" w:ascii="微软雅黑" w:hAnsi="微软雅黑" w:eastAsia="微软雅黑" w:cs="微软雅黑"/>
          <w:bCs/>
          <w:i w:val="0"/>
          <w:iCs w:val="0"/>
          <w:color w:val="auto"/>
          <w:szCs w:val="21"/>
          <w:highlight w:val="none"/>
          <w:u w:val="single"/>
        </w:rPr>
        <w:t>（产权过户登记等）</w:t>
      </w:r>
      <w:r>
        <w:rPr>
          <w:rFonts w:hint="eastAsia" w:ascii="微软雅黑" w:hAnsi="微软雅黑" w:eastAsia="微软雅黑" w:cs="微软雅黑"/>
          <w:bCs/>
          <w:color w:val="auto"/>
          <w:szCs w:val="21"/>
          <w:highlight w:val="none"/>
          <w:u w:val="single"/>
        </w:rPr>
        <w:t xml:space="preserve">          </w:t>
      </w:r>
    </w:p>
    <w:p w14:paraId="1BFE6FF2">
      <w:pPr>
        <w:numPr>
          <w:ilvl w:val="0"/>
          <w:numId w:val="13"/>
        </w:numPr>
        <w:adjustRightInd w:val="0"/>
        <w:snapToGrid w:val="0"/>
        <w:spacing w:before="0" w:beforeLines="0" w:line="400" w:lineRule="exact"/>
        <w:ind w:firstLine="420" w:firstLineChars="200"/>
        <w:outlineLvl w:val="9"/>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组成合同的文件</w:t>
      </w:r>
    </w:p>
    <w:p w14:paraId="07E649E0">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本协议书与下列文件一起构成合同文件，如下述文件之间有任何抵触、矛盾或歧义，应按以下顺序解释：</w:t>
      </w:r>
    </w:p>
    <w:p w14:paraId="5885D400">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eastAsia="zh-CN"/>
        </w:rPr>
        <w:t>政府采购</w:t>
      </w:r>
      <w:r>
        <w:rPr>
          <w:rFonts w:hint="eastAsia" w:ascii="微软雅黑" w:hAnsi="微软雅黑" w:eastAsia="微软雅黑" w:cs="微软雅黑"/>
          <w:color w:val="auto"/>
          <w:szCs w:val="21"/>
          <w:highlight w:val="none"/>
        </w:rPr>
        <w:t>合同协议书及其变更、补充</w:t>
      </w:r>
      <w:r>
        <w:rPr>
          <w:rFonts w:hint="eastAsia" w:ascii="微软雅黑" w:hAnsi="微软雅黑" w:eastAsia="微软雅黑" w:cs="微软雅黑"/>
          <w:color w:val="auto"/>
          <w:szCs w:val="21"/>
          <w:highlight w:val="none"/>
          <w:lang w:eastAsia="zh-CN"/>
        </w:rPr>
        <w:t>协议</w:t>
      </w:r>
    </w:p>
    <w:p w14:paraId="1B00C538">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）政府采购合同专用条款</w:t>
      </w:r>
    </w:p>
    <w:p w14:paraId="3D7176CE">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）政府采购合同通用条款</w:t>
      </w:r>
    </w:p>
    <w:p w14:paraId="7FDE4416">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）中标</w:t>
      </w:r>
      <w:r>
        <w:rPr>
          <w:rFonts w:hint="eastAsia" w:ascii="微软雅黑" w:hAnsi="微软雅黑" w:eastAsia="微软雅黑" w:cs="微软雅黑"/>
          <w:color w:val="auto"/>
          <w:szCs w:val="21"/>
          <w:highlight w:val="none"/>
          <w:lang w:eastAsia="zh-CN"/>
        </w:rPr>
        <w:t>（成交）</w:t>
      </w:r>
      <w:r>
        <w:rPr>
          <w:rFonts w:hint="eastAsia" w:ascii="微软雅黑" w:hAnsi="微软雅黑" w:eastAsia="微软雅黑" w:cs="微软雅黑"/>
          <w:color w:val="auto"/>
          <w:szCs w:val="21"/>
          <w:highlight w:val="none"/>
        </w:rPr>
        <w:t>通知书</w:t>
      </w:r>
    </w:p>
    <w:p w14:paraId="123BD6A8">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）投标（响应）文件</w:t>
      </w:r>
    </w:p>
    <w:p w14:paraId="25D8CE19">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（6）采购文件</w:t>
      </w:r>
    </w:p>
    <w:p w14:paraId="4CC425B0">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（7）有关技术文件，图纸</w:t>
      </w:r>
    </w:p>
    <w:p w14:paraId="5576C632">
      <w:pPr>
        <w:pStyle w:val="114"/>
        <w:spacing w:beforeLines="0"/>
        <w:outlineLvl w:val="9"/>
        <w:rPr>
          <w:rFonts w:hint="eastAsia" w:ascii="微软雅黑" w:hAnsi="微软雅黑" w:eastAsia="微软雅黑" w:cs="微软雅黑"/>
          <w:color w:val="auto"/>
          <w:kern w:val="2"/>
          <w:sz w:val="21"/>
          <w:highlight w:val="none"/>
          <w:lang w:eastAsia="zh-CN"/>
        </w:rPr>
      </w:pP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8</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bCs w:val="0"/>
          <w:color w:val="auto"/>
          <w:kern w:val="2"/>
          <w:sz w:val="21"/>
          <w:szCs w:val="21"/>
          <w:highlight w:val="none"/>
          <w:lang w:eastAsia="zh-CN"/>
        </w:rPr>
        <w:t>国家法律、行政法规和规章制度规定或合同约定的作为合同组成部分的其他文件</w:t>
      </w:r>
    </w:p>
    <w:p w14:paraId="3AF77ACD">
      <w:pPr>
        <w:numPr>
          <w:ilvl w:val="0"/>
          <w:numId w:val="13"/>
        </w:numPr>
        <w:adjustRightInd w:val="0"/>
        <w:snapToGrid w:val="0"/>
        <w:spacing w:before="0" w:beforeLines="0" w:line="400" w:lineRule="exact"/>
        <w:ind w:firstLine="420" w:firstLineChars="200"/>
        <w:outlineLvl w:val="9"/>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合同生效</w:t>
      </w:r>
    </w:p>
    <w:p w14:paraId="605BE129">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本合同自</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生效。</w:t>
      </w:r>
    </w:p>
    <w:p w14:paraId="749E1D46">
      <w:pPr>
        <w:numPr>
          <w:ilvl w:val="0"/>
          <w:numId w:val="13"/>
        </w:numPr>
        <w:adjustRightInd w:val="0"/>
        <w:snapToGrid w:val="0"/>
        <w:spacing w:before="0" w:beforeLines="0" w:line="400" w:lineRule="exact"/>
        <w:ind w:firstLine="420" w:firstLineChars="200"/>
        <w:outlineLvl w:val="9"/>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合同份数</w:t>
      </w:r>
    </w:p>
    <w:p w14:paraId="1E14EB28">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本合同一式</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份，</w:t>
      </w:r>
      <w:r>
        <w:rPr>
          <w:rFonts w:hint="eastAsia" w:ascii="微软雅黑" w:hAnsi="微软雅黑" w:eastAsia="微软雅黑" w:cs="微软雅黑"/>
          <w:color w:val="auto"/>
          <w:szCs w:val="21"/>
          <w:highlight w:val="none"/>
          <w:lang w:eastAsia="zh-CN"/>
        </w:rPr>
        <w:t>甲方</w:t>
      </w:r>
      <w:r>
        <w:rPr>
          <w:rFonts w:hint="eastAsia" w:ascii="微软雅黑" w:hAnsi="微软雅黑" w:eastAsia="微软雅黑" w:cs="微软雅黑"/>
          <w:color w:val="auto"/>
          <w:szCs w:val="21"/>
          <w:highlight w:val="none"/>
        </w:rPr>
        <w:t>执</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份，</w:t>
      </w:r>
      <w:r>
        <w:rPr>
          <w:rFonts w:hint="eastAsia" w:ascii="微软雅黑" w:hAnsi="微软雅黑" w:eastAsia="微软雅黑" w:cs="微软雅黑"/>
          <w:color w:val="auto"/>
          <w:szCs w:val="21"/>
          <w:highlight w:val="none"/>
          <w:lang w:eastAsia="zh-CN"/>
        </w:rPr>
        <w:t>乙方</w:t>
      </w:r>
      <w:r>
        <w:rPr>
          <w:rFonts w:hint="eastAsia" w:ascii="微软雅黑" w:hAnsi="微软雅黑" w:eastAsia="微软雅黑" w:cs="微软雅黑"/>
          <w:color w:val="auto"/>
          <w:szCs w:val="21"/>
          <w:highlight w:val="none"/>
        </w:rPr>
        <w:t>执</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份，均具有同等法律效力。</w:t>
      </w:r>
    </w:p>
    <w:p w14:paraId="03D4F36E">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合同订立时间：</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年</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月</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日</w:t>
      </w:r>
    </w:p>
    <w:p w14:paraId="21542E79">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合同订立地点：</w:t>
      </w:r>
      <w:r>
        <w:rPr>
          <w:rFonts w:hint="eastAsia" w:ascii="微软雅黑" w:hAnsi="微软雅黑" w:eastAsia="微软雅黑" w:cs="微软雅黑"/>
          <w:color w:val="auto"/>
          <w:szCs w:val="21"/>
          <w:highlight w:val="none"/>
          <w:u w:val="single"/>
        </w:rPr>
        <w:t xml:space="preserve">                           </w:t>
      </w:r>
    </w:p>
    <w:p w14:paraId="023EC93B">
      <w:pPr>
        <w:adjustRightInd w:val="0"/>
        <w:snapToGrid w:val="0"/>
        <w:spacing w:before="0" w:beforeLines="0" w:line="400" w:lineRule="exact"/>
        <w:ind w:firstLine="420" w:firstLineChars="200"/>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附件：具体标</w:t>
      </w:r>
      <w:r>
        <w:rPr>
          <w:rFonts w:hint="eastAsia" w:ascii="微软雅黑" w:hAnsi="微软雅黑" w:eastAsia="微软雅黑" w:cs="微软雅黑"/>
          <w:color w:val="auto"/>
          <w:szCs w:val="21"/>
          <w:highlight w:val="none"/>
          <w:lang w:eastAsia="zh-CN"/>
        </w:rPr>
        <w:t>的及其</w:t>
      </w:r>
      <w:r>
        <w:rPr>
          <w:rFonts w:hint="eastAsia" w:ascii="微软雅黑" w:hAnsi="微软雅黑" w:eastAsia="微软雅黑" w:cs="微软雅黑"/>
          <w:color w:val="auto"/>
          <w:szCs w:val="21"/>
          <w:highlight w:val="none"/>
          <w:u w:val="none"/>
          <w:lang w:val="en-US" w:eastAsia="zh-CN"/>
        </w:rPr>
        <w:t>技术要求和商务要求</w:t>
      </w:r>
      <w:r>
        <w:rPr>
          <w:rFonts w:hint="eastAsia" w:ascii="微软雅黑" w:hAnsi="微软雅黑" w:eastAsia="微软雅黑" w:cs="微软雅黑"/>
          <w:color w:val="auto"/>
          <w:szCs w:val="21"/>
          <w:highlight w:val="none"/>
        </w:rPr>
        <w:t>、联合协议、分包</w:t>
      </w:r>
      <w:r>
        <w:rPr>
          <w:rFonts w:hint="eastAsia" w:ascii="微软雅黑" w:hAnsi="微软雅黑" w:eastAsia="微软雅黑" w:cs="微软雅黑"/>
          <w:color w:val="auto"/>
          <w:szCs w:val="21"/>
          <w:highlight w:val="none"/>
          <w:lang w:eastAsia="zh-CN"/>
        </w:rPr>
        <w:t>意向</w:t>
      </w:r>
      <w:r>
        <w:rPr>
          <w:rFonts w:hint="eastAsia" w:ascii="微软雅黑" w:hAnsi="微软雅黑" w:eastAsia="微软雅黑" w:cs="微软雅黑"/>
          <w:color w:val="auto"/>
          <w:szCs w:val="21"/>
          <w:highlight w:val="none"/>
        </w:rPr>
        <w:t>协议等。</w:t>
      </w:r>
    </w:p>
    <w:p w14:paraId="2E95D450">
      <w:pPr>
        <w:pStyle w:val="78"/>
        <w:spacing w:beforeLines="0" w:line="400" w:lineRule="exact"/>
        <w:outlineLvl w:val="9"/>
        <w:rPr>
          <w:rFonts w:hint="eastAsia" w:ascii="微软雅黑" w:hAnsi="微软雅黑" w:eastAsia="微软雅黑" w:cs="微软雅黑"/>
          <w:color w:val="auto"/>
          <w:highlight w:val="none"/>
        </w:rPr>
      </w:pPr>
    </w:p>
    <w:p w14:paraId="49620BFE">
      <w:pPr>
        <w:spacing w:beforeLines="0" w:line="400" w:lineRule="exact"/>
        <w:outlineLvl w:val="9"/>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color w:val="auto"/>
          <w:highlight w:val="none"/>
          <w:lang w:val="en"/>
        </w:rPr>
        <w:t xml:space="preserve">   </w:t>
      </w:r>
    </w:p>
    <w:p w14:paraId="6250745B">
      <w:pPr>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7FE3C115">
      <w:pPr>
        <w:pStyle w:val="78"/>
        <w:outlineLvl w:val="9"/>
        <w:rPr>
          <w:rFonts w:hint="eastAsia" w:ascii="微软雅黑" w:hAnsi="微软雅黑" w:eastAsia="微软雅黑" w:cs="微软雅黑"/>
          <w:color w:val="auto"/>
          <w:highlight w:val="none"/>
        </w:rPr>
      </w:pPr>
    </w:p>
    <w:tbl>
      <w:tblPr>
        <w:tblStyle w:val="3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1"/>
        <w:gridCol w:w="2615"/>
        <w:gridCol w:w="2145"/>
        <w:gridCol w:w="2295"/>
      </w:tblGrid>
      <w:tr w14:paraId="655A32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9CBC5E4">
            <w:pPr>
              <w:adjustRightInd w:val="0"/>
              <w:snapToGrid w:val="0"/>
              <w:spacing w:line="300" w:lineRule="exact"/>
              <w:jc w:val="center"/>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甲方（采购人</w:t>
            </w:r>
            <w:r>
              <w:rPr>
                <w:rFonts w:hint="eastAsia" w:ascii="微软雅黑" w:hAnsi="微软雅黑" w:eastAsia="微软雅黑" w:cs="微软雅黑"/>
                <w:color w:val="auto"/>
                <w:szCs w:val="21"/>
                <w:highlight w:val="none"/>
                <w:lang w:eastAsia="zh-CN"/>
              </w:rPr>
              <w:t>、受采购人委托签订合同的单位</w:t>
            </w:r>
            <w:r>
              <w:rPr>
                <w:rFonts w:hint="eastAsia" w:ascii="微软雅黑" w:hAnsi="微软雅黑" w:eastAsia="微软雅黑" w:cs="微软雅黑"/>
                <w:color w:val="auto"/>
                <w:szCs w:val="21"/>
                <w:highlight w:val="none"/>
              </w:rPr>
              <w:t>或采购文件约定的合同甲方）</w:t>
            </w:r>
          </w:p>
        </w:tc>
        <w:tc>
          <w:tcPr>
            <w:tcW w:w="2437" w:type="pct"/>
            <w:gridSpan w:val="2"/>
            <w:tcBorders>
              <w:left w:val="single" w:color="auto" w:sz="2" w:space="0"/>
              <w:bottom w:val="single" w:color="auto" w:sz="2" w:space="0"/>
            </w:tcBorders>
            <w:vAlign w:val="center"/>
          </w:tcPr>
          <w:p w14:paraId="0F58B9C2">
            <w:pPr>
              <w:adjustRightInd w:val="0"/>
              <w:snapToGrid w:val="0"/>
              <w:spacing w:line="300" w:lineRule="exact"/>
              <w:jc w:val="center"/>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乙方（供应商）</w:t>
            </w:r>
          </w:p>
        </w:tc>
      </w:tr>
      <w:tr w14:paraId="0C26B2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43443F6">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单位名称（公章</w:t>
            </w:r>
            <w:r>
              <w:rPr>
                <w:rFonts w:hint="eastAsia" w:ascii="微软雅黑" w:hAnsi="微软雅黑" w:eastAsia="微软雅黑" w:cs="微软雅黑"/>
                <w:color w:val="auto"/>
                <w:szCs w:val="21"/>
                <w:highlight w:val="none"/>
                <w:lang w:eastAsia="zh-CN"/>
              </w:rPr>
              <w:t>或合同章</w:t>
            </w:r>
            <w:r>
              <w:rPr>
                <w:rFonts w:hint="eastAsia" w:ascii="微软雅黑" w:hAnsi="微软雅黑" w:eastAsia="微软雅黑" w:cs="微软雅黑"/>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1A95A16">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0E556F7">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单位名称（公章</w:t>
            </w:r>
            <w:r>
              <w:rPr>
                <w:rFonts w:hint="eastAsia" w:ascii="微软雅黑" w:hAnsi="微软雅黑" w:eastAsia="微软雅黑" w:cs="微软雅黑"/>
                <w:color w:val="auto"/>
                <w:szCs w:val="21"/>
                <w:highlight w:val="none"/>
                <w:lang w:eastAsia="zh-CN"/>
              </w:rPr>
              <w:t>或合同章</w:t>
            </w:r>
            <w:r>
              <w:rPr>
                <w:rFonts w:hint="eastAsia" w:ascii="微软雅黑" w:hAnsi="微软雅黑" w:eastAsia="微软雅黑" w:cs="微软雅黑"/>
                <w:color w:val="auto"/>
                <w:szCs w:val="21"/>
                <w:highlight w:val="none"/>
              </w:rPr>
              <w:t>）</w:t>
            </w:r>
          </w:p>
        </w:tc>
        <w:tc>
          <w:tcPr>
            <w:tcW w:w="1259" w:type="pct"/>
            <w:tcBorders>
              <w:top w:val="single" w:color="auto" w:sz="2" w:space="0"/>
              <w:left w:val="single" w:color="auto" w:sz="2" w:space="0"/>
              <w:bottom w:val="single" w:color="auto" w:sz="2" w:space="0"/>
            </w:tcBorders>
            <w:vAlign w:val="center"/>
          </w:tcPr>
          <w:p w14:paraId="04835160">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4D9E09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875D46D">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p>
          <w:p w14:paraId="3C5FDD16">
            <w:pPr>
              <w:adjustRightInd w:val="0"/>
              <w:snapToGrid w:val="0"/>
              <w:spacing w:line="300" w:lineRule="exact"/>
              <w:ind w:firstLine="100" w:firstLineChars="48"/>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2F641C86">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7A9C48DC">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p>
          <w:p w14:paraId="1E2639BA">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5786400B">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r>
      <w:tr w14:paraId="3160E1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8269C91">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6D90961C">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4E6866">
            <w:pPr>
              <w:adjustRightInd w:val="0"/>
              <w:snapToGrid w:val="0"/>
              <w:spacing w:line="300" w:lineRule="exact"/>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78D0B4E2">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348A30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8B9D91">
            <w:pPr>
              <w:adjustRightInd w:val="0"/>
              <w:snapToGrid w:val="0"/>
              <w:spacing w:line="300" w:lineRule="exact"/>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住</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F50E111">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D92FDF">
            <w:pPr>
              <w:adjustRightInd w:val="0"/>
              <w:snapToGrid w:val="0"/>
              <w:spacing w:line="300" w:lineRule="exact"/>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住</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045DA352">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6422E5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A78CF1">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5282AC3">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3265F07">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3B96E833">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192DE2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6987D37">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89D223A">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2AF771">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713388DF">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7DE676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0B2727">
            <w:pPr>
              <w:adjustRightInd w:val="0"/>
              <w:snapToGrid w:val="0"/>
              <w:spacing w:line="300" w:lineRule="exact"/>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44DE8A2">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C2706F">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43228C2C">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049D29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254A5C">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3F6A671">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C6395C3">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05A1EC30">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7F7E37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6F971C">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15C03B8">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BFAB35">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772F8885">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2306AD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24F60B0">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521B039">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BA49DA">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C6284A2">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494C21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05CF0F">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428515B">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FE35860">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61968FC7">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369DA1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B02067">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56C7083">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C3BB59">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51EB9992">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4635AF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EB7922">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A3E677E">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3463B3">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69B13B03">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7957DE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A386A49">
            <w:pPr>
              <w:pStyle w:val="12"/>
              <w:adjustRightInd w:val="0"/>
              <w:snapToGrid w:val="0"/>
              <w:spacing w:before="156" w:beforeLines="50" w:after="0" w:line="360" w:lineRule="auto"/>
              <w:ind w:left="0" w:leftChars="0"/>
              <w:jc w:val="left"/>
              <w:outlineLvl w:val="9"/>
              <w:rPr>
                <w:rFonts w:hint="eastAsia" w:ascii="微软雅黑" w:hAnsi="微软雅黑" w:eastAsia="微软雅黑" w:cs="微软雅黑"/>
                <w:color w:val="auto"/>
                <w:spacing w:val="20"/>
                <w:szCs w:val="21"/>
                <w:highlight w:val="none"/>
              </w:rPr>
            </w:pPr>
            <w:r>
              <w:rPr>
                <w:rFonts w:hint="eastAsia" w:ascii="微软雅黑" w:hAnsi="微软雅黑" w:eastAsia="微软雅黑" w:cs="微软雅黑"/>
                <w:color w:val="auto"/>
                <w:szCs w:val="21"/>
                <w:highlight w:val="none"/>
              </w:rPr>
              <w:t>注：涉及联合体或其他合同主体的信息应按上表格式加列。</w:t>
            </w:r>
          </w:p>
        </w:tc>
      </w:tr>
    </w:tbl>
    <w:p w14:paraId="0AAD6C16">
      <w:pPr>
        <w:adjustRightInd w:val="0"/>
        <w:snapToGrid w:val="0"/>
        <w:spacing w:before="156" w:beforeLines="50"/>
        <w:jc w:val="center"/>
        <w:outlineLvl w:val="9"/>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1"/>
          <w:szCs w:val="21"/>
          <w:highlight w:val="none"/>
          <w:u w:val="single"/>
        </w:rPr>
        <w:br w:type="page"/>
      </w:r>
      <w:bookmarkStart w:id="868" w:name="_Toc27624"/>
      <w:r>
        <w:rPr>
          <w:rFonts w:hint="eastAsia" w:ascii="微软雅黑" w:hAnsi="微软雅黑" w:eastAsia="微软雅黑" w:cs="微软雅黑"/>
          <w:b w:val="0"/>
          <w:bCs w:val="0"/>
          <w:color w:val="auto"/>
          <w:sz w:val="28"/>
          <w:szCs w:val="28"/>
          <w:highlight w:val="none"/>
        </w:rPr>
        <w:t>第二节 政府采购合同通用条款</w:t>
      </w:r>
      <w:bookmarkEnd w:id="868"/>
    </w:p>
    <w:p w14:paraId="69A33018">
      <w:pPr>
        <w:keepNext w:val="0"/>
        <w:keepLines w:val="0"/>
        <w:pageBreakBefore w:val="0"/>
        <w:tabs>
          <w:tab w:val="left" w:pos="8820"/>
          <w:tab w:val="left" w:pos="9345"/>
          <w:tab w:val="left" w:pos="9765"/>
        </w:tabs>
        <w:kinsoku/>
        <w:wordWrap/>
        <w:overflowPunct/>
        <w:topLinePunct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color w:val="auto"/>
          <w:sz w:val="24"/>
          <w:highlight w:val="none"/>
        </w:rPr>
        <w:t>1.</w:t>
      </w:r>
      <w:r>
        <w:rPr>
          <w:rFonts w:hint="eastAsia" w:ascii="微软雅黑" w:hAnsi="微软雅黑" w:eastAsia="微软雅黑" w:cs="微软雅黑"/>
          <w:b/>
          <w:color w:val="auto"/>
          <w:sz w:val="24"/>
          <w:highlight w:val="none"/>
          <w:lang w:val="en-US" w:eastAsia="zh-CN"/>
        </w:rPr>
        <w:t xml:space="preserve"> </w:t>
      </w:r>
      <w:r>
        <w:rPr>
          <w:rFonts w:hint="eastAsia" w:ascii="微软雅黑" w:hAnsi="微软雅黑" w:eastAsia="微软雅黑" w:cs="微软雅黑"/>
          <w:b/>
          <w:bCs/>
          <w:color w:val="auto"/>
          <w:sz w:val="24"/>
          <w:highlight w:val="none"/>
        </w:rPr>
        <w:t>定义</w:t>
      </w:r>
    </w:p>
    <w:p w14:paraId="7ED7DA82">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1.1合同当事人</w:t>
      </w:r>
    </w:p>
    <w:p w14:paraId="13759188">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（1）采购人（以下称甲方）是指使用财政性资金，通过政府采购方式向供应商购买货物</w:t>
      </w:r>
      <w:r>
        <w:rPr>
          <w:rFonts w:hint="eastAsia" w:ascii="微软雅黑" w:hAnsi="微软雅黑" w:eastAsia="微软雅黑" w:cs="微软雅黑"/>
          <w:color w:val="auto"/>
          <w:szCs w:val="21"/>
          <w:highlight w:val="none"/>
          <w:lang w:val="en-US" w:eastAsia="zh-CN"/>
        </w:rPr>
        <w:t>及其相关服务的</w:t>
      </w:r>
      <w:r>
        <w:rPr>
          <w:rFonts w:hint="eastAsia" w:ascii="微软雅黑" w:hAnsi="微软雅黑" w:eastAsia="微软雅黑" w:cs="微软雅黑"/>
          <w:color w:val="auto"/>
          <w:szCs w:val="21"/>
          <w:highlight w:val="none"/>
        </w:rPr>
        <w:t>国家机关、事业单位、团体组织。</w:t>
      </w:r>
    </w:p>
    <w:p w14:paraId="2C453F30">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（2）供应商（以下称</w:t>
      </w:r>
      <w:r>
        <w:rPr>
          <w:rFonts w:hint="eastAsia" w:ascii="微软雅黑" w:hAnsi="微软雅黑" w:eastAsia="微软雅黑" w:cs="微软雅黑"/>
          <w:color w:val="auto"/>
          <w:szCs w:val="21"/>
          <w:highlight w:val="none"/>
          <w:lang w:eastAsia="zh-CN"/>
        </w:rPr>
        <w:t>乙</w:t>
      </w:r>
      <w:r>
        <w:rPr>
          <w:rFonts w:hint="eastAsia" w:ascii="微软雅黑" w:hAnsi="微软雅黑" w:eastAsia="微软雅黑" w:cs="微软雅黑"/>
          <w:color w:val="auto"/>
          <w:szCs w:val="21"/>
          <w:highlight w:val="none"/>
        </w:rPr>
        <w:t>方）是指参加政府采购活动并且中标（成交），向采购人提供</w:t>
      </w:r>
      <w:r>
        <w:rPr>
          <w:rFonts w:hint="eastAsia" w:ascii="微软雅黑" w:hAnsi="微软雅黑" w:eastAsia="微软雅黑" w:cs="微软雅黑"/>
          <w:color w:val="auto"/>
          <w:szCs w:val="21"/>
          <w:highlight w:val="none"/>
          <w:lang w:val="en-US" w:eastAsia="zh-CN"/>
        </w:rPr>
        <w:t>合同约定的货物及其相关服务的法人、非法人组织或者自然人</w:t>
      </w:r>
      <w:r>
        <w:rPr>
          <w:rFonts w:hint="eastAsia" w:ascii="微软雅黑" w:hAnsi="微软雅黑" w:eastAsia="微软雅黑" w:cs="微软雅黑"/>
          <w:color w:val="auto"/>
          <w:szCs w:val="21"/>
          <w:highlight w:val="none"/>
        </w:rPr>
        <w:t>。</w:t>
      </w:r>
    </w:p>
    <w:p w14:paraId="6EC6362A">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（3）其他合同主体是指除采购人和供应商以外，</w:t>
      </w:r>
      <w:r>
        <w:rPr>
          <w:rFonts w:hint="eastAsia" w:ascii="微软雅黑" w:hAnsi="微软雅黑" w:eastAsia="微软雅黑" w:cs="微软雅黑"/>
          <w:bCs/>
          <w:color w:val="auto"/>
          <w:szCs w:val="21"/>
          <w:highlight w:val="none"/>
        </w:rPr>
        <w:t>依法参与合同缔结或履行，享有权利、承担义务的合同当事人</w:t>
      </w:r>
      <w:r>
        <w:rPr>
          <w:rFonts w:hint="eastAsia" w:ascii="微软雅黑" w:hAnsi="微软雅黑" w:eastAsia="微软雅黑" w:cs="微软雅黑"/>
          <w:color w:val="auto"/>
          <w:szCs w:val="21"/>
          <w:highlight w:val="none"/>
        </w:rPr>
        <w:t>。</w:t>
      </w:r>
    </w:p>
    <w:p w14:paraId="7A2CB348">
      <w:pPr>
        <w:keepNext w:val="0"/>
        <w:keepLines w:val="0"/>
        <w:pageBreakBefore w:val="0"/>
        <w:tabs>
          <w:tab w:val="left" w:pos="570"/>
          <w:tab w:val="left" w:pos="9240"/>
          <w:tab w:val="left" w:pos="9555"/>
        </w:tabs>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1.2本合同下列术语应解释为：</w:t>
      </w:r>
    </w:p>
    <w:p w14:paraId="6B46C908">
      <w:pPr>
        <w:keepNext w:val="0"/>
        <w:keepLines w:val="0"/>
        <w:pageBreakBefore w:val="0"/>
        <w:kinsoku/>
        <w:wordWrap/>
        <w:overflowPunct/>
        <w:topLinePunct w:val="0"/>
        <w:bidi w:val="0"/>
        <w:adjustRightInd w:val="0"/>
        <w:snapToGrid w:val="0"/>
        <w:spacing w:before="0" w:beforeLines="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（1）“合同”系指</w:t>
      </w:r>
      <w:r>
        <w:rPr>
          <w:rFonts w:hint="eastAsia" w:ascii="微软雅黑" w:hAnsi="微软雅黑" w:eastAsia="微软雅黑" w:cs="微软雅黑"/>
          <w:bCs/>
          <w:color w:val="auto"/>
          <w:szCs w:val="21"/>
          <w:highlight w:val="none"/>
        </w:rPr>
        <w:t>合同当事人意思表示达成一致的任何协议，包括签署的</w:t>
      </w:r>
      <w:r>
        <w:rPr>
          <w:rFonts w:hint="eastAsia" w:ascii="微软雅黑" w:hAnsi="微软雅黑" w:eastAsia="微软雅黑" w:cs="微软雅黑"/>
          <w:color w:val="auto"/>
          <w:szCs w:val="21"/>
          <w:highlight w:val="none"/>
          <w:lang w:eastAsia="zh-CN"/>
        </w:rPr>
        <w:t>政府采购</w:t>
      </w:r>
      <w:r>
        <w:rPr>
          <w:rFonts w:hint="eastAsia" w:ascii="微软雅黑" w:hAnsi="微软雅黑" w:eastAsia="微软雅黑" w:cs="微软雅黑"/>
          <w:color w:val="auto"/>
          <w:szCs w:val="21"/>
          <w:highlight w:val="none"/>
        </w:rPr>
        <w:t>合同协议书及其变更、补充</w:t>
      </w:r>
      <w:r>
        <w:rPr>
          <w:rFonts w:hint="eastAsia" w:ascii="微软雅黑" w:hAnsi="微软雅黑" w:eastAsia="微软雅黑" w:cs="微软雅黑"/>
          <w:color w:val="auto"/>
          <w:szCs w:val="21"/>
          <w:highlight w:val="none"/>
          <w:lang w:eastAsia="zh-CN"/>
        </w:rPr>
        <w:t>协议，</w:t>
      </w:r>
      <w:r>
        <w:rPr>
          <w:rFonts w:hint="eastAsia" w:ascii="微软雅黑" w:hAnsi="微软雅黑" w:eastAsia="微软雅黑" w:cs="微软雅黑"/>
          <w:color w:val="auto"/>
          <w:szCs w:val="21"/>
          <w:highlight w:val="none"/>
        </w:rPr>
        <w:t>政府采购合同专用条款</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政府采购合同通用条款</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中标</w:t>
      </w:r>
      <w:r>
        <w:rPr>
          <w:rFonts w:hint="eastAsia" w:ascii="微软雅黑" w:hAnsi="微软雅黑" w:eastAsia="微软雅黑" w:cs="微软雅黑"/>
          <w:color w:val="auto"/>
          <w:szCs w:val="21"/>
          <w:highlight w:val="none"/>
          <w:lang w:eastAsia="zh-CN"/>
        </w:rPr>
        <w:t>（成交）</w:t>
      </w:r>
      <w:r>
        <w:rPr>
          <w:rFonts w:hint="eastAsia" w:ascii="微软雅黑" w:hAnsi="微软雅黑" w:eastAsia="微软雅黑" w:cs="微软雅黑"/>
          <w:color w:val="auto"/>
          <w:szCs w:val="21"/>
          <w:highlight w:val="none"/>
        </w:rPr>
        <w:t>通知书</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投标（响应）文件</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采购文件</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有关技术文件</w:t>
      </w:r>
      <w:r>
        <w:rPr>
          <w:rFonts w:hint="eastAsia" w:ascii="微软雅黑" w:hAnsi="微软雅黑" w:eastAsia="微软雅黑" w:cs="微软雅黑"/>
          <w:color w:val="auto"/>
          <w:szCs w:val="21"/>
          <w:highlight w:val="none"/>
          <w:lang w:eastAsia="zh-CN"/>
        </w:rPr>
        <w:t>和</w:t>
      </w:r>
      <w:r>
        <w:rPr>
          <w:rFonts w:hint="eastAsia" w:ascii="微软雅黑" w:hAnsi="微软雅黑" w:eastAsia="微软雅黑" w:cs="微软雅黑"/>
          <w:color w:val="auto"/>
          <w:szCs w:val="21"/>
          <w:highlight w:val="none"/>
        </w:rPr>
        <w:t>图纸</w:t>
      </w:r>
      <w:r>
        <w:rPr>
          <w:rFonts w:hint="eastAsia" w:ascii="微软雅黑" w:hAnsi="微软雅黑" w:eastAsia="微软雅黑" w:cs="微软雅黑"/>
          <w:color w:val="auto"/>
          <w:szCs w:val="21"/>
          <w:highlight w:val="none"/>
          <w:lang w:eastAsia="zh-CN"/>
        </w:rPr>
        <w:t>，以及</w:t>
      </w:r>
      <w:r>
        <w:rPr>
          <w:rFonts w:hint="eastAsia" w:ascii="微软雅黑" w:hAnsi="微软雅黑" w:eastAsia="微软雅黑" w:cs="微软雅黑"/>
          <w:bCs w:val="0"/>
          <w:color w:val="auto"/>
          <w:kern w:val="2"/>
          <w:sz w:val="21"/>
          <w:szCs w:val="21"/>
          <w:highlight w:val="none"/>
          <w:lang w:eastAsia="zh-CN"/>
        </w:rPr>
        <w:t>国家法律、行政法规和规章制度规定或合同约定的作为合同组成部分的其他文件</w:t>
      </w:r>
      <w:r>
        <w:rPr>
          <w:rFonts w:hint="eastAsia" w:ascii="微软雅黑" w:hAnsi="微软雅黑" w:eastAsia="微软雅黑" w:cs="微软雅黑"/>
          <w:color w:val="auto"/>
          <w:szCs w:val="21"/>
          <w:highlight w:val="none"/>
        </w:rPr>
        <w:t>。</w:t>
      </w:r>
    </w:p>
    <w:p w14:paraId="4BAB0F6C">
      <w:pPr>
        <w:keepNext w:val="0"/>
        <w:keepLines w:val="0"/>
        <w:pageBreakBefore w:val="0"/>
        <w:tabs>
          <w:tab w:val="left" w:pos="570"/>
          <w:tab w:val="left" w:pos="9240"/>
          <w:tab w:val="left" w:pos="9555"/>
        </w:tabs>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）“合同价</w:t>
      </w:r>
      <w:r>
        <w:rPr>
          <w:rFonts w:hint="eastAsia" w:ascii="微软雅黑" w:hAnsi="微软雅黑" w:eastAsia="微软雅黑" w:cs="微软雅黑"/>
          <w:color w:val="auto"/>
          <w:szCs w:val="21"/>
          <w:highlight w:val="none"/>
          <w:lang w:val="en-US" w:eastAsia="zh-CN"/>
        </w:rPr>
        <w:t>款</w:t>
      </w:r>
      <w:r>
        <w:rPr>
          <w:rFonts w:hint="eastAsia" w:ascii="微软雅黑" w:hAnsi="微软雅黑" w:eastAsia="微软雅黑" w:cs="微软雅黑"/>
          <w:color w:val="auto"/>
          <w:szCs w:val="21"/>
          <w:highlight w:val="none"/>
        </w:rPr>
        <w:t>”系指根据本合同规定乙方在全面履行合同义务后甲方应支付给乙方的价款。</w:t>
      </w:r>
    </w:p>
    <w:p w14:paraId="36B9078B">
      <w:pPr>
        <w:keepNext w:val="0"/>
        <w:keepLines w:val="0"/>
        <w:pageBreakBefore w:val="0"/>
        <w:tabs>
          <w:tab w:val="left" w:pos="570"/>
          <w:tab w:val="left" w:pos="9240"/>
          <w:tab w:val="left" w:pos="9555"/>
        </w:tabs>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）“货物”系指乙方根据本合同规定须向甲方提供的各种形态和种类的物品，包括原材料、设备、产品（包括软件）及相关的</w:t>
      </w:r>
      <w:r>
        <w:rPr>
          <w:rFonts w:hint="eastAsia" w:ascii="微软雅黑" w:hAnsi="微软雅黑" w:eastAsia="微软雅黑" w:cs="微软雅黑"/>
          <w:color w:val="auto"/>
          <w:szCs w:val="21"/>
          <w:highlight w:val="none"/>
          <w:lang w:eastAsia="zh-CN"/>
        </w:rPr>
        <w:t>其他</w:t>
      </w:r>
      <w:r>
        <w:rPr>
          <w:rFonts w:hint="eastAsia" w:ascii="微软雅黑" w:hAnsi="微软雅黑" w:eastAsia="微软雅黑" w:cs="微软雅黑"/>
          <w:color w:val="auto"/>
          <w:szCs w:val="21"/>
          <w:highlight w:val="none"/>
        </w:rPr>
        <w:t>备品备件、工具、手册及</w:t>
      </w:r>
      <w:r>
        <w:rPr>
          <w:rFonts w:hint="eastAsia" w:ascii="微软雅黑" w:hAnsi="微软雅黑" w:eastAsia="微软雅黑" w:cs="微软雅黑"/>
          <w:color w:val="auto"/>
          <w:szCs w:val="21"/>
          <w:highlight w:val="none"/>
          <w:lang w:val="en"/>
        </w:rPr>
        <w:t>其他</w:t>
      </w:r>
      <w:r>
        <w:rPr>
          <w:rFonts w:hint="eastAsia" w:ascii="微软雅黑" w:hAnsi="微软雅黑" w:eastAsia="微软雅黑" w:cs="微软雅黑"/>
          <w:color w:val="auto"/>
          <w:szCs w:val="21"/>
          <w:highlight w:val="none"/>
        </w:rPr>
        <w:t>技术资料和材料</w:t>
      </w:r>
      <w:r>
        <w:rPr>
          <w:rFonts w:hint="eastAsia" w:ascii="微软雅黑" w:hAnsi="微软雅黑" w:eastAsia="微软雅黑" w:cs="微软雅黑"/>
          <w:color w:val="auto"/>
          <w:szCs w:val="21"/>
          <w:highlight w:val="none"/>
          <w:lang w:eastAsia="zh-CN"/>
        </w:rPr>
        <w:t>等</w:t>
      </w:r>
      <w:r>
        <w:rPr>
          <w:rFonts w:hint="eastAsia" w:ascii="微软雅黑" w:hAnsi="微软雅黑" w:eastAsia="微软雅黑" w:cs="微软雅黑"/>
          <w:color w:val="auto"/>
          <w:szCs w:val="21"/>
          <w:highlight w:val="none"/>
        </w:rPr>
        <w:t>。</w:t>
      </w:r>
    </w:p>
    <w:p w14:paraId="19A4DD88">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相关</w:t>
      </w:r>
      <w:r>
        <w:rPr>
          <w:rFonts w:hint="eastAsia" w:ascii="微软雅黑" w:hAnsi="微软雅黑" w:eastAsia="微软雅黑" w:cs="微软雅黑"/>
          <w:color w:val="auto"/>
          <w:szCs w:val="21"/>
          <w:highlight w:val="none"/>
        </w:rPr>
        <w:t>服务”系指根据合同规定，乙方应提供的</w:t>
      </w:r>
      <w:r>
        <w:rPr>
          <w:rFonts w:hint="eastAsia" w:ascii="微软雅黑" w:hAnsi="微软雅黑" w:eastAsia="微软雅黑" w:cs="微软雅黑"/>
          <w:color w:val="auto"/>
          <w:szCs w:val="21"/>
          <w:highlight w:val="none"/>
          <w:lang w:val="en-US" w:eastAsia="zh-CN"/>
        </w:rPr>
        <w:t>与货物有关的</w:t>
      </w:r>
      <w:r>
        <w:rPr>
          <w:rFonts w:hint="eastAsia" w:ascii="微软雅黑" w:hAnsi="微软雅黑" w:eastAsia="微软雅黑" w:cs="微软雅黑"/>
          <w:color w:val="auto"/>
          <w:szCs w:val="21"/>
          <w:highlight w:val="none"/>
        </w:rPr>
        <w:t>技术、管理和</w:t>
      </w:r>
      <w:r>
        <w:rPr>
          <w:rFonts w:hint="eastAsia" w:ascii="微软雅黑" w:hAnsi="微软雅黑" w:eastAsia="微软雅黑" w:cs="微软雅黑"/>
          <w:color w:val="auto"/>
          <w:szCs w:val="21"/>
          <w:highlight w:val="none"/>
          <w:lang w:val="en"/>
        </w:rPr>
        <w:t>其他</w:t>
      </w:r>
      <w:r>
        <w:rPr>
          <w:rFonts w:hint="eastAsia" w:ascii="微软雅黑" w:hAnsi="微软雅黑" w:eastAsia="微软雅黑" w:cs="微软雅黑"/>
          <w:color w:val="auto"/>
          <w:szCs w:val="21"/>
          <w:highlight w:val="none"/>
        </w:rPr>
        <w:t>服务，包括但不限于：管理和质量保证、运输、保险、检验、现场准备、安装、集成、调试、培训、维修、</w:t>
      </w:r>
      <w:r>
        <w:rPr>
          <w:rFonts w:hint="eastAsia" w:ascii="微软雅黑" w:hAnsi="微软雅黑" w:eastAsia="微软雅黑" w:cs="微软雅黑"/>
          <w:color w:val="auto"/>
          <w:szCs w:val="21"/>
          <w:highlight w:val="none"/>
          <w:lang w:eastAsia="zh-CN"/>
        </w:rPr>
        <w:t>废弃处置、</w:t>
      </w:r>
      <w:r>
        <w:rPr>
          <w:rFonts w:hint="eastAsia" w:ascii="微软雅黑" w:hAnsi="微软雅黑" w:eastAsia="微软雅黑" w:cs="微软雅黑"/>
          <w:color w:val="auto"/>
          <w:szCs w:val="21"/>
          <w:highlight w:val="none"/>
        </w:rPr>
        <w:t>技术支持等以及合同中规定乙方应承担的</w:t>
      </w:r>
      <w:r>
        <w:rPr>
          <w:rFonts w:hint="eastAsia" w:ascii="微软雅黑" w:hAnsi="微软雅黑" w:eastAsia="微软雅黑" w:cs="微软雅黑"/>
          <w:color w:val="auto"/>
          <w:szCs w:val="21"/>
          <w:highlight w:val="none"/>
          <w:lang w:val="en"/>
        </w:rPr>
        <w:t>其他</w:t>
      </w:r>
      <w:r>
        <w:rPr>
          <w:rFonts w:hint="eastAsia" w:ascii="微软雅黑" w:hAnsi="微软雅黑" w:eastAsia="微软雅黑" w:cs="微软雅黑"/>
          <w:color w:val="auto"/>
          <w:szCs w:val="21"/>
          <w:highlight w:val="none"/>
        </w:rPr>
        <w:t>义务。</w:t>
      </w:r>
    </w:p>
    <w:p w14:paraId="613D6361">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）“分包”系指中标</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成交</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供应商按采购文件、投标（响应）文件的规定，根据分包意向协议，将中标</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成交</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项目中的部分履约内容，分给具有相应资质条件的供应商履行合同的行为。</w:t>
      </w:r>
    </w:p>
    <w:p w14:paraId="4185DC1A">
      <w:pPr>
        <w:keepNext w:val="0"/>
        <w:keepLines w:val="0"/>
        <w:pageBreakBefore w:val="0"/>
        <w:tabs>
          <w:tab w:val="left" w:pos="570"/>
          <w:tab w:val="left" w:pos="9240"/>
          <w:tab w:val="left" w:pos="9555"/>
        </w:tabs>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）“联合体”系指</w:t>
      </w:r>
      <w:r>
        <w:rPr>
          <w:rFonts w:hint="eastAsia" w:ascii="微软雅黑" w:hAnsi="微软雅黑" w:eastAsia="微软雅黑" w:cs="微软雅黑"/>
          <w:color w:val="auto"/>
          <w:szCs w:val="21"/>
          <w:highlight w:val="none"/>
          <w:lang w:eastAsia="zh-CN"/>
        </w:rPr>
        <w:t>由</w:t>
      </w:r>
      <w:r>
        <w:rPr>
          <w:rFonts w:hint="eastAsia" w:ascii="微软雅黑" w:hAnsi="微软雅黑" w:eastAsia="微软雅黑" w:cs="微软雅黑"/>
          <w:color w:val="auto"/>
          <w:szCs w:val="21"/>
          <w:highlight w:val="none"/>
        </w:rPr>
        <w:t>两个以上的自然人、法人或者</w:t>
      </w:r>
      <w:r>
        <w:rPr>
          <w:rFonts w:hint="eastAsia" w:ascii="微软雅黑" w:hAnsi="微软雅黑" w:eastAsia="微软雅黑" w:cs="微软雅黑"/>
          <w:color w:val="auto"/>
          <w:szCs w:val="21"/>
          <w:highlight w:val="none"/>
          <w:lang w:val="en-US" w:eastAsia="zh-CN"/>
        </w:rPr>
        <w:t>非法人</w:t>
      </w:r>
      <w:r>
        <w:rPr>
          <w:rFonts w:hint="eastAsia" w:ascii="微软雅黑" w:hAnsi="微软雅黑" w:eastAsia="微软雅黑" w:cs="微软雅黑"/>
          <w:color w:val="auto"/>
          <w:szCs w:val="21"/>
          <w:highlight w:val="none"/>
        </w:rPr>
        <w:t>组织组成，</w:t>
      </w:r>
      <w:r>
        <w:rPr>
          <w:rFonts w:hint="eastAsia" w:ascii="微软雅黑" w:hAnsi="微软雅黑" w:eastAsia="微软雅黑" w:cs="微软雅黑"/>
          <w:color w:val="auto"/>
          <w:szCs w:val="21"/>
          <w:highlight w:val="none"/>
          <w:lang w:eastAsia="zh-CN"/>
        </w:rPr>
        <w:t>以一个供应商的身份共同参加政府采购的主体。</w:t>
      </w:r>
      <w:r>
        <w:rPr>
          <w:rFonts w:hint="eastAsia" w:ascii="微软雅黑" w:hAnsi="微软雅黑" w:eastAsia="微软雅黑" w:cs="微软雅黑"/>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微软雅黑" w:hAnsi="微软雅黑" w:eastAsia="微软雅黑" w:cs="微软雅黑"/>
          <w:color w:val="auto"/>
          <w:szCs w:val="21"/>
          <w:highlight w:val="none"/>
          <w:lang w:eastAsia="zh-CN"/>
        </w:rPr>
        <w:t>甲方</w:t>
      </w:r>
      <w:r>
        <w:rPr>
          <w:rFonts w:hint="eastAsia" w:ascii="微软雅黑" w:hAnsi="微软雅黑" w:eastAsia="微软雅黑" w:cs="微软雅黑"/>
          <w:color w:val="auto"/>
          <w:szCs w:val="21"/>
          <w:highlight w:val="none"/>
        </w:rPr>
        <w:t>承担连带责任。联合体具体要求见【</w:t>
      </w:r>
      <w:r>
        <w:rPr>
          <w:rFonts w:hint="eastAsia" w:ascii="微软雅黑" w:hAnsi="微软雅黑" w:eastAsia="微软雅黑" w:cs="微软雅黑"/>
          <w:b/>
          <w:bCs/>
          <w:color w:val="auto"/>
          <w:szCs w:val="21"/>
          <w:highlight w:val="none"/>
        </w:rPr>
        <w:t>政府采购合同专用条款</w:t>
      </w:r>
      <w:r>
        <w:rPr>
          <w:rFonts w:hint="eastAsia" w:ascii="微软雅黑" w:hAnsi="微软雅黑" w:eastAsia="微软雅黑" w:cs="微软雅黑"/>
          <w:color w:val="auto"/>
          <w:szCs w:val="21"/>
          <w:highlight w:val="none"/>
        </w:rPr>
        <w:t>】。</w:t>
      </w:r>
    </w:p>
    <w:p w14:paraId="5BBCA560">
      <w:pPr>
        <w:keepNext w:val="0"/>
        <w:keepLines w:val="0"/>
        <w:pageBreakBefore w:val="0"/>
        <w:tabs>
          <w:tab w:val="left" w:pos="570"/>
          <w:tab w:val="left" w:pos="9240"/>
          <w:tab w:val="left" w:pos="9555"/>
        </w:tabs>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）其他术语解释，见【</w:t>
      </w:r>
      <w:r>
        <w:rPr>
          <w:rFonts w:hint="eastAsia" w:ascii="微软雅黑" w:hAnsi="微软雅黑" w:eastAsia="微软雅黑" w:cs="微软雅黑"/>
          <w:b/>
          <w:bCs/>
          <w:color w:val="auto"/>
          <w:szCs w:val="21"/>
          <w:highlight w:val="none"/>
        </w:rPr>
        <w:t>政府采购合同专用条款</w:t>
      </w:r>
      <w:r>
        <w:rPr>
          <w:rFonts w:hint="eastAsia" w:ascii="微软雅黑" w:hAnsi="微软雅黑" w:eastAsia="微软雅黑" w:cs="微软雅黑"/>
          <w:color w:val="auto"/>
          <w:szCs w:val="21"/>
          <w:highlight w:val="none"/>
        </w:rPr>
        <w:t>】。</w:t>
      </w:r>
    </w:p>
    <w:p w14:paraId="6CF60247">
      <w:pPr>
        <w:keepNext w:val="0"/>
        <w:keepLines w:val="0"/>
        <w:pageBreakBefore w:val="0"/>
        <w:numPr>
          <w:ilvl w:val="0"/>
          <w:numId w:val="16"/>
        </w:numPr>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color w:val="auto"/>
          <w:sz w:val="24"/>
          <w:highlight w:val="none"/>
        </w:rPr>
        <w:t>合同标的及金额</w:t>
      </w:r>
    </w:p>
    <w:p w14:paraId="00BDB3C3">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b/>
          <w:bCs/>
          <w:i/>
          <w:iCs/>
          <w:color w:val="auto"/>
          <w:szCs w:val="21"/>
          <w:highlight w:val="none"/>
        </w:rPr>
      </w:pPr>
      <w:r>
        <w:rPr>
          <w:rFonts w:hint="eastAsia" w:ascii="微软雅黑" w:hAnsi="微软雅黑" w:eastAsia="微软雅黑" w:cs="微软雅黑"/>
          <w:color w:val="auto"/>
          <w:szCs w:val="21"/>
          <w:highlight w:val="none"/>
          <w:lang w:eastAsia="zh-CN"/>
        </w:rPr>
        <w:t>2</w:t>
      </w:r>
      <w:r>
        <w:rPr>
          <w:rFonts w:hint="eastAsia" w:ascii="微软雅黑" w:hAnsi="微软雅黑" w:eastAsia="微软雅黑" w:cs="微软雅黑"/>
          <w:color w:val="auto"/>
          <w:szCs w:val="21"/>
          <w:highlight w:val="none"/>
        </w:rPr>
        <w:t>.1 合同标的及金额应与中标（成交）结果一致。乙方为履行本合同而发生的所有费用均应包含在合同</w:t>
      </w:r>
      <w:r>
        <w:rPr>
          <w:rFonts w:hint="eastAsia" w:ascii="微软雅黑" w:hAnsi="微软雅黑" w:eastAsia="微软雅黑" w:cs="微软雅黑"/>
          <w:color w:val="auto"/>
          <w:szCs w:val="21"/>
          <w:highlight w:val="none"/>
          <w:lang w:eastAsia="zh-CN"/>
        </w:rPr>
        <w:t>价款</w:t>
      </w:r>
      <w:r>
        <w:rPr>
          <w:rFonts w:hint="eastAsia" w:ascii="微软雅黑" w:hAnsi="微软雅黑" w:eastAsia="微软雅黑" w:cs="微软雅黑"/>
          <w:color w:val="auto"/>
          <w:szCs w:val="21"/>
          <w:highlight w:val="none"/>
        </w:rPr>
        <w:t>中，甲方不再另行支付</w:t>
      </w:r>
      <w:r>
        <w:rPr>
          <w:rFonts w:hint="eastAsia" w:ascii="微软雅黑" w:hAnsi="微软雅黑" w:eastAsia="微软雅黑" w:cs="微软雅黑"/>
          <w:color w:val="auto"/>
          <w:szCs w:val="21"/>
          <w:highlight w:val="none"/>
          <w:lang w:val="en"/>
        </w:rPr>
        <w:t>其他</w:t>
      </w:r>
      <w:r>
        <w:rPr>
          <w:rFonts w:hint="eastAsia" w:ascii="微软雅黑" w:hAnsi="微软雅黑" w:eastAsia="微软雅黑" w:cs="微软雅黑"/>
          <w:color w:val="auto"/>
          <w:szCs w:val="21"/>
          <w:highlight w:val="none"/>
        </w:rPr>
        <w:t>任何费用。</w:t>
      </w:r>
    </w:p>
    <w:p w14:paraId="6966D193">
      <w:pPr>
        <w:keepNext w:val="0"/>
        <w:keepLines w:val="0"/>
        <w:pageBreakBefore w:val="0"/>
        <w:kinsoku/>
        <w:wordWrap/>
        <w:overflowPunct/>
        <w:topLinePunct w:val="0"/>
        <w:bidi w:val="0"/>
        <w:adjustRightInd w:val="0"/>
        <w:snapToGrid w:val="0"/>
        <w:spacing w:before="0" w:line="380" w:lineRule="exact"/>
        <w:jc w:val="lef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lang w:eastAsia="zh-CN"/>
        </w:rPr>
        <w:t>3</w:t>
      </w:r>
      <w:r>
        <w:rPr>
          <w:rFonts w:hint="eastAsia" w:ascii="微软雅黑" w:hAnsi="微软雅黑" w:eastAsia="微软雅黑" w:cs="微软雅黑"/>
          <w:b/>
          <w:color w:val="auto"/>
          <w:sz w:val="24"/>
          <w:highlight w:val="none"/>
          <w:lang w:val="en-US" w:eastAsia="zh-CN"/>
        </w:rPr>
        <w:t xml:space="preserve">. </w:t>
      </w:r>
      <w:r>
        <w:rPr>
          <w:rFonts w:hint="eastAsia" w:ascii="微软雅黑" w:hAnsi="微软雅黑" w:eastAsia="微软雅黑" w:cs="微软雅黑"/>
          <w:b/>
          <w:color w:val="auto"/>
          <w:sz w:val="24"/>
          <w:highlight w:val="none"/>
        </w:rPr>
        <w:t>履行合同的时间、地点和方式</w:t>
      </w:r>
    </w:p>
    <w:p w14:paraId="5AAD8D01">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3</w:t>
      </w:r>
      <w:r>
        <w:rPr>
          <w:rFonts w:hint="eastAsia" w:ascii="微软雅黑" w:hAnsi="微软雅黑" w:eastAsia="微软雅黑" w:cs="微软雅黑"/>
          <w:color w:val="auto"/>
          <w:szCs w:val="21"/>
          <w:highlight w:val="none"/>
        </w:rPr>
        <w:t>.1 乙方应当在约定的时间、地点</w:t>
      </w:r>
      <w:r>
        <w:rPr>
          <w:rFonts w:hint="eastAsia" w:ascii="微软雅黑" w:hAnsi="微软雅黑" w:eastAsia="微软雅黑" w:cs="微软雅黑"/>
          <w:color w:val="auto"/>
          <w:szCs w:val="21"/>
          <w:highlight w:val="none"/>
          <w:lang w:eastAsia="zh-CN"/>
        </w:rPr>
        <w:t>，按照约定</w:t>
      </w:r>
      <w:r>
        <w:rPr>
          <w:rFonts w:hint="eastAsia" w:ascii="微软雅黑" w:hAnsi="微软雅黑" w:eastAsia="微软雅黑" w:cs="微软雅黑"/>
          <w:color w:val="auto"/>
          <w:szCs w:val="21"/>
          <w:highlight w:val="none"/>
        </w:rPr>
        <w:t>方式履行合同。</w:t>
      </w:r>
    </w:p>
    <w:p w14:paraId="1D16C5F6">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4</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甲方的权利和义务</w:t>
      </w:r>
    </w:p>
    <w:p w14:paraId="5D0B6B52">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4</w:t>
      </w:r>
      <w:r>
        <w:rPr>
          <w:rFonts w:hint="eastAsia" w:ascii="微软雅黑" w:hAnsi="微软雅黑" w:eastAsia="微软雅黑" w:cs="微软雅黑"/>
          <w:color w:val="auto"/>
          <w:szCs w:val="21"/>
          <w:highlight w:val="none"/>
        </w:rPr>
        <w:t>.1 签署合同后，甲方</w:t>
      </w:r>
      <w:r>
        <w:rPr>
          <w:rFonts w:hint="eastAsia" w:ascii="微软雅黑" w:hAnsi="微软雅黑" w:eastAsia="微软雅黑" w:cs="微软雅黑"/>
          <w:color w:val="auto"/>
          <w:szCs w:val="21"/>
          <w:highlight w:val="none"/>
          <w:lang w:eastAsia="zh-CN"/>
        </w:rPr>
        <w:t>应</w:t>
      </w:r>
      <w:r>
        <w:rPr>
          <w:rFonts w:hint="eastAsia" w:ascii="微软雅黑" w:hAnsi="微软雅黑" w:eastAsia="微软雅黑" w:cs="微软雅黑"/>
          <w:color w:val="auto"/>
          <w:szCs w:val="21"/>
          <w:highlight w:val="none"/>
        </w:rPr>
        <w:t>确定</w:t>
      </w:r>
      <w:r>
        <w:rPr>
          <w:rFonts w:hint="eastAsia" w:ascii="微软雅黑" w:hAnsi="微软雅黑" w:eastAsia="微软雅黑" w:cs="微软雅黑"/>
          <w:color w:val="auto"/>
          <w:szCs w:val="21"/>
          <w:highlight w:val="none"/>
          <w:lang w:val="en-US" w:eastAsia="zh-CN"/>
        </w:rPr>
        <w:t>项目负责人（或项目联系人）</w:t>
      </w:r>
      <w:r>
        <w:rPr>
          <w:rFonts w:hint="eastAsia" w:ascii="微软雅黑" w:hAnsi="微软雅黑" w:eastAsia="微软雅黑" w:cs="微软雅黑"/>
          <w:color w:val="auto"/>
          <w:szCs w:val="21"/>
          <w:highlight w:val="none"/>
        </w:rPr>
        <w:t>，负责与本合同有关的事务。甲方有权对乙方的履约行为进行检查，并及时确认乙方提交的事项。甲方应当配合乙方完成相关项目实施工作。</w:t>
      </w:r>
    </w:p>
    <w:p w14:paraId="481CF7FE">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4</w:t>
      </w:r>
      <w:r>
        <w:rPr>
          <w:rFonts w:hint="eastAsia" w:ascii="微软雅黑" w:hAnsi="微软雅黑" w:eastAsia="微软雅黑" w:cs="微软雅黑"/>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4C5B4AA3">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4</w:t>
      </w:r>
      <w:r>
        <w:rPr>
          <w:rFonts w:hint="eastAsia" w:ascii="微软雅黑" w:hAnsi="微软雅黑" w:eastAsia="微软雅黑" w:cs="微软雅黑"/>
          <w:color w:val="auto"/>
          <w:szCs w:val="21"/>
          <w:highlight w:val="none"/>
        </w:rPr>
        <w:t>.3 甲方有权要求乙方对缺陷部分予以修复，并按合同约定享有货物保修及其他合同约定的权利。</w:t>
      </w:r>
    </w:p>
    <w:p w14:paraId="1D8D5609">
      <w:pPr>
        <w:keepNext w:val="0"/>
        <w:keepLines w:val="0"/>
        <w:pageBreakBefore w:val="0"/>
        <w:kinsoku/>
        <w:wordWrap/>
        <w:overflowPunct/>
        <w:topLinePunct w:val="0"/>
        <w:bidi w:val="0"/>
        <w:snapToGrid w:val="0"/>
        <w:spacing w:line="380" w:lineRule="exact"/>
        <w:ind w:firstLine="420" w:firstLineChars="200"/>
        <w:textAlignment w:val="auto"/>
        <w:outlineLvl w:val="9"/>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Cs w:val="21"/>
          <w:highlight w:val="none"/>
          <w:lang w:val="en-US" w:eastAsia="zh-CN"/>
        </w:rPr>
        <w:t>4.4 甲方应当按照合同约定及时对交付的货物进行验收，</w:t>
      </w:r>
      <w:r>
        <w:rPr>
          <w:rFonts w:hint="eastAsia" w:ascii="微软雅黑" w:hAnsi="微软雅黑" w:eastAsia="微软雅黑" w:cs="微软雅黑"/>
          <w:b w:val="0"/>
          <w:bCs w:val="0"/>
          <w:color w:val="auto"/>
          <w:szCs w:val="21"/>
          <w:highlight w:val="none"/>
          <w:lang w:eastAsia="zh-CN"/>
        </w:rPr>
        <w:t>未</w:t>
      </w:r>
      <w:r>
        <w:rPr>
          <w:rFonts w:hint="eastAsia" w:ascii="微软雅黑" w:hAnsi="微软雅黑" w:eastAsia="微软雅黑" w:cs="微软雅黑"/>
          <w:color w:val="auto"/>
          <w:szCs w:val="21"/>
          <w:highlight w:val="none"/>
          <w:lang w:val="en-US" w:eastAsia="zh-CN"/>
        </w:rPr>
        <w:t>在</w:t>
      </w:r>
      <w:r>
        <w:rPr>
          <w:rFonts w:hint="eastAsia" w:ascii="微软雅黑" w:hAnsi="微软雅黑" w:eastAsia="微软雅黑" w:cs="微软雅黑"/>
          <w:b/>
          <w:bCs/>
          <w:color w:val="auto"/>
          <w:szCs w:val="21"/>
          <w:highlight w:val="none"/>
        </w:rPr>
        <w:t>【政府采购合同专用条款】</w:t>
      </w:r>
      <w:r>
        <w:rPr>
          <w:rFonts w:hint="eastAsia" w:ascii="微软雅黑" w:hAnsi="微软雅黑" w:eastAsia="微软雅黑" w:cs="微软雅黑"/>
          <w:b w:val="0"/>
          <w:bCs w:val="0"/>
          <w:color w:val="auto"/>
          <w:szCs w:val="21"/>
          <w:highlight w:val="none"/>
          <w:lang w:eastAsia="zh-CN"/>
        </w:rPr>
        <w:t>约定的期限内对乙方履约提出任何异议或者向乙方作出任何说明的，</w:t>
      </w:r>
      <w:r>
        <w:rPr>
          <w:rFonts w:hint="eastAsia" w:ascii="微软雅黑" w:hAnsi="微软雅黑" w:eastAsia="微软雅黑" w:cs="微软雅黑"/>
          <w:color w:val="auto"/>
          <w:szCs w:val="21"/>
          <w:highlight w:val="none"/>
          <w:lang w:val="en-US" w:eastAsia="zh-CN"/>
        </w:rPr>
        <w:t>视为验收通过。</w:t>
      </w:r>
    </w:p>
    <w:p w14:paraId="06ACB9F0">
      <w:pPr>
        <w:keepNext w:val="0"/>
        <w:keepLines w:val="0"/>
        <w:pageBreakBefore w:val="0"/>
        <w:kinsoku/>
        <w:wordWrap/>
        <w:overflowPunct/>
        <w:topLinePunct w:val="0"/>
        <w:autoSpaceDE w:val="0"/>
        <w:autoSpaceDN w:val="0"/>
        <w:bidi w:val="0"/>
        <w:adjustRightInd w:val="0"/>
        <w:snapToGrid w:val="0"/>
        <w:spacing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4</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 xml:space="preserve"> 甲方应当根据合同约定</w:t>
      </w:r>
      <w:r>
        <w:rPr>
          <w:rFonts w:hint="eastAsia" w:ascii="微软雅黑" w:hAnsi="微软雅黑" w:eastAsia="微软雅黑" w:cs="微软雅黑"/>
          <w:color w:val="auto"/>
          <w:szCs w:val="21"/>
          <w:highlight w:val="none"/>
          <w:lang w:eastAsia="zh-CN"/>
        </w:rPr>
        <w:t>及</w:t>
      </w:r>
      <w:r>
        <w:rPr>
          <w:rFonts w:hint="eastAsia" w:ascii="微软雅黑" w:hAnsi="微软雅黑" w:eastAsia="微软雅黑" w:cs="微软雅黑"/>
          <w:color w:val="auto"/>
          <w:szCs w:val="21"/>
          <w:highlight w:val="none"/>
        </w:rPr>
        <w:t>时向乙方支付</w:t>
      </w:r>
      <w:r>
        <w:rPr>
          <w:rFonts w:hint="eastAsia" w:ascii="微软雅黑" w:hAnsi="微软雅黑" w:eastAsia="微软雅黑" w:cs="微软雅黑"/>
          <w:color w:val="auto"/>
          <w:szCs w:val="21"/>
          <w:highlight w:val="none"/>
          <w:lang w:eastAsia="zh-CN"/>
        </w:rPr>
        <w:t>合同价款，不得以内部人员变更、履行内部付款流程等为由，拒绝或迟延支付。</w:t>
      </w:r>
    </w:p>
    <w:p w14:paraId="1AFEEDBB">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4</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 xml:space="preserve"> 国家法律法规规定</w:t>
      </w:r>
      <w:r>
        <w:rPr>
          <w:rFonts w:hint="eastAsia" w:ascii="微软雅黑" w:hAnsi="微软雅黑" w:eastAsia="微软雅黑" w:cs="微软雅黑"/>
          <w:color w:val="auto"/>
          <w:szCs w:val="21"/>
          <w:highlight w:val="none"/>
          <w:lang w:eastAsia="zh-CN"/>
        </w:rPr>
        <w:t>及</w:t>
      </w:r>
      <w:r>
        <w:rPr>
          <w:rFonts w:hint="eastAsia" w:ascii="微软雅黑" w:hAnsi="微软雅黑" w:eastAsia="微软雅黑" w:cs="微软雅黑"/>
          <w:b/>
          <w:bCs/>
          <w:color w:val="auto"/>
          <w:szCs w:val="21"/>
          <w:highlight w:val="none"/>
        </w:rPr>
        <w:t>【政府采购合同专用条款】</w:t>
      </w:r>
      <w:r>
        <w:rPr>
          <w:rFonts w:hint="eastAsia" w:ascii="微软雅黑" w:hAnsi="微软雅黑" w:eastAsia="微软雅黑" w:cs="微软雅黑"/>
          <w:color w:val="auto"/>
          <w:szCs w:val="21"/>
          <w:highlight w:val="none"/>
          <w:lang w:eastAsia="zh-CN"/>
        </w:rPr>
        <w:t>约定应</w:t>
      </w:r>
      <w:r>
        <w:rPr>
          <w:rFonts w:hint="eastAsia" w:ascii="微软雅黑" w:hAnsi="微软雅黑" w:eastAsia="微软雅黑" w:cs="微软雅黑"/>
          <w:color w:val="auto"/>
          <w:szCs w:val="21"/>
          <w:highlight w:val="none"/>
        </w:rPr>
        <w:t>由甲方承担的其他义务和责任。</w:t>
      </w:r>
    </w:p>
    <w:p w14:paraId="282C023D">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5</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乙方的权利和义务</w:t>
      </w:r>
    </w:p>
    <w:p w14:paraId="5BDE2607">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5</w:t>
      </w:r>
      <w:r>
        <w:rPr>
          <w:rFonts w:hint="eastAsia" w:ascii="微软雅黑" w:hAnsi="微软雅黑" w:eastAsia="微软雅黑" w:cs="微软雅黑"/>
          <w:color w:val="auto"/>
          <w:szCs w:val="21"/>
          <w:highlight w:val="none"/>
        </w:rPr>
        <w:t>.1 签署合同后，乙方</w:t>
      </w:r>
      <w:r>
        <w:rPr>
          <w:rFonts w:hint="eastAsia" w:ascii="微软雅黑" w:hAnsi="微软雅黑" w:eastAsia="微软雅黑" w:cs="微软雅黑"/>
          <w:color w:val="auto"/>
          <w:szCs w:val="21"/>
          <w:highlight w:val="none"/>
          <w:lang w:eastAsia="zh-CN"/>
        </w:rPr>
        <w:t>应</w:t>
      </w:r>
      <w:r>
        <w:rPr>
          <w:rFonts w:hint="eastAsia" w:ascii="微软雅黑" w:hAnsi="微软雅黑" w:eastAsia="微软雅黑" w:cs="微软雅黑"/>
          <w:color w:val="auto"/>
          <w:szCs w:val="21"/>
          <w:highlight w:val="none"/>
        </w:rPr>
        <w:t>确定</w:t>
      </w:r>
      <w:r>
        <w:rPr>
          <w:rFonts w:hint="eastAsia" w:ascii="微软雅黑" w:hAnsi="微软雅黑" w:eastAsia="微软雅黑" w:cs="微软雅黑"/>
          <w:color w:val="auto"/>
          <w:szCs w:val="21"/>
          <w:highlight w:val="none"/>
          <w:lang w:val="en-US" w:eastAsia="zh-CN"/>
        </w:rPr>
        <w:t>项目负责人（或项目联系人）</w:t>
      </w:r>
      <w:r>
        <w:rPr>
          <w:rFonts w:hint="eastAsia" w:ascii="微软雅黑" w:hAnsi="微软雅黑" w:eastAsia="微软雅黑" w:cs="微软雅黑"/>
          <w:color w:val="auto"/>
          <w:szCs w:val="21"/>
          <w:highlight w:val="none"/>
        </w:rPr>
        <w:t>，负责与本合同有关的事务。</w:t>
      </w:r>
    </w:p>
    <w:p w14:paraId="40ADAD03">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5</w:t>
      </w:r>
      <w:r>
        <w:rPr>
          <w:rFonts w:hint="eastAsia" w:ascii="微软雅黑" w:hAnsi="微软雅黑" w:eastAsia="微软雅黑" w:cs="微软雅黑"/>
          <w:color w:val="auto"/>
          <w:szCs w:val="21"/>
          <w:highlight w:val="none"/>
        </w:rPr>
        <w:t>.2 乙方应按照合同要求履约，充分合理安排，确保提供的货物</w:t>
      </w:r>
      <w:r>
        <w:rPr>
          <w:rFonts w:hint="eastAsia" w:ascii="微软雅黑" w:hAnsi="微软雅黑" w:eastAsia="微软雅黑" w:cs="微软雅黑"/>
          <w:color w:val="auto"/>
          <w:szCs w:val="21"/>
          <w:highlight w:val="none"/>
          <w:lang w:eastAsia="zh-CN"/>
        </w:rPr>
        <w:t>及相关</w:t>
      </w:r>
      <w:r>
        <w:rPr>
          <w:rFonts w:hint="eastAsia" w:ascii="微软雅黑" w:hAnsi="微软雅黑" w:eastAsia="微软雅黑" w:cs="微软雅黑"/>
          <w:color w:val="auto"/>
          <w:szCs w:val="21"/>
          <w:highlight w:val="none"/>
        </w:rPr>
        <w:t>服务符合合同</w:t>
      </w:r>
      <w:r>
        <w:rPr>
          <w:rFonts w:hint="eastAsia" w:ascii="微软雅黑" w:hAnsi="微软雅黑" w:eastAsia="微软雅黑" w:cs="微软雅黑"/>
          <w:color w:val="auto"/>
          <w:szCs w:val="21"/>
          <w:highlight w:val="none"/>
          <w:lang w:eastAsia="zh-CN"/>
        </w:rPr>
        <w:t>有关</w:t>
      </w:r>
      <w:r>
        <w:rPr>
          <w:rFonts w:hint="eastAsia" w:ascii="微软雅黑" w:hAnsi="微软雅黑" w:eastAsia="微软雅黑" w:cs="微软雅黑"/>
          <w:color w:val="auto"/>
          <w:szCs w:val="21"/>
          <w:highlight w:val="none"/>
        </w:rPr>
        <w:t>要求。接受项目行业管理部门及政府有关部门的指导，配合甲方的履约检查</w:t>
      </w:r>
      <w:r>
        <w:rPr>
          <w:rFonts w:hint="eastAsia" w:ascii="微软雅黑" w:hAnsi="微软雅黑" w:eastAsia="微软雅黑" w:cs="微软雅黑"/>
          <w:color w:val="auto"/>
          <w:szCs w:val="21"/>
          <w:highlight w:val="none"/>
          <w:lang w:eastAsia="zh-CN"/>
        </w:rPr>
        <w:t>及验收</w:t>
      </w:r>
      <w:r>
        <w:rPr>
          <w:rFonts w:hint="eastAsia" w:ascii="微软雅黑" w:hAnsi="微软雅黑" w:eastAsia="微软雅黑" w:cs="微软雅黑"/>
          <w:color w:val="auto"/>
          <w:szCs w:val="21"/>
          <w:highlight w:val="none"/>
        </w:rPr>
        <w:t>，并负责项目实施过程中的所有协调工作。</w:t>
      </w:r>
    </w:p>
    <w:p w14:paraId="753A1BCB">
      <w:pPr>
        <w:pStyle w:val="11"/>
        <w:keepNext w:val="0"/>
        <w:keepLines w:val="0"/>
        <w:pageBreakBefore w:val="0"/>
        <w:kinsoku/>
        <w:wordWrap/>
        <w:overflowPunct/>
        <w:topLinePunct w:val="0"/>
        <w:bidi w:val="0"/>
        <w:spacing w:after="0" w:line="380" w:lineRule="exact"/>
        <w:ind w:firstLine="422" w:firstLineChars="176"/>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5</w:t>
      </w:r>
      <w:r>
        <w:rPr>
          <w:rFonts w:hint="eastAsia" w:ascii="微软雅黑" w:hAnsi="微软雅黑" w:eastAsia="微软雅黑" w:cs="微软雅黑"/>
          <w:color w:val="auto"/>
          <w:szCs w:val="21"/>
          <w:highlight w:val="none"/>
        </w:rPr>
        <w:t>.3乙方有权根据合同约定向甲方收取</w:t>
      </w:r>
      <w:r>
        <w:rPr>
          <w:rFonts w:hint="eastAsia" w:ascii="微软雅黑" w:hAnsi="微软雅黑" w:eastAsia="微软雅黑" w:cs="微软雅黑"/>
          <w:color w:val="auto"/>
          <w:szCs w:val="21"/>
          <w:highlight w:val="none"/>
          <w:lang w:eastAsia="zh-CN"/>
        </w:rPr>
        <w:t>合同价款</w:t>
      </w:r>
      <w:r>
        <w:rPr>
          <w:rFonts w:hint="eastAsia" w:ascii="微软雅黑" w:hAnsi="微软雅黑" w:eastAsia="微软雅黑" w:cs="微软雅黑"/>
          <w:color w:val="auto"/>
          <w:szCs w:val="21"/>
          <w:highlight w:val="none"/>
        </w:rPr>
        <w:t>。</w:t>
      </w:r>
    </w:p>
    <w:p w14:paraId="1F020624">
      <w:pPr>
        <w:pStyle w:val="11"/>
        <w:keepNext w:val="0"/>
        <w:keepLines w:val="0"/>
        <w:pageBreakBefore w:val="0"/>
        <w:kinsoku/>
        <w:wordWrap/>
        <w:overflowPunct/>
        <w:topLinePunct w:val="0"/>
        <w:bidi w:val="0"/>
        <w:spacing w:after="0" w:line="380" w:lineRule="exact"/>
        <w:ind w:firstLine="422" w:firstLineChars="176"/>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5</w:t>
      </w:r>
      <w:r>
        <w:rPr>
          <w:rFonts w:hint="eastAsia" w:ascii="微软雅黑" w:hAnsi="微软雅黑" w:eastAsia="微软雅黑" w:cs="微软雅黑"/>
          <w:color w:val="auto"/>
          <w:szCs w:val="21"/>
          <w:highlight w:val="none"/>
        </w:rPr>
        <w:t>.4国家法律法规规定</w:t>
      </w:r>
      <w:r>
        <w:rPr>
          <w:rFonts w:hint="eastAsia" w:ascii="微软雅黑" w:hAnsi="微软雅黑" w:eastAsia="微软雅黑" w:cs="微软雅黑"/>
          <w:color w:val="auto"/>
          <w:szCs w:val="21"/>
          <w:highlight w:val="none"/>
          <w:lang w:eastAsia="zh-CN"/>
        </w:rPr>
        <w:t>及</w:t>
      </w:r>
      <w:r>
        <w:rPr>
          <w:rFonts w:hint="eastAsia" w:ascii="微软雅黑" w:hAnsi="微软雅黑" w:eastAsia="微软雅黑" w:cs="微软雅黑"/>
          <w:b/>
          <w:bCs/>
          <w:color w:val="auto"/>
          <w:szCs w:val="21"/>
          <w:highlight w:val="none"/>
        </w:rPr>
        <w:t>【政府采购合同专用条款】</w:t>
      </w:r>
      <w:r>
        <w:rPr>
          <w:rFonts w:hint="eastAsia" w:ascii="微软雅黑" w:hAnsi="微软雅黑" w:eastAsia="微软雅黑" w:cs="微软雅黑"/>
          <w:b w:val="0"/>
          <w:bCs w:val="0"/>
          <w:color w:val="auto"/>
          <w:szCs w:val="21"/>
          <w:highlight w:val="none"/>
          <w:lang w:eastAsia="zh-CN"/>
        </w:rPr>
        <w:t>约定应</w:t>
      </w:r>
      <w:r>
        <w:rPr>
          <w:rFonts w:hint="eastAsia" w:ascii="微软雅黑" w:hAnsi="微软雅黑" w:eastAsia="微软雅黑" w:cs="微软雅黑"/>
          <w:color w:val="auto"/>
          <w:szCs w:val="21"/>
          <w:highlight w:val="none"/>
        </w:rPr>
        <w:t>由乙方承担的其他义务和责任。</w:t>
      </w:r>
    </w:p>
    <w:p w14:paraId="49B148F4">
      <w:pPr>
        <w:keepNext w:val="0"/>
        <w:keepLines w:val="0"/>
        <w:pageBreakBefore w:val="0"/>
        <w:numPr>
          <w:ilvl w:val="0"/>
          <w:numId w:val="17"/>
        </w:numPr>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合同履</w:t>
      </w:r>
      <w:r>
        <w:rPr>
          <w:rFonts w:hint="eastAsia" w:ascii="微软雅黑" w:hAnsi="微软雅黑" w:eastAsia="微软雅黑" w:cs="微软雅黑"/>
          <w:b/>
          <w:bCs/>
          <w:color w:val="auto"/>
          <w:sz w:val="24"/>
          <w:highlight w:val="none"/>
          <w:lang w:val="en-US" w:eastAsia="zh-CN"/>
        </w:rPr>
        <w:t>行</w:t>
      </w:r>
    </w:p>
    <w:p w14:paraId="70A9D91E">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6</w:t>
      </w:r>
      <w:r>
        <w:rPr>
          <w:rFonts w:hint="eastAsia" w:ascii="微软雅黑" w:hAnsi="微软雅黑" w:eastAsia="微软雅黑" w:cs="微软雅黑"/>
          <w:color w:val="auto"/>
          <w:szCs w:val="21"/>
          <w:highlight w:val="none"/>
        </w:rPr>
        <w:t>.1 甲乙双方应当按照</w:t>
      </w:r>
      <w:r>
        <w:rPr>
          <w:rFonts w:hint="eastAsia" w:ascii="微软雅黑" w:hAnsi="微软雅黑" w:eastAsia="微软雅黑" w:cs="微软雅黑"/>
          <w:b/>
          <w:bCs/>
          <w:color w:val="auto"/>
          <w:szCs w:val="21"/>
          <w:highlight w:val="none"/>
        </w:rPr>
        <w:t>【政府采购合同专用条款】</w:t>
      </w:r>
      <w:r>
        <w:rPr>
          <w:rFonts w:hint="eastAsia" w:ascii="微软雅黑" w:hAnsi="微软雅黑" w:eastAsia="微软雅黑" w:cs="微软雅黑"/>
          <w:color w:val="auto"/>
          <w:szCs w:val="21"/>
          <w:highlight w:val="none"/>
        </w:rPr>
        <w:t>约定顺序履行合同义务；如果没有先后顺序的，应当同时履行。</w:t>
      </w:r>
    </w:p>
    <w:p w14:paraId="6C2DAC50">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lang w:eastAsia="zh-CN"/>
        </w:rPr>
        <w:t>6</w:t>
      </w:r>
      <w:r>
        <w:rPr>
          <w:rFonts w:hint="eastAsia" w:ascii="微软雅黑" w:hAnsi="微软雅黑" w:eastAsia="微软雅黑" w:cs="微软雅黑"/>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1185DA9F">
      <w:pPr>
        <w:keepNext w:val="0"/>
        <w:keepLines w:val="0"/>
        <w:pageBreakBefore w:val="0"/>
        <w:kinsoku/>
        <w:wordWrap/>
        <w:overflowPunct/>
        <w:topLinePunct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7</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货物包装、运输</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保险</w:t>
      </w:r>
      <w:r>
        <w:rPr>
          <w:rFonts w:hint="eastAsia" w:ascii="微软雅黑" w:hAnsi="微软雅黑" w:eastAsia="微软雅黑" w:cs="微软雅黑"/>
          <w:b/>
          <w:bCs/>
          <w:color w:val="auto"/>
          <w:sz w:val="24"/>
          <w:highlight w:val="none"/>
          <w:lang w:eastAsia="zh-CN"/>
        </w:rPr>
        <w:t>和交付</w:t>
      </w:r>
      <w:r>
        <w:rPr>
          <w:rFonts w:hint="eastAsia" w:ascii="微软雅黑" w:hAnsi="微软雅黑" w:eastAsia="微软雅黑" w:cs="微软雅黑"/>
          <w:b/>
          <w:bCs/>
          <w:color w:val="auto"/>
          <w:sz w:val="24"/>
          <w:highlight w:val="none"/>
        </w:rPr>
        <w:t>要求</w:t>
      </w:r>
    </w:p>
    <w:p w14:paraId="27E76079">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7</w:t>
      </w:r>
      <w:r>
        <w:rPr>
          <w:rFonts w:hint="eastAsia" w:ascii="微软雅黑" w:hAnsi="微软雅黑" w:eastAsia="微软雅黑" w:cs="微软雅黑"/>
          <w:color w:val="auto"/>
          <w:szCs w:val="21"/>
          <w:highlight w:val="none"/>
        </w:rPr>
        <w:t>.1 本合同</w:t>
      </w:r>
      <w:r>
        <w:rPr>
          <w:rFonts w:hint="eastAsia" w:ascii="微软雅黑" w:hAnsi="微软雅黑" w:eastAsia="微软雅黑" w:cs="微软雅黑"/>
          <w:bCs/>
          <w:color w:val="auto"/>
          <w:szCs w:val="21"/>
          <w:highlight w:val="none"/>
        </w:rPr>
        <w:t>涉及商品包装</w:t>
      </w:r>
      <w:r>
        <w:rPr>
          <w:rFonts w:hint="eastAsia" w:ascii="微软雅黑" w:hAnsi="微软雅黑" w:eastAsia="微软雅黑" w:cs="微软雅黑"/>
          <w:bCs/>
          <w:color w:val="auto"/>
          <w:szCs w:val="21"/>
          <w:highlight w:val="none"/>
          <w:lang w:eastAsia="zh-CN"/>
        </w:rPr>
        <w:t>、</w:t>
      </w:r>
      <w:r>
        <w:rPr>
          <w:rFonts w:hint="eastAsia" w:ascii="微软雅黑" w:hAnsi="微软雅黑" w:eastAsia="微软雅黑" w:cs="微软雅黑"/>
          <w:bCs/>
          <w:color w:val="auto"/>
          <w:szCs w:val="21"/>
          <w:highlight w:val="none"/>
        </w:rPr>
        <w:t>快递包装的，</w:t>
      </w:r>
      <w:r>
        <w:rPr>
          <w:rFonts w:hint="eastAsia" w:ascii="微软雅黑" w:hAnsi="微软雅黑" w:eastAsia="微软雅黑" w:cs="微软雅黑"/>
          <w:color w:val="auto"/>
          <w:szCs w:val="21"/>
          <w:highlight w:val="none"/>
        </w:rPr>
        <w:t>除</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bCs/>
          <w:color w:val="auto"/>
          <w:szCs w:val="21"/>
          <w:highlight w:val="none"/>
        </w:rPr>
        <w:t>另有</w:t>
      </w:r>
      <w:r>
        <w:rPr>
          <w:rFonts w:hint="eastAsia" w:ascii="微软雅黑" w:hAnsi="微软雅黑" w:eastAsia="微软雅黑" w:cs="微软雅黑"/>
          <w:bCs/>
          <w:color w:val="auto"/>
          <w:szCs w:val="21"/>
          <w:highlight w:val="none"/>
          <w:lang w:eastAsia="zh-CN"/>
        </w:rPr>
        <w:t>约</w:t>
      </w:r>
      <w:r>
        <w:rPr>
          <w:rFonts w:hint="eastAsia" w:ascii="微软雅黑" w:hAnsi="微软雅黑" w:eastAsia="微软雅黑" w:cs="微软雅黑"/>
          <w:bCs/>
          <w:color w:val="auto"/>
          <w:szCs w:val="21"/>
          <w:highlight w:val="none"/>
        </w:rPr>
        <w:t>定</w:t>
      </w:r>
      <w:r>
        <w:rPr>
          <w:rFonts w:hint="eastAsia" w:ascii="微软雅黑" w:hAnsi="微软雅黑" w:eastAsia="微软雅黑" w:cs="微软雅黑"/>
          <w:bCs/>
          <w:color w:val="auto"/>
          <w:szCs w:val="21"/>
          <w:highlight w:val="none"/>
          <w:lang w:eastAsia="zh-CN"/>
        </w:rPr>
        <w:t>外</w:t>
      </w:r>
      <w:r>
        <w:rPr>
          <w:rFonts w:hint="eastAsia" w:ascii="微软雅黑" w:hAnsi="微软雅黑" w:eastAsia="微软雅黑" w:cs="微软雅黑"/>
          <w:bCs/>
          <w:color w:val="auto"/>
          <w:szCs w:val="21"/>
          <w:highlight w:val="none"/>
        </w:rPr>
        <w:t>，</w:t>
      </w:r>
      <w:r>
        <w:rPr>
          <w:rFonts w:hint="eastAsia" w:ascii="微软雅黑" w:hAnsi="微软雅黑" w:eastAsia="微软雅黑" w:cs="微软雅黑"/>
          <w:color w:val="auto"/>
          <w:szCs w:val="21"/>
          <w:highlight w:val="none"/>
        </w:rPr>
        <w:t>包装应适应远距离运输、防潮、防震、防锈和防野蛮装卸等要求，确保货物安全无损地运抵</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b w:val="0"/>
          <w:bCs/>
          <w:color w:val="auto"/>
          <w:szCs w:val="21"/>
          <w:highlight w:val="none"/>
          <w:lang w:eastAsia="zh-CN"/>
        </w:rPr>
        <w:t>约定的</w:t>
      </w:r>
      <w:r>
        <w:rPr>
          <w:rFonts w:hint="eastAsia" w:ascii="微软雅黑" w:hAnsi="微软雅黑" w:eastAsia="微软雅黑" w:cs="微软雅黑"/>
          <w:color w:val="auto"/>
          <w:szCs w:val="21"/>
          <w:highlight w:val="none"/>
        </w:rPr>
        <w:t>指定现场。</w:t>
      </w:r>
    </w:p>
    <w:p w14:paraId="7AFF592F">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7</w:t>
      </w:r>
      <w:r>
        <w:rPr>
          <w:rFonts w:hint="eastAsia" w:ascii="微软雅黑" w:hAnsi="微软雅黑" w:eastAsia="微软雅黑" w:cs="微软雅黑"/>
          <w:color w:val="auto"/>
          <w:szCs w:val="21"/>
          <w:highlight w:val="none"/>
        </w:rPr>
        <w:t>.2 除</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bCs/>
          <w:color w:val="auto"/>
          <w:szCs w:val="21"/>
          <w:highlight w:val="none"/>
        </w:rPr>
        <w:t>另有</w:t>
      </w:r>
      <w:r>
        <w:rPr>
          <w:rFonts w:hint="eastAsia" w:ascii="微软雅黑" w:hAnsi="微软雅黑" w:eastAsia="微软雅黑" w:cs="微软雅黑"/>
          <w:bCs/>
          <w:color w:val="auto"/>
          <w:szCs w:val="21"/>
          <w:highlight w:val="none"/>
          <w:lang w:eastAsia="zh-CN"/>
        </w:rPr>
        <w:t>约</w:t>
      </w:r>
      <w:r>
        <w:rPr>
          <w:rFonts w:hint="eastAsia" w:ascii="微软雅黑" w:hAnsi="微软雅黑" w:eastAsia="微软雅黑" w:cs="微软雅黑"/>
          <w:bCs/>
          <w:color w:val="auto"/>
          <w:szCs w:val="21"/>
          <w:highlight w:val="none"/>
        </w:rPr>
        <w:t>定</w:t>
      </w:r>
      <w:r>
        <w:rPr>
          <w:rFonts w:hint="eastAsia" w:ascii="微软雅黑" w:hAnsi="微软雅黑" w:eastAsia="微软雅黑" w:cs="微软雅黑"/>
          <w:bCs/>
          <w:color w:val="auto"/>
          <w:szCs w:val="21"/>
          <w:highlight w:val="none"/>
          <w:lang w:eastAsia="zh-CN"/>
        </w:rPr>
        <w:t>外</w:t>
      </w:r>
      <w:r>
        <w:rPr>
          <w:rFonts w:hint="eastAsia" w:ascii="微软雅黑" w:hAnsi="微软雅黑" w:eastAsia="微软雅黑" w:cs="微软雅黑"/>
          <w:bCs/>
          <w:color w:val="auto"/>
          <w:szCs w:val="21"/>
          <w:highlight w:val="none"/>
        </w:rPr>
        <w:t>，</w:t>
      </w:r>
      <w:r>
        <w:rPr>
          <w:rFonts w:hint="eastAsia" w:ascii="微软雅黑" w:hAnsi="微软雅黑" w:eastAsia="微软雅黑" w:cs="微软雅黑"/>
          <w:color w:val="auto"/>
          <w:szCs w:val="21"/>
          <w:highlight w:val="none"/>
        </w:rPr>
        <w:t>乙方负责办理将货物运抵本合同规定的交货地点</w:t>
      </w:r>
      <w:r>
        <w:rPr>
          <w:rFonts w:hint="eastAsia" w:ascii="微软雅黑" w:hAnsi="微软雅黑" w:eastAsia="微软雅黑" w:cs="微软雅黑"/>
          <w:color w:val="auto"/>
          <w:szCs w:val="21"/>
          <w:highlight w:val="none"/>
          <w:lang w:eastAsia="zh-CN"/>
        </w:rPr>
        <w:t>，并装卸、交付至甲方</w:t>
      </w:r>
      <w:r>
        <w:rPr>
          <w:rFonts w:hint="eastAsia" w:ascii="微软雅黑" w:hAnsi="微软雅黑" w:eastAsia="微软雅黑" w:cs="微软雅黑"/>
          <w:color w:val="auto"/>
          <w:szCs w:val="21"/>
          <w:highlight w:val="none"/>
        </w:rPr>
        <w:t>的一切运输事项，相关费用应</w:t>
      </w:r>
      <w:r>
        <w:rPr>
          <w:rFonts w:hint="eastAsia" w:ascii="微软雅黑" w:hAnsi="微软雅黑" w:eastAsia="微软雅黑" w:cs="微软雅黑"/>
          <w:color w:val="auto"/>
          <w:szCs w:val="21"/>
          <w:highlight w:val="none"/>
          <w:lang w:eastAsia="zh-CN"/>
        </w:rPr>
        <w:t>包含</w:t>
      </w:r>
      <w:r>
        <w:rPr>
          <w:rFonts w:hint="eastAsia" w:ascii="微软雅黑" w:hAnsi="微软雅黑" w:eastAsia="微软雅黑" w:cs="微软雅黑"/>
          <w:color w:val="auto"/>
          <w:szCs w:val="21"/>
          <w:highlight w:val="none"/>
        </w:rPr>
        <w:t>在合同</w:t>
      </w:r>
      <w:r>
        <w:rPr>
          <w:rFonts w:hint="eastAsia" w:ascii="微软雅黑" w:hAnsi="微软雅黑" w:eastAsia="微软雅黑" w:cs="微软雅黑"/>
          <w:color w:val="auto"/>
          <w:szCs w:val="21"/>
          <w:highlight w:val="none"/>
          <w:lang w:eastAsia="zh-CN"/>
        </w:rPr>
        <w:t>价款</w:t>
      </w:r>
      <w:r>
        <w:rPr>
          <w:rFonts w:hint="eastAsia" w:ascii="微软雅黑" w:hAnsi="微软雅黑" w:eastAsia="微软雅黑" w:cs="微软雅黑"/>
          <w:color w:val="auto"/>
          <w:szCs w:val="21"/>
          <w:highlight w:val="none"/>
        </w:rPr>
        <w:t>中。</w:t>
      </w:r>
    </w:p>
    <w:p w14:paraId="02047F88">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7</w:t>
      </w:r>
      <w:r>
        <w:rPr>
          <w:rFonts w:hint="eastAsia" w:ascii="微软雅黑" w:hAnsi="微软雅黑" w:eastAsia="微软雅黑" w:cs="微软雅黑"/>
          <w:color w:val="auto"/>
          <w:szCs w:val="21"/>
          <w:highlight w:val="none"/>
        </w:rPr>
        <w:t>.3 货物保险要求按</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bCs/>
          <w:color w:val="auto"/>
          <w:szCs w:val="21"/>
          <w:highlight w:val="none"/>
        </w:rPr>
        <w:t>规定执行</w:t>
      </w:r>
      <w:r>
        <w:rPr>
          <w:rFonts w:hint="eastAsia" w:ascii="微软雅黑" w:hAnsi="微软雅黑" w:eastAsia="微软雅黑" w:cs="微软雅黑"/>
          <w:color w:val="auto"/>
          <w:szCs w:val="21"/>
          <w:highlight w:val="none"/>
        </w:rPr>
        <w:t>。</w:t>
      </w:r>
    </w:p>
    <w:p w14:paraId="31952FE9">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7</w:t>
      </w:r>
      <w:r>
        <w:rPr>
          <w:rFonts w:hint="eastAsia" w:ascii="微软雅黑" w:hAnsi="微软雅黑" w:eastAsia="微软雅黑" w:cs="微软雅黑"/>
          <w:color w:val="auto"/>
          <w:szCs w:val="21"/>
          <w:highlight w:val="none"/>
        </w:rPr>
        <w:t xml:space="preserve">.4 </w:t>
      </w:r>
      <w:r>
        <w:rPr>
          <w:rFonts w:hint="eastAsia" w:ascii="微软雅黑" w:hAnsi="微软雅黑" w:eastAsia="微软雅黑" w:cs="微软雅黑"/>
          <w:color w:val="auto"/>
          <w:szCs w:val="21"/>
          <w:highlight w:val="none"/>
          <w:lang w:val="en-US" w:eastAsia="zh-CN"/>
        </w:rPr>
        <w:t>除采购活动</w:t>
      </w:r>
      <w:r>
        <w:rPr>
          <w:rFonts w:hint="eastAsia" w:ascii="微软雅黑" w:hAnsi="微软雅黑" w:eastAsia="微软雅黑" w:cs="微软雅黑"/>
          <w:color w:val="auto"/>
          <w:szCs w:val="21"/>
          <w:highlight w:val="none"/>
        </w:rPr>
        <w:t>对商品包装</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快递包装</w:t>
      </w:r>
      <w:r>
        <w:rPr>
          <w:rFonts w:hint="eastAsia" w:ascii="微软雅黑" w:hAnsi="微软雅黑" w:eastAsia="微软雅黑" w:cs="微软雅黑"/>
          <w:color w:val="auto"/>
          <w:szCs w:val="21"/>
          <w:highlight w:val="none"/>
          <w:lang w:val="en-US" w:eastAsia="zh-CN"/>
        </w:rPr>
        <w:t>达成具体约定外</w:t>
      </w:r>
      <w:r>
        <w:rPr>
          <w:rFonts w:hint="eastAsia" w:ascii="微软雅黑" w:hAnsi="微软雅黑" w:eastAsia="微软雅黑" w:cs="微软雅黑"/>
          <w:color w:val="auto"/>
          <w:szCs w:val="21"/>
          <w:highlight w:val="none"/>
        </w:rPr>
        <w:t>，乙方提供产品及相关快递服务</w:t>
      </w:r>
      <w:r>
        <w:rPr>
          <w:rFonts w:hint="eastAsia" w:ascii="微软雅黑" w:hAnsi="微软雅黑" w:eastAsia="微软雅黑" w:cs="微软雅黑"/>
          <w:color w:val="auto"/>
          <w:szCs w:val="21"/>
          <w:highlight w:val="none"/>
          <w:lang w:eastAsia="zh-CN"/>
        </w:rPr>
        <w:t>涉及</w:t>
      </w:r>
      <w:r>
        <w:rPr>
          <w:rFonts w:hint="eastAsia" w:ascii="微软雅黑" w:hAnsi="微软雅黑" w:eastAsia="微软雅黑" w:cs="微软雅黑"/>
          <w:color w:val="auto"/>
          <w:szCs w:val="21"/>
          <w:highlight w:val="none"/>
        </w:rPr>
        <w:t>具体包装要求</w:t>
      </w:r>
      <w:r>
        <w:rPr>
          <w:rFonts w:hint="eastAsia" w:ascii="微软雅黑" w:hAnsi="微软雅黑" w:eastAsia="微软雅黑" w:cs="微软雅黑"/>
          <w:color w:val="auto"/>
          <w:szCs w:val="21"/>
          <w:highlight w:val="none"/>
          <w:lang w:val="en-US" w:eastAsia="zh-CN"/>
        </w:rPr>
        <w:t>的，</w:t>
      </w:r>
      <w:r>
        <w:rPr>
          <w:rFonts w:hint="eastAsia" w:ascii="微软雅黑" w:hAnsi="微软雅黑" w:eastAsia="微软雅黑" w:cs="微软雅黑"/>
          <w:color w:val="auto"/>
          <w:szCs w:val="21"/>
          <w:highlight w:val="none"/>
        </w:rPr>
        <w:t>应</w:t>
      </w:r>
      <w:r>
        <w:rPr>
          <w:rFonts w:hint="eastAsia" w:ascii="微软雅黑" w:hAnsi="微软雅黑" w:eastAsia="微软雅黑" w:cs="微软雅黑"/>
          <w:color w:val="auto"/>
          <w:szCs w:val="21"/>
          <w:highlight w:val="none"/>
          <w:lang w:val="en-US" w:eastAsia="zh-CN"/>
        </w:rPr>
        <w:t>不低于</w:t>
      </w:r>
      <w:r>
        <w:rPr>
          <w:rFonts w:hint="eastAsia" w:ascii="微软雅黑" w:hAnsi="微软雅黑" w:eastAsia="微软雅黑" w:cs="微软雅黑"/>
          <w:color w:val="auto"/>
          <w:szCs w:val="21"/>
          <w:highlight w:val="none"/>
        </w:rPr>
        <w:t>《商品包装政府采购需求标准（试行）</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快递包装政府采购需求标准（试行）》</w:t>
      </w:r>
      <w:r>
        <w:rPr>
          <w:rFonts w:hint="eastAsia" w:ascii="微软雅黑" w:hAnsi="微软雅黑" w:eastAsia="微软雅黑" w:cs="微软雅黑"/>
          <w:color w:val="auto"/>
          <w:szCs w:val="21"/>
          <w:highlight w:val="none"/>
          <w:lang w:val="en-US" w:eastAsia="zh-CN"/>
        </w:rPr>
        <w:t>标准</w:t>
      </w:r>
      <w:r>
        <w:rPr>
          <w:rFonts w:hint="eastAsia" w:ascii="微软雅黑" w:hAnsi="微软雅黑" w:eastAsia="微软雅黑" w:cs="微软雅黑"/>
          <w:color w:val="auto"/>
          <w:szCs w:val="21"/>
          <w:highlight w:val="none"/>
        </w:rPr>
        <w:t>，并作为履约验收的内容，必要时甲方可以要求乙方在履约验收环节出具检测报告。</w:t>
      </w:r>
    </w:p>
    <w:p w14:paraId="27AE5F05">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 xml:space="preserve">7.5 </w:t>
      </w:r>
      <w:r>
        <w:rPr>
          <w:rFonts w:hint="eastAsia" w:ascii="微软雅黑" w:hAnsi="微软雅黑" w:eastAsia="微软雅黑" w:cs="微软雅黑"/>
          <w:color w:val="auto"/>
          <w:szCs w:val="21"/>
          <w:highlight w:val="none"/>
        </w:rPr>
        <w:t>乙方在运输到达之前</w:t>
      </w:r>
      <w:r>
        <w:rPr>
          <w:rFonts w:hint="eastAsia" w:ascii="微软雅黑" w:hAnsi="微软雅黑" w:eastAsia="微软雅黑" w:cs="微软雅黑"/>
          <w:color w:val="auto"/>
          <w:szCs w:val="21"/>
          <w:highlight w:val="none"/>
          <w:lang w:eastAsia="zh-CN"/>
        </w:rPr>
        <w:t>应</w:t>
      </w:r>
      <w:r>
        <w:rPr>
          <w:rFonts w:hint="eastAsia" w:ascii="微软雅黑" w:hAnsi="微软雅黑" w:eastAsia="微软雅黑" w:cs="微软雅黑"/>
          <w:color w:val="auto"/>
          <w:szCs w:val="21"/>
          <w:highlight w:val="none"/>
        </w:rPr>
        <w:t>提前通知</w:t>
      </w:r>
      <w:r>
        <w:rPr>
          <w:rFonts w:hint="eastAsia" w:ascii="微软雅黑" w:hAnsi="微软雅黑" w:eastAsia="微软雅黑" w:cs="微软雅黑"/>
          <w:color w:val="auto"/>
          <w:szCs w:val="21"/>
          <w:highlight w:val="none"/>
          <w:lang w:eastAsia="zh-CN"/>
        </w:rPr>
        <w:t>甲方</w:t>
      </w:r>
      <w:r>
        <w:rPr>
          <w:rFonts w:hint="eastAsia" w:ascii="微软雅黑" w:hAnsi="微软雅黑" w:eastAsia="微软雅黑" w:cs="微软雅黑"/>
          <w:color w:val="auto"/>
          <w:szCs w:val="21"/>
          <w:highlight w:val="none"/>
        </w:rPr>
        <w:t>，并提示货物运输装卸的注意事项</w:t>
      </w:r>
      <w:r>
        <w:rPr>
          <w:rFonts w:hint="eastAsia" w:ascii="微软雅黑" w:hAnsi="微软雅黑" w:eastAsia="微软雅黑" w:cs="微软雅黑"/>
          <w:color w:val="auto"/>
          <w:szCs w:val="21"/>
          <w:highlight w:val="none"/>
          <w:lang w:eastAsia="zh-CN"/>
        </w:rPr>
        <w:t>，甲方配合乙方做好货物的接收工作。</w:t>
      </w:r>
    </w:p>
    <w:p w14:paraId="63AF9E91">
      <w:pPr>
        <w:pStyle w:val="114"/>
        <w:keepNext w:val="0"/>
        <w:keepLines w:val="0"/>
        <w:pageBreakBefore w:val="0"/>
        <w:kinsoku/>
        <w:wordWrap/>
        <w:overflowPunct/>
        <w:topLinePunct w:val="0"/>
        <w:bidi w:val="0"/>
        <w:spacing w:line="380" w:lineRule="exact"/>
        <w:textAlignment w:val="auto"/>
        <w:outlineLvl w:val="9"/>
        <w:rPr>
          <w:rFonts w:hint="eastAsia" w:ascii="微软雅黑" w:hAnsi="微软雅黑" w:eastAsia="微软雅黑" w:cs="微软雅黑"/>
          <w:color w:val="auto"/>
          <w:sz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 xml:space="preserve">7.6 </w:t>
      </w:r>
      <w:r>
        <w:rPr>
          <w:rFonts w:hint="eastAsia" w:ascii="微软雅黑" w:hAnsi="微软雅黑" w:eastAsia="微软雅黑" w:cs="微软雅黑"/>
          <w:color w:val="auto"/>
          <w:kern w:val="2"/>
          <w:sz w:val="21"/>
          <w:szCs w:val="21"/>
          <w:highlight w:val="none"/>
        </w:rPr>
        <w:t>如因包装</w:t>
      </w:r>
      <w:r>
        <w:rPr>
          <w:rFonts w:hint="eastAsia" w:ascii="微软雅黑" w:hAnsi="微软雅黑" w:eastAsia="微软雅黑" w:cs="微软雅黑"/>
          <w:color w:val="auto"/>
          <w:kern w:val="2"/>
          <w:sz w:val="21"/>
          <w:szCs w:val="21"/>
          <w:highlight w:val="none"/>
          <w:lang w:eastAsia="zh-CN"/>
        </w:rPr>
        <w:t>、运输</w:t>
      </w:r>
      <w:r>
        <w:rPr>
          <w:rFonts w:hint="eastAsia" w:ascii="微软雅黑" w:hAnsi="微软雅黑" w:eastAsia="微软雅黑" w:cs="微软雅黑"/>
          <w:color w:val="auto"/>
          <w:kern w:val="2"/>
          <w:sz w:val="21"/>
          <w:szCs w:val="21"/>
          <w:highlight w:val="none"/>
        </w:rPr>
        <w:t>问题导致货物</w:t>
      </w:r>
      <w:r>
        <w:rPr>
          <w:rFonts w:hint="eastAsia" w:ascii="微软雅黑" w:hAnsi="微软雅黑" w:eastAsia="微软雅黑" w:cs="微软雅黑"/>
          <w:color w:val="auto"/>
          <w:kern w:val="2"/>
          <w:sz w:val="21"/>
          <w:szCs w:val="21"/>
          <w:highlight w:val="none"/>
          <w:lang w:eastAsia="zh-CN"/>
        </w:rPr>
        <w:t>损毁、丢失</w:t>
      </w:r>
      <w:r>
        <w:rPr>
          <w:rFonts w:hint="eastAsia" w:ascii="微软雅黑" w:hAnsi="微软雅黑" w:eastAsia="微软雅黑" w:cs="微软雅黑"/>
          <w:color w:val="auto"/>
          <w:kern w:val="2"/>
          <w:sz w:val="21"/>
          <w:szCs w:val="21"/>
          <w:highlight w:val="none"/>
        </w:rPr>
        <w:t>或者品质下降，</w:t>
      </w:r>
      <w:r>
        <w:rPr>
          <w:rFonts w:hint="eastAsia" w:ascii="微软雅黑" w:hAnsi="微软雅黑" w:eastAsia="微软雅黑" w:cs="微软雅黑"/>
          <w:color w:val="auto"/>
          <w:kern w:val="2"/>
          <w:sz w:val="21"/>
          <w:szCs w:val="21"/>
          <w:highlight w:val="none"/>
          <w:lang w:eastAsia="zh-CN"/>
        </w:rPr>
        <w:t>甲方</w:t>
      </w:r>
      <w:r>
        <w:rPr>
          <w:rFonts w:hint="eastAsia" w:ascii="微软雅黑" w:hAnsi="微软雅黑" w:eastAsia="微软雅黑" w:cs="微软雅黑"/>
          <w:color w:val="auto"/>
          <w:kern w:val="2"/>
          <w:sz w:val="21"/>
          <w:szCs w:val="21"/>
          <w:highlight w:val="none"/>
        </w:rPr>
        <w:t>有权要求降价、换货、拒收部分或整批货物，由此</w:t>
      </w:r>
      <w:r>
        <w:rPr>
          <w:rFonts w:hint="eastAsia" w:ascii="微软雅黑" w:hAnsi="微软雅黑" w:eastAsia="微软雅黑" w:cs="微软雅黑"/>
          <w:color w:val="auto"/>
          <w:kern w:val="2"/>
          <w:sz w:val="21"/>
          <w:szCs w:val="21"/>
          <w:highlight w:val="none"/>
          <w:lang w:eastAsia="zh-CN"/>
        </w:rPr>
        <w:t>产生</w:t>
      </w:r>
      <w:r>
        <w:rPr>
          <w:rFonts w:hint="eastAsia" w:ascii="微软雅黑" w:hAnsi="微软雅黑" w:eastAsia="微软雅黑" w:cs="微软雅黑"/>
          <w:color w:val="auto"/>
          <w:kern w:val="2"/>
          <w:sz w:val="21"/>
          <w:szCs w:val="21"/>
          <w:highlight w:val="none"/>
        </w:rPr>
        <w:t>的费用和损失，均由</w:t>
      </w:r>
      <w:r>
        <w:rPr>
          <w:rFonts w:hint="eastAsia" w:ascii="微软雅黑" w:hAnsi="微软雅黑" w:eastAsia="微软雅黑" w:cs="微软雅黑"/>
          <w:color w:val="auto"/>
          <w:kern w:val="2"/>
          <w:sz w:val="21"/>
          <w:szCs w:val="21"/>
          <w:highlight w:val="none"/>
          <w:lang w:eastAsia="zh-CN"/>
        </w:rPr>
        <w:t>乙方</w:t>
      </w:r>
      <w:r>
        <w:rPr>
          <w:rFonts w:hint="eastAsia" w:ascii="微软雅黑" w:hAnsi="微软雅黑" w:eastAsia="微软雅黑" w:cs="微软雅黑"/>
          <w:color w:val="auto"/>
          <w:kern w:val="2"/>
          <w:sz w:val="21"/>
          <w:szCs w:val="21"/>
          <w:highlight w:val="none"/>
        </w:rPr>
        <w:t>承担。</w:t>
      </w:r>
    </w:p>
    <w:p w14:paraId="48BC5DDC">
      <w:pPr>
        <w:keepNext w:val="0"/>
        <w:keepLines w:val="0"/>
        <w:pageBreakBefore w:val="0"/>
        <w:kinsoku/>
        <w:wordWrap/>
        <w:overflowPunct/>
        <w:topLinePunct w:val="0"/>
        <w:bidi w:val="0"/>
        <w:adjustRightInd w:val="0"/>
        <w:snapToGrid w:val="0"/>
        <w:spacing w:before="0" w:line="380" w:lineRule="exact"/>
        <w:jc w:val="lef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lang w:eastAsia="zh-CN"/>
        </w:rPr>
        <w:t>8</w:t>
      </w:r>
      <w:r>
        <w:rPr>
          <w:rFonts w:hint="eastAsia" w:ascii="微软雅黑" w:hAnsi="微软雅黑" w:eastAsia="微软雅黑" w:cs="微软雅黑"/>
          <w:b/>
          <w:color w:val="auto"/>
          <w:sz w:val="24"/>
          <w:highlight w:val="none"/>
          <w:lang w:val="en-US" w:eastAsia="zh-CN"/>
        </w:rPr>
        <w:t xml:space="preserve">. </w:t>
      </w:r>
      <w:r>
        <w:rPr>
          <w:rFonts w:hint="eastAsia" w:ascii="微软雅黑" w:hAnsi="微软雅黑" w:eastAsia="微软雅黑" w:cs="微软雅黑"/>
          <w:b/>
          <w:color w:val="auto"/>
          <w:sz w:val="24"/>
          <w:highlight w:val="none"/>
        </w:rPr>
        <w:t>质量标准和保证</w:t>
      </w:r>
    </w:p>
    <w:p w14:paraId="26D6172D">
      <w:pPr>
        <w:pStyle w:val="15"/>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b/>
          <w:color w:val="auto"/>
          <w:highlight w:val="none"/>
        </w:rPr>
      </w:pPr>
      <w:r>
        <w:rPr>
          <w:rFonts w:hint="eastAsia" w:ascii="微软雅黑" w:hAnsi="微软雅黑" w:eastAsia="微软雅黑" w:cs="微软雅黑"/>
          <w:color w:val="auto"/>
          <w:highlight w:val="none"/>
          <w:lang w:eastAsia="zh-CN"/>
        </w:rPr>
        <w:t>8</w:t>
      </w:r>
      <w:r>
        <w:rPr>
          <w:rFonts w:hint="eastAsia" w:ascii="微软雅黑" w:hAnsi="微软雅黑" w:eastAsia="微软雅黑" w:cs="微软雅黑"/>
          <w:color w:val="auto"/>
          <w:highlight w:val="none"/>
        </w:rPr>
        <w:t>.1 质量标准</w:t>
      </w:r>
    </w:p>
    <w:p w14:paraId="76C28F9F">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（1）本合同下</w:t>
      </w:r>
      <w:r>
        <w:rPr>
          <w:rFonts w:hint="eastAsia" w:ascii="微软雅黑" w:hAnsi="微软雅黑" w:eastAsia="微软雅黑" w:cs="微软雅黑"/>
          <w:color w:val="auto"/>
          <w:szCs w:val="21"/>
          <w:highlight w:val="none"/>
          <w:lang w:eastAsia="zh-CN"/>
        </w:rPr>
        <w:t>提供</w:t>
      </w:r>
      <w:r>
        <w:rPr>
          <w:rFonts w:hint="eastAsia" w:ascii="微软雅黑" w:hAnsi="微软雅黑" w:eastAsia="微软雅黑" w:cs="微软雅黑"/>
          <w:color w:val="auto"/>
          <w:szCs w:val="21"/>
          <w:highlight w:val="none"/>
        </w:rPr>
        <w:t>的货物应符合</w:t>
      </w:r>
      <w:r>
        <w:rPr>
          <w:rFonts w:hint="eastAsia" w:ascii="微软雅黑" w:hAnsi="微软雅黑" w:eastAsia="微软雅黑" w:cs="微软雅黑"/>
          <w:color w:val="auto"/>
          <w:szCs w:val="21"/>
          <w:highlight w:val="none"/>
          <w:lang w:eastAsia="zh-CN"/>
        </w:rPr>
        <w:t>合同约</w:t>
      </w:r>
      <w:r>
        <w:rPr>
          <w:rFonts w:hint="eastAsia" w:ascii="微软雅黑" w:hAnsi="微软雅黑" w:eastAsia="微软雅黑" w:cs="微软雅黑"/>
          <w:color w:val="auto"/>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微软雅黑" w:hAnsi="微软雅黑" w:eastAsia="微软雅黑" w:cs="微软雅黑"/>
          <w:color w:val="auto"/>
          <w:szCs w:val="21"/>
          <w:highlight w:val="none"/>
          <w:lang w:eastAsia="zh-CN"/>
        </w:rPr>
        <w:t>。</w:t>
      </w:r>
    </w:p>
    <w:p w14:paraId="36DB0F0B">
      <w:pPr>
        <w:pStyle w:val="15"/>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（2）采用中华人民共和国法定计量单位。</w:t>
      </w:r>
    </w:p>
    <w:p w14:paraId="2280DBCE">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（3）乙方所</w:t>
      </w:r>
      <w:r>
        <w:rPr>
          <w:rFonts w:hint="eastAsia" w:ascii="微软雅黑" w:hAnsi="微软雅黑" w:eastAsia="微软雅黑" w:cs="微软雅黑"/>
          <w:color w:val="auto"/>
          <w:szCs w:val="21"/>
          <w:highlight w:val="none"/>
          <w:lang w:eastAsia="zh-CN"/>
        </w:rPr>
        <w:t>提供</w:t>
      </w:r>
      <w:r>
        <w:rPr>
          <w:rFonts w:hint="eastAsia" w:ascii="微软雅黑" w:hAnsi="微软雅黑" w:eastAsia="微软雅黑" w:cs="微软雅黑"/>
          <w:color w:val="auto"/>
          <w:szCs w:val="21"/>
          <w:highlight w:val="none"/>
        </w:rPr>
        <w:t>的货物应符合国家有关安全、环保、卫生</w:t>
      </w:r>
      <w:r>
        <w:rPr>
          <w:rFonts w:hint="eastAsia" w:ascii="微软雅黑" w:hAnsi="微软雅黑" w:eastAsia="微软雅黑" w:cs="微软雅黑"/>
          <w:color w:val="auto"/>
          <w:szCs w:val="21"/>
          <w:highlight w:val="none"/>
          <w:lang w:eastAsia="zh-CN"/>
        </w:rPr>
        <w:t>的</w:t>
      </w:r>
      <w:r>
        <w:rPr>
          <w:rFonts w:hint="eastAsia" w:ascii="微软雅黑" w:hAnsi="微软雅黑" w:eastAsia="微软雅黑" w:cs="微软雅黑"/>
          <w:color w:val="auto"/>
          <w:szCs w:val="21"/>
          <w:highlight w:val="none"/>
        </w:rPr>
        <w:t>规定。</w:t>
      </w:r>
    </w:p>
    <w:p w14:paraId="129F3347">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（4）乙方应向甲方提交所</w:t>
      </w:r>
      <w:r>
        <w:rPr>
          <w:rFonts w:hint="eastAsia" w:ascii="微软雅黑" w:hAnsi="微软雅黑" w:eastAsia="微软雅黑" w:cs="微软雅黑"/>
          <w:color w:val="auto"/>
          <w:szCs w:val="21"/>
          <w:highlight w:val="none"/>
          <w:lang w:eastAsia="zh-CN"/>
        </w:rPr>
        <w:t>提供</w:t>
      </w:r>
      <w:r>
        <w:rPr>
          <w:rFonts w:hint="eastAsia" w:ascii="微软雅黑" w:hAnsi="微软雅黑" w:eastAsia="微软雅黑" w:cs="微软雅黑"/>
          <w:color w:val="auto"/>
          <w:szCs w:val="21"/>
          <w:highlight w:val="none"/>
        </w:rPr>
        <w:t>货物的技术文件，包括相应的中文技术文件，如：产品目录、图纸、操作手册、使用说明、维护手册或服务指南</w:t>
      </w:r>
      <w:r>
        <w:rPr>
          <w:rFonts w:hint="eastAsia" w:ascii="微软雅黑" w:hAnsi="微软雅黑" w:eastAsia="微软雅黑" w:cs="微软雅黑"/>
          <w:color w:val="auto"/>
          <w:szCs w:val="21"/>
          <w:highlight w:val="none"/>
          <w:lang w:eastAsia="zh-CN"/>
        </w:rPr>
        <w:t>等</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eastAsia="zh-CN"/>
        </w:rPr>
        <w:t>上述</w:t>
      </w:r>
      <w:r>
        <w:rPr>
          <w:rFonts w:hint="eastAsia" w:ascii="微软雅黑" w:hAnsi="微软雅黑" w:eastAsia="微软雅黑" w:cs="微软雅黑"/>
          <w:color w:val="auto"/>
          <w:szCs w:val="21"/>
          <w:highlight w:val="none"/>
        </w:rPr>
        <w:t>文件应包装好随货物一同发运。</w:t>
      </w:r>
    </w:p>
    <w:p w14:paraId="7D331355">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8</w:t>
      </w:r>
      <w:r>
        <w:rPr>
          <w:rFonts w:hint="eastAsia" w:ascii="微软雅黑" w:hAnsi="微软雅黑" w:eastAsia="微软雅黑" w:cs="微软雅黑"/>
          <w:color w:val="auto"/>
          <w:szCs w:val="21"/>
          <w:highlight w:val="none"/>
        </w:rPr>
        <w:t>.2 保证</w:t>
      </w:r>
    </w:p>
    <w:p w14:paraId="57804FDA">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（1）乙方应保证</w:t>
      </w:r>
      <w:r>
        <w:rPr>
          <w:rFonts w:hint="eastAsia" w:ascii="微软雅黑" w:hAnsi="微软雅黑" w:eastAsia="微软雅黑" w:cs="微软雅黑"/>
          <w:color w:val="auto"/>
          <w:szCs w:val="21"/>
          <w:highlight w:val="none"/>
          <w:lang w:eastAsia="zh-CN"/>
        </w:rPr>
        <w:t>提供的货物</w:t>
      </w:r>
      <w:r>
        <w:rPr>
          <w:rFonts w:hint="eastAsia" w:ascii="微软雅黑" w:hAnsi="微软雅黑" w:eastAsia="微软雅黑" w:cs="微软雅黑"/>
          <w:color w:val="auto"/>
          <w:szCs w:val="21"/>
          <w:highlight w:val="none"/>
        </w:rPr>
        <w:t>完全符合合同规定的质量、规格和性能要求。乙方应保证货物在正确安装、正常使用和保养条件下，在其使用寿命期内具</w:t>
      </w:r>
      <w:r>
        <w:rPr>
          <w:rFonts w:hint="eastAsia" w:ascii="微软雅黑" w:hAnsi="微软雅黑" w:eastAsia="微软雅黑" w:cs="微软雅黑"/>
          <w:color w:val="auto"/>
          <w:szCs w:val="21"/>
          <w:highlight w:val="none"/>
          <w:lang w:eastAsia="zh-CN"/>
        </w:rPr>
        <w:t>备合同约定</w:t>
      </w:r>
      <w:r>
        <w:rPr>
          <w:rFonts w:hint="eastAsia" w:ascii="微软雅黑" w:hAnsi="微软雅黑" w:eastAsia="微软雅黑" w:cs="微软雅黑"/>
          <w:color w:val="auto"/>
          <w:szCs w:val="21"/>
          <w:highlight w:val="none"/>
        </w:rPr>
        <w:t>的性能。</w:t>
      </w:r>
      <w:r>
        <w:rPr>
          <w:rFonts w:hint="eastAsia" w:ascii="微软雅黑" w:hAnsi="微软雅黑" w:eastAsia="微软雅黑" w:cs="微软雅黑"/>
          <w:color w:val="auto"/>
          <w:szCs w:val="21"/>
          <w:highlight w:val="none"/>
          <w:lang w:eastAsia="zh-CN"/>
        </w:rPr>
        <w:t>存在</w:t>
      </w:r>
      <w:r>
        <w:rPr>
          <w:rFonts w:hint="eastAsia" w:ascii="微软雅黑" w:hAnsi="微软雅黑" w:eastAsia="微软雅黑" w:cs="微软雅黑"/>
          <w:color w:val="auto"/>
          <w:szCs w:val="21"/>
          <w:highlight w:val="none"/>
        </w:rPr>
        <w:t>质量保证期的，货物最终交付验收</w:t>
      </w:r>
      <w:r>
        <w:rPr>
          <w:rFonts w:hint="eastAsia" w:ascii="微软雅黑" w:hAnsi="微软雅黑" w:eastAsia="微软雅黑" w:cs="微软雅黑"/>
          <w:color w:val="auto"/>
          <w:szCs w:val="21"/>
          <w:highlight w:val="none"/>
          <w:lang w:eastAsia="zh-CN"/>
        </w:rPr>
        <w:t>合格</w:t>
      </w:r>
      <w:r>
        <w:rPr>
          <w:rFonts w:hint="eastAsia" w:ascii="微软雅黑" w:hAnsi="微软雅黑" w:eastAsia="微软雅黑" w:cs="微软雅黑"/>
          <w:color w:val="auto"/>
          <w:szCs w:val="21"/>
          <w:highlight w:val="none"/>
        </w:rPr>
        <w:t>后</w:t>
      </w:r>
      <w:r>
        <w:rPr>
          <w:rFonts w:hint="eastAsia" w:ascii="微软雅黑" w:hAnsi="微软雅黑" w:eastAsia="微软雅黑" w:cs="微软雅黑"/>
          <w:color w:val="auto"/>
          <w:szCs w:val="21"/>
          <w:highlight w:val="none"/>
          <w:lang w:eastAsia="zh-CN"/>
        </w:rPr>
        <w:t>在</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color w:val="auto"/>
          <w:szCs w:val="21"/>
          <w:highlight w:val="none"/>
        </w:rPr>
        <w:t>规定或乙方</w:t>
      </w:r>
      <w:r>
        <w:rPr>
          <w:rFonts w:hint="eastAsia" w:ascii="微软雅黑" w:hAnsi="微软雅黑" w:eastAsia="微软雅黑" w:cs="微软雅黑"/>
          <w:color w:val="auto"/>
          <w:szCs w:val="21"/>
          <w:highlight w:val="none"/>
          <w:lang w:eastAsia="zh-CN"/>
        </w:rPr>
        <w:t>书面</w:t>
      </w:r>
      <w:r>
        <w:rPr>
          <w:rFonts w:hint="eastAsia" w:ascii="微软雅黑" w:hAnsi="微软雅黑" w:eastAsia="微软雅黑" w:cs="微软雅黑"/>
          <w:color w:val="auto"/>
          <w:szCs w:val="21"/>
          <w:highlight w:val="none"/>
        </w:rPr>
        <w:t>承诺（两者以较长的为准）的质量保证期内，本保证保持有效。</w:t>
      </w:r>
    </w:p>
    <w:p w14:paraId="34C6BD1F">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（2）在质量保证期内所发现的缺陷，甲方应尽快以书面形式通知乙方。</w:t>
      </w:r>
    </w:p>
    <w:p w14:paraId="65F9F946">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（3）乙方收到通知后</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应在</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color w:val="auto"/>
          <w:szCs w:val="21"/>
          <w:highlight w:val="none"/>
        </w:rPr>
        <w:t>规定的响应时间内以合理的速度免费维修或更换有缺陷的货物或部件。</w:t>
      </w:r>
    </w:p>
    <w:p w14:paraId="675CEDBD">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.1条规定以书面形式</w:t>
      </w:r>
      <w:r>
        <w:rPr>
          <w:rFonts w:hint="eastAsia" w:ascii="微软雅黑" w:hAnsi="微软雅黑" w:eastAsia="微软雅黑" w:cs="微软雅黑"/>
          <w:color w:val="auto"/>
          <w:szCs w:val="21"/>
          <w:highlight w:val="none"/>
          <w:lang w:eastAsia="zh-CN"/>
        </w:rPr>
        <w:t>追究</w:t>
      </w:r>
      <w:r>
        <w:rPr>
          <w:rFonts w:hint="eastAsia" w:ascii="微软雅黑" w:hAnsi="微软雅黑" w:eastAsia="微软雅黑" w:cs="微软雅黑"/>
          <w:color w:val="auto"/>
          <w:szCs w:val="21"/>
          <w:highlight w:val="none"/>
        </w:rPr>
        <w:t>乙方</w:t>
      </w:r>
      <w:r>
        <w:rPr>
          <w:rFonts w:hint="eastAsia" w:ascii="微软雅黑" w:hAnsi="微软雅黑" w:eastAsia="微软雅黑" w:cs="微软雅黑"/>
          <w:color w:val="auto"/>
          <w:szCs w:val="21"/>
          <w:highlight w:val="none"/>
          <w:lang w:eastAsia="zh-CN"/>
        </w:rPr>
        <w:t>的违约责任</w:t>
      </w:r>
      <w:r>
        <w:rPr>
          <w:rFonts w:hint="eastAsia" w:ascii="微软雅黑" w:hAnsi="微软雅黑" w:eastAsia="微软雅黑" w:cs="微软雅黑"/>
          <w:color w:val="auto"/>
          <w:szCs w:val="21"/>
          <w:highlight w:val="none"/>
        </w:rPr>
        <w:t>。</w:t>
      </w:r>
    </w:p>
    <w:p w14:paraId="723144D3">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（5）乙方在约定的时间内未能弥补缺陷，甲方</w:t>
      </w:r>
      <w:r>
        <w:rPr>
          <w:rFonts w:hint="eastAsia" w:ascii="微软雅黑" w:hAnsi="微软雅黑" w:eastAsia="微软雅黑" w:cs="微软雅黑"/>
          <w:color w:val="auto"/>
          <w:szCs w:val="21"/>
          <w:highlight w:val="none"/>
          <w:lang w:eastAsia="zh-CN"/>
        </w:rPr>
        <w:t>可以</w:t>
      </w:r>
      <w:r>
        <w:rPr>
          <w:rFonts w:hint="eastAsia" w:ascii="微软雅黑" w:hAnsi="微软雅黑" w:eastAsia="微软雅黑" w:cs="微软雅黑"/>
          <w:color w:val="auto"/>
          <w:szCs w:val="21"/>
          <w:highlight w:val="none"/>
        </w:rPr>
        <w:t>采取必要的补救措施，但其风险和费用将由乙方承担，甲方根据合同</w:t>
      </w:r>
      <w:r>
        <w:rPr>
          <w:rFonts w:hint="eastAsia" w:ascii="微软雅黑" w:hAnsi="微软雅黑" w:eastAsia="微软雅黑" w:cs="微软雅黑"/>
          <w:color w:val="auto"/>
          <w:szCs w:val="21"/>
          <w:highlight w:val="none"/>
          <w:lang w:eastAsia="zh-CN"/>
        </w:rPr>
        <w:t>约定</w:t>
      </w:r>
      <w:r>
        <w:rPr>
          <w:rFonts w:hint="eastAsia" w:ascii="微软雅黑" w:hAnsi="微软雅黑" w:eastAsia="微软雅黑" w:cs="微软雅黑"/>
          <w:color w:val="auto"/>
          <w:szCs w:val="21"/>
          <w:highlight w:val="none"/>
        </w:rPr>
        <w:t>对乙方行使的其他权利不受影响。</w:t>
      </w:r>
    </w:p>
    <w:p w14:paraId="617CBF98">
      <w:pPr>
        <w:keepNext w:val="0"/>
        <w:keepLines w:val="0"/>
        <w:pageBreakBefore w:val="0"/>
        <w:kinsoku/>
        <w:wordWrap/>
        <w:overflowPunct/>
        <w:topLinePunct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9</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权利瑕疵担保</w:t>
      </w:r>
    </w:p>
    <w:p w14:paraId="00773219">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9</w:t>
      </w:r>
      <w:r>
        <w:rPr>
          <w:rFonts w:hint="eastAsia" w:ascii="微软雅黑" w:hAnsi="微软雅黑" w:eastAsia="微软雅黑" w:cs="微软雅黑"/>
          <w:color w:val="auto"/>
          <w:szCs w:val="21"/>
          <w:highlight w:val="none"/>
        </w:rPr>
        <w:t>.1 乙方保证对其出售的货物享有合法的权利。</w:t>
      </w:r>
    </w:p>
    <w:p w14:paraId="0977BDC0">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9</w:t>
      </w:r>
      <w:r>
        <w:rPr>
          <w:rFonts w:hint="eastAsia" w:ascii="微软雅黑" w:hAnsi="微软雅黑" w:eastAsia="微软雅黑" w:cs="微软雅黑"/>
          <w:color w:val="auto"/>
          <w:szCs w:val="21"/>
          <w:highlight w:val="none"/>
        </w:rPr>
        <w:t xml:space="preserve">.2 </w:t>
      </w:r>
      <w:r>
        <w:rPr>
          <w:rFonts w:hint="eastAsia" w:ascii="微软雅黑" w:hAnsi="微软雅黑" w:eastAsia="微软雅黑" w:cs="微软雅黑"/>
          <w:color w:val="auto"/>
          <w:szCs w:val="15"/>
          <w:highlight w:val="none"/>
        </w:rPr>
        <w:t>乙方保证在交付的货物上不存在抵押权等担保物权。</w:t>
      </w:r>
    </w:p>
    <w:p w14:paraId="33787388">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9</w:t>
      </w:r>
      <w:r>
        <w:rPr>
          <w:rFonts w:hint="eastAsia" w:ascii="微软雅黑" w:hAnsi="微软雅黑" w:eastAsia="微软雅黑" w:cs="微软雅黑"/>
          <w:color w:val="auto"/>
          <w:szCs w:val="21"/>
          <w:highlight w:val="none"/>
        </w:rPr>
        <w:t>.3 如甲方使用</w:t>
      </w:r>
      <w:r>
        <w:rPr>
          <w:rFonts w:hint="eastAsia" w:ascii="微软雅黑" w:hAnsi="微软雅黑" w:eastAsia="微软雅黑" w:cs="微软雅黑"/>
          <w:color w:val="auto"/>
          <w:szCs w:val="21"/>
          <w:highlight w:val="none"/>
          <w:lang w:val="en-US" w:eastAsia="zh-CN"/>
        </w:rPr>
        <w:t>上述</w:t>
      </w:r>
      <w:r>
        <w:rPr>
          <w:rFonts w:hint="eastAsia" w:ascii="微软雅黑" w:hAnsi="微软雅黑" w:eastAsia="微软雅黑" w:cs="微软雅黑"/>
          <w:color w:val="auto"/>
          <w:szCs w:val="21"/>
          <w:highlight w:val="none"/>
        </w:rPr>
        <w:t>货物构成</w:t>
      </w:r>
      <w:r>
        <w:rPr>
          <w:rFonts w:hint="eastAsia" w:ascii="微软雅黑" w:hAnsi="微软雅黑" w:eastAsia="微软雅黑" w:cs="微软雅黑"/>
          <w:color w:val="auto"/>
          <w:szCs w:val="21"/>
          <w:highlight w:val="none"/>
          <w:lang w:val="en-US" w:eastAsia="zh-CN"/>
        </w:rPr>
        <w:t>对第三人</w:t>
      </w:r>
      <w:r>
        <w:rPr>
          <w:rFonts w:hint="eastAsia" w:ascii="微软雅黑" w:hAnsi="微软雅黑" w:eastAsia="微软雅黑" w:cs="微软雅黑"/>
          <w:color w:val="auto"/>
          <w:szCs w:val="21"/>
          <w:highlight w:val="none"/>
        </w:rPr>
        <w:t>侵权的，则由乙方承担全部责任。</w:t>
      </w:r>
    </w:p>
    <w:p w14:paraId="06CABBA6">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w:t>
      </w:r>
      <w:r>
        <w:rPr>
          <w:rFonts w:hint="eastAsia" w:ascii="微软雅黑" w:hAnsi="微软雅黑" w:eastAsia="微软雅黑" w:cs="微软雅黑"/>
          <w:b/>
          <w:bCs/>
          <w:color w:val="auto"/>
          <w:sz w:val="24"/>
          <w:highlight w:val="none"/>
          <w:lang w:eastAsia="zh-CN"/>
        </w:rPr>
        <w:t>0</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知识产权保护</w:t>
      </w:r>
    </w:p>
    <w:p w14:paraId="61B76353">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eastAsia="zh-CN"/>
        </w:rPr>
        <w:t>0</w:t>
      </w:r>
      <w:r>
        <w:rPr>
          <w:rFonts w:hint="eastAsia" w:ascii="微软雅黑" w:hAnsi="微软雅黑" w:eastAsia="微软雅黑" w:cs="微软雅黑"/>
          <w:color w:val="auto"/>
          <w:szCs w:val="21"/>
          <w:highlight w:val="none"/>
        </w:rPr>
        <w:t>.1 乙方对其所销售的货物应当享有知识产权或经权利人合法授权，保证没有侵犯任何第三人的知识产权等权利。</w:t>
      </w:r>
      <w:bookmarkStart w:id="869" w:name="_Hlk163047038"/>
      <w:r>
        <w:rPr>
          <w:rFonts w:hint="eastAsia" w:ascii="微软雅黑" w:hAnsi="微软雅黑" w:eastAsia="微软雅黑" w:cs="微软雅黑"/>
          <w:color w:val="auto"/>
          <w:szCs w:val="15"/>
          <w:highlight w:val="none"/>
        </w:rPr>
        <w:t>因违反前述约定对第三人构成侵权的，应当由乙方向第三人承担法律责任；甲方依法向第三人赔偿后，有权向乙方追偿。甲方有其他损失的，乙方应当赔偿</w:t>
      </w:r>
      <w:bookmarkEnd w:id="869"/>
      <w:r>
        <w:rPr>
          <w:rFonts w:hint="eastAsia" w:ascii="微软雅黑" w:hAnsi="微软雅黑" w:eastAsia="微软雅黑" w:cs="微软雅黑"/>
          <w:color w:val="auto"/>
          <w:szCs w:val="21"/>
          <w:highlight w:val="none"/>
        </w:rPr>
        <w:t>。</w:t>
      </w:r>
    </w:p>
    <w:p w14:paraId="5580F5B7">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w:t>
      </w:r>
      <w:r>
        <w:rPr>
          <w:rFonts w:hint="eastAsia" w:ascii="微软雅黑" w:hAnsi="微软雅黑" w:eastAsia="微软雅黑" w:cs="微软雅黑"/>
          <w:b/>
          <w:bCs/>
          <w:color w:val="auto"/>
          <w:sz w:val="24"/>
          <w:highlight w:val="none"/>
          <w:lang w:eastAsia="zh-CN"/>
        </w:rPr>
        <w:t>1</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保密义务</w:t>
      </w:r>
    </w:p>
    <w:p w14:paraId="713A4C18">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15"/>
          <w:highlight w:val="none"/>
        </w:rPr>
      </w:pPr>
      <w:r>
        <w:rPr>
          <w:rFonts w:hint="eastAsia" w:ascii="微软雅黑" w:hAnsi="微软雅黑" w:eastAsia="微软雅黑" w:cs="微软雅黑"/>
          <w:color w:val="auto"/>
          <w:szCs w:val="15"/>
          <w:highlight w:val="none"/>
          <w:lang w:val="en-US" w:eastAsia="zh-CN"/>
        </w:rPr>
        <w:t xml:space="preserve">11.1 </w:t>
      </w:r>
      <w:r>
        <w:rPr>
          <w:rFonts w:hint="eastAsia" w:ascii="微软雅黑" w:hAnsi="微软雅黑" w:eastAsia="微软雅黑" w:cs="微软雅黑"/>
          <w:color w:val="auto"/>
          <w:szCs w:val="15"/>
          <w:highlight w:val="none"/>
        </w:rPr>
        <w:t>甲、乙双方</w:t>
      </w:r>
      <w:r>
        <w:rPr>
          <w:rFonts w:hint="eastAsia" w:ascii="微软雅黑" w:hAnsi="微软雅黑" w:eastAsia="微软雅黑" w:cs="微软雅黑"/>
          <w:color w:val="auto"/>
          <w:szCs w:val="15"/>
          <w:highlight w:val="none"/>
          <w:lang w:eastAsia="zh-CN"/>
        </w:rPr>
        <w:t>对</w:t>
      </w:r>
      <w:r>
        <w:rPr>
          <w:rFonts w:hint="eastAsia" w:ascii="微软雅黑" w:hAnsi="微软雅黑" w:eastAsia="微软雅黑" w:cs="微软雅黑"/>
          <w:color w:val="auto"/>
          <w:szCs w:val="15"/>
          <w:highlight w:val="none"/>
        </w:rPr>
        <w:t>采购和合同履行过程中所获悉的</w:t>
      </w:r>
      <w:r>
        <w:rPr>
          <w:rFonts w:hint="eastAsia" w:ascii="微软雅黑" w:hAnsi="微软雅黑" w:eastAsia="微软雅黑" w:cs="微软雅黑"/>
          <w:color w:val="auto"/>
          <w:szCs w:val="15"/>
          <w:highlight w:val="none"/>
          <w:lang w:eastAsia="zh-CN"/>
        </w:rPr>
        <w:t>国家秘密、工作秘密、</w:t>
      </w:r>
      <w:r>
        <w:rPr>
          <w:rFonts w:hint="eastAsia" w:ascii="微软雅黑" w:hAnsi="微软雅黑" w:eastAsia="微软雅黑" w:cs="微软雅黑"/>
          <w:color w:val="auto"/>
          <w:szCs w:val="15"/>
          <w:highlight w:val="none"/>
        </w:rPr>
        <w:t>商业秘密或者其他应当保密的信息，均有保密义务</w:t>
      </w:r>
      <w:r>
        <w:rPr>
          <w:rFonts w:hint="eastAsia" w:ascii="微软雅黑" w:hAnsi="微软雅黑" w:eastAsia="微软雅黑" w:cs="微软雅黑"/>
          <w:color w:val="auto"/>
          <w:szCs w:val="15"/>
          <w:highlight w:val="none"/>
          <w:lang w:eastAsia="zh-CN"/>
        </w:rPr>
        <w:t>且不受合同有效期所限，直至该信息成为公开信息</w:t>
      </w:r>
      <w:r>
        <w:rPr>
          <w:rFonts w:hint="eastAsia" w:ascii="微软雅黑" w:hAnsi="微软雅黑" w:eastAsia="微软雅黑" w:cs="微软雅黑"/>
          <w:color w:val="auto"/>
          <w:szCs w:val="15"/>
          <w:highlight w:val="none"/>
        </w:rPr>
        <w:t>。泄露、不正当地使用</w:t>
      </w:r>
      <w:r>
        <w:rPr>
          <w:rFonts w:hint="eastAsia" w:ascii="微软雅黑" w:hAnsi="微软雅黑" w:eastAsia="微软雅黑" w:cs="微软雅黑"/>
          <w:color w:val="auto"/>
          <w:szCs w:val="15"/>
          <w:highlight w:val="none"/>
          <w:lang w:eastAsia="zh-CN"/>
        </w:rPr>
        <w:t>国家秘密、工作秘密、</w:t>
      </w:r>
      <w:r>
        <w:rPr>
          <w:rFonts w:hint="eastAsia" w:ascii="微软雅黑" w:hAnsi="微软雅黑" w:eastAsia="微软雅黑" w:cs="微软雅黑"/>
          <w:color w:val="auto"/>
          <w:szCs w:val="15"/>
          <w:highlight w:val="none"/>
        </w:rPr>
        <w:t>商业秘密或者</w:t>
      </w:r>
      <w:r>
        <w:rPr>
          <w:rFonts w:hint="eastAsia" w:ascii="微软雅黑" w:hAnsi="微软雅黑" w:eastAsia="微软雅黑" w:cs="微软雅黑"/>
          <w:color w:val="auto"/>
          <w:szCs w:val="15"/>
          <w:highlight w:val="none"/>
          <w:lang w:eastAsia="zh-CN"/>
        </w:rPr>
        <w:t>其他应当保密的</w:t>
      </w:r>
      <w:r>
        <w:rPr>
          <w:rFonts w:hint="eastAsia" w:ascii="微软雅黑" w:hAnsi="微软雅黑" w:eastAsia="微软雅黑" w:cs="微软雅黑"/>
          <w:color w:val="auto"/>
          <w:szCs w:val="15"/>
          <w:highlight w:val="none"/>
        </w:rPr>
        <w:t>信息，应当承担</w:t>
      </w:r>
      <w:r>
        <w:rPr>
          <w:rFonts w:hint="eastAsia" w:ascii="微软雅黑" w:hAnsi="微软雅黑" w:eastAsia="微软雅黑" w:cs="微软雅黑"/>
          <w:color w:val="auto"/>
          <w:szCs w:val="15"/>
          <w:highlight w:val="none"/>
          <w:lang w:eastAsia="zh-CN"/>
        </w:rPr>
        <w:t>相应</w:t>
      </w:r>
      <w:r>
        <w:rPr>
          <w:rFonts w:hint="eastAsia" w:ascii="微软雅黑" w:hAnsi="微软雅黑" w:eastAsia="微软雅黑" w:cs="微软雅黑"/>
          <w:color w:val="auto"/>
          <w:szCs w:val="15"/>
          <w:highlight w:val="none"/>
        </w:rPr>
        <w:t>责任。其他应当保密的信息由双方在</w:t>
      </w:r>
      <w:r>
        <w:rPr>
          <w:rFonts w:hint="eastAsia" w:ascii="微软雅黑" w:hAnsi="微软雅黑" w:eastAsia="微软雅黑" w:cs="微软雅黑"/>
          <w:b/>
          <w:bCs/>
          <w:color w:val="auto"/>
          <w:szCs w:val="15"/>
          <w:highlight w:val="none"/>
        </w:rPr>
        <w:t>【政府采购合同专用条款】</w:t>
      </w:r>
      <w:r>
        <w:rPr>
          <w:rFonts w:hint="eastAsia" w:ascii="微软雅黑" w:hAnsi="微软雅黑" w:eastAsia="微软雅黑" w:cs="微软雅黑"/>
          <w:color w:val="auto"/>
          <w:szCs w:val="15"/>
          <w:highlight w:val="none"/>
        </w:rPr>
        <w:t>中约定。</w:t>
      </w:r>
    </w:p>
    <w:p w14:paraId="1EAFC1DE">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w:t>
      </w:r>
      <w:r>
        <w:rPr>
          <w:rFonts w:hint="eastAsia" w:ascii="微软雅黑" w:hAnsi="微软雅黑" w:eastAsia="微软雅黑" w:cs="微软雅黑"/>
          <w:b/>
          <w:bCs/>
          <w:color w:val="auto"/>
          <w:sz w:val="24"/>
          <w:highlight w:val="none"/>
          <w:lang w:eastAsia="zh-CN"/>
        </w:rPr>
        <w:t>2</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合同价款支付</w:t>
      </w:r>
    </w:p>
    <w:p w14:paraId="4B3129AA">
      <w:pPr>
        <w:keepNext w:val="0"/>
        <w:keepLines w:val="0"/>
        <w:pageBreakBefore w:val="0"/>
        <w:kinsoku/>
        <w:wordWrap/>
        <w:overflowPunct/>
        <w:topLinePunct w:val="0"/>
        <w:autoSpaceDE/>
        <w:autoSpaceDN/>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eastAsia="zh-CN"/>
        </w:rPr>
        <w:t>2</w:t>
      </w:r>
      <w:r>
        <w:rPr>
          <w:rFonts w:hint="eastAsia" w:ascii="微软雅黑" w:hAnsi="微软雅黑" w:eastAsia="微软雅黑" w:cs="微软雅黑"/>
          <w:color w:val="auto"/>
          <w:szCs w:val="21"/>
          <w:highlight w:val="none"/>
        </w:rPr>
        <w:t xml:space="preserve">.1 </w:t>
      </w:r>
      <w:r>
        <w:rPr>
          <w:rFonts w:hint="eastAsia" w:ascii="微软雅黑" w:hAnsi="微软雅黑" w:eastAsia="微软雅黑" w:cs="微软雅黑"/>
          <w:color w:val="auto"/>
          <w:szCs w:val="21"/>
          <w:highlight w:val="none"/>
          <w:lang w:eastAsia="zh-CN"/>
        </w:rPr>
        <w:t>合同价款支付</w:t>
      </w:r>
      <w:r>
        <w:rPr>
          <w:rFonts w:hint="eastAsia" w:ascii="微软雅黑" w:hAnsi="微软雅黑" w:eastAsia="微软雅黑" w:cs="微软雅黑"/>
          <w:color w:val="auto"/>
          <w:szCs w:val="21"/>
          <w:highlight w:val="none"/>
        </w:rPr>
        <w:t>按照国库集中支付</w:t>
      </w:r>
      <w:r>
        <w:rPr>
          <w:rFonts w:hint="eastAsia" w:ascii="微软雅黑" w:hAnsi="微软雅黑" w:eastAsia="微软雅黑" w:cs="微软雅黑"/>
          <w:color w:val="auto"/>
          <w:szCs w:val="21"/>
          <w:highlight w:val="none"/>
          <w:lang w:eastAsia="zh-CN"/>
        </w:rPr>
        <w:t>制度及财政管理相关</w:t>
      </w:r>
      <w:r>
        <w:rPr>
          <w:rFonts w:hint="eastAsia" w:ascii="微软雅黑" w:hAnsi="微软雅黑" w:eastAsia="微软雅黑" w:cs="微软雅黑"/>
          <w:color w:val="auto"/>
          <w:szCs w:val="21"/>
          <w:highlight w:val="none"/>
        </w:rPr>
        <w:t>规定执行。</w:t>
      </w:r>
    </w:p>
    <w:p w14:paraId="58675A37">
      <w:pPr>
        <w:keepNext w:val="0"/>
        <w:keepLines w:val="0"/>
        <w:pageBreakBefore w:val="0"/>
        <w:kinsoku/>
        <w:wordWrap/>
        <w:overflowPunct/>
        <w:topLinePunct w:val="0"/>
        <w:bidi w:val="0"/>
        <w:spacing w:line="380" w:lineRule="exact"/>
        <w:ind w:firstLine="420" w:firstLineChars="200"/>
        <w:textAlignment w:val="auto"/>
        <w:outlineLvl w:val="9"/>
        <w:rPr>
          <w:rFonts w:hint="eastAsia" w:ascii="微软雅黑" w:hAnsi="微软雅黑" w:eastAsia="微软雅黑" w:cs="微软雅黑"/>
          <w:color w:val="auto"/>
          <w:highlight w:val="none"/>
          <w:lang w:eastAsia="zh-CN"/>
        </w:rPr>
      </w:pPr>
      <w:r>
        <w:rPr>
          <w:rFonts w:hint="eastAsia" w:ascii="微软雅黑" w:hAnsi="微软雅黑" w:eastAsia="微软雅黑" w:cs="微软雅黑"/>
          <w:b w:val="0"/>
          <w:bCs w:val="0"/>
          <w:color w:val="auto"/>
          <w:sz w:val="21"/>
          <w:szCs w:val="21"/>
          <w:highlight w:val="none"/>
          <w:lang w:val="en-US" w:eastAsia="zh-CN"/>
        </w:rPr>
        <w:t xml:space="preserve">12.2 </w:t>
      </w:r>
      <w:r>
        <w:rPr>
          <w:rFonts w:hint="eastAsia" w:ascii="微软雅黑" w:hAnsi="微软雅黑" w:eastAsia="微软雅黑" w:cs="微软雅黑"/>
          <w:b w:val="0"/>
          <w:bCs w:val="0"/>
          <w:color w:val="auto"/>
          <w:kern w:val="2"/>
          <w:sz w:val="21"/>
          <w:szCs w:val="21"/>
          <w:highlight w:val="none"/>
        </w:rPr>
        <w:t>对于满足合同约定支付条件的，</w:t>
      </w:r>
      <w:r>
        <w:rPr>
          <w:rFonts w:hint="eastAsia" w:ascii="微软雅黑" w:hAnsi="微软雅黑" w:eastAsia="微软雅黑" w:cs="微软雅黑"/>
          <w:b w:val="0"/>
          <w:bCs w:val="0"/>
          <w:color w:val="auto"/>
          <w:kern w:val="2"/>
          <w:sz w:val="21"/>
          <w:szCs w:val="21"/>
          <w:highlight w:val="none"/>
          <w:lang w:val="en-US" w:eastAsia="zh-CN"/>
        </w:rPr>
        <w:t>甲方</w:t>
      </w:r>
      <w:r>
        <w:rPr>
          <w:rFonts w:hint="eastAsia" w:ascii="微软雅黑" w:hAnsi="微软雅黑" w:eastAsia="微软雅黑" w:cs="微软雅黑"/>
          <w:b w:val="0"/>
          <w:bCs w:val="0"/>
          <w:i w:val="0"/>
          <w:iCs w:val="0"/>
          <w:caps w:val="0"/>
          <w:color w:val="auto"/>
          <w:spacing w:val="0"/>
          <w:sz w:val="21"/>
          <w:szCs w:val="21"/>
          <w:highlight w:val="none"/>
          <w:shd w:val="clear"/>
          <w:vertAlign w:val="baseline"/>
        </w:rPr>
        <w:t>原则上应当自收到发票后10个工作日内</w:t>
      </w:r>
      <w:r>
        <w:rPr>
          <w:rFonts w:hint="eastAsia" w:ascii="微软雅黑" w:hAnsi="微软雅黑" w:eastAsia="微软雅黑" w:cs="微软雅黑"/>
          <w:b w:val="0"/>
          <w:bCs w:val="0"/>
          <w:color w:val="auto"/>
          <w:kern w:val="2"/>
          <w:sz w:val="21"/>
          <w:szCs w:val="21"/>
          <w:highlight w:val="none"/>
        </w:rPr>
        <w:t>将资金支付到合同约定的</w:t>
      </w:r>
      <w:r>
        <w:rPr>
          <w:rFonts w:hint="eastAsia" w:ascii="微软雅黑" w:hAnsi="微软雅黑" w:eastAsia="微软雅黑" w:cs="微软雅黑"/>
          <w:b w:val="0"/>
          <w:bCs w:val="0"/>
          <w:color w:val="auto"/>
          <w:kern w:val="2"/>
          <w:sz w:val="21"/>
          <w:szCs w:val="21"/>
          <w:highlight w:val="none"/>
          <w:lang w:eastAsia="zh-CN"/>
        </w:rPr>
        <w:t>乙方</w:t>
      </w:r>
      <w:r>
        <w:rPr>
          <w:rFonts w:hint="eastAsia" w:ascii="微软雅黑" w:hAnsi="微软雅黑" w:eastAsia="微软雅黑" w:cs="微软雅黑"/>
          <w:b w:val="0"/>
          <w:bCs w:val="0"/>
          <w:color w:val="auto"/>
          <w:kern w:val="2"/>
          <w:sz w:val="21"/>
          <w:szCs w:val="21"/>
          <w:highlight w:val="none"/>
        </w:rPr>
        <w:t>账户，不得以机构变动、人员更替、政策调整等为由迟延付款，不得将采购文件和合同中未规定的义务作为向</w:t>
      </w:r>
      <w:r>
        <w:rPr>
          <w:rFonts w:hint="eastAsia" w:ascii="微软雅黑" w:hAnsi="微软雅黑" w:eastAsia="微软雅黑" w:cs="微软雅黑"/>
          <w:b w:val="0"/>
          <w:bCs w:val="0"/>
          <w:color w:val="auto"/>
          <w:kern w:val="2"/>
          <w:sz w:val="21"/>
          <w:szCs w:val="21"/>
          <w:highlight w:val="none"/>
          <w:lang w:val="en-US" w:eastAsia="zh-CN"/>
        </w:rPr>
        <w:t>乙方</w:t>
      </w:r>
      <w:r>
        <w:rPr>
          <w:rFonts w:hint="eastAsia" w:ascii="微软雅黑" w:hAnsi="微软雅黑" w:eastAsia="微软雅黑" w:cs="微软雅黑"/>
          <w:b w:val="0"/>
          <w:bCs w:val="0"/>
          <w:color w:val="auto"/>
          <w:kern w:val="2"/>
          <w:sz w:val="21"/>
          <w:szCs w:val="21"/>
          <w:highlight w:val="none"/>
        </w:rPr>
        <w:t>付款的条件。具体合同价款支付时间在【</w:t>
      </w:r>
      <w:r>
        <w:rPr>
          <w:rFonts w:hint="eastAsia" w:ascii="微软雅黑" w:hAnsi="微软雅黑" w:eastAsia="微软雅黑" w:cs="微软雅黑"/>
          <w:b/>
          <w:bCs/>
          <w:color w:val="auto"/>
          <w:kern w:val="2"/>
          <w:sz w:val="21"/>
          <w:szCs w:val="21"/>
          <w:highlight w:val="none"/>
        </w:rPr>
        <w:t>政府采购合同专用条款</w:t>
      </w:r>
      <w:r>
        <w:rPr>
          <w:rFonts w:hint="eastAsia" w:ascii="微软雅黑" w:hAnsi="微软雅黑" w:eastAsia="微软雅黑" w:cs="微软雅黑"/>
          <w:b w:val="0"/>
          <w:bCs w:val="0"/>
          <w:color w:val="auto"/>
          <w:kern w:val="2"/>
          <w:sz w:val="21"/>
          <w:szCs w:val="21"/>
          <w:highlight w:val="none"/>
        </w:rPr>
        <w:t>】中</w:t>
      </w:r>
      <w:r>
        <w:rPr>
          <w:rFonts w:hint="eastAsia" w:ascii="微软雅黑" w:hAnsi="微软雅黑" w:eastAsia="微软雅黑" w:cs="微软雅黑"/>
          <w:b w:val="0"/>
          <w:bCs w:val="0"/>
          <w:color w:val="auto"/>
          <w:kern w:val="2"/>
          <w:sz w:val="21"/>
          <w:szCs w:val="21"/>
          <w:highlight w:val="none"/>
          <w:lang w:eastAsia="zh-CN"/>
        </w:rPr>
        <w:t>约</w:t>
      </w:r>
      <w:r>
        <w:rPr>
          <w:rFonts w:hint="eastAsia" w:ascii="微软雅黑" w:hAnsi="微软雅黑" w:eastAsia="微软雅黑" w:cs="微软雅黑"/>
          <w:b w:val="0"/>
          <w:bCs w:val="0"/>
          <w:color w:val="auto"/>
          <w:kern w:val="2"/>
          <w:sz w:val="21"/>
          <w:szCs w:val="21"/>
          <w:highlight w:val="none"/>
        </w:rPr>
        <w:t>定。</w:t>
      </w:r>
    </w:p>
    <w:p w14:paraId="482C035C">
      <w:pPr>
        <w:pStyle w:val="11"/>
        <w:keepNext w:val="0"/>
        <w:keepLines w:val="0"/>
        <w:pageBreakBefore w:val="0"/>
        <w:kinsoku/>
        <w:wordWrap/>
        <w:overflowPunct/>
        <w:topLinePunct w:val="0"/>
        <w:bidi w:val="0"/>
        <w:spacing w:after="0" w:line="38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3</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履约保证金</w:t>
      </w:r>
    </w:p>
    <w:p w14:paraId="02AB3E2C">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eastAsia="zh-CN"/>
        </w:rPr>
        <w:t>3</w:t>
      </w:r>
      <w:r>
        <w:rPr>
          <w:rFonts w:hint="eastAsia" w:ascii="微软雅黑" w:hAnsi="微软雅黑" w:eastAsia="微软雅黑" w:cs="微软雅黑"/>
          <w:color w:val="auto"/>
          <w:szCs w:val="21"/>
          <w:highlight w:val="none"/>
        </w:rPr>
        <w:t xml:space="preserve">.1 </w:t>
      </w:r>
      <w:r>
        <w:rPr>
          <w:rFonts w:hint="eastAsia" w:ascii="微软雅黑" w:hAnsi="微软雅黑" w:eastAsia="微软雅黑" w:cs="微软雅黑"/>
          <w:color w:val="auto"/>
          <w:szCs w:val="15"/>
          <w:highlight w:val="none"/>
        </w:rPr>
        <w:t>乙方应当以支票、汇票、本票或者金融机构、担保机构出具的保函等非现金形式提交。</w:t>
      </w:r>
    </w:p>
    <w:p w14:paraId="6B6180B9">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eastAsia="zh-CN"/>
        </w:rPr>
        <w:t>3</w:t>
      </w:r>
      <w:r>
        <w:rPr>
          <w:rFonts w:hint="eastAsia" w:ascii="微软雅黑" w:hAnsi="微软雅黑" w:eastAsia="微软雅黑" w:cs="微软雅黑"/>
          <w:color w:val="auto"/>
          <w:szCs w:val="21"/>
          <w:highlight w:val="none"/>
        </w:rPr>
        <w:t>.2 如果乙方</w:t>
      </w:r>
      <w:r>
        <w:rPr>
          <w:rFonts w:hint="eastAsia" w:ascii="微软雅黑" w:hAnsi="微软雅黑" w:eastAsia="微软雅黑" w:cs="微软雅黑"/>
          <w:color w:val="auto"/>
          <w:szCs w:val="21"/>
          <w:highlight w:val="none"/>
          <w:lang w:eastAsia="zh-CN"/>
        </w:rPr>
        <w:t>出现</w:t>
      </w:r>
      <w:r>
        <w:rPr>
          <w:rFonts w:hint="eastAsia" w:ascii="微软雅黑" w:hAnsi="微软雅黑" w:eastAsia="微软雅黑" w:cs="微软雅黑"/>
          <w:b/>
          <w:bCs/>
          <w:color w:val="auto"/>
          <w:szCs w:val="15"/>
          <w:highlight w:val="none"/>
        </w:rPr>
        <w:t>【政府采购合同专用条款】</w:t>
      </w:r>
      <w:r>
        <w:rPr>
          <w:rFonts w:hint="eastAsia" w:ascii="微软雅黑" w:hAnsi="微软雅黑" w:eastAsia="微软雅黑" w:cs="微软雅黑"/>
          <w:b w:val="0"/>
          <w:bCs w:val="0"/>
          <w:color w:val="auto"/>
          <w:szCs w:val="15"/>
          <w:highlight w:val="none"/>
          <w:lang w:eastAsia="zh-CN"/>
        </w:rPr>
        <w:t>约定情形的</w:t>
      </w:r>
      <w:r>
        <w:rPr>
          <w:rFonts w:hint="eastAsia" w:ascii="微软雅黑" w:hAnsi="微软雅黑" w:eastAsia="微软雅黑" w:cs="微软雅黑"/>
          <w:color w:val="auto"/>
          <w:szCs w:val="21"/>
          <w:highlight w:val="none"/>
        </w:rPr>
        <w:t>，履约保证金不予退还；如果乙方未能按合同约定全面履行义务，甲方有权从履约保证金中取得补偿或赔偿，</w:t>
      </w:r>
      <w:r>
        <w:rPr>
          <w:rFonts w:hint="eastAsia" w:ascii="微软雅黑" w:hAnsi="微软雅黑" w:eastAsia="微软雅黑" w:cs="微软雅黑"/>
          <w:color w:val="auto"/>
          <w:szCs w:val="21"/>
          <w:highlight w:val="none"/>
          <w:lang w:eastAsia="zh-CN"/>
        </w:rPr>
        <w:t>且</w:t>
      </w:r>
      <w:r>
        <w:rPr>
          <w:rFonts w:hint="eastAsia" w:ascii="微软雅黑" w:hAnsi="微软雅黑" w:eastAsia="微软雅黑" w:cs="微软雅黑"/>
          <w:color w:val="auto"/>
          <w:szCs w:val="21"/>
          <w:highlight w:val="none"/>
        </w:rPr>
        <w:t>不影响甲方要求乙方承担合同约定的超过履约保证金的违约责任的权利。</w:t>
      </w:r>
    </w:p>
    <w:p w14:paraId="3449C58A">
      <w:pPr>
        <w:keepNext w:val="0"/>
        <w:keepLines w:val="0"/>
        <w:pageBreakBefore w:val="0"/>
        <w:kinsoku/>
        <w:wordWrap/>
        <w:overflowPunct/>
        <w:topLinePunct w:val="0"/>
        <w:bidi w:val="0"/>
        <w:spacing w:line="380" w:lineRule="exact"/>
        <w:ind w:firstLine="420"/>
        <w:textAlignment w:val="auto"/>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eastAsia="zh-CN"/>
        </w:rPr>
        <w:t>3</w:t>
      </w:r>
      <w:r>
        <w:rPr>
          <w:rFonts w:hint="eastAsia" w:ascii="微软雅黑" w:hAnsi="微软雅黑" w:eastAsia="微软雅黑" w:cs="微软雅黑"/>
          <w:color w:val="auto"/>
          <w:szCs w:val="21"/>
          <w:highlight w:val="none"/>
        </w:rPr>
        <w:t>.3 甲方在项目通过验收后按照</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color w:val="auto"/>
          <w:szCs w:val="21"/>
          <w:highlight w:val="none"/>
        </w:rPr>
        <w:t>规定的时间内将履约保证金退还乙方；逾期退还的，乙方可要求甲方支付违约金，违约金按照</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color w:val="auto"/>
          <w:szCs w:val="21"/>
          <w:highlight w:val="none"/>
        </w:rPr>
        <w:t>规定支付。</w:t>
      </w:r>
    </w:p>
    <w:p w14:paraId="2BE6B151">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bCs/>
          <w:color w:val="auto"/>
          <w:sz w:val="24"/>
          <w:highlight w:val="none"/>
        </w:rPr>
        <w:t>1</w:t>
      </w:r>
      <w:r>
        <w:rPr>
          <w:rFonts w:hint="eastAsia" w:ascii="微软雅黑" w:hAnsi="微软雅黑" w:eastAsia="微软雅黑" w:cs="微软雅黑"/>
          <w:b/>
          <w:bCs/>
          <w:color w:val="auto"/>
          <w:sz w:val="24"/>
          <w:highlight w:val="none"/>
          <w:lang w:eastAsia="zh-CN"/>
        </w:rPr>
        <w:t>4</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color w:val="auto"/>
          <w:sz w:val="24"/>
          <w:highlight w:val="none"/>
        </w:rPr>
        <w:t>售后服务</w:t>
      </w:r>
    </w:p>
    <w:p w14:paraId="52ADB44E">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eastAsia="zh-CN"/>
        </w:rPr>
        <w:t>4</w:t>
      </w:r>
      <w:r>
        <w:rPr>
          <w:rFonts w:hint="eastAsia" w:ascii="微软雅黑" w:hAnsi="微软雅黑" w:eastAsia="微软雅黑" w:cs="微软雅黑"/>
          <w:color w:val="auto"/>
          <w:szCs w:val="21"/>
          <w:highlight w:val="none"/>
        </w:rPr>
        <w:t>.1 除项目不涉及或采购活动中明确约定无须承担外，乙方还应提供下列服务：</w:t>
      </w:r>
    </w:p>
    <w:p w14:paraId="42F674AA">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（1）货物的现场移动、安装、调试、启动监督及技术支持；</w:t>
      </w:r>
    </w:p>
    <w:p w14:paraId="39250069">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（2）提供货物组装和维修所需的专用工具和辅助材料；</w:t>
      </w:r>
    </w:p>
    <w:p w14:paraId="6C785495">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（3）在</w:t>
      </w:r>
      <w:r>
        <w:rPr>
          <w:rFonts w:hint="eastAsia" w:ascii="微软雅黑" w:hAnsi="微软雅黑" w:eastAsia="微软雅黑" w:cs="微软雅黑"/>
          <w:b/>
          <w:bCs/>
          <w:color w:val="auto"/>
          <w:szCs w:val="15"/>
          <w:highlight w:val="none"/>
        </w:rPr>
        <w:t>【政府采购合同专用条款】</w:t>
      </w:r>
      <w:r>
        <w:rPr>
          <w:rFonts w:hint="eastAsia" w:ascii="微软雅黑" w:hAnsi="微软雅黑" w:eastAsia="微软雅黑" w:cs="微软雅黑"/>
          <w:color w:val="auto"/>
          <w:szCs w:val="21"/>
          <w:highlight w:val="none"/>
          <w:lang w:eastAsia="zh-CN"/>
        </w:rPr>
        <w:t>约定</w:t>
      </w:r>
      <w:r>
        <w:rPr>
          <w:rFonts w:hint="eastAsia" w:ascii="微软雅黑" w:hAnsi="微软雅黑" w:eastAsia="微软雅黑" w:cs="微软雅黑"/>
          <w:color w:val="auto"/>
          <w:szCs w:val="21"/>
          <w:highlight w:val="none"/>
        </w:rPr>
        <w:t>的期限内对所有的货物实施运行监督、维修，但前提条件是该服务并不能免除乙方在质量保证期内所承担的义务；</w:t>
      </w:r>
    </w:p>
    <w:p w14:paraId="69B2A1F0">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（4）在制造商</w:t>
      </w:r>
      <w:r>
        <w:rPr>
          <w:rFonts w:hint="eastAsia" w:ascii="微软雅黑" w:hAnsi="微软雅黑" w:eastAsia="微软雅黑" w:cs="微软雅黑"/>
          <w:color w:val="auto"/>
          <w:szCs w:val="21"/>
          <w:highlight w:val="none"/>
          <w:lang w:eastAsia="zh-CN"/>
        </w:rPr>
        <w:t>所在地</w:t>
      </w:r>
      <w:r>
        <w:rPr>
          <w:rFonts w:hint="eastAsia" w:ascii="微软雅黑" w:hAnsi="微软雅黑" w:eastAsia="微软雅黑" w:cs="微软雅黑"/>
          <w:color w:val="auto"/>
          <w:szCs w:val="21"/>
          <w:highlight w:val="none"/>
        </w:rPr>
        <w:t>或</w:t>
      </w:r>
      <w:r>
        <w:rPr>
          <w:rFonts w:hint="eastAsia" w:ascii="微软雅黑" w:hAnsi="微软雅黑" w:eastAsia="微软雅黑" w:cs="微软雅黑"/>
          <w:color w:val="auto"/>
          <w:szCs w:val="21"/>
          <w:highlight w:val="none"/>
          <w:lang w:eastAsia="zh-CN"/>
        </w:rPr>
        <w:t>指定</w:t>
      </w:r>
      <w:r>
        <w:rPr>
          <w:rFonts w:hint="eastAsia" w:ascii="微软雅黑" w:hAnsi="微软雅黑" w:eastAsia="微软雅黑" w:cs="微软雅黑"/>
          <w:color w:val="auto"/>
          <w:szCs w:val="21"/>
          <w:highlight w:val="none"/>
        </w:rPr>
        <w:t>现场就货物的安装、启动、运营、维护</w:t>
      </w:r>
      <w:r>
        <w:rPr>
          <w:rFonts w:hint="eastAsia" w:ascii="微软雅黑" w:hAnsi="微软雅黑" w:eastAsia="微软雅黑" w:cs="微软雅黑"/>
          <w:color w:val="auto"/>
          <w:szCs w:val="21"/>
          <w:highlight w:val="none"/>
          <w:lang w:eastAsia="zh-CN"/>
        </w:rPr>
        <w:t>、废弃处置等</w:t>
      </w:r>
      <w:r>
        <w:rPr>
          <w:rFonts w:hint="eastAsia" w:ascii="微软雅黑" w:hAnsi="微软雅黑" w:eastAsia="微软雅黑" w:cs="微软雅黑"/>
          <w:color w:val="auto"/>
          <w:szCs w:val="21"/>
          <w:highlight w:val="none"/>
        </w:rPr>
        <w:t>对甲方操作人员进行培训</w:t>
      </w:r>
      <w:r>
        <w:rPr>
          <w:rFonts w:hint="eastAsia" w:ascii="微软雅黑" w:hAnsi="微软雅黑" w:eastAsia="微软雅黑" w:cs="微软雅黑"/>
          <w:color w:val="auto"/>
          <w:szCs w:val="15"/>
          <w:highlight w:val="none"/>
          <w:lang w:eastAsia="zh-CN"/>
        </w:rPr>
        <w:t>；</w:t>
      </w:r>
    </w:p>
    <w:p w14:paraId="6269470D">
      <w:pPr>
        <w:pStyle w:val="114"/>
        <w:keepNext w:val="0"/>
        <w:keepLines w:val="0"/>
        <w:pageBreakBefore w:val="0"/>
        <w:kinsoku/>
        <w:wordWrap/>
        <w:overflowPunct/>
        <w:topLinePunct w:val="0"/>
        <w:bidi w:val="0"/>
        <w:spacing w:line="380" w:lineRule="exact"/>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（5）依照法律、行政法规的规定或者按照</w:t>
      </w:r>
      <w:r>
        <w:rPr>
          <w:rFonts w:hint="eastAsia" w:ascii="微软雅黑" w:hAnsi="微软雅黑" w:eastAsia="微软雅黑" w:cs="微软雅黑"/>
          <w:b/>
          <w:bCs/>
          <w:color w:val="auto"/>
          <w:sz w:val="21"/>
          <w:szCs w:val="21"/>
          <w:highlight w:val="none"/>
        </w:rPr>
        <w:t>【政府采购合同专用条款】</w:t>
      </w:r>
      <w:r>
        <w:rPr>
          <w:rFonts w:hint="eastAsia" w:ascii="微软雅黑" w:hAnsi="微软雅黑" w:eastAsia="微软雅黑" w:cs="微软雅黑"/>
          <w:color w:val="auto"/>
          <w:sz w:val="21"/>
          <w:szCs w:val="21"/>
          <w:highlight w:val="none"/>
        </w:rPr>
        <w:t>约定，货物在有效使用年限届满后应予回收的，乙方负有自行或者委托第三人对货物予以回收的义务；</w:t>
      </w:r>
    </w:p>
    <w:p w14:paraId="31897DBF">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color w:val="auto"/>
          <w:szCs w:val="21"/>
          <w:highlight w:val="none"/>
        </w:rPr>
        <w:t>规定由乙方提供的其他服务。</w:t>
      </w:r>
    </w:p>
    <w:p w14:paraId="66AFFB91">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.2 乙方提供的</w:t>
      </w:r>
      <w:r>
        <w:rPr>
          <w:rFonts w:hint="eastAsia" w:ascii="微软雅黑" w:hAnsi="微软雅黑" w:eastAsia="微软雅黑" w:cs="微软雅黑"/>
          <w:color w:val="auto"/>
          <w:szCs w:val="21"/>
          <w:highlight w:val="none"/>
          <w:lang w:eastAsia="zh-CN"/>
        </w:rPr>
        <w:t>售后</w:t>
      </w:r>
      <w:r>
        <w:rPr>
          <w:rFonts w:hint="eastAsia" w:ascii="微软雅黑" w:hAnsi="微软雅黑" w:eastAsia="微软雅黑" w:cs="微软雅黑"/>
          <w:color w:val="auto"/>
          <w:szCs w:val="21"/>
          <w:highlight w:val="none"/>
        </w:rPr>
        <w:t>服务的费用</w:t>
      </w:r>
      <w:r>
        <w:rPr>
          <w:rFonts w:hint="eastAsia" w:ascii="微软雅黑" w:hAnsi="微软雅黑" w:eastAsia="微软雅黑" w:cs="微软雅黑"/>
          <w:color w:val="auto"/>
          <w:szCs w:val="21"/>
          <w:highlight w:val="none"/>
          <w:lang w:val="en-US" w:eastAsia="zh-CN"/>
        </w:rPr>
        <w:t>已</w:t>
      </w:r>
      <w:r>
        <w:rPr>
          <w:rFonts w:hint="eastAsia" w:ascii="微软雅黑" w:hAnsi="微软雅黑" w:eastAsia="微软雅黑" w:cs="微软雅黑"/>
          <w:color w:val="auto"/>
          <w:szCs w:val="21"/>
          <w:highlight w:val="none"/>
        </w:rPr>
        <w:t>包含在合同价款中，甲方不再另行支付。</w:t>
      </w:r>
    </w:p>
    <w:p w14:paraId="1ED05B07">
      <w:pPr>
        <w:keepNext w:val="0"/>
        <w:keepLines w:val="0"/>
        <w:pageBreakBefore w:val="0"/>
        <w:kinsoku/>
        <w:wordWrap/>
        <w:overflowPunct/>
        <w:topLinePunct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w:t>
      </w:r>
      <w:r>
        <w:rPr>
          <w:rFonts w:hint="eastAsia" w:ascii="微软雅黑" w:hAnsi="微软雅黑" w:eastAsia="微软雅黑" w:cs="微软雅黑"/>
          <w:b/>
          <w:bCs/>
          <w:color w:val="auto"/>
          <w:sz w:val="24"/>
          <w:highlight w:val="none"/>
          <w:lang w:eastAsia="zh-CN"/>
        </w:rPr>
        <w:t>5</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违约责任</w:t>
      </w:r>
    </w:p>
    <w:p w14:paraId="60C2B0B5">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1</w:t>
      </w:r>
      <w:r>
        <w:rPr>
          <w:rFonts w:hint="eastAsia" w:ascii="微软雅黑" w:hAnsi="微软雅黑" w:eastAsia="微软雅黑" w:cs="微软雅黑"/>
          <w:bCs/>
          <w:color w:val="auto"/>
          <w:szCs w:val="21"/>
          <w:highlight w:val="none"/>
          <w:lang w:eastAsia="zh-CN"/>
        </w:rPr>
        <w:t>5</w:t>
      </w:r>
      <w:r>
        <w:rPr>
          <w:rFonts w:hint="eastAsia" w:ascii="微软雅黑" w:hAnsi="微软雅黑" w:eastAsia="微软雅黑" w:cs="微软雅黑"/>
          <w:bCs/>
          <w:color w:val="auto"/>
          <w:szCs w:val="21"/>
          <w:highlight w:val="none"/>
        </w:rPr>
        <w:t>.1质量瑕疵的</w:t>
      </w:r>
      <w:r>
        <w:rPr>
          <w:rFonts w:hint="eastAsia" w:ascii="微软雅黑" w:hAnsi="微软雅黑" w:eastAsia="微软雅黑" w:cs="微软雅黑"/>
          <w:bCs/>
          <w:color w:val="auto"/>
          <w:szCs w:val="21"/>
          <w:highlight w:val="none"/>
          <w:lang w:eastAsia="zh-CN"/>
        </w:rPr>
        <w:t>违约责任</w:t>
      </w:r>
    </w:p>
    <w:p w14:paraId="5B63A24A">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乙方</w:t>
      </w:r>
      <w:r>
        <w:rPr>
          <w:rFonts w:hint="eastAsia" w:ascii="微软雅黑" w:hAnsi="微软雅黑" w:eastAsia="微软雅黑" w:cs="微软雅黑"/>
          <w:color w:val="auto"/>
          <w:szCs w:val="21"/>
          <w:highlight w:val="none"/>
          <w:lang w:eastAsia="zh-CN"/>
        </w:rPr>
        <w:t>提供</w:t>
      </w:r>
      <w:r>
        <w:rPr>
          <w:rFonts w:hint="eastAsia" w:ascii="微软雅黑" w:hAnsi="微软雅黑" w:eastAsia="微软雅黑" w:cs="微软雅黑"/>
          <w:color w:val="auto"/>
          <w:szCs w:val="21"/>
          <w:highlight w:val="none"/>
        </w:rPr>
        <w:t>的产品不符合</w:t>
      </w:r>
      <w:r>
        <w:rPr>
          <w:rFonts w:hint="eastAsia" w:ascii="微软雅黑" w:hAnsi="微软雅黑" w:eastAsia="微软雅黑" w:cs="微软雅黑"/>
          <w:color w:val="auto"/>
          <w:szCs w:val="21"/>
          <w:highlight w:val="none"/>
          <w:lang w:eastAsia="zh-CN"/>
        </w:rPr>
        <w:t>合同约定的</w:t>
      </w:r>
      <w:r>
        <w:rPr>
          <w:rFonts w:hint="eastAsia" w:ascii="微软雅黑" w:hAnsi="微软雅黑" w:eastAsia="微软雅黑" w:cs="微软雅黑"/>
          <w:color w:val="auto"/>
          <w:szCs w:val="21"/>
          <w:highlight w:val="none"/>
        </w:rPr>
        <w:t>质量标准或存在产品质量缺陷，</w:t>
      </w:r>
      <w:r>
        <w:rPr>
          <w:rFonts w:hint="eastAsia" w:ascii="微软雅黑" w:hAnsi="微软雅黑" w:eastAsia="微软雅黑" w:cs="微软雅黑"/>
          <w:color w:val="auto"/>
          <w:szCs w:val="21"/>
          <w:highlight w:val="none"/>
          <w:lang w:eastAsia="zh-CN"/>
        </w:rPr>
        <w:t>甲方有权要求乙方根据</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b w:val="0"/>
          <w:bCs/>
          <w:color w:val="auto"/>
          <w:szCs w:val="21"/>
          <w:highlight w:val="none"/>
          <w:lang w:eastAsia="zh-CN"/>
        </w:rPr>
        <w:t>要求</w:t>
      </w:r>
      <w:r>
        <w:rPr>
          <w:rFonts w:hint="eastAsia" w:ascii="微软雅黑" w:hAnsi="微软雅黑" w:eastAsia="微软雅黑" w:cs="微软雅黑"/>
          <w:color w:val="auto"/>
          <w:szCs w:val="21"/>
          <w:highlight w:val="none"/>
          <w:lang w:eastAsia="zh-CN"/>
        </w:rPr>
        <w:t>及时修理、重作、更换，并承担由此给甲</w:t>
      </w:r>
      <w:r>
        <w:rPr>
          <w:rFonts w:hint="eastAsia" w:ascii="微软雅黑" w:hAnsi="微软雅黑" w:eastAsia="微软雅黑" w:cs="微软雅黑"/>
          <w:color w:val="auto"/>
          <w:szCs w:val="21"/>
          <w:highlight w:val="none"/>
        </w:rPr>
        <w:t>方</w:t>
      </w:r>
      <w:r>
        <w:rPr>
          <w:rFonts w:hint="eastAsia" w:ascii="微软雅黑" w:hAnsi="微软雅黑" w:eastAsia="微软雅黑" w:cs="微软雅黑"/>
          <w:color w:val="auto"/>
          <w:szCs w:val="21"/>
          <w:highlight w:val="none"/>
          <w:lang w:eastAsia="zh-CN"/>
        </w:rPr>
        <w:t>造成的损失</w:t>
      </w:r>
      <w:r>
        <w:rPr>
          <w:rFonts w:hint="eastAsia" w:ascii="微软雅黑" w:hAnsi="微软雅黑" w:eastAsia="微软雅黑" w:cs="微软雅黑"/>
          <w:color w:val="auto"/>
          <w:szCs w:val="21"/>
          <w:highlight w:val="none"/>
        </w:rPr>
        <w:t>。</w:t>
      </w:r>
    </w:p>
    <w:p w14:paraId="7E2EEFD6">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1</w:t>
      </w:r>
      <w:r>
        <w:rPr>
          <w:rFonts w:hint="eastAsia" w:ascii="微软雅黑" w:hAnsi="微软雅黑" w:eastAsia="微软雅黑" w:cs="微软雅黑"/>
          <w:bCs/>
          <w:color w:val="auto"/>
          <w:szCs w:val="21"/>
          <w:highlight w:val="none"/>
          <w:lang w:eastAsia="zh-CN"/>
        </w:rPr>
        <w:t>5</w:t>
      </w:r>
      <w:r>
        <w:rPr>
          <w:rFonts w:hint="eastAsia" w:ascii="微软雅黑" w:hAnsi="微软雅黑" w:eastAsia="微软雅黑" w:cs="微软雅黑"/>
          <w:bCs/>
          <w:color w:val="auto"/>
          <w:szCs w:val="21"/>
          <w:highlight w:val="none"/>
        </w:rPr>
        <w:t>.2 迟延交货的违约责任</w:t>
      </w:r>
    </w:p>
    <w:p w14:paraId="1B25EBD8">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（1）乙方应按照本合同规定的时间、地点交货和提供</w:t>
      </w:r>
      <w:r>
        <w:rPr>
          <w:rFonts w:hint="eastAsia" w:ascii="微软雅黑" w:hAnsi="微软雅黑" w:eastAsia="微软雅黑" w:cs="微软雅黑"/>
          <w:color w:val="auto"/>
          <w:szCs w:val="21"/>
          <w:highlight w:val="none"/>
          <w:lang w:eastAsia="zh-CN"/>
        </w:rPr>
        <w:t>相关</w:t>
      </w:r>
      <w:r>
        <w:rPr>
          <w:rFonts w:hint="eastAsia" w:ascii="微软雅黑" w:hAnsi="微软雅黑" w:eastAsia="微软雅黑" w:cs="微软雅黑"/>
          <w:color w:val="auto"/>
          <w:szCs w:val="21"/>
          <w:highlight w:val="none"/>
        </w:rPr>
        <w:t>服务。在履行合同过程中，如果乙方遇到可能</w:t>
      </w:r>
      <w:r>
        <w:rPr>
          <w:rFonts w:hint="eastAsia" w:ascii="微软雅黑" w:hAnsi="微软雅黑" w:eastAsia="微软雅黑" w:cs="微软雅黑"/>
          <w:color w:val="auto"/>
          <w:szCs w:val="21"/>
          <w:highlight w:val="none"/>
          <w:lang w:eastAsia="zh-CN"/>
        </w:rPr>
        <w:t>影响</w:t>
      </w:r>
      <w:r>
        <w:rPr>
          <w:rFonts w:hint="eastAsia" w:ascii="微软雅黑" w:hAnsi="微软雅黑" w:eastAsia="微软雅黑" w:cs="微软雅黑"/>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微软雅黑" w:hAnsi="微软雅黑" w:eastAsia="微软雅黑" w:cs="微软雅黑"/>
          <w:color w:val="auto"/>
          <w:szCs w:val="21"/>
          <w:highlight w:val="none"/>
          <w:lang w:eastAsia="zh-CN"/>
        </w:rPr>
        <w:t>长</w:t>
      </w:r>
      <w:r>
        <w:rPr>
          <w:rFonts w:hint="eastAsia" w:ascii="微软雅黑" w:hAnsi="微软雅黑" w:eastAsia="微软雅黑" w:cs="微软雅黑"/>
          <w:color w:val="auto"/>
          <w:szCs w:val="21"/>
          <w:highlight w:val="none"/>
        </w:rPr>
        <w:t>交货时间或延期提供服务。</w:t>
      </w:r>
    </w:p>
    <w:p w14:paraId="4B7DAE40">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（2）如果乙方没有按照合同规定的时间交货和提供</w:t>
      </w:r>
      <w:r>
        <w:rPr>
          <w:rFonts w:hint="eastAsia" w:ascii="微软雅黑" w:hAnsi="微软雅黑" w:eastAsia="微软雅黑" w:cs="微软雅黑"/>
          <w:color w:val="auto"/>
          <w:szCs w:val="21"/>
          <w:highlight w:val="none"/>
          <w:lang w:eastAsia="zh-CN"/>
        </w:rPr>
        <w:t>相关</w:t>
      </w:r>
      <w:r>
        <w:rPr>
          <w:rFonts w:hint="eastAsia" w:ascii="微软雅黑" w:hAnsi="微软雅黑" w:eastAsia="微软雅黑" w:cs="微软雅黑"/>
          <w:color w:val="auto"/>
          <w:szCs w:val="21"/>
          <w:highlight w:val="none"/>
        </w:rPr>
        <w:t>服务，甲方有权从货款中扣除误期赔偿费而不影响合同项下的其他补救方法，赔偿费按</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color w:val="auto"/>
          <w:szCs w:val="21"/>
          <w:highlight w:val="none"/>
        </w:rPr>
        <w:t>规定执行。如果涉及公共利益，且赔偿金额无法弥补公共利益损失，</w:t>
      </w:r>
      <w:r>
        <w:rPr>
          <w:rFonts w:hint="eastAsia" w:ascii="微软雅黑" w:hAnsi="微软雅黑" w:eastAsia="微软雅黑" w:cs="微软雅黑"/>
          <w:color w:val="auto"/>
          <w:szCs w:val="21"/>
          <w:highlight w:val="none"/>
          <w:lang w:eastAsia="zh-CN"/>
        </w:rPr>
        <w:t>甲方</w:t>
      </w:r>
      <w:r>
        <w:rPr>
          <w:rFonts w:hint="eastAsia" w:ascii="微软雅黑" w:hAnsi="微软雅黑" w:eastAsia="微软雅黑" w:cs="微软雅黑"/>
          <w:color w:val="auto"/>
          <w:szCs w:val="21"/>
          <w:highlight w:val="none"/>
        </w:rPr>
        <w:t>可要求继续履行或者</w:t>
      </w:r>
      <w:r>
        <w:rPr>
          <w:rFonts w:hint="eastAsia" w:ascii="微软雅黑" w:hAnsi="微软雅黑" w:eastAsia="微软雅黑" w:cs="微软雅黑"/>
          <w:color w:val="auto"/>
          <w:szCs w:val="21"/>
          <w:highlight w:val="none"/>
          <w:lang w:eastAsia="zh-CN"/>
        </w:rPr>
        <w:t>采取其他补救措施</w:t>
      </w:r>
      <w:r>
        <w:rPr>
          <w:rFonts w:hint="eastAsia" w:ascii="微软雅黑" w:hAnsi="微软雅黑" w:eastAsia="微软雅黑" w:cs="微软雅黑"/>
          <w:color w:val="auto"/>
          <w:szCs w:val="21"/>
          <w:highlight w:val="none"/>
        </w:rPr>
        <w:t>。</w:t>
      </w:r>
    </w:p>
    <w:p w14:paraId="10335357">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eastAsia="zh-CN"/>
        </w:rPr>
        <w:t>5</w:t>
      </w:r>
      <w:r>
        <w:rPr>
          <w:rFonts w:hint="eastAsia" w:ascii="微软雅黑" w:hAnsi="微软雅黑" w:eastAsia="微软雅黑" w:cs="微软雅黑"/>
          <w:color w:val="auto"/>
          <w:szCs w:val="21"/>
          <w:highlight w:val="none"/>
        </w:rPr>
        <w:t>.3 迟延支付的违约责任</w:t>
      </w:r>
    </w:p>
    <w:p w14:paraId="46614483">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甲方存在迟延支付乙方合同款项的，应当承担</w:t>
      </w:r>
      <w:r>
        <w:rPr>
          <w:rFonts w:hint="eastAsia" w:ascii="微软雅黑" w:hAnsi="微软雅黑" w:eastAsia="微软雅黑" w:cs="微软雅黑"/>
          <w:b/>
          <w:bCs/>
          <w:color w:val="auto"/>
          <w:szCs w:val="21"/>
          <w:highlight w:val="none"/>
        </w:rPr>
        <w:t>【政府采购合同专用条款】</w:t>
      </w:r>
      <w:r>
        <w:rPr>
          <w:rFonts w:hint="eastAsia" w:ascii="微软雅黑" w:hAnsi="微软雅黑" w:eastAsia="微软雅黑" w:cs="微软雅黑"/>
          <w:color w:val="auto"/>
          <w:szCs w:val="21"/>
          <w:highlight w:val="none"/>
        </w:rPr>
        <w:t>规定的逾期付款利息。</w:t>
      </w:r>
    </w:p>
    <w:p w14:paraId="75332B52">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bCs/>
          <w:color w:val="auto"/>
          <w:szCs w:val="21"/>
          <w:highlight w:val="none"/>
        </w:rPr>
        <w:t>1</w:t>
      </w:r>
      <w:r>
        <w:rPr>
          <w:rFonts w:hint="eastAsia" w:ascii="微软雅黑" w:hAnsi="微软雅黑" w:eastAsia="微软雅黑" w:cs="微软雅黑"/>
          <w:bCs/>
          <w:color w:val="auto"/>
          <w:szCs w:val="21"/>
          <w:highlight w:val="none"/>
          <w:lang w:eastAsia="zh-CN"/>
        </w:rPr>
        <w:t>5</w:t>
      </w:r>
      <w:r>
        <w:rPr>
          <w:rFonts w:hint="eastAsia" w:ascii="微软雅黑" w:hAnsi="微软雅黑" w:eastAsia="微软雅黑" w:cs="微软雅黑"/>
          <w:bCs/>
          <w:color w:val="auto"/>
          <w:szCs w:val="21"/>
          <w:highlight w:val="none"/>
        </w:rPr>
        <w:t>.4其他违约责任根据项目实际需要按</w:t>
      </w:r>
      <w:r>
        <w:rPr>
          <w:rFonts w:hint="eastAsia" w:ascii="微软雅黑" w:hAnsi="微软雅黑" w:eastAsia="微软雅黑" w:cs="微软雅黑"/>
          <w:b/>
          <w:bCs/>
          <w:color w:val="auto"/>
          <w:szCs w:val="21"/>
          <w:highlight w:val="none"/>
        </w:rPr>
        <w:t>【政府采购合同专用条款】</w:t>
      </w:r>
      <w:r>
        <w:rPr>
          <w:rFonts w:hint="eastAsia" w:ascii="微软雅黑" w:hAnsi="微软雅黑" w:eastAsia="微软雅黑" w:cs="微软雅黑"/>
          <w:color w:val="auto"/>
          <w:szCs w:val="21"/>
          <w:highlight w:val="none"/>
        </w:rPr>
        <w:t>规定执行。</w:t>
      </w:r>
    </w:p>
    <w:p w14:paraId="1C64DFBB">
      <w:pPr>
        <w:keepNext w:val="0"/>
        <w:keepLines w:val="0"/>
        <w:pageBreakBefore w:val="0"/>
        <w:numPr>
          <w:ilvl w:val="0"/>
          <w:numId w:val="18"/>
        </w:numPr>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合同变更</w:t>
      </w:r>
      <w:r>
        <w:rPr>
          <w:rFonts w:hint="eastAsia" w:ascii="微软雅黑" w:hAnsi="微软雅黑" w:eastAsia="微软雅黑" w:cs="微软雅黑"/>
          <w:b/>
          <w:color w:val="auto"/>
          <w:sz w:val="24"/>
          <w:highlight w:val="none"/>
          <w:lang w:eastAsia="zh-CN"/>
        </w:rPr>
        <w:t>、中止与终止</w:t>
      </w:r>
    </w:p>
    <w:p w14:paraId="0A76B9BA">
      <w:pPr>
        <w:keepNext w:val="0"/>
        <w:keepLines w:val="0"/>
        <w:pageBreakBefore w:val="0"/>
        <w:kinsoku/>
        <w:wordWrap/>
        <w:overflowPunct/>
        <w:topLinePunct w:val="0"/>
        <w:autoSpaceDE/>
        <w:autoSpaceDN/>
        <w:bidi w:val="0"/>
        <w:adjustRightInd w:val="0"/>
        <w:snapToGrid w:val="0"/>
        <w:spacing w:before="0" w:line="380" w:lineRule="exact"/>
        <w:ind w:firstLine="0" w:firstLineChars="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.1合同的</w:t>
      </w:r>
      <w:r>
        <w:rPr>
          <w:rFonts w:hint="eastAsia" w:ascii="微软雅黑" w:hAnsi="微软雅黑" w:eastAsia="微软雅黑" w:cs="微软雅黑"/>
          <w:color w:val="auto"/>
          <w:szCs w:val="21"/>
          <w:highlight w:val="none"/>
          <w:lang w:eastAsia="zh-CN"/>
        </w:rPr>
        <w:t>变更</w:t>
      </w:r>
    </w:p>
    <w:p w14:paraId="21A91966">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政府采购合同履行中，</w:t>
      </w:r>
      <w:r>
        <w:rPr>
          <w:rFonts w:hint="eastAsia" w:ascii="微软雅黑" w:hAnsi="微软雅黑" w:eastAsia="微软雅黑" w:cs="微软雅黑"/>
          <w:color w:val="auto"/>
          <w:szCs w:val="21"/>
          <w:highlight w:val="none"/>
        </w:rPr>
        <w:t>在不改变合同其他条款的前提下，甲方可以在合同价款10%的范围内追加与合同标的相同的货物，并就此与乙方协商</w:t>
      </w:r>
      <w:r>
        <w:rPr>
          <w:rFonts w:hint="eastAsia" w:ascii="微软雅黑" w:hAnsi="微软雅黑" w:eastAsia="微软雅黑" w:cs="微软雅黑"/>
          <w:color w:val="auto"/>
          <w:szCs w:val="21"/>
          <w:highlight w:val="none"/>
          <w:lang w:eastAsia="zh-CN"/>
        </w:rPr>
        <w:t>一致后</w:t>
      </w:r>
      <w:r>
        <w:rPr>
          <w:rFonts w:hint="eastAsia" w:ascii="微软雅黑" w:hAnsi="微软雅黑" w:eastAsia="微软雅黑" w:cs="微软雅黑"/>
          <w:color w:val="auto"/>
          <w:szCs w:val="21"/>
          <w:highlight w:val="none"/>
        </w:rPr>
        <w:t>签订补充协议。</w:t>
      </w:r>
    </w:p>
    <w:p w14:paraId="37F0F24B">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合同的中止</w:t>
      </w:r>
    </w:p>
    <w:p w14:paraId="10C9CB4D">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（1）合同履行过程中因供应商就采购文件、采购过程或结果提起投诉的，甲方认为有必要的，</w:t>
      </w:r>
      <w:r>
        <w:rPr>
          <w:rFonts w:hint="eastAsia" w:ascii="微软雅黑" w:hAnsi="微软雅黑" w:eastAsia="微软雅黑" w:cs="微软雅黑"/>
          <w:color w:val="auto"/>
          <w:szCs w:val="21"/>
          <w:highlight w:val="none"/>
          <w:lang w:eastAsia="zh-CN"/>
        </w:rPr>
        <w:t>可以</w:t>
      </w:r>
      <w:r>
        <w:rPr>
          <w:rFonts w:hint="eastAsia" w:ascii="微软雅黑" w:hAnsi="微软雅黑" w:eastAsia="微软雅黑" w:cs="微软雅黑"/>
          <w:color w:val="auto"/>
          <w:szCs w:val="21"/>
          <w:highlight w:val="none"/>
        </w:rPr>
        <w:t>中止合同的履行。</w:t>
      </w:r>
    </w:p>
    <w:p w14:paraId="0B6617E9">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合同履行过程中，</w:t>
      </w:r>
      <w:r>
        <w:rPr>
          <w:rFonts w:hint="eastAsia" w:ascii="微软雅黑" w:hAnsi="微软雅黑" w:eastAsia="微软雅黑" w:cs="微软雅黑"/>
          <w:color w:val="auto"/>
          <w:szCs w:val="21"/>
          <w:highlight w:val="none"/>
        </w:rPr>
        <w:t>如果乙方出现以下情形之一的：1．经营状况严重恶化；2．转移财产、抽逃资金，以逃避债务；3．丧失商业信誉；4．有丧失或者可能丧失履约能力的其他情形</w:t>
      </w:r>
      <w:r>
        <w:rPr>
          <w:rFonts w:hint="eastAsia" w:ascii="微软雅黑" w:hAnsi="微软雅黑" w:eastAsia="微软雅黑" w:cs="微软雅黑"/>
          <w:color w:val="auto"/>
          <w:szCs w:val="21"/>
          <w:highlight w:val="none"/>
          <w:lang w:eastAsia="zh-CN"/>
        </w:rPr>
        <w:t>，乙方有义务及时告知甲方</w:t>
      </w:r>
      <w:r>
        <w:rPr>
          <w:rFonts w:hint="eastAsia" w:ascii="微软雅黑" w:hAnsi="微软雅黑" w:eastAsia="微软雅黑" w:cs="微软雅黑"/>
          <w:color w:val="auto"/>
          <w:szCs w:val="21"/>
          <w:highlight w:val="none"/>
        </w:rPr>
        <w:t>。甲方</w:t>
      </w:r>
      <w:r>
        <w:rPr>
          <w:rFonts w:hint="eastAsia" w:ascii="微软雅黑" w:hAnsi="微软雅黑" w:eastAsia="微软雅黑" w:cs="微软雅黑"/>
          <w:color w:val="auto"/>
          <w:szCs w:val="21"/>
          <w:highlight w:val="none"/>
          <w:lang w:eastAsia="zh-CN"/>
        </w:rPr>
        <w:t>有权</w:t>
      </w:r>
      <w:r>
        <w:rPr>
          <w:rFonts w:hint="eastAsia" w:ascii="微软雅黑" w:hAnsi="微软雅黑" w:eastAsia="微软雅黑" w:cs="微软雅黑"/>
          <w:color w:val="auto"/>
          <w:szCs w:val="21"/>
          <w:highlight w:val="none"/>
        </w:rPr>
        <w:t>以书面形式通知乙方中止合同</w:t>
      </w:r>
      <w:r>
        <w:rPr>
          <w:rFonts w:hint="eastAsia" w:ascii="微软雅黑" w:hAnsi="微软雅黑" w:eastAsia="微软雅黑" w:cs="微软雅黑"/>
          <w:color w:val="auto"/>
          <w:szCs w:val="21"/>
          <w:highlight w:val="none"/>
          <w:lang w:eastAsia="zh-CN"/>
        </w:rPr>
        <w:t>并要求乙方在合理期限内消除相关情形或者提供适当担保。</w:t>
      </w:r>
      <w:r>
        <w:rPr>
          <w:rFonts w:hint="eastAsia" w:ascii="微软雅黑" w:hAnsi="微软雅黑" w:eastAsia="微软雅黑" w:cs="微软雅黑"/>
          <w:color w:val="auto"/>
          <w:szCs w:val="21"/>
          <w:highlight w:val="none"/>
        </w:rPr>
        <w:t>乙方提供适当担保的，</w:t>
      </w:r>
      <w:r>
        <w:rPr>
          <w:rFonts w:hint="eastAsia" w:ascii="微软雅黑" w:hAnsi="微软雅黑" w:eastAsia="微软雅黑" w:cs="微软雅黑"/>
          <w:color w:val="auto"/>
          <w:szCs w:val="21"/>
          <w:highlight w:val="none"/>
          <w:lang w:eastAsia="zh-CN"/>
        </w:rPr>
        <w:t>合同继续</w:t>
      </w:r>
      <w:r>
        <w:rPr>
          <w:rFonts w:hint="eastAsia" w:ascii="微软雅黑" w:hAnsi="微软雅黑" w:eastAsia="微软雅黑" w:cs="微软雅黑"/>
          <w:color w:val="auto"/>
          <w:szCs w:val="21"/>
          <w:highlight w:val="none"/>
        </w:rPr>
        <w:t>履行</w:t>
      </w:r>
      <w:r>
        <w:rPr>
          <w:rFonts w:hint="eastAsia" w:ascii="微软雅黑" w:hAnsi="微软雅黑" w:eastAsia="微软雅黑" w:cs="微软雅黑"/>
          <w:color w:val="auto"/>
          <w:szCs w:val="21"/>
          <w:highlight w:val="none"/>
          <w:lang w:eastAsia="zh-CN"/>
        </w:rPr>
        <w:t>；乙</w:t>
      </w:r>
      <w:r>
        <w:rPr>
          <w:rFonts w:hint="eastAsia" w:ascii="微软雅黑" w:hAnsi="微软雅黑" w:eastAsia="微软雅黑" w:cs="微软雅黑"/>
          <w:color w:val="auto"/>
          <w:szCs w:val="21"/>
          <w:highlight w:val="none"/>
        </w:rPr>
        <w:t>方在合理期限内未恢复履约能力且未提供适当担保的，视为拒绝</w:t>
      </w:r>
      <w:r>
        <w:rPr>
          <w:rFonts w:hint="eastAsia" w:ascii="微软雅黑" w:hAnsi="微软雅黑" w:eastAsia="微软雅黑" w:cs="微软雅黑"/>
          <w:color w:val="auto"/>
          <w:szCs w:val="21"/>
          <w:highlight w:val="none"/>
          <w:lang w:eastAsia="zh-CN"/>
        </w:rPr>
        <w:t>继续</w:t>
      </w:r>
      <w:r>
        <w:rPr>
          <w:rFonts w:hint="eastAsia" w:ascii="微软雅黑" w:hAnsi="微软雅黑" w:eastAsia="微软雅黑" w:cs="微软雅黑"/>
          <w:color w:val="auto"/>
          <w:szCs w:val="21"/>
          <w:highlight w:val="none"/>
        </w:rPr>
        <w:t>履约，甲方</w:t>
      </w:r>
      <w:r>
        <w:rPr>
          <w:rFonts w:hint="eastAsia" w:ascii="微软雅黑" w:hAnsi="微软雅黑" w:eastAsia="微软雅黑" w:cs="微软雅黑"/>
          <w:color w:val="auto"/>
          <w:szCs w:val="21"/>
          <w:highlight w:val="none"/>
          <w:lang w:eastAsia="zh-CN"/>
        </w:rPr>
        <w:t>有权</w:t>
      </w:r>
      <w:r>
        <w:rPr>
          <w:rFonts w:hint="eastAsia" w:ascii="微软雅黑" w:hAnsi="微软雅黑" w:eastAsia="微软雅黑" w:cs="微软雅黑"/>
          <w:color w:val="auto"/>
          <w:szCs w:val="21"/>
          <w:highlight w:val="none"/>
        </w:rPr>
        <w:t>解除合同并要求乙方承担</w:t>
      </w:r>
      <w:r>
        <w:rPr>
          <w:rFonts w:hint="eastAsia" w:ascii="微软雅黑" w:hAnsi="微软雅黑" w:eastAsia="微软雅黑" w:cs="微软雅黑"/>
          <w:color w:val="auto"/>
          <w:szCs w:val="21"/>
          <w:highlight w:val="none"/>
          <w:lang w:eastAsia="zh-CN"/>
        </w:rPr>
        <w:t>由此给甲方造成的损失</w:t>
      </w:r>
      <w:r>
        <w:rPr>
          <w:rFonts w:hint="eastAsia" w:ascii="微软雅黑" w:hAnsi="微软雅黑" w:eastAsia="微软雅黑" w:cs="微软雅黑"/>
          <w:color w:val="auto"/>
          <w:szCs w:val="21"/>
          <w:highlight w:val="none"/>
        </w:rPr>
        <w:t>。</w:t>
      </w:r>
    </w:p>
    <w:p w14:paraId="35CB2CF9">
      <w:pPr>
        <w:pStyle w:val="114"/>
        <w:keepNext w:val="0"/>
        <w:keepLines w:val="0"/>
        <w:pageBreakBefore w:val="0"/>
        <w:kinsoku/>
        <w:wordWrap/>
        <w:overflowPunct/>
        <w:topLinePunct w:val="0"/>
        <w:bidi w:val="0"/>
        <w:spacing w:line="380" w:lineRule="exact"/>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rPr>
        <w:t>（3）乙方分立、合并或者变更住所的，应当及时以书面形式告知甲方。乙方没有</w:t>
      </w:r>
      <w:r>
        <w:rPr>
          <w:rFonts w:hint="eastAsia" w:ascii="微软雅黑" w:hAnsi="微软雅黑" w:eastAsia="微软雅黑" w:cs="微软雅黑"/>
          <w:color w:val="auto"/>
          <w:sz w:val="21"/>
          <w:highlight w:val="none"/>
          <w:lang w:eastAsia="zh-CN"/>
        </w:rPr>
        <w:t>及时告知</w:t>
      </w:r>
      <w:r>
        <w:rPr>
          <w:rFonts w:hint="eastAsia" w:ascii="微软雅黑" w:hAnsi="微软雅黑" w:eastAsia="微软雅黑" w:cs="微软雅黑"/>
          <w:color w:val="auto"/>
          <w:sz w:val="21"/>
          <w:highlight w:val="none"/>
        </w:rPr>
        <w:t>甲方，致使</w:t>
      </w:r>
      <w:r>
        <w:rPr>
          <w:rFonts w:hint="eastAsia" w:ascii="微软雅黑" w:hAnsi="微软雅黑" w:eastAsia="微软雅黑" w:cs="微软雅黑"/>
          <w:color w:val="auto"/>
          <w:sz w:val="21"/>
          <w:highlight w:val="none"/>
          <w:lang w:eastAsia="zh-CN"/>
        </w:rPr>
        <w:t>合同</w:t>
      </w:r>
      <w:r>
        <w:rPr>
          <w:rFonts w:hint="eastAsia" w:ascii="微软雅黑" w:hAnsi="微软雅黑" w:eastAsia="微软雅黑" w:cs="微软雅黑"/>
          <w:color w:val="auto"/>
          <w:sz w:val="21"/>
          <w:highlight w:val="none"/>
        </w:rPr>
        <w:t>履行发生困难的，甲方可以中止合同履行并要求乙方承担由此给甲方造成的损失。</w:t>
      </w:r>
    </w:p>
    <w:p w14:paraId="34E5E1F0">
      <w:pPr>
        <w:keepNext w:val="0"/>
        <w:keepLines w:val="0"/>
        <w:pageBreakBefore w:val="0"/>
        <w:kinsoku/>
        <w:wordWrap/>
        <w:overflowPunct/>
        <w:topLinePunct w:val="0"/>
        <w:bidi w:val="0"/>
        <w:snapToGrid w:val="0"/>
        <w:spacing w:line="380" w:lineRule="exact"/>
        <w:ind w:firstLine="420" w:firstLineChars="200"/>
        <w:jc w:val="left"/>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）甲方不得以行政区划调整、政府换届、机构或者职能调整以及相关责任人更替为由中止合同。</w:t>
      </w:r>
    </w:p>
    <w:p w14:paraId="6614D45E">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合同的终止</w:t>
      </w:r>
    </w:p>
    <w:p w14:paraId="3E6BE719">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（1）合同因有效期限届满而终止；</w:t>
      </w:r>
    </w:p>
    <w:p w14:paraId="5A20D211">
      <w:pPr>
        <w:keepNext w:val="0"/>
        <w:keepLines w:val="0"/>
        <w:pageBreakBefore w:val="0"/>
        <w:kinsoku/>
        <w:wordWrap/>
        <w:overflowPunct/>
        <w:topLinePunct w:val="0"/>
        <w:bidi w:val="0"/>
        <w:snapToGrid w:val="0"/>
        <w:spacing w:line="380" w:lineRule="exact"/>
        <w:ind w:firstLine="420" w:firstLineChars="200"/>
        <w:textAlignment w:val="auto"/>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（2）乙方未</w:t>
      </w:r>
      <w:r>
        <w:rPr>
          <w:rFonts w:hint="eastAsia" w:ascii="微软雅黑" w:hAnsi="微软雅黑" w:eastAsia="微软雅黑" w:cs="微软雅黑"/>
          <w:color w:val="auto"/>
          <w:szCs w:val="21"/>
          <w:highlight w:val="none"/>
          <w:lang w:eastAsia="zh-CN"/>
        </w:rPr>
        <w:t>按</w:t>
      </w:r>
      <w:r>
        <w:rPr>
          <w:rFonts w:hint="eastAsia" w:ascii="微软雅黑" w:hAnsi="微软雅黑" w:eastAsia="微软雅黑" w:cs="微软雅黑"/>
          <w:color w:val="auto"/>
          <w:szCs w:val="21"/>
          <w:highlight w:val="none"/>
        </w:rPr>
        <w:t>合同约定履行，构成根本性违约的，甲方有权终止合同</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并追究乙方的违约责</w:t>
      </w:r>
      <w:r>
        <w:rPr>
          <w:rFonts w:hint="eastAsia" w:ascii="微软雅黑" w:hAnsi="微软雅黑" w:eastAsia="微软雅黑" w:cs="微软雅黑"/>
          <w:color w:val="auto"/>
          <w:szCs w:val="21"/>
          <w:highlight w:val="none"/>
          <w:lang w:val="en-US" w:eastAsia="zh-CN"/>
        </w:rPr>
        <w:t>任</w:t>
      </w:r>
      <w:r>
        <w:rPr>
          <w:rFonts w:hint="eastAsia" w:ascii="微软雅黑" w:hAnsi="微软雅黑" w:eastAsia="微软雅黑" w:cs="微软雅黑"/>
          <w:color w:val="auto"/>
          <w:szCs w:val="21"/>
          <w:highlight w:val="none"/>
        </w:rPr>
        <w:t>。</w:t>
      </w:r>
    </w:p>
    <w:p w14:paraId="11E5B567">
      <w:pPr>
        <w:pStyle w:val="114"/>
        <w:keepNext w:val="0"/>
        <w:keepLines w:val="0"/>
        <w:pageBreakBefore w:val="0"/>
        <w:kinsoku/>
        <w:wordWrap/>
        <w:overflowPunct/>
        <w:topLinePunct w:val="0"/>
        <w:bidi w:val="0"/>
        <w:spacing w:line="380" w:lineRule="exact"/>
        <w:textAlignment w:val="auto"/>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 xml:space="preserve">16.4 </w:t>
      </w:r>
      <w:r>
        <w:rPr>
          <w:rFonts w:hint="eastAsia" w:ascii="微软雅黑" w:hAnsi="微软雅黑" w:eastAsia="微软雅黑" w:cs="微软雅黑"/>
          <w:color w:val="auto"/>
          <w:kern w:val="2"/>
          <w:sz w:val="21"/>
          <w:szCs w:val="21"/>
          <w:highlight w:val="none"/>
          <w:lang w:val="en-US" w:eastAsia="zh-CN"/>
        </w:rPr>
        <w:t>涉及国家利益、社会公共利益的情形</w:t>
      </w:r>
    </w:p>
    <w:p w14:paraId="02D8CD62">
      <w:pPr>
        <w:pStyle w:val="114"/>
        <w:keepNext w:val="0"/>
        <w:keepLines w:val="0"/>
        <w:pageBreakBefore w:val="0"/>
        <w:kinsoku/>
        <w:wordWrap/>
        <w:overflowPunct/>
        <w:topLinePunct w:val="0"/>
        <w:bidi w:val="0"/>
        <w:spacing w:line="380" w:lineRule="exact"/>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rPr>
        <w:t>政府采购合同继续履行将损害国家利益和社会公共利益的，双方当事人</w:t>
      </w:r>
      <w:r>
        <w:rPr>
          <w:rFonts w:hint="eastAsia" w:ascii="微软雅黑" w:hAnsi="微软雅黑" w:eastAsia="微软雅黑" w:cs="微软雅黑"/>
          <w:color w:val="auto"/>
          <w:sz w:val="21"/>
          <w:highlight w:val="none"/>
          <w:lang w:val="en-US" w:eastAsia="zh-CN"/>
        </w:rPr>
        <w:t>应当变更、</w:t>
      </w:r>
      <w:r>
        <w:rPr>
          <w:rFonts w:hint="eastAsia" w:ascii="微软雅黑" w:hAnsi="微软雅黑" w:eastAsia="微软雅黑" w:cs="微软雅黑"/>
          <w:color w:val="auto"/>
          <w:sz w:val="21"/>
          <w:highlight w:val="none"/>
        </w:rPr>
        <w:t>中止</w:t>
      </w:r>
      <w:r>
        <w:rPr>
          <w:rFonts w:hint="eastAsia" w:ascii="微软雅黑" w:hAnsi="微软雅黑" w:eastAsia="微软雅黑" w:cs="微软雅黑"/>
          <w:color w:val="auto"/>
          <w:sz w:val="21"/>
          <w:highlight w:val="none"/>
          <w:lang w:eastAsia="zh-CN"/>
        </w:rPr>
        <w:t>或者终止</w:t>
      </w:r>
      <w:r>
        <w:rPr>
          <w:rFonts w:hint="eastAsia" w:ascii="微软雅黑" w:hAnsi="微软雅黑" w:eastAsia="微软雅黑" w:cs="微软雅黑"/>
          <w:color w:val="auto"/>
          <w:sz w:val="21"/>
          <w:highlight w:val="none"/>
        </w:rPr>
        <w:t>合同。有过错的一方应当承担赔偿责任，双方都有过错的，各自承担相应的责任。</w:t>
      </w:r>
    </w:p>
    <w:p w14:paraId="6F00ECC0">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w:t>
      </w:r>
      <w:r>
        <w:rPr>
          <w:rFonts w:hint="eastAsia" w:ascii="微软雅黑" w:hAnsi="微软雅黑" w:eastAsia="微软雅黑" w:cs="微软雅黑"/>
          <w:b/>
          <w:bCs/>
          <w:color w:val="auto"/>
          <w:sz w:val="24"/>
          <w:highlight w:val="none"/>
          <w:lang w:val="en-US" w:eastAsia="zh-CN"/>
        </w:rPr>
        <w:t>7</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合同分包</w:t>
      </w:r>
    </w:p>
    <w:p w14:paraId="49C6087F">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.1 乙方不得</w:t>
      </w:r>
      <w:r>
        <w:rPr>
          <w:rFonts w:hint="eastAsia" w:ascii="微软雅黑" w:hAnsi="微软雅黑" w:eastAsia="微软雅黑" w:cs="微软雅黑"/>
          <w:color w:val="auto"/>
          <w:szCs w:val="21"/>
          <w:highlight w:val="none"/>
          <w:lang w:eastAsia="zh-CN"/>
        </w:rPr>
        <w:t>将合同转包给其他供应商。涉及合同分包的，乙方</w:t>
      </w:r>
      <w:r>
        <w:rPr>
          <w:rFonts w:hint="eastAsia" w:ascii="微软雅黑" w:hAnsi="微软雅黑" w:eastAsia="微软雅黑" w:cs="微软雅黑"/>
          <w:color w:val="auto"/>
          <w:szCs w:val="21"/>
          <w:highlight w:val="none"/>
          <w:lang w:val="en-US" w:eastAsia="zh-CN"/>
        </w:rPr>
        <w:t>应</w:t>
      </w:r>
      <w:r>
        <w:rPr>
          <w:rFonts w:hint="eastAsia" w:ascii="微软雅黑" w:hAnsi="微软雅黑" w:eastAsia="微软雅黑" w:cs="微软雅黑"/>
          <w:color w:val="auto"/>
          <w:szCs w:val="21"/>
          <w:highlight w:val="none"/>
          <w:lang w:eastAsia="zh-CN"/>
        </w:rPr>
        <w:t>根据采购文件和投标（响应）文件规定进行</w:t>
      </w:r>
      <w:r>
        <w:rPr>
          <w:rFonts w:hint="eastAsia" w:ascii="微软雅黑" w:hAnsi="微软雅黑" w:eastAsia="微软雅黑" w:cs="微软雅黑"/>
          <w:color w:val="auto"/>
          <w:szCs w:val="21"/>
          <w:highlight w:val="none"/>
        </w:rPr>
        <w:t>合同分包。</w:t>
      </w:r>
    </w:p>
    <w:p w14:paraId="41F372C1">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.2 乙方执行政府采购政策向中小企业依法分包的</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乙方应当按采购文件</w:t>
      </w:r>
      <w:r>
        <w:rPr>
          <w:rFonts w:hint="eastAsia" w:ascii="微软雅黑" w:hAnsi="微软雅黑" w:eastAsia="微软雅黑" w:cs="微软雅黑"/>
          <w:color w:val="auto"/>
          <w:szCs w:val="21"/>
          <w:highlight w:val="none"/>
          <w:lang w:eastAsia="zh-CN"/>
        </w:rPr>
        <w:t>和</w:t>
      </w:r>
      <w:r>
        <w:rPr>
          <w:rFonts w:hint="eastAsia" w:ascii="微软雅黑" w:hAnsi="微软雅黑" w:eastAsia="微软雅黑" w:cs="微软雅黑"/>
          <w:color w:val="auto"/>
          <w:szCs w:val="21"/>
          <w:highlight w:val="none"/>
        </w:rPr>
        <w:t>投标（响应）文件签订分包</w:t>
      </w:r>
      <w:r>
        <w:rPr>
          <w:rFonts w:hint="eastAsia" w:ascii="微软雅黑" w:hAnsi="微软雅黑" w:eastAsia="微软雅黑" w:cs="微软雅黑"/>
          <w:color w:val="auto"/>
          <w:szCs w:val="21"/>
          <w:highlight w:val="none"/>
          <w:lang w:eastAsia="zh-CN"/>
        </w:rPr>
        <w:t>意向</w:t>
      </w:r>
      <w:r>
        <w:rPr>
          <w:rFonts w:hint="eastAsia" w:ascii="微软雅黑" w:hAnsi="微软雅黑" w:eastAsia="微软雅黑" w:cs="微软雅黑"/>
          <w:color w:val="auto"/>
          <w:szCs w:val="21"/>
          <w:highlight w:val="none"/>
        </w:rPr>
        <w:t>协议，分包</w:t>
      </w:r>
      <w:r>
        <w:rPr>
          <w:rFonts w:hint="eastAsia" w:ascii="微软雅黑" w:hAnsi="微软雅黑" w:eastAsia="微软雅黑" w:cs="微软雅黑"/>
          <w:color w:val="auto"/>
          <w:szCs w:val="21"/>
          <w:highlight w:val="none"/>
          <w:lang w:eastAsia="zh-CN"/>
        </w:rPr>
        <w:t>意向</w:t>
      </w:r>
      <w:r>
        <w:rPr>
          <w:rFonts w:hint="eastAsia" w:ascii="微软雅黑" w:hAnsi="微软雅黑" w:eastAsia="微软雅黑" w:cs="微软雅黑"/>
          <w:color w:val="auto"/>
          <w:szCs w:val="21"/>
          <w:highlight w:val="none"/>
        </w:rPr>
        <w:t>协议属于本合同组成部分。</w:t>
      </w:r>
    </w:p>
    <w:p w14:paraId="6C283053">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1</w:t>
      </w:r>
      <w:r>
        <w:rPr>
          <w:rFonts w:hint="eastAsia" w:ascii="微软雅黑" w:hAnsi="微软雅黑" w:eastAsia="微软雅黑" w:cs="微软雅黑"/>
          <w:b/>
          <w:bCs/>
          <w:color w:val="auto"/>
          <w:sz w:val="24"/>
          <w:highlight w:val="none"/>
          <w:lang w:val="en-US" w:eastAsia="zh-CN"/>
        </w:rPr>
        <w:t>8</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不可抗力</w:t>
      </w:r>
    </w:p>
    <w:p w14:paraId="5A0AD5F7">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1</w:t>
      </w:r>
      <w:r>
        <w:rPr>
          <w:rFonts w:hint="eastAsia" w:ascii="微软雅黑" w:hAnsi="微软雅黑" w:eastAsia="微软雅黑" w:cs="微软雅黑"/>
          <w:color w:val="auto"/>
          <w:szCs w:val="21"/>
          <w:highlight w:val="none"/>
          <w:lang w:val="en-US" w:eastAsia="zh-CN"/>
        </w:rPr>
        <w:t>8</w:t>
      </w:r>
      <w:r>
        <w:rPr>
          <w:rFonts w:hint="eastAsia" w:ascii="微软雅黑" w:hAnsi="微软雅黑" w:eastAsia="微软雅黑" w:cs="微软雅黑"/>
          <w:color w:val="auto"/>
          <w:szCs w:val="21"/>
          <w:highlight w:val="none"/>
        </w:rPr>
        <w:t>.1 不可抗力是指合同双方不能预见、不能避免且不能克服的客观情况。</w:t>
      </w:r>
    </w:p>
    <w:p w14:paraId="3F3C1932">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1</w:t>
      </w:r>
      <w:r>
        <w:rPr>
          <w:rFonts w:hint="eastAsia" w:ascii="微软雅黑" w:hAnsi="微软雅黑" w:eastAsia="微软雅黑" w:cs="微软雅黑"/>
          <w:color w:val="auto"/>
          <w:szCs w:val="21"/>
          <w:highlight w:val="none"/>
          <w:lang w:val="en-US" w:eastAsia="zh-CN"/>
        </w:rPr>
        <w:t>8</w:t>
      </w:r>
      <w:r>
        <w:rPr>
          <w:rFonts w:hint="eastAsia" w:ascii="微软雅黑" w:hAnsi="微软雅黑" w:eastAsia="微软雅黑" w:cs="微软雅黑"/>
          <w:color w:val="auto"/>
          <w:szCs w:val="21"/>
          <w:highlight w:val="none"/>
        </w:rPr>
        <w:t>.2 任何一方对由于不可抗力造成的部分或全部不能履行合同不承担违约责任。但迟延履行后发生不可抗力的，不能免除责任。</w:t>
      </w:r>
    </w:p>
    <w:p w14:paraId="75CEB1C5">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1</w:t>
      </w:r>
      <w:r>
        <w:rPr>
          <w:rFonts w:hint="eastAsia" w:ascii="微软雅黑" w:hAnsi="微软雅黑" w:eastAsia="微软雅黑" w:cs="微软雅黑"/>
          <w:color w:val="auto"/>
          <w:szCs w:val="21"/>
          <w:highlight w:val="none"/>
          <w:lang w:val="en-US" w:eastAsia="zh-CN"/>
        </w:rPr>
        <w:t>8</w:t>
      </w:r>
      <w:r>
        <w:rPr>
          <w:rFonts w:hint="eastAsia" w:ascii="微软雅黑" w:hAnsi="微软雅黑" w:eastAsia="微软雅黑" w:cs="微软雅黑"/>
          <w:color w:val="auto"/>
          <w:szCs w:val="21"/>
          <w:highlight w:val="none"/>
        </w:rPr>
        <w:t>.3 遇有不可抗力的一方，应及时将事件情况以书面形式</w:t>
      </w:r>
      <w:r>
        <w:rPr>
          <w:rFonts w:hint="eastAsia" w:ascii="微软雅黑" w:hAnsi="微软雅黑" w:eastAsia="微软雅黑" w:cs="微软雅黑"/>
          <w:color w:val="auto"/>
          <w:szCs w:val="21"/>
          <w:highlight w:val="none"/>
          <w:lang w:eastAsia="zh-CN"/>
        </w:rPr>
        <w:t>告</w:t>
      </w:r>
      <w:r>
        <w:rPr>
          <w:rFonts w:hint="eastAsia" w:ascii="微软雅黑" w:hAnsi="微软雅黑" w:eastAsia="微软雅黑" w:cs="微软雅黑"/>
          <w:color w:val="auto"/>
          <w:szCs w:val="21"/>
          <w:highlight w:val="none"/>
        </w:rPr>
        <w:t>知另一方，并在事件发生后及时向另一方提交合同不能履行或部分不能履行或需要延期履行</w:t>
      </w:r>
      <w:r>
        <w:rPr>
          <w:rFonts w:hint="eastAsia" w:ascii="微软雅黑" w:hAnsi="微软雅黑" w:eastAsia="微软雅黑" w:cs="微软雅黑"/>
          <w:color w:val="auto"/>
          <w:szCs w:val="21"/>
          <w:highlight w:val="none"/>
          <w:lang w:eastAsia="zh-CN"/>
        </w:rPr>
        <w:t>的详细</w:t>
      </w:r>
      <w:r>
        <w:rPr>
          <w:rFonts w:hint="eastAsia" w:ascii="微软雅黑" w:hAnsi="微软雅黑" w:eastAsia="微软雅黑" w:cs="微软雅黑"/>
          <w:color w:val="auto"/>
          <w:szCs w:val="21"/>
          <w:highlight w:val="none"/>
        </w:rPr>
        <w:t>报告</w:t>
      </w:r>
      <w:r>
        <w:rPr>
          <w:rFonts w:hint="eastAsia" w:ascii="微软雅黑" w:hAnsi="微软雅黑" w:eastAsia="微软雅黑" w:cs="微软雅黑"/>
          <w:color w:val="auto"/>
          <w:szCs w:val="21"/>
          <w:highlight w:val="none"/>
          <w:lang w:eastAsia="zh-CN"/>
        </w:rPr>
        <w:t>，以</w:t>
      </w:r>
      <w:r>
        <w:rPr>
          <w:rFonts w:hint="eastAsia" w:ascii="微软雅黑" w:hAnsi="微软雅黑" w:eastAsia="微软雅黑" w:cs="微软雅黑"/>
          <w:color w:val="auto"/>
          <w:szCs w:val="21"/>
          <w:highlight w:val="none"/>
          <w:lang w:val="en-US" w:eastAsia="zh-CN"/>
        </w:rPr>
        <w:t>及证明不可抗力发生及其持续时间的证据</w:t>
      </w:r>
      <w:r>
        <w:rPr>
          <w:rFonts w:hint="eastAsia" w:ascii="微软雅黑" w:hAnsi="微软雅黑" w:eastAsia="微软雅黑" w:cs="微软雅黑"/>
          <w:color w:val="auto"/>
          <w:szCs w:val="21"/>
          <w:highlight w:val="none"/>
        </w:rPr>
        <w:t>。</w:t>
      </w:r>
    </w:p>
    <w:p w14:paraId="5DDEC72B">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val="en-US" w:eastAsia="zh-CN"/>
        </w:rPr>
        <w:t>19</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解决争议的方法</w:t>
      </w:r>
    </w:p>
    <w:p w14:paraId="7C462793">
      <w:pPr>
        <w:pStyle w:val="114"/>
        <w:keepNext w:val="0"/>
        <w:keepLines w:val="0"/>
        <w:pageBreakBefore w:val="0"/>
        <w:kinsoku/>
        <w:wordWrap/>
        <w:overflowPunct/>
        <w:topLinePunct w:val="0"/>
        <w:bidi w:val="0"/>
        <w:spacing w:line="380" w:lineRule="exact"/>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lang w:val="en-US" w:eastAsia="zh-CN"/>
        </w:rPr>
        <w:t>19</w:t>
      </w:r>
      <w:r>
        <w:rPr>
          <w:rFonts w:hint="eastAsia" w:ascii="微软雅黑" w:hAnsi="微软雅黑" w:eastAsia="微软雅黑" w:cs="微软雅黑"/>
          <w:color w:val="auto"/>
          <w:sz w:val="21"/>
          <w:highlight w:val="none"/>
        </w:rPr>
        <w:t>.1 因本合同及合同有关事项发生的争议，由</w:t>
      </w:r>
      <w:r>
        <w:rPr>
          <w:rFonts w:hint="eastAsia" w:ascii="微软雅黑" w:hAnsi="微软雅黑" w:eastAsia="微软雅黑" w:cs="微软雅黑"/>
          <w:color w:val="auto"/>
          <w:sz w:val="21"/>
          <w:highlight w:val="none"/>
          <w:lang w:eastAsia="zh-CN"/>
        </w:rPr>
        <w:t>甲乙双</w:t>
      </w:r>
      <w:r>
        <w:rPr>
          <w:rFonts w:hint="eastAsia" w:ascii="微软雅黑" w:hAnsi="微软雅黑" w:eastAsia="微软雅黑" w:cs="微软雅黑"/>
          <w:color w:val="auto"/>
          <w:sz w:val="21"/>
          <w:highlight w:val="none"/>
        </w:rPr>
        <w:t>方友好协商解决。协商不成时，可以</w:t>
      </w:r>
      <w:r>
        <w:rPr>
          <w:rFonts w:hint="eastAsia" w:ascii="微软雅黑" w:hAnsi="微软雅黑" w:eastAsia="微软雅黑" w:cs="微软雅黑"/>
          <w:color w:val="auto"/>
          <w:sz w:val="21"/>
          <w:highlight w:val="none"/>
          <w:lang w:eastAsia="zh-CN"/>
        </w:rPr>
        <w:t>向有关组织申请</w:t>
      </w:r>
      <w:r>
        <w:rPr>
          <w:rFonts w:hint="eastAsia" w:ascii="微软雅黑" w:hAnsi="微软雅黑" w:eastAsia="微软雅黑" w:cs="微软雅黑"/>
          <w:color w:val="auto"/>
          <w:sz w:val="21"/>
          <w:highlight w:val="none"/>
        </w:rPr>
        <w:t>调解。合同一方或</w:t>
      </w:r>
      <w:r>
        <w:rPr>
          <w:rFonts w:hint="eastAsia" w:ascii="微软雅黑" w:hAnsi="微软雅黑" w:eastAsia="微软雅黑" w:cs="微软雅黑"/>
          <w:color w:val="auto"/>
          <w:sz w:val="21"/>
          <w:highlight w:val="none"/>
          <w:lang w:eastAsia="zh-CN"/>
        </w:rPr>
        <w:t>双</w:t>
      </w:r>
      <w:r>
        <w:rPr>
          <w:rFonts w:hint="eastAsia" w:ascii="微软雅黑" w:hAnsi="微软雅黑" w:eastAsia="微软雅黑" w:cs="微软雅黑"/>
          <w:color w:val="auto"/>
          <w:sz w:val="21"/>
          <w:highlight w:val="none"/>
        </w:rPr>
        <w:t>方不愿调解或调解不成的，可以通过仲裁或诉讼的方式解决争议。</w:t>
      </w:r>
    </w:p>
    <w:p w14:paraId="07D12301">
      <w:pPr>
        <w:pStyle w:val="114"/>
        <w:keepNext w:val="0"/>
        <w:keepLines w:val="0"/>
        <w:pageBreakBefore w:val="0"/>
        <w:kinsoku/>
        <w:wordWrap/>
        <w:overflowPunct/>
        <w:topLinePunct w:val="0"/>
        <w:bidi w:val="0"/>
        <w:spacing w:line="380" w:lineRule="exact"/>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lang w:val="en-US" w:eastAsia="zh-CN"/>
        </w:rPr>
        <w:t>19</w:t>
      </w:r>
      <w:r>
        <w:rPr>
          <w:rFonts w:hint="eastAsia" w:ascii="微软雅黑" w:hAnsi="微软雅黑" w:eastAsia="微软雅黑" w:cs="微软雅黑"/>
          <w:color w:val="auto"/>
          <w:sz w:val="21"/>
          <w:highlight w:val="none"/>
        </w:rPr>
        <w:t>.2 选择仲裁的，应在</w:t>
      </w:r>
      <w:r>
        <w:rPr>
          <w:rFonts w:hint="eastAsia" w:ascii="微软雅黑" w:hAnsi="微软雅黑" w:eastAsia="微软雅黑" w:cs="微软雅黑"/>
          <w:b/>
          <w:bCs/>
          <w:color w:val="auto"/>
          <w:sz w:val="21"/>
          <w:szCs w:val="21"/>
          <w:highlight w:val="none"/>
        </w:rPr>
        <w:t>【政府采购合同专用条款】</w:t>
      </w:r>
      <w:r>
        <w:rPr>
          <w:rFonts w:hint="eastAsia" w:ascii="微软雅黑" w:hAnsi="微软雅黑" w:eastAsia="微软雅黑" w:cs="微软雅黑"/>
          <w:color w:val="auto"/>
          <w:sz w:val="21"/>
          <w:highlight w:val="none"/>
        </w:rPr>
        <w:t>中明确仲裁机构及仲裁地；通过诉讼方式解决的，可以在</w:t>
      </w:r>
      <w:r>
        <w:rPr>
          <w:rFonts w:hint="eastAsia" w:ascii="微软雅黑" w:hAnsi="微软雅黑" w:eastAsia="微软雅黑" w:cs="微软雅黑"/>
          <w:b/>
          <w:bCs/>
          <w:color w:val="auto"/>
          <w:sz w:val="21"/>
          <w:szCs w:val="21"/>
          <w:highlight w:val="none"/>
        </w:rPr>
        <w:t>【政府采购合同专用条款】</w:t>
      </w:r>
      <w:r>
        <w:rPr>
          <w:rFonts w:hint="eastAsia" w:ascii="微软雅黑" w:hAnsi="微软雅黑" w:eastAsia="微软雅黑" w:cs="微软雅黑"/>
          <w:color w:val="auto"/>
          <w:sz w:val="21"/>
          <w:highlight w:val="none"/>
        </w:rPr>
        <w:t>中进一步约定选择与争议有实际联系的地点的人民法院管辖，但管辖法院的约定不得违反级别管辖和专属管辖的规定。</w:t>
      </w:r>
    </w:p>
    <w:p w14:paraId="5BD1FB84">
      <w:pPr>
        <w:pStyle w:val="114"/>
        <w:keepNext w:val="0"/>
        <w:keepLines w:val="0"/>
        <w:pageBreakBefore w:val="0"/>
        <w:kinsoku/>
        <w:wordWrap/>
        <w:overflowPunct/>
        <w:topLinePunct w:val="0"/>
        <w:bidi w:val="0"/>
        <w:spacing w:line="380" w:lineRule="exact"/>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lang w:val="en-US" w:eastAsia="zh-CN"/>
        </w:rPr>
        <w:t>19</w:t>
      </w:r>
      <w:r>
        <w:rPr>
          <w:rFonts w:hint="eastAsia" w:ascii="微软雅黑" w:hAnsi="微软雅黑" w:eastAsia="微软雅黑" w:cs="微软雅黑"/>
          <w:color w:val="auto"/>
          <w:sz w:val="21"/>
          <w:highlight w:val="none"/>
        </w:rPr>
        <w:t>.3 如</w:t>
      </w:r>
      <w:r>
        <w:rPr>
          <w:rFonts w:hint="eastAsia" w:ascii="微软雅黑" w:hAnsi="微软雅黑" w:eastAsia="微软雅黑" w:cs="微软雅黑"/>
          <w:color w:val="auto"/>
          <w:sz w:val="21"/>
          <w:highlight w:val="none"/>
          <w:lang w:eastAsia="zh-CN"/>
        </w:rPr>
        <w:t>甲乙双方</w:t>
      </w:r>
      <w:r>
        <w:rPr>
          <w:rFonts w:hint="eastAsia" w:ascii="微软雅黑" w:hAnsi="微软雅黑" w:eastAsia="微软雅黑" w:cs="微软雅黑"/>
          <w:color w:val="auto"/>
          <w:sz w:val="21"/>
          <w:highlight w:val="none"/>
        </w:rPr>
        <w:t>有争议的事项不影响合同其他部分的履行，在争议解决期间，合同其他部分应</w:t>
      </w:r>
      <w:r>
        <w:rPr>
          <w:rFonts w:hint="eastAsia" w:ascii="微软雅黑" w:hAnsi="微软雅黑" w:eastAsia="微软雅黑" w:cs="微软雅黑"/>
          <w:color w:val="auto"/>
          <w:sz w:val="21"/>
          <w:highlight w:val="none"/>
          <w:lang w:eastAsia="zh-CN"/>
        </w:rPr>
        <w:t>当</w:t>
      </w:r>
      <w:r>
        <w:rPr>
          <w:rFonts w:hint="eastAsia" w:ascii="微软雅黑" w:hAnsi="微软雅黑" w:eastAsia="微软雅黑" w:cs="微软雅黑"/>
          <w:color w:val="auto"/>
          <w:sz w:val="21"/>
          <w:highlight w:val="none"/>
        </w:rPr>
        <w:t>继续履行。</w:t>
      </w:r>
    </w:p>
    <w:p w14:paraId="6222CCBD">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b/>
          <w:color w:val="auto"/>
          <w:sz w:val="24"/>
          <w:highlight w:val="none"/>
          <w:lang w:val="en-US" w:eastAsia="zh-CN"/>
        </w:rPr>
        <w:t>20</w:t>
      </w:r>
      <w:r>
        <w:rPr>
          <w:rFonts w:hint="eastAsia" w:ascii="微软雅黑" w:hAnsi="微软雅黑" w:eastAsia="微软雅黑" w:cs="微软雅黑"/>
          <w:b/>
          <w:color w:val="auto"/>
          <w:sz w:val="24"/>
          <w:highlight w:val="none"/>
        </w:rPr>
        <w:t>.</w:t>
      </w:r>
      <w:r>
        <w:rPr>
          <w:rFonts w:hint="eastAsia" w:ascii="微软雅黑" w:hAnsi="微软雅黑" w:eastAsia="微软雅黑" w:cs="微软雅黑"/>
          <w:b/>
          <w:color w:val="auto"/>
          <w:sz w:val="24"/>
          <w:highlight w:val="none"/>
          <w:lang w:val="en-US" w:eastAsia="zh-CN"/>
        </w:rPr>
        <w:t xml:space="preserve"> </w:t>
      </w:r>
      <w:r>
        <w:rPr>
          <w:rFonts w:hint="eastAsia" w:ascii="微软雅黑" w:hAnsi="微软雅黑" w:eastAsia="微软雅黑" w:cs="微软雅黑"/>
          <w:b/>
          <w:color w:val="auto"/>
          <w:sz w:val="24"/>
          <w:highlight w:val="none"/>
        </w:rPr>
        <w:t>政府采购政策</w:t>
      </w:r>
    </w:p>
    <w:p w14:paraId="1BB51092">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 xml:space="preserve">20.1 </w:t>
      </w:r>
      <w:r>
        <w:rPr>
          <w:rFonts w:hint="eastAsia" w:ascii="微软雅黑" w:hAnsi="微软雅黑" w:eastAsia="微软雅黑" w:cs="微软雅黑"/>
          <w:color w:val="auto"/>
          <w:highlight w:val="none"/>
          <w:lang w:val="en-GB"/>
        </w:rPr>
        <w:t>本合同应当按照规定执行政府采购政策。</w:t>
      </w:r>
    </w:p>
    <w:p w14:paraId="18FED14F">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0</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 xml:space="preserve"> 本合同依法执行政府采购政策的方式和内容，属于合同履约验收的范围。</w:t>
      </w:r>
      <w:r>
        <w:rPr>
          <w:rFonts w:hint="eastAsia" w:ascii="微软雅黑" w:hAnsi="微软雅黑" w:eastAsia="微软雅黑" w:cs="微软雅黑"/>
          <w:color w:val="auto"/>
          <w:sz w:val="21"/>
          <w:highlight w:val="none"/>
          <w:lang w:eastAsia="zh-CN"/>
        </w:rPr>
        <w:t>甲乙双方</w:t>
      </w:r>
      <w:r>
        <w:rPr>
          <w:rFonts w:hint="eastAsia" w:ascii="微软雅黑" w:hAnsi="微软雅黑" w:eastAsia="微软雅黑" w:cs="微软雅黑"/>
          <w:color w:val="auto"/>
          <w:highlight w:val="none"/>
          <w:lang w:val="en-GB"/>
        </w:rPr>
        <w:t>未按规定要求执行政府采购政策造成损失的</w:t>
      </w:r>
      <w:r>
        <w:rPr>
          <w:rFonts w:hint="eastAsia" w:ascii="微软雅黑" w:hAnsi="微软雅黑" w:eastAsia="微软雅黑" w:cs="微软雅黑"/>
          <w:color w:val="auto"/>
          <w:szCs w:val="21"/>
          <w:highlight w:val="none"/>
        </w:rPr>
        <w:t>，有过错的一方应当承担赔偿责任，双方都有过错的，各自承担相应的责任。</w:t>
      </w:r>
    </w:p>
    <w:p w14:paraId="4049F71C">
      <w:pPr>
        <w:pStyle w:val="11"/>
        <w:keepNext w:val="0"/>
        <w:keepLines w:val="0"/>
        <w:pageBreakBefore w:val="0"/>
        <w:kinsoku/>
        <w:wordWrap/>
        <w:overflowPunct/>
        <w:topLinePunct w:val="0"/>
        <w:bidi w:val="0"/>
        <w:spacing w:after="0" w:line="380" w:lineRule="exact"/>
        <w:ind w:firstLine="480" w:firstLineChars="200"/>
        <w:textAlignment w:val="auto"/>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0</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 xml:space="preserve"> 对于</w:t>
      </w:r>
      <w:r>
        <w:rPr>
          <w:rFonts w:hint="eastAsia" w:ascii="微软雅黑" w:hAnsi="微软雅黑" w:eastAsia="微软雅黑" w:cs="微软雅黑"/>
          <w:color w:val="auto"/>
          <w:szCs w:val="21"/>
          <w:highlight w:val="none"/>
          <w:lang w:eastAsia="zh-CN"/>
        </w:rPr>
        <w:t>为落实中小企业支持政策，</w:t>
      </w:r>
      <w:r>
        <w:rPr>
          <w:rFonts w:hint="eastAsia" w:ascii="微软雅黑" w:hAnsi="微软雅黑" w:eastAsia="微软雅黑" w:cs="微软雅黑"/>
          <w:color w:val="auto"/>
          <w:szCs w:val="21"/>
          <w:highlight w:val="none"/>
        </w:rPr>
        <w:t>通过采购项目</w:t>
      </w:r>
      <w:r>
        <w:rPr>
          <w:rFonts w:hint="eastAsia" w:ascii="微软雅黑" w:hAnsi="微软雅黑" w:eastAsia="微软雅黑" w:cs="微软雅黑"/>
          <w:color w:val="auto"/>
          <w:szCs w:val="21"/>
          <w:highlight w:val="none"/>
          <w:lang w:eastAsia="zh-CN"/>
        </w:rPr>
        <w:t>整体</w:t>
      </w:r>
      <w:r>
        <w:rPr>
          <w:rFonts w:hint="eastAsia" w:ascii="微软雅黑" w:hAnsi="微软雅黑" w:eastAsia="微软雅黑" w:cs="微软雅黑"/>
          <w:color w:val="auto"/>
          <w:szCs w:val="21"/>
          <w:highlight w:val="none"/>
        </w:rPr>
        <w:t>预留、</w:t>
      </w:r>
      <w:r>
        <w:rPr>
          <w:rFonts w:hint="eastAsia" w:ascii="微软雅黑" w:hAnsi="微软雅黑" w:eastAsia="微软雅黑" w:cs="微软雅黑"/>
          <w:color w:val="auto"/>
          <w:szCs w:val="21"/>
          <w:highlight w:val="none"/>
          <w:lang w:eastAsia="zh-CN"/>
        </w:rPr>
        <w:t>设置</w:t>
      </w:r>
      <w:r>
        <w:rPr>
          <w:rFonts w:hint="eastAsia" w:ascii="微软雅黑" w:hAnsi="微软雅黑" w:eastAsia="微软雅黑" w:cs="微软雅黑"/>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8C759FA">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2</w:t>
      </w:r>
      <w:r>
        <w:rPr>
          <w:rFonts w:hint="eastAsia" w:ascii="微软雅黑" w:hAnsi="微软雅黑" w:eastAsia="微软雅黑" w:cs="微软雅黑"/>
          <w:b/>
          <w:color w:val="auto"/>
          <w:sz w:val="24"/>
          <w:highlight w:val="none"/>
          <w:lang w:val="en-US" w:eastAsia="zh-CN"/>
        </w:rPr>
        <w:t>1</w:t>
      </w:r>
      <w:r>
        <w:rPr>
          <w:rFonts w:hint="eastAsia" w:ascii="微软雅黑" w:hAnsi="微软雅黑" w:eastAsia="微软雅黑" w:cs="微软雅黑"/>
          <w:b/>
          <w:color w:val="auto"/>
          <w:sz w:val="24"/>
          <w:highlight w:val="none"/>
        </w:rPr>
        <w:t>.</w:t>
      </w:r>
      <w:r>
        <w:rPr>
          <w:rFonts w:hint="eastAsia" w:ascii="微软雅黑" w:hAnsi="微软雅黑" w:eastAsia="微软雅黑" w:cs="微软雅黑"/>
          <w:b/>
          <w:color w:val="auto"/>
          <w:sz w:val="24"/>
          <w:highlight w:val="none"/>
          <w:lang w:val="en-US" w:eastAsia="zh-CN"/>
        </w:rPr>
        <w:t xml:space="preserve"> </w:t>
      </w:r>
      <w:r>
        <w:rPr>
          <w:rFonts w:hint="eastAsia" w:ascii="微软雅黑" w:hAnsi="微软雅黑" w:eastAsia="微软雅黑" w:cs="微软雅黑"/>
          <w:b/>
          <w:color w:val="auto"/>
          <w:sz w:val="24"/>
          <w:highlight w:val="none"/>
        </w:rPr>
        <w:t>法律适用</w:t>
      </w:r>
    </w:p>
    <w:p w14:paraId="0BF71F97">
      <w:pPr>
        <w:pStyle w:val="114"/>
        <w:keepNext w:val="0"/>
        <w:keepLines w:val="0"/>
        <w:pageBreakBefore w:val="0"/>
        <w:kinsoku/>
        <w:wordWrap/>
        <w:overflowPunct/>
        <w:topLinePunct w:val="0"/>
        <w:bidi w:val="0"/>
        <w:spacing w:line="380" w:lineRule="exact"/>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rPr>
        <w:t>2</w:t>
      </w:r>
      <w:r>
        <w:rPr>
          <w:rFonts w:hint="eastAsia" w:ascii="微软雅黑" w:hAnsi="微软雅黑" w:eastAsia="微软雅黑" w:cs="微软雅黑"/>
          <w:color w:val="auto"/>
          <w:sz w:val="21"/>
          <w:highlight w:val="none"/>
          <w:lang w:val="en-US" w:eastAsia="zh-CN"/>
        </w:rPr>
        <w:t>1</w:t>
      </w:r>
      <w:r>
        <w:rPr>
          <w:rFonts w:hint="eastAsia" w:ascii="微软雅黑" w:hAnsi="微软雅黑" w:eastAsia="微软雅黑" w:cs="微软雅黑"/>
          <w:color w:val="auto"/>
          <w:sz w:val="21"/>
          <w:highlight w:val="none"/>
        </w:rPr>
        <w:t>.1 本合同的订立、生效、解释、履行及与本合同有关的争议解决，均适用法律、行政法规。</w:t>
      </w:r>
    </w:p>
    <w:p w14:paraId="5671B197">
      <w:pPr>
        <w:pStyle w:val="114"/>
        <w:keepNext w:val="0"/>
        <w:keepLines w:val="0"/>
        <w:pageBreakBefore w:val="0"/>
        <w:kinsoku/>
        <w:wordWrap/>
        <w:overflowPunct/>
        <w:topLinePunct w:val="0"/>
        <w:bidi w:val="0"/>
        <w:spacing w:line="380" w:lineRule="exact"/>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rPr>
        <w:t>2</w:t>
      </w:r>
      <w:r>
        <w:rPr>
          <w:rFonts w:hint="eastAsia" w:ascii="微软雅黑" w:hAnsi="微软雅黑" w:eastAsia="微软雅黑" w:cs="微软雅黑"/>
          <w:color w:val="auto"/>
          <w:sz w:val="21"/>
          <w:highlight w:val="none"/>
          <w:lang w:val="en-US" w:eastAsia="zh-CN"/>
        </w:rPr>
        <w:t>1</w:t>
      </w:r>
      <w:r>
        <w:rPr>
          <w:rFonts w:hint="eastAsia" w:ascii="微软雅黑" w:hAnsi="微软雅黑" w:eastAsia="微软雅黑" w:cs="微软雅黑"/>
          <w:color w:val="auto"/>
          <w:sz w:val="21"/>
          <w:highlight w:val="none"/>
        </w:rPr>
        <w:t>.2 本合同条款与法律、行政法规的强制性规定不一致的，双方当事人应按照法律、行政法规的强制性规定修改本合同的相关条款。</w:t>
      </w:r>
    </w:p>
    <w:p w14:paraId="359104E0">
      <w:pPr>
        <w:keepNext w:val="0"/>
        <w:keepLines w:val="0"/>
        <w:pageBreakBefore w:val="0"/>
        <w:numPr>
          <w:ilvl w:val="-1"/>
          <w:numId w:val="0"/>
        </w:numPr>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lang w:val="en-US" w:eastAsia="zh-CN"/>
        </w:rPr>
        <w:t xml:space="preserve">22. </w:t>
      </w:r>
      <w:r>
        <w:rPr>
          <w:rFonts w:hint="eastAsia" w:ascii="微软雅黑" w:hAnsi="微软雅黑" w:eastAsia="微软雅黑" w:cs="微软雅黑"/>
          <w:b/>
          <w:color w:val="auto"/>
          <w:sz w:val="24"/>
          <w:highlight w:val="none"/>
        </w:rPr>
        <w:t>通知</w:t>
      </w:r>
    </w:p>
    <w:p w14:paraId="6F900A99">
      <w:pPr>
        <w:pStyle w:val="114"/>
        <w:keepNext w:val="0"/>
        <w:keepLines w:val="0"/>
        <w:pageBreakBefore w:val="0"/>
        <w:kinsoku/>
        <w:wordWrap/>
        <w:overflowPunct/>
        <w:topLinePunct w:val="0"/>
        <w:bidi w:val="0"/>
        <w:spacing w:line="380" w:lineRule="exact"/>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rPr>
        <w:t>2</w:t>
      </w:r>
      <w:r>
        <w:rPr>
          <w:rFonts w:hint="eastAsia" w:ascii="微软雅黑" w:hAnsi="微软雅黑" w:eastAsia="微软雅黑" w:cs="微软雅黑"/>
          <w:color w:val="auto"/>
          <w:sz w:val="21"/>
          <w:highlight w:val="none"/>
          <w:lang w:val="en-US" w:eastAsia="zh-CN"/>
        </w:rPr>
        <w:t>2</w:t>
      </w:r>
      <w:r>
        <w:rPr>
          <w:rFonts w:hint="eastAsia" w:ascii="微软雅黑" w:hAnsi="微软雅黑" w:eastAsia="微软雅黑" w:cs="微软雅黑"/>
          <w:color w:val="auto"/>
          <w:sz w:val="21"/>
          <w:highlight w:val="none"/>
        </w:rPr>
        <w:t>.1</w:t>
      </w:r>
      <w:r>
        <w:rPr>
          <w:rFonts w:hint="eastAsia" w:ascii="微软雅黑" w:hAnsi="微软雅黑" w:eastAsia="微软雅黑" w:cs="微软雅黑"/>
          <w:color w:val="auto"/>
          <w:sz w:val="21"/>
          <w:highlight w:val="none"/>
          <w:lang w:val="en-US" w:eastAsia="zh-CN"/>
        </w:rPr>
        <w:t xml:space="preserve"> </w:t>
      </w:r>
      <w:r>
        <w:rPr>
          <w:rFonts w:hint="eastAsia" w:ascii="微软雅黑" w:hAnsi="微软雅黑" w:eastAsia="微软雅黑" w:cs="微软雅黑"/>
          <w:color w:val="auto"/>
          <w:sz w:val="21"/>
          <w:highlight w:val="none"/>
        </w:rPr>
        <w:t>本合同任何一方向对方发出的通知、信件、数据电文等，应当发送至本合同第一部分《政府采购合同协议书》所约定的通讯地址、联系人、联系电话或电子邮箱。</w:t>
      </w:r>
    </w:p>
    <w:p w14:paraId="722BFA31">
      <w:pPr>
        <w:pStyle w:val="114"/>
        <w:keepNext w:val="0"/>
        <w:keepLines w:val="0"/>
        <w:pageBreakBefore w:val="0"/>
        <w:kinsoku/>
        <w:wordWrap/>
        <w:overflowPunct/>
        <w:topLinePunct w:val="0"/>
        <w:bidi w:val="0"/>
        <w:spacing w:line="380" w:lineRule="exact"/>
        <w:ind w:firstLine="0" w:firstLineChars="0"/>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lang w:val="en-US" w:eastAsia="zh-CN"/>
        </w:rPr>
        <w:t xml:space="preserve">    </w:t>
      </w:r>
      <w:r>
        <w:rPr>
          <w:rFonts w:hint="eastAsia" w:ascii="微软雅黑" w:hAnsi="微软雅黑" w:eastAsia="微软雅黑" w:cs="微软雅黑"/>
          <w:color w:val="auto"/>
          <w:sz w:val="21"/>
          <w:highlight w:val="none"/>
        </w:rPr>
        <w:t>2</w:t>
      </w:r>
      <w:r>
        <w:rPr>
          <w:rFonts w:hint="eastAsia" w:ascii="微软雅黑" w:hAnsi="微软雅黑" w:eastAsia="微软雅黑" w:cs="微软雅黑"/>
          <w:color w:val="auto"/>
          <w:sz w:val="21"/>
          <w:highlight w:val="none"/>
          <w:lang w:val="en-US" w:eastAsia="zh-CN"/>
        </w:rPr>
        <w:t>2</w:t>
      </w:r>
      <w:r>
        <w:rPr>
          <w:rFonts w:hint="eastAsia" w:ascii="微软雅黑" w:hAnsi="微软雅黑" w:eastAsia="微软雅黑" w:cs="微软雅黑"/>
          <w:color w:val="auto"/>
          <w:sz w:val="21"/>
          <w:highlight w:val="none"/>
        </w:rPr>
        <w:t>.2</w:t>
      </w:r>
      <w:r>
        <w:rPr>
          <w:rFonts w:hint="eastAsia" w:ascii="微软雅黑" w:hAnsi="微软雅黑" w:eastAsia="微软雅黑" w:cs="微软雅黑"/>
          <w:color w:val="auto"/>
          <w:sz w:val="21"/>
          <w:highlight w:val="none"/>
          <w:lang w:val="en-US" w:eastAsia="zh-CN"/>
        </w:rPr>
        <w:t xml:space="preserve"> </w:t>
      </w:r>
      <w:r>
        <w:rPr>
          <w:rFonts w:hint="eastAsia" w:ascii="微软雅黑" w:hAnsi="微软雅黑" w:eastAsia="微软雅黑" w:cs="微软雅黑"/>
          <w:color w:val="auto"/>
          <w:sz w:val="21"/>
          <w:highlight w:val="none"/>
        </w:rPr>
        <w:t>一方当事人变更名称、</w:t>
      </w:r>
      <w:r>
        <w:rPr>
          <w:rFonts w:hint="eastAsia" w:ascii="微软雅黑" w:hAnsi="微软雅黑" w:eastAsia="微软雅黑" w:cs="微软雅黑"/>
          <w:color w:val="auto"/>
          <w:sz w:val="21"/>
          <w:highlight w:val="none"/>
          <w:lang w:eastAsia="zh-CN"/>
        </w:rPr>
        <w:t>住所</w:t>
      </w:r>
      <w:r>
        <w:rPr>
          <w:rFonts w:hint="eastAsia" w:ascii="微软雅黑" w:hAnsi="微软雅黑" w:eastAsia="微软雅黑" w:cs="微软雅黑"/>
          <w:color w:val="auto"/>
          <w:sz w:val="21"/>
          <w:highlight w:val="none"/>
        </w:rPr>
        <w:t>、联系人、联系电话或电子邮箱</w:t>
      </w:r>
      <w:r>
        <w:rPr>
          <w:rFonts w:hint="eastAsia" w:ascii="微软雅黑" w:hAnsi="微软雅黑" w:eastAsia="微软雅黑" w:cs="微软雅黑"/>
          <w:color w:val="auto"/>
          <w:sz w:val="21"/>
          <w:highlight w:val="none"/>
          <w:lang w:eastAsia="zh-CN"/>
        </w:rPr>
        <w:t>等信息</w:t>
      </w:r>
      <w:r>
        <w:rPr>
          <w:rFonts w:hint="eastAsia" w:ascii="微软雅黑" w:hAnsi="微软雅黑" w:eastAsia="微软雅黑" w:cs="微软雅黑"/>
          <w:color w:val="auto"/>
          <w:sz w:val="21"/>
          <w:highlight w:val="none"/>
        </w:rPr>
        <w:t>的，应当在变更后3日内及时书面通知对方，对方实际收到变更通知前的送达仍为有效送达。</w:t>
      </w:r>
    </w:p>
    <w:p w14:paraId="48BD84B6">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本合同一方给另一方的通知均应采用书面形式，传真或快递</w:t>
      </w:r>
      <w:r>
        <w:rPr>
          <w:rFonts w:hint="eastAsia" w:ascii="微软雅黑" w:hAnsi="微软雅黑" w:eastAsia="微软雅黑" w:cs="微软雅黑"/>
          <w:color w:val="auto"/>
          <w:szCs w:val="21"/>
          <w:highlight w:val="none"/>
          <w:lang w:eastAsia="zh-CN"/>
        </w:rPr>
        <w:t>送达</w:t>
      </w:r>
      <w:r>
        <w:rPr>
          <w:rFonts w:hint="eastAsia" w:ascii="微软雅黑" w:hAnsi="微软雅黑" w:eastAsia="微软雅黑" w:cs="微软雅黑"/>
          <w:color w:val="auto"/>
          <w:szCs w:val="21"/>
          <w:highlight w:val="none"/>
        </w:rPr>
        <w:t>本合同中规定的对方的地址和办理签收手续。</w:t>
      </w:r>
    </w:p>
    <w:p w14:paraId="7D54C3D8">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通知以送达之日或通知书中规定的生效之日起生效，两者中以较迟之日为准。</w:t>
      </w:r>
    </w:p>
    <w:p w14:paraId="6F6E90D0">
      <w:pPr>
        <w:keepNext w:val="0"/>
        <w:keepLines w:val="0"/>
        <w:pageBreakBefore w:val="0"/>
        <w:numPr>
          <w:ilvl w:val="0"/>
          <w:numId w:val="19"/>
        </w:numPr>
        <w:kinsoku/>
        <w:wordWrap/>
        <w:overflowPunct/>
        <w:topLinePunct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合同未尽事项</w:t>
      </w:r>
    </w:p>
    <w:p w14:paraId="7539FD6A">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2</w:t>
      </w:r>
      <w:r>
        <w:rPr>
          <w:rFonts w:hint="eastAsia" w:ascii="微软雅黑" w:hAnsi="微软雅黑" w:eastAsia="微软雅黑" w:cs="微软雅黑"/>
          <w:bCs/>
          <w:color w:val="auto"/>
          <w:szCs w:val="21"/>
          <w:highlight w:val="none"/>
          <w:lang w:val="en-US" w:eastAsia="zh-CN"/>
        </w:rPr>
        <w:t>3</w:t>
      </w:r>
      <w:r>
        <w:rPr>
          <w:rFonts w:hint="eastAsia" w:ascii="微软雅黑" w:hAnsi="微软雅黑" w:eastAsia="微软雅黑" w:cs="微软雅黑"/>
          <w:bCs/>
          <w:color w:val="auto"/>
          <w:szCs w:val="21"/>
          <w:highlight w:val="none"/>
        </w:rPr>
        <w:t>.1合同未尽事项见</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bCs/>
          <w:color w:val="auto"/>
          <w:szCs w:val="21"/>
          <w:highlight w:val="none"/>
        </w:rPr>
        <w:t>。</w:t>
      </w:r>
    </w:p>
    <w:p w14:paraId="61C540B7">
      <w:pPr>
        <w:keepNext w:val="0"/>
        <w:keepLines w:val="0"/>
        <w:pageBreakBefore w:val="0"/>
        <w:kinsoku/>
        <w:wordWrap/>
        <w:overflowPunct/>
        <w:topLinePunct w:val="0"/>
        <w:bidi w:val="0"/>
        <w:adjustRightInd w:val="0"/>
        <w:snapToGrid w:val="0"/>
        <w:spacing w:line="380" w:lineRule="exact"/>
        <w:ind w:firstLine="0" w:firstLineChars="0"/>
        <w:jc w:val="left"/>
        <w:textAlignment w:val="auto"/>
        <w:outlineLvl w:val="9"/>
        <w:rPr>
          <w:rFonts w:hint="eastAsia" w:ascii="微软雅黑" w:hAnsi="微软雅黑" w:eastAsia="微软雅黑" w:cs="微软雅黑"/>
          <w:b w:val="0"/>
          <w:bCs w:val="0"/>
          <w:color w:val="auto"/>
          <w:sz w:val="28"/>
          <w:szCs w:val="28"/>
          <w:highlight w:val="none"/>
        </w:rPr>
      </w:pPr>
      <w:r>
        <w:rPr>
          <w:rFonts w:hint="eastAsia" w:ascii="微软雅黑" w:hAnsi="微软雅黑" w:eastAsia="微软雅黑" w:cs="微软雅黑"/>
          <w:bCs/>
          <w:color w:val="auto"/>
          <w:szCs w:val="21"/>
          <w:highlight w:val="none"/>
          <w:lang w:val="en-US" w:eastAsia="zh-CN"/>
        </w:rPr>
        <w:t xml:space="preserve">    23.2 合同附件与合同正文具有同等的法律效力。</w:t>
      </w:r>
      <w:bookmarkStart w:id="870" w:name="_Toc20313"/>
      <w:r>
        <w:rPr>
          <w:rFonts w:hint="eastAsia" w:ascii="微软雅黑" w:hAnsi="微软雅黑" w:eastAsia="微软雅黑" w:cs="微软雅黑"/>
          <w:b w:val="0"/>
          <w:bCs w:val="0"/>
          <w:color w:val="auto"/>
          <w:sz w:val="28"/>
          <w:szCs w:val="28"/>
          <w:highlight w:val="none"/>
        </w:rPr>
        <w:br w:type="page"/>
      </w:r>
    </w:p>
    <w:p w14:paraId="70188886">
      <w:pPr>
        <w:adjustRightInd w:val="0"/>
        <w:snapToGrid w:val="0"/>
        <w:jc w:val="center"/>
        <w:outlineLvl w:val="9"/>
        <w:rPr>
          <w:rFonts w:hint="eastAsia" w:ascii="微软雅黑" w:hAnsi="微软雅黑" w:eastAsia="微软雅黑" w:cs="微软雅黑"/>
          <w:b w:val="0"/>
          <w:bCs w:val="0"/>
          <w:color w:val="auto"/>
          <w:sz w:val="28"/>
          <w:szCs w:val="28"/>
          <w:highlight w:val="none"/>
        </w:rPr>
      </w:pPr>
      <w:r>
        <w:rPr>
          <w:rFonts w:hint="eastAsia" w:ascii="微软雅黑" w:hAnsi="微软雅黑" w:eastAsia="微软雅黑" w:cs="微软雅黑"/>
          <w:b w:val="0"/>
          <w:bCs w:val="0"/>
          <w:color w:val="auto"/>
          <w:sz w:val="28"/>
          <w:szCs w:val="28"/>
          <w:highlight w:val="none"/>
        </w:rPr>
        <w:t>第三节 政府采购合同专用条款</w:t>
      </w:r>
      <w:bookmarkEnd w:id="870"/>
    </w:p>
    <w:tbl>
      <w:tblPr>
        <w:tblStyle w:val="3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0AD17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914019">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25254A6E">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第1.2（</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）项</w:t>
            </w:r>
          </w:p>
        </w:tc>
        <w:tc>
          <w:tcPr>
            <w:tcW w:w="1742" w:type="dxa"/>
            <w:vAlign w:val="center"/>
          </w:tcPr>
          <w:p w14:paraId="147C2A98">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联合体具体要求</w:t>
            </w:r>
          </w:p>
        </w:tc>
        <w:tc>
          <w:tcPr>
            <w:tcW w:w="5170" w:type="dxa"/>
            <w:vAlign w:val="center"/>
          </w:tcPr>
          <w:p w14:paraId="3B7A0247">
            <w:pPr>
              <w:adjustRightInd w:val="0"/>
              <w:snapToGrid w:val="0"/>
              <w:jc w:val="left"/>
              <w:outlineLvl w:val="9"/>
              <w:rPr>
                <w:rFonts w:hint="eastAsia" w:ascii="微软雅黑" w:hAnsi="微软雅黑" w:eastAsia="微软雅黑" w:cs="微软雅黑"/>
                <w:color w:val="auto"/>
                <w:szCs w:val="21"/>
                <w:highlight w:val="none"/>
              </w:rPr>
            </w:pPr>
          </w:p>
        </w:tc>
      </w:tr>
      <w:tr w14:paraId="042ED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89B4616">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66E0F931">
            <w:pPr>
              <w:adjustRightInd w:val="0"/>
              <w:snapToGrid w:val="0"/>
              <w:jc w:val="center"/>
              <w:outlineLvl w:val="9"/>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rPr>
              <w:t>第1.2（</w:t>
            </w: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）项</w:t>
            </w:r>
          </w:p>
        </w:tc>
        <w:tc>
          <w:tcPr>
            <w:tcW w:w="1742" w:type="dxa"/>
            <w:vAlign w:val="center"/>
          </w:tcPr>
          <w:p w14:paraId="104F3BBE">
            <w:pPr>
              <w:adjustRightInd w:val="0"/>
              <w:snapToGrid w:val="0"/>
              <w:jc w:val="left"/>
              <w:outlineLvl w:val="9"/>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rPr>
              <w:t>其他术语解释</w:t>
            </w:r>
          </w:p>
        </w:tc>
        <w:tc>
          <w:tcPr>
            <w:tcW w:w="5170" w:type="dxa"/>
            <w:vAlign w:val="center"/>
          </w:tcPr>
          <w:p w14:paraId="3960E5D8">
            <w:pPr>
              <w:adjustRightInd w:val="0"/>
              <w:snapToGrid w:val="0"/>
              <w:jc w:val="left"/>
              <w:outlineLvl w:val="9"/>
              <w:rPr>
                <w:rFonts w:hint="eastAsia" w:ascii="微软雅黑" w:hAnsi="微软雅黑" w:eastAsia="微软雅黑" w:cs="微软雅黑"/>
                <w:color w:val="auto"/>
                <w:kern w:val="2"/>
                <w:sz w:val="21"/>
                <w:szCs w:val="21"/>
                <w:highlight w:val="none"/>
                <w:lang w:val="en-US" w:eastAsia="zh-CN" w:bidi="ar-SA"/>
              </w:rPr>
            </w:pPr>
          </w:p>
        </w:tc>
      </w:tr>
      <w:tr w14:paraId="3B5674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7008C4">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2026066A">
            <w:pPr>
              <w:adjustRightInd w:val="0"/>
              <w:snapToGrid w:val="0"/>
              <w:jc w:val="center"/>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eastAsia="zh-CN"/>
              </w:rPr>
              <w:t>第</w:t>
            </w:r>
            <w:r>
              <w:rPr>
                <w:rFonts w:hint="eastAsia" w:ascii="微软雅黑" w:hAnsi="微软雅黑" w:eastAsia="微软雅黑" w:cs="微软雅黑"/>
                <w:color w:val="auto"/>
                <w:szCs w:val="21"/>
                <w:highlight w:val="none"/>
                <w:lang w:val="en-US" w:eastAsia="zh-CN"/>
              </w:rPr>
              <w:t>4.4款</w:t>
            </w:r>
          </w:p>
        </w:tc>
        <w:tc>
          <w:tcPr>
            <w:tcW w:w="1742" w:type="dxa"/>
            <w:vAlign w:val="center"/>
          </w:tcPr>
          <w:p w14:paraId="1DD13952">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履约验收中甲方提出异议或作出说明的期限</w:t>
            </w:r>
          </w:p>
        </w:tc>
        <w:tc>
          <w:tcPr>
            <w:tcW w:w="5170" w:type="dxa"/>
            <w:vAlign w:val="center"/>
          </w:tcPr>
          <w:p w14:paraId="324D5ED2">
            <w:pPr>
              <w:adjustRightInd w:val="0"/>
              <w:snapToGrid w:val="0"/>
              <w:jc w:val="left"/>
              <w:outlineLvl w:val="9"/>
              <w:rPr>
                <w:rFonts w:hint="eastAsia" w:ascii="微软雅黑" w:hAnsi="微软雅黑" w:eastAsia="微软雅黑" w:cs="微软雅黑"/>
                <w:color w:val="auto"/>
                <w:kern w:val="2"/>
                <w:sz w:val="21"/>
                <w:szCs w:val="21"/>
                <w:highlight w:val="none"/>
                <w:lang w:val="en-US" w:eastAsia="zh-CN" w:bidi="ar-SA"/>
              </w:rPr>
            </w:pPr>
          </w:p>
        </w:tc>
      </w:tr>
      <w:tr w14:paraId="0A5C0C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20517A">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0B27E52F">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第</w:t>
            </w:r>
            <w:r>
              <w:rPr>
                <w:rFonts w:hint="eastAsia" w:ascii="微软雅黑" w:hAnsi="微软雅黑" w:eastAsia="微软雅黑" w:cs="微软雅黑"/>
                <w:color w:val="auto"/>
                <w:szCs w:val="21"/>
                <w:highlight w:val="none"/>
                <w:lang w:val="en-US" w:eastAsia="zh-CN"/>
              </w:rPr>
              <w:t>4.6款</w:t>
            </w:r>
          </w:p>
        </w:tc>
        <w:tc>
          <w:tcPr>
            <w:tcW w:w="1742" w:type="dxa"/>
            <w:vAlign w:val="center"/>
          </w:tcPr>
          <w:p w14:paraId="73EDA71B">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约定甲方承担的其他义务和责任</w:t>
            </w:r>
          </w:p>
        </w:tc>
        <w:tc>
          <w:tcPr>
            <w:tcW w:w="5170" w:type="dxa"/>
            <w:vAlign w:val="center"/>
          </w:tcPr>
          <w:p w14:paraId="2496E87C">
            <w:pPr>
              <w:adjustRightInd w:val="0"/>
              <w:snapToGrid w:val="0"/>
              <w:jc w:val="left"/>
              <w:outlineLvl w:val="9"/>
              <w:rPr>
                <w:rFonts w:hint="eastAsia" w:ascii="微软雅黑" w:hAnsi="微软雅黑" w:eastAsia="微软雅黑" w:cs="微软雅黑"/>
                <w:color w:val="auto"/>
                <w:kern w:val="2"/>
                <w:sz w:val="21"/>
                <w:szCs w:val="21"/>
                <w:highlight w:val="none"/>
                <w:lang w:val="en-US" w:eastAsia="zh-CN" w:bidi="ar-SA"/>
              </w:rPr>
            </w:pPr>
          </w:p>
        </w:tc>
      </w:tr>
      <w:tr w14:paraId="0895F6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31348D">
            <w:pPr>
              <w:adjustRightInd w:val="0"/>
              <w:snapToGrid w:val="0"/>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第二节</w:t>
            </w:r>
          </w:p>
          <w:p w14:paraId="16BD679E">
            <w:pPr>
              <w:snapToGrid w:val="0"/>
              <w:jc w:val="center"/>
              <w:outlineLvl w:val="9"/>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Cs w:val="21"/>
                <w:highlight w:val="none"/>
                <w:lang w:eastAsia="zh-CN"/>
              </w:rPr>
              <w:t>第</w:t>
            </w:r>
            <w:r>
              <w:rPr>
                <w:rFonts w:hint="eastAsia" w:ascii="微软雅黑" w:hAnsi="微软雅黑" w:eastAsia="微软雅黑" w:cs="微软雅黑"/>
                <w:color w:val="auto"/>
                <w:szCs w:val="21"/>
                <w:highlight w:val="none"/>
                <w:lang w:val="en-US" w:eastAsia="zh-CN"/>
              </w:rPr>
              <w:t>5.4款</w:t>
            </w:r>
          </w:p>
        </w:tc>
        <w:tc>
          <w:tcPr>
            <w:tcW w:w="1742" w:type="dxa"/>
            <w:vAlign w:val="center"/>
          </w:tcPr>
          <w:p w14:paraId="0C9B990E">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约定乙方承担的其他义务和责任</w:t>
            </w:r>
          </w:p>
        </w:tc>
        <w:tc>
          <w:tcPr>
            <w:tcW w:w="5170" w:type="dxa"/>
            <w:vAlign w:val="center"/>
          </w:tcPr>
          <w:p w14:paraId="4BF7EB14">
            <w:pPr>
              <w:adjustRightInd w:val="0"/>
              <w:snapToGrid w:val="0"/>
              <w:jc w:val="left"/>
              <w:outlineLvl w:val="9"/>
              <w:rPr>
                <w:rFonts w:hint="eastAsia" w:ascii="微软雅黑" w:hAnsi="微软雅黑" w:eastAsia="微软雅黑" w:cs="微软雅黑"/>
                <w:color w:val="auto"/>
                <w:kern w:val="2"/>
                <w:sz w:val="21"/>
                <w:szCs w:val="21"/>
                <w:highlight w:val="none"/>
                <w:lang w:val="en-US" w:eastAsia="zh-CN" w:bidi="ar-SA"/>
              </w:rPr>
            </w:pPr>
          </w:p>
        </w:tc>
      </w:tr>
      <w:tr w14:paraId="0F4CF5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395D7D">
            <w:pPr>
              <w:adjustRightInd w:val="0"/>
              <w:snapToGrid w:val="0"/>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第二节</w:t>
            </w:r>
          </w:p>
          <w:p w14:paraId="4DFADEA7">
            <w:pPr>
              <w:snapToGrid w:val="0"/>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第</w:t>
            </w:r>
            <w:r>
              <w:rPr>
                <w:rFonts w:hint="eastAsia" w:ascii="微软雅黑" w:hAnsi="微软雅黑" w:eastAsia="微软雅黑" w:cs="微软雅黑"/>
                <w:color w:val="auto"/>
                <w:szCs w:val="21"/>
                <w:highlight w:val="none"/>
                <w:lang w:val="en-US" w:eastAsia="zh-CN"/>
              </w:rPr>
              <w:t>6.1款</w:t>
            </w:r>
          </w:p>
        </w:tc>
        <w:tc>
          <w:tcPr>
            <w:tcW w:w="1742" w:type="dxa"/>
            <w:vAlign w:val="center"/>
          </w:tcPr>
          <w:p w14:paraId="64FED0E0">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履行合同义务的顺序</w:t>
            </w:r>
          </w:p>
        </w:tc>
        <w:tc>
          <w:tcPr>
            <w:tcW w:w="5170" w:type="dxa"/>
            <w:vAlign w:val="center"/>
          </w:tcPr>
          <w:p w14:paraId="783014A2">
            <w:pPr>
              <w:adjustRightInd w:val="0"/>
              <w:snapToGrid w:val="0"/>
              <w:jc w:val="left"/>
              <w:outlineLvl w:val="9"/>
              <w:rPr>
                <w:rFonts w:hint="eastAsia" w:ascii="微软雅黑" w:hAnsi="微软雅黑" w:eastAsia="微软雅黑" w:cs="微软雅黑"/>
                <w:color w:val="auto"/>
                <w:kern w:val="2"/>
                <w:sz w:val="21"/>
                <w:szCs w:val="21"/>
                <w:highlight w:val="none"/>
                <w:lang w:val="en-US" w:eastAsia="zh-CN" w:bidi="ar-SA"/>
              </w:rPr>
            </w:pPr>
          </w:p>
        </w:tc>
      </w:tr>
      <w:tr w14:paraId="304B46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7054EF8">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3AF1F284">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w:t>
            </w: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款</w:t>
            </w:r>
          </w:p>
        </w:tc>
        <w:tc>
          <w:tcPr>
            <w:tcW w:w="1742" w:type="dxa"/>
            <w:vAlign w:val="center"/>
          </w:tcPr>
          <w:p w14:paraId="329478F4">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包装</w:t>
            </w:r>
            <w:r>
              <w:rPr>
                <w:rFonts w:hint="eastAsia" w:ascii="微软雅黑" w:hAnsi="微软雅黑" w:eastAsia="微软雅黑" w:cs="微软雅黑"/>
                <w:color w:val="auto"/>
                <w:szCs w:val="21"/>
                <w:highlight w:val="none"/>
                <w:lang w:eastAsia="zh-CN"/>
              </w:rPr>
              <w:t>特殊要求</w:t>
            </w:r>
          </w:p>
        </w:tc>
        <w:tc>
          <w:tcPr>
            <w:tcW w:w="5170" w:type="dxa"/>
            <w:vAlign w:val="center"/>
          </w:tcPr>
          <w:p w14:paraId="7678ED94">
            <w:pPr>
              <w:outlineLvl w:val="9"/>
              <w:rPr>
                <w:rFonts w:hint="eastAsia" w:ascii="微软雅黑" w:hAnsi="微软雅黑" w:eastAsia="微软雅黑" w:cs="微软雅黑"/>
                <w:color w:val="auto"/>
                <w:highlight w:val="none"/>
              </w:rPr>
            </w:pPr>
          </w:p>
        </w:tc>
      </w:tr>
      <w:tr w14:paraId="5BDF9E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2005CA0">
            <w:pPr>
              <w:adjustRightInd w:val="0"/>
              <w:snapToGrid w:val="0"/>
              <w:jc w:val="center"/>
              <w:outlineLvl w:val="9"/>
              <w:rPr>
                <w:rFonts w:hint="eastAsia" w:ascii="微软雅黑" w:hAnsi="微软雅黑" w:eastAsia="微软雅黑" w:cs="微软雅黑"/>
                <w:color w:val="auto"/>
                <w:szCs w:val="21"/>
                <w:highlight w:val="none"/>
              </w:rPr>
            </w:pPr>
          </w:p>
        </w:tc>
        <w:tc>
          <w:tcPr>
            <w:tcW w:w="1742" w:type="dxa"/>
            <w:vAlign w:val="center"/>
          </w:tcPr>
          <w:p w14:paraId="52C05E4A">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指定现场</w:t>
            </w:r>
          </w:p>
        </w:tc>
        <w:tc>
          <w:tcPr>
            <w:tcW w:w="5170" w:type="dxa"/>
            <w:vAlign w:val="center"/>
          </w:tcPr>
          <w:p w14:paraId="717742CC">
            <w:pPr>
              <w:outlineLvl w:val="9"/>
              <w:rPr>
                <w:rFonts w:hint="eastAsia" w:ascii="微软雅黑" w:hAnsi="微软雅黑" w:eastAsia="微软雅黑" w:cs="微软雅黑"/>
                <w:color w:val="auto"/>
                <w:highlight w:val="none"/>
              </w:rPr>
            </w:pPr>
          </w:p>
        </w:tc>
      </w:tr>
      <w:tr w14:paraId="720675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57F2BBB">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323A3BDF">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w:t>
            </w: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款</w:t>
            </w:r>
          </w:p>
        </w:tc>
        <w:tc>
          <w:tcPr>
            <w:tcW w:w="1742" w:type="dxa"/>
            <w:vAlign w:val="center"/>
          </w:tcPr>
          <w:p w14:paraId="4D4C8FE0">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运输特殊要求</w:t>
            </w:r>
          </w:p>
        </w:tc>
        <w:tc>
          <w:tcPr>
            <w:tcW w:w="5170" w:type="dxa"/>
            <w:vAlign w:val="center"/>
          </w:tcPr>
          <w:p w14:paraId="14CDF006">
            <w:pPr>
              <w:outlineLvl w:val="9"/>
              <w:rPr>
                <w:rFonts w:hint="eastAsia" w:ascii="微软雅黑" w:hAnsi="微软雅黑" w:eastAsia="微软雅黑" w:cs="微软雅黑"/>
                <w:color w:val="auto"/>
                <w:highlight w:val="none"/>
              </w:rPr>
            </w:pPr>
          </w:p>
        </w:tc>
      </w:tr>
      <w:tr w14:paraId="48E6C6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6463745">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0BA98300">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w:t>
            </w: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.3</w:t>
            </w:r>
            <w:r>
              <w:rPr>
                <w:rFonts w:hint="eastAsia" w:ascii="微软雅黑" w:hAnsi="微软雅黑" w:eastAsia="微软雅黑" w:cs="微软雅黑"/>
                <w:color w:val="auto"/>
                <w:szCs w:val="21"/>
                <w:highlight w:val="none"/>
                <w:lang w:val="en-US" w:eastAsia="zh-CN"/>
              </w:rPr>
              <w:t>款</w:t>
            </w:r>
          </w:p>
        </w:tc>
        <w:tc>
          <w:tcPr>
            <w:tcW w:w="1742" w:type="dxa"/>
            <w:vAlign w:val="center"/>
          </w:tcPr>
          <w:p w14:paraId="23D65660">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保险要求</w:t>
            </w:r>
          </w:p>
        </w:tc>
        <w:tc>
          <w:tcPr>
            <w:tcW w:w="5170" w:type="dxa"/>
            <w:vAlign w:val="center"/>
          </w:tcPr>
          <w:p w14:paraId="044E22C5">
            <w:pPr>
              <w:outlineLvl w:val="9"/>
              <w:rPr>
                <w:rFonts w:hint="eastAsia" w:ascii="微软雅黑" w:hAnsi="微软雅黑" w:eastAsia="微软雅黑" w:cs="微软雅黑"/>
                <w:color w:val="auto"/>
                <w:highlight w:val="none"/>
              </w:rPr>
            </w:pPr>
          </w:p>
        </w:tc>
      </w:tr>
      <w:tr w14:paraId="0B1365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AFCA06">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409F4A91">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w:t>
            </w:r>
            <w:r>
              <w:rPr>
                <w:rFonts w:hint="eastAsia" w:ascii="微软雅黑" w:hAnsi="微软雅黑" w:eastAsia="微软雅黑" w:cs="微软雅黑"/>
                <w:color w:val="auto"/>
                <w:szCs w:val="21"/>
                <w:highlight w:val="none"/>
                <w:lang w:val="en-US" w:eastAsia="zh-CN"/>
              </w:rPr>
              <w:t>8</w:t>
            </w:r>
            <w:r>
              <w:rPr>
                <w:rFonts w:hint="eastAsia" w:ascii="微软雅黑" w:hAnsi="微软雅黑" w:eastAsia="微软雅黑" w:cs="微软雅黑"/>
                <w:color w:val="auto"/>
                <w:szCs w:val="21"/>
                <w:highlight w:val="none"/>
              </w:rPr>
              <w:t>.2（1）项</w:t>
            </w:r>
          </w:p>
        </w:tc>
        <w:tc>
          <w:tcPr>
            <w:tcW w:w="1742" w:type="dxa"/>
            <w:vAlign w:val="center"/>
          </w:tcPr>
          <w:p w14:paraId="5209429F">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质量保证期</w:t>
            </w:r>
          </w:p>
        </w:tc>
        <w:tc>
          <w:tcPr>
            <w:tcW w:w="5170" w:type="dxa"/>
            <w:vAlign w:val="center"/>
          </w:tcPr>
          <w:p w14:paraId="3CF56152">
            <w:pPr>
              <w:autoSpaceDE w:val="0"/>
              <w:autoSpaceDN w:val="0"/>
              <w:adjustRightInd w:val="0"/>
              <w:snapToGrid w:val="0"/>
              <w:ind w:firstLine="420" w:firstLineChars="200"/>
              <w:jc w:val="left"/>
              <w:outlineLvl w:val="9"/>
              <w:rPr>
                <w:rFonts w:hint="eastAsia" w:ascii="微软雅黑" w:hAnsi="微软雅黑" w:eastAsia="微软雅黑" w:cs="微软雅黑"/>
                <w:color w:val="auto"/>
                <w:szCs w:val="21"/>
                <w:highlight w:val="none"/>
              </w:rPr>
            </w:pPr>
          </w:p>
        </w:tc>
      </w:tr>
      <w:tr w14:paraId="6B8E10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2BEA37">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7DC61503">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w:t>
            </w:r>
            <w:r>
              <w:rPr>
                <w:rFonts w:hint="eastAsia" w:ascii="微软雅黑" w:hAnsi="微软雅黑" w:eastAsia="微软雅黑" w:cs="微软雅黑"/>
                <w:color w:val="auto"/>
                <w:szCs w:val="21"/>
                <w:highlight w:val="none"/>
                <w:lang w:val="en-US" w:eastAsia="zh-CN"/>
              </w:rPr>
              <w:t>8</w:t>
            </w:r>
            <w:r>
              <w:rPr>
                <w:rFonts w:hint="eastAsia" w:ascii="微软雅黑" w:hAnsi="微软雅黑" w:eastAsia="微软雅黑" w:cs="微软雅黑"/>
                <w:color w:val="auto"/>
                <w:szCs w:val="21"/>
                <w:highlight w:val="none"/>
              </w:rPr>
              <w:t>.2（3）项</w:t>
            </w:r>
          </w:p>
        </w:tc>
        <w:tc>
          <w:tcPr>
            <w:tcW w:w="1742" w:type="dxa"/>
            <w:vAlign w:val="center"/>
          </w:tcPr>
          <w:p w14:paraId="42756F2A">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货物质量缺陷</w:t>
            </w:r>
          </w:p>
          <w:p w14:paraId="794BA14B">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响应时间</w:t>
            </w:r>
          </w:p>
        </w:tc>
        <w:tc>
          <w:tcPr>
            <w:tcW w:w="5170" w:type="dxa"/>
            <w:vAlign w:val="center"/>
          </w:tcPr>
          <w:p w14:paraId="6A6C4FA8">
            <w:pPr>
              <w:adjustRightInd w:val="0"/>
              <w:snapToGrid w:val="0"/>
              <w:jc w:val="left"/>
              <w:outlineLvl w:val="9"/>
              <w:rPr>
                <w:rFonts w:hint="eastAsia" w:ascii="微软雅黑" w:hAnsi="微软雅黑" w:eastAsia="微软雅黑" w:cs="微软雅黑"/>
                <w:color w:val="auto"/>
                <w:szCs w:val="21"/>
                <w:highlight w:val="none"/>
              </w:rPr>
            </w:pPr>
          </w:p>
        </w:tc>
      </w:tr>
      <w:tr w14:paraId="408EB2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46C2D8">
            <w:pPr>
              <w:snapToGrid w:val="0"/>
              <w:jc w:val="center"/>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第二节</w:t>
            </w:r>
          </w:p>
          <w:p w14:paraId="2C1D5416">
            <w:pPr>
              <w:pStyle w:val="114"/>
              <w:ind w:firstLine="0" w:firstLineChars="0"/>
              <w:jc w:val="center"/>
              <w:outlineLvl w:val="9"/>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Cs w:val="21"/>
                <w:highlight w:val="none"/>
                <w:lang w:val="en-US" w:eastAsia="zh-CN"/>
              </w:rPr>
              <w:t>第11.1款</w:t>
            </w:r>
          </w:p>
        </w:tc>
        <w:tc>
          <w:tcPr>
            <w:tcW w:w="1742" w:type="dxa"/>
            <w:vAlign w:val="center"/>
          </w:tcPr>
          <w:p w14:paraId="4EDF4F9B">
            <w:pPr>
              <w:adjustRightInd w:val="0"/>
              <w:snapToGrid w:val="0"/>
              <w:jc w:val="both"/>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其他应当保密的信息</w:t>
            </w:r>
          </w:p>
        </w:tc>
        <w:tc>
          <w:tcPr>
            <w:tcW w:w="5170" w:type="dxa"/>
            <w:vAlign w:val="center"/>
          </w:tcPr>
          <w:p w14:paraId="1AD57A5B">
            <w:pPr>
              <w:adjustRightInd w:val="0"/>
              <w:snapToGrid w:val="0"/>
              <w:jc w:val="left"/>
              <w:outlineLvl w:val="9"/>
              <w:rPr>
                <w:rFonts w:hint="eastAsia" w:ascii="微软雅黑" w:hAnsi="微软雅黑" w:eastAsia="微软雅黑" w:cs="微软雅黑"/>
                <w:color w:val="auto"/>
                <w:szCs w:val="21"/>
                <w:highlight w:val="none"/>
              </w:rPr>
            </w:pPr>
          </w:p>
        </w:tc>
      </w:tr>
      <w:tr w14:paraId="40C7D6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C82AAFF">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72451DA9">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第1</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.2款</w:t>
            </w:r>
          </w:p>
        </w:tc>
        <w:tc>
          <w:tcPr>
            <w:tcW w:w="1742" w:type="dxa"/>
            <w:vAlign w:val="center"/>
          </w:tcPr>
          <w:p w14:paraId="14FED385">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合同价款支付</w:t>
            </w:r>
            <w:r>
              <w:rPr>
                <w:rFonts w:hint="eastAsia" w:ascii="微软雅黑" w:hAnsi="微软雅黑" w:eastAsia="微软雅黑" w:cs="微软雅黑"/>
                <w:color w:val="auto"/>
                <w:szCs w:val="21"/>
                <w:highlight w:val="none"/>
                <w:lang w:eastAsia="zh-CN"/>
              </w:rPr>
              <w:t>时间</w:t>
            </w:r>
          </w:p>
        </w:tc>
        <w:tc>
          <w:tcPr>
            <w:tcW w:w="5170" w:type="dxa"/>
            <w:vAlign w:val="center"/>
          </w:tcPr>
          <w:p w14:paraId="49E4FBBD">
            <w:pPr>
              <w:adjustRightInd w:val="0"/>
              <w:snapToGrid w:val="0"/>
              <w:jc w:val="left"/>
              <w:outlineLvl w:val="9"/>
              <w:rPr>
                <w:rFonts w:hint="eastAsia" w:ascii="微软雅黑" w:hAnsi="微软雅黑" w:eastAsia="微软雅黑" w:cs="微软雅黑"/>
                <w:color w:val="auto"/>
                <w:szCs w:val="21"/>
                <w:highlight w:val="none"/>
              </w:rPr>
            </w:pPr>
          </w:p>
        </w:tc>
      </w:tr>
      <w:tr w14:paraId="24FD53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BFCEDC6">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151E7994">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w:t>
            </w:r>
            <w:r>
              <w:rPr>
                <w:rFonts w:hint="eastAsia" w:ascii="微软雅黑" w:hAnsi="微软雅黑" w:eastAsia="微软雅黑" w:cs="微软雅黑"/>
                <w:color w:val="auto"/>
                <w:szCs w:val="21"/>
                <w:highlight w:val="none"/>
                <w:lang w:val="en-US" w:eastAsia="zh-CN"/>
              </w:rPr>
              <w:t>13.2</w:t>
            </w:r>
            <w:r>
              <w:rPr>
                <w:rFonts w:hint="eastAsia" w:ascii="微软雅黑" w:hAnsi="微软雅黑" w:eastAsia="微软雅黑" w:cs="微软雅黑"/>
                <w:color w:val="auto"/>
                <w:szCs w:val="21"/>
                <w:highlight w:val="none"/>
              </w:rPr>
              <w:t>款</w:t>
            </w:r>
          </w:p>
        </w:tc>
        <w:tc>
          <w:tcPr>
            <w:tcW w:w="1742" w:type="dxa"/>
            <w:vAlign w:val="center"/>
          </w:tcPr>
          <w:p w14:paraId="5B5CE6A1">
            <w:pPr>
              <w:adjustRightInd w:val="0"/>
              <w:snapToGrid w:val="0"/>
              <w:jc w:val="left"/>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履约保证金不予退还的情形</w:t>
            </w:r>
          </w:p>
        </w:tc>
        <w:tc>
          <w:tcPr>
            <w:tcW w:w="5170" w:type="dxa"/>
            <w:vAlign w:val="center"/>
          </w:tcPr>
          <w:p w14:paraId="75F8205C">
            <w:pPr>
              <w:adjustRightInd w:val="0"/>
              <w:snapToGrid w:val="0"/>
              <w:jc w:val="left"/>
              <w:outlineLvl w:val="9"/>
              <w:rPr>
                <w:rFonts w:hint="eastAsia" w:ascii="微软雅黑" w:hAnsi="微软雅黑" w:eastAsia="微软雅黑" w:cs="微软雅黑"/>
                <w:color w:val="auto"/>
                <w:szCs w:val="21"/>
                <w:highlight w:val="none"/>
              </w:rPr>
            </w:pPr>
          </w:p>
        </w:tc>
      </w:tr>
      <w:tr w14:paraId="366E59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47C9A0">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384385B8">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w:t>
            </w:r>
            <w:r>
              <w:rPr>
                <w:rFonts w:hint="eastAsia" w:ascii="微软雅黑" w:hAnsi="微软雅黑" w:eastAsia="微软雅黑" w:cs="微软雅黑"/>
                <w:color w:val="auto"/>
                <w:szCs w:val="21"/>
                <w:highlight w:val="none"/>
                <w:lang w:val="en-US" w:eastAsia="zh-CN"/>
              </w:rPr>
              <w:t>13.3</w:t>
            </w:r>
            <w:r>
              <w:rPr>
                <w:rFonts w:hint="eastAsia" w:ascii="微软雅黑" w:hAnsi="微软雅黑" w:eastAsia="微软雅黑" w:cs="微软雅黑"/>
                <w:color w:val="auto"/>
                <w:szCs w:val="21"/>
                <w:highlight w:val="none"/>
              </w:rPr>
              <w:t>款</w:t>
            </w:r>
          </w:p>
        </w:tc>
        <w:tc>
          <w:tcPr>
            <w:tcW w:w="1742" w:type="dxa"/>
            <w:vAlign w:val="center"/>
          </w:tcPr>
          <w:p w14:paraId="08B86183">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履约保证金退还时间及</w:t>
            </w:r>
            <w:r>
              <w:rPr>
                <w:rFonts w:hint="eastAsia" w:ascii="微软雅黑" w:hAnsi="微软雅黑" w:eastAsia="微软雅黑" w:cs="微软雅黑"/>
                <w:color w:val="auto"/>
                <w:szCs w:val="21"/>
                <w:highlight w:val="none"/>
                <w:lang w:eastAsia="zh-CN"/>
              </w:rPr>
              <w:t>逾期退还的</w:t>
            </w:r>
            <w:r>
              <w:rPr>
                <w:rFonts w:hint="eastAsia" w:ascii="微软雅黑" w:hAnsi="微软雅黑" w:eastAsia="微软雅黑" w:cs="微软雅黑"/>
                <w:color w:val="auto"/>
                <w:szCs w:val="21"/>
                <w:highlight w:val="none"/>
              </w:rPr>
              <w:t>违约金</w:t>
            </w:r>
          </w:p>
        </w:tc>
        <w:tc>
          <w:tcPr>
            <w:tcW w:w="5170" w:type="dxa"/>
            <w:vAlign w:val="center"/>
          </w:tcPr>
          <w:p w14:paraId="07B58DA1">
            <w:pPr>
              <w:adjustRightInd w:val="0"/>
              <w:snapToGrid w:val="0"/>
              <w:jc w:val="left"/>
              <w:outlineLvl w:val="9"/>
              <w:rPr>
                <w:rFonts w:hint="eastAsia" w:ascii="微软雅黑" w:hAnsi="微软雅黑" w:eastAsia="微软雅黑" w:cs="微软雅黑"/>
                <w:color w:val="auto"/>
                <w:szCs w:val="21"/>
                <w:highlight w:val="none"/>
              </w:rPr>
            </w:pPr>
          </w:p>
        </w:tc>
      </w:tr>
      <w:tr w14:paraId="194B07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38C4372">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29373274">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第1</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）项</w:t>
            </w:r>
          </w:p>
        </w:tc>
        <w:tc>
          <w:tcPr>
            <w:tcW w:w="1742" w:type="dxa"/>
            <w:vAlign w:val="center"/>
          </w:tcPr>
          <w:p w14:paraId="3229E79E">
            <w:pPr>
              <w:adjustRightInd w:val="0"/>
              <w:snapToGrid w:val="0"/>
              <w:jc w:val="left"/>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运行监督、维修期限</w:t>
            </w:r>
          </w:p>
        </w:tc>
        <w:tc>
          <w:tcPr>
            <w:tcW w:w="5170" w:type="dxa"/>
            <w:vAlign w:val="center"/>
          </w:tcPr>
          <w:p w14:paraId="69CFEBDE">
            <w:pPr>
              <w:adjustRightInd w:val="0"/>
              <w:snapToGrid w:val="0"/>
              <w:jc w:val="left"/>
              <w:outlineLvl w:val="9"/>
              <w:rPr>
                <w:rFonts w:hint="eastAsia" w:ascii="微软雅黑" w:hAnsi="微软雅黑" w:eastAsia="微软雅黑" w:cs="微软雅黑"/>
                <w:color w:val="auto"/>
                <w:szCs w:val="21"/>
                <w:highlight w:val="none"/>
              </w:rPr>
            </w:pPr>
          </w:p>
        </w:tc>
      </w:tr>
      <w:tr w14:paraId="2636F0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E5DB15A">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48E9E350">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第1</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）项</w:t>
            </w:r>
          </w:p>
        </w:tc>
        <w:tc>
          <w:tcPr>
            <w:tcW w:w="1742" w:type="dxa"/>
            <w:vAlign w:val="center"/>
          </w:tcPr>
          <w:p w14:paraId="193A3DBE">
            <w:pPr>
              <w:adjustRightInd w:val="0"/>
              <w:snapToGrid w:val="0"/>
              <w:jc w:val="left"/>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货物回收的约定</w:t>
            </w:r>
          </w:p>
        </w:tc>
        <w:tc>
          <w:tcPr>
            <w:tcW w:w="5170" w:type="dxa"/>
            <w:vAlign w:val="center"/>
          </w:tcPr>
          <w:p w14:paraId="650A0633">
            <w:pPr>
              <w:adjustRightInd w:val="0"/>
              <w:snapToGrid w:val="0"/>
              <w:jc w:val="left"/>
              <w:outlineLvl w:val="9"/>
              <w:rPr>
                <w:rFonts w:hint="eastAsia" w:ascii="微软雅黑" w:hAnsi="微软雅黑" w:eastAsia="微软雅黑" w:cs="微软雅黑"/>
                <w:color w:val="auto"/>
                <w:szCs w:val="21"/>
                <w:highlight w:val="none"/>
              </w:rPr>
            </w:pPr>
          </w:p>
        </w:tc>
      </w:tr>
      <w:tr w14:paraId="361492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0F4811">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153B1E8B">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第1</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）项</w:t>
            </w:r>
          </w:p>
        </w:tc>
        <w:tc>
          <w:tcPr>
            <w:tcW w:w="1742" w:type="dxa"/>
            <w:vAlign w:val="center"/>
          </w:tcPr>
          <w:p w14:paraId="51A6F085">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乙方提供的其他服务</w:t>
            </w:r>
          </w:p>
        </w:tc>
        <w:tc>
          <w:tcPr>
            <w:tcW w:w="5170" w:type="dxa"/>
            <w:vAlign w:val="center"/>
          </w:tcPr>
          <w:p w14:paraId="54E0BDB0">
            <w:pPr>
              <w:adjustRightInd w:val="0"/>
              <w:snapToGrid w:val="0"/>
              <w:jc w:val="left"/>
              <w:outlineLvl w:val="9"/>
              <w:rPr>
                <w:rFonts w:hint="eastAsia" w:ascii="微软雅黑" w:hAnsi="微软雅黑" w:eastAsia="微软雅黑" w:cs="微软雅黑"/>
                <w:color w:val="auto"/>
                <w:szCs w:val="21"/>
                <w:highlight w:val="none"/>
              </w:rPr>
            </w:pPr>
          </w:p>
        </w:tc>
      </w:tr>
      <w:tr w14:paraId="2AFA7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B811D1">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27148DA3">
            <w:pPr>
              <w:adjustRightInd w:val="0"/>
              <w:snapToGrid w:val="0"/>
              <w:jc w:val="center"/>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rPr>
              <w:t>第1</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1款</w:t>
            </w:r>
          </w:p>
        </w:tc>
        <w:tc>
          <w:tcPr>
            <w:tcW w:w="1742" w:type="dxa"/>
            <w:vAlign w:val="center"/>
          </w:tcPr>
          <w:p w14:paraId="56EB5604">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修理、重作、更换相关具体规定</w:t>
            </w:r>
          </w:p>
        </w:tc>
        <w:tc>
          <w:tcPr>
            <w:tcW w:w="5170" w:type="dxa"/>
            <w:vAlign w:val="center"/>
          </w:tcPr>
          <w:p w14:paraId="0BD4B41B">
            <w:pPr>
              <w:adjustRightInd w:val="0"/>
              <w:snapToGrid w:val="0"/>
              <w:jc w:val="left"/>
              <w:outlineLvl w:val="9"/>
              <w:rPr>
                <w:rFonts w:hint="eastAsia" w:ascii="微软雅黑" w:hAnsi="微软雅黑" w:eastAsia="微软雅黑" w:cs="微软雅黑"/>
                <w:color w:val="auto"/>
                <w:szCs w:val="21"/>
                <w:highlight w:val="none"/>
              </w:rPr>
            </w:pPr>
          </w:p>
        </w:tc>
      </w:tr>
      <w:tr w14:paraId="5A714D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EB7045">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0DDDD0E1">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第1</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.2（2）项</w:t>
            </w:r>
          </w:p>
        </w:tc>
        <w:tc>
          <w:tcPr>
            <w:tcW w:w="1742" w:type="dxa"/>
            <w:vAlign w:val="center"/>
          </w:tcPr>
          <w:p w14:paraId="45A4CF6C">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迟延交货赔偿费</w:t>
            </w:r>
          </w:p>
        </w:tc>
        <w:tc>
          <w:tcPr>
            <w:tcW w:w="5170" w:type="dxa"/>
            <w:vAlign w:val="center"/>
          </w:tcPr>
          <w:p w14:paraId="64BA7821">
            <w:pPr>
              <w:adjustRightInd w:val="0"/>
              <w:snapToGrid w:val="0"/>
              <w:jc w:val="left"/>
              <w:outlineLvl w:val="9"/>
              <w:rPr>
                <w:rFonts w:hint="eastAsia" w:ascii="微软雅黑" w:hAnsi="微软雅黑" w:eastAsia="微软雅黑" w:cs="微软雅黑"/>
                <w:color w:val="auto"/>
                <w:szCs w:val="21"/>
                <w:highlight w:val="none"/>
                <w:u w:val="single"/>
              </w:rPr>
            </w:pPr>
          </w:p>
        </w:tc>
      </w:tr>
      <w:tr w14:paraId="7CD86B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462E92">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31AD0A7A">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第1</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3款</w:t>
            </w:r>
          </w:p>
        </w:tc>
        <w:tc>
          <w:tcPr>
            <w:tcW w:w="1742" w:type="dxa"/>
            <w:vAlign w:val="center"/>
          </w:tcPr>
          <w:p w14:paraId="20D0B395">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逾期付款利息</w:t>
            </w:r>
          </w:p>
        </w:tc>
        <w:tc>
          <w:tcPr>
            <w:tcW w:w="5170" w:type="dxa"/>
            <w:vAlign w:val="center"/>
          </w:tcPr>
          <w:p w14:paraId="509B3CA3">
            <w:pPr>
              <w:adjustRightInd w:val="0"/>
              <w:snapToGrid w:val="0"/>
              <w:jc w:val="left"/>
              <w:outlineLvl w:val="9"/>
              <w:rPr>
                <w:rFonts w:hint="eastAsia" w:ascii="微软雅黑" w:hAnsi="微软雅黑" w:eastAsia="微软雅黑" w:cs="微软雅黑"/>
                <w:color w:val="auto"/>
                <w:szCs w:val="21"/>
                <w:highlight w:val="none"/>
                <w:u w:val="single"/>
              </w:rPr>
            </w:pPr>
          </w:p>
        </w:tc>
      </w:tr>
      <w:tr w14:paraId="3049B9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3F0D6F8">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1646F0C1">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第1</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.4</w:t>
            </w:r>
            <w:r>
              <w:rPr>
                <w:rFonts w:hint="eastAsia" w:ascii="微软雅黑" w:hAnsi="微软雅黑" w:eastAsia="微软雅黑" w:cs="微软雅黑"/>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60ED748B">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其他违约责任</w:t>
            </w:r>
          </w:p>
        </w:tc>
        <w:tc>
          <w:tcPr>
            <w:tcW w:w="5170" w:type="dxa"/>
            <w:tcBorders>
              <w:left w:val="single" w:color="auto" w:sz="2" w:space="0"/>
              <w:bottom w:val="single" w:color="auto" w:sz="2" w:space="0"/>
            </w:tcBorders>
            <w:vAlign w:val="center"/>
          </w:tcPr>
          <w:p w14:paraId="12E71AE0">
            <w:pPr>
              <w:adjustRightInd w:val="0"/>
              <w:snapToGrid w:val="0"/>
              <w:jc w:val="left"/>
              <w:outlineLvl w:val="9"/>
              <w:rPr>
                <w:rFonts w:hint="eastAsia" w:ascii="微软雅黑" w:hAnsi="微软雅黑" w:eastAsia="微软雅黑" w:cs="微软雅黑"/>
                <w:color w:val="auto"/>
                <w:szCs w:val="21"/>
                <w:highlight w:val="none"/>
                <w:u w:val="single"/>
              </w:rPr>
            </w:pPr>
          </w:p>
        </w:tc>
      </w:tr>
      <w:tr w14:paraId="019090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229143D">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50F5F7FC">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w:t>
            </w:r>
            <w:r>
              <w:rPr>
                <w:rFonts w:hint="eastAsia" w:ascii="微软雅黑" w:hAnsi="微软雅黑" w:eastAsia="微软雅黑" w:cs="微软雅黑"/>
                <w:color w:val="auto"/>
                <w:szCs w:val="21"/>
                <w:highlight w:val="none"/>
                <w:lang w:val="en-US" w:eastAsia="zh-CN"/>
              </w:rPr>
              <w:t>19</w:t>
            </w: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5369C2D8">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18A970E3">
            <w:pPr>
              <w:autoSpaceDE w:val="0"/>
              <w:autoSpaceDN w:val="0"/>
              <w:adjustRightInd w:val="0"/>
              <w:snapToGrid w:val="0"/>
              <w:spacing w:line="400" w:lineRule="exact"/>
              <w:jc w:val="left"/>
              <w:outlineLvl w:val="9"/>
              <w:rPr>
                <w:rFonts w:hint="eastAsia" w:ascii="微软雅黑" w:hAnsi="微软雅黑" w:eastAsia="微软雅黑" w:cs="微软雅黑"/>
                <w:b w:val="0"/>
                <w:bCs w:val="0"/>
                <w:iCs/>
                <w:color w:val="auto"/>
                <w:szCs w:val="21"/>
                <w:highlight w:val="none"/>
              </w:rPr>
            </w:pPr>
            <w:r>
              <w:rPr>
                <w:rFonts w:hint="eastAsia" w:ascii="微软雅黑" w:hAnsi="微软雅黑" w:eastAsia="微软雅黑" w:cs="微软雅黑"/>
                <w:b w:val="0"/>
                <w:bCs w:val="0"/>
                <w:iCs/>
                <w:color w:val="auto"/>
                <w:szCs w:val="21"/>
                <w:highlight w:val="none"/>
              </w:rPr>
              <w:t>因本合同及合同有关事项发生的争议，按下列第</w:t>
            </w:r>
            <w:r>
              <w:rPr>
                <w:rFonts w:hint="eastAsia" w:ascii="微软雅黑" w:hAnsi="微软雅黑" w:eastAsia="微软雅黑" w:cs="微软雅黑"/>
                <w:b w:val="0"/>
                <w:bCs w:val="0"/>
                <w:iCs/>
                <w:color w:val="auto"/>
                <w:szCs w:val="21"/>
                <w:highlight w:val="none"/>
                <w:u w:val="single"/>
              </w:rPr>
              <w:t xml:space="preserve">   </w:t>
            </w:r>
            <w:r>
              <w:rPr>
                <w:rFonts w:hint="eastAsia" w:ascii="微软雅黑" w:hAnsi="微软雅黑" w:eastAsia="微软雅黑" w:cs="微软雅黑"/>
                <w:b w:val="0"/>
                <w:bCs w:val="0"/>
                <w:iCs/>
                <w:color w:val="auto"/>
                <w:szCs w:val="21"/>
                <w:highlight w:val="none"/>
              </w:rPr>
              <w:t>种方式解决：</w:t>
            </w:r>
          </w:p>
          <w:p w14:paraId="60A06943">
            <w:pPr>
              <w:autoSpaceDE w:val="0"/>
              <w:autoSpaceDN w:val="0"/>
              <w:adjustRightInd w:val="0"/>
              <w:snapToGrid w:val="0"/>
              <w:spacing w:line="400" w:lineRule="exact"/>
              <w:jc w:val="left"/>
              <w:outlineLvl w:val="9"/>
              <w:rPr>
                <w:rFonts w:hint="eastAsia" w:ascii="微软雅黑" w:hAnsi="微软雅黑" w:eastAsia="微软雅黑" w:cs="微软雅黑"/>
                <w:b w:val="0"/>
                <w:bCs w:val="0"/>
                <w:iCs/>
                <w:color w:val="auto"/>
                <w:szCs w:val="21"/>
                <w:highlight w:val="none"/>
              </w:rPr>
            </w:pPr>
            <w:r>
              <w:rPr>
                <w:rFonts w:hint="eastAsia" w:ascii="微软雅黑" w:hAnsi="微软雅黑" w:eastAsia="微软雅黑" w:cs="微软雅黑"/>
                <w:b w:val="0"/>
                <w:bCs w:val="0"/>
                <w:iCs/>
                <w:color w:val="auto"/>
                <w:szCs w:val="21"/>
                <w:highlight w:val="none"/>
              </w:rPr>
              <w:t>（1）向</w:t>
            </w:r>
            <w:r>
              <w:rPr>
                <w:rFonts w:hint="eastAsia" w:ascii="微软雅黑" w:hAnsi="微软雅黑" w:eastAsia="微软雅黑" w:cs="微软雅黑"/>
                <w:b w:val="0"/>
                <w:bCs w:val="0"/>
                <w:iCs/>
                <w:color w:val="auto"/>
                <w:szCs w:val="21"/>
                <w:highlight w:val="none"/>
                <w:u w:val="single"/>
              </w:rPr>
              <w:t xml:space="preserve">                    </w:t>
            </w:r>
            <w:r>
              <w:rPr>
                <w:rFonts w:hint="eastAsia" w:ascii="微软雅黑" w:hAnsi="微软雅黑" w:eastAsia="微软雅黑" w:cs="微软雅黑"/>
                <w:b w:val="0"/>
                <w:bCs w:val="0"/>
                <w:iCs/>
                <w:color w:val="auto"/>
                <w:szCs w:val="21"/>
                <w:highlight w:val="none"/>
              </w:rPr>
              <w:t>仲裁委员会申请仲裁，仲裁地点为</w:t>
            </w:r>
            <w:r>
              <w:rPr>
                <w:rFonts w:hint="eastAsia" w:ascii="微软雅黑" w:hAnsi="微软雅黑" w:eastAsia="微软雅黑" w:cs="微软雅黑"/>
                <w:b w:val="0"/>
                <w:bCs w:val="0"/>
                <w:iCs/>
                <w:color w:val="auto"/>
                <w:szCs w:val="21"/>
                <w:highlight w:val="none"/>
                <w:u w:val="single"/>
              </w:rPr>
              <w:t xml:space="preserve">           </w:t>
            </w:r>
            <w:r>
              <w:rPr>
                <w:rFonts w:hint="eastAsia" w:ascii="微软雅黑" w:hAnsi="微软雅黑" w:eastAsia="微软雅黑" w:cs="微软雅黑"/>
                <w:b w:val="0"/>
                <w:bCs w:val="0"/>
                <w:iCs/>
                <w:color w:val="auto"/>
                <w:szCs w:val="21"/>
                <w:highlight w:val="none"/>
              </w:rPr>
              <w:t>；</w:t>
            </w:r>
          </w:p>
          <w:p w14:paraId="6A474665">
            <w:pPr>
              <w:adjustRightInd w:val="0"/>
              <w:snapToGrid w:val="0"/>
              <w:ind w:firstLine="0" w:firstLineChars="0"/>
              <w:jc w:val="left"/>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b w:val="0"/>
                <w:bCs w:val="0"/>
                <w:iCs/>
                <w:color w:val="auto"/>
                <w:szCs w:val="21"/>
                <w:highlight w:val="none"/>
              </w:rPr>
              <w:t>（2）向</w:t>
            </w:r>
            <w:r>
              <w:rPr>
                <w:rFonts w:hint="eastAsia" w:ascii="微软雅黑" w:hAnsi="微软雅黑" w:eastAsia="微软雅黑" w:cs="微软雅黑"/>
                <w:b w:val="0"/>
                <w:bCs w:val="0"/>
                <w:iCs/>
                <w:color w:val="auto"/>
                <w:szCs w:val="21"/>
                <w:highlight w:val="none"/>
                <w:u w:val="single"/>
              </w:rPr>
              <w:t xml:space="preserve">                    </w:t>
            </w:r>
            <w:r>
              <w:rPr>
                <w:rFonts w:hint="eastAsia" w:ascii="微软雅黑" w:hAnsi="微软雅黑" w:eastAsia="微软雅黑" w:cs="微软雅黑"/>
                <w:b w:val="0"/>
                <w:bCs w:val="0"/>
                <w:iCs/>
                <w:color w:val="auto"/>
                <w:szCs w:val="21"/>
                <w:highlight w:val="none"/>
              </w:rPr>
              <w:t>人民法院起诉。</w:t>
            </w:r>
          </w:p>
        </w:tc>
      </w:tr>
      <w:tr w14:paraId="2C52D3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1B1A866">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1955C4EC">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第2</w:t>
            </w:r>
            <w:r>
              <w:rPr>
                <w:rFonts w:hint="eastAsia" w:ascii="微软雅黑" w:hAnsi="微软雅黑" w:eastAsia="微软雅黑" w:cs="微软雅黑"/>
                <w:color w:val="auto"/>
                <w:szCs w:val="21"/>
                <w:highlight w:val="none"/>
                <w:lang w:val="en-US" w:eastAsia="zh-CN"/>
              </w:rPr>
              <w:t>3.1</w:t>
            </w:r>
            <w:r>
              <w:rPr>
                <w:rFonts w:hint="eastAsia" w:ascii="微软雅黑" w:hAnsi="微软雅黑" w:eastAsia="微软雅黑" w:cs="微软雅黑"/>
                <w:color w:val="auto"/>
                <w:szCs w:val="21"/>
                <w:highlight w:val="none"/>
                <w:lang w:eastAsia="zh-CN"/>
              </w:rPr>
              <w:t>款</w:t>
            </w:r>
          </w:p>
        </w:tc>
        <w:tc>
          <w:tcPr>
            <w:tcW w:w="1742" w:type="dxa"/>
            <w:vAlign w:val="center"/>
          </w:tcPr>
          <w:p w14:paraId="183EF92E">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bCs/>
                <w:color w:val="auto"/>
                <w:szCs w:val="21"/>
                <w:highlight w:val="none"/>
                <w:lang w:eastAsia="zh-CN"/>
              </w:rPr>
              <w:t>其他专用条款</w:t>
            </w:r>
          </w:p>
        </w:tc>
        <w:tc>
          <w:tcPr>
            <w:tcW w:w="5170" w:type="dxa"/>
            <w:vAlign w:val="center"/>
          </w:tcPr>
          <w:p w14:paraId="228B6464">
            <w:pPr>
              <w:adjustRightInd w:val="0"/>
              <w:snapToGrid w:val="0"/>
              <w:jc w:val="left"/>
              <w:outlineLvl w:val="9"/>
              <w:rPr>
                <w:rFonts w:hint="eastAsia" w:ascii="微软雅黑" w:hAnsi="微软雅黑" w:eastAsia="微软雅黑" w:cs="微软雅黑"/>
                <w:color w:val="auto"/>
                <w:szCs w:val="21"/>
                <w:highlight w:val="none"/>
                <w:lang w:val="en-US" w:eastAsia="zh-CN"/>
              </w:rPr>
            </w:pPr>
          </w:p>
        </w:tc>
      </w:tr>
    </w:tbl>
    <w:p w14:paraId="6FFA687C">
      <w:pPr>
        <w:outlineLvl w:val="9"/>
        <w:rPr>
          <w:rFonts w:hint="eastAsia" w:ascii="微软雅黑" w:hAnsi="微软雅黑" w:eastAsia="微软雅黑" w:cs="微软雅黑"/>
          <w:color w:val="auto"/>
          <w:highlight w:val="none"/>
        </w:rPr>
      </w:pPr>
    </w:p>
    <w:p w14:paraId="287B1143">
      <w:pPr>
        <w:outlineLvl w:val="9"/>
        <w:rPr>
          <w:rFonts w:hint="eastAsia" w:ascii="微软雅黑" w:hAnsi="微软雅黑" w:eastAsia="微软雅黑" w:cs="微软雅黑"/>
          <w:color w:val="auto"/>
          <w:highlight w:val="none"/>
        </w:rPr>
      </w:pPr>
    </w:p>
    <w:p w14:paraId="4C61F594">
      <w:pPr>
        <w:spacing w:line="240" w:lineRule="auto"/>
        <w:outlineLvl w:val="9"/>
        <w:rPr>
          <w:rFonts w:hint="eastAsia" w:ascii="微软雅黑" w:hAnsi="微软雅黑" w:eastAsia="微软雅黑" w:cs="微软雅黑"/>
          <w:color w:val="auto"/>
          <w:highlight w:val="none"/>
        </w:rPr>
      </w:pPr>
    </w:p>
    <w:p w14:paraId="6C1FA6F8">
      <w:pPr>
        <w:rPr>
          <w:rFonts w:hint="eastAsia" w:ascii="微软雅黑" w:hAnsi="微软雅黑" w:eastAsia="微软雅黑" w:cs="微软雅黑"/>
          <w:color w:val="auto"/>
          <w:highlight w:val="none"/>
        </w:rPr>
      </w:pPr>
    </w:p>
    <w:p w14:paraId="61C21DD9">
      <w:pPr>
        <w:rPr>
          <w:rFonts w:ascii="微软雅黑" w:hAnsi="微软雅黑" w:eastAsia="微软雅黑" w:cs="微软雅黑"/>
          <w:color w:val="auto"/>
          <w:highlight w:val="none"/>
        </w:rPr>
      </w:pPr>
    </w:p>
    <w:sectPr>
      <w:headerReference r:id="rId11" w:type="default"/>
      <w:footerReference r:id="rId12" w:type="default"/>
      <w:pgSz w:w="11905" w:h="16838"/>
      <w:pgMar w:top="1083" w:right="1440" w:bottom="1083"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CE564D2-3451-4B40-9C70-84DDABF443B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FEB79DE-9D0D-491E-9571-4921DB4156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E49275B9-B0E7-4978-8863-9491CDEA185B}"/>
  </w:font>
  <w:font w:name="SimSun;宋体">
    <w:altName w:val="宋体"/>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LKATIP Basma Tom">
    <w:altName w:val="Trebuchet MS"/>
    <w:panose1 w:val="02000000000000000000"/>
    <w:charset w:val="00"/>
    <w:family w:val="auto"/>
    <w:pitch w:val="default"/>
    <w:sig w:usb0="00000000" w:usb1="00000000" w:usb2="00000008" w:usb3="00000000" w:csb0="00000041" w:csb1="00000000"/>
  </w:font>
  <w:font w:name="Trebuchet MS">
    <w:panose1 w:val="020B0603020202020204"/>
    <w:charset w:val="00"/>
    <w:family w:val="auto"/>
    <w:pitch w:val="default"/>
    <w:sig w:usb0="00000687" w:usb1="00000000" w:usb2="00000000" w:usb3="00000000" w:csb0="200000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4" w:fontKey="{597DE5EE-5D72-45E9-A999-E29D478B44EF}"/>
  </w:font>
  <w:font w:name="方正仿宋_GB2312">
    <w:panose1 w:val="02000000000000000000"/>
    <w:charset w:val="86"/>
    <w:family w:val="auto"/>
    <w:pitch w:val="default"/>
    <w:sig w:usb0="A00002BF" w:usb1="184F6CFA" w:usb2="00000012" w:usb3="00000000" w:csb0="00040001" w:csb1="00000000"/>
    <w:embedRegular r:id="rId5" w:fontKey="{EFB1A71F-E5E2-46BD-83A3-B8C9DCFE81E7}"/>
  </w:font>
  <w:font w:name="WPSEMBED1">
    <w:panose1 w:val="02000000000000000000"/>
    <w:charset w:val="86"/>
    <w:family w:val="auto"/>
    <w:pitch w:val="default"/>
    <w:sig w:usb0="A00002BF" w:usb1="184F6CFA" w:usb2="00000012" w:usb3="00000000" w:csb0="00040001" w:csb1="00000000"/>
  </w:font>
  <w:font w:name="KSOFE4500885">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2EC77">
    <w:pPr>
      <w:pStyle w:val="19"/>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5BDE3D">
                          <w:pPr>
                            <w:pStyle w:val="1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85BDE3D">
                    <w:pPr>
                      <w:pStyle w:val="1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E1FE1">
    <w:pPr>
      <w:pStyle w:val="19"/>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18A6622">
                          <w:pPr>
                            <w:pStyle w:val="19"/>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018A6622">
                    <w:pPr>
                      <w:pStyle w:val="1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E589A">
    <w:pPr>
      <w:pStyle w:val="19"/>
      <w:jc w:val="center"/>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CDF3D4">
                          <w:pPr>
                            <w:pStyle w:val="19"/>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ECDF3D4">
                    <w:pPr>
                      <w:pStyle w:val="19"/>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736FA">
    <w:pPr>
      <w:pStyle w:val="1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8DC479">
                          <w:pPr>
                            <w:pStyle w:val="1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18DC479">
                    <w:pPr>
                      <w:pStyle w:val="1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72D0">
    <w:pPr>
      <w:pStyle w:val="19"/>
      <w:jc w:val="center"/>
      <w:rPr>
        <w:rFonts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CB9D1A">
                          <w:pPr>
                            <w:pStyle w:val="19"/>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61CB9D1A">
                    <w:pPr>
                      <w:pStyle w:val="19"/>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995FB">
    <w:pPr>
      <w:pStyle w:val="20"/>
      <w:pBdr>
        <w:bottom w:val="double" w:color="auto" w:sz="8" w:space="0"/>
      </w:pBdr>
      <w:tabs>
        <w:tab w:val="left" w:pos="6202"/>
        <w:tab w:val="clear" w:pos="4153"/>
      </w:tabs>
      <w:jc w:val="left"/>
      <w:rPr>
        <w:rFonts w:hint="eastAsia" w:ascii="方正仿宋_GB2312" w:hAnsi="方正仿宋_GB2312" w:eastAsia="方正仿宋_GB2312" w:cs="方正仿宋_GB2312"/>
        <w:b/>
        <w:bCs/>
        <w:i/>
        <w:iCs/>
        <w:sz w:val="24"/>
        <w:szCs w:val="24"/>
        <w:lang w:val="en-US" w:eastAsia="zh-CN"/>
      </w:rPr>
    </w:pPr>
    <w:r>
      <w:rPr>
        <w:rFonts w:hint="eastAsia" w:ascii="方正仿宋_GB2312" w:hAnsi="方正仿宋_GB2312" w:eastAsia="方正仿宋_GB2312" w:cs="方正仿宋_GB2312"/>
        <w:b/>
        <w:bCs/>
        <w:i/>
        <w:iCs/>
        <w:sz w:val="24"/>
        <w:szCs w:val="24"/>
        <w:lang w:val="en-US" w:eastAsia="zh-CN"/>
      </w:rPr>
      <w:t>新疆金之帆项目管理咨询有限公司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A90F6">
    <w:pPr>
      <w:pStyle w:val="20"/>
      <w:pBdr>
        <w:bottom w:val="double" w:color="auto" w:sz="8" w:space="0"/>
      </w:pBdr>
      <w:tabs>
        <w:tab w:val="left" w:pos="6202"/>
        <w:tab w:val="clear" w:pos="4153"/>
      </w:tabs>
      <w:jc w:val="left"/>
      <w:rPr>
        <w:rFonts w:hint="eastAsia" w:ascii="方正仿宋_GB2312" w:hAnsi="方正仿宋_GB2312" w:eastAsia="方正仿宋_GB2312" w:cs="方正仿宋_GB2312"/>
        <w:b/>
        <w:bCs/>
        <w:i/>
        <w:iCs/>
        <w:sz w:val="24"/>
        <w:szCs w:val="24"/>
        <w:lang w:val="en-US" w:eastAsia="zh-CN"/>
      </w:rPr>
    </w:pPr>
    <w:r>
      <w:rPr>
        <w:rFonts w:hint="eastAsia" w:ascii="方正仿宋_GB2312" w:hAnsi="方正仿宋_GB2312" w:eastAsia="方正仿宋_GB2312" w:cs="方正仿宋_GB2312"/>
        <w:b/>
        <w:bCs/>
        <w:i/>
        <w:iCs/>
        <w:sz w:val="24"/>
        <w:szCs w:val="24"/>
        <w:lang w:val="en-US" w:eastAsia="zh-CN"/>
      </w:rPr>
      <w:t>新疆金之帆项目管理咨询有限公司</w:t>
    </w:r>
  </w:p>
  <w:p w14:paraId="71AF38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23F5">
    <w:pPr>
      <w:pStyle w:val="20"/>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172A">
    <w:pPr>
      <w:pStyle w:val="2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7EB97">
    <w:pPr>
      <w:pStyle w:val="2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3B095"/>
    <w:multiLevelType w:val="singleLevel"/>
    <w:tmpl w:val="8383B095"/>
    <w:lvl w:ilvl="0" w:tentative="0">
      <w:start w:val="1"/>
      <w:numFmt w:val="chineseCounting"/>
      <w:suff w:val="nothing"/>
      <w:lvlText w:val="%1、"/>
      <w:lvlJc w:val="left"/>
      <w:rPr>
        <w:rFonts w:hint="eastAsia"/>
      </w:rPr>
    </w:lvl>
  </w:abstractNum>
  <w:abstractNum w:abstractNumId="1">
    <w:nsid w:val="A03AE7FF"/>
    <w:multiLevelType w:val="singleLevel"/>
    <w:tmpl w:val="A03AE7FF"/>
    <w:lvl w:ilvl="0" w:tentative="0">
      <w:start w:val="1"/>
      <w:numFmt w:val="decimal"/>
      <w:suff w:val="space"/>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62D7A73"/>
    <w:multiLevelType w:val="singleLevel"/>
    <w:tmpl w:val="F62D7A73"/>
    <w:lvl w:ilvl="0" w:tentative="0">
      <w:start w:val="2"/>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01"/>
    <w:multiLevelType w:val="multilevel"/>
    <w:tmpl w:val="00000001"/>
    <w:lvl w:ilvl="0" w:tentative="0">
      <w:start w:val="1"/>
      <w:numFmt w:val="decimal"/>
      <w:lvlText w:val="（%1）"/>
      <w:lvlJc w:val="left"/>
      <w:pPr>
        <w:tabs>
          <w:tab w:val="left" w:pos="1571"/>
        </w:tabs>
        <w:ind w:left="1571" w:hanging="720"/>
      </w:pPr>
      <w:rPr>
        <w:rFonts w:ascii="仿宋_GB2312" w:hAnsi="宋体" w:eastAsia="仿宋_GB2312"/>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10">
    <w:nsid w:val="00000002"/>
    <w:multiLevelType w:val="multilevel"/>
    <w:tmpl w:val="000000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3"/>
    <w:multiLevelType w:val="multilevel"/>
    <w:tmpl w:val="00000003"/>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2">
    <w:nsid w:val="00000004"/>
    <w:multiLevelType w:val="multilevel"/>
    <w:tmpl w:val="00000004"/>
    <w:lvl w:ilvl="0" w:tentative="0">
      <w:start w:val="1"/>
      <w:numFmt w:val="decimal"/>
      <w:lvlText w:val="%1"/>
      <w:lvlJc w:val="left"/>
      <w:pPr>
        <w:ind w:left="432" w:hanging="432"/>
      </w:pPr>
    </w:lvl>
    <w:lvl w:ilvl="1" w:tentative="0">
      <w:start w:val="1"/>
      <w:numFmt w:val="decimal"/>
      <w:pStyle w:val="53"/>
      <w:lvlText w:val="%1.%2"/>
      <w:lvlJc w:val="left"/>
      <w:pPr>
        <w:ind w:left="1710"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3">
    <w:nsid w:val="00000005"/>
    <w:multiLevelType w:val="multilevel"/>
    <w:tmpl w:val="00000005"/>
    <w:lvl w:ilvl="0" w:tentative="0">
      <w:start w:val="2"/>
      <w:numFmt w:val="chineseCounting"/>
      <w:suff w:val="space"/>
      <w:lvlText w:val="第%1部分"/>
      <w:lvlJc w:val="left"/>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00000006"/>
    <w:multiLevelType w:val="multilevel"/>
    <w:tmpl w:val="00000006"/>
    <w:lvl w:ilvl="0" w:tentative="0">
      <w:start w:val="3"/>
      <w:numFmt w:val="decimal"/>
      <w:suff w:val="space"/>
      <w:lvlText w:val="第%1章"/>
      <w:lvlJc w:val="left"/>
    </w:lvl>
    <w:lvl w:ilvl="1" w:tentative="0">
      <w:start w:val="1"/>
      <w:numFmt w:val="decimal"/>
      <w:lvlText w:val="%1.%2"/>
      <w:lvlJc w:val="left"/>
      <w:pPr>
        <w:ind w:left="987"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1157E044"/>
    <w:multiLevelType w:val="singleLevel"/>
    <w:tmpl w:val="1157E044"/>
    <w:lvl w:ilvl="0" w:tentative="0">
      <w:start w:val="1"/>
      <w:numFmt w:val="decimal"/>
      <w:suff w:val="nothing"/>
      <w:lvlText w:val="%1、"/>
      <w:lvlJc w:val="left"/>
    </w:lvl>
  </w:abstractNum>
  <w:abstractNum w:abstractNumId="16">
    <w:nsid w:val="209948B1"/>
    <w:multiLevelType w:val="singleLevel"/>
    <w:tmpl w:val="209948B1"/>
    <w:lvl w:ilvl="0" w:tentative="0">
      <w:start w:val="2"/>
      <w:numFmt w:val="decimal"/>
      <w:suff w:val="nothing"/>
      <w:lvlText w:val="%1、"/>
      <w:lvlJc w:val="left"/>
      <w:pPr>
        <w:ind w:left="315" w:firstLine="0"/>
      </w:pPr>
    </w:lvl>
  </w:abstractNum>
  <w:abstractNum w:abstractNumId="17">
    <w:nsid w:val="4BB1D5DC"/>
    <w:multiLevelType w:val="singleLevel"/>
    <w:tmpl w:val="4BB1D5DC"/>
    <w:lvl w:ilvl="0" w:tentative="0">
      <w:start w:val="2"/>
      <w:numFmt w:val="decimal"/>
      <w:lvlText w:val="%1."/>
      <w:lvlJc w:val="left"/>
      <w:pPr>
        <w:tabs>
          <w:tab w:val="left" w:pos="312"/>
        </w:tabs>
      </w:pPr>
    </w:lvl>
  </w:abstractNum>
  <w:abstractNum w:abstractNumId="18">
    <w:nsid w:val="7A0F6431"/>
    <w:multiLevelType w:val="singleLevel"/>
    <w:tmpl w:val="7A0F6431"/>
    <w:lvl w:ilvl="0" w:tentative="0">
      <w:start w:val="1"/>
      <w:numFmt w:val="decimal"/>
      <w:suff w:val="space"/>
      <w:lvlText w:val="%1."/>
      <w:lvlJc w:val="left"/>
    </w:lvl>
  </w:abstractNum>
  <w:num w:numId="1">
    <w:abstractNumId w:val="12"/>
  </w:num>
  <w:num w:numId="2">
    <w:abstractNumId w:val="10"/>
  </w:num>
  <w:num w:numId="3">
    <w:abstractNumId w:val="11"/>
  </w:num>
  <w:num w:numId="4">
    <w:abstractNumId w:val="9"/>
  </w:num>
  <w:num w:numId="5">
    <w:abstractNumId w:val="17"/>
  </w:num>
  <w:num w:numId="6">
    <w:abstractNumId w:val="13"/>
  </w:num>
  <w:num w:numId="7">
    <w:abstractNumId w:val="16"/>
  </w:num>
  <w:num w:numId="8">
    <w:abstractNumId w:val="14"/>
  </w:num>
  <w:num w:numId="9">
    <w:abstractNumId w:val="0"/>
  </w:num>
  <w:num w:numId="10">
    <w:abstractNumId w:val="7"/>
  </w:num>
  <w:num w:numId="11">
    <w:abstractNumId w:val="1"/>
  </w:num>
  <w:num w:numId="12">
    <w:abstractNumId w:val="15"/>
  </w:num>
  <w:num w:numId="13">
    <w:abstractNumId w:val="18"/>
  </w:num>
  <w:num w:numId="14">
    <w:abstractNumId w:val="3"/>
  </w:num>
  <w:num w:numId="15">
    <w:abstractNumId w:val="8"/>
  </w:num>
  <w:num w:numId="16">
    <w:abstractNumId w:val="5"/>
  </w:num>
  <w:num w:numId="17">
    <w:abstractNumId w:val="4"/>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dit="readOnly" w:formatting="1" w:enforcement="0"/>
  <w:defaultTabStop w:val="420"/>
  <w:doNotHyphenateCaps/>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NjY4YjY3OTNjNmE2NWU1ZTg2MjFkYmI5YzNiZTkifQ=="/>
  </w:docVars>
  <w:rsids>
    <w:rsidRoot w:val="009E3562"/>
    <w:rsid w:val="00005227"/>
    <w:rsid w:val="000751FA"/>
    <w:rsid w:val="00192D87"/>
    <w:rsid w:val="00295551"/>
    <w:rsid w:val="00343638"/>
    <w:rsid w:val="00370F52"/>
    <w:rsid w:val="003E0D82"/>
    <w:rsid w:val="0045618F"/>
    <w:rsid w:val="005F0884"/>
    <w:rsid w:val="006C7C0E"/>
    <w:rsid w:val="0091476F"/>
    <w:rsid w:val="00955A4C"/>
    <w:rsid w:val="00976585"/>
    <w:rsid w:val="009E3562"/>
    <w:rsid w:val="00AC616B"/>
    <w:rsid w:val="00AE5F13"/>
    <w:rsid w:val="00C71A2A"/>
    <w:rsid w:val="00CF5F16"/>
    <w:rsid w:val="00DB7BC1"/>
    <w:rsid w:val="00EA7B92"/>
    <w:rsid w:val="00F90906"/>
    <w:rsid w:val="01080A57"/>
    <w:rsid w:val="010D0318"/>
    <w:rsid w:val="01576085"/>
    <w:rsid w:val="01790169"/>
    <w:rsid w:val="01803974"/>
    <w:rsid w:val="018502B5"/>
    <w:rsid w:val="018F4C90"/>
    <w:rsid w:val="01970BC3"/>
    <w:rsid w:val="01B046B0"/>
    <w:rsid w:val="01DF215D"/>
    <w:rsid w:val="0250093A"/>
    <w:rsid w:val="027D0F8C"/>
    <w:rsid w:val="027D7DB2"/>
    <w:rsid w:val="027E3416"/>
    <w:rsid w:val="02890B17"/>
    <w:rsid w:val="02AB0EC1"/>
    <w:rsid w:val="02B761CD"/>
    <w:rsid w:val="02CD6F78"/>
    <w:rsid w:val="02E94832"/>
    <w:rsid w:val="02EA60B4"/>
    <w:rsid w:val="02FC6355"/>
    <w:rsid w:val="03281274"/>
    <w:rsid w:val="03393093"/>
    <w:rsid w:val="035166A0"/>
    <w:rsid w:val="03534BDF"/>
    <w:rsid w:val="039B3DC0"/>
    <w:rsid w:val="03A61608"/>
    <w:rsid w:val="03AE100E"/>
    <w:rsid w:val="03D6122D"/>
    <w:rsid w:val="03F948B5"/>
    <w:rsid w:val="04114082"/>
    <w:rsid w:val="04144940"/>
    <w:rsid w:val="04163446"/>
    <w:rsid w:val="0474707C"/>
    <w:rsid w:val="04814D63"/>
    <w:rsid w:val="049802FF"/>
    <w:rsid w:val="04B6095C"/>
    <w:rsid w:val="04D04C03"/>
    <w:rsid w:val="053412F1"/>
    <w:rsid w:val="054C0A87"/>
    <w:rsid w:val="05641D18"/>
    <w:rsid w:val="056728BF"/>
    <w:rsid w:val="057416D0"/>
    <w:rsid w:val="057F6DC9"/>
    <w:rsid w:val="059A2B42"/>
    <w:rsid w:val="05BE2BB1"/>
    <w:rsid w:val="06295921"/>
    <w:rsid w:val="06427327"/>
    <w:rsid w:val="06626C3B"/>
    <w:rsid w:val="066C360F"/>
    <w:rsid w:val="068A4078"/>
    <w:rsid w:val="06C215BB"/>
    <w:rsid w:val="06C34665"/>
    <w:rsid w:val="07100AA6"/>
    <w:rsid w:val="071312A7"/>
    <w:rsid w:val="071474CA"/>
    <w:rsid w:val="07346D3B"/>
    <w:rsid w:val="07A0301B"/>
    <w:rsid w:val="07AD102A"/>
    <w:rsid w:val="07BE1E2B"/>
    <w:rsid w:val="07C67662"/>
    <w:rsid w:val="07CC0B74"/>
    <w:rsid w:val="08183C31"/>
    <w:rsid w:val="08500090"/>
    <w:rsid w:val="08674B68"/>
    <w:rsid w:val="089C7A4F"/>
    <w:rsid w:val="08CF2B0E"/>
    <w:rsid w:val="08D1340E"/>
    <w:rsid w:val="08E051AF"/>
    <w:rsid w:val="0916351E"/>
    <w:rsid w:val="09733EF5"/>
    <w:rsid w:val="09802CAB"/>
    <w:rsid w:val="098B6A14"/>
    <w:rsid w:val="09A13293"/>
    <w:rsid w:val="09DC639D"/>
    <w:rsid w:val="0A2D5C50"/>
    <w:rsid w:val="0A6A424A"/>
    <w:rsid w:val="0A710906"/>
    <w:rsid w:val="0AA23046"/>
    <w:rsid w:val="0AA25F3E"/>
    <w:rsid w:val="0AAB1187"/>
    <w:rsid w:val="0ABB2743"/>
    <w:rsid w:val="0AD007F3"/>
    <w:rsid w:val="0AD017FF"/>
    <w:rsid w:val="0B001FFB"/>
    <w:rsid w:val="0B077F8D"/>
    <w:rsid w:val="0B4E34C6"/>
    <w:rsid w:val="0B520957"/>
    <w:rsid w:val="0B5C7E51"/>
    <w:rsid w:val="0B6231D1"/>
    <w:rsid w:val="0B9776CB"/>
    <w:rsid w:val="0BA96E80"/>
    <w:rsid w:val="0BD460C1"/>
    <w:rsid w:val="0BE956DE"/>
    <w:rsid w:val="0C1B5AE1"/>
    <w:rsid w:val="0C2423A5"/>
    <w:rsid w:val="0C5E1E2E"/>
    <w:rsid w:val="0C885D90"/>
    <w:rsid w:val="0CCA1272"/>
    <w:rsid w:val="0CD013BE"/>
    <w:rsid w:val="0CE1125A"/>
    <w:rsid w:val="0D083706"/>
    <w:rsid w:val="0D4955C8"/>
    <w:rsid w:val="0D4A301F"/>
    <w:rsid w:val="0D590500"/>
    <w:rsid w:val="0D620B5F"/>
    <w:rsid w:val="0D6C1A00"/>
    <w:rsid w:val="0D714E77"/>
    <w:rsid w:val="0D837D9E"/>
    <w:rsid w:val="0DB3631B"/>
    <w:rsid w:val="0DC2658F"/>
    <w:rsid w:val="0DDA54E4"/>
    <w:rsid w:val="0E0A55DA"/>
    <w:rsid w:val="0E701472"/>
    <w:rsid w:val="0ED76845"/>
    <w:rsid w:val="0EF45CB4"/>
    <w:rsid w:val="0EF81A51"/>
    <w:rsid w:val="0F225395"/>
    <w:rsid w:val="0F463EA6"/>
    <w:rsid w:val="0F84395A"/>
    <w:rsid w:val="0F915F0B"/>
    <w:rsid w:val="0FA979D6"/>
    <w:rsid w:val="0FC131F2"/>
    <w:rsid w:val="0FCA0B55"/>
    <w:rsid w:val="0FD92567"/>
    <w:rsid w:val="100A39BD"/>
    <w:rsid w:val="102B2027"/>
    <w:rsid w:val="10515172"/>
    <w:rsid w:val="106B69D3"/>
    <w:rsid w:val="106C0B1D"/>
    <w:rsid w:val="106D32AB"/>
    <w:rsid w:val="10771710"/>
    <w:rsid w:val="10853D99"/>
    <w:rsid w:val="10A76B4D"/>
    <w:rsid w:val="10C35769"/>
    <w:rsid w:val="10CD60E9"/>
    <w:rsid w:val="10F31B71"/>
    <w:rsid w:val="11167C0B"/>
    <w:rsid w:val="113203A8"/>
    <w:rsid w:val="11B85885"/>
    <w:rsid w:val="11BF7BAA"/>
    <w:rsid w:val="11D1783A"/>
    <w:rsid w:val="12590F79"/>
    <w:rsid w:val="126D6927"/>
    <w:rsid w:val="127C427C"/>
    <w:rsid w:val="12890E62"/>
    <w:rsid w:val="12A03490"/>
    <w:rsid w:val="12AB4B7C"/>
    <w:rsid w:val="12AB744F"/>
    <w:rsid w:val="12AF45B4"/>
    <w:rsid w:val="130846BD"/>
    <w:rsid w:val="136C4530"/>
    <w:rsid w:val="136D3C10"/>
    <w:rsid w:val="139C6FC4"/>
    <w:rsid w:val="13B73921"/>
    <w:rsid w:val="14177FCA"/>
    <w:rsid w:val="141A4780"/>
    <w:rsid w:val="142676D5"/>
    <w:rsid w:val="14425626"/>
    <w:rsid w:val="145036D2"/>
    <w:rsid w:val="147A4287"/>
    <w:rsid w:val="148B2355"/>
    <w:rsid w:val="14AA3FB4"/>
    <w:rsid w:val="156A35F2"/>
    <w:rsid w:val="157B3678"/>
    <w:rsid w:val="15A07431"/>
    <w:rsid w:val="15B800D6"/>
    <w:rsid w:val="15F174F4"/>
    <w:rsid w:val="16500A3A"/>
    <w:rsid w:val="168624B9"/>
    <w:rsid w:val="169842AD"/>
    <w:rsid w:val="16B40FC8"/>
    <w:rsid w:val="16D027CB"/>
    <w:rsid w:val="16D36691"/>
    <w:rsid w:val="16DA6555"/>
    <w:rsid w:val="16E13640"/>
    <w:rsid w:val="16E36110"/>
    <w:rsid w:val="170D12E4"/>
    <w:rsid w:val="17183EC8"/>
    <w:rsid w:val="17242BB5"/>
    <w:rsid w:val="174D6D27"/>
    <w:rsid w:val="177F71E9"/>
    <w:rsid w:val="17A16E37"/>
    <w:rsid w:val="17B70CD6"/>
    <w:rsid w:val="17DF77F1"/>
    <w:rsid w:val="17E940BF"/>
    <w:rsid w:val="18000173"/>
    <w:rsid w:val="18022B2A"/>
    <w:rsid w:val="185665E6"/>
    <w:rsid w:val="185C2201"/>
    <w:rsid w:val="185F390F"/>
    <w:rsid w:val="1881137E"/>
    <w:rsid w:val="188678B5"/>
    <w:rsid w:val="18A112AB"/>
    <w:rsid w:val="18DC0363"/>
    <w:rsid w:val="18E55300"/>
    <w:rsid w:val="18F9373F"/>
    <w:rsid w:val="191252AC"/>
    <w:rsid w:val="192A37C4"/>
    <w:rsid w:val="19464ECF"/>
    <w:rsid w:val="19AC425C"/>
    <w:rsid w:val="19AC5F87"/>
    <w:rsid w:val="19CF1C75"/>
    <w:rsid w:val="19CF26DE"/>
    <w:rsid w:val="19E57C8E"/>
    <w:rsid w:val="1A07140F"/>
    <w:rsid w:val="1A247436"/>
    <w:rsid w:val="1A2A20F6"/>
    <w:rsid w:val="1A5403CD"/>
    <w:rsid w:val="1A683196"/>
    <w:rsid w:val="1A6F63AC"/>
    <w:rsid w:val="1A7753E7"/>
    <w:rsid w:val="1AB43076"/>
    <w:rsid w:val="1ACE7386"/>
    <w:rsid w:val="1AE33019"/>
    <w:rsid w:val="1AEC355A"/>
    <w:rsid w:val="1AF939EA"/>
    <w:rsid w:val="1B0943CF"/>
    <w:rsid w:val="1B1F6201"/>
    <w:rsid w:val="1B1F6599"/>
    <w:rsid w:val="1B821A59"/>
    <w:rsid w:val="1BA65FD2"/>
    <w:rsid w:val="1BA70E62"/>
    <w:rsid w:val="1BAF6202"/>
    <w:rsid w:val="1BCE536A"/>
    <w:rsid w:val="1BD46449"/>
    <w:rsid w:val="1BF86C40"/>
    <w:rsid w:val="1BFE03A6"/>
    <w:rsid w:val="1C16002F"/>
    <w:rsid w:val="1C273375"/>
    <w:rsid w:val="1C2F4F54"/>
    <w:rsid w:val="1C370440"/>
    <w:rsid w:val="1C5A32C4"/>
    <w:rsid w:val="1C6F07C5"/>
    <w:rsid w:val="1C9713E1"/>
    <w:rsid w:val="1C990419"/>
    <w:rsid w:val="1CC11C6B"/>
    <w:rsid w:val="1CCA3C18"/>
    <w:rsid w:val="1D077978"/>
    <w:rsid w:val="1D1B04E9"/>
    <w:rsid w:val="1D1B55EF"/>
    <w:rsid w:val="1D3F320D"/>
    <w:rsid w:val="1D521E73"/>
    <w:rsid w:val="1D6848BB"/>
    <w:rsid w:val="1DF511FB"/>
    <w:rsid w:val="1DFD14A7"/>
    <w:rsid w:val="1E061CFD"/>
    <w:rsid w:val="1E3F1AF9"/>
    <w:rsid w:val="1E4638FF"/>
    <w:rsid w:val="1E4E5E7E"/>
    <w:rsid w:val="1E894AFB"/>
    <w:rsid w:val="1E904780"/>
    <w:rsid w:val="1EAF59BC"/>
    <w:rsid w:val="1EB34EF6"/>
    <w:rsid w:val="1EB8717C"/>
    <w:rsid w:val="1EC23FCC"/>
    <w:rsid w:val="1ED60FA2"/>
    <w:rsid w:val="1EE4475C"/>
    <w:rsid w:val="1F220A99"/>
    <w:rsid w:val="1F28633A"/>
    <w:rsid w:val="1F2D6C6D"/>
    <w:rsid w:val="1F3C5FFF"/>
    <w:rsid w:val="1F54471C"/>
    <w:rsid w:val="1F5B5969"/>
    <w:rsid w:val="1F691AD6"/>
    <w:rsid w:val="1FBF0E43"/>
    <w:rsid w:val="1FBF3FCE"/>
    <w:rsid w:val="1FF13FC9"/>
    <w:rsid w:val="2012202A"/>
    <w:rsid w:val="203B14AE"/>
    <w:rsid w:val="205D1405"/>
    <w:rsid w:val="20C462AC"/>
    <w:rsid w:val="210A47C4"/>
    <w:rsid w:val="212B46A7"/>
    <w:rsid w:val="215D163E"/>
    <w:rsid w:val="215F78CB"/>
    <w:rsid w:val="21785D96"/>
    <w:rsid w:val="21861BE1"/>
    <w:rsid w:val="218A6C15"/>
    <w:rsid w:val="219958B3"/>
    <w:rsid w:val="21A46D1F"/>
    <w:rsid w:val="226C414C"/>
    <w:rsid w:val="227C7DB0"/>
    <w:rsid w:val="22897FA8"/>
    <w:rsid w:val="22BB548D"/>
    <w:rsid w:val="22E374E9"/>
    <w:rsid w:val="231132FF"/>
    <w:rsid w:val="23152484"/>
    <w:rsid w:val="23447AAE"/>
    <w:rsid w:val="23473B40"/>
    <w:rsid w:val="23752409"/>
    <w:rsid w:val="24731CA2"/>
    <w:rsid w:val="24785781"/>
    <w:rsid w:val="24835AAE"/>
    <w:rsid w:val="24910197"/>
    <w:rsid w:val="24B816AA"/>
    <w:rsid w:val="24C446EB"/>
    <w:rsid w:val="24C67519"/>
    <w:rsid w:val="24CE594B"/>
    <w:rsid w:val="24F97F36"/>
    <w:rsid w:val="256C2605"/>
    <w:rsid w:val="25AB07BE"/>
    <w:rsid w:val="25BC57A4"/>
    <w:rsid w:val="25C02408"/>
    <w:rsid w:val="25C662F0"/>
    <w:rsid w:val="2601765A"/>
    <w:rsid w:val="261B419B"/>
    <w:rsid w:val="26306DFF"/>
    <w:rsid w:val="26720A84"/>
    <w:rsid w:val="26920BFA"/>
    <w:rsid w:val="26A45A66"/>
    <w:rsid w:val="26B27891"/>
    <w:rsid w:val="26C33638"/>
    <w:rsid w:val="26D7485F"/>
    <w:rsid w:val="26E208D5"/>
    <w:rsid w:val="271A33B1"/>
    <w:rsid w:val="2742617D"/>
    <w:rsid w:val="276A23F6"/>
    <w:rsid w:val="27C43035"/>
    <w:rsid w:val="27DC26AF"/>
    <w:rsid w:val="27E10833"/>
    <w:rsid w:val="27ED7221"/>
    <w:rsid w:val="28155E4E"/>
    <w:rsid w:val="282E04AF"/>
    <w:rsid w:val="28375EB1"/>
    <w:rsid w:val="284C1B65"/>
    <w:rsid w:val="286A45E6"/>
    <w:rsid w:val="289724F8"/>
    <w:rsid w:val="28B74948"/>
    <w:rsid w:val="28BB61E6"/>
    <w:rsid w:val="28C71961"/>
    <w:rsid w:val="28D13F35"/>
    <w:rsid w:val="29414E7D"/>
    <w:rsid w:val="296D02FE"/>
    <w:rsid w:val="29986104"/>
    <w:rsid w:val="29A547A1"/>
    <w:rsid w:val="29E206D6"/>
    <w:rsid w:val="2A54151F"/>
    <w:rsid w:val="2A737D5F"/>
    <w:rsid w:val="2A9E18CF"/>
    <w:rsid w:val="2AD839F2"/>
    <w:rsid w:val="2AF8432B"/>
    <w:rsid w:val="2AFD56B7"/>
    <w:rsid w:val="2B047B67"/>
    <w:rsid w:val="2B42718D"/>
    <w:rsid w:val="2B473E11"/>
    <w:rsid w:val="2B4C75CA"/>
    <w:rsid w:val="2B8072A0"/>
    <w:rsid w:val="2B8757AE"/>
    <w:rsid w:val="2B931C87"/>
    <w:rsid w:val="2BA76EDC"/>
    <w:rsid w:val="2BDA24ED"/>
    <w:rsid w:val="2BFC17AD"/>
    <w:rsid w:val="2C0548D3"/>
    <w:rsid w:val="2C1A0D75"/>
    <w:rsid w:val="2C471B3F"/>
    <w:rsid w:val="2C5B1C91"/>
    <w:rsid w:val="2C697D08"/>
    <w:rsid w:val="2C773904"/>
    <w:rsid w:val="2C9A2A5D"/>
    <w:rsid w:val="2CD508AA"/>
    <w:rsid w:val="2CE30D90"/>
    <w:rsid w:val="2D142369"/>
    <w:rsid w:val="2D2263A5"/>
    <w:rsid w:val="2D4259F2"/>
    <w:rsid w:val="2D5978E6"/>
    <w:rsid w:val="2D7A31B7"/>
    <w:rsid w:val="2D985AAD"/>
    <w:rsid w:val="2DB16EB6"/>
    <w:rsid w:val="2DB739B1"/>
    <w:rsid w:val="2DC07DFB"/>
    <w:rsid w:val="2DEA08B9"/>
    <w:rsid w:val="2DF06959"/>
    <w:rsid w:val="2E0E0C09"/>
    <w:rsid w:val="2E2061A6"/>
    <w:rsid w:val="2E352D28"/>
    <w:rsid w:val="2E5C3FC8"/>
    <w:rsid w:val="2EB93B9C"/>
    <w:rsid w:val="2ECB48AC"/>
    <w:rsid w:val="2EDA2C3C"/>
    <w:rsid w:val="2F0165AD"/>
    <w:rsid w:val="2F080E4C"/>
    <w:rsid w:val="2F097320"/>
    <w:rsid w:val="2F225C67"/>
    <w:rsid w:val="2FAB5D78"/>
    <w:rsid w:val="2FE61C6B"/>
    <w:rsid w:val="301F34FF"/>
    <w:rsid w:val="30332B06"/>
    <w:rsid w:val="30473135"/>
    <w:rsid w:val="304E501B"/>
    <w:rsid w:val="305F519B"/>
    <w:rsid w:val="30816B47"/>
    <w:rsid w:val="309B5E73"/>
    <w:rsid w:val="30D970F4"/>
    <w:rsid w:val="312D43C1"/>
    <w:rsid w:val="313C5CA8"/>
    <w:rsid w:val="31567137"/>
    <w:rsid w:val="31631A21"/>
    <w:rsid w:val="31807FCD"/>
    <w:rsid w:val="318C4BC4"/>
    <w:rsid w:val="31923D9C"/>
    <w:rsid w:val="31975317"/>
    <w:rsid w:val="319F479A"/>
    <w:rsid w:val="31CD3300"/>
    <w:rsid w:val="31D46B78"/>
    <w:rsid w:val="322602DB"/>
    <w:rsid w:val="3238199A"/>
    <w:rsid w:val="32A468C7"/>
    <w:rsid w:val="33161F7E"/>
    <w:rsid w:val="33162B98"/>
    <w:rsid w:val="332A1ECC"/>
    <w:rsid w:val="33460DA3"/>
    <w:rsid w:val="33542A8B"/>
    <w:rsid w:val="336B25B7"/>
    <w:rsid w:val="337E053C"/>
    <w:rsid w:val="33A40F62"/>
    <w:rsid w:val="33A819B6"/>
    <w:rsid w:val="33CC6EC7"/>
    <w:rsid w:val="33E75117"/>
    <w:rsid w:val="34062707"/>
    <w:rsid w:val="347546FF"/>
    <w:rsid w:val="348E2A01"/>
    <w:rsid w:val="34D5148D"/>
    <w:rsid w:val="34F77A5E"/>
    <w:rsid w:val="34F77BF5"/>
    <w:rsid w:val="34F82605"/>
    <w:rsid w:val="34F900F2"/>
    <w:rsid w:val="35015B0B"/>
    <w:rsid w:val="35074A1D"/>
    <w:rsid w:val="350A771A"/>
    <w:rsid w:val="35432E68"/>
    <w:rsid w:val="357240D1"/>
    <w:rsid w:val="3596219E"/>
    <w:rsid w:val="359F2B03"/>
    <w:rsid w:val="36160D32"/>
    <w:rsid w:val="363B44C3"/>
    <w:rsid w:val="365433E3"/>
    <w:rsid w:val="3655409D"/>
    <w:rsid w:val="366C6D72"/>
    <w:rsid w:val="367E17E2"/>
    <w:rsid w:val="369B1405"/>
    <w:rsid w:val="36A24542"/>
    <w:rsid w:val="36C3270A"/>
    <w:rsid w:val="36C54E3E"/>
    <w:rsid w:val="36CC7BE6"/>
    <w:rsid w:val="36E865A3"/>
    <w:rsid w:val="36FD79CA"/>
    <w:rsid w:val="3714190D"/>
    <w:rsid w:val="372147C4"/>
    <w:rsid w:val="37307C06"/>
    <w:rsid w:val="37AA6F86"/>
    <w:rsid w:val="37B10DBF"/>
    <w:rsid w:val="37D57B6F"/>
    <w:rsid w:val="37E30714"/>
    <w:rsid w:val="3824035F"/>
    <w:rsid w:val="382611A3"/>
    <w:rsid w:val="38440D4F"/>
    <w:rsid w:val="387D5266"/>
    <w:rsid w:val="38855EC9"/>
    <w:rsid w:val="38B95F6F"/>
    <w:rsid w:val="390A7133"/>
    <w:rsid w:val="39131727"/>
    <w:rsid w:val="39447F64"/>
    <w:rsid w:val="394E1896"/>
    <w:rsid w:val="39565AB7"/>
    <w:rsid w:val="39A52687"/>
    <w:rsid w:val="39AD2802"/>
    <w:rsid w:val="39C63892"/>
    <w:rsid w:val="39CC339E"/>
    <w:rsid w:val="39DE1D35"/>
    <w:rsid w:val="39EB4452"/>
    <w:rsid w:val="39FE6B4D"/>
    <w:rsid w:val="3A6B51B5"/>
    <w:rsid w:val="3A7C2944"/>
    <w:rsid w:val="3A825089"/>
    <w:rsid w:val="3A907EB9"/>
    <w:rsid w:val="3AB30EA3"/>
    <w:rsid w:val="3AE76A6A"/>
    <w:rsid w:val="3B3111D6"/>
    <w:rsid w:val="3B3534BD"/>
    <w:rsid w:val="3B421A2D"/>
    <w:rsid w:val="3BA725FA"/>
    <w:rsid w:val="3BD52D04"/>
    <w:rsid w:val="3BF051DE"/>
    <w:rsid w:val="3BFD046C"/>
    <w:rsid w:val="3C1B31C7"/>
    <w:rsid w:val="3C39455E"/>
    <w:rsid w:val="3C9241CE"/>
    <w:rsid w:val="3CAA4150"/>
    <w:rsid w:val="3CBE00B7"/>
    <w:rsid w:val="3CD712D4"/>
    <w:rsid w:val="3CEB5B57"/>
    <w:rsid w:val="3CF3708A"/>
    <w:rsid w:val="3D4049CD"/>
    <w:rsid w:val="3DAB2E73"/>
    <w:rsid w:val="3DAE02C2"/>
    <w:rsid w:val="3DB021B2"/>
    <w:rsid w:val="3DB122E7"/>
    <w:rsid w:val="3DC542F7"/>
    <w:rsid w:val="3DDF4E6B"/>
    <w:rsid w:val="3E104487"/>
    <w:rsid w:val="3E1F291C"/>
    <w:rsid w:val="3E3068D7"/>
    <w:rsid w:val="3E374E7B"/>
    <w:rsid w:val="3E3909F2"/>
    <w:rsid w:val="3E3935EE"/>
    <w:rsid w:val="3E5A3CE1"/>
    <w:rsid w:val="3E5F442B"/>
    <w:rsid w:val="3E853D98"/>
    <w:rsid w:val="3E9D6408"/>
    <w:rsid w:val="3EB92D70"/>
    <w:rsid w:val="3EC93789"/>
    <w:rsid w:val="3EE04F23"/>
    <w:rsid w:val="3EFC132B"/>
    <w:rsid w:val="3F0E5E15"/>
    <w:rsid w:val="3F2A6593"/>
    <w:rsid w:val="3F3506CB"/>
    <w:rsid w:val="3F52287D"/>
    <w:rsid w:val="3F5E5987"/>
    <w:rsid w:val="3FA23805"/>
    <w:rsid w:val="3FAB163D"/>
    <w:rsid w:val="40075C59"/>
    <w:rsid w:val="4024470B"/>
    <w:rsid w:val="4062685E"/>
    <w:rsid w:val="40776A3F"/>
    <w:rsid w:val="40BB3B4D"/>
    <w:rsid w:val="411B561D"/>
    <w:rsid w:val="4135116F"/>
    <w:rsid w:val="41540B2E"/>
    <w:rsid w:val="415D5357"/>
    <w:rsid w:val="417E7959"/>
    <w:rsid w:val="41887598"/>
    <w:rsid w:val="41986F63"/>
    <w:rsid w:val="419E6B0F"/>
    <w:rsid w:val="41A924CD"/>
    <w:rsid w:val="41BD4926"/>
    <w:rsid w:val="41C01E85"/>
    <w:rsid w:val="41C50E8D"/>
    <w:rsid w:val="41DF25BB"/>
    <w:rsid w:val="41EE7295"/>
    <w:rsid w:val="41FB36A0"/>
    <w:rsid w:val="421223F3"/>
    <w:rsid w:val="4221518F"/>
    <w:rsid w:val="424C65B9"/>
    <w:rsid w:val="428E2B70"/>
    <w:rsid w:val="431346A4"/>
    <w:rsid w:val="43364990"/>
    <w:rsid w:val="433A140F"/>
    <w:rsid w:val="435A0517"/>
    <w:rsid w:val="436D1BAA"/>
    <w:rsid w:val="43E04140"/>
    <w:rsid w:val="43F619AE"/>
    <w:rsid w:val="43F92467"/>
    <w:rsid w:val="43FF7CCC"/>
    <w:rsid w:val="44437301"/>
    <w:rsid w:val="44BA6EFA"/>
    <w:rsid w:val="44E77038"/>
    <w:rsid w:val="452B268D"/>
    <w:rsid w:val="454D712B"/>
    <w:rsid w:val="45505AB1"/>
    <w:rsid w:val="45680F84"/>
    <w:rsid w:val="4579134D"/>
    <w:rsid w:val="45890463"/>
    <w:rsid w:val="459A042C"/>
    <w:rsid w:val="459B7941"/>
    <w:rsid w:val="45C647A2"/>
    <w:rsid w:val="45C661A4"/>
    <w:rsid w:val="45D72F87"/>
    <w:rsid w:val="45D93CA2"/>
    <w:rsid w:val="45E5704A"/>
    <w:rsid w:val="45EE5D64"/>
    <w:rsid w:val="45F10CF0"/>
    <w:rsid w:val="46270F3A"/>
    <w:rsid w:val="463F2E10"/>
    <w:rsid w:val="46495326"/>
    <w:rsid w:val="46564533"/>
    <w:rsid w:val="466D60A8"/>
    <w:rsid w:val="46BC4D06"/>
    <w:rsid w:val="46C608B0"/>
    <w:rsid w:val="46DB1B02"/>
    <w:rsid w:val="46E14C12"/>
    <w:rsid w:val="47360041"/>
    <w:rsid w:val="475A75DA"/>
    <w:rsid w:val="475E1AAB"/>
    <w:rsid w:val="476B0337"/>
    <w:rsid w:val="47A56E76"/>
    <w:rsid w:val="47E525F9"/>
    <w:rsid w:val="48145DD7"/>
    <w:rsid w:val="48A47DED"/>
    <w:rsid w:val="48A74B5A"/>
    <w:rsid w:val="4913307D"/>
    <w:rsid w:val="494A555C"/>
    <w:rsid w:val="49555F11"/>
    <w:rsid w:val="49740D11"/>
    <w:rsid w:val="497A134E"/>
    <w:rsid w:val="497C01C9"/>
    <w:rsid w:val="4985009D"/>
    <w:rsid w:val="49857991"/>
    <w:rsid w:val="49B17E7B"/>
    <w:rsid w:val="49B83F7E"/>
    <w:rsid w:val="49DD7982"/>
    <w:rsid w:val="49E548AF"/>
    <w:rsid w:val="4A132065"/>
    <w:rsid w:val="4A653DFE"/>
    <w:rsid w:val="4ABE526B"/>
    <w:rsid w:val="4AC02A08"/>
    <w:rsid w:val="4AD50ADB"/>
    <w:rsid w:val="4B230F7F"/>
    <w:rsid w:val="4B3B18FD"/>
    <w:rsid w:val="4B4546C2"/>
    <w:rsid w:val="4B706391"/>
    <w:rsid w:val="4B775925"/>
    <w:rsid w:val="4B95246F"/>
    <w:rsid w:val="4BA10E14"/>
    <w:rsid w:val="4BD47F04"/>
    <w:rsid w:val="4BDE2F06"/>
    <w:rsid w:val="4C09383B"/>
    <w:rsid w:val="4C1814B0"/>
    <w:rsid w:val="4C2957E8"/>
    <w:rsid w:val="4C753631"/>
    <w:rsid w:val="4C8E2F2F"/>
    <w:rsid w:val="4CB535E7"/>
    <w:rsid w:val="4CC76612"/>
    <w:rsid w:val="4CF44D67"/>
    <w:rsid w:val="4CFA3B7A"/>
    <w:rsid w:val="4D051665"/>
    <w:rsid w:val="4D312CFF"/>
    <w:rsid w:val="4D684E18"/>
    <w:rsid w:val="4D7C0647"/>
    <w:rsid w:val="4D7C530C"/>
    <w:rsid w:val="4DA727EE"/>
    <w:rsid w:val="4DE07676"/>
    <w:rsid w:val="4DE858FA"/>
    <w:rsid w:val="4DFA15AC"/>
    <w:rsid w:val="4E0E2460"/>
    <w:rsid w:val="4E2B70BB"/>
    <w:rsid w:val="4E3C476F"/>
    <w:rsid w:val="4E5661F8"/>
    <w:rsid w:val="4E58551B"/>
    <w:rsid w:val="4E946322"/>
    <w:rsid w:val="4EE44B34"/>
    <w:rsid w:val="4F7C44A6"/>
    <w:rsid w:val="4FA72771"/>
    <w:rsid w:val="4FAB55C8"/>
    <w:rsid w:val="4FBF20BC"/>
    <w:rsid w:val="4FD23C92"/>
    <w:rsid w:val="4FDF1B92"/>
    <w:rsid w:val="4FF8133B"/>
    <w:rsid w:val="4FFD0920"/>
    <w:rsid w:val="50043E9A"/>
    <w:rsid w:val="50287FDB"/>
    <w:rsid w:val="502B33A2"/>
    <w:rsid w:val="503B4904"/>
    <w:rsid w:val="50565AC6"/>
    <w:rsid w:val="506955BC"/>
    <w:rsid w:val="5084320D"/>
    <w:rsid w:val="50977BF5"/>
    <w:rsid w:val="509B1125"/>
    <w:rsid w:val="50F86FCF"/>
    <w:rsid w:val="51121E6C"/>
    <w:rsid w:val="512B27F4"/>
    <w:rsid w:val="51450494"/>
    <w:rsid w:val="517570AB"/>
    <w:rsid w:val="51922CE9"/>
    <w:rsid w:val="519C4174"/>
    <w:rsid w:val="51D569BB"/>
    <w:rsid w:val="51F46F6D"/>
    <w:rsid w:val="522510AD"/>
    <w:rsid w:val="52467C77"/>
    <w:rsid w:val="525A7F6F"/>
    <w:rsid w:val="526C2A4E"/>
    <w:rsid w:val="5272350A"/>
    <w:rsid w:val="52C33AD5"/>
    <w:rsid w:val="52DB10B0"/>
    <w:rsid w:val="533D65C8"/>
    <w:rsid w:val="536B2631"/>
    <w:rsid w:val="53FC29DA"/>
    <w:rsid w:val="53FE6B7D"/>
    <w:rsid w:val="540C2BB9"/>
    <w:rsid w:val="540F33E4"/>
    <w:rsid w:val="54104C1C"/>
    <w:rsid w:val="541903E8"/>
    <w:rsid w:val="543F2B37"/>
    <w:rsid w:val="544D129E"/>
    <w:rsid w:val="545A343E"/>
    <w:rsid w:val="54A4522B"/>
    <w:rsid w:val="55763F91"/>
    <w:rsid w:val="559B2B89"/>
    <w:rsid w:val="55CA71B9"/>
    <w:rsid w:val="55CB1251"/>
    <w:rsid w:val="55DF5E59"/>
    <w:rsid w:val="55EE4C56"/>
    <w:rsid w:val="567233E3"/>
    <w:rsid w:val="56BA3A61"/>
    <w:rsid w:val="56CD3967"/>
    <w:rsid w:val="57362868"/>
    <w:rsid w:val="5774783B"/>
    <w:rsid w:val="57782539"/>
    <w:rsid w:val="57825F9E"/>
    <w:rsid w:val="57906AE7"/>
    <w:rsid w:val="579E5991"/>
    <w:rsid w:val="57A557E8"/>
    <w:rsid w:val="57C94C59"/>
    <w:rsid w:val="580B4A27"/>
    <w:rsid w:val="5813309A"/>
    <w:rsid w:val="58313DF7"/>
    <w:rsid w:val="58357612"/>
    <w:rsid w:val="584A3E8D"/>
    <w:rsid w:val="588B0E82"/>
    <w:rsid w:val="58900246"/>
    <w:rsid w:val="58B101BD"/>
    <w:rsid w:val="58B86286"/>
    <w:rsid w:val="58E02A3C"/>
    <w:rsid w:val="58F42B1B"/>
    <w:rsid w:val="59407EBE"/>
    <w:rsid w:val="595124C8"/>
    <w:rsid w:val="598C1154"/>
    <w:rsid w:val="599B2597"/>
    <w:rsid w:val="59B2243E"/>
    <w:rsid w:val="59F16247"/>
    <w:rsid w:val="5A500024"/>
    <w:rsid w:val="5A714FEF"/>
    <w:rsid w:val="5A751DEA"/>
    <w:rsid w:val="5A8A05E6"/>
    <w:rsid w:val="5AC316C5"/>
    <w:rsid w:val="5ADA57C9"/>
    <w:rsid w:val="5ADF381D"/>
    <w:rsid w:val="5AE64A95"/>
    <w:rsid w:val="5B37559B"/>
    <w:rsid w:val="5B3B16EE"/>
    <w:rsid w:val="5B4B77BA"/>
    <w:rsid w:val="5B6360D8"/>
    <w:rsid w:val="5B67653B"/>
    <w:rsid w:val="5B7E79F8"/>
    <w:rsid w:val="5B8F0C89"/>
    <w:rsid w:val="5B977B3E"/>
    <w:rsid w:val="5BA17930"/>
    <w:rsid w:val="5BBE3726"/>
    <w:rsid w:val="5BC50F0C"/>
    <w:rsid w:val="5BD479D9"/>
    <w:rsid w:val="5BD54C15"/>
    <w:rsid w:val="5BE75704"/>
    <w:rsid w:val="5BED655E"/>
    <w:rsid w:val="5C165098"/>
    <w:rsid w:val="5C594399"/>
    <w:rsid w:val="5C5C5033"/>
    <w:rsid w:val="5C7B3B86"/>
    <w:rsid w:val="5C970359"/>
    <w:rsid w:val="5D21480B"/>
    <w:rsid w:val="5D4A6D8C"/>
    <w:rsid w:val="5D4C08EA"/>
    <w:rsid w:val="5D50269A"/>
    <w:rsid w:val="5D5615C2"/>
    <w:rsid w:val="5D6D4FFA"/>
    <w:rsid w:val="5DF104C2"/>
    <w:rsid w:val="5E0A45F7"/>
    <w:rsid w:val="5E0F7E5F"/>
    <w:rsid w:val="5E1F0AF7"/>
    <w:rsid w:val="5E4E6595"/>
    <w:rsid w:val="5E781EA8"/>
    <w:rsid w:val="5E7975CE"/>
    <w:rsid w:val="5E7D301B"/>
    <w:rsid w:val="5EB65F8B"/>
    <w:rsid w:val="5F085586"/>
    <w:rsid w:val="5F2D401F"/>
    <w:rsid w:val="5F4F7F6E"/>
    <w:rsid w:val="5F6D366C"/>
    <w:rsid w:val="5F8A3A03"/>
    <w:rsid w:val="5F967193"/>
    <w:rsid w:val="5FA61C9B"/>
    <w:rsid w:val="5FD01E88"/>
    <w:rsid w:val="5FE34CE5"/>
    <w:rsid w:val="602B1D4B"/>
    <w:rsid w:val="60314360"/>
    <w:rsid w:val="6045450E"/>
    <w:rsid w:val="60655BC8"/>
    <w:rsid w:val="60F9527C"/>
    <w:rsid w:val="614D7107"/>
    <w:rsid w:val="615869F6"/>
    <w:rsid w:val="61782EFE"/>
    <w:rsid w:val="61CF1EB9"/>
    <w:rsid w:val="61EC6E71"/>
    <w:rsid w:val="62623041"/>
    <w:rsid w:val="62823D82"/>
    <w:rsid w:val="62AF1C11"/>
    <w:rsid w:val="62C03E1E"/>
    <w:rsid w:val="62E04EBD"/>
    <w:rsid w:val="62F73A40"/>
    <w:rsid w:val="630B65D4"/>
    <w:rsid w:val="631303F2"/>
    <w:rsid w:val="63404E3C"/>
    <w:rsid w:val="634C24C3"/>
    <w:rsid w:val="636619A6"/>
    <w:rsid w:val="63683A9F"/>
    <w:rsid w:val="63A728E8"/>
    <w:rsid w:val="63B302C1"/>
    <w:rsid w:val="63CC0AE7"/>
    <w:rsid w:val="63F92F01"/>
    <w:rsid w:val="641960BC"/>
    <w:rsid w:val="643F0FA8"/>
    <w:rsid w:val="64421BCC"/>
    <w:rsid w:val="64581217"/>
    <w:rsid w:val="64D819B8"/>
    <w:rsid w:val="64DA64D4"/>
    <w:rsid w:val="64DF4596"/>
    <w:rsid w:val="64E21E2A"/>
    <w:rsid w:val="650140D3"/>
    <w:rsid w:val="651C031C"/>
    <w:rsid w:val="65685739"/>
    <w:rsid w:val="656C280B"/>
    <w:rsid w:val="659B1430"/>
    <w:rsid w:val="65CB604B"/>
    <w:rsid w:val="65CD0D2C"/>
    <w:rsid w:val="65E55410"/>
    <w:rsid w:val="6621033E"/>
    <w:rsid w:val="662B7800"/>
    <w:rsid w:val="66511D15"/>
    <w:rsid w:val="66EB4947"/>
    <w:rsid w:val="670342B7"/>
    <w:rsid w:val="672C3CCB"/>
    <w:rsid w:val="67306E97"/>
    <w:rsid w:val="67312C23"/>
    <w:rsid w:val="673803E9"/>
    <w:rsid w:val="673B1886"/>
    <w:rsid w:val="67D846AE"/>
    <w:rsid w:val="67DE1B6A"/>
    <w:rsid w:val="67E44C3F"/>
    <w:rsid w:val="68002477"/>
    <w:rsid w:val="68110D0F"/>
    <w:rsid w:val="68324039"/>
    <w:rsid w:val="684352D5"/>
    <w:rsid w:val="68B4086D"/>
    <w:rsid w:val="68F9629C"/>
    <w:rsid w:val="69303AFB"/>
    <w:rsid w:val="693E79D1"/>
    <w:rsid w:val="69617D6C"/>
    <w:rsid w:val="699B3A79"/>
    <w:rsid w:val="69ED78DB"/>
    <w:rsid w:val="6A2F1B1E"/>
    <w:rsid w:val="6A686216"/>
    <w:rsid w:val="6A880126"/>
    <w:rsid w:val="6A885221"/>
    <w:rsid w:val="6ACB77BB"/>
    <w:rsid w:val="6AED1F2C"/>
    <w:rsid w:val="6B064398"/>
    <w:rsid w:val="6B1D10B5"/>
    <w:rsid w:val="6B3A006F"/>
    <w:rsid w:val="6B49343F"/>
    <w:rsid w:val="6B715133"/>
    <w:rsid w:val="6B7E6624"/>
    <w:rsid w:val="6BBC674B"/>
    <w:rsid w:val="6BBD3420"/>
    <w:rsid w:val="6BE02BCC"/>
    <w:rsid w:val="6C76202F"/>
    <w:rsid w:val="6C876B6C"/>
    <w:rsid w:val="6C894229"/>
    <w:rsid w:val="6CAD51ED"/>
    <w:rsid w:val="6CC009D0"/>
    <w:rsid w:val="6CCA3E19"/>
    <w:rsid w:val="6CFC3CA5"/>
    <w:rsid w:val="6D3B0E2F"/>
    <w:rsid w:val="6D400035"/>
    <w:rsid w:val="6D465A44"/>
    <w:rsid w:val="6D492E60"/>
    <w:rsid w:val="6D9C4036"/>
    <w:rsid w:val="6DFA3429"/>
    <w:rsid w:val="6E267689"/>
    <w:rsid w:val="6E2C376A"/>
    <w:rsid w:val="6E7973B3"/>
    <w:rsid w:val="6E8403F6"/>
    <w:rsid w:val="6E841887"/>
    <w:rsid w:val="6E9206DD"/>
    <w:rsid w:val="6ECE0EBB"/>
    <w:rsid w:val="6EEB49D8"/>
    <w:rsid w:val="6EFA06B8"/>
    <w:rsid w:val="6F0D3B5C"/>
    <w:rsid w:val="6F267B88"/>
    <w:rsid w:val="6F651FD5"/>
    <w:rsid w:val="6FF62C2D"/>
    <w:rsid w:val="6FFB0243"/>
    <w:rsid w:val="70090BB2"/>
    <w:rsid w:val="700E0A86"/>
    <w:rsid w:val="70496B22"/>
    <w:rsid w:val="70855382"/>
    <w:rsid w:val="708B54FA"/>
    <w:rsid w:val="70A3417B"/>
    <w:rsid w:val="70AA0CB9"/>
    <w:rsid w:val="70B7739F"/>
    <w:rsid w:val="70E7131E"/>
    <w:rsid w:val="712F4EED"/>
    <w:rsid w:val="713F2D19"/>
    <w:rsid w:val="71467E3F"/>
    <w:rsid w:val="715617A4"/>
    <w:rsid w:val="71A54B64"/>
    <w:rsid w:val="71A67507"/>
    <w:rsid w:val="71CA0A17"/>
    <w:rsid w:val="7202642B"/>
    <w:rsid w:val="72145E3A"/>
    <w:rsid w:val="72360220"/>
    <w:rsid w:val="728D0BDD"/>
    <w:rsid w:val="72FB2597"/>
    <w:rsid w:val="73016908"/>
    <w:rsid w:val="730B5B7F"/>
    <w:rsid w:val="734241F0"/>
    <w:rsid w:val="73482CC4"/>
    <w:rsid w:val="737364B4"/>
    <w:rsid w:val="73824B1D"/>
    <w:rsid w:val="73AD7AA7"/>
    <w:rsid w:val="73B27F27"/>
    <w:rsid w:val="740909E8"/>
    <w:rsid w:val="7426743E"/>
    <w:rsid w:val="743C7A22"/>
    <w:rsid w:val="743E4BA3"/>
    <w:rsid w:val="744228E5"/>
    <w:rsid w:val="74C96B62"/>
    <w:rsid w:val="74CE61C9"/>
    <w:rsid w:val="74CE7DEF"/>
    <w:rsid w:val="74E92D60"/>
    <w:rsid w:val="750278D7"/>
    <w:rsid w:val="75340B91"/>
    <w:rsid w:val="753C7334"/>
    <w:rsid w:val="754B323B"/>
    <w:rsid w:val="755C239D"/>
    <w:rsid w:val="75667113"/>
    <w:rsid w:val="757A50EF"/>
    <w:rsid w:val="758B119A"/>
    <w:rsid w:val="75C30938"/>
    <w:rsid w:val="75E67159"/>
    <w:rsid w:val="76022EB6"/>
    <w:rsid w:val="761B0991"/>
    <w:rsid w:val="76364D93"/>
    <w:rsid w:val="763C357C"/>
    <w:rsid w:val="76481CD3"/>
    <w:rsid w:val="766A4BC9"/>
    <w:rsid w:val="76C577FD"/>
    <w:rsid w:val="76ED056A"/>
    <w:rsid w:val="76FC1F1B"/>
    <w:rsid w:val="771816DB"/>
    <w:rsid w:val="777008ED"/>
    <w:rsid w:val="77745802"/>
    <w:rsid w:val="777D5F77"/>
    <w:rsid w:val="778620B8"/>
    <w:rsid w:val="77905715"/>
    <w:rsid w:val="77D00630"/>
    <w:rsid w:val="77E70419"/>
    <w:rsid w:val="77EB6DF0"/>
    <w:rsid w:val="77F60940"/>
    <w:rsid w:val="77F959B0"/>
    <w:rsid w:val="78076F81"/>
    <w:rsid w:val="782874DA"/>
    <w:rsid w:val="78501572"/>
    <w:rsid w:val="78541FB3"/>
    <w:rsid w:val="78586DBF"/>
    <w:rsid w:val="78774B27"/>
    <w:rsid w:val="787F376C"/>
    <w:rsid w:val="78B52455"/>
    <w:rsid w:val="78E323D4"/>
    <w:rsid w:val="78FA022F"/>
    <w:rsid w:val="78FD6A86"/>
    <w:rsid w:val="791C4226"/>
    <w:rsid w:val="794C2489"/>
    <w:rsid w:val="794C77CC"/>
    <w:rsid w:val="79752E15"/>
    <w:rsid w:val="79A635B8"/>
    <w:rsid w:val="79DE3700"/>
    <w:rsid w:val="79E61F64"/>
    <w:rsid w:val="7A0C2F65"/>
    <w:rsid w:val="7A123DA1"/>
    <w:rsid w:val="7A1A45DD"/>
    <w:rsid w:val="7A4A706D"/>
    <w:rsid w:val="7A6115EB"/>
    <w:rsid w:val="7A6D48C0"/>
    <w:rsid w:val="7A736940"/>
    <w:rsid w:val="7A98418F"/>
    <w:rsid w:val="7AC77031"/>
    <w:rsid w:val="7AE24577"/>
    <w:rsid w:val="7AEC35AA"/>
    <w:rsid w:val="7AFE2227"/>
    <w:rsid w:val="7B0A7CBC"/>
    <w:rsid w:val="7B1A486E"/>
    <w:rsid w:val="7B435DBE"/>
    <w:rsid w:val="7B8E7EEC"/>
    <w:rsid w:val="7BA26033"/>
    <w:rsid w:val="7BA6640F"/>
    <w:rsid w:val="7BC81A20"/>
    <w:rsid w:val="7BEE1287"/>
    <w:rsid w:val="7C02295A"/>
    <w:rsid w:val="7C084414"/>
    <w:rsid w:val="7C800FB1"/>
    <w:rsid w:val="7C8D2B6B"/>
    <w:rsid w:val="7CB23060"/>
    <w:rsid w:val="7CC320E9"/>
    <w:rsid w:val="7CE564BE"/>
    <w:rsid w:val="7CEB65C0"/>
    <w:rsid w:val="7D137721"/>
    <w:rsid w:val="7D150D7F"/>
    <w:rsid w:val="7D3923AB"/>
    <w:rsid w:val="7D7171F6"/>
    <w:rsid w:val="7D8A0907"/>
    <w:rsid w:val="7DA119B4"/>
    <w:rsid w:val="7DAF065D"/>
    <w:rsid w:val="7DB677E5"/>
    <w:rsid w:val="7DCD1E14"/>
    <w:rsid w:val="7DDC24B2"/>
    <w:rsid w:val="7DF7797A"/>
    <w:rsid w:val="7E354D13"/>
    <w:rsid w:val="7E635CC6"/>
    <w:rsid w:val="7EC74E4B"/>
    <w:rsid w:val="7F231565"/>
    <w:rsid w:val="7F6A2CF0"/>
    <w:rsid w:val="7FD41E39"/>
    <w:rsid w:val="7FE71E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0"/>
    <w:autoRedefine/>
    <w:qFormat/>
    <w:uiPriority w:val="99"/>
    <w:pPr>
      <w:keepNext/>
      <w:keepLines/>
      <w:autoSpaceDE w:val="0"/>
      <w:autoSpaceDN w:val="0"/>
      <w:adjustRightInd w:val="0"/>
      <w:spacing w:before="240" w:after="120" w:line="300" w:lineRule="auto"/>
      <w:jc w:val="center"/>
      <w:outlineLvl w:val="0"/>
    </w:pPr>
    <w:rPr>
      <w:rFonts w:ascii="宋体" w:cs="宋体"/>
      <w:kern w:val="44"/>
      <w:sz w:val="32"/>
      <w:szCs w:val="32"/>
    </w:rPr>
  </w:style>
  <w:style w:type="paragraph" w:styleId="3">
    <w:name w:val="heading 2"/>
    <w:basedOn w:val="1"/>
    <w:next w:val="4"/>
    <w:link w:val="41"/>
    <w:autoRedefine/>
    <w:qFormat/>
    <w:uiPriority w:val="99"/>
    <w:pPr>
      <w:keepNext/>
      <w:keepLines/>
      <w:autoSpaceDE w:val="0"/>
      <w:autoSpaceDN w:val="0"/>
      <w:adjustRightInd w:val="0"/>
      <w:spacing w:before="120" w:line="300" w:lineRule="auto"/>
      <w:jc w:val="center"/>
      <w:outlineLvl w:val="1"/>
    </w:pPr>
    <w:rPr>
      <w:rFonts w:ascii="Arial" w:hAnsi="Arial" w:eastAsia="黑体" w:cs="Arial"/>
      <w:kern w:val="0"/>
      <w:sz w:val="30"/>
      <w:szCs w:val="30"/>
    </w:rPr>
  </w:style>
  <w:style w:type="paragraph" w:styleId="6">
    <w:name w:val="heading 3"/>
    <w:basedOn w:val="1"/>
    <w:next w:val="1"/>
    <w:link w:val="42"/>
    <w:autoRedefine/>
    <w:qFormat/>
    <w:uiPriority w:val="99"/>
    <w:pPr>
      <w:spacing w:before="360" w:after="120"/>
      <w:jc w:val="left"/>
      <w:outlineLvl w:val="2"/>
    </w:pPr>
    <w:rPr>
      <w:rFonts w:ascii="宋体" w:cs="宋体"/>
      <w:b/>
      <w:bCs/>
      <w:sz w:val="24"/>
      <w:szCs w:val="24"/>
      <w:u w:val="single"/>
    </w:rPr>
  </w:style>
  <w:style w:type="paragraph" w:styleId="7">
    <w:name w:val="heading 4"/>
    <w:basedOn w:val="1"/>
    <w:next w:val="1"/>
    <w:link w:val="43"/>
    <w:autoRedefine/>
    <w:qFormat/>
    <w:uiPriority w:val="99"/>
    <w:pPr>
      <w:keepNext/>
      <w:keepLines/>
      <w:spacing w:before="280" w:after="290" w:line="374" w:lineRule="auto"/>
      <w:ind w:left="1296" w:hanging="1296"/>
      <w:jc w:val="left"/>
      <w:outlineLvl w:val="3"/>
    </w:pPr>
    <w:rPr>
      <w:rFonts w:ascii="Cambria" w:hAnsi="Cambria" w:eastAsia="黑体" w:cs="Cambria"/>
      <w:kern w:val="0"/>
      <w:sz w:val="28"/>
      <w:szCs w:val="28"/>
    </w:rPr>
  </w:style>
  <w:style w:type="paragraph" w:styleId="8">
    <w:name w:val="heading 5"/>
    <w:basedOn w:val="1"/>
    <w:next w:val="1"/>
    <w:link w:val="44"/>
    <w:autoRedefine/>
    <w:qFormat/>
    <w:uiPriority w:val="99"/>
    <w:pPr>
      <w:keepNext/>
      <w:keepLines/>
      <w:spacing w:line="372" w:lineRule="auto"/>
      <w:outlineLvl w:val="4"/>
    </w:pPr>
    <w:rPr>
      <w:b/>
      <w:bCs/>
      <w:sz w:val="28"/>
      <w:szCs w:val="28"/>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99"/>
    <w:pPr>
      <w:autoSpaceDE w:val="0"/>
      <w:autoSpaceDN w:val="0"/>
      <w:adjustRightInd w:val="0"/>
      <w:ind w:firstLine="420"/>
      <w:jc w:val="left"/>
    </w:pPr>
    <w:rPr>
      <w:rFonts w:ascii="宋体" w:cs="宋体"/>
      <w:kern w:val="0"/>
      <w:sz w:val="24"/>
      <w:szCs w:val="24"/>
    </w:rPr>
  </w:style>
  <w:style w:type="paragraph" w:styleId="5">
    <w:name w:val="toa heading"/>
    <w:basedOn w:val="1"/>
    <w:next w:val="1"/>
    <w:autoRedefine/>
    <w:qFormat/>
    <w:uiPriority w:val="99"/>
    <w:pPr>
      <w:spacing w:before="120"/>
    </w:pPr>
    <w:rPr>
      <w:rFonts w:ascii="Cambria" w:hAnsi="Cambria" w:cs="Cambria"/>
      <w:sz w:val="24"/>
      <w:szCs w:val="24"/>
    </w:rPr>
  </w:style>
  <w:style w:type="paragraph" w:styleId="9">
    <w:name w:val="annotation text"/>
    <w:basedOn w:val="1"/>
    <w:autoRedefine/>
    <w:qFormat/>
    <w:uiPriority w:val="0"/>
    <w:rPr>
      <w:sz w:val="20"/>
      <w:szCs w:val="20"/>
    </w:rPr>
  </w:style>
  <w:style w:type="paragraph" w:styleId="10">
    <w:name w:val="index 6"/>
    <w:basedOn w:val="1"/>
    <w:next w:val="1"/>
    <w:autoRedefine/>
    <w:qFormat/>
    <w:uiPriority w:val="99"/>
    <w:pPr>
      <w:ind w:left="2100"/>
    </w:pPr>
  </w:style>
  <w:style w:type="paragraph" w:styleId="11">
    <w:name w:val="Body Text"/>
    <w:basedOn w:val="1"/>
    <w:link w:val="45"/>
    <w:autoRedefine/>
    <w:qFormat/>
    <w:uiPriority w:val="99"/>
    <w:pPr>
      <w:tabs>
        <w:tab w:val="left" w:pos="567"/>
      </w:tabs>
      <w:spacing w:before="120" w:line="22" w:lineRule="atLeast"/>
    </w:pPr>
    <w:rPr>
      <w:rFonts w:ascii="宋体" w:hAnsi="宋体" w:cs="宋体"/>
      <w:sz w:val="24"/>
      <w:szCs w:val="24"/>
    </w:rPr>
  </w:style>
  <w:style w:type="paragraph" w:styleId="12">
    <w:name w:val="Body Text Indent"/>
    <w:basedOn w:val="1"/>
    <w:link w:val="46"/>
    <w:autoRedefine/>
    <w:qFormat/>
    <w:uiPriority w:val="99"/>
    <w:pPr>
      <w:spacing w:line="360" w:lineRule="auto"/>
      <w:ind w:firstLine="570"/>
    </w:pPr>
    <w:rPr>
      <w:sz w:val="24"/>
      <w:szCs w:val="24"/>
    </w:rPr>
  </w:style>
  <w:style w:type="paragraph" w:styleId="13">
    <w:name w:val="List 2"/>
    <w:basedOn w:val="1"/>
    <w:autoRedefine/>
    <w:qFormat/>
    <w:uiPriority w:val="0"/>
    <w:pPr>
      <w:ind w:left="100" w:leftChars="200" w:hanging="200" w:hangingChars="200"/>
      <w:contextualSpacing/>
    </w:pPr>
  </w:style>
  <w:style w:type="paragraph" w:styleId="14">
    <w:name w:val="toc 3"/>
    <w:basedOn w:val="1"/>
    <w:next w:val="1"/>
    <w:autoRedefine/>
    <w:qFormat/>
    <w:uiPriority w:val="99"/>
    <w:pPr>
      <w:ind w:left="840" w:leftChars="400"/>
    </w:pPr>
  </w:style>
  <w:style w:type="paragraph" w:styleId="15">
    <w:name w:val="Plain Text"/>
    <w:basedOn w:val="1"/>
    <w:next w:val="16"/>
    <w:link w:val="47"/>
    <w:autoRedefine/>
    <w:qFormat/>
    <w:uiPriority w:val="99"/>
    <w:rPr>
      <w:rFonts w:ascii="宋体" w:hAnsi="Courier New" w:cs="宋体"/>
    </w:rPr>
  </w:style>
  <w:style w:type="paragraph" w:styleId="16">
    <w:name w:val="index 7"/>
    <w:basedOn w:val="1"/>
    <w:next w:val="1"/>
    <w:autoRedefine/>
    <w:qFormat/>
    <w:uiPriority w:val="0"/>
    <w:pPr>
      <w:ind w:left="1200" w:leftChars="1200"/>
    </w:pPr>
    <w:rPr>
      <w:szCs w:val="24"/>
    </w:rPr>
  </w:style>
  <w:style w:type="paragraph" w:styleId="17">
    <w:name w:val="Date"/>
    <w:basedOn w:val="1"/>
    <w:next w:val="1"/>
    <w:autoRedefine/>
    <w:qFormat/>
    <w:uiPriority w:val="0"/>
    <w:rPr>
      <w:szCs w:val="20"/>
    </w:rPr>
  </w:style>
  <w:style w:type="paragraph" w:styleId="18">
    <w:name w:val="Body Text Indent 2"/>
    <w:basedOn w:val="1"/>
    <w:autoRedefine/>
    <w:qFormat/>
    <w:uiPriority w:val="0"/>
    <w:pPr>
      <w:spacing w:line="520" w:lineRule="atLeast"/>
      <w:ind w:firstLine="420" w:firstLineChars="200"/>
    </w:pPr>
    <w:rPr>
      <w:szCs w:val="24"/>
    </w:rPr>
  </w:style>
  <w:style w:type="paragraph" w:styleId="19">
    <w:name w:val="footer"/>
    <w:basedOn w:val="1"/>
    <w:link w:val="48"/>
    <w:autoRedefine/>
    <w:qFormat/>
    <w:uiPriority w:val="99"/>
    <w:pPr>
      <w:tabs>
        <w:tab w:val="center" w:pos="4153"/>
        <w:tab w:val="right" w:pos="8306"/>
      </w:tabs>
      <w:autoSpaceDE w:val="0"/>
      <w:autoSpaceDN w:val="0"/>
      <w:adjustRightInd w:val="0"/>
      <w:snapToGrid w:val="0"/>
      <w:jc w:val="left"/>
    </w:pPr>
    <w:rPr>
      <w:rFonts w:ascii="宋体" w:cs="宋体"/>
      <w:kern w:val="0"/>
      <w:sz w:val="18"/>
      <w:szCs w:val="18"/>
    </w:rPr>
  </w:style>
  <w:style w:type="paragraph" w:styleId="20">
    <w:name w:val="header"/>
    <w:basedOn w:val="1"/>
    <w:link w:val="49"/>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99"/>
  </w:style>
  <w:style w:type="paragraph" w:styleId="22">
    <w:name w:val="List"/>
    <w:basedOn w:val="1"/>
    <w:qFormat/>
    <w:uiPriority w:val="0"/>
    <w:pPr>
      <w:ind w:left="200" w:hanging="200" w:hangingChars="200"/>
    </w:pPr>
    <w:rPr>
      <w:kern w:val="2"/>
      <w:sz w:val="21"/>
    </w:rPr>
  </w:style>
  <w:style w:type="paragraph" w:styleId="23">
    <w:name w:val="footnote text"/>
    <w:basedOn w:val="1"/>
    <w:link w:val="50"/>
    <w:autoRedefine/>
    <w:qFormat/>
    <w:uiPriority w:val="99"/>
    <w:pPr>
      <w:snapToGrid w:val="0"/>
      <w:jc w:val="left"/>
    </w:pPr>
    <w:rPr>
      <w:sz w:val="18"/>
      <w:szCs w:val="18"/>
    </w:rPr>
  </w:style>
  <w:style w:type="paragraph" w:styleId="24">
    <w:name w:val="toc 2"/>
    <w:basedOn w:val="1"/>
    <w:next w:val="1"/>
    <w:autoRedefine/>
    <w:qFormat/>
    <w:uiPriority w:val="99"/>
    <w:pPr>
      <w:ind w:left="420" w:leftChars="200"/>
    </w:pPr>
  </w:style>
  <w:style w:type="paragraph" w:styleId="2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6">
    <w:name w:val="Normal (Web)"/>
    <w:basedOn w:val="1"/>
    <w:autoRedefine/>
    <w:qFormat/>
    <w:uiPriority w:val="99"/>
    <w:pPr>
      <w:spacing w:before="100" w:beforeAutospacing="1" w:after="100" w:afterAutospacing="1"/>
      <w:jc w:val="left"/>
    </w:pPr>
    <w:rPr>
      <w:rFonts w:ascii="Calibri" w:hAnsi="Calibri" w:cs="Calibri"/>
      <w:kern w:val="0"/>
      <w:sz w:val="24"/>
      <w:szCs w:val="24"/>
    </w:rPr>
  </w:style>
  <w:style w:type="paragraph" w:styleId="27">
    <w:name w:val="Title"/>
    <w:basedOn w:val="1"/>
    <w:autoRedefine/>
    <w:qFormat/>
    <w:uiPriority w:val="10"/>
    <w:pPr>
      <w:spacing w:before="240" w:after="60"/>
      <w:jc w:val="center"/>
      <w:outlineLvl w:val="0"/>
    </w:pPr>
    <w:rPr>
      <w:rFonts w:ascii="Cambria" w:hAnsi="Cambria"/>
      <w:b/>
      <w:bCs/>
      <w:sz w:val="32"/>
      <w:szCs w:val="32"/>
    </w:rPr>
  </w:style>
  <w:style w:type="paragraph" w:styleId="28">
    <w:name w:val="Body Text First Indent"/>
    <w:basedOn w:val="11"/>
    <w:link w:val="51"/>
    <w:autoRedefine/>
    <w:qFormat/>
    <w:uiPriority w:val="99"/>
    <w:pPr>
      <w:autoSpaceDE w:val="0"/>
      <w:autoSpaceDN w:val="0"/>
      <w:adjustRightInd w:val="0"/>
      <w:spacing w:line="312" w:lineRule="atLeast"/>
      <w:ind w:firstLine="420"/>
    </w:pPr>
    <w:rPr>
      <w:kern w:val="0"/>
    </w:rPr>
  </w:style>
  <w:style w:type="paragraph" w:styleId="29">
    <w:name w:val="Body Text First Indent 2"/>
    <w:basedOn w:val="12"/>
    <w:next w:val="1"/>
    <w:link w:val="52"/>
    <w:autoRedefine/>
    <w:qFormat/>
    <w:uiPriority w:val="99"/>
    <w:pPr>
      <w:ind w:firstLine="420" w:firstLineChars="200"/>
    </w:pPr>
  </w:style>
  <w:style w:type="table" w:styleId="31">
    <w:name w:val="Table Grid"/>
    <w:basedOn w:val="3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autoRedefine/>
    <w:qFormat/>
    <w:uiPriority w:val="22"/>
    <w:rPr>
      <w:b/>
    </w:rPr>
  </w:style>
  <w:style w:type="character" w:styleId="34">
    <w:name w:val="page number"/>
    <w:basedOn w:val="32"/>
    <w:autoRedefine/>
    <w:qFormat/>
    <w:uiPriority w:val="99"/>
    <w:rPr>
      <w:rFonts w:ascii="Times New Roman" w:hAnsi="Times New Roman" w:eastAsia="宋体" w:cs="Times New Roman"/>
    </w:rPr>
  </w:style>
  <w:style w:type="character" w:styleId="35">
    <w:name w:val="Hyperlink"/>
    <w:basedOn w:val="32"/>
    <w:autoRedefine/>
    <w:qFormat/>
    <w:uiPriority w:val="99"/>
    <w:rPr>
      <w:color w:val="0000FF"/>
      <w:u w:val="single"/>
    </w:rPr>
  </w:style>
  <w:style w:type="character" w:styleId="36">
    <w:name w:val="annotation reference"/>
    <w:autoRedefine/>
    <w:qFormat/>
    <w:uiPriority w:val="0"/>
    <w:rPr>
      <w:sz w:val="16"/>
      <w:szCs w:val="16"/>
    </w:rPr>
  </w:style>
  <w:style w:type="character" w:styleId="37">
    <w:name w:val="HTML Sample"/>
    <w:basedOn w:val="32"/>
    <w:autoRedefine/>
    <w:semiHidden/>
    <w:unhideWhenUsed/>
    <w:qFormat/>
    <w:uiPriority w:val="99"/>
    <w:rPr>
      <w:rFonts w:ascii="Courier New" w:hAnsi="Courier New"/>
    </w:rPr>
  </w:style>
  <w:style w:type="paragraph" w:customStyle="1" w:styleId="38">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39">
    <w:name w:val="默认段落字体1"/>
    <w:autoRedefine/>
    <w:qFormat/>
    <w:uiPriority w:val="99"/>
  </w:style>
  <w:style w:type="character" w:customStyle="1" w:styleId="40">
    <w:name w:val="标题 1 Char"/>
    <w:basedOn w:val="32"/>
    <w:link w:val="2"/>
    <w:autoRedefine/>
    <w:qFormat/>
    <w:uiPriority w:val="99"/>
    <w:rPr>
      <w:rFonts w:ascii="宋体" w:hAnsi="Times New Roman" w:eastAsia="宋体" w:cs="宋体"/>
      <w:b/>
      <w:bCs/>
      <w:kern w:val="44"/>
      <w:sz w:val="20"/>
      <w:szCs w:val="20"/>
    </w:rPr>
  </w:style>
  <w:style w:type="character" w:customStyle="1" w:styleId="41">
    <w:name w:val="标题 2 Char"/>
    <w:basedOn w:val="32"/>
    <w:link w:val="3"/>
    <w:autoRedefine/>
    <w:qFormat/>
    <w:uiPriority w:val="99"/>
    <w:rPr>
      <w:rFonts w:ascii="Cambria" w:hAnsi="Cambria" w:eastAsia="宋体" w:cs="Cambria"/>
      <w:b/>
      <w:bCs/>
      <w:sz w:val="32"/>
      <w:szCs w:val="32"/>
    </w:rPr>
  </w:style>
  <w:style w:type="character" w:customStyle="1" w:styleId="42">
    <w:name w:val="标题 3 Char"/>
    <w:basedOn w:val="32"/>
    <w:link w:val="6"/>
    <w:autoRedefine/>
    <w:qFormat/>
    <w:uiPriority w:val="99"/>
    <w:rPr>
      <w:b/>
      <w:bCs/>
      <w:sz w:val="32"/>
      <w:szCs w:val="32"/>
    </w:rPr>
  </w:style>
  <w:style w:type="character" w:customStyle="1" w:styleId="43">
    <w:name w:val="标题 4 Char"/>
    <w:basedOn w:val="32"/>
    <w:link w:val="7"/>
    <w:autoRedefine/>
    <w:qFormat/>
    <w:uiPriority w:val="99"/>
    <w:rPr>
      <w:rFonts w:ascii="Cambria" w:hAnsi="Cambria" w:eastAsia="宋体" w:cs="Cambria"/>
      <w:b/>
      <w:bCs/>
      <w:sz w:val="28"/>
      <w:szCs w:val="28"/>
    </w:rPr>
  </w:style>
  <w:style w:type="character" w:customStyle="1" w:styleId="44">
    <w:name w:val="标题 5 Char"/>
    <w:basedOn w:val="32"/>
    <w:link w:val="8"/>
    <w:autoRedefine/>
    <w:qFormat/>
    <w:uiPriority w:val="99"/>
    <w:rPr>
      <w:b/>
      <w:bCs/>
      <w:sz w:val="28"/>
      <w:szCs w:val="28"/>
    </w:rPr>
  </w:style>
  <w:style w:type="character" w:customStyle="1" w:styleId="45">
    <w:name w:val="正文文本 Char"/>
    <w:basedOn w:val="32"/>
    <w:link w:val="11"/>
    <w:autoRedefine/>
    <w:qFormat/>
    <w:uiPriority w:val="99"/>
    <w:rPr>
      <w:sz w:val="21"/>
      <w:szCs w:val="21"/>
    </w:rPr>
  </w:style>
  <w:style w:type="character" w:customStyle="1" w:styleId="46">
    <w:name w:val="正文文本缩进 Char"/>
    <w:basedOn w:val="32"/>
    <w:link w:val="12"/>
    <w:autoRedefine/>
    <w:qFormat/>
    <w:uiPriority w:val="99"/>
    <w:rPr>
      <w:sz w:val="21"/>
      <w:szCs w:val="21"/>
    </w:rPr>
  </w:style>
  <w:style w:type="character" w:customStyle="1" w:styleId="47">
    <w:name w:val="纯文本 Char"/>
    <w:basedOn w:val="32"/>
    <w:link w:val="15"/>
    <w:autoRedefine/>
    <w:qFormat/>
    <w:uiPriority w:val="99"/>
    <w:rPr>
      <w:rFonts w:ascii="宋体" w:hAnsi="Courier New" w:cs="宋体"/>
      <w:sz w:val="21"/>
      <w:szCs w:val="21"/>
    </w:rPr>
  </w:style>
  <w:style w:type="character" w:customStyle="1" w:styleId="48">
    <w:name w:val="页脚 Char"/>
    <w:basedOn w:val="32"/>
    <w:link w:val="19"/>
    <w:autoRedefine/>
    <w:qFormat/>
    <w:uiPriority w:val="99"/>
    <w:rPr>
      <w:sz w:val="18"/>
      <w:szCs w:val="18"/>
    </w:rPr>
  </w:style>
  <w:style w:type="character" w:customStyle="1" w:styleId="49">
    <w:name w:val="页眉 Char"/>
    <w:basedOn w:val="32"/>
    <w:link w:val="20"/>
    <w:autoRedefine/>
    <w:qFormat/>
    <w:uiPriority w:val="99"/>
    <w:rPr>
      <w:sz w:val="18"/>
      <w:szCs w:val="18"/>
    </w:rPr>
  </w:style>
  <w:style w:type="character" w:customStyle="1" w:styleId="50">
    <w:name w:val="脚注文本 Char"/>
    <w:basedOn w:val="32"/>
    <w:link w:val="23"/>
    <w:autoRedefine/>
    <w:qFormat/>
    <w:uiPriority w:val="99"/>
    <w:rPr>
      <w:sz w:val="18"/>
      <w:szCs w:val="18"/>
    </w:rPr>
  </w:style>
  <w:style w:type="character" w:customStyle="1" w:styleId="51">
    <w:name w:val="正文首行缩进 Char"/>
    <w:basedOn w:val="45"/>
    <w:link w:val="28"/>
    <w:autoRedefine/>
    <w:qFormat/>
    <w:uiPriority w:val="99"/>
    <w:rPr>
      <w:sz w:val="21"/>
      <w:szCs w:val="21"/>
    </w:rPr>
  </w:style>
  <w:style w:type="character" w:customStyle="1" w:styleId="52">
    <w:name w:val="正文首行缩进 2 Char"/>
    <w:basedOn w:val="46"/>
    <w:link w:val="29"/>
    <w:autoRedefine/>
    <w:qFormat/>
    <w:uiPriority w:val="99"/>
    <w:rPr>
      <w:sz w:val="21"/>
      <w:szCs w:val="21"/>
    </w:rPr>
  </w:style>
  <w:style w:type="paragraph" w:customStyle="1" w:styleId="53">
    <w:name w:val="Heading2"/>
    <w:basedOn w:val="1"/>
    <w:next w:val="1"/>
    <w:autoRedefine/>
    <w:qFormat/>
    <w:uiPriority w:val="99"/>
    <w:pPr>
      <w:keepNext/>
      <w:widowControl/>
      <w:numPr>
        <w:ilvl w:val="1"/>
        <w:numId w:val="1"/>
      </w:numPr>
      <w:spacing w:before="240" w:after="60"/>
      <w:jc w:val="left"/>
      <w:textAlignment w:val="baseline"/>
    </w:pPr>
    <w:rPr>
      <w:rFonts w:ascii="Cambria" w:hAnsi="Cambria" w:cs="Cambria"/>
      <w:b/>
      <w:bCs/>
      <w:i/>
      <w:iCs/>
      <w:kern w:val="0"/>
      <w:sz w:val="28"/>
      <w:szCs w:val="28"/>
      <w:lang w:eastAsia="en-US"/>
    </w:rPr>
  </w:style>
  <w:style w:type="paragraph" w:customStyle="1" w:styleId="54">
    <w:name w:val="Default"/>
    <w:basedOn w:val="27"/>
    <w:next w:val="2"/>
    <w:autoRedefine/>
    <w:qFormat/>
    <w:uiPriority w:val="99"/>
    <w:pPr>
      <w:autoSpaceDE w:val="0"/>
      <w:autoSpaceDN w:val="0"/>
    </w:pPr>
    <w:rPr>
      <w:rFonts w:ascii="宋体" w:hAnsi="Times New Roman" w:cs="宋体"/>
      <w:color w:val="000000"/>
      <w:sz w:val="24"/>
      <w:szCs w:val="24"/>
    </w:rPr>
  </w:style>
  <w:style w:type="paragraph" w:customStyle="1" w:styleId="55">
    <w:name w:val="正文缩进1"/>
    <w:basedOn w:val="1"/>
    <w:autoRedefine/>
    <w:qFormat/>
    <w:uiPriority w:val="99"/>
    <w:pPr>
      <w:autoSpaceDE w:val="0"/>
      <w:autoSpaceDN w:val="0"/>
      <w:adjustRightInd w:val="0"/>
      <w:ind w:firstLine="420"/>
      <w:jc w:val="left"/>
    </w:pPr>
    <w:rPr>
      <w:rFonts w:ascii="宋体" w:cs="宋体"/>
      <w:kern w:val="0"/>
      <w:sz w:val="24"/>
      <w:szCs w:val="24"/>
    </w:rPr>
  </w:style>
  <w:style w:type="paragraph" w:customStyle="1" w:styleId="56">
    <w:name w:val="索引 11"/>
    <w:basedOn w:val="1"/>
    <w:next w:val="1"/>
    <w:autoRedefine/>
    <w:qFormat/>
    <w:uiPriority w:val="99"/>
    <w:pPr>
      <w:spacing w:line="360" w:lineRule="auto"/>
    </w:pPr>
    <w:rPr>
      <w:rFonts w:ascii="仿宋_GB2312" w:eastAsia="仿宋_GB2312" w:cs="仿宋_GB2312"/>
      <w:sz w:val="24"/>
      <w:szCs w:val="24"/>
    </w:rPr>
  </w:style>
  <w:style w:type="paragraph" w:customStyle="1" w:styleId="57">
    <w:name w:val="纯文本1"/>
    <w:basedOn w:val="1"/>
    <w:autoRedefine/>
    <w:qFormat/>
    <w:uiPriority w:val="99"/>
    <w:rPr>
      <w:rFonts w:ascii="宋体" w:hAnsi="Courier New" w:cs="宋体"/>
      <w:kern w:val="0"/>
      <w:sz w:val="20"/>
      <w:szCs w:val="20"/>
    </w:rPr>
  </w:style>
  <w:style w:type="character" w:customStyle="1" w:styleId="58">
    <w:name w:val="NormalCharacter"/>
    <w:autoRedefine/>
    <w:qFormat/>
    <w:uiPriority w:val="99"/>
    <w:rPr>
      <w:rFonts w:ascii="Times New Roman" w:hAnsi="Times New Roman" w:eastAsia="宋体" w:cs="Times New Roman"/>
      <w:kern w:val="2"/>
      <w:sz w:val="21"/>
      <w:szCs w:val="21"/>
      <w:lang w:val="en-US" w:eastAsia="zh-CN" w:bidi="ar-SA"/>
    </w:rPr>
  </w:style>
  <w:style w:type="paragraph" w:customStyle="1" w:styleId="59">
    <w:name w:val="UserStyle_44"/>
    <w:basedOn w:val="1"/>
    <w:autoRedefine/>
    <w:qFormat/>
    <w:uiPriority w:val="99"/>
    <w:pPr>
      <w:spacing w:before="120" w:after="120" w:line="360" w:lineRule="auto"/>
      <w:jc w:val="center"/>
    </w:pPr>
    <w:rPr>
      <w:rFonts w:eastAsia="仿宋_GB2312"/>
      <w:b/>
      <w:bCs/>
      <w:sz w:val="24"/>
      <w:szCs w:val="24"/>
    </w:rPr>
  </w:style>
  <w:style w:type="paragraph" w:customStyle="1" w:styleId="60">
    <w:name w:val="NormalIndent"/>
    <w:basedOn w:val="1"/>
    <w:autoRedefine/>
    <w:qFormat/>
    <w:uiPriority w:val="99"/>
    <w:pPr>
      <w:ind w:firstLine="420"/>
      <w:jc w:val="left"/>
    </w:pPr>
    <w:rPr>
      <w:rFonts w:ascii="宋体" w:cs="宋体"/>
      <w:kern w:val="0"/>
      <w:sz w:val="24"/>
      <w:szCs w:val="24"/>
    </w:rPr>
  </w:style>
  <w:style w:type="paragraph" w:customStyle="1" w:styleId="61">
    <w:name w:val="图例"/>
    <w:basedOn w:val="1"/>
    <w:autoRedefine/>
    <w:qFormat/>
    <w:uiPriority w:val="99"/>
    <w:pPr>
      <w:spacing w:before="120" w:after="120" w:line="360" w:lineRule="auto"/>
      <w:jc w:val="center"/>
    </w:pPr>
    <w:rPr>
      <w:rFonts w:eastAsia="仿宋_GB2312"/>
      <w:b/>
      <w:bCs/>
      <w:sz w:val="24"/>
      <w:szCs w:val="24"/>
    </w:rPr>
  </w:style>
  <w:style w:type="character" w:customStyle="1" w:styleId="62">
    <w:name w:val="font11"/>
    <w:basedOn w:val="32"/>
    <w:autoRedefine/>
    <w:qFormat/>
    <w:uiPriority w:val="99"/>
    <w:rPr>
      <w:rFonts w:ascii="宋体" w:hAnsi="宋体" w:eastAsia="宋体" w:cs="宋体"/>
      <w:color w:val="FF0000"/>
      <w:sz w:val="16"/>
      <w:szCs w:val="16"/>
      <w:u w:val="none"/>
    </w:rPr>
  </w:style>
  <w:style w:type="character" w:customStyle="1" w:styleId="63">
    <w:name w:val="font21"/>
    <w:basedOn w:val="32"/>
    <w:autoRedefine/>
    <w:qFormat/>
    <w:uiPriority w:val="99"/>
    <w:rPr>
      <w:rFonts w:ascii="宋体" w:hAnsi="宋体" w:eastAsia="宋体" w:cs="宋体"/>
      <w:color w:val="000000"/>
      <w:sz w:val="16"/>
      <w:szCs w:val="16"/>
      <w:u w:val="none"/>
    </w:rPr>
  </w:style>
  <w:style w:type="character" w:customStyle="1" w:styleId="64">
    <w:name w:val="style23"/>
    <w:basedOn w:val="32"/>
    <w:autoRedefine/>
    <w:qFormat/>
    <w:uiPriority w:val="99"/>
  </w:style>
  <w:style w:type="paragraph" w:customStyle="1" w:styleId="65">
    <w:name w:val="表格文字"/>
    <w:basedOn w:val="1"/>
    <w:autoRedefine/>
    <w:qFormat/>
    <w:uiPriority w:val="99"/>
    <w:pPr>
      <w:spacing w:before="25" w:after="25"/>
      <w:jc w:val="left"/>
    </w:pPr>
    <w:rPr>
      <w:spacing w:val="10"/>
      <w:kern w:val="0"/>
      <w:sz w:val="24"/>
      <w:szCs w:val="24"/>
    </w:rPr>
  </w:style>
  <w:style w:type="paragraph" w:styleId="66">
    <w:name w:val="List Paragraph"/>
    <w:basedOn w:val="1"/>
    <w:autoRedefine/>
    <w:qFormat/>
    <w:uiPriority w:val="99"/>
    <w:pPr>
      <w:ind w:firstLine="420" w:firstLineChars="200"/>
    </w:pPr>
  </w:style>
  <w:style w:type="character" w:customStyle="1" w:styleId="67">
    <w:name w:val="font01"/>
    <w:basedOn w:val="32"/>
    <w:autoRedefine/>
    <w:qFormat/>
    <w:uiPriority w:val="99"/>
    <w:rPr>
      <w:rFonts w:ascii="宋体" w:hAnsi="宋体" w:eastAsia="宋体" w:cs="宋体"/>
      <w:color w:val="000000"/>
      <w:sz w:val="22"/>
      <w:szCs w:val="22"/>
      <w:u w:val="none"/>
    </w:rPr>
  </w:style>
  <w:style w:type="character" w:customStyle="1" w:styleId="68">
    <w:name w:val="font71"/>
    <w:basedOn w:val="32"/>
    <w:autoRedefine/>
    <w:qFormat/>
    <w:uiPriority w:val="99"/>
    <w:rPr>
      <w:rFonts w:ascii="Arial" w:hAnsi="Arial" w:cs="Arial"/>
      <w:color w:val="000000"/>
      <w:sz w:val="22"/>
      <w:szCs w:val="22"/>
      <w:u w:val="none"/>
    </w:rPr>
  </w:style>
  <w:style w:type="character" w:customStyle="1" w:styleId="69">
    <w:name w:val="font81"/>
    <w:basedOn w:val="32"/>
    <w:autoRedefine/>
    <w:qFormat/>
    <w:uiPriority w:val="99"/>
    <w:rPr>
      <w:rFonts w:ascii="Calibri" w:hAnsi="Calibri" w:cs="Calibri"/>
      <w:color w:val="000000"/>
      <w:sz w:val="22"/>
      <w:szCs w:val="22"/>
      <w:u w:val="none"/>
    </w:rPr>
  </w:style>
  <w:style w:type="character" w:customStyle="1" w:styleId="70">
    <w:name w:val="font91"/>
    <w:basedOn w:val="32"/>
    <w:autoRedefine/>
    <w:qFormat/>
    <w:uiPriority w:val="99"/>
    <w:rPr>
      <w:rFonts w:ascii="宋体" w:hAnsi="宋体" w:eastAsia="宋体" w:cs="宋体"/>
      <w:color w:val="FF0000"/>
      <w:sz w:val="22"/>
      <w:szCs w:val="22"/>
      <w:u w:val="none"/>
    </w:rPr>
  </w:style>
  <w:style w:type="paragraph" w:customStyle="1" w:styleId="71">
    <w:name w:val="样式 首行缩进:  2 字符"/>
    <w:basedOn w:val="1"/>
    <w:autoRedefine/>
    <w:qFormat/>
    <w:uiPriority w:val="99"/>
    <w:pPr>
      <w:spacing w:line="360" w:lineRule="auto"/>
      <w:ind w:firstLine="480" w:firstLineChars="200"/>
      <w:jc w:val="left"/>
    </w:pPr>
    <w:rPr>
      <w:rFonts w:ascii="宋体" w:hAnsi="宋体" w:cs="宋体"/>
      <w:color w:val="000000"/>
      <w:sz w:val="24"/>
      <w:szCs w:val="24"/>
    </w:rPr>
  </w:style>
  <w:style w:type="table" w:customStyle="1" w:styleId="72">
    <w:name w:val="Table Normal1"/>
    <w:autoRedefine/>
    <w:qFormat/>
    <w:uiPriority w:val="99"/>
    <w:tblPr>
      <w:tblCellMar>
        <w:top w:w="0" w:type="dxa"/>
        <w:left w:w="0" w:type="dxa"/>
        <w:bottom w:w="0" w:type="dxa"/>
        <w:right w:w="0" w:type="dxa"/>
      </w:tblCellMar>
    </w:tblPr>
  </w:style>
  <w:style w:type="character" w:customStyle="1" w:styleId="73">
    <w:name w:val="font31"/>
    <w:basedOn w:val="32"/>
    <w:autoRedefine/>
    <w:qFormat/>
    <w:uiPriority w:val="99"/>
    <w:rPr>
      <w:rFonts w:ascii="宋体" w:hAnsi="宋体" w:eastAsia="宋体" w:cs="宋体"/>
      <w:color w:val="000000"/>
      <w:sz w:val="22"/>
      <w:szCs w:val="22"/>
      <w:u w:val="none"/>
    </w:rPr>
  </w:style>
  <w:style w:type="character" w:customStyle="1" w:styleId="74">
    <w:name w:val="font101"/>
    <w:basedOn w:val="32"/>
    <w:autoRedefine/>
    <w:qFormat/>
    <w:uiPriority w:val="99"/>
    <w:rPr>
      <w:rFonts w:ascii="Calibri" w:hAnsi="Calibri" w:cs="Calibri"/>
      <w:color w:val="000000"/>
      <w:sz w:val="22"/>
      <w:szCs w:val="22"/>
      <w:u w:val="none"/>
    </w:rPr>
  </w:style>
  <w:style w:type="character" w:customStyle="1" w:styleId="75">
    <w:name w:val="font41"/>
    <w:basedOn w:val="32"/>
    <w:autoRedefine/>
    <w:qFormat/>
    <w:uiPriority w:val="99"/>
    <w:rPr>
      <w:rFonts w:ascii="宋体" w:hAnsi="宋体" w:eastAsia="宋体" w:cs="宋体"/>
      <w:color w:val="000000"/>
      <w:sz w:val="22"/>
      <w:szCs w:val="22"/>
      <w:u w:val="none"/>
    </w:rPr>
  </w:style>
  <w:style w:type="character" w:customStyle="1" w:styleId="76">
    <w:name w:val="font51"/>
    <w:basedOn w:val="32"/>
    <w:autoRedefine/>
    <w:qFormat/>
    <w:uiPriority w:val="99"/>
    <w:rPr>
      <w:rFonts w:ascii="宋体" w:hAnsi="宋体" w:eastAsia="宋体" w:cs="宋体"/>
      <w:color w:val="000000"/>
      <w:sz w:val="22"/>
      <w:szCs w:val="22"/>
      <w:u w:val="none"/>
    </w:rPr>
  </w:style>
  <w:style w:type="character" w:customStyle="1" w:styleId="77">
    <w:name w:val="font61"/>
    <w:basedOn w:val="32"/>
    <w:autoRedefine/>
    <w:qFormat/>
    <w:uiPriority w:val="99"/>
    <w:rPr>
      <w:rFonts w:ascii="宋体" w:hAnsi="宋体" w:eastAsia="宋体" w:cs="宋体"/>
      <w:color w:val="000000"/>
      <w:sz w:val="22"/>
      <w:szCs w:val="22"/>
      <w:u w:val="none"/>
      <w:vertAlign w:val="superscript"/>
    </w:rPr>
  </w:style>
  <w:style w:type="paragraph" w:customStyle="1" w:styleId="78">
    <w:name w:val="列出段落1"/>
    <w:basedOn w:val="1"/>
    <w:autoRedefine/>
    <w:qFormat/>
    <w:uiPriority w:val="99"/>
    <w:pPr>
      <w:ind w:firstLine="420" w:firstLineChars="200"/>
    </w:pPr>
  </w:style>
  <w:style w:type="paragraph" w:customStyle="1" w:styleId="79">
    <w:name w:val="正文1"/>
    <w:autoRedefine/>
    <w:qFormat/>
    <w:uiPriority w:val="0"/>
    <w:pPr>
      <w:overflowPunct w:val="0"/>
      <w:textAlignment w:val="baseline"/>
    </w:pPr>
    <w:rPr>
      <w:rFonts w:ascii="Times New Roman" w:hAnsi="Times New Roman" w:eastAsia="SimSun;宋体" w:cs="Times New Roman"/>
      <w:lang w:val="en-GB" w:eastAsia="zh-CN" w:bidi="ar-SA"/>
    </w:rPr>
  </w:style>
  <w:style w:type="paragraph" w:customStyle="1" w:styleId="80">
    <w:name w:val="正文文本 21"/>
    <w:basedOn w:val="79"/>
    <w:autoRedefine/>
    <w:qFormat/>
    <w:uiPriority w:val="0"/>
    <w:rPr>
      <w:rFonts w:ascii="SimSun;宋体" w:hAnsi="SimSun;宋体"/>
      <w:color w:val="000000"/>
      <w:sz w:val="28"/>
    </w:rPr>
  </w:style>
  <w:style w:type="paragraph" w:customStyle="1" w:styleId="81">
    <w:name w:val="列出段落11"/>
    <w:basedOn w:val="1"/>
    <w:next w:val="78"/>
    <w:autoRedefine/>
    <w:qFormat/>
    <w:uiPriority w:val="34"/>
    <w:pPr>
      <w:ind w:firstLine="420" w:firstLineChars="200"/>
    </w:pPr>
  </w:style>
  <w:style w:type="character" w:customStyle="1" w:styleId="82">
    <w:name w:val="明显参考1"/>
    <w:basedOn w:val="32"/>
    <w:autoRedefine/>
    <w:qFormat/>
    <w:uiPriority w:val="32"/>
    <w:rPr>
      <w:b/>
      <w:bCs/>
      <w:smallCaps/>
      <w:color w:val="C0504D"/>
      <w:spacing w:val="5"/>
      <w:u w:val="single"/>
    </w:rPr>
  </w:style>
  <w:style w:type="paragraph" w:customStyle="1" w:styleId="83">
    <w:name w:val="列表段落1"/>
    <w:basedOn w:val="1"/>
    <w:autoRedefine/>
    <w:qFormat/>
    <w:uiPriority w:val="34"/>
    <w:pPr>
      <w:ind w:firstLine="420" w:firstLineChars="200"/>
    </w:pPr>
  </w:style>
  <w:style w:type="paragraph" w:customStyle="1" w:styleId="84">
    <w:name w:val="_Style 5"/>
    <w:basedOn w:val="1"/>
    <w:next w:val="66"/>
    <w:autoRedefine/>
    <w:qFormat/>
    <w:uiPriority w:val="34"/>
    <w:pPr>
      <w:ind w:firstLine="420" w:firstLineChars="200"/>
    </w:pPr>
  </w:style>
  <w:style w:type="paragraph" w:customStyle="1" w:styleId="85">
    <w:name w:val="List Paragraph1"/>
    <w:basedOn w:val="1"/>
    <w:autoRedefine/>
    <w:qFormat/>
    <w:uiPriority w:val="0"/>
    <w:pPr>
      <w:ind w:firstLine="420" w:firstLineChars="200"/>
    </w:pPr>
  </w:style>
  <w:style w:type="paragraph" w:customStyle="1" w:styleId="86">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styleId="87">
    <w:name w:val="No Spacing"/>
    <w:autoRedefine/>
    <w:qFormat/>
    <w:uiPriority w:val="1"/>
    <w:rPr>
      <w:rFonts w:asciiTheme="minorHAnsi" w:hAnsiTheme="minorHAnsi" w:eastAsiaTheme="minorEastAsia" w:cstheme="minorBidi"/>
      <w:sz w:val="22"/>
      <w:szCs w:val="22"/>
      <w:lang w:val="en-US" w:eastAsia="zh-CN" w:bidi="ar-SA"/>
    </w:rPr>
  </w:style>
  <w:style w:type="character" w:customStyle="1" w:styleId="88">
    <w:name w:val="Anrede1IhrZeichen"/>
    <w:autoRedefine/>
    <w:qFormat/>
    <w:uiPriority w:val="0"/>
    <w:rPr>
      <w:rFonts w:ascii="Arial" w:hAnsi="Arial"/>
      <w:sz w:val="20"/>
    </w:rPr>
  </w:style>
  <w:style w:type="paragraph" w:customStyle="1" w:styleId="89">
    <w:name w:val="样式1"/>
    <w:basedOn w:val="3"/>
    <w:autoRedefine/>
    <w:qFormat/>
    <w:uiPriority w:val="0"/>
    <w:pPr>
      <w:spacing w:before="100" w:beforeAutospacing="1" w:after="100" w:afterAutospacing="1"/>
      <w:ind w:left="1710" w:right="100" w:rightChars="100"/>
    </w:pPr>
    <w:rPr>
      <w:sz w:val="21"/>
    </w:rPr>
  </w:style>
  <w:style w:type="paragraph" w:customStyle="1" w:styleId="90">
    <w:name w:val="_Style 1"/>
    <w:basedOn w:val="1"/>
    <w:autoRedefine/>
    <w:qFormat/>
    <w:uiPriority w:val="99"/>
    <w:pPr>
      <w:ind w:firstLine="420" w:firstLineChars="200"/>
    </w:pPr>
  </w:style>
  <w:style w:type="paragraph" w:customStyle="1" w:styleId="91">
    <w:name w:val="Style1"/>
    <w:basedOn w:val="1"/>
    <w:autoRedefine/>
    <w:qFormat/>
    <w:uiPriority w:val="0"/>
    <w:pPr>
      <w:widowControl/>
      <w:tabs>
        <w:tab w:val="left" w:pos="-720"/>
      </w:tabs>
      <w:spacing w:after="120"/>
    </w:pPr>
    <w:rPr>
      <w:spacing w:val="-3"/>
      <w:kern w:val="0"/>
      <w:sz w:val="24"/>
      <w:szCs w:val="20"/>
      <w:lang w:val="en-AU" w:eastAsia="en-US"/>
    </w:rPr>
  </w:style>
  <w:style w:type="paragraph" w:customStyle="1" w:styleId="92">
    <w:name w:val="Default Text"/>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93">
    <w:name w:val="Body text|1"/>
    <w:basedOn w:val="1"/>
    <w:autoRedefine/>
    <w:qFormat/>
    <w:uiPriority w:val="0"/>
    <w:pPr>
      <w:spacing w:line="276" w:lineRule="auto"/>
    </w:pPr>
    <w:rPr>
      <w:sz w:val="19"/>
      <w:szCs w:val="19"/>
    </w:rPr>
  </w:style>
  <w:style w:type="paragraph" w:customStyle="1" w:styleId="94">
    <w:name w:val="Body text|2"/>
    <w:basedOn w:val="1"/>
    <w:autoRedefine/>
    <w:qFormat/>
    <w:uiPriority w:val="0"/>
    <w:pPr>
      <w:spacing w:line="314" w:lineRule="exact"/>
    </w:pPr>
    <w:rPr>
      <w:rFonts w:ascii="宋体" w:hAnsi="宋体" w:cs="宋体"/>
      <w:sz w:val="20"/>
      <w:szCs w:val="20"/>
      <w:lang w:val="zh-TW" w:eastAsia="zh-TW" w:bidi="zh-TW"/>
    </w:rPr>
  </w:style>
  <w:style w:type="paragraph" w:customStyle="1" w:styleId="95">
    <w:name w:val="Table Text"/>
    <w:basedOn w:val="1"/>
    <w:autoRedefine/>
    <w:semiHidden/>
    <w:qFormat/>
    <w:uiPriority w:val="0"/>
    <w:rPr>
      <w:rFonts w:ascii="仿宋" w:hAnsi="仿宋" w:eastAsia="仿宋" w:cs="仿宋"/>
      <w:sz w:val="24"/>
      <w:szCs w:val="24"/>
      <w:lang w:eastAsia="en-US"/>
    </w:rPr>
  </w:style>
  <w:style w:type="table" w:customStyle="1" w:styleId="96">
    <w:name w:val="Table Normal"/>
    <w:autoRedefine/>
    <w:semiHidden/>
    <w:unhideWhenUsed/>
    <w:qFormat/>
    <w:uiPriority w:val="0"/>
    <w:tblPr>
      <w:tblCellMar>
        <w:top w:w="0" w:type="dxa"/>
        <w:left w:w="0" w:type="dxa"/>
        <w:bottom w:w="0" w:type="dxa"/>
        <w:right w:w="0" w:type="dxa"/>
      </w:tblCellMar>
    </w:tblPr>
  </w:style>
  <w:style w:type="character" w:customStyle="1" w:styleId="97">
    <w:name w:val="font112"/>
    <w:basedOn w:val="32"/>
    <w:autoRedefine/>
    <w:qFormat/>
    <w:uiPriority w:val="0"/>
    <w:rPr>
      <w:rFonts w:hint="default" w:ascii="Times New Roman" w:hAnsi="Times New Roman" w:cs="Times New Roman"/>
      <w:color w:val="000000"/>
      <w:sz w:val="20"/>
      <w:szCs w:val="20"/>
      <w:u w:val="none"/>
    </w:rPr>
  </w:style>
  <w:style w:type="character" w:customStyle="1" w:styleId="98">
    <w:name w:val="font121"/>
    <w:basedOn w:val="32"/>
    <w:autoRedefine/>
    <w:qFormat/>
    <w:uiPriority w:val="0"/>
    <w:rPr>
      <w:rFonts w:ascii="MingLiU" w:hAnsi="MingLiU" w:eastAsia="MingLiU" w:cs="MingLiU"/>
      <w:color w:val="000000"/>
      <w:sz w:val="20"/>
      <w:szCs w:val="20"/>
      <w:u w:val="none"/>
    </w:rPr>
  </w:style>
  <w:style w:type="character" w:customStyle="1" w:styleId="99">
    <w:name w:val="font131"/>
    <w:basedOn w:val="32"/>
    <w:autoRedefine/>
    <w:qFormat/>
    <w:uiPriority w:val="0"/>
    <w:rPr>
      <w:rFonts w:hint="eastAsia" w:ascii="宋体" w:hAnsi="宋体" w:eastAsia="宋体" w:cs="宋体"/>
      <w:b/>
      <w:bCs/>
      <w:color w:val="000000"/>
      <w:sz w:val="18"/>
      <w:szCs w:val="18"/>
      <w:u w:val="none"/>
    </w:rPr>
  </w:style>
  <w:style w:type="character" w:customStyle="1" w:styleId="100">
    <w:name w:val="font141"/>
    <w:basedOn w:val="32"/>
    <w:autoRedefine/>
    <w:qFormat/>
    <w:uiPriority w:val="0"/>
    <w:rPr>
      <w:rFonts w:hint="default" w:ascii="Times New Roman" w:hAnsi="Times New Roman" w:cs="Times New Roman"/>
      <w:color w:val="000000"/>
      <w:sz w:val="20"/>
      <w:szCs w:val="20"/>
      <w:u w:val="none"/>
    </w:rPr>
  </w:style>
  <w:style w:type="character" w:customStyle="1" w:styleId="101">
    <w:name w:val="font111"/>
    <w:basedOn w:val="32"/>
    <w:autoRedefine/>
    <w:qFormat/>
    <w:uiPriority w:val="0"/>
    <w:rPr>
      <w:rFonts w:hint="default" w:ascii="Times New Roman" w:hAnsi="Times New Roman" w:cs="Times New Roman"/>
      <w:color w:val="000000"/>
      <w:sz w:val="20"/>
      <w:szCs w:val="20"/>
      <w:u w:val="none"/>
    </w:rPr>
  </w:style>
  <w:style w:type="character" w:customStyle="1" w:styleId="102">
    <w:name w:val="font122"/>
    <w:basedOn w:val="32"/>
    <w:autoRedefine/>
    <w:qFormat/>
    <w:uiPriority w:val="0"/>
    <w:rPr>
      <w:rFonts w:ascii="MingLiU" w:hAnsi="MingLiU" w:eastAsia="MingLiU" w:cs="MingLiU"/>
      <w:color w:val="000000"/>
      <w:sz w:val="20"/>
      <w:szCs w:val="20"/>
      <w:u w:val="none"/>
    </w:rPr>
  </w:style>
  <w:style w:type="character" w:customStyle="1" w:styleId="103">
    <w:name w:val="font142"/>
    <w:basedOn w:val="32"/>
    <w:autoRedefine/>
    <w:qFormat/>
    <w:uiPriority w:val="0"/>
    <w:rPr>
      <w:rFonts w:hint="eastAsia" w:ascii="宋体" w:hAnsi="宋体" w:eastAsia="宋体" w:cs="宋体"/>
      <w:color w:val="000000"/>
      <w:sz w:val="16"/>
      <w:szCs w:val="16"/>
      <w:u w:val="none"/>
    </w:rPr>
  </w:style>
  <w:style w:type="character" w:customStyle="1" w:styleId="104">
    <w:name w:val="font151"/>
    <w:basedOn w:val="32"/>
    <w:autoRedefine/>
    <w:qFormat/>
    <w:uiPriority w:val="0"/>
    <w:rPr>
      <w:rFonts w:hint="eastAsia" w:ascii="宋体" w:hAnsi="宋体" w:eastAsia="宋体" w:cs="宋体"/>
      <w:color w:val="000000"/>
      <w:sz w:val="18"/>
      <w:szCs w:val="18"/>
      <w:u w:val="none"/>
    </w:rPr>
  </w:style>
  <w:style w:type="character" w:customStyle="1" w:styleId="105">
    <w:name w:val="font161"/>
    <w:basedOn w:val="32"/>
    <w:autoRedefine/>
    <w:qFormat/>
    <w:uiPriority w:val="0"/>
    <w:rPr>
      <w:rFonts w:hint="default" w:ascii="Times New Roman" w:hAnsi="Times New Roman" w:cs="Times New Roman"/>
      <w:color w:val="000000"/>
      <w:sz w:val="20"/>
      <w:szCs w:val="20"/>
      <w:u w:val="none"/>
    </w:rPr>
  </w:style>
  <w:style w:type="character" w:customStyle="1" w:styleId="106">
    <w:name w:val="font171"/>
    <w:basedOn w:val="32"/>
    <w:autoRedefine/>
    <w:qFormat/>
    <w:uiPriority w:val="0"/>
    <w:rPr>
      <w:rFonts w:hint="eastAsia" w:ascii="MingLiU" w:hAnsi="MingLiU" w:eastAsia="MingLiU" w:cs="MingLiU"/>
      <w:color w:val="000000"/>
      <w:sz w:val="20"/>
      <w:szCs w:val="20"/>
      <w:u w:val="none"/>
    </w:rPr>
  </w:style>
  <w:style w:type="character" w:customStyle="1" w:styleId="107">
    <w:name w:val="font181"/>
    <w:basedOn w:val="32"/>
    <w:autoRedefine/>
    <w:qFormat/>
    <w:uiPriority w:val="0"/>
    <w:rPr>
      <w:rFonts w:hint="eastAsia" w:ascii="宋体" w:hAnsi="宋体" w:eastAsia="宋体" w:cs="宋体"/>
      <w:color w:val="000000"/>
      <w:sz w:val="24"/>
      <w:szCs w:val="24"/>
      <w:u w:val="none"/>
    </w:rPr>
  </w:style>
  <w:style w:type="character" w:customStyle="1" w:styleId="108">
    <w:name w:val="font191"/>
    <w:basedOn w:val="32"/>
    <w:autoRedefine/>
    <w:qFormat/>
    <w:uiPriority w:val="0"/>
    <w:rPr>
      <w:rFonts w:hint="eastAsia" w:ascii="宋体" w:hAnsi="宋体" w:eastAsia="宋体" w:cs="宋体"/>
      <w:b/>
      <w:bCs/>
      <w:color w:val="000000"/>
      <w:sz w:val="18"/>
      <w:szCs w:val="18"/>
      <w:u w:val="none"/>
    </w:rPr>
  </w:style>
  <w:style w:type="character" w:customStyle="1" w:styleId="109">
    <w:name w:val="font201"/>
    <w:basedOn w:val="32"/>
    <w:autoRedefine/>
    <w:qFormat/>
    <w:uiPriority w:val="0"/>
    <w:rPr>
      <w:rFonts w:hint="default" w:ascii="ALKATIP Basma Tom" w:hAnsi="ALKATIP Basma Tom" w:eastAsia="ALKATIP Basma Tom" w:cs="ALKATIP Basma Tom"/>
      <w:b/>
      <w:bCs/>
      <w:color w:val="000000"/>
      <w:sz w:val="18"/>
      <w:szCs w:val="18"/>
      <w:u w:val="none"/>
    </w:rPr>
  </w:style>
  <w:style w:type="character" w:customStyle="1" w:styleId="110">
    <w:name w:val="font212"/>
    <w:basedOn w:val="32"/>
    <w:autoRedefine/>
    <w:qFormat/>
    <w:uiPriority w:val="0"/>
    <w:rPr>
      <w:rFonts w:hint="eastAsia" w:ascii="宋体" w:hAnsi="宋体" w:eastAsia="宋体" w:cs="宋体"/>
      <w:color w:val="000000"/>
      <w:sz w:val="24"/>
      <w:szCs w:val="24"/>
      <w:u w:val="none"/>
    </w:rPr>
  </w:style>
  <w:style w:type="character" w:customStyle="1" w:styleId="111">
    <w:name w:val="font221"/>
    <w:basedOn w:val="32"/>
    <w:autoRedefine/>
    <w:qFormat/>
    <w:uiPriority w:val="0"/>
    <w:rPr>
      <w:rFonts w:hint="default" w:ascii="ALKATIP Basma Tom" w:hAnsi="ALKATIP Basma Tom" w:eastAsia="ALKATIP Basma Tom" w:cs="ALKATIP Basma Tom"/>
      <w:b/>
      <w:bCs/>
      <w:color w:val="000000"/>
      <w:sz w:val="18"/>
      <w:szCs w:val="18"/>
      <w:u w:val="none"/>
    </w:rPr>
  </w:style>
  <w:style w:type="character" w:customStyle="1" w:styleId="112">
    <w:name w:val="font231"/>
    <w:basedOn w:val="32"/>
    <w:autoRedefine/>
    <w:qFormat/>
    <w:uiPriority w:val="0"/>
    <w:rPr>
      <w:rFonts w:hint="eastAsia" w:ascii="宋体" w:hAnsi="宋体" w:eastAsia="宋体" w:cs="宋体"/>
      <w:b/>
      <w:bCs/>
      <w:color w:val="000000"/>
      <w:sz w:val="18"/>
      <w:szCs w:val="18"/>
      <w:u w:val="none"/>
    </w:rPr>
  </w:style>
  <w:style w:type="character" w:customStyle="1" w:styleId="113">
    <w:name w:val="font241"/>
    <w:basedOn w:val="32"/>
    <w:autoRedefine/>
    <w:qFormat/>
    <w:uiPriority w:val="0"/>
    <w:rPr>
      <w:rFonts w:hint="default" w:ascii="ALKATIP Basma Tom" w:hAnsi="ALKATIP Basma Tom" w:eastAsia="ALKATIP Basma Tom" w:cs="ALKATIP Basma Tom"/>
      <w:b/>
      <w:bCs/>
      <w:color w:val="000000"/>
      <w:sz w:val="18"/>
      <w:szCs w:val="18"/>
      <w:u w:val="none"/>
    </w:rPr>
  </w:style>
  <w:style w:type="paragraph" w:customStyle="1" w:styleId="1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15">
    <w:name w:val="纯文本1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22506828-9a0c-4e49-9088-e5c5e4e9b968</errorID>
      <errorWord>所投</errorWord>
      <group>L1_Word</group>
      <groupName>字词问题</groupName>
      <ability>L2_Typo</ability>
      <abilityName>字词错误</abilityName>
      <candidateList>
        <item>所购</item>
      </candidateList>
      <explain/>
      <paraID>17D71C7A</paraID>
      <start>35</start>
      <end>37</end>
      <status>ignored</status>
      <modifiedWord/>
      <trackRevisions>false</trackRevisions>
    </reviewItem>
    <reviewItem>
      <errorID>7610e141-dee1-4f22-bab2-5c3a128dd8c6</errorID>
      <errorWord>[2020]46号</errorWord>
      <group>L1_Knowledge</group>
      <groupName>知识性问题</groupName>
      <ability>L2_Knowledge</ability>
      <abilityName>其他知识</abilityName>
      <candidateList>
        <item>〔2020〕46号</item>
      </candidateList>
      <explain>发文字号格式错误。</explain>
      <paraID>29026B37</paraID>
      <start>30</start>
      <end>39</end>
      <status>modified</status>
      <modifiedWord>〔2020〕46号</modifiedWord>
      <trackRevisions>false</trackRevisions>
    </reviewItem>
    <reviewItem>
      <errorID>abcb3c5e-2270-4d11-9b09-7dbda907c123</errorID>
      <errorWord>提出质疑</errorWord>
      <group>L1_Grammar</group>
      <groupName>语法问题</groupName>
      <ability>L2_Grammar</ability>
      <abilityName>语法错误</abilityName>
      <candidateList>
        <item>质疑</item>
      </candidateList>
      <explain>〈动〉提出疑问：～问难。</explain>
      <paraID> 68452EA</paraID>
      <start>78</start>
      <end>82</end>
      <status>ignored</status>
      <modifiedWord/>
      <trackRevisions>false</trackRevisions>
    </reviewItem>
    <reviewItem>
      <errorID>5e0a8b48-f3b9-40af-80dc-b5cbb36900bd</errorID>
      <errorWord>提出质疑</errorWord>
      <group>L1_Grammar</group>
      <groupName>语法问题</groupName>
      <ability>L2_Grammar</ability>
      <abilityName>语法错误</abilityName>
      <candidateList>
        <item>质疑</item>
      </candidateList>
      <explain>〈动〉提出疑问：～问难。</explain>
      <paraID>5B47FC2F</paraID>
      <start>62</start>
      <end>66</end>
      <status>ignored</status>
      <modifiedWord/>
      <trackRevisions>false</trackRevisions>
    </reviewItem>
    <reviewItem>
      <errorID>b0ef9586-e9cf-454a-9420-00096a54ce1c</errorID>
      <errorWord>提出质疑</errorWord>
      <group>L1_Grammar</group>
      <groupName>语法问题</groupName>
      <ability>L2_Grammar</ability>
      <abilityName>语法错误</abilityName>
      <candidateList>
        <item>质疑</item>
      </candidateList>
      <explain>〈动〉提出疑问：～问难。</explain>
      <paraID>749F277B</paraID>
      <start>73</start>
      <end>77</end>
      <status>ignored</status>
      <modifiedWord/>
      <trackRevisions>false</trackRevisions>
    </reviewItem>
    <reviewItem>
      <errorID>26ebf324-03a0-46c9-bb03-f52dbdd2f95f</errorID>
      <errorWord>提出质疑</errorWord>
      <group>L1_Grammar</group>
      <groupName>语法问题</groupName>
      <ability>L2_Grammar</ability>
      <abilityName>语法错误</abilityName>
      <candidateList>
        <item>质疑</item>
      </candidateList>
      <explain>〈动〉提出疑问：～问难。</explain>
      <paraID>43225BE1</paraID>
      <start>27</start>
      <end>31</end>
      <status>ignored</status>
      <modifiedWord/>
      <trackRevisions>false</trackRevisions>
    </reviewItem>
    <reviewItem>
      <errorID>4f490254-92a7-4ec0-8fda-de78fdc35f9f</errorID>
      <errorWord>:</errorWord>
      <group>L1_Format</group>
      <groupName>格式问题</groupName>
      <ability>L2_HalfPunc</ability>
      <abilityName>全半角检查</abilityName>
      <candidateList>
        <item>：</item>
      </candidateList>
      <explain>文本全半角错误。</explain>
      <paraID>7E04311C</paraID>
      <start>18</start>
      <end>19</end>
      <status>modified</status>
      <modifiedWord>：</modifiedWord>
      <trackRevisions>false</trackRevisions>
    </reviewItem>
    <reviewItem>
      <errorID>5d392bab-37a5-4414-b747-38193cc84d97</errorID>
      <errorWord>:</errorWord>
      <group>L1_Format</group>
      <groupName>格式问题</groupName>
      <ability>L2_HalfPunc</ability>
      <abilityName>全半角检查</abilityName>
      <candidateList>
        <item>：</item>
      </candidateList>
      <explain>文本全半角错误。</explain>
      <paraID> AFEC5F7</paraID>
      <start>7</start>
      <end>8</end>
      <status>modified</status>
      <modifiedWord>：</modifiedWord>
      <trackRevisions>false</trackRevisions>
    </reviewItem>
    <reviewItem>
      <errorID>446b6c51-7a45-465b-8010-bde9987c264c</errorID>
      <errorWord>:</errorWord>
      <group>L1_Format</group>
      <groupName>格式问题</groupName>
      <ability>L2_HalfPunc</ability>
      <abilityName>全半角检查</abilityName>
      <candidateList>
        <item>：</item>
      </candidateList>
      <explain>文本全半角错误。</explain>
      <paraID>6386B1A2</paraID>
      <start>4</start>
      <end>5</end>
      <status>modified</status>
      <modifiedWord>：</modifiedWord>
      <trackRevisions>false</trackRevisions>
    </reviewItem>
    <reviewItem>
      <errorID>bcf241ff-b157-4551-bb3f-0775473decb6</errorID>
      <errorWord>:</errorWord>
      <group>L1_Format</group>
      <groupName>格式问题</groupName>
      <ability>L2_HalfPunc</ability>
      <abilityName>全半角检查</abilityName>
      <candidateList>
        <item>：</item>
      </candidateList>
      <explain>文本全半角错误。</explain>
      <paraID>58D39D83</paraID>
      <start>7</start>
      <end>8</end>
      <status>modified</status>
      <modifiedWord>：</modifiedWord>
      <trackRevisions>false</trackRevisions>
    </reviewItem>
    <reviewItem>
      <errorID>e2210d1e-752f-4d2e-b9ea-05275db82756</errorID>
      <errorWord>:</errorWord>
      <group>L1_Format</group>
      <groupName>格式问题</groupName>
      <ability>L2_HalfPunc</ability>
      <abilityName>全半角检查</abilityName>
      <candidateList>
        <item>：</item>
      </candidateList>
      <explain>文本全半角错误。</explain>
      <paraID>70023E3D</paraID>
      <start>7</start>
      <end>8</end>
      <status>modified</status>
      <modifiedWord>：</modifiedWord>
      <trackRevisions>false</trackRevisions>
    </reviewItem>
    <reviewItem>
      <errorID>6787a181-8a80-4b90-a60c-951c37b26a5a</errorID>
      <errorWord>:</errorWord>
      <group>L1_Format</group>
      <groupName>格式问题</groupName>
      <ability>L2_HalfPunc</ability>
      <abilityName>全半角检查</abilityName>
      <candidateList>
        <item>：</item>
      </candidateList>
      <explain>文本全半角错误。</explain>
      <paraID>47B3A57D</paraID>
      <start>7</start>
      <end>8</end>
      <status>modified</status>
      <modifiedWord>：</modifiedWord>
      <trackRevisions>false</trackRevisions>
    </reviewItem>
    <reviewItem>
      <errorID>6e6fb98e-820d-4246-bdae-57b45e864dcb</errorID>
      <errorWord>:</errorWord>
      <group>L1_Format</group>
      <groupName>格式问题</groupName>
      <ability>L2_HalfPunc</ability>
      <abilityName>全半角检查</abilityName>
      <candidateList>
        <item>：</item>
      </candidateList>
      <explain>文本全半角错误。</explain>
      <paraID>63415342</paraID>
      <start>7</start>
      <end>8</end>
      <status>modified</status>
      <modifiedWord>：</modifiedWord>
      <trackRevisions>false</trackRevisions>
    </reviewItem>
    <reviewItem>
      <errorID>6b2a2e49-3ee8-41ca-97eb-fbe6c939c0de</errorID>
      <errorWord>”</errorWord>
      <group>L1_Punc</group>
      <groupName>标点问题</groupName>
      <ability>L2_Punc</ability>
      <abilityName>标点符号检查</abilityName>
      <candidateList/>
      <explain/>
      <paraID>67469D18</paraID>
      <start>33</start>
      <end>34</end>
      <status>ignored</status>
      <modifiedWord/>
      <trackRevisions>false</trackRevisions>
    </reviewItem>
    <reviewItem>
      <errorID>ddfa5d18-7281-4e48-b056-4c1a8e579fd3</errorID>
      <errorWord>上午00:00</errorWord>
      <group>L1_Knowledge</group>
      <groupName>知识性问题</groupName>
      <ability>L2_Time</ability>
      <abilityName>日期时间</abilityName>
      <candidateList/>
      <explain>时间与前缀不匹配，可能的时间前缀有“下午、晚上、凌晨、午夜”。</explain>
      <paraID>46FD03EA</paraID>
      <start>32</start>
      <end>39</end>
      <status>ignored</status>
      <modifiedWord/>
      <trackRevisions>false</trackRevisions>
    </reviewItem>
    <reviewItem>
      <errorID>3131c974-d016-4eb0-a81a-473034e76557</errorID>
      <errorWord>“</errorWord>
      <group>L1_Punc</group>
      <groupName>标点问题</groupName>
      <ability>L2_Punc</ability>
      <abilityName>标点符号检查</abilityName>
      <candidateList/>
      <explain/>
      <paraID> CB80B19</paraID>
      <start>40</start>
      <end>41</end>
      <status>ignored</status>
      <modifiedWord/>
      <trackRevisions>false</trackRevisions>
    </reviewItem>
    <reviewItem>
      <errorID>400713f6-b1f5-4e9e-9e97-fd7e3b4c6c91</errorID>
      <errorWord>（</errorWord>
      <group>L1_Punc</group>
      <groupName>标点问题</groupName>
      <ability>L2_Punc</ability>
      <abilityName>标点符号检查</abilityName>
      <candidateList/>
      <explain>同一形式括号套用。</explain>
      <paraID>49B5C4D6</paraID>
      <start>18</start>
      <end>19</end>
      <status>ignored</status>
      <modifiedWord/>
      <trackRevisions>false</trackRevisions>
    </reviewItem>
    <reviewItem>
      <errorID>d160a4f7-96d4-418f-b2aa-9b6047fb9741</errorID>
      <errorWord>）</errorWord>
      <group>L1_Punc</group>
      <groupName>标点问题</groupName>
      <ability>L2_Punc</ability>
      <abilityName>标点符号检查</abilityName>
      <candidateList/>
      <explain>同一形式括号套用。</explain>
      <paraID>49B5C4D6</paraID>
      <start>21</start>
      <end>22</end>
      <status>ignored</status>
      <modifiedWord/>
      <trackRevisions>false</trackRevisions>
    </reviewItem>
    <reviewItem>
      <errorID>377c8b45-7645-45b2-9cd6-2e238f819905</errorID>
      <errorWord>3、</errorWord>
      <group>L1_Format</group>
      <groupName>格式问题</groupName>
      <ability>L2_Ordinal</ability>
      <abilityName>序号格式</abilityName>
      <candidateList>
        <item>3.</item>
      </candidateList>
      <explain>当前序号格式不规范，建议修改为规范格式[3.]。</explain>
      <paraID>7F9E784E</paraID>
      <start>0</start>
      <end>2</end>
      <status>ignored</status>
      <modifiedWord/>
      <trackRevisions>false</trackRevisions>
    </reviewItem>
    <reviewItem>
      <errorID>a718d186-fb3f-4832-b68e-b179a45ceb92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740A23A3</paraID>
      <start>0</start>
      <end>2</end>
      <status>unmodified</status>
      <modifiedWord/>
      <trackRevisions>false</trackRevisions>
    </reviewItem>
    <reviewItem>
      <errorID>66cc3bcb-42ea-4355-8d71-254e07e43640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23F98EA3</paraID>
      <start>0</start>
      <end>2</end>
      <status>unmodified</status>
      <modifiedWord/>
      <trackRevisions>false</trackRevisions>
    </reviewItem>
    <reviewItem>
      <errorID>492f824c-4549-457f-926e-d971647de6e2</errorID>
      <errorWord>6、</errorWord>
      <group>L1_Format</group>
      <groupName>格式问题</groupName>
      <ability>L2_Ordinal</ability>
      <abilityName>序号格式</abilityName>
      <candidateList>
        <item>6.</item>
      </candidateList>
      <explain>当前序号格式不规范，建议修改为规范格式[6.]。</explain>
      <paraID>633FE1CF</paraID>
      <start>0</start>
      <end>2</end>
      <status>unmodified</status>
      <modifiedWord/>
      <trackRevisions>false</trackRevisions>
    </reviewItem>
    <reviewItem>
      <errorID>e4188f4a-bfcc-41b3-b947-20a1eee1998f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41D13B1C</paraID>
      <start>0</start>
      <end>2</end>
      <status>unmodified</status>
      <modifiedWord/>
      <trackRevisions>false</trackRevisions>
    </reviewItem>
    <reviewItem>
      <errorID>4320e01f-c7c0-4264-96f1-26bc00b0d320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55FDDCC1</paraID>
      <start>0</start>
      <end>2</end>
      <status>unmodified</status>
      <modifiedWord/>
      <trackRevisions>false</trackRevisions>
    </reviewItem>
    <reviewItem>
      <errorID>7cd2fd7b-75ac-4ef5-862d-e6a33a142ea8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3B692FD2</paraID>
      <start>0</start>
      <end>2</end>
      <status>unmodified</status>
      <modifiedWord/>
      <trackRevisions>false</trackRevisions>
    </reviewItem>
    <reviewItem>
      <errorID>aa51f088-d31a-430d-8690-f99aac7f9a8f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296DE570</paraID>
      <start>0</start>
      <end>3</end>
      <status>unmodified</status>
      <modifiedWord/>
      <trackRevisions>false</trackRevisions>
    </reviewItem>
    <reviewItem>
      <errorID>c2c2c9ab-6845-4f31-9435-4d52929de02a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6FDF5327</paraID>
      <start>0</start>
      <end>3</end>
      <status>unmodified</status>
      <modifiedWord/>
      <trackRevisions>false</trackRevisions>
    </reviewItem>
    <reviewItem>
      <errorID>291fc424-3056-4d46-aa94-8b0f02389b8b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744D3A0C</paraID>
      <start>0</start>
      <end>3</end>
      <status>unmodified</status>
      <modifiedWord/>
      <trackRevisions>false</trackRevisions>
    </reviewItem>
    <reviewItem>
      <errorID>71862e11-5635-4514-a4b8-5afc27dd9a60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49CA150F</paraID>
      <start>0</start>
      <end>2</end>
      <status>unmodified</status>
      <modifiedWord/>
      <trackRevisions>false</trackRevisions>
    </reviewItem>
    <reviewItem>
      <errorID>a7ab3f11-f9dd-450b-9d83-4ad4db576668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73885BB6</paraID>
      <start>0</start>
      <end>2</end>
      <status>unmodified</status>
      <modifiedWord/>
      <trackRevisions>false</trackRevisions>
    </reviewItem>
    <reviewItem>
      <errorID>852970e3-6d11-444d-b99a-cea06c4f2836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6BBBA086</paraID>
      <start>0</start>
      <end>2</end>
      <status>unmodified</status>
      <modifiedWord/>
      <trackRevisions>false</trackRevisions>
    </reviewItem>
    <reviewItem>
      <errorID>5b8106eb-716f-4803-9646-91bfeab332f0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5899F953</paraID>
      <start>0</start>
      <end>2</end>
      <status>unmodified</status>
      <modifiedWord/>
      <trackRevisions>false</trackRevisions>
    </reviewItem>
    <reviewItem>
      <errorID>83456ab1-9206-43f7-82f2-d84629119692</errorID>
      <errorWord>6、</errorWord>
      <group>L1_Format</group>
      <groupName>格式问题</groupName>
      <ability>L2_Ordinal</ability>
      <abilityName>序号格式</abilityName>
      <candidateList>
        <item>6.</item>
      </candidateList>
      <explain>当前序号格式不规范，建议修改为规范格式[6.]。</explain>
      <paraID>    A095</paraID>
      <start>0</start>
      <end>2</end>
      <status>unmodified</status>
      <modifiedWord/>
      <trackRevisions>false</trackRevisions>
    </reviewItem>
    <reviewItem>
      <errorID>852560cf-b534-4156-b9ec-3eb6fd70b575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27A968D0</paraID>
      <start>0</start>
      <end>2</end>
      <status>unmodified</status>
      <modifiedWord/>
      <trackRevisions>false</trackRevisions>
    </reviewItem>
    <reviewItem>
      <errorID>c616d558-8af9-487e-b26b-e80131f20e5e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7C5F3327</paraID>
      <start>0</start>
      <end>2</end>
      <status>unmodified</status>
      <modifiedWord/>
      <trackRevisions>false</trackRevisions>
    </reviewItem>
    <reviewItem>
      <errorID>96b87ba4-0fce-4ced-b4c1-eb17925db891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4D06933B</paraID>
      <start>0</start>
      <end>3</end>
      <status>unmodified</status>
      <modifiedWord/>
      <trackRevisions>false</trackRevisions>
    </reviewItem>
    <reviewItem>
      <errorID>362bc68c-7017-4fcf-832f-441ace4c4178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69C8B3DF</paraID>
      <start>0</start>
      <end>3</end>
      <status>unmodified</status>
      <modifiedWord/>
      <trackRevisions>false</trackRevisions>
    </reviewItem>
    <reviewItem>
      <errorID>26be5f88-6911-4d6e-98fc-28cf76172bd7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22F7F922</paraID>
      <start>0</start>
      <end>3</end>
      <status>unmodified</status>
      <modifiedWord/>
      <trackRevisions>false</trackRevisions>
    </reviewItem>
    <reviewItem>
      <errorID>11b593e6-6409-423e-be48-6a26b6648164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688E9480</paraID>
      <start>0</start>
      <end>3</end>
      <status>unmodified</status>
      <modifiedWord/>
      <trackRevisions>false</trackRevisions>
    </reviewItem>
    <reviewItem>
      <errorID>bc23a03b-9f0d-442f-8b64-787b25ba0596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2734AEC0</paraID>
      <start>0</start>
      <end>3</end>
      <status>unmodified</status>
      <modifiedWord/>
      <trackRevisions>false</trackRevisions>
    </reviewItem>
    <reviewItem>
      <errorID>b97d7871-ce97-4be5-b1fd-ad1bc0497415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12A27F65</paraID>
      <start>0</start>
      <end>3</end>
      <status>unmodified</status>
      <modifiedWord/>
      <trackRevisions>false</trackRevisions>
    </reviewItem>
    <reviewItem>
      <errorID>b27d4de6-34f8-44d3-abca-98762e34d32e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4C66777</paraID>
      <start>0</start>
      <end>3</end>
      <status>unmodified</status>
      <modifiedWord/>
      <trackRevisions>false</trackRevisions>
    </reviewItem>
    <reviewItem>
      <errorID>ef97eca1-274e-46d4-b933-77ebde07f014</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ADF002A</paraID>
      <start>0</start>
      <end>3</end>
      <status>unmodified</status>
      <modifiedWord/>
      <trackRevisions>false</trackRevisions>
    </reviewItem>
    <reviewItem>
      <errorID>745bd622-e677-418a-8c4f-185c1d7b19ba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6EC167D6</paraID>
      <start>0</start>
      <end>3</end>
      <status>unmodified</status>
      <modifiedWord/>
      <trackRevisions>false</trackRevisions>
    </reviewItem>
    <reviewItem>
      <errorID>96bbd56a-21c8-4968-b471-10c8235ccd43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295BD46A</paraID>
      <start>0</start>
      <end>3</end>
      <status>unmodified</status>
      <modifiedWord/>
      <trackRevisions>false</trackRevisions>
    </reviewItem>
    <reviewItem>
      <errorID>d76384a9-8444-4816-896f-78278f418846</errorID>
      <errorWord>:</errorWord>
      <group>L1_Format</group>
      <groupName>格式问题</groupName>
      <ability>L2_HalfPunc</ability>
      <abilityName>全半角检查</abilityName>
      <candidateList>
        <item>：</item>
      </candidateList>
      <explain>文本全半角错误。</explain>
      <paraID>6BA89A87</paraID>
      <start>69</start>
      <end>70</end>
      <status>unmodified</status>
      <modifiedWord/>
      <trackRevisions>false</trackRevisions>
    </reviewItem>
    <reviewItem>
      <errorID>52bd1f5f-264b-4919-b93a-c758a27e6455</errorID>
      <errorWord>彻底杜绝</errorWord>
      <group>L1_Word</group>
      <groupName>字词问题</groupName>
      <ability>L2_Typo</ability>
      <abilityName>字词错误</abilityName>
      <candidateList>
        <item>杜绝</item>
      </candidateList>
      <explain/>
      <paraID>2BC71151</paraID>
      <start>45</start>
      <end>49</end>
      <status>unmodified</status>
      <modifiedWord/>
      <trackRevisions>false</trackRevisions>
    </reviewItem>
    <reviewItem>
      <errorID>bf1e5a1b-b050-4971-ab71-2a551e7aede4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6DB6D98F</paraID>
      <start>0</start>
      <end>2</end>
      <status>unmodified</status>
      <modifiedWord/>
      <trackRevisions>false</trackRevisions>
    </reviewItem>
    <reviewItem>
      <errorID>b1e19991-8742-4a2c-b012-cb22e431ee93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3071B85D</paraID>
      <start>0</start>
      <end>2</end>
      <status>unmodified</status>
      <modifiedWord/>
      <trackRevisions>false</trackRevisions>
    </reviewItem>
    <reviewItem>
      <errorID>9d12bca4-f8de-43e5-a3b3-5675ae382447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4E435514</paraID>
      <start>0</start>
      <end>2</end>
      <status>unmodified</status>
      <modifiedWord/>
      <trackRevisions>false</trackRevisions>
    </reviewItem>
    <reviewItem>
      <errorID>1201fa4b-1f53-41a6-9c11-164ee51e1979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35984C8D</paraID>
      <start>0</start>
      <end>2</end>
      <status>unmodified</status>
      <modifiedWord/>
      <trackRevisions>false</trackRevisions>
    </reviewItem>
    <reviewItem>
      <errorID>91ec6cf2-6da2-4baa-8ee4-878fb143978f</errorID>
      <errorWord>6、</errorWord>
      <group>L1_Format</group>
      <groupName>格式问题</groupName>
      <ability>L2_Ordinal</ability>
      <abilityName>序号格式</abilityName>
      <candidateList>
        <item>6.</item>
      </candidateList>
      <explain>当前序号格式不规范，建议修改为规范格式[6.]。</explain>
      <paraID>59C8984F</paraID>
      <start>0</start>
      <end>2</end>
      <status>unmodified</status>
      <modifiedWord/>
      <trackRevisions>false</trackRevisions>
    </reviewItem>
    <reviewItem>
      <errorID>d4fa00ed-8b60-4312-8fd8-53fdade8d33d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623DDE2</paraID>
      <start>0</start>
      <end>2</end>
      <status>unmodified</status>
      <modifiedWord/>
      <trackRevisions>false</trackRevisions>
    </reviewItem>
    <reviewItem>
      <errorID>dff27de9-f9c7-4729-aed8-40aa907dbd9c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4C565F6</paraID>
      <start>0</start>
      <end>2</end>
      <status>unmodified</status>
      <modifiedWord/>
      <trackRevisions>false</trackRevisions>
    </reviewItem>
    <reviewItem>
      <errorID>0e522cec-e205-4517-b06b-5badcbacb92a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196625A0</paraID>
      <start>0</start>
      <end>3</end>
      <status>unmodified</status>
      <modifiedWord/>
      <trackRevisions>false</trackRevisions>
    </reviewItem>
    <reviewItem>
      <errorID>ac5cac85-fa34-475f-a760-c7919b296b21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4FC142A0</paraID>
      <start>0</start>
      <end>3</end>
      <status>unmodified</status>
      <modifiedWord/>
      <trackRevisions>false</trackRevisions>
    </reviewItem>
    <reviewItem>
      <errorID>0e5a649c-f80e-4f74-aa8f-b59b5ed476cf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55DABD0C</paraID>
      <start>0</start>
      <end>3</end>
      <status>unmodified</status>
      <modifiedWord/>
      <trackRevisions>false</trackRevisions>
    </reviewItem>
    <reviewItem>
      <errorID>b2ad3f8d-470b-4e6f-acfc-82fe73864deb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3B77D79C</paraID>
      <start>0</start>
      <end>3</end>
      <status>unmodified</status>
      <modifiedWord/>
      <trackRevisions>false</trackRevisions>
    </reviewItem>
    <reviewItem>
      <errorID>e6b94835-1ab5-4a50-b550-5f4caa778598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20CD1B1C</paraID>
      <start>0</start>
      <end>3</end>
      <status>unmodified</status>
      <modifiedWord/>
      <trackRevisions>false</trackRevisions>
    </reviewItem>
    <reviewItem>
      <errorID>e3bc7e20-7397-4b0a-829d-736681833f81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1594ACF7</paraID>
      <start>0</start>
      <end>3</end>
      <status>unmodified</status>
      <modifiedWord/>
      <trackRevisions>false</trackRevisions>
    </reviewItem>
    <reviewItem>
      <errorID>0cb94fe0-52a9-4d9d-abe8-f7d9213fa246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502F2809</paraID>
      <start>0</start>
      <end>3</end>
      <status>unmodified</status>
      <modifiedWord/>
      <trackRevisions>false</trackRevisions>
    </reviewItem>
    <reviewItem>
      <errorID>6088190d-a175-445e-8309-80ea71ee76cf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6491A54B</paraID>
      <start>0</start>
      <end>3</end>
      <status>unmodified</status>
      <modifiedWord/>
      <trackRevisions>false</trackRevisions>
    </reviewItem>
    <reviewItem>
      <errorID>b67fccad-268f-494f-9e3e-7468af13e79d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2016AB8F</paraID>
      <start>0</start>
      <end>3</end>
      <status>unmodified</status>
      <modifiedWord/>
      <trackRevisions>false</trackRevisions>
    </reviewItem>
    <reviewItem>
      <errorID>552e07f7-4e55-43f3-a8d9-7b777e5d1100</errorID>
      <errorWord>:</errorWord>
      <group>L1_Format</group>
      <groupName>格式问题</groupName>
      <ability>L2_HalfPunc</ability>
      <abilityName>全半角检查</abilityName>
      <candidateList>
        <item>：</item>
      </candidateList>
      <explain>文本全半角错误。</explain>
      <paraID>32E7F5E9</paraID>
      <start>78</start>
      <end>79</end>
      <status>unmodified</status>
      <modifiedWord/>
      <trackRevisions>false</trackRevisions>
    </reviewItem>
    <reviewItem>
      <errorID>87d38d4a-db67-4eec-9d50-86c76ced11d2</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7CBAA2A6</paraID>
      <start>34</start>
      <end>35</end>
      <status>unmodified</status>
      <modifiedWord/>
      <trackRevisions>false</trackRevisions>
    </reviewItem>
    <reviewItem>
      <errorID>7a49f508-38a3-4190-b673-0ab4d4667cb5</errorID>
      <errorWord>，</errorWord>
      <group>L1_Word</group>
      <groupName>字词问题</groupName>
      <ability>L2_Typo</ability>
      <abilityName>字词错误</abilityName>
      <candidateList>
        <item>，具</item>
      </candidateList>
      <explain/>
      <paraID>37CFDCAD</paraID>
      <start>73</start>
      <end>74</end>
      <status>unmodified</status>
      <modifiedWord/>
      <trackRevisions>false</trackRevisions>
    </reviewItem>
    <reviewItem>
      <errorID>b726a301-bc8d-4a0f-aaa8-9fb35a3d7bbd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743BB82C</paraID>
      <start>0</start>
      <end>2</end>
      <status>unmodified</status>
      <modifiedWord/>
      <trackRevisions>false</trackRevisions>
    </reviewItem>
    <reviewItem>
      <errorID>802ffb2e-caf1-4e6b-adcf-1c8f39baf22a</errorID>
      <errorWord>3、</errorWord>
      <group>L1_Format</group>
      <groupName>格式问题</groupName>
      <ability>L2_Ordinal</ability>
      <abilityName>序号格式</abilityName>
      <candidateList>
        <item>3.</item>
      </candidateList>
      <explain>当前序号格式不规范，建议修改为规范格式[3.]。</explain>
      <paraID>4E1CA00A</paraID>
      <start>0</start>
      <end>2</end>
      <status>unmodified</status>
      <modifiedWord/>
      <trackRevisions>false</trackRevisions>
    </reviewItem>
    <reviewItem>
      <errorID>a844f1c9-70e0-400d-8cb8-e8addecd0a06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307E6CE6</paraID>
      <start>0</start>
      <end>2</end>
      <status>unmodified</status>
      <modifiedWord/>
      <trackRevisions>false</trackRevisions>
    </reviewItem>
    <reviewItem>
      <errorID>8af5add5-4c89-4783-b8c2-11feef5cb341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72EC973E</paraID>
      <start>0</start>
      <end>2</end>
      <status>unmodified</status>
      <modifiedWord/>
      <trackRevisions>false</trackRevisions>
    </reviewItem>
    <reviewItem>
      <errorID>6b98c634-fec2-41d2-a628-3f739a705fa6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59A46E11</paraID>
      <start>0</start>
      <end>2</end>
      <status>unmodified</status>
      <modifiedWord/>
      <trackRevisions>false</trackRevisions>
    </reviewItem>
    <reviewItem>
      <errorID>98fd035e-31d2-450d-844c-37f711c35dee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3C250BA</paraID>
      <start>0</start>
      <end>2</end>
      <status>unmodified</status>
      <modifiedWord/>
      <trackRevisions>false</trackRevisions>
    </reviewItem>
    <reviewItem>
      <errorID>c0d980b0-3695-4737-9f43-6acb35084184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1BE382C5</paraID>
      <start>0</start>
      <end>2</end>
      <status>unmodified</status>
      <modifiedWord/>
      <trackRevisions>false</trackRevisions>
    </reviewItem>
    <reviewItem>
      <errorID>63a2f96b-47a7-47e5-9fdd-0fd5e7413bac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33B40C7</paraID>
      <start>0</start>
      <end>2</end>
      <status>unmodified</status>
      <modifiedWord/>
      <trackRevisions>false</trackRevisions>
    </reviewItem>
    <reviewItem>
      <errorID>1215345d-a90c-4591-9fc3-43f033a48ea9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3CBDCE18</paraID>
      <start>0</start>
      <end>3</end>
      <status>unmodified</status>
      <modifiedWord/>
      <trackRevisions>false</trackRevisions>
    </reviewItem>
    <reviewItem>
      <errorID>69630769-4a25-4b85-baeb-cdca6e3722b8</errorID>
      <errorWord>维修及</errorWord>
      <group>L1_Word</group>
      <groupName>字词问题</groupName>
      <ability>L2_Typo</ability>
      <abilityName>字词错误</abilityName>
      <candidateList>
        <item>维修</item>
      </candidateList>
      <explain/>
      <paraID>3E155702</paraID>
      <start>13</start>
      <end>16</end>
      <status>ignored</status>
      <modifiedWord/>
      <trackRevisions>false</trackRevisions>
    </reviewItem>
    <reviewItem>
      <errorID>6dad6fca-fd1c-489b-96cf-e06d7a378e55</errorID>
      <errorWord>（</errorWord>
      <group>L1_Punc</group>
      <groupName>标点问题</groupName>
      <ability>L2_Punc</ability>
      <abilityName>标点符号检查</abilityName>
      <candidateList/>
      <explain>同一形式括号套用。</explain>
      <paraID>43470B39</paraID>
      <start>17</start>
      <end>18</end>
      <status>unmodified</status>
      <modifiedWord/>
      <trackRevisions>false</trackRevisions>
    </reviewItem>
    <reviewItem>
      <errorID>b9060477-bb48-4717-a786-be8f7363518c</errorID>
      <errorWord>）</errorWord>
      <group>L1_Punc</group>
      <groupName>标点问题</groupName>
      <ability>L2_Punc</ability>
      <abilityName>标点符号检查</abilityName>
      <candidateList/>
      <explain>同一形式括号套用。</explain>
      <paraID>43470B39</paraID>
      <start>20</start>
      <end>21</end>
      <status>unmodified</status>
      <modifiedWord/>
      <trackRevisions>false</trackRevisions>
    </reviewItem>
    <reviewItem>
      <errorID>91544476-cf38-43d1-8d4b-df9b3e3eac55</errorID>
      <errorWord>（</errorWord>
      <group>L1_Punc</group>
      <groupName>标点问题</groupName>
      <ability>L2_Punc</ability>
      <abilityName>标点符号检查</abilityName>
      <candidateList/>
      <explain>同一形式括号套用。</explain>
      <paraID>56E70234</paraID>
      <start>11</start>
      <end>12</end>
      <status>unmodified</status>
      <modifiedWord/>
      <trackRevisions>false</trackRevisions>
    </reviewItem>
    <reviewItem>
      <errorID>d5fca11e-6924-4ea3-96a0-c1265b2be1d0</errorID>
      <errorWord>）</errorWord>
      <group>L1_Punc</group>
      <groupName>标点问题</groupName>
      <ability>L2_Punc</ability>
      <abilityName>标点符号检查</abilityName>
      <candidateList/>
      <explain>同一形式括号套用。</explain>
      <paraID>56E70234</paraID>
      <start>14</start>
      <end>15</end>
      <status>unmodified</status>
      <modifiedWord/>
      <trackRevisions>false</trackRevisions>
    </reviewItem>
    <reviewItem>
      <errorID>5463f2cb-3313-4f0b-97f1-235dd06381d5</errorID>
      <errorWord>形呈</errorWord>
      <group>L1_Word</group>
      <groupName>字词问题</groupName>
      <ability>L2_Typo</ability>
      <abilityName>字词错误</abilityName>
      <candidateList>
        <item>形成</item>
      </candidateList>
      <explain>〈动〉通过发展变化而成为具有某种特点的事物，或者出现某种情形或局面：销售网已经～｜～鲜明的对比｜～难以打破的僵局。</explain>
      <paraID>24A46217</paraID>
      <start>49</start>
      <end>51</end>
      <status>modified</status>
      <modifiedWord>形成</modifiedWord>
      <trackRevisions>false</trackRevisions>
    </reviewItem>
    <reviewItem>
      <errorID>d667b40c-5df4-47e8-9c25-d3b182011ded</errorID>
      <errorWord>（</errorWord>
      <group>L1_Punc</group>
      <groupName>标点问题</groupName>
      <ability>L2_Punc</ability>
      <abilityName>标点符号检查</abilityName>
      <candidateList/>
      <explain/>
      <paraID>466367B9</paraID>
      <start>0</start>
      <end>1</end>
      <status>unmodified</status>
      <modifiedWord/>
      <trackRevisions>false</trackRevisions>
    </reviewItem>
    <reviewItem>
      <errorID>3b939f07-debb-41f9-88d4-57c446754518</errorID>
      <errorWord>（</errorWord>
      <group>L1_Punc</group>
      <groupName>标点问题</groupName>
      <ability>L2_Punc</ability>
      <abilityName>标点符号检查</abilityName>
      <candidateList/>
      <explain>同一形式括号套用。</explain>
      <paraID>49D6D2D6</paraID>
      <start>54</start>
      <end>55</end>
      <status>unmodified</status>
      <modifiedWord/>
      <trackRevisions>false</trackRevisions>
    </reviewItem>
    <reviewItem>
      <errorID>b7099485-7f8f-487f-9441-aa43df68feaa</errorID>
      <errorWord>）</errorWord>
      <group>L1_Punc</group>
      <groupName>标点问题</groupName>
      <ability>L2_Punc</ability>
      <abilityName>标点符号检查</abilityName>
      <candidateList/>
      <explain>同一形式括号套用。</explain>
      <paraID>49D6D2D6</paraID>
      <start>68</start>
      <end>69</end>
      <status>unmodified</status>
      <modifiedWord/>
      <trackRevisions>false</trackRevisions>
    </reviewItem>
    <reviewItem>
      <errorID>0f0b4d13-ddb9-4db5-8491-92eb72f2a964</errorID>
      <errorWord>（</errorWord>
      <group>L1_Punc</group>
      <groupName>标点问题</groupName>
      <ability>L2_Punc</ability>
      <abilityName>标点符号检查</abilityName>
      <candidateList/>
      <explain>同一形式括号套用。</explain>
      <paraID>6E434137</paraID>
      <start>55</start>
      <end>56</end>
      <status>unmodified</status>
      <modifiedWord/>
      <trackRevisions>false</trackRevisions>
    </reviewItem>
    <reviewItem>
      <errorID>15227eed-203e-4926-8eb5-13592e58f9a3</errorID>
      <errorWord>）</errorWord>
      <group>L1_Punc</group>
      <groupName>标点问题</groupName>
      <ability>L2_Punc</ability>
      <abilityName>标点符号检查</abilityName>
      <candidateList/>
      <explain>同一形式括号套用。</explain>
      <paraID>6E434137</paraID>
      <start>69</start>
      <end>70</end>
      <status>unmodified</status>
      <modifiedWord/>
      <trackRevisions>false</trackRevisions>
    </reviewItem>
    <reviewItem>
      <errorID>e1e8412f-c8df-4806-8ede-d7694456372e</errorID>
      <errorWord>（</errorWord>
      <group>L1_Punc</group>
      <groupName>标点问题</groupName>
      <ability>L2_Punc</ability>
      <abilityName>标点符号检查</abilityName>
      <candidateList/>
      <explain/>
      <paraID>1D282F0F</paraID>
      <start>19</start>
      <end>20</end>
      <status>unmodified</status>
      <modifiedWord/>
      <trackRevisions>false</trackRevisions>
    </reviewItem>
    <reviewItem>
      <errorID>c3545b6f-94cd-4bd8-8c54-8a645491f7e4</errorID>
      <errorWord>》</errorWord>
      <group>L1_Word</group>
      <groupName>字词问题</groupName>
      <ability>L2_Typo</ability>
      <abilityName>字词错误</abilityName>
      <candidateList>
        <item>》和</item>
      </candidateList>
      <explain/>
      <paraID>695C02C7</paraID>
      <start>42</start>
      <end>44</end>
      <status>modified</status>
      <modifiedWord>》和</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edfba-284c-4a9d-98f9-7201324fc047}">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110</Pages>
  <Words>15656</Words>
  <Characters>16569</Characters>
  <Lines>592</Lines>
  <Paragraphs>166</Paragraphs>
  <TotalTime>25</TotalTime>
  <ScaleCrop>false</ScaleCrop>
  <LinksUpToDate>false</LinksUpToDate>
  <CharactersWithSpaces>18562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2020-04-03T05:40:00Z</dcterms:created>
  <dc:creator>Administrator</dc:creator>
  <cp:lastModifiedBy>指尖的阳光</cp:lastModifiedBy>
  <cp:lastPrinted>2026-04-02T03:31:00Z</cp:lastPrinted>
  <dcterms:modified xsi:type="dcterms:W3CDTF">2026-04-29T15:41:09Z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3883322009B24A12A02089A4C02F2B47_13</vt:lpwstr>
  </property>
  <property fmtid="{D5CDD505-2E9C-101B-9397-08002B2CF9AE}" pid="4" name="KSOTemplateDocerSaveRecord">
    <vt:lpwstr>eyJoZGlkIjoiZWRhYWMzNjk3Zjg2YjQxMGUzOTdhZmRkNThlY2RmYjEiLCJ1c2VySWQiOiIyMTE4NTc1OTEifQ==</vt:lpwstr>
  </property>
</Properties>
</file>