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版本号：N510001202600017220260415001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体检费(三次)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N5100012026000172</w:t>
      </w:r>
    </w:p>
    <w:p>
      <w:pPr>
        <w:pStyle w:val="null3"/>
        <w:jc w:val="center"/>
        <w:outlineLvl w:val="2"/>
      </w:pPr>
      <w:r>
        <w:rPr>
          <w:rFonts w:ascii="仿宋_GB2312" w:hAnsi="仿宋_GB2312" w:cs="仿宋_GB2312" w:eastAsia="仿宋_GB2312"/>
          <w:sz w:val="28"/>
          <w:b/>
        </w:rPr>
        <w:t>四川省自贡监狱</w:t>
      </w:r>
    </w:p>
    <w:p>
      <w:pPr>
        <w:pStyle w:val="null3"/>
        <w:jc w:val="center"/>
        <w:outlineLvl w:val="2"/>
      </w:pPr>
      <w:r>
        <w:rPr>
          <w:rFonts w:ascii="仿宋_GB2312" w:hAnsi="仿宋_GB2312" w:cs="仿宋_GB2312" w:eastAsia="仿宋_GB2312"/>
          <w:sz w:val="28"/>
          <w:b/>
        </w:rPr>
        <w:t>四川泰运丰建设项目管理有限公司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四川泰运丰建设项目管理有限公司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四川省自贡监狱</w:t>
      </w:r>
      <w:r>
        <w:rPr>
          <w:rFonts w:ascii="仿宋_GB2312" w:hAnsi="仿宋_GB2312" w:cs="仿宋_GB2312" w:eastAsia="仿宋_GB2312"/>
        </w:rPr>
        <w:t xml:space="preserve"> 委托，拟对 </w:t>
      </w:r>
      <w:r>
        <w:rPr>
          <w:rFonts w:ascii="仿宋_GB2312" w:hAnsi="仿宋_GB2312" w:cs="仿宋_GB2312" w:eastAsia="仿宋_GB2312"/>
        </w:rPr>
        <w:t>体检费(三次)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N5100012026000172</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体检费(三次)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四川省自贡监狱因工作需要，拟选择一名合格的供应商为单位民警提供健康体检服务。最终人数以实际参检人数为准。</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1、供应商应具有行政主管部门颁发的有效的《医疗机构执业许可证》（描述：供应商应提供行政主管部门颁发的有效的《医疗机构执业许可证》证书影印件并进行电子签章。）</w:t>
      </w:r>
    </w:p>
    <w:p>
      <w:pPr>
        <w:pStyle w:val="null3"/>
        <w:jc w:val="left"/>
      </w:pPr>
      <w:r>
        <w:rPr>
          <w:rFonts w:ascii="仿宋_GB2312" w:hAnsi="仿宋_GB2312" w:cs="仿宋_GB2312" w:eastAsia="仿宋_GB2312"/>
        </w:rPr>
        <w:t>2、供应商应具有行政主管部门颁发的有效的《放射诊疗许可证》（已办理多证合一的，只须具有诊疗科目含放射诊断或放射治疗或医学影像科的《医疗机构执业许可证》即可）（描述：供应商应提供行政主管部门颁发的有效的《放射诊疗许可证》证书影印件并进行电子签章。（已办理多证合一的，只须提供具有诊疗科目含放射诊断或放射治疗或医学影像科的《医疗机构执业许可证》证书影印件即可））</w:t>
      </w:r>
    </w:p>
    <w:p>
      <w:pPr>
        <w:pStyle w:val="null3"/>
        <w:jc w:val="left"/>
      </w:pPr>
      <w:r>
        <w:rPr>
          <w:rFonts w:ascii="仿宋_GB2312" w:hAnsi="仿宋_GB2312" w:cs="仿宋_GB2312" w:eastAsia="仿宋_GB2312"/>
        </w:rPr>
        <w:t>3、供应商应具有行政主管部门颁发的有效的《辐射安全许可证》（描述：供应商应提供行政主管部门颁发的有效的《辐射安全许可证》证书影印件并进行电子签章。）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四川省自贡监狱</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四川省自贡市自流井区鸿鹤路65号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643000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周先生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0813-2769408</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四川泰运丰建设项目管理有限公司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四川省自贡市贡井区富兴路1号中国川南五金城二期项目3栋商业3-16号至3-27号铺</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643020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林女士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0813-3300130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采购包1：963,000.00元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代理服务费收费标准：向成交供应商以现金或者转账方式定额收取:11556.00元（大写：壹万壹仟伍佰伍拾陆元整）。由成交供应商于成交通知书发出后3个工作日内支付。</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四川省自贡监狱</w:t>
      </w:r>
      <w:r>
        <w:rPr>
          <w:rFonts w:ascii="仿宋_GB2312" w:hAnsi="仿宋_GB2312" w:cs="仿宋_GB2312" w:eastAsia="仿宋_GB2312"/>
        </w:rPr>
        <w:t xml:space="preserve"> 和 </w:t>
      </w:r>
      <w:r>
        <w:rPr>
          <w:rFonts w:ascii="仿宋_GB2312" w:hAnsi="仿宋_GB2312" w:cs="仿宋_GB2312" w:eastAsia="仿宋_GB2312"/>
        </w:rPr>
        <w:t>四川泰运丰建设项目管理有限公司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四川省自贡监狱</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四川泰运丰建设项目管理有限公司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成交供应商完成体检服务后，提出验收申请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其他未尽事宜按照《财政部关于进一步加强政府采购需求和履约验收管理的指导意见》(财库〔2016〕205号)、《政府采购需求管理办法》(财库〔2021〕22 号)及采购文件、供应商的响应文件及承诺以及合同约定标准进行验收。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1、审核服务内容是否与响应文件内容一致。2、审核项目中服务是否达到规定要求。</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1、审核提供验收的各类资料的正确性、完整性。 2、审核提供验收的各类资料是否齐全、合理。 3、审核实施进度情况是否符合磋商文件要求。</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严格按照政府采购相关法律法规以及《财政部关于进一步加强政府采购需求和履约验收管理的指导意见》（财库〔2016〕205号）、磋商文件规定的要求和成交供应商的响应文件及合同约定的内容进行验收。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四川省自贡监狱</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四川泰运丰建设项目管理有限公司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四川泰运丰建设项目管理有限公司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联系人：周先生</w:t>
      </w:r>
    </w:p>
    <w:p>
      <w:pPr>
        <w:pStyle w:val="null3"/>
        <w:jc w:val="left"/>
      </w:pPr>
      <w:r>
        <w:rPr>
          <w:rFonts w:ascii="仿宋_GB2312" w:hAnsi="仿宋_GB2312" w:cs="仿宋_GB2312" w:eastAsia="仿宋_GB2312"/>
        </w:rPr>
        <w:t>联系电话：0813-2769408</w:t>
      </w:r>
    </w:p>
    <w:p>
      <w:pPr>
        <w:pStyle w:val="null3"/>
        <w:jc w:val="left"/>
      </w:pPr>
      <w:r>
        <w:rPr>
          <w:rFonts w:ascii="仿宋_GB2312" w:hAnsi="仿宋_GB2312" w:cs="仿宋_GB2312" w:eastAsia="仿宋_GB2312"/>
        </w:rPr>
        <w:t>地址：四川省自贡市自流井区鸿鹤路65号</w:t>
      </w:r>
    </w:p>
    <w:p>
      <w:pPr>
        <w:pStyle w:val="null3"/>
        <w:jc w:val="left"/>
      </w:pPr>
      <w:r>
        <w:rPr>
          <w:rFonts w:ascii="仿宋_GB2312" w:hAnsi="仿宋_GB2312" w:cs="仿宋_GB2312" w:eastAsia="仿宋_GB2312"/>
        </w:rPr>
        <w:t>邮编：643000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联系人：林女士</w:t>
      </w:r>
    </w:p>
    <w:p>
      <w:pPr>
        <w:pStyle w:val="null3"/>
        <w:jc w:val="left"/>
      </w:pPr>
      <w:r>
        <w:rPr>
          <w:rFonts w:ascii="仿宋_GB2312" w:hAnsi="仿宋_GB2312" w:cs="仿宋_GB2312" w:eastAsia="仿宋_GB2312"/>
        </w:rPr>
        <w:t>联系电话：0813-3300130</w:t>
      </w:r>
    </w:p>
    <w:p>
      <w:pPr>
        <w:pStyle w:val="null3"/>
        <w:jc w:val="left"/>
      </w:pPr>
      <w:r>
        <w:rPr>
          <w:rFonts w:ascii="仿宋_GB2312" w:hAnsi="仿宋_GB2312" w:cs="仿宋_GB2312" w:eastAsia="仿宋_GB2312"/>
        </w:rPr>
        <w:t>地址：四川省自页市贡井区富兴路1号中国川南五金城二期项目3栋商业3-16号至3-27号铺</w:t>
      </w:r>
    </w:p>
    <w:p>
      <w:pPr>
        <w:pStyle w:val="null3"/>
        <w:jc w:val="left"/>
      </w:pPr>
      <w:r>
        <w:rPr>
          <w:rFonts w:ascii="仿宋_GB2312" w:hAnsi="仿宋_GB2312" w:cs="仿宋_GB2312" w:eastAsia="仿宋_GB2312"/>
        </w:rPr>
        <w:t>邮编：643020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963,000.00</w:t>
      </w:r>
    </w:p>
    <w:p>
      <w:pPr>
        <w:pStyle w:val="null3"/>
        <w:jc w:val="left"/>
      </w:pPr>
      <w:r>
        <w:rPr>
          <w:rFonts w:ascii="仿宋_GB2312" w:hAnsi="仿宋_GB2312" w:cs="仿宋_GB2312" w:eastAsia="仿宋_GB2312"/>
        </w:rPr>
        <w:t>采购包最高限价（元）: 963,000.00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C04070100 体检服务</w:t>
            </w:r>
          </w:p>
        </w:tc>
        <w:tc>
          <w:tcPr>
            <w:tcW w:type="dxa" w:w="821"/>
          </w:tcPr>
          <w:p>
            <w:pPr>
              <w:pStyle w:val="null3"/>
              <w:jc w:val="left"/>
            </w:pPr>
            <w:r>
              <w:rPr>
                <w:rFonts w:ascii="仿宋_GB2312" w:hAnsi="仿宋_GB2312" w:cs="仿宋_GB2312" w:eastAsia="仿宋_GB2312"/>
              </w:rPr>
              <w:t>体检费</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963,000.00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体检费</w:t>
            </w:r>
          </w:p>
        </w:tc>
        <w:tc>
          <w:tcPr>
            <w:tcW w:type="dxa" w:w="977"/>
          </w:tcPr>
          <w:p>
            <w:pPr>
              <w:pStyle w:val="null3"/>
              <w:jc w:val="center"/>
            </w:pPr>
            <w:r>
              <w:rPr>
                <w:rFonts w:ascii="仿宋_GB2312" w:hAnsi="仿宋_GB2312" w:cs="仿宋_GB2312" w:eastAsia="仿宋_GB2312"/>
              </w:rPr>
              <w:t>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不设定</w:t>
            </w:r>
          </w:p>
        </w:tc>
        <w:tc>
          <w:tcPr>
            <w:tcW w:type="dxa" w:w="977"/>
          </w:tcPr>
          <w:p>
            <w:pPr>
              <w:pStyle w:val="null3"/>
              <w:jc w:val="center"/>
            </w:pPr>
            <w:r>
              <w:rPr>
                <w:rFonts w:ascii="仿宋_GB2312" w:hAnsi="仿宋_GB2312" w:cs="仿宋_GB2312" w:eastAsia="仿宋_GB2312"/>
              </w:rPr>
              <w:t>百分比</w:t>
            </w:r>
          </w:p>
        </w:tc>
        <w:tc>
          <w:tcPr>
            <w:tcW w:type="dxa" w:w="1466"/>
          </w:tcPr>
          <w:p>
            <w:pPr>
              <w:pStyle w:val="null3"/>
              <w:jc w:val="left"/>
            </w:pPr>
            <w:r>
              <w:rPr>
                <w:rFonts w:ascii="仿宋_GB2312" w:hAnsi="仿宋_GB2312" w:cs="仿宋_GB2312" w:eastAsia="仿宋_GB2312"/>
              </w:rPr>
              <w:t>本项目采用下浮率报价方式，供应商应在不同的体检套餐价格的基础上报出统一的报价下浮率。</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标的名称：体检费</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4"/>
                <w:b/>
                <w:color w:val="000000"/>
                <w:shd w:fill="FFFFFF" w:val="clear"/>
              </w:rPr>
              <w:t>一</w:t>
            </w:r>
            <w:r>
              <w:rPr>
                <w:rFonts w:ascii="仿宋_GB2312" w:hAnsi="仿宋_GB2312" w:cs="仿宋_GB2312" w:eastAsia="仿宋_GB2312"/>
                <w:sz w:val="24"/>
                <w:color w:val="0000FF"/>
              </w:rPr>
              <w:t>、体检项目选择列表</w:t>
            </w:r>
          </w:p>
          <w:tbl>
            <w:tblPr>
              <w:tblBorders>
                <w:top w:val="none" w:color="000000" w:sz="4"/>
                <w:left w:val="none" w:color="000000" w:sz="4"/>
                <w:bottom w:val="none" w:color="000000" w:sz="4"/>
                <w:right w:val="none" w:color="000000" w:sz="4"/>
                <w:insideH w:val="none"/>
                <w:insideV w:val="none"/>
              </w:tblBorders>
            </w:tblPr>
            <w:tblGrid>
              <w:gridCol w:w="504"/>
              <w:gridCol w:w="1511"/>
              <w:gridCol w:w="3527"/>
            </w:tblGrid>
            <w:tr>
              <w:tc>
                <w:tcPr>
                  <w:tcW w:type="dxa" w:w="50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序号</w:t>
                  </w:r>
                </w:p>
              </w:tc>
              <w:tc>
                <w:tcPr>
                  <w:tcW w:type="dxa" w:w="151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项目名称</w:t>
                  </w:r>
                </w:p>
              </w:tc>
              <w:tc>
                <w:tcPr>
                  <w:tcW w:type="dxa" w:w="352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目的</w:t>
                  </w:r>
                </w:p>
              </w:tc>
            </w:tr>
            <w:tr>
              <w:tc>
                <w:tcPr>
                  <w:tcW w:type="dxa" w:w="5542"/>
                  <w:gridSpan w:val="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体格检查</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1</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一般检查</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测量身高、体重及血压，筛查高血压病及肥胖症。</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2</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内科</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初步评估心、肺、腹的基本状况。</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3</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外科</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检查皮肤、甲状腺、脊柱四肢等重要脏器有无异常。</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4</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耳鼻喉科</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通过对耳、鼻咽、扁桃喉等器官的常规检查，初步筛查常见疾病。</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5</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眼科组合（视力、裂隙灯、免散瞳眼底）</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包括测视力，外眼、裂隙灯及免散瞳眼底检查，初步筛查眼部疾病及眼底视网膜病变。</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6</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多光谱眼底成像</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通过免散瞳技术检查深层眼底组织，有助于发现早期眼底微小病变。</w:t>
                  </w:r>
                </w:p>
              </w:tc>
            </w:tr>
            <w:tr>
              <w:tc>
                <w:tcPr>
                  <w:tcW w:type="dxa" w:w="5542"/>
                  <w:gridSpan w:val="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采血项目（实验室检查）</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7</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肝功10项</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检测肝脏功能代谢的相关指标（包括转氨酶、胆红素等）。</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8</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肝功13项</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检测肝脏功能代谢的相关指标（肝功10项+谷酰胺转肽酶、碱性磷酸酶、胆碱酯酶等）。</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9</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肾功3项</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检测肾脏功能代谢的相关指标（包括尿素氮、肌酐、尿酸）。</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10</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肾功5项</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检测肾脏功能代谢的相关指标（肾功3项+肾小球滤过率、胱抑素C）。</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11</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血脂4项</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检测血液中所含的脂类（总胆固醇、甘油三酯、低密度脂蛋白和高密度脂蛋白）。</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12</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血脂8项</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检测血液中所含的脂类，同时评估心脑血管疾病的危险因素（血脂4项+载脂蛋白A、载脂蛋白B、脂蛋白-α、同型半胱氨酸）。</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13</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同型半胱氨酸</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评估心脑血管疾病的发病风险。</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14</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空腹血糖</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检测人体空腹血糖水平，初步筛查糖尿病。</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15</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糖化血红蛋白</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评估近三个月的平均血糖水平，辅助诊断糖尿病。</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16</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糖化白蛋白</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评估近2-3周的平均血糖水平，有助于糖尿病的诊断及治疗。</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17</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血常规（五分类）</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检测体内血细胞的数量及形态，初步筛查贫血、感染、血小板减少、白血病等疾病。</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18</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ABO+Rh</w:t>
                  </w:r>
                  <w:r>
                    <w:rPr>
                      <w:rFonts w:ascii="仿宋_GB2312" w:hAnsi="仿宋_GB2312" w:cs="仿宋_GB2312" w:eastAsia="仿宋_GB2312"/>
                      <w:sz w:val="24"/>
                      <w:color w:val="0000FF"/>
                    </w:rPr>
                    <w:t>血型</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检测血型。</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19</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血红蛋白电泳</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初步筛查有无地中海贫血。</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20</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贫血组合</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检测铁蛋白、叶酸、维生素B12水平，辅助诊断缺铁性贫血及巨幼细胞性贫血。</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21</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乙肝DNA</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了解乙肝病毒复制程度及传染性大小。</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22</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肝炎抗体全套</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检测有无甲、乙（含前S1抗原）、丙、戊型肝炎病毒感染。</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23</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乙肝两对半定量</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检测有无乙肝抗体或乙肝病毒感染。</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24</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甲肝抗体</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检测是否感染甲型肝炎。</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25</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丙肝抗体</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检测是否感染丙型肝炎。</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26</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戊肝抗体</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检测是否感染戊型肝炎。</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27</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自身免疫肝病抗体</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初步筛查有无自身免疫性肝病（如：自身免疫性肝炎、原发性胆汁性肝硬化、原发性胆汁性胆管炎）。</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28</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肝癌三项</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包含甲胎蛋白异质体比率、异常凝血酶原、甲胎蛋白异质体，联合甲胎蛋白检测，对肝癌敏感性、特异性更高，提高肝癌的检出率。</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28</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甲胎蛋白异质体比率（AFP-L3%）</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肝癌的“特异性指标”，提高肝癌的诊出率。</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30</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异常凝血酶原（DCP）</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肝癌的“敏感性”指标，提高肝癌的诊出率。</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31</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梅毒</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检测有无梅毒螺旋杆菌感染。</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32</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艾滋 HIV</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检测有无艾滋病毒感染。</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33</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电解质2</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了解体内有无电解质紊乱及酸碱失衡。</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34</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心肌酶谱1</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初步筛查。</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35</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心肌酶谱2</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辅助诊断心肌梗塞、病毒性心肌炎、炎性肌病等疾病。</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36</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B</w:t>
                  </w:r>
                  <w:r>
                    <w:rPr>
                      <w:rFonts w:ascii="仿宋_GB2312" w:hAnsi="仿宋_GB2312" w:cs="仿宋_GB2312" w:eastAsia="仿宋_GB2312"/>
                      <w:sz w:val="24"/>
                      <w:color w:val="0000FF"/>
                    </w:rPr>
                    <w:t>型钠尿肽</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辅助诊断和监测心功能衰竭。</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37</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微量元素</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检测体内铜、锌、钙、镁、铁的含量。</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38</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25</w:t>
                  </w:r>
                  <w:r>
                    <w:rPr>
                      <w:rFonts w:ascii="仿宋_GB2312" w:hAnsi="仿宋_GB2312" w:cs="仿宋_GB2312" w:eastAsia="仿宋_GB2312"/>
                      <w:sz w:val="24"/>
                      <w:color w:val="0000FF"/>
                    </w:rPr>
                    <w:t>羟基总维生素D</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了解人体是否缺乏维生素D，辅助评估钙吸收情况。</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39</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脂溶性维生素</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检测血清维生素的水平，包括维生素A、D（D2、D3、总D）、E、K。</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40</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多肽抗体谱</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筛查常见的风湿免疫疾病，如系统性红斑狼疮、干燥综合征等。</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41</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风湿组合</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筛查常见关节炎，如类风湿关节炎、风湿性关节炎、痛风等。</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42</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抗环瓜氨酸肽抗体（抗ccp）</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辅助诊断类风湿关节炎的高度特异性指标。</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43</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HLA-B27</w:t>
                  </w:r>
                  <w:r>
                    <w:rPr>
                      <w:rFonts w:ascii="仿宋_GB2312" w:hAnsi="仿宋_GB2312" w:cs="仿宋_GB2312" w:eastAsia="仿宋_GB2312"/>
                      <w:sz w:val="24"/>
                      <w:color w:val="0000FF"/>
                    </w:rPr>
                    <w:t>（人体白细胞抗原）</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辅助诊断脊柱关节病，如强直性脊柱炎。</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44</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抗中性粒细胞胞浆抗体ANCA</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筛查血管炎及炎性肠病等疾病。</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45</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补体C3、C4</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辅助筛查风湿免疫病（如系统性红斑狼疮）及肾脏疾病等。</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46</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免疫球蛋白</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辅助筛查风湿免疫病、血液系统的浆细胞病等。</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47</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超敏C反应蛋白</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辅助筛查细菌感染、炎症、风湿免疫病、肿瘤等疾病。</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48</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血沉</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辅助筛查感染、炎症、肿瘤、风湿免疫病等疾病。</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49</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血淀粉酶组合</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辅助诊断胰腺炎。</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50</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胃蛋白酶原（PG1、PG2）</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了解胃粘膜功能和状态，初步筛查萎缩性胃炎和胃癌等疾病风险。</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51</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胃泌素17</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了解胃窦病变情况和胃酸的分泌情况，初步筛查胃泌素瘤、萎缩性胃炎、胃癌等疾病风险。</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52</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幽门螺旋杆菌抗体分型</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有助于幽门螺旋杆菌感染的诊断及治疗。</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53</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EB</w:t>
                  </w:r>
                  <w:r>
                    <w:rPr>
                      <w:rFonts w:ascii="仿宋_GB2312" w:hAnsi="仿宋_GB2312" w:cs="仿宋_GB2312" w:eastAsia="仿宋_GB2312"/>
                      <w:sz w:val="24"/>
                      <w:color w:val="0000FF"/>
                    </w:rPr>
                    <w:t>病毒鼻咽癌筛查</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辅助筛查鼻咽癌的患病风险。</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54</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尿碘</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测量碘的浓度，碘对机体的能量代谢、蛋白质、糖、脂肪代谢、生长发育、神经系统的具有重要生理功能。</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55</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甲状腺相关物质</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筛查亚急性甲状腺炎、桥本氏甲状腺炎、甲状腺癌、Graves病（毒性弥漫性甲状腺肿）等疾病。</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56</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甲状腺激素（TSH FT3 FT4 T3 T4 反T3)</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检测甲状腺功能代谢指标，筛查甲亢、甲减等疾病。</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57</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甲功体检</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检测甲状腺功能代谢指标，初步筛查甲亢、甲减、亚急性甲状腺炎、桥本氏甲状腺炎等疾病。</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58</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甲功3项（TSH FT3 FT4）</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检测甲状腺功能代谢指标，初步筛查甲亢、甲减等疾病。</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59</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血凝常规</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检测人体的凝血功能是否正常。</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60</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D-</w:t>
                  </w:r>
                  <w:r>
                    <w:rPr>
                      <w:rFonts w:ascii="仿宋_GB2312" w:hAnsi="仿宋_GB2312" w:cs="仿宋_GB2312" w:eastAsia="仿宋_GB2312"/>
                      <w:sz w:val="24"/>
                      <w:color w:val="0000FF"/>
                    </w:rPr>
                    <w:t>二聚体</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反映纤维蛋白的溶解功能。</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61</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TORCH</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检测近期或既往有无感染弓形虫、风疹病毒、单纯疱疹病毒、巨细胞病毒等，对优生优育有重要意义。</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62</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性激素全套</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了解受检者内分泌功能，辅助诊断与内分泌失调相关的疾病（女性在经期第二天早上采血，采血前需静坐30分钟）。</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63</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8</w:t>
                  </w:r>
                  <w:r>
                    <w:rPr>
                      <w:rFonts w:ascii="仿宋_GB2312" w:hAnsi="仿宋_GB2312" w:cs="仿宋_GB2312" w:eastAsia="仿宋_GB2312"/>
                      <w:sz w:val="24"/>
                      <w:color w:val="0000FF"/>
                    </w:rPr>
                    <w:t>种食物过敏原筛查</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筛查是否对鸡蛋白、牛奶、花生、黄豆、海鱼（鳕鱼、龙虾、扇贝）、淡水鱼（鲑鱼、鲈鱼、鲤鱼）、虾、蟹过敏。</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64</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10</w:t>
                  </w:r>
                  <w:r>
                    <w:rPr>
                      <w:rFonts w:ascii="仿宋_GB2312" w:hAnsi="仿宋_GB2312" w:cs="仿宋_GB2312" w:eastAsia="仿宋_GB2312"/>
                      <w:sz w:val="24"/>
                      <w:color w:val="0000FF"/>
                    </w:rPr>
                    <w:t>种吸入物过敏原筛查</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筛查是否对艾蒿、树（柳树、杨树、榆树）、普通豚草、尘螨（屋尘螨、粉尘螨）、屋尘、猫毛、狗上皮、蟑螂、霉菌组合、律草过敏。</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65</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结直肠癌多基因</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可用于结直肠癌的早筛早诊和复发预测。</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66</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高血压药物相关基因检测</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通过基因检测，指导高血压患者合理用药。</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67</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糖尿病自身抗体</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辅助筛查及诊断1型糖尿病。</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68</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骨代谢激素</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辅助筛查骨质疏松及其分型。</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69</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尿碘</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评估人体的碘营养状况。</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70</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甲状旁腺激素</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评估甲状旁腺功能有无异常。</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71</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胰岛素（空腹）</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检测空腹胰岛素水平。</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72</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胰岛功能(空腹)</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检测空腹胰岛细胞分泌功能。</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73</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胰岛功能(餐后2小时)</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检测餐后2小时胰岛细胞分泌功能。</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74</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结核抗体</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辅助筛查有无结核杆菌感染。</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75</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11</w:t>
                  </w:r>
                  <w:r>
                    <w:rPr>
                      <w:rFonts w:ascii="仿宋_GB2312" w:hAnsi="仿宋_GB2312" w:cs="仿宋_GB2312" w:eastAsia="仿宋_GB2312"/>
                      <w:sz w:val="24"/>
                      <w:color w:val="0000FF"/>
                    </w:rPr>
                    <w:t>项呼吸道病毒检测</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筛查有无流感病毒、肺炎衣原体、支原体等病原体感染。</w:t>
                  </w:r>
                </w:p>
              </w:tc>
            </w:tr>
            <w:tr>
              <w:tc>
                <w:tcPr>
                  <w:tcW w:type="dxa" w:w="5542"/>
                  <w:gridSpan w:val="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体液检查</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76</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尿常规</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检测尿液成份，初步筛查泌尿系统及全身性疾病。</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77</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尿沉渣</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对尿液的定量检测，辅助诊断泌尿系统疾病（尿常规＋细胞管型、结晶、细菌数、红细胞形态等）。</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78</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尿淀粉酶</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辅助诊断胰腺炎。</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79</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尿蛋白肌酐比</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筛查早期肾脏损伤的敏感指标，对高血压或糖尿病引起的肾损害诊断有重要意义。</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80</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尿ß2微球蛋白</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辅助筛查有无肾小管损伤、肾小球肾炎、血液系统疾病等。</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81</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尿微量白蛋白</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可早期发现多种原因引起的肾脏损害。</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82</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阿尔茨海默相关神经丝蛋白（AD7C-NTP）</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早期筛查阿尔兹海默症（老年痴呆）的患病风险（留取随机尿标本）。</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83</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尿核基质蛋白22（NMP22）</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辅助筛查膀胱癌。</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84</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粪便隐血试验（定量法）</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下消化道肿瘤早期诊断的一个重要筛选指标。见于消化道出血、息肉腺瘤、溃疡性结肠炎等。</w:t>
                  </w:r>
                </w:p>
              </w:tc>
            </w:tr>
            <w:tr>
              <w:tc>
                <w:tcPr>
                  <w:tcW w:type="dxa" w:w="5542"/>
                  <w:gridSpan w:val="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肿瘤标记物</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85</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肿瘤标记物7项（AFP、CEA、CA125、NSE、CYFRA21-1、CA242、HCG）</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早期筛查肝癌、肺癌、消化道癌、胰腺癌、胆囊癌、空腔脏器肿瘤、胃癌等相关肿瘤。</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86</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胃肠肿瘤筛查8项（AFP、CEA 、铁蛋白、CA125、CA199 、CA50、CA242、CYFRA21-1 ）</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辅助筛查胃肠道肿瘤。</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87</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肝胆胰肿瘤筛查6项（AFP、CEA 、铁蛋白、CA125、CA199、CA50）</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辅助筛查肝胆胰肿瘤。</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88</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乳腺癌筛查3项（CEA 、CA125、CA153）</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辅助筛查乳腺肿瘤。</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89</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妇科肿瘤筛查10项（AFP、CEA、CA125、CA199、CA153、NSE、SCC、HCG、HE4、血ß2微球蛋白）</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辅助筛查妇科肿瘤。</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90</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肺癌肿瘤筛查8项（CEA、CA125、CA199、CA153、NSE、CYFRA21-1 、SCC、胃泌素释放肽前体）</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辅助筛查肺部肿瘤。</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91</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甲胎蛋白AFP</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辅助筛查原发性肝癌等相关疾病。</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92</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癌胚抗原CEA</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广谱性肿瘤标志物，辅助筛查消化道肿瘤、肺癌等相关疾病。</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93</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糖类抗原Ca125</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辅助筛查卵巢癌、子宫内膜癌等妇科肿瘤及消化道相关肿瘤。</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94</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糖类抗原Ca153</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辅助筛查乳腺癌等相关疾病。</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95</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糖类抗原Ca199</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辅助筛查消化道相关肿瘤（如胰腺癌、胆管癌、结直肠癌等）。</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96</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糖类抗原724</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辅助筛查胃癌、卵巢癌、结直肠癌等疾病。</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97</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血ß2微球蛋白</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反映肾小球滤过率功能是否受损，了解有无高血压或糖尿病引起的早期肾损害，辅助筛查风湿免疫病及恶性肿瘤等疾病。</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98</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糖类抗原CA50</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辅助筛查大肠癌、胰腺癌及其他良性肿瘤。</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99</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人附睾蛋白HE4</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辅助筛查早期卵巢癌等疾病。</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100</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血HCG</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辅助诊断早孕，对宫外孕、绒毛膜上皮癌、非小细胞肺癌等疾病也有诊断意义。</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101</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胃泌素释放肽前体（ProGRP）</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结合神经元特异性烯醇化酶NSE辅助筛查小细胞肺癌，提高诊出率（肾功能衰竭者不做此检查）。</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102</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糖类抗原CA242</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辅助筛查胰腺癌、大肠癌、胃癌等消化道相关肿瘤。</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103</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鳞状上皮细胞癌抗原(SCC )</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辅助筛查各种鳞状上皮细胞癌，如宫颈癌、食管癌、肺癌等。</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104</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前列腺特异性抗原PSA</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辅助筛查前列腺癌等相关疾病。</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105</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游离前列腺特异性抗原fPSA</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辅助筛查前列腺癌（PSA联合fPSA筛查前列腺癌检测更精准）。</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106</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神经元特异性烯醇化酶NSE</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辅助筛查小细胞肺癌、神经母细胞瘤等相关疾病。</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107</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细胞角蛋白19片段CYFRA21-1</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辅助筛查非小细胞肺癌等相关疾病。</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108</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铁蛋白Fer</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了解体内是否缺铁或铁负荷过多，辅助诊断缺铁性贫血、溶血、肿瘤等疾病。</w:t>
                  </w:r>
                </w:p>
              </w:tc>
            </w:tr>
            <w:tr>
              <w:tc>
                <w:tcPr>
                  <w:tcW w:type="dxa" w:w="5542"/>
                  <w:gridSpan w:val="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彩超检查</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109</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消化系统彩超（需空腹）</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筛查肝脏、胆囊、胰腺、脾脏的常见疾病。</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110</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泌尿系统彩超</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筛查肾脏、输尿管、膀胱、前列腺（男）的常见疾病。</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111</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妇科系统彩超（经腹部）</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筛查子宫、卵巢、输卵管等妇科常见疾病（需胀尿）。</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112</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妇科系统彩超（经阴道  已婚）</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筛查子宫、卵巢、输卵管的常见疾病（无需胀尿，避开月经期）。</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113</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双侧甲状腺彩超</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筛查甲状腺的常见疾病。</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114</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乳腺彩超</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筛查乳腺及腋窝淋巴结的常见疾病。</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115</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心脏彩超</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了解心脏的形态和功能。</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116</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双下肢动脉彩超</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筛查有无下肢静脉曲张、静脉血栓形成等疾病。</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117</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双下肢静脉彩超</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筛查有无下肢动脉硬化或狭窄等疾病。</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118</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双下肢动静脉彩超</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筛查下肢血管的常见疾病，如静脉曲张、血栓或动脉硬化、狭窄等。</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119</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肝脏超声影像和瞬时弹性成像检测</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了解肝脏脂肪含量及纤维化程度，辅助诊断早期肝硬化。</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120</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颈动脉彩超</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了解颈动脉有无斑块形成或狭窄堵塞。</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121</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脏器声学造影</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辅助诊断实质脏器病变的良恶性。</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122</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胎儿彩超</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了解胎儿发育情况。</w:t>
                  </w:r>
                </w:p>
              </w:tc>
            </w:tr>
            <w:tr>
              <w:tc>
                <w:tcPr>
                  <w:tcW w:type="dxa" w:w="5542"/>
                  <w:gridSpan w:val="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心电图室检查</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123</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心电图（十二导联）</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了解有无心律失常、心肌缺血、心肌梗塞等疾病。</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124</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24</w:t>
                  </w:r>
                  <w:r>
                    <w:rPr>
                      <w:rFonts w:ascii="仿宋_GB2312" w:hAnsi="仿宋_GB2312" w:cs="仿宋_GB2312" w:eastAsia="仿宋_GB2312"/>
                      <w:sz w:val="24"/>
                      <w:color w:val="0000FF"/>
                    </w:rPr>
                    <w:t>小时动态心电图</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记录24小时心电图变化，有助于心律失常、心动过缓等疾病诊断。</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125</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24</w:t>
                  </w:r>
                  <w:r>
                    <w:rPr>
                      <w:rFonts w:ascii="仿宋_GB2312" w:hAnsi="仿宋_GB2312" w:cs="仿宋_GB2312" w:eastAsia="仿宋_GB2312"/>
                      <w:sz w:val="24"/>
                      <w:color w:val="0000FF"/>
                    </w:rPr>
                    <w:t>小时动态血压监测</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记录24小时血压变化，有助于高血压的诊断和治疗。</w:t>
                  </w:r>
                </w:p>
              </w:tc>
            </w:tr>
            <w:tr>
              <w:tc>
                <w:tcPr>
                  <w:tcW w:type="dxa" w:w="5542"/>
                  <w:gridSpan w:val="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影像学检查</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126</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胸部正位片（有辐射）</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初步筛查肺部炎症、肿瘤、胸廓纵膈病变等疾病。</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127</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胸部正侧位片（有辐射）</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初步筛查肺部炎症、肿瘤、胸廓纵膈病变等疾病。</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128</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腰椎正侧位片（有辐射）</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初步筛查腰椎有无病变，如骨质增生、骨折、骨质疏松等。</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129</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颈椎正侧位片（有辐射）</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初步筛查颈椎有无病变，如骨质增生、关节错位滑脱、骨折等。</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130</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骨盆正位片</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筛查骨盆、髋关节等有无病变。</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131</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乳腺钼靶（有辐射）</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辅助筛查乳腺癌（≥40岁女性选做，乳腺假体者禁做）。</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132</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X</w:t>
                  </w:r>
                  <w:r>
                    <w:rPr>
                      <w:rFonts w:ascii="仿宋_GB2312" w:hAnsi="仿宋_GB2312" w:cs="仿宋_GB2312" w:eastAsia="仿宋_GB2312"/>
                      <w:sz w:val="24"/>
                      <w:color w:val="0000FF"/>
                    </w:rPr>
                    <w:t>线骨密度检测（有辐射）</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初步筛查骨质疏松，预测骨折风险。</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133</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256</w:t>
                  </w:r>
                  <w:r>
                    <w:rPr>
                      <w:rFonts w:ascii="仿宋_GB2312" w:hAnsi="仿宋_GB2312" w:cs="仿宋_GB2312" w:eastAsia="仿宋_GB2312"/>
                      <w:sz w:val="24"/>
                      <w:color w:val="0000FF"/>
                    </w:rPr>
                    <w:t>排全腹部CT（上下腹＋盆腔）（有辐射）</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筛查腹腔内如肝胆胰脾、肾脏输尿管膀胱、前列腺（男）/子宫双附件（女）、腹膜后等有无病变。</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134</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颈椎核磁共振（无辐射）</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筛查颈椎有无病变，如椎间盘突出、椎管狭窄、肿瘤、脊髓病变等疾病。</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135</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腰椎核磁共振（无辐射）</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了解腰椎有无病变，如椎间盘突出、椎管狭窄、肿瘤、脊髓病变、骨折等疾病。</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136</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256</w:t>
                  </w:r>
                  <w:r>
                    <w:rPr>
                      <w:rFonts w:ascii="仿宋_GB2312" w:hAnsi="仿宋_GB2312" w:cs="仿宋_GB2312" w:eastAsia="仿宋_GB2312"/>
                      <w:sz w:val="24"/>
                      <w:color w:val="0000FF"/>
                    </w:rPr>
                    <w:t>排颅脑CT平扫（不含胶片有辐射）</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筛查有无脑梗塞、脑出血、颅内肿瘤占位等疾病。</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137</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256</w:t>
                  </w:r>
                  <w:r>
                    <w:rPr>
                      <w:rFonts w:ascii="仿宋_GB2312" w:hAnsi="仿宋_GB2312" w:cs="仿宋_GB2312" w:eastAsia="仿宋_GB2312"/>
                      <w:sz w:val="24"/>
                      <w:color w:val="0000FF"/>
                    </w:rPr>
                    <w:t>排胸部低剂量螺旋CT平扫+体层成像（不含胶片)（有辐射）</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筛查早期肺部肿瘤最有效的检查方法，对肺癌的检出率较胸片明显提高，可发现肺部微小结节（1-2mm），辐射剂量较常规CT明显降低（相当于2-3张胸片的辐射剂量）。</w:t>
                  </w:r>
                </w:p>
              </w:tc>
            </w:tr>
            <w:tr>
              <w:tc>
                <w:tcPr>
                  <w:tcW w:type="dxa" w:w="5542"/>
                  <w:gridSpan w:val="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妇科及病理检查</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138</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妇科检查+宫颈液基细胞学检查（TCT）</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初步筛查宫颈癌、宫颈癌前病变、宫颈炎等疾病。</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139</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人乳头瘤病毒高危13型检查（HPV）</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检测有无人乳头瘤病毒病毒（HPV）感染，（HPV感染是宫颈癌的重要致病因素）。</w:t>
                  </w:r>
                </w:p>
              </w:tc>
            </w:tr>
            <w:tr>
              <w:tc>
                <w:tcPr>
                  <w:tcW w:type="dxa" w:w="5542"/>
                  <w:gridSpan w:val="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胃肠镜检查</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140</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普通胃镜</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了解食管、胃、十二指肠有无病变。</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141</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无痛胃镜</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了解食管、胃、十二指肠有无病变（全麻）。</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142</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普通肠镜</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了解结直肠有无病变。</w:t>
                  </w:r>
                </w:p>
              </w:tc>
            </w:tr>
            <w:tr>
              <w:tc>
                <w:tcPr>
                  <w:tcW w:type="dxa" w:w="5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143</w:t>
                  </w:r>
                </w:p>
              </w:tc>
              <w:tc>
                <w:tcPr>
                  <w:tcW w:type="dxa" w:w="1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无痛肠镜</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了解结直肠有无病变（全麻）。</w:t>
                  </w:r>
                </w:p>
              </w:tc>
            </w:tr>
            <w:tr>
              <w:tc>
                <w:tcPr>
                  <w:tcW w:type="dxa" w:w="504"/>
                  <w:vMerge/>
                  <w:tcBorders>
                    <w:top w:val="none" w:color="000000" w:sz="4"/>
                    <w:left w:val="single" w:color="000000" w:sz="4"/>
                    <w:bottom w:val="single" w:color="000000" w:sz="4"/>
                    <w:right w:val="single" w:color="000000" w:sz="4"/>
                  </w:tcBorders>
                </w:tcPr>
                <w:p/>
              </w:tc>
              <w:tc>
                <w:tcPr>
                  <w:tcW w:type="dxa" w:w="1511"/>
                  <w:vMerge/>
                  <w:tcBorders>
                    <w:top w:val="none" w:color="000000" w:sz="4"/>
                    <w:left w:val="none" w:color="000000" w:sz="4"/>
                    <w:bottom w:val="single" w:color="000000" w:sz="4"/>
                    <w:right w:val="single" w:color="000000" w:sz="4"/>
                  </w:tcBorders>
                </w:tcP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泻药（磷酸钠盐两盒）。</w:t>
                  </w:r>
                </w:p>
              </w:tc>
            </w:tr>
            <w:tr>
              <w:tc>
                <w:tcPr>
                  <w:tcW w:type="dxa" w:w="5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144</w:t>
                  </w:r>
                </w:p>
              </w:tc>
              <w:tc>
                <w:tcPr>
                  <w:tcW w:type="dxa" w:w="151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无痛胃肠镜</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了解食管、胃、十二指肠、结直肠有无病变（全麻）。</w:t>
                  </w:r>
                </w:p>
              </w:tc>
            </w:tr>
            <w:tr>
              <w:tc>
                <w:tcPr>
                  <w:tcW w:type="dxa" w:w="504"/>
                  <w:vMerge/>
                  <w:tcBorders>
                    <w:top w:val="none" w:color="000000" w:sz="4"/>
                    <w:left w:val="single" w:color="000000" w:sz="4"/>
                    <w:bottom w:val="single" w:color="000000" w:sz="4"/>
                    <w:right w:val="single" w:color="000000" w:sz="4"/>
                  </w:tcBorders>
                </w:tcPr>
                <w:p/>
              </w:tc>
              <w:tc>
                <w:tcPr>
                  <w:tcW w:type="dxa" w:w="1511"/>
                  <w:vMerge/>
                  <w:tcBorders>
                    <w:top w:val="none" w:color="000000" w:sz="4"/>
                    <w:left w:val="none" w:color="000000" w:sz="4"/>
                    <w:bottom w:val="single" w:color="000000" w:sz="4"/>
                    <w:right w:val="single" w:color="000000" w:sz="4"/>
                  </w:tcBorders>
                </w:tcP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泻药（聚乙二醇电解质散剂）。</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145</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磁控胶囊内镜</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磁控胶囊内镜检查是一种新型无创无痛的消化道检查方法，对于消化道肿瘤筛查有重要意义。</w:t>
                  </w:r>
                </w:p>
              </w:tc>
            </w:tr>
            <w:tr>
              <w:tc>
                <w:tcPr>
                  <w:tcW w:type="dxa" w:w="5542"/>
                  <w:gridSpan w:val="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其他检查</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146</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无创动脉硬化检测</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了解四肢大动脉的血管弹性和僵硬度状况。</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147</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超声骨密度检测（无辐射）</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初步筛查骨质疏松、预测骨折风险。</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148</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内脏脂肪检测</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评估人体腹部内脏及皮下脂肪的含量和分布情况。</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149</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经颅多普勒（TCD）（二）</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检测颅内血流情况，初步筛查颅脑血管病变。</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150</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经颅多普勒（TCD）（一）</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检测颅内血流情况，初步筛查颅脑血管病变。</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151</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人体成份分析</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评估人体脂肪肌肉的含量及分布情况、体脂率、腰臀比、基础代谢率等指标。</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152</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电子鼻咽镜</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了解鼻咽喉部有无病变。</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153</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幽门螺杆菌检测C13</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了解有无幽门螺杆菌感染（无辐射，孕妇、儿童均可做）。</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154</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肺功能检测</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了解肺功能情况，检出早期呼吸道疾病，评估病情严重程度。</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155</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感觉阈值</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筛查有无糖尿病周围神经病变。</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156</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盆底肌筛查</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评估盆底肌功能。</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157</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电测听</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检测有无听力受损。</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158</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免散瞳眼底照相</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初步筛查有无眼底血管及视网膜病变。</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159</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过敏原检测</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筛查多种常见过敏原，具有便捷、无创等优点。</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160</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无创动脉硬化检测</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了解四肢大动脉的血管弹性和僵硬度状况。</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161</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超声骨密度检测（无辐射）</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初步筛查骨质疏松、预测骨折风险。</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162</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内脏脂肪检测</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评估人体腹部内脏及皮下脂肪的含量和分布情况。</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163</w:t>
                  </w:r>
                </w:p>
              </w:tc>
              <w:tc>
                <w:tcPr>
                  <w:tcW w:type="dxa" w:w="15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经颅多普勒（TCD）（二）</w:t>
                  </w:r>
                </w:p>
              </w:tc>
              <w:tc>
                <w:tcPr>
                  <w:tcW w:type="dxa" w:w="35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检测颅内血流情况，初步筛查颅脑血管病变。</w:t>
                  </w:r>
                </w:p>
              </w:tc>
            </w:tr>
            <w:tr>
              <w:tc>
                <w:tcPr>
                  <w:tcW w:type="dxa" w:w="5542"/>
                  <w:gridSpan w:val="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FF"/>
                    </w:rPr>
                    <w:t>注：供应商应根据以上体检项目、年龄、性别、疾病等内容自行组成不同的体检套餐供采购人选择。</w:t>
                  </w:r>
                </w:p>
              </w:tc>
            </w:tr>
          </w:tbl>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 xml:space="preserve"> 服务要求</w:t>
            </w:r>
          </w:p>
        </w:tc>
        <w:tc>
          <w:tcPr>
            <w:tcW w:type="dxa" w:w="5814"/>
          </w:tcPr>
          <w:p>
            <w:pPr>
              <w:pStyle w:val="null3"/>
              <w:jc w:val="left"/>
            </w:pPr>
            <w:r>
              <w:rPr>
                <w:rFonts w:ascii="仿宋_GB2312" w:hAnsi="仿宋_GB2312" w:cs="仿宋_GB2312" w:eastAsia="仿宋_GB2312"/>
                <w:sz w:val="24"/>
                <w:color w:val="0000FF"/>
              </w:rPr>
              <w:t>1</w:t>
            </w:r>
            <w:r>
              <w:rPr>
                <w:rFonts w:ascii="仿宋_GB2312" w:hAnsi="仿宋_GB2312" w:cs="仿宋_GB2312" w:eastAsia="仿宋_GB2312"/>
                <w:sz w:val="24"/>
                <w:color w:val="0000FF"/>
              </w:rPr>
              <w:t>、成交后，供应商应根据体检人员的年龄、性别、疾病、体检项目选择列表提供不同的体检套餐，并提供体检套餐价格组成分项明细。经采购人确认后，按照采购人单位体检人员自选的体检套餐提供服务。</w:t>
            </w:r>
          </w:p>
          <w:p>
            <w:pPr>
              <w:pStyle w:val="null3"/>
              <w:jc w:val="left"/>
            </w:pPr>
            <w:r>
              <w:rPr>
                <w:rFonts w:ascii="仿宋_GB2312" w:hAnsi="仿宋_GB2312" w:cs="仿宋_GB2312" w:eastAsia="仿宋_GB2312"/>
                <w:sz w:val="24"/>
                <w:color w:val="0000FF"/>
              </w:rPr>
              <w:t>2</w:t>
            </w:r>
            <w:r>
              <w:rPr>
                <w:rFonts w:ascii="仿宋_GB2312" w:hAnsi="仿宋_GB2312" w:cs="仿宋_GB2312" w:eastAsia="仿宋_GB2312"/>
                <w:sz w:val="24"/>
                <w:color w:val="0000FF"/>
              </w:rPr>
              <w:t>、本项目采用下浮率报价方式，供应商应在不同的体检套餐价格的基础上同比例下浮。即最终结算单价为=相应体检套餐金额*(1-最终响应报价)，最终结算金额不超过1500.00元/人。</w:t>
            </w:r>
          </w:p>
          <w:p>
            <w:pPr>
              <w:pStyle w:val="null3"/>
              <w:jc w:val="left"/>
            </w:pPr>
            <w:r>
              <w:rPr>
                <w:rFonts w:ascii="仿宋_GB2312" w:hAnsi="仿宋_GB2312" w:cs="仿宋_GB2312" w:eastAsia="仿宋_GB2312"/>
                <w:sz w:val="24"/>
                <w:color w:val="0000FF"/>
              </w:rPr>
              <w:t>3</w:t>
            </w:r>
            <w:r>
              <w:rPr>
                <w:rFonts w:ascii="仿宋_GB2312" w:hAnsi="仿宋_GB2312" w:cs="仿宋_GB2312" w:eastAsia="仿宋_GB2312"/>
                <w:sz w:val="24"/>
                <w:color w:val="0000FF"/>
              </w:rPr>
              <w:t>、本项目报价应包含实施本项目的所有内容，体检套餐内的所有内容，采购人不在额外支付任何费用。</w:t>
            </w:r>
          </w:p>
          <w:p>
            <w:pPr>
              <w:pStyle w:val="null3"/>
              <w:jc w:val="left"/>
            </w:pPr>
            <w:r>
              <w:rPr>
                <w:rFonts w:ascii="仿宋_GB2312" w:hAnsi="仿宋_GB2312" w:cs="仿宋_GB2312" w:eastAsia="仿宋_GB2312"/>
                <w:sz w:val="24"/>
                <w:color w:val="0000FF"/>
              </w:rPr>
              <w:t>4</w:t>
            </w:r>
            <w:r>
              <w:rPr>
                <w:rFonts w:ascii="仿宋_GB2312" w:hAnsi="仿宋_GB2312" w:cs="仿宋_GB2312" w:eastAsia="仿宋_GB2312"/>
                <w:sz w:val="24"/>
                <w:color w:val="0000FF"/>
              </w:rPr>
              <w:t>、供应商须在参加体检前向采购人提供健康检查注意事项。</w:t>
            </w:r>
          </w:p>
          <w:p>
            <w:pPr>
              <w:pStyle w:val="null3"/>
              <w:jc w:val="left"/>
            </w:pPr>
            <w:r>
              <w:rPr>
                <w:rFonts w:ascii="仿宋_GB2312" w:hAnsi="仿宋_GB2312" w:cs="仿宋_GB2312" w:eastAsia="仿宋_GB2312"/>
                <w:sz w:val="24"/>
                <w:color w:val="0000FF"/>
              </w:rPr>
              <w:t>5</w:t>
            </w:r>
            <w:r>
              <w:rPr>
                <w:rFonts w:ascii="仿宋_GB2312" w:hAnsi="仿宋_GB2312" w:cs="仿宋_GB2312" w:eastAsia="仿宋_GB2312"/>
                <w:sz w:val="24"/>
                <w:color w:val="0000FF"/>
              </w:rPr>
              <w:t>、供应商按照采购人提供的体检人员名单进行体检，认真核对受检者身份。</w:t>
            </w:r>
          </w:p>
          <w:p>
            <w:pPr>
              <w:pStyle w:val="null3"/>
              <w:jc w:val="left"/>
            </w:pPr>
            <w:r>
              <w:rPr>
                <w:rFonts w:ascii="仿宋_GB2312" w:hAnsi="仿宋_GB2312" w:cs="仿宋_GB2312" w:eastAsia="仿宋_GB2312"/>
                <w:sz w:val="24"/>
                <w:color w:val="0000FF"/>
              </w:rPr>
              <w:t>6</w:t>
            </w:r>
            <w:r>
              <w:rPr>
                <w:rFonts w:ascii="仿宋_GB2312" w:hAnsi="仿宋_GB2312" w:cs="仿宋_GB2312" w:eastAsia="仿宋_GB2312"/>
                <w:sz w:val="24"/>
                <w:color w:val="0000FF"/>
              </w:rPr>
              <w:t>、体检人员因特殊原因未能在统一时间内参加体检的，成交人应协商安排补检时间。</w:t>
            </w:r>
          </w:p>
          <w:p>
            <w:pPr>
              <w:pStyle w:val="null3"/>
              <w:jc w:val="left"/>
            </w:pPr>
            <w:r>
              <w:rPr>
                <w:rFonts w:ascii="仿宋_GB2312" w:hAnsi="仿宋_GB2312" w:cs="仿宋_GB2312" w:eastAsia="仿宋_GB2312"/>
                <w:sz w:val="24"/>
                <w:color w:val="0000FF"/>
              </w:rPr>
              <w:t>7</w:t>
            </w:r>
            <w:r>
              <w:rPr>
                <w:rFonts w:ascii="仿宋_GB2312" w:hAnsi="仿宋_GB2312" w:cs="仿宋_GB2312" w:eastAsia="仿宋_GB2312"/>
                <w:sz w:val="24"/>
                <w:color w:val="0000FF"/>
              </w:rPr>
              <w:t>、供应商应在每位体检人员体检后10日内出具该体检人员所有的纸质版体检报告。</w:t>
            </w:r>
          </w:p>
          <w:p>
            <w:pPr>
              <w:pStyle w:val="null3"/>
              <w:jc w:val="left"/>
            </w:pPr>
            <w:r>
              <w:rPr>
                <w:rFonts w:ascii="仿宋_GB2312" w:hAnsi="仿宋_GB2312" w:cs="仿宋_GB2312" w:eastAsia="仿宋_GB2312"/>
                <w:sz w:val="24"/>
                <w:color w:val="0000FF"/>
              </w:rPr>
              <w:t>8</w:t>
            </w:r>
            <w:r>
              <w:rPr>
                <w:rFonts w:ascii="仿宋_GB2312" w:hAnsi="仿宋_GB2312" w:cs="仿宋_GB2312" w:eastAsia="仿宋_GB2312"/>
                <w:sz w:val="24"/>
                <w:color w:val="0000FF"/>
              </w:rPr>
              <w:t>、供应商须严格遵守有关法律法规和政策规定，按约定时间及项目内容安排体检，保证体检工作的安全顺利进行。</w:t>
            </w:r>
          </w:p>
          <w:p>
            <w:pPr>
              <w:pStyle w:val="null3"/>
              <w:jc w:val="left"/>
            </w:pPr>
            <w:r>
              <w:rPr>
                <w:rFonts w:ascii="仿宋_GB2312" w:hAnsi="仿宋_GB2312" w:cs="仿宋_GB2312" w:eastAsia="仿宋_GB2312"/>
                <w:sz w:val="24"/>
                <w:color w:val="0000FF"/>
              </w:rPr>
              <w:t>9</w:t>
            </w:r>
            <w:r>
              <w:rPr>
                <w:rFonts w:ascii="仿宋_GB2312" w:hAnsi="仿宋_GB2312" w:cs="仿宋_GB2312" w:eastAsia="仿宋_GB2312"/>
                <w:sz w:val="24"/>
                <w:color w:val="0000FF"/>
              </w:rPr>
              <w:t>、供应商在体检结束后须为采购人提供体检报告的解读及咨询答疑服务 (包含但不限于电话咨询) 。</w:t>
            </w:r>
          </w:p>
          <w:p>
            <w:pPr>
              <w:pStyle w:val="null3"/>
              <w:jc w:val="left"/>
            </w:pPr>
            <w:r>
              <w:rPr>
                <w:rFonts w:ascii="仿宋_GB2312" w:hAnsi="仿宋_GB2312" w:cs="仿宋_GB2312" w:eastAsia="仿宋_GB2312"/>
                <w:sz w:val="24"/>
                <w:color w:val="0000FF"/>
              </w:rPr>
              <w:t>10</w:t>
            </w:r>
            <w:r>
              <w:rPr>
                <w:rFonts w:ascii="仿宋_GB2312" w:hAnsi="仿宋_GB2312" w:cs="仿宋_GB2312" w:eastAsia="仿宋_GB2312"/>
                <w:sz w:val="24"/>
                <w:color w:val="0000FF"/>
              </w:rPr>
              <w:t>、供应商在体检结束后须为采购人提供健康知识讲座。</w:t>
            </w:r>
          </w:p>
          <w:p>
            <w:pPr>
              <w:pStyle w:val="null3"/>
              <w:jc w:val="left"/>
            </w:pPr>
            <w:r>
              <w:rPr>
                <w:rFonts w:ascii="仿宋_GB2312" w:hAnsi="仿宋_GB2312" w:cs="仿宋_GB2312" w:eastAsia="仿宋_GB2312"/>
                <w:sz w:val="24"/>
                <w:color w:val="0000FF"/>
              </w:rPr>
              <w:t>11</w:t>
            </w:r>
            <w:r>
              <w:rPr>
                <w:rFonts w:ascii="仿宋_GB2312" w:hAnsi="仿宋_GB2312" w:cs="仿宋_GB2312" w:eastAsia="仿宋_GB2312"/>
                <w:sz w:val="24"/>
                <w:color w:val="0000FF"/>
              </w:rPr>
              <w:t>、供应商为体检人员复查、就诊、住院等提供绿色通道。</w:t>
            </w:r>
          </w:p>
          <w:p>
            <w:pPr>
              <w:pStyle w:val="null3"/>
              <w:jc w:val="left"/>
            </w:pPr>
            <w:r>
              <w:rPr>
                <w:rFonts w:ascii="仿宋_GB2312" w:hAnsi="仿宋_GB2312" w:cs="仿宋_GB2312" w:eastAsia="仿宋_GB2312"/>
                <w:sz w:val="24"/>
                <w:color w:val="0000FF"/>
              </w:rPr>
              <w:t>12</w:t>
            </w:r>
            <w:r>
              <w:rPr>
                <w:rFonts w:ascii="仿宋_GB2312" w:hAnsi="仿宋_GB2312" w:cs="仿宋_GB2312" w:eastAsia="仿宋_GB2312"/>
                <w:sz w:val="24"/>
                <w:color w:val="0000FF"/>
              </w:rPr>
              <w:t>、供应商应按要求为采购人提供优质服务，做好检前指导、体检引导、检后解释等工作。严格按照规章制度办事，确保健康检查达到标准，对体检质量应向采购人负责；根据采购人的要求，合理组织，科学安排体检项目，投入足够的人力、物力、保证工作的开展；保证每位体检人员的受检项目于体检日一次性完成。</w:t>
            </w:r>
          </w:p>
          <w:p>
            <w:pPr>
              <w:pStyle w:val="null3"/>
              <w:jc w:val="left"/>
            </w:pPr>
            <w:r>
              <w:rPr>
                <w:rFonts w:ascii="仿宋_GB2312" w:hAnsi="仿宋_GB2312" w:cs="仿宋_GB2312" w:eastAsia="仿宋_GB2312"/>
                <w:sz w:val="24"/>
                <w:color w:val="0000FF"/>
              </w:rPr>
              <w:t>13</w:t>
            </w:r>
            <w:r>
              <w:rPr>
                <w:rFonts w:ascii="仿宋_GB2312" w:hAnsi="仿宋_GB2312" w:cs="仿宋_GB2312" w:eastAsia="仿宋_GB2312"/>
                <w:sz w:val="24"/>
                <w:color w:val="0000FF"/>
              </w:rPr>
              <w:t>、供应商设置体检项目时须满足采购人的要求。若项目在实施过程有细微变化 (包括体检人数、体检项目、体检时间、相关服务工作) ，供应商应承诺能及时根据采购人的需求作出适当的调整。</w:t>
            </w:r>
            <w:r>
              <w:rPr>
                <w:rFonts w:ascii="仿宋_GB2312" w:hAnsi="仿宋_GB2312" w:cs="仿宋_GB2312" w:eastAsia="仿宋_GB2312"/>
                <w:sz w:val="24"/>
                <w:color w:val="0000FF"/>
              </w:rPr>
              <w:t xml:space="preserve"> (供应商需单独提供承诺函并进行电子签章，格式自拟)</w:t>
            </w:r>
          </w:p>
          <w:p>
            <w:pPr>
              <w:pStyle w:val="null3"/>
              <w:jc w:val="left"/>
            </w:pPr>
            <w:r>
              <w:rPr>
                <w:rFonts w:ascii="仿宋_GB2312" w:hAnsi="仿宋_GB2312" w:cs="仿宋_GB2312" w:eastAsia="仿宋_GB2312"/>
                <w:sz w:val="24"/>
                <w:color w:val="0000FF"/>
              </w:rPr>
              <w:t>14</w:t>
            </w:r>
            <w:r>
              <w:rPr>
                <w:rFonts w:ascii="仿宋_GB2312" w:hAnsi="仿宋_GB2312" w:cs="仿宋_GB2312" w:eastAsia="仿宋_GB2312"/>
                <w:sz w:val="24"/>
                <w:color w:val="0000FF"/>
              </w:rPr>
              <w:t>、供应商在健康检查过程中发现体检人员存在任何健康隐患和特殊情况，须在 72 小时内及时告知本人。</w:t>
            </w:r>
          </w:p>
          <w:p>
            <w:pPr>
              <w:pStyle w:val="null3"/>
              <w:jc w:val="left"/>
            </w:pPr>
            <w:r>
              <w:rPr>
                <w:rFonts w:ascii="仿宋_GB2312" w:hAnsi="仿宋_GB2312" w:cs="仿宋_GB2312" w:eastAsia="仿宋_GB2312"/>
                <w:sz w:val="24"/>
                <w:color w:val="0000FF"/>
              </w:rPr>
              <w:t>15</w:t>
            </w:r>
            <w:r>
              <w:rPr>
                <w:rFonts w:ascii="仿宋_GB2312" w:hAnsi="仿宋_GB2312" w:cs="仿宋_GB2312" w:eastAsia="仿宋_GB2312"/>
                <w:sz w:val="24"/>
                <w:color w:val="0000FF"/>
              </w:rPr>
              <w:t>、在单位职工安排体检期间除已有体检项目外其余项目享受本次响应单位同等下浮,可刷医保卡。</w:t>
            </w:r>
          </w:p>
          <w:p>
            <w:pPr>
              <w:pStyle w:val="null3"/>
              <w:jc w:val="left"/>
            </w:pPr>
            <w:r>
              <w:rPr>
                <w:rFonts w:ascii="仿宋_GB2312" w:hAnsi="仿宋_GB2312" w:cs="仿宋_GB2312" w:eastAsia="仿宋_GB2312"/>
                <w:sz w:val="24"/>
                <w:color w:val="0000FF"/>
              </w:rPr>
              <w:t>16</w:t>
            </w:r>
            <w:r>
              <w:rPr>
                <w:rFonts w:ascii="仿宋_GB2312" w:hAnsi="仿宋_GB2312" w:cs="仿宋_GB2312" w:eastAsia="仿宋_GB2312"/>
                <w:sz w:val="24"/>
                <w:color w:val="0000FF"/>
              </w:rPr>
              <w:t>、供应商负有保密义务，在任何情况下，不得向第三方披露有关采购人的数据资料与内容，以及任何与本项目有关的信息。</w:t>
            </w:r>
          </w:p>
          <w:p>
            <w:pPr>
              <w:pStyle w:val="null3"/>
              <w:jc w:val="left"/>
            </w:pPr>
            <w:r>
              <w:rPr>
                <w:rFonts w:ascii="仿宋_GB2312" w:hAnsi="仿宋_GB2312" w:cs="仿宋_GB2312" w:eastAsia="仿宋_GB2312"/>
                <w:sz w:val="24"/>
                <w:color w:val="0000FF"/>
              </w:rPr>
              <w:t>17</w:t>
            </w:r>
            <w:r>
              <w:rPr>
                <w:rFonts w:ascii="仿宋_GB2312" w:hAnsi="仿宋_GB2312" w:cs="仿宋_GB2312" w:eastAsia="仿宋_GB2312"/>
                <w:sz w:val="24"/>
                <w:color w:val="0000FF"/>
              </w:rPr>
              <w:t>、供应商使用的耗材均为一次性耗材，避免交叉感染。 (供应商需单独提供承诺函并进行电子签章，格式自拟)</w:t>
            </w:r>
          </w:p>
          <w:p>
            <w:pPr>
              <w:pStyle w:val="null3"/>
              <w:jc w:val="left"/>
            </w:pPr>
            <w:r>
              <w:rPr>
                <w:rFonts w:ascii="仿宋_GB2312" w:hAnsi="仿宋_GB2312" w:cs="仿宋_GB2312" w:eastAsia="仿宋_GB2312"/>
                <w:sz w:val="24"/>
                <w:color w:val="0000FF"/>
              </w:rPr>
              <w:t>18</w:t>
            </w:r>
            <w:r>
              <w:rPr>
                <w:rFonts w:ascii="仿宋_GB2312" w:hAnsi="仿宋_GB2312" w:cs="仿宋_GB2312" w:eastAsia="仿宋_GB2312"/>
                <w:sz w:val="24"/>
                <w:color w:val="0000FF"/>
              </w:rPr>
              <w:t>、对于体检过程中出现的漏检、误诊及体检中发生的安全事故等，由供应商自行承担相应的法律责任和经济赔偿。</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自合同签订之日起210日（服务期限到期或预算资金用尽合同自动终止）。</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严格按照政府采购相关法律法规以及《财政部关于进一步加强政府采购需求和履约验收管理的指导意见》（财库〔2016〕205号）、磋商文件规定的要求和成交供应商的响应文件及合同约定的内容进行验收。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1、合同签订后，达到付款条件起14日内，据实结算说明为合同总金额的60.00%为预付款</w:t>
            </w:r>
          </w:p>
          <w:p>
            <w:pPr>
              <w:pStyle w:val="null3"/>
              <w:jc w:val="left"/>
            </w:pPr>
            <w:r>
              <w:rPr>
                <w:rFonts w:ascii="仿宋_GB2312" w:hAnsi="仿宋_GB2312" w:cs="仿宋_GB2312" w:eastAsia="仿宋_GB2312"/>
              </w:rPr>
              <w:t>2、本项目在合同期限内，实行据实结算，达到付款条件起10日内，据实结算说明为集中体检完成后并出具纸质体检报告，成交供应商应提交参检人员明细报表给采购人审核和核算,最终合同价款的计算根据实际体检人数据实结算，审核通过后按实际参检人数支付结算费用。（注：所有费用的支付均以供应商向采购人出具合法有效完整的完税发票及双方确认的凭证资料为准）</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①违约责任：双方必须遵守合同中的各项规定，保证合同的正常履行。 如因成交供应商工作人员在履行职务过程中的疏忽、失职、过错等故意或者过失原因给采购人造成损失或侵害，包括但不限于采购人本身的财产损失、由此而导致的采购人对任何第三方的法律责任等，成交供应商对此均应承担全部的赔偿责任。 ②争议解决方法：合同履行期间,若双方发生争议，可协商或由有关部门调解解决，协商或调解不成的，由当事人依法维护其合法权益，并由采购人住所地人民法院诉讼解决。</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1、供应商可根据本项目磋商文件要求提供项目实施方案，方案包含但不限于：①体检服务方案； ②健康管理方案； ③检查方案； ④就诊绿色通道服务方案； ⑤自费检查项目服务方案； ⑥体检应急预案与解决服务方案，详见综合评分明细表。 2、供应商可根据本项目磋商文件要求提供真实、客观的履约能力证明材料。详见综合评分明细表。 3、供应商可根据本项目磋商文件要求提供拟投入本项目的设备。详见综合评分明细表。 4、供应商可根据本项目磋商文件要求提供真实、客观的拟投入本项目的服务人员配置。 详见综合评分明细表。5、除磋商文件另有规定外，若出现有关法律、法规和规章有强制性规定但磋商文件未列明的情形，则磋商小组和供应商应按照有关法律、法规和规章强制性规定执行。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第三章“技术、服务及其他要求”中“3.2.技术要求”，“3.3.服务要求”。</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第七章“拟签订采购合同文本”。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供应商应具有行政主管部门颁发的有效的《医疗机构执业许可证》</w:t>
            </w:r>
          </w:p>
        </w:tc>
        <w:tc>
          <w:tcPr>
            <w:tcW w:type="dxa" w:w="3322"/>
          </w:tcPr>
          <w:p>
            <w:pPr>
              <w:pStyle w:val="null3"/>
              <w:jc w:val="left"/>
            </w:pPr>
            <w:r>
              <w:rPr>
                <w:rFonts w:ascii="仿宋_GB2312" w:hAnsi="仿宋_GB2312" w:cs="仿宋_GB2312" w:eastAsia="仿宋_GB2312"/>
              </w:rPr>
              <w:t>供应商应提供行政主管部门颁发的有效的《医疗机构执业许可证》证书影印件并进行电子签章。</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供应商应具有行政主管部门颁发的有效的《放射诊疗许可证》（已办理多证合一的，只须具有诊疗科目含放射诊断或放射治疗或医学影像科的《医疗机构执业许可证》即可）</w:t>
            </w:r>
          </w:p>
        </w:tc>
        <w:tc>
          <w:tcPr>
            <w:tcW w:type="dxa" w:w="3322"/>
          </w:tcPr>
          <w:p>
            <w:pPr>
              <w:pStyle w:val="null3"/>
              <w:jc w:val="left"/>
            </w:pPr>
            <w:r>
              <w:rPr>
                <w:rFonts w:ascii="仿宋_GB2312" w:hAnsi="仿宋_GB2312" w:cs="仿宋_GB2312" w:eastAsia="仿宋_GB2312"/>
              </w:rPr>
              <w:t>供应商应提供行政主管部门颁发的有效的《放射诊疗许可证》证书影印件并进行电子签章。（已办理多证合一的，只须提供具有诊疗科目含放射诊断或放射治疗或医学影像科的《医疗机构执业许可证》证书影印件即可）</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供应商应具有行政主管部门颁发的有效的《辐射安全许可证》</w:t>
            </w:r>
          </w:p>
        </w:tc>
        <w:tc>
          <w:tcPr>
            <w:tcW w:type="dxa" w:w="3322"/>
          </w:tcPr>
          <w:p>
            <w:pPr>
              <w:pStyle w:val="null3"/>
              <w:jc w:val="left"/>
            </w:pPr>
            <w:r>
              <w:rPr>
                <w:rFonts w:ascii="仿宋_GB2312" w:hAnsi="仿宋_GB2312" w:cs="仿宋_GB2312" w:eastAsia="仿宋_GB2312"/>
              </w:rPr>
              <w:t>供应商应提供行政主管部门颁发的有效的《辐射安全许可证》证书影印件并进行电子签章。</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其他符合性审查（实质性要求）</w:t>
            </w:r>
          </w:p>
        </w:tc>
        <w:tc>
          <w:tcPr>
            <w:tcW w:type="dxa" w:w="3322"/>
          </w:tcPr>
          <w:p>
            <w:pPr>
              <w:pStyle w:val="null3"/>
              <w:jc w:val="left"/>
            </w:pPr>
            <w:r>
              <w:rPr>
                <w:rFonts w:ascii="仿宋_GB2312" w:hAnsi="仿宋_GB2312" w:cs="仿宋_GB2312" w:eastAsia="仿宋_GB2312"/>
              </w:rPr>
              <w:t>1.响应文件的语言、计量单位、知识产权、响应有效期等不符合磋商文件的规定，影响评审小组评判的。2.供应商响应文件没有完全响应第三章 技术、服务及其他要求中的实质性要求的。3.未载明或者载明的采购项目履约时间、方式、数量及其他政府采购合同实质性内容与本磋商文件要求不一致，且采购单位无法接受的。4.属于磋商文件中无效响应情形的。</w:t>
            </w:r>
          </w:p>
        </w:tc>
        <w:tc>
          <w:tcPr>
            <w:tcW w:type="dxa" w:w="1661"/>
          </w:tcPr>
          <w:p>
            <w:pPr>
              <w:pStyle w:val="null3"/>
              <w:jc w:val="left"/>
            </w:pPr>
            <w:r>
              <w:rPr>
                <w:rFonts w:ascii="仿宋_GB2312" w:hAnsi="仿宋_GB2312" w:cs="仿宋_GB2312" w:eastAsia="仿宋_GB2312"/>
              </w:rPr>
              <w:t>响应文件封面,服务应答表,报价表,技术要求应答表.docx,投标（响应）函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项目实施方案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详细评审85.00分</w:t>
            </w:r>
          </w:p>
          <w:p>
            <w:pPr>
              <w:pStyle w:val="null3"/>
              <w:jc w:val="left"/>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根据供应商针对本项目提供的项目实施方案进行综合评审，方案包括以下内容： ①体检服务方案； ②健康管理方案； ③检查方案； ④就诊绿色通道服务方案； ⑤自费检查项目服务方案； ⑥体检应急预案与解决服务方案。 1、供应商每提供一项以上内容的得2分，本小项最多得12分； 2、在上述得分基础上，以上方案内容不存在内容缺陷的每有一项加3.5分，本小项最多加21分；（“内容缺陷”是指：①本项目提供的方案中引用法律、规范、标准存在失效或错误；②非专门针对本项目编制或方案内容与本项目需求无关；③方案仅有框架或标题，或存在与本项目无关的文字内容；④明显复制或套用其他项目内容；⑤描述的内容混乱，重点不突出;⑥凭空捏造、内容矛盾、前后逻辑错误。以上任意一种情形。） 3、本项共计33分。</w:t>
            </w:r>
          </w:p>
        </w:tc>
        <w:tc>
          <w:tcPr>
            <w:tcW w:type="dxa" w:w="831"/>
          </w:tcPr>
          <w:p>
            <w:pPr>
              <w:pStyle w:val="null3"/>
              <w:jc w:val="center"/>
            </w:pPr>
            <w:r>
              <w:rPr>
                <w:rFonts w:ascii="仿宋_GB2312" w:hAnsi="仿宋_GB2312" w:cs="仿宋_GB2312" w:eastAsia="仿宋_GB2312"/>
              </w:rPr>
              <w:t>33.0000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1、供应商承诺能提供单日接待检查人次300人及以上的得4分，200（含）人至299人的得2 分，200人以下的得1分，未提供不得分，本小项最多得4分。 2、供应商承诺能为参检人员提供超声、MRI检查、胃肠镜、 CT检查专属通道的，每提供一项得2分，未提供不得分，本小项最多得6分。 3、供应商自2023年1月1日（含）以来具有类似本项目业绩的，每提供一个得 2分，未提供不得分，本小项最多得8分。（类似业绩是指：体检服务类业绩） 4、本项共计18分。 注： 1、上述第1项提供单日接待流水相关证明材料或承诺函并进行电子签章。 2、上述第2项提供承诺函并进行电子签章。 3、上述第3项提供完整有效的合同影印件并进行电子签章。</w:t>
            </w:r>
          </w:p>
        </w:tc>
        <w:tc>
          <w:tcPr>
            <w:tcW w:type="dxa" w:w="831"/>
          </w:tcPr>
          <w:p>
            <w:pPr>
              <w:pStyle w:val="null3"/>
              <w:jc w:val="center"/>
            </w:pPr>
            <w:r>
              <w:rPr>
                <w:rFonts w:ascii="仿宋_GB2312" w:hAnsi="仿宋_GB2312" w:cs="仿宋_GB2312" w:eastAsia="仿宋_GB2312"/>
              </w:rPr>
              <w:t>18.0000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拟投入本项目的设备</w:t>
            </w:r>
          </w:p>
        </w:tc>
        <w:tc>
          <w:tcPr>
            <w:tcW w:type="dxa" w:w="2575"/>
          </w:tcPr>
          <w:p>
            <w:pPr>
              <w:pStyle w:val="null3"/>
              <w:jc w:val="left"/>
            </w:pPr>
            <w:r>
              <w:rPr>
                <w:rFonts w:ascii="仿宋_GB2312" w:hAnsi="仿宋_GB2312" w:cs="仿宋_GB2312" w:eastAsia="仿宋_GB2312"/>
              </w:rPr>
              <w:t>1、超声设备配备（4分）：供应商提供2台用于体检服务的“超声设备”得2分，每增加1台加1分，最多加2分。本小项最多得4分，提供1台或未提供不得分。 2、CT设备配备（4分）：供应商每提供1台用于体检服务的“≥64排的CT设备”得2分，本小项最多得4分，未提供不得分。 3、核磁设备配备（4分）：供应商每提供1台用于体检服务的“≥1.5T的核磁设备”得2分，最多得4分，未提供不得分。 4、本项共计12分。 注：上述三项，若为自有设备，提供完整有效的设备采购合同或发票影印件、设备照片并进行电子签章；若为租赁设备，提供完整有效的设备租赁合同影印件、设备照片并进行电子签章。同时，需提供以上设备可用于本次体检服务的承诺函并进行电子签章。</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拟投入本项目的服务人员</w:t>
            </w:r>
          </w:p>
        </w:tc>
        <w:tc>
          <w:tcPr>
            <w:tcW w:type="dxa" w:w="2575"/>
          </w:tcPr>
          <w:p>
            <w:pPr>
              <w:pStyle w:val="null3"/>
              <w:jc w:val="left"/>
            </w:pPr>
            <w:r>
              <w:rPr>
                <w:rFonts w:ascii="仿宋_GB2312" w:hAnsi="仿宋_GB2312" w:cs="仿宋_GB2312" w:eastAsia="仿宋_GB2312"/>
              </w:rPr>
              <w:t>1、对于不同的检查项目，每有一个检查项目配备具有8年及以上临床经验的在职医生的得4分；具有5年（含）-8年（不含）临床经验的在职医生的得2分；具有2年（含）-5年（不含）临床经验的在职医生的得1分；具有2年以下临床经验的在职医生不得分。本小项最多得12分。 2、对于不同的检查项目，每有一个检查项目配备在职主任医师或主任技师类的得2分；配备在职副主任医师或技师的得1分。本小项最多得10分。 3、本项共计22分。 注： 1、上述第1项提供人员的从事临床工作在职证明材料并进行电子签章。 2、上述第2项提供人员的职称证影印件及在职证明材料并进行电子签章。 3、以上人员不重复计分；同一个检查项目，以得分较高的职称计算得分。</w:t>
            </w:r>
          </w:p>
        </w:tc>
        <w:tc>
          <w:tcPr>
            <w:tcW w:type="dxa" w:w="831"/>
          </w:tcPr>
          <w:p>
            <w:pPr>
              <w:pStyle w:val="null3"/>
              <w:jc w:val="center"/>
            </w:pPr>
            <w:r>
              <w:rPr>
                <w:rFonts w:ascii="仿宋_GB2312" w:hAnsi="仿宋_GB2312" w:cs="仿宋_GB2312" w:eastAsia="仿宋_GB2312"/>
              </w:rPr>
              <w:t>22.0000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体检费</w:t>
            </w:r>
          </w:p>
        </w:tc>
        <w:tc>
          <w:tcPr>
            <w:tcW w:type="dxa" w:w="2575"/>
          </w:tcPr>
          <w:p>
            <w:pPr>
              <w:pStyle w:val="null3"/>
              <w:jc w:val="left"/>
            </w:pPr>
            <w:r>
              <w:rPr>
                <w:rFonts w:ascii="仿宋_GB2312" w:hAnsi="仿宋_GB2312" w:cs="仿宋_GB2312" w:eastAsia="仿宋_GB2312"/>
              </w:rPr>
              <w:t>1、经评审委员会评审，通过资格性，符合性审查，且经价格调整后报价最低的供应商的报价作为评审基准价。2、响应报价得分= （评审基准价／经价格调整后的报价）X分值。注：经价格调整后的报价=（1-响应报价）X(1－价格调整比例)。例：A供应商为小微企业，响应报价下浮率为20%，小微企业价格扣除10%，其经价格调整后的报价= （1 －20% ）X(1- 10%) =0.72。</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详见附件：技术要求应答表.docx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