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EC53C">
      <w:pPr>
        <w:pStyle w:val="4"/>
        <w:ind w:firstLine="482"/>
        <w:jc w:val="center"/>
        <w:rPr>
          <w:color w:val="auto"/>
          <w:highlight w:val="none"/>
        </w:rPr>
      </w:pPr>
      <w:r>
        <w:rPr>
          <w:rFonts w:hint="eastAsia" w:ascii="宋体" w:hAnsi="宋体" w:cs="宋体"/>
          <w:b/>
          <w:bCs w:val="0"/>
          <w:color w:val="auto"/>
          <w:kern w:val="2"/>
          <w:sz w:val="32"/>
          <w:szCs w:val="32"/>
          <w:highlight w:val="none"/>
          <w:lang w:val="en-US" w:eastAsia="zh-CN" w:bidi="ar-SA"/>
        </w:rPr>
        <w:t>商务要求偏离表</w:t>
      </w:r>
    </w:p>
    <w:tbl>
      <w:tblPr>
        <w:tblStyle w:val="6"/>
        <w:tblW w:w="9339" w:type="dxa"/>
        <w:jc w:val="center"/>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Layout w:type="fixed"/>
        <w:tblCellMar>
          <w:top w:w="0" w:type="dxa"/>
          <w:left w:w="108" w:type="dxa"/>
          <w:bottom w:w="0" w:type="dxa"/>
          <w:right w:w="108" w:type="dxa"/>
        </w:tblCellMar>
      </w:tblPr>
      <w:tblGrid>
        <w:gridCol w:w="706"/>
        <w:gridCol w:w="3981"/>
        <w:gridCol w:w="3265"/>
        <w:gridCol w:w="1387"/>
      </w:tblGrid>
      <w:tr w14:paraId="1EBC5330">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402" w:hRule="atLeast"/>
          <w:jc w:val="center"/>
        </w:trPr>
        <w:tc>
          <w:tcPr>
            <w:tcW w:w="706" w:type="dxa"/>
            <w:tcBorders>
              <w:top w:val="single" w:color="auto" w:sz="4" w:space="0"/>
              <w:left w:val="single" w:color="auto" w:sz="4" w:space="0"/>
              <w:bottom w:val="single" w:color="auto" w:sz="4" w:space="0"/>
              <w:right w:val="single" w:color="auto" w:sz="4" w:space="0"/>
            </w:tcBorders>
            <w:noWrap w:val="0"/>
            <w:vAlign w:val="center"/>
          </w:tcPr>
          <w:p w14:paraId="679B79C5">
            <w:pPr>
              <w:autoSpaceDE w:val="0"/>
              <w:autoSpaceDN w:val="0"/>
              <w:adjustRightInd w:val="0"/>
              <w:jc w:val="center"/>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序号</w:t>
            </w:r>
          </w:p>
        </w:tc>
        <w:tc>
          <w:tcPr>
            <w:tcW w:w="3981" w:type="dxa"/>
            <w:tcBorders>
              <w:top w:val="single" w:color="auto" w:sz="4" w:space="0"/>
              <w:left w:val="single" w:color="auto" w:sz="4" w:space="0"/>
              <w:bottom w:val="single" w:color="auto" w:sz="4" w:space="0"/>
              <w:right w:val="single" w:color="auto" w:sz="4" w:space="0"/>
            </w:tcBorders>
            <w:noWrap w:val="0"/>
            <w:vAlign w:val="center"/>
          </w:tcPr>
          <w:p w14:paraId="21F9881D">
            <w:pPr>
              <w:autoSpaceDE w:val="0"/>
              <w:autoSpaceDN w:val="0"/>
              <w:adjustRightInd w:val="0"/>
              <w:jc w:val="center"/>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rPr>
              <w:t>招标文件</w:t>
            </w:r>
            <w:r>
              <w:rPr>
                <w:rFonts w:hint="eastAsia" w:ascii="宋体" w:hAnsi="宋体" w:eastAsia="宋体" w:cs="宋体"/>
                <w:color w:val="auto"/>
                <w:sz w:val="24"/>
                <w:szCs w:val="32"/>
                <w:highlight w:val="none"/>
                <w:lang w:val="en-US" w:eastAsia="zh-CN"/>
              </w:rPr>
              <w:t>的</w:t>
            </w:r>
            <w:r>
              <w:rPr>
                <w:rFonts w:hint="eastAsia" w:ascii="宋体" w:hAnsi="宋体" w:eastAsia="宋体" w:cs="宋体"/>
                <w:color w:val="auto"/>
                <w:sz w:val="24"/>
                <w:szCs w:val="32"/>
                <w:highlight w:val="none"/>
                <w:lang w:eastAsia="zh-CN"/>
              </w:rPr>
              <w:t>商务要求</w:t>
            </w:r>
          </w:p>
        </w:tc>
        <w:tc>
          <w:tcPr>
            <w:tcW w:w="3265" w:type="dxa"/>
            <w:tcBorders>
              <w:top w:val="single" w:color="auto" w:sz="4" w:space="0"/>
              <w:left w:val="single" w:color="auto" w:sz="4" w:space="0"/>
              <w:bottom w:val="single" w:color="auto" w:sz="4" w:space="0"/>
              <w:right w:val="single" w:color="auto" w:sz="4" w:space="0"/>
            </w:tcBorders>
            <w:noWrap w:val="0"/>
            <w:vAlign w:val="center"/>
          </w:tcPr>
          <w:p w14:paraId="16D37467">
            <w:pPr>
              <w:autoSpaceDE w:val="0"/>
              <w:autoSpaceDN w:val="0"/>
              <w:adjustRightInd w:val="0"/>
              <w:jc w:val="center"/>
              <w:rPr>
                <w:rFonts w:hint="default" w:ascii="宋体" w:hAnsi="宋体" w:eastAsia="宋体" w:cs="宋体"/>
                <w:color w:val="auto"/>
                <w:sz w:val="24"/>
                <w:szCs w:val="32"/>
                <w:highlight w:val="none"/>
                <w:lang w:val="en-US"/>
              </w:rPr>
            </w:pPr>
            <w:r>
              <w:rPr>
                <w:rFonts w:hint="eastAsia" w:ascii="宋体" w:hAnsi="宋体" w:eastAsia="宋体" w:cs="宋体"/>
                <w:color w:val="auto"/>
                <w:sz w:val="24"/>
                <w:szCs w:val="32"/>
                <w:highlight w:val="none"/>
                <w:lang w:val="en-US" w:eastAsia="zh-CN"/>
              </w:rPr>
              <w:t>投标人应答</w:t>
            </w:r>
          </w:p>
        </w:tc>
        <w:tc>
          <w:tcPr>
            <w:tcW w:w="1387" w:type="dxa"/>
            <w:tcBorders>
              <w:top w:val="single" w:color="auto" w:sz="4" w:space="0"/>
              <w:left w:val="single" w:color="auto" w:sz="4" w:space="0"/>
              <w:bottom w:val="single" w:color="auto" w:sz="4" w:space="0"/>
              <w:right w:val="single" w:color="auto" w:sz="4" w:space="0"/>
            </w:tcBorders>
            <w:noWrap w:val="0"/>
            <w:vAlign w:val="center"/>
          </w:tcPr>
          <w:p w14:paraId="32772D2D">
            <w:pPr>
              <w:autoSpaceDE w:val="0"/>
              <w:autoSpaceDN w:val="0"/>
              <w:adjustRightInd w:val="0"/>
              <w:jc w:val="center"/>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偏离说明</w:t>
            </w:r>
          </w:p>
        </w:tc>
      </w:tr>
      <w:tr w14:paraId="49F71C68">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225" w:hRule="atLeast"/>
          <w:jc w:val="center"/>
        </w:trPr>
        <w:tc>
          <w:tcPr>
            <w:tcW w:w="706" w:type="dxa"/>
            <w:tcBorders>
              <w:top w:val="single" w:color="auto" w:sz="4" w:space="0"/>
              <w:left w:val="single" w:color="auto" w:sz="4" w:space="0"/>
              <w:bottom w:val="single" w:color="auto" w:sz="4" w:space="0"/>
              <w:right w:val="single" w:color="auto" w:sz="4" w:space="0"/>
            </w:tcBorders>
            <w:noWrap w:val="0"/>
            <w:vAlign w:val="center"/>
          </w:tcPr>
          <w:p w14:paraId="65FE11B7">
            <w:pPr>
              <w:autoSpaceDE w:val="0"/>
              <w:autoSpaceDN w:val="0"/>
              <w:adjustRightInd w:val="0"/>
              <w:jc w:val="center"/>
              <w:rPr>
                <w:rFonts w:hint="eastAsia" w:ascii="宋体" w:hAnsi="宋体" w:cs="宋体"/>
                <w:color w:val="auto"/>
                <w:highlight w:val="none"/>
                <w:lang w:val="en-US" w:eastAsia="zh-CN"/>
              </w:rPr>
            </w:pPr>
            <w:r>
              <w:rPr>
                <w:rFonts w:hint="eastAsia" w:ascii="宋体" w:hAnsi="宋体" w:cs="宋体"/>
                <w:color w:val="auto"/>
                <w:highlight w:val="none"/>
                <w:lang w:val="en-US" w:eastAsia="zh-CN"/>
              </w:rPr>
              <w:t>1</w:t>
            </w:r>
          </w:p>
        </w:tc>
        <w:tc>
          <w:tcPr>
            <w:tcW w:w="3981" w:type="dxa"/>
            <w:tcBorders>
              <w:top w:val="single" w:color="auto" w:sz="4" w:space="0"/>
              <w:left w:val="single" w:color="auto" w:sz="4" w:space="0"/>
              <w:bottom w:val="single" w:color="auto" w:sz="4" w:space="0"/>
              <w:right w:val="single" w:color="auto" w:sz="4" w:space="0"/>
            </w:tcBorders>
            <w:noWrap w:val="0"/>
            <w:vAlign w:val="center"/>
          </w:tcPr>
          <w:p w14:paraId="16C64C17">
            <w:pPr>
              <w:autoSpaceDE w:val="0"/>
              <w:autoSpaceDN w:val="0"/>
              <w:adjustRightInd w:val="0"/>
              <w:jc w:val="both"/>
              <w:rPr>
                <w:rFonts w:ascii="宋体" w:hAnsi="宋体" w:cs="宋体"/>
                <w:color w:val="auto"/>
                <w:highlight w:val="none"/>
              </w:rPr>
            </w:pPr>
            <w:r>
              <w:rPr>
                <w:rFonts w:hint="eastAsia" w:ascii="宋体" w:hAnsi="宋体" w:cs="宋体"/>
                <w:color w:val="auto"/>
                <w:highlight w:val="none"/>
              </w:rPr>
              <w:t>交货时间</w:t>
            </w:r>
            <w:r>
              <w:rPr>
                <w:rFonts w:hint="eastAsia" w:ascii="宋体" w:hAnsi="宋体" w:cs="宋体"/>
                <w:color w:val="auto"/>
                <w:highlight w:val="none"/>
                <w:lang w:eastAsia="zh-CN"/>
              </w:rPr>
              <w:t>：</w:t>
            </w:r>
            <w:r>
              <w:rPr>
                <w:rFonts w:hint="eastAsia" w:ascii="宋体" w:hAnsi="宋体" w:cs="宋体"/>
                <w:color w:val="auto"/>
                <w:highlight w:val="none"/>
              </w:rPr>
              <w:t>合同签订生效后30个日历天内完成本项目全部产品的配送、安装、调试。</w:t>
            </w:r>
          </w:p>
        </w:tc>
        <w:tc>
          <w:tcPr>
            <w:tcW w:w="3265" w:type="dxa"/>
            <w:tcBorders>
              <w:top w:val="single" w:color="auto" w:sz="4" w:space="0"/>
              <w:left w:val="single" w:color="auto" w:sz="4" w:space="0"/>
              <w:bottom w:val="single" w:color="auto" w:sz="4" w:space="0"/>
              <w:right w:val="single" w:color="auto" w:sz="4" w:space="0"/>
            </w:tcBorders>
            <w:noWrap w:val="0"/>
            <w:vAlign w:val="center"/>
          </w:tcPr>
          <w:p w14:paraId="5C161E5B">
            <w:pPr>
              <w:autoSpaceDE w:val="0"/>
              <w:autoSpaceDN w:val="0"/>
              <w:adjustRightInd w:val="0"/>
              <w:jc w:val="center"/>
              <w:rPr>
                <w:rFonts w:ascii="宋体" w:hAnsi="宋体" w:cs="宋体"/>
                <w:color w:val="auto"/>
                <w:highlight w:val="none"/>
              </w:rPr>
            </w:pPr>
          </w:p>
        </w:tc>
        <w:tc>
          <w:tcPr>
            <w:tcW w:w="1387" w:type="dxa"/>
            <w:tcBorders>
              <w:top w:val="single" w:color="auto" w:sz="4" w:space="0"/>
              <w:left w:val="single" w:color="auto" w:sz="4" w:space="0"/>
              <w:bottom w:val="single" w:color="auto" w:sz="4" w:space="0"/>
              <w:right w:val="single" w:color="auto" w:sz="4" w:space="0"/>
            </w:tcBorders>
            <w:noWrap w:val="0"/>
            <w:vAlign w:val="center"/>
          </w:tcPr>
          <w:p w14:paraId="1BC7BB36">
            <w:pPr>
              <w:autoSpaceDE w:val="0"/>
              <w:autoSpaceDN w:val="0"/>
              <w:adjustRightInd w:val="0"/>
              <w:jc w:val="center"/>
              <w:rPr>
                <w:rFonts w:ascii="宋体" w:hAnsi="宋体" w:cs="宋体"/>
                <w:color w:val="auto"/>
                <w:highlight w:val="none"/>
              </w:rPr>
            </w:pPr>
          </w:p>
        </w:tc>
      </w:tr>
      <w:tr w14:paraId="253D42D3">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401" w:hRule="atLeast"/>
          <w:jc w:val="center"/>
        </w:trPr>
        <w:tc>
          <w:tcPr>
            <w:tcW w:w="706" w:type="dxa"/>
            <w:tcBorders>
              <w:top w:val="single" w:color="auto" w:sz="4" w:space="0"/>
              <w:left w:val="single" w:color="auto" w:sz="4" w:space="0"/>
              <w:bottom w:val="single" w:color="auto" w:sz="4" w:space="0"/>
              <w:right w:val="single" w:color="auto" w:sz="4" w:space="0"/>
            </w:tcBorders>
            <w:noWrap w:val="0"/>
            <w:vAlign w:val="center"/>
          </w:tcPr>
          <w:p w14:paraId="393BF697">
            <w:pPr>
              <w:autoSpaceDE w:val="0"/>
              <w:autoSpaceDN w:val="0"/>
              <w:adjustRightInd w:val="0"/>
              <w:jc w:val="center"/>
              <w:rPr>
                <w:rFonts w:hint="eastAsia" w:ascii="宋体" w:hAnsi="宋体" w:cs="宋体"/>
                <w:color w:val="auto"/>
                <w:highlight w:val="none"/>
                <w:lang w:val="en-US" w:eastAsia="zh-CN"/>
              </w:rPr>
            </w:pPr>
            <w:r>
              <w:rPr>
                <w:rFonts w:hint="eastAsia" w:ascii="宋体" w:hAnsi="宋体" w:cs="宋体"/>
                <w:color w:val="auto"/>
                <w:highlight w:val="none"/>
                <w:lang w:val="en-US" w:eastAsia="zh-CN"/>
              </w:rPr>
              <w:t>2</w:t>
            </w:r>
          </w:p>
        </w:tc>
        <w:tc>
          <w:tcPr>
            <w:tcW w:w="3981" w:type="dxa"/>
            <w:tcBorders>
              <w:top w:val="single" w:color="auto" w:sz="4" w:space="0"/>
              <w:left w:val="single" w:color="auto" w:sz="4" w:space="0"/>
              <w:bottom w:val="single" w:color="auto" w:sz="4" w:space="0"/>
              <w:right w:val="single" w:color="auto" w:sz="4" w:space="0"/>
            </w:tcBorders>
            <w:noWrap w:val="0"/>
            <w:vAlign w:val="center"/>
          </w:tcPr>
          <w:p w14:paraId="61D33740">
            <w:pPr>
              <w:autoSpaceDE w:val="0"/>
              <w:autoSpaceDN w:val="0"/>
              <w:adjustRightInd w:val="0"/>
              <w:jc w:val="both"/>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交货地点：成都市新都区人民医院。</w:t>
            </w:r>
          </w:p>
        </w:tc>
        <w:tc>
          <w:tcPr>
            <w:tcW w:w="3265" w:type="dxa"/>
            <w:tcBorders>
              <w:top w:val="single" w:color="auto" w:sz="4" w:space="0"/>
              <w:left w:val="single" w:color="auto" w:sz="4" w:space="0"/>
              <w:bottom w:val="single" w:color="auto" w:sz="4" w:space="0"/>
              <w:right w:val="single" w:color="auto" w:sz="4" w:space="0"/>
            </w:tcBorders>
            <w:noWrap w:val="0"/>
            <w:vAlign w:val="center"/>
          </w:tcPr>
          <w:p w14:paraId="2F3509C7">
            <w:pPr>
              <w:autoSpaceDE w:val="0"/>
              <w:autoSpaceDN w:val="0"/>
              <w:adjustRightInd w:val="0"/>
              <w:jc w:val="center"/>
              <w:rPr>
                <w:rFonts w:ascii="宋体" w:hAnsi="宋体" w:cs="宋体"/>
                <w:color w:val="auto"/>
                <w:highlight w:val="none"/>
              </w:rPr>
            </w:pPr>
          </w:p>
        </w:tc>
        <w:tc>
          <w:tcPr>
            <w:tcW w:w="1387" w:type="dxa"/>
            <w:tcBorders>
              <w:top w:val="single" w:color="auto" w:sz="4" w:space="0"/>
              <w:left w:val="single" w:color="auto" w:sz="4" w:space="0"/>
              <w:bottom w:val="single" w:color="auto" w:sz="4" w:space="0"/>
              <w:right w:val="single" w:color="auto" w:sz="4" w:space="0"/>
            </w:tcBorders>
            <w:noWrap w:val="0"/>
            <w:vAlign w:val="center"/>
          </w:tcPr>
          <w:p w14:paraId="10B605BC">
            <w:pPr>
              <w:autoSpaceDE w:val="0"/>
              <w:autoSpaceDN w:val="0"/>
              <w:adjustRightInd w:val="0"/>
              <w:jc w:val="center"/>
              <w:rPr>
                <w:rFonts w:ascii="宋体" w:hAnsi="宋体" w:cs="宋体"/>
                <w:color w:val="auto"/>
                <w:highlight w:val="none"/>
              </w:rPr>
            </w:pPr>
          </w:p>
        </w:tc>
      </w:tr>
      <w:tr w14:paraId="16983F5C">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401" w:hRule="atLeast"/>
          <w:jc w:val="center"/>
        </w:trPr>
        <w:tc>
          <w:tcPr>
            <w:tcW w:w="706" w:type="dxa"/>
            <w:tcBorders>
              <w:top w:val="single" w:color="auto" w:sz="4" w:space="0"/>
              <w:left w:val="single" w:color="auto" w:sz="4" w:space="0"/>
              <w:bottom w:val="single" w:color="auto" w:sz="4" w:space="0"/>
              <w:right w:val="single" w:color="auto" w:sz="4" w:space="0"/>
            </w:tcBorders>
            <w:noWrap w:val="0"/>
            <w:vAlign w:val="center"/>
          </w:tcPr>
          <w:p w14:paraId="6CA0C329">
            <w:pPr>
              <w:autoSpaceDE w:val="0"/>
              <w:autoSpaceDN w:val="0"/>
              <w:adjustRightInd w:val="0"/>
              <w:jc w:val="center"/>
              <w:rPr>
                <w:rFonts w:hint="eastAsia" w:ascii="宋体" w:hAnsi="宋体" w:cs="宋体"/>
                <w:color w:val="auto"/>
                <w:highlight w:val="none"/>
                <w:lang w:val="en-US" w:eastAsia="zh-CN"/>
              </w:rPr>
            </w:pPr>
            <w:r>
              <w:rPr>
                <w:rFonts w:hint="eastAsia" w:ascii="宋体" w:hAnsi="宋体" w:cs="宋体"/>
                <w:color w:val="auto"/>
                <w:highlight w:val="none"/>
                <w:lang w:val="en-US" w:eastAsia="zh-CN"/>
              </w:rPr>
              <w:t>3</w:t>
            </w:r>
          </w:p>
        </w:tc>
        <w:tc>
          <w:tcPr>
            <w:tcW w:w="3981" w:type="dxa"/>
            <w:tcBorders>
              <w:top w:val="single" w:color="auto" w:sz="4" w:space="0"/>
              <w:left w:val="single" w:color="auto" w:sz="4" w:space="0"/>
              <w:bottom w:val="single" w:color="auto" w:sz="4" w:space="0"/>
              <w:right w:val="single" w:color="auto" w:sz="4" w:space="0"/>
            </w:tcBorders>
            <w:noWrap w:val="0"/>
            <w:vAlign w:val="center"/>
          </w:tcPr>
          <w:p w14:paraId="76776A81">
            <w:pPr>
              <w:autoSpaceDE w:val="0"/>
              <w:autoSpaceDN w:val="0"/>
              <w:adjustRightInd w:val="0"/>
              <w:jc w:val="both"/>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支付方式：分期付款</w:t>
            </w:r>
          </w:p>
        </w:tc>
        <w:tc>
          <w:tcPr>
            <w:tcW w:w="3265" w:type="dxa"/>
            <w:tcBorders>
              <w:top w:val="single" w:color="auto" w:sz="4" w:space="0"/>
              <w:left w:val="single" w:color="auto" w:sz="4" w:space="0"/>
              <w:bottom w:val="single" w:color="auto" w:sz="4" w:space="0"/>
              <w:right w:val="single" w:color="auto" w:sz="4" w:space="0"/>
            </w:tcBorders>
            <w:noWrap w:val="0"/>
            <w:vAlign w:val="center"/>
          </w:tcPr>
          <w:p w14:paraId="7093137A">
            <w:pPr>
              <w:autoSpaceDE w:val="0"/>
              <w:autoSpaceDN w:val="0"/>
              <w:adjustRightInd w:val="0"/>
              <w:jc w:val="center"/>
              <w:rPr>
                <w:rFonts w:ascii="宋体" w:hAnsi="宋体" w:cs="宋体"/>
                <w:color w:val="auto"/>
                <w:highlight w:val="none"/>
              </w:rPr>
            </w:pPr>
          </w:p>
        </w:tc>
        <w:tc>
          <w:tcPr>
            <w:tcW w:w="1387" w:type="dxa"/>
            <w:tcBorders>
              <w:top w:val="single" w:color="auto" w:sz="4" w:space="0"/>
              <w:left w:val="single" w:color="auto" w:sz="4" w:space="0"/>
              <w:bottom w:val="single" w:color="auto" w:sz="4" w:space="0"/>
              <w:right w:val="single" w:color="auto" w:sz="4" w:space="0"/>
            </w:tcBorders>
            <w:noWrap w:val="0"/>
            <w:vAlign w:val="center"/>
          </w:tcPr>
          <w:p w14:paraId="4FE8BF42">
            <w:pPr>
              <w:autoSpaceDE w:val="0"/>
              <w:autoSpaceDN w:val="0"/>
              <w:adjustRightInd w:val="0"/>
              <w:jc w:val="center"/>
              <w:rPr>
                <w:rFonts w:ascii="宋体" w:hAnsi="宋体" w:cs="宋体"/>
                <w:color w:val="auto"/>
                <w:highlight w:val="none"/>
              </w:rPr>
            </w:pPr>
          </w:p>
        </w:tc>
      </w:tr>
      <w:tr w14:paraId="42671C5A">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462" w:hRule="atLeast"/>
          <w:jc w:val="center"/>
        </w:trPr>
        <w:tc>
          <w:tcPr>
            <w:tcW w:w="706" w:type="dxa"/>
            <w:tcBorders>
              <w:top w:val="single" w:color="auto" w:sz="4" w:space="0"/>
              <w:left w:val="single" w:color="auto" w:sz="4" w:space="0"/>
              <w:bottom w:val="single" w:color="auto" w:sz="4" w:space="0"/>
              <w:right w:val="single" w:color="auto" w:sz="4" w:space="0"/>
            </w:tcBorders>
            <w:noWrap w:val="0"/>
            <w:vAlign w:val="center"/>
          </w:tcPr>
          <w:p w14:paraId="3C299483">
            <w:pPr>
              <w:autoSpaceDE w:val="0"/>
              <w:autoSpaceDN w:val="0"/>
              <w:adjustRightInd w:val="0"/>
              <w:jc w:val="center"/>
              <w:rPr>
                <w:rFonts w:hint="eastAsia" w:ascii="宋体" w:hAnsi="宋体" w:cs="宋体"/>
                <w:color w:val="auto"/>
                <w:highlight w:val="none"/>
                <w:lang w:val="en-US" w:eastAsia="zh-CN"/>
              </w:rPr>
            </w:pPr>
            <w:r>
              <w:rPr>
                <w:rFonts w:hint="eastAsia" w:ascii="宋体" w:hAnsi="宋体" w:cs="宋体"/>
                <w:color w:val="auto"/>
                <w:highlight w:val="none"/>
                <w:lang w:val="en-US" w:eastAsia="zh-CN"/>
              </w:rPr>
              <w:t>4</w:t>
            </w:r>
          </w:p>
        </w:tc>
        <w:tc>
          <w:tcPr>
            <w:tcW w:w="3981" w:type="dxa"/>
            <w:tcBorders>
              <w:top w:val="single" w:color="auto" w:sz="4" w:space="0"/>
              <w:left w:val="single" w:color="auto" w:sz="4" w:space="0"/>
              <w:bottom w:val="single" w:color="auto" w:sz="4" w:space="0"/>
              <w:right w:val="single" w:color="auto" w:sz="4" w:space="0"/>
            </w:tcBorders>
            <w:noWrap w:val="0"/>
            <w:vAlign w:val="center"/>
          </w:tcPr>
          <w:p w14:paraId="4577AC65">
            <w:pPr>
              <w:autoSpaceDE w:val="0"/>
              <w:autoSpaceDN w:val="0"/>
              <w:adjustRightInd w:val="0"/>
              <w:jc w:val="both"/>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付款进度安排：合同签订后，对于满足合同约定支付条件的，中标人须提供合法有效完整的完税发票及相关凭证资料，采购人接到中标人正规完整票据凭证资料后15天内支付合同金额30%的款项；货物经最终验收合格后，中标人须提供合法有效完整的完税发票及相关凭证资料，采购人接到中标人正规完整票据凭证资料后15天内支付合同金额70%的款项。（注：如中标人提供的产品均为中小企业制造，则按照“合同签订后，中标人须提供合法有效完整的完税发票及相关凭证资料，采购人接到中标人正规完整票据凭证资料后10个工作日内支付合同金额40%的款项；货物经最终验收合格后，中标人须提供合法有效完整的完税发票及相关凭证资料，采购人接到中标人正规完整票据凭证资料后10个工作日内支付合同金额60%的款项”的规定进行费用支付）。因中标人单方面没有准备完整的完税发票或凭证资料造成付款延时由中标人承担一切后果，采购人不承担任何违约责任。采购人收到中标人发票时间以双方确认日期为准。供应商指定收款账户信息详见合同尾页签章处。中标人应当承担的违约金、赔偿金等，采购人有权在应付未付款项中直接抵扣。</w:t>
            </w:r>
          </w:p>
        </w:tc>
        <w:tc>
          <w:tcPr>
            <w:tcW w:w="3265" w:type="dxa"/>
            <w:tcBorders>
              <w:top w:val="single" w:color="auto" w:sz="4" w:space="0"/>
              <w:left w:val="single" w:color="auto" w:sz="4" w:space="0"/>
              <w:bottom w:val="single" w:color="auto" w:sz="4" w:space="0"/>
              <w:right w:val="single" w:color="auto" w:sz="4" w:space="0"/>
            </w:tcBorders>
            <w:noWrap w:val="0"/>
            <w:vAlign w:val="center"/>
          </w:tcPr>
          <w:p w14:paraId="5EDDE223">
            <w:pPr>
              <w:autoSpaceDE w:val="0"/>
              <w:autoSpaceDN w:val="0"/>
              <w:adjustRightInd w:val="0"/>
              <w:jc w:val="center"/>
              <w:rPr>
                <w:rFonts w:ascii="宋体" w:hAnsi="宋体" w:cs="宋体"/>
                <w:color w:val="auto"/>
                <w:highlight w:val="none"/>
              </w:rPr>
            </w:pPr>
          </w:p>
        </w:tc>
        <w:tc>
          <w:tcPr>
            <w:tcW w:w="1387" w:type="dxa"/>
            <w:tcBorders>
              <w:top w:val="single" w:color="auto" w:sz="4" w:space="0"/>
              <w:left w:val="single" w:color="auto" w:sz="4" w:space="0"/>
              <w:bottom w:val="single" w:color="auto" w:sz="4" w:space="0"/>
              <w:right w:val="single" w:color="auto" w:sz="4" w:space="0"/>
            </w:tcBorders>
            <w:noWrap w:val="0"/>
            <w:vAlign w:val="center"/>
          </w:tcPr>
          <w:p w14:paraId="241B8415">
            <w:pPr>
              <w:autoSpaceDE w:val="0"/>
              <w:autoSpaceDN w:val="0"/>
              <w:adjustRightInd w:val="0"/>
              <w:jc w:val="center"/>
              <w:rPr>
                <w:rFonts w:ascii="宋体" w:hAnsi="宋体" w:cs="宋体"/>
                <w:color w:val="auto"/>
                <w:highlight w:val="none"/>
              </w:rPr>
            </w:pPr>
          </w:p>
        </w:tc>
      </w:tr>
      <w:tr w14:paraId="112C2A3A">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462" w:hRule="atLeast"/>
          <w:jc w:val="center"/>
        </w:trPr>
        <w:tc>
          <w:tcPr>
            <w:tcW w:w="706" w:type="dxa"/>
            <w:tcBorders>
              <w:top w:val="single" w:color="auto" w:sz="4" w:space="0"/>
              <w:left w:val="single" w:color="auto" w:sz="4" w:space="0"/>
              <w:bottom w:val="single" w:color="auto" w:sz="4" w:space="0"/>
              <w:right w:val="single" w:color="auto" w:sz="4" w:space="0"/>
            </w:tcBorders>
            <w:noWrap w:val="0"/>
            <w:vAlign w:val="center"/>
          </w:tcPr>
          <w:p w14:paraId="1F7BB40B">
            <w:pPr>
              <w:autoSpaceDE w:val="0"/>
              <w:autoSpaceDN w:val="0"/>
              <w:adjustRightInd w:val="0"/>
              <w:jc w:val="center"/>
              <w:rPr>
                <w:rFonts w:hint="default" w:ascii="宋体" w:hAnsi="宋体" w:cs="宋体"/>
                <w:color w:val="auto"/>
                <w:highlight w:val="none"/>
                <w:lang w:val="en-US" w:eastAsia="zh-CN"/>
              </w:rPr>
            </w:pPr>
            <w:r>
              <w:rPr>
                <w:rFonts w:hint="eastAsia" w:ascii="宋体" w:hAnsi="宋体" w:cs="宋体"/>
                <w:color w:val="auto"/>
                <w:highlight w:val="none"/>
                <w:lang w:val="en-US" w:eastAsia="zh-CN"/>
              </w:rPr>
              <w:t>5</w:t>
            </w:r>
          </w:p>
        </w:tc>
        <w:tc>
          <w:tcPr>
            <w:tcW w:w="3981" w:type="dxa"/>
            <w:tcBorders>
              <w:top w:val="single" w:color="auto" w:sz="4" w:space="0"/>
              <w:left w:val="single" w:color="auto" w:sz="4" w:space="0"/>
              <w:bottom w:val="single" w:color="auto" w:sz="4" w:space="0"/>
              <w:right w:val="single" w:color="auto" w:sz="4" w:space="0"/>
            </w:tcBorders>
            <w:noWrap w:val="0"/>
            <w:vAlign w:val="center"/>
          </w:tcPr>
          <w:p w14:paraId="04C470D7">
            <w:pPr>
              <w:autoSpaceDE w:val="0"/>
              <w:autoSpaceDN w:val="0"/>
              <w:adjustRightInd w:val="0"/>
              <w:jc w:val="both"/>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验收、交付标准和方法：1、验收方法：中标人与采购人按照《财政部关于进一步加强政府采购需求和履约验收管理的指导意见》（财库〔2016〕205号）、《政府采购需求管理办法》(财库〔2021〕22号)等相关规定的要求进行验收。验收由采购人组织，中标人配合进行，中标人完成全部产品安装调试并提出初步验收申请后5日内采购人组织初步验收，初步验收合格后，进入7天试用期；试用期间发生质量问题，修复后试用期重新起算；试用期结束后3日内采购人完成最终验收。产品交付时间距生产时间不得超过6个月。2、验收标准：按国家有关规定以及采购人招标文件的质量要求和技术指标、中标人的投标文件及承诺与合同约定标准进行验收。</w:t>
            </w:r>
          </w:p>
        </w:tc>
        <w:tc>
          <w:tcPr>
            <w:tcW w:w="3265" w:type="dxa"/>
            <w:tcBorders>
              <w:top w:val="single" w:color="auto" w:sz="4" w:space="0"/>
              <w:left w:val="single" w:color="auto" w:sz="4" w:space="0"/>
              <w:bottom w:val="single" w:color="auto" w:sz="4" w:space="0"/>
              <w:right w:val="single" w:color="auto" w:sz="4" w:space="0"/>
            </w:tcBorders>
            <w:noWrap w:val="0"/>
            <w:vAlign w:val="center"/>
          </w:tcPr>
          <w:p w14:paraId="0DABC062">
            <w:pPr>
              <w:autoSpaceDE w:val="0"/>
              <w:autoSpaceDN w:val="0"/>
              <w:adjustRightInd w:val="0"/>
              <w:jc w:val="center"/>
              <w:rPr>
                <w:rFonts w:ascii="宋体" w:hAnsi="宋体" w:cs="宋体"/>
                <w:color w:val="auto"/>
                <w:highlight w:val="none"/>
              </w:rPr>
            </w:pPr>
          </w:p>
        </w:tc>
        <w:tc>
          <w:tcPr>
            <w:tcW w:w="1387" w:type="dxa"/>
            <w:tcBorders>
              <w:top w:val="single" w:color="auto" w:sz="4" w:space="0"/>
              <w:left w:val="single" w:color="auto" w:sz="4" w:space="0"/>
              <w:bottom w:val="single" w:color="auto" w:sz="4" w:space="0"/>
              <w:right w:val="single" w:color="auto" w:sz="4" w:space="0"/>
            </w:tcBorders>
            <w:noWrap w:val="0"/>
            <w:vAlign w:val="center"/>
          </w:tcPr>
          <w:p w14:paraId="4AC4B044">
            <w:pPr>
              <w:autoSpaceDE w:val="0"/>
              <w:autoSpaceDN w:val="0"/>
              <w:adjustRightInd w:val="0"/>
              <w:jc w:val="center"/>
              <w:rPr>
                <w:rFonts w:ascii="宋体" w:hAnsi="宋体" w:cs="宋体"/>
                <w:color w:val="auto"/>
                <w:highlight w:val="none"/>
              </w:rPr>
            </w:pPr>
          </w:p>
        </w:tc>
      </w:tr>
      <w:tr w14:paraId="3ED38C06">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462" w:hRule="atLeast"/>
          <w:jc w:val="center"/>
        </w:trPr>
        <w:tc>
          <w:tcPr>
            <w:tcW w:w="706" w:type="dxa"/>
            <w:tcBorders>
              <w:top w:val="single" w:color="auto" w:sz="4" w:space="0"/>
              <w:left w:val="single" w:color="auto" w:sz="4" w:space="0"/>
              <w:bottom w:val="single" w:color="auto" w:sz="4" w:space="0"/>
              <w:right w:val="single" w:color="auto" w:sz="4" w:space="0"/>
            </w:tcBorders>
            <w:noWrap w:val="0"/>
            <w:vAlign w:val="center"/>
          </w:tcPr>
          <w:p w14:paraId="7800CE45">
            <w:pPr>
              <w:autoSpaceDE w:val="0"/>
              <w:autoSpaceDN w:val="0"/>
              <w:adjustRightInd w:val="0"/>
              <w:jc w:val="center"/>
              <w:rPr>
                <w:rFonts w:hint="default" w:ascii="宋体" w:hAnsi="宋体" w:cs="宋体"/>
                <w:color w:val="auto"/>
                <w:highlight w:val="none"/>
                <w:lang w:val="en-US" w:eastAsia="zh-CN"/>
              </w:rPr>
            </w:pPr>
            <w:r>
              <w:rPr>
                <w:rFonts w:hint="eastAsia" w:ascii="宋体" w:hAnsi="宋体" w:cs="宋体"/>
                <w:color w:val="auto"/>
                <w:highlight w:val="none"/>
                <w:lang w:val="en-US" w:eastAsia="zh-CN"/>
              </w:rPr>
              <w:t>6</w:t>
            </w:r>
          </w:p>
        </w:tc>
        <w:tc>
          <w:tcPr>
            <w:tcW w:w="3981" w:type="dxa"/>
            <w:tcBorders>
              <w:top w:val="single" w:color="auto" w:sz="4" w:space="0"/>
              <w:left w:val="single" w:color="auto" w:sz="4" w:space="0"/>
              <w:bottom w:val="single" w:color="auto" w:sz="4" w:space="0"/>
              <w:right w:val="single" w:color="auto" w:sz="4" w:space="0"/>
            </w:tcBorders>
            <w:noWrap w:val="0"/>
            <w:vAlign w:val="center"/>
          </w:tcPr>
          <w:p w14:paraId="6A77101B">
            <w:pPr>
              <w:autoSpaceDE w:val="0"/>
              <w:autoSpaceDN w:val="0"/>
              <w:adjustRightInd w:val="0"/>
              <w:jc w:val="both"/>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质量保修范围和保修期</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1、产品的质保期均为3年（含所有部件及消耗性配件），质保期自采购人验收合格签字之日起计算。货物质量出现问题，投标人应负责三包（包修、包换、包退），费用由投标人负担。货到现场且交付采购人后由于采购人保管不当造成的问题，投标人亦应负责修复，但费用由采购人负担。应保障售后所需的备品备件充足，备品备件的质量须符合要求。2、如安装验收后1年内，货物经3次维修仍不能正常使用或者不能达到合同约定的质量标准，采购人有权就不合格的货物要求退货退款，中标人还应当向采购人支付退款金额30%的违约金。3、投标人中标后设有售后维修服务点和售后技术服务人员，须指派专人负责与采购人联系售后服务事宜。4、质保期内出现质量问题，投标人在接到通知后1小时内响应，4小时内到达现场，8小时内解决问题完成维修或更换，并承担修理调换的费用；问题解决后24小时内向采购人提供问题处理报告。5、投标人向采购人提供产品使用寿命周期内产品的技术咨询服务。在质保期内派专业技术人员上门进行每年不少于4次的保养服务并出具书面维保报告。</w:t>
            </w:r>
            <w:bookmarkStart w:id="0" w:name="_GoBack"/>
            <w:bookmarkEnd w:id="0"/>
          </w:p>
        </w:tc>
        <w:tc>
          <w:tcPr>
            <w:tcW w:w="3265" w:type="dxa"/>
            <w:tcBorders>
              <w:top w:val="single" w:color="auto" w:sz="4" w:space="0"/>
              <w:left w:val="single" w:color="auto" w:sz="4" w:space="0"/>
              <w:bottom w:val="single" w:color="auto" w:sz="4" w:space="0"/>
              <w:right w:val="single" w:color="auto" w:sz="4" w:space="0"/>
            </w:tcBorders>
            <w:noWrap w:val="0"/>
            <w:vAlign w:val="center"/>
          </w:tcPr>
          <w:p w14:paraId="08097E31">
            <w:pPr>
              <w:autoSpaceDE w:val="0"/>
              <w:autoSpaceDN w:val="0"/>
              <w:adjustRightInd w:val="0"/>
              <w:jc w:val="center"/>
              <w:rPr>
                <w:rFonts w:ascii="宋体" w:hAnsi="宋体" w:cs="宋体"/>
                <w:color w:val="auto"/>
                <w:highlight w:val="none"/>
              </w:rPr>
            </w:pPr>
          </w:p>
        </w:tc>
        <w:tc>
          <w:tcPr>
            <w:tcW w:w="1387" w:type="dxa"/>
            <w:tcBorders>
              <w:top w:val="single" w:color="auto" w:sz="4" w:space="0"/>
              <w:left w:val="single" w:color="auto" w:sz="4" w:space="0"/>
              <w:bottom w:val="single" w:color="auto" w:sz="4" w:space="0"/>
              <w:right w:val="single" w:color="auto" w:sz="4" w:space="0"/>
            </w:tcBorders>
            <w:noWrap w:val="0"/>
            <w:vAlign w:val="center"/>
          </w:tcPr>
          <w:p w14:paraId="1ABA4951">
            <w:pPr>
              <w:autoSpaceDE w:val="0"/>
              <w:autoSpaceDN w:val="0"/>
              <w:adjustRightInd w:val="0"/>
              <w:jc w:val="center"/>
              <w:rPr>
                <w:rFonts w:ascii="宋体" w:hAnsi="宋体" w:cs="宋体"/>
                <w:color w:val="auto"/>
                <w:highlight w:val="none"/>
              </w:rPr>
            </w:pPr>
          </w:p>
        </w:tc>
      </w:tr>
      <w:tr w14:paraId="14D87C2C">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462" w:hRule="atLeast"/>
          <w:jc w:val="center"/>
        </w:trPr>
        <w:tc>
          <w:tcPr>
            <w:tcW w:w="706" w:type="dxa"/>
            <w:tcBorders>
              <w:top w:val="single" w:color="auto" w:sz="4" w:space="0"/>
              <w:left w:val="single" w:color="auto" w:sz="4" w:space="0"/>
              <w:bottom w:val="single" w:color="auto" w:sz="4" w:space="0"/>
              <w:right w:val="single" w:color="auto" w:sz="4" w:space="0"/>
            </w:tcBorders>
            <w:noWrap w:val="0"/>
            <w:vAlign w:val="center"/>
          </w:tcPr>
          <w:p w14:paraId="5E71C662">
            <w:pPr>
              <w:autoSpaceDE w:val="0"/>
              <w:autoSpaceDN w:val="0"/>
              <w:adjustRightInd w:val="0"/>
              <w:jc w:val="center"/>
              <w:rPr>
                <w:rFonts w:hint="default" w:ascii="宋体" w:hAnsi="宋体" w:cs="宋体"/>
                <w:color w:val="auto"/>
                <w:highlight w:val="none"/>
                <w:lang w:val="en-US" w:eastAsia="zh-CN"/>
              </w:rPr>
            </w:pPr>
            <w:r>
              <w:rPr>
                <w:rFonts w:hint="eastAsia" w:ascii="宋体" w:hAnsi="宋体" w:cs="宋体"/>
                <w:color w:val="auto"/>
                <w:highlight w:val="none"/>
                <w:lang w:val="en-US" w:eastAsia="zh-CN"/>
              </w:rPr>
              <w:t>7</w:t>
            </w:r>
          </w:p>
        </w:tc>
        <w:tc>
          <w:tcPr>
            <w:tcW w:w="3981" w:type="dxa"/>
            <w:tcBorders>
              <w:top w:val="single" w:color="auto" w:sz="4" w:space="0"/>
              <w:left w:val="single" w:color="auto" w:sz="4" w:space="0"/>
              <w:bottom w:val="single" w:color="auto" w:sz="4" w:space="0"/>
              <w:right w:val="single" w:color="auto" w:sz="4" w:space="0"/>
            </w:tcBorders>
            <w:noWrap w:val="0"/>
            <w:vAlign w:val="center"/>
          </w:tcPr>
          <w:p w14:paraId="5CBDFBD8">
            <w:pPr>
              <w:autoSpaceDE w:val="0"/>
              <w:autoSpaceDN w:val="0"/>
              <w:adjustRightInd w:val="0"/>
              <w:jc w:val="both"/>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违约责任与解决争议的方法：一、违约责任：1.甲方违约责任（1）甲方无正当理由拒收货物的，甲方应偿付合同总价百分之一的违约金；（2）因甲方过错逾期支付货款的，除应及时付足货款外，应向乙方偿付欠款总额万分之一/ 天的违约金；逾期付款超过30天的，乙方有权终止合同；（3）甲方偿付的违约金不足以弥补乙方损失的，还应按乙方损失尚未弥补的部分，支付赔偿金给乙方。2.乙方违约责任（1）乙方交付的货物质量不符合合同规定的，乙方应向甲方支付合同总价的百分之五的违约金，并须在合同规定的交货时间内更换合格的货物给甲方，否则，视作乙方不能交付货物而违约，同时应按下述第“（2）”项规定由乙方偿付违约金给甲方。（2）乙方逾期交付货物而违约的，除应及时交足货物外，应向甲方偿付逾期交货部分货款总额的万分之一/天的违约金；逾期交货超过30天，甲方有权终止合同，乙方则应按合同总价的百分之十向甲方偿付违约金，并须全额退还甲方已经付给乙方 的货款及其利息。（3）乙方货物经甲方送交具有法定资格条件的质量技术监督机构检测后，如检测结果认定货物质量不符合合同规定标准的，则视为乙方没有按时交货而违约，乙方须在7天内无条件更换合格的货物，如逾期不能更换合格的货物，甲方有权终止合同，乙方应另付合同总价的百分之十的违约金给甲方。（4）乙方保证合同货物的权利无瑕疵，包括货物所有权及知识产权等权利无瑕疵。否则甲方有权解除合同，乙方除应向甲方返还已收款项外，还应另按合同总价的百分之十向甲方支付违约金并赔偿因此给甲方造成的一切损失。（5）如乙方交付的货物不符合国家标准、行业标准或者不符合合同约定，导致甲方被行政处罚的，乙方应当赔偿甲方由此产生的损失，并退还甲方支付的货款。（6）乙方偿付的违约金不足以弥补甲方损失的，还应按甲方损失尚未弥补的部分，支付赔偿金给甲方。二、争议解决办法：1.因货物的质量问题发生争议，由甲乙双方共同选择的质量技术监督部门或其指定的质量鉴定机构进行质量鉴定。如乙方拒不配合选择鉴定机构的，甲方有权单独选择。货物符合标准的，鉴定费由甲方承担；货物不符合质量标准的，鉴定费由乙方承担。2.合同履行期间,若双方发生争议，可协商或由有关部门调解解决，协商或调解不成的，可向甲方所在地的人民法院提起诉讼。（注：甲方指采购人、乙方指中标人）</w:t>
            </w:r>
          </w:p>
        </w:tc>
        <w:tc>
          <w:tcPr>
            <w:tcW w:w="3265" w:type="dxa"/>
            <w:tcBorders>
              <w:top w:val="single" w:color="auto" w:sz="4" w:space="0"/>
              <w:left w:val="single" w:color="auto" w:sz="4" w:space="0"/>
              <w:bottom w:val="single" w:color="auto" w:sz="4" w:space="0"/>
              <w:right w:val="single" w:color="auto" w:sz="4" w:space="0"/>
            </w:tcBorders>
            <w:noWrap w:val="0"/>
            <w:vAlign w:val="center"/>
          </w:tcPr>
          <w:p w14:paraId="1E8358E8">
            <w:pPr>
              <w:autoSpaceDE w:val="0"/>
              <w:autoSpaceDN w:val="0"/>
              <w:adjustRightInd w:val="0"/>
              <w:jc w:val="center"/>
              <w:rPr>
                <w:rFonts w:ascii="宋体" w:hAnsi="宋体" w:cs="宋体"/>
                <w:color w:val="auto"/>
                <w:highlight w:val="none"/>
              </w:rPr>
            </w:pPr>
          </w:p>
        </w:tc>
        <w:tc>
          <w:tcPr>
            <w:tcW w:w="1387" w:type="dxa"/>
            <w:tcBorders>
              <w:top w:val="single" w:color="auto" w:sz="4" w:space="0"/>
              <w:left w:val="single" w:color="auto" w:sz="4" w:space="0"/>
              <w:bottom w:val="single" w:color="auto" w:sz="4" w:space="0"/>
              <w:right w:val="single" w:color="auto" w:sz="4" w:space="0"/>
            </w:tcBorders>
            <w:noWrap w:val="0"/>
            <w:vAlign w:val="center"/>
          </w:tcPr>
          <w:p w14:paraId="22938C9F">
            <w:pPr>
              <w:autoSpaceDE w:val="0"/>
              <w:autoSpaceDN w:val="0"/>
              <w:adjustRightInd w:val="0"/>
              <w:jc w:val="center"/>
              <w:rPr>
                <w:rFonts w:ascii="宋体" w:hAnsi="宋体" w:cs="宋体"/>
                <w:color w:val="auto"/>
                <w:highlight w:val="none"/>
              </w:rPr>
            </w:pPr>
          </w:p>
        </w:tc>
      </w:tr>
      <w:tr w14:paraId="2691C161">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462" w:hRule="atLeast"/>
          <w:jc w:val="center"/>
        </w:trPr>
        <w:tc>
          <w:tcPr>
            <w:tcW w:w="706" w:type="dxa"/>
            <w:tcBorders>
              <w:top w:val="single" w:color="auto" w:sz="4" w:space="0"/>
              <w:left w:val="single" w:color="auto" w:sz="4" w:space="0"/>
              <w:bottom w:val="single" w:color="auto" w:sz="4" w:space="0"/>
              <w:right w:val="single" w:color="auto" w:sz="4" w:space="0"/>
            </w:tcBorders>
            <w:noWrap w:val="0"/>
            <w:vAlign w:val="center"/>
          </w:tcPr>
          <w:p w14:paraId="57166727">
            <w:pPr>
              <w:autoSpaceDE w:val="0"/>
              <w:autoSpaceDN w:val="0"/>
              <w:adjustRightInd w:val="0"/>
              <w:jc w:val="center"/>
              <w:rPr>
                <w:rFonts w:hint="default" w:ascii="宋体" w:hAnsi="宋体" w:cs="宋体"/>
                <w:color w:val="auto"/>
                <w:highlight w:val="none"/>
                <w:lang w:val="en-US" w:eastAsia="zh-CN"/>
              </w:rPr>
            </w:pPr>
            <w:r>
              <w:rPr>
                <w:rFonts w:hint="eastAsia" w:ascii="宋体" w:hAnsi="宋体" w:cs="宋体"/>
                <w:color w:val="auto"/>
                <w:highlight w:val="none"/>
                <w:lang w:val="en-US" w:eastAsia="zh-CN"/>
              </w:rPr>
              <w:t>8</w:t>
            </w:r>
          </w:p>
        </w:tc>
        <w:tc>
          <w:tcPr>
            <w:tcW w:w="3981" w:type="dxa"/>
            <w:tcBorders>
              <w:top w:val="single" w:color="auto" w:sz="4" w:space="0"/>
              <w:left w:val="single" w:color="auto" w:sz="4" w:space="0"/>
              <w:bottom w:val="single" w:color="auto" w:sz="4" w:space="0"/>
              <w:right w:val="single" w:color="auto" w:sz="4" w:space="0"/>
            </w:tcBorders>
            <w:noWrap w:val="0"/>
            <w:vAlign w:val="center"/>
          </w:tcPr>
          <w:p w14:paraId="34097D36">
            <w:pPr>
              <w:autoSpaceDE w:val="0"/>
              <w:autoSpaceDN w:val="0"/>
              <w:adjustRightInd w:val="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包装方式及运输：涉及的商品包装和快递包装，均应符合《商品包装政府采购需求标准（试行）》《快递包装政府采购需求标准（试行）》的要求，包装应适应于远距离运输、防潮、防震、防锈和防野蛮装卸，以确保货物安全无损运抵指定地点。</w:t>
            </w:r>
          </w:p>
        </w:tc>
        <w:tc>
          <w:tcPr>
            <w:tcW w:w="3265" w:type="dxa"/>
            <w:tcBorders>
              <w:top w:val="single" w:color="auto" w:sz="4" w:space="0"/>
              <w:left w:val="single" w:color="auto" w:sz="4" w:space="0"/>
              <w:bottom w:val="single" w:color="auto" w:sz="4" w:space="0"/>
              <w:right w:val="single" w:color="auto" w:sz="4" w:space="0"/>
            </w:tcBorders>
            <w:noWrap w:val="0"/>
            <w:vAlign w:val="center"/>
          </w:tcPr>
          <w:p w14:paraId="588AC7A4">
            <w:pPr>
              <w:autoSpaceDE w:val="0"/>
              <w:autoSpaceDN w:val="0"/>
              <w:adjustRightInd w:val="0"/>
              <w:jc w:val="center"/>
              <w:rPr>
                <w:rFonts w:ascii="宋体" w:hAnsi="宋体" w:cs="宋体"/>
                <w:color w:val="auto"/>
                <w:highlight w:val="none"/>
              </w:rPr>
            </w:pPr>
          </w:p>
        </w:tc>
        <w:tc>
          <w:tcPr>
            <w:tcW w:w="1387" w:type="dxa"/>
            <w:tcBorders>
              <w:top w:val="single" w:color="auto" w:sz="4" w:space="0"/>
              <w:left w:val="single" w:color="auto" w:sz="4" w:space="0"/>
              <w:bottom w:val="single" w:color="auto" w:sz="4" w:space="0"/>
              <w:right w:val="single" w:color="auto" w:sz="4" w:space="0"/>
            </w:tcBorders>
            <w:noWrap w:val="0"/>
            <w:vAlign w:val="center"/>
          </w:tcPr>
          <w:p w14:paraId="05824541">
            <w:pPr>
              <w:autoSpaceDE w:val="0"/>
              <w:autoSpaceDN w:val="0"/>
              <w:adjustRightInd w:val="0"/>
              <w:jc w:val="center"/>
              <w:rPr>
                <w:rFonts w:ascii="宋体" w:hAnsi="宋体" w:cs="宋体"/>
                <w:color w:val="auto"/>
                <w:highlight w:val="none"/>
              </w:rPr>
            </w:pPr>
          </w:p>
        </w:tc>
      </w:tr>
    </w:tbl>
    <w:p w14:paraId="70CF668D">
      <w:pPr>
        <w:spacing w:line="360" w:lineRule="auto"/>
        <w:ind w:left="0" w:leftChars="0" w:firstLine="0" w:firstLineChars="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注：投标人须对招标文件3.3.2.商务要求进行逐一应答。如投标人完全满足、应答与招标文件商务要求完全一致无偏离（含正负偏离）的，投标人应答一栏可填写“完全满足”，偏离说明一栏可填写“无偏离”。</w:t>
      </w:r>
    </w:p>
    <w:p w14:paraId="6531186F">
      <w:pPr>
        <w:widowControl/>
        <w:spacing w:line="360" w:lineRule="auto"/>
        <w:jc w:val="left"/>
        <w:rPr>
          <w:rFonts w:hint="eastAsia" w:ascii="宋体" w:hAnsi="宋体" w:cs="宋体"/>
          <w:color w:val="auto"/>
          <w:sz w:val="24"/>
          <w:highlight w:val="none"/>
        </w:rPr>
      </w:pPr>
    </w:p>
    <w:p w14:paraId="6F73FBB8">
      <w:pPr>
        <w:pStyle w:val="8"/>
        <w:rPr>
          <w:rFonts w:hint="eastAsia"/>
        </w:rPr>
      </w:pPr>
    </w:p>
    <w:p w14:paraId="0806785F">
      <w:pPr>
        <w:widowControl/>
        <w:spacing w:line="360" w:lineRule="auto"/>
        <w:ind w:firstLine="470" w:firstLineChars="196"/>
        <w:jc w:val="left"/>
        <w:rPr>
          <w:rFonts w:hint="eastAsia" w:ascii="宋体" w:hAnsi="宋体" w:cs="宋体"/>
          <w:color w:val="auto"/>
          <w:sz w:val="24"/>
          <w:highlight w:val="none"/>
        </w:rPr>
      </w:pPr>
      <w:r>
        <w:rPr>
          <w:rFonts w:hint="eastAsia" w:ascii="宋体" w:hAnsi="宋体" w:cs="宋体"/>
          <w:color w:val="auto"/>
          <w:sz w:val="24"/>
          <w:highlight w:val="none"/>
        </w:rPr>
        <w:t>投标人名称：</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w:t>
      </w:r>
      <w:r>
        <w:rPr>
          <w:rFonts w:hint="eastAsia" w:cs="宋体"/>
          <w:color w:val="auto"/>
          <w:sz w:val="24"/>
          <w:szCs w:val="24"/>
          <w:highlight w:val="none"/>
          <w:lang w:val="en-US" w:eastAsia="zh-CN"/>
        </w:rPr>
        <w:t>加盖投标人电子章</w:t>
      </w:r>
      <w:r>
        <w:rPr>
          <w:rFonts w:hint="eastAsia" w:ascii="宋体" w:hAnsi="宋体" w:cs="宋体"/>
          <w:color w:val="auto"/>
          <w:sz w:val="24"/>
          <w:highlight w:val="none"/>
        </w:rPr>
        <w:t>）</w:t>
      </w:r>
    </w:p>
    <w:p w14:paraId="011DBBCD">
      <w:pPr>
        <w:pStyle w:val="2"/>
        <w:ind w:firstLine="480" w:firstLineChars="200"/>
        <w:rPr>
          <w:rFonts w:hint="eastAsia" w:eastAsia="宋体"/>
          <w:lang w:val="en-US" w:eastAsia="zh-CN"/>
        </w:rPr>
      </w:pPr>
      <w:r>
        <w:rPr>
          <w:rFonts w:hint="eastAsia" w:ascii="宋体" w:hAnsi="宋体" w:cs="宋体"/>
          <w:color w:val="auto"/>
          <w:sz w:val="24"/>
          <w:highlight w:val="none"/>
          <w:lang w:val="en-US" w:eastAsia="zh-CN"/>
        </w:rPr>
        <w:t>日期：    年    月    日</w:t>
      </w:r>
    </w:p>
    <w:p w14:paraId="3DAA166E">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4NDA4OTMxY2IxZTlhZTIwZmI3YzRmNmYzMGNlNjkifQ=="/>
  </w:docVars>
  <w:rsids>
    <w:rsidRoot w:val="6B136847"/>
    <w:rsid w:val="081D5536"/>
    <w:rsid w:val="0AB63AF1"/>
    <w:rsid w:val="135C365E"/>
    <w:rsid w:val="13793B4A"/>
    <w:rsid w:val="14C06DEB"/>
    <w:rsid w:val="177441D1"/>
    <w:rsid w:val="18864710"/>
    <w:rsid w:val="1A2E7F15"/>
    <w:rsid w:val="215F3605"/>
    <w:rsid w:val="22C25EAA"/>
    <w:rsid w:val="22F71D01"/>
    <w:rsid w:val="29E76BAA"/>
    <w:rsid w:val="2D6404D7"/>
    <w:rsid w:val="348528AF"/>
    <w:rsid w:val="3782779F"/>
    <w:rsid w:val="397E47E9"/>
    <w:rsid w:val="39A30C3E"/>
    <w:rsid w:val="3E2606DC"/>
    <w:rsid w:val="436953CB"/>
    <w:rsid w:val="45DC0970"/>
    <w:rsid w:val="46FC1A6C"/>
    <w:rsid w:val="4B0D320A"/>
    <w:rsid w:val="53000B77"/>
    <w:rsid w:val="561271B1"/>
    <w:rsid w:val="57D310EE"/>
    <w:rsid w:val="58486B4D"/>
    <w:rsid w:val="65D269AF"/>
    <w:rsid w:val="67F3268C"/>
    <w:rsid w:val="692D777C"/>
    <w:rsid w:val="6B136847"/>
    <w:rsid w:val="6B2B2C4A"/>
    <w:rsid w:val="78FF0DA4"/>
    <w:rsid w:val="799203BA"/>
    <w:rsid w:val="7A4A28CE"/>
    <w:rsid w:val="7E286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9"/>
    <w:pPr>
      <w:keepNext/>
      <w:keepLines/>
      <w:spacing w:before="260" w:after="260" w:line="520" w:lineRule="exact"/>
      <w:ind w:firstLine="0" w:firstLineChars="0"/>
      <w:jc w:val="center"/>
      <w:outlineLvl w:val="1"/>
    </w:pPr>
    <w:rPr>
      <w:rFonts w:ascii="Arial" w:hAnsi="Arial"/>
      <w:b/>
      <w:bCs/>
      <w:kern w:val="2"/>
      <w:sz w:val="32"/>
      <w:szCs w:val="32"/>
    </w:rPr>
  </w:style>
  <w:style w:type="paragraph" w:styleId="4">
    <w:name w:val="heading 3"/>
    <w:basedOn w:val="1"/>
    <w:next w:val="1"/>
    <w:qFormat/>
    <w:uiPriority w:val="0"/>
    <w:pPr>
      <w:keepNext/>
      <w:keepLines/>
      <w:widowControl w:val="0"/>
      <w:spacing w:before="260" w:after="260" w:line="415" w:lineRule="auto"/>
      <w:outlineLvl w:val="2"/>
    </w:pPr>
    <w:rPr>
      <w:b/>
      <w:bCs/>
      <w:sz w:val="32"/>
      <w:szCs w:val="32"/>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eastAsia="宋体"/>
      <w:sz w:val="18"/>
    </w:rPr>
  </w:style>
  <w:style w:type="paragraph" w:customStyle="1" w:styleId="8">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2475</Words>
  <Characters>2511</Characters>
  <Lines>0</Lines>
  <Paragraphs>0</Paragraphs>
  <TotalTime>1</TotalTime>
  <ScaleCrop>false</ScaleCrop>
  <LinksUpToDate>false</LinksUpToDate>
  <CharactersWithSpaces>2542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2023-07-10T03:17:00Z</dcterms:created>
  <dc:creator>是</dc:creator>
  <cp:lastModifiedBy>.</cp:lastModifiedBy>
  <dcterms:modified xsi:type="dcterms:W3CDTF">2026-03-03T08:07:00Z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51033B62D1E24924B21C322FBCBD7B07_11</vt:lpwstr>
  </property>
  <property fmtid="{D5CDD505-2E9C-101B-9397-08002B2CF9AE}" pid="4" name="KSOTemplateDocerSaveRecord">
    <vt:lpwstr>eyJoZGlkIjoiODc4NDA4OTMxY2IxZTlhZTIwZmI3YzRmNmYzMGNlNjkiLCJ1c2VySWQiOiIxNTkwNTM4NzIyIn0=</vt:lpwstr>
  </property>
</Properties>
</file>