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版本号：N513429202600001320260402001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布拖县2026年山洪灾害防治非工程措施项目运行维护项目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N5134292026000013</w:t>
      </w:r>
    </w:p>
    <w:p>
      <w:pPr>
        <w:pStyle w:val="null3"/>
        <w:jc w:val="center"/>
        <w:outlineLvl w:val="2"/>
      </w:pPr>
      <w:r>
        <w:rPr>
          <w:rFonts w:ascii="仿宋_GB2312" w:hAnsi="仿宋_GB2312" w:cs="仿宋_GB2312" w:eastAsia="仿宋_GB2312"/>
          <w:sz w:val="28"/>
          <w:b/>
        </w:rPr>
        <w:t>布拖县水利局</w:t>
      </w:r>
    </w:p>
    <w:p>
      <w:pPr>
        <w:pStyle w:val="null3"/>
        <w:jc w:val="center"/>
        <w:outlineLvl w:val="2"/>
      </w:pPr>
      <w:r>
        <w:rPr>
          <w:rFonts w:ascii="仿宋_GB2312" w:hAnsi="仿宋_GB2312" w:cs="仿宋_GB2312" w:eastAsia="仿宋_GB2312"/>
          <w:sz w:val="28"/>
          <w:b/>
        </w:rPr>
        <w:t>四川诚润兴招标代理有限公司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四川诚润兴招标代理有限公司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布拖县水利局</w:t>
      </w:r>
      <w:r>
        <w:rPr>
          <w:rFonts w:ascii="仿宋_GB2312" w:hAnsi="仿宋_GB2312" w:cs="仿宋_GB2312" w:eastAsia="仿宋_GB2312"/>
        </w:rPr>
        <w:t xml:space="preserve"> 委托，拟对 </w:t>
      </w:r>
      <w:r>
        <w:rPr>
          <w:rFonts w:ascii="仿宋_GB2312" w:hAnsi="仿宋_GB2312" w:cs="仿宋_GB2312" w:eastAsia="仿宋_GB2312"/>
        </w:rPr>
        <w:t>布拖县2026年山洪灾害防治非工程措施项目运行维护项目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凉山彝族自治州布拖县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N5134292026000013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布拖县2026年山洪灾害防治非工程措施项目运行维护项目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本项目为布拖县2026年山洪灾害防治非工程措施项目运行维护项目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布拖县水利局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凉山州布拖县特觉下街116号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616350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0834-85311194</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四川诚润兴招标代理有限公司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四川省凉山州西昌市建昌西路44号建昌苑小区10幢3单元6楼（旧时火锅味楼上）</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边先生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0834-2898899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采购包1：590,000.00元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代理服务费收费标准：参照招标代理服务收费管理暂行办法计价格【2002】1980号文收取成交金额的1.5%</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布拖县水利局</w:t>
      </w:r>
      <w:r>
        <w:rPr>
          <w:rFonts w:ascii="仿宋_GB2312" w:hAnsi="仿宋_GB2312" w:cs="仿宋_GB2312" w:eastAsia="仿宋_GB2312"/>
        </w:rPr>
        <w:t xml:space="preserve"> 和 </w:t>
      </w:r>
      <w:r>
        <w:rPr>
          <w:rFonts w:ascii="仿宋_GB2312" w:hAnsi="仿宋_GB2312" w:cs="仿宋_GB2312" w:eastAsia="仿宋_GB2312"/>
        </w:rPr>
        <w:t>四川诚润兴招标代理有限公司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布拖县水利局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四川诚润兴招标代理有限公司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达到验收条件并提出验收申请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按照采购文件中“服务内容及要求”和成交供应商投标文件进行验收。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按照采购文件中“商务要求”和成交供应商投标文件进行验收。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成交供应商与采购人应按照《政府采购需求管理办法》（财库〔2021〕22号）的要求进行验收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布拖县水利局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四川诚润兴招标代理有限公司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四川诚润兴招标代理有限公司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联系电话：0834-85311194</w:t>
      </w:r>
    </w:p>
    <w:p>
      <w:pPr>
        <w:pStyle w:val="null3"/>
        <w:jc w:val="left"/>
      </w:pPr>
      <w:r>
        <w:rPr>
          <w:rFonts w:ascii="仿宋_GB2312" w:hAnsi="仿宋_GB2312" w:cs="仿宋_GB2312" w:eastAsia="仿宋_GB2312"/>
        </w:rPr>
        <w:t>地址：凉山州布拖县特觉下街116号</w:t>
      </w:r>
    </w:p>
    <w:p>
      <w:pPr>
        <w:pStyle w:val="null3"/>
        <w:jc w:val="left"/>
      </w:pPr>
      <w:r>
        <w:rPr>
          <w:rFonts w:ascii="仿宋_GB2312" w:hAnsi="仿宋_GB2312" w:cs="仿宋_GB2312" w:eastAsia="仿宋_GB2312"/>
        </w:rPr>
        <w:t>邮编：616350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联系人：边先生</w:t>
      </w:r>
    </w:p>
    <w:p>
      <w:pPr>
        <w:pStyle w:val="null3"/>
        <w:jc w:val="left"/>
      </w:pPr>
      <w:r>
        <w:rPr>
          <w:rFonts w:ascii="仿宋_GB2312" w:hAnsi="仿宋_GB2312" w:cs="仿宋_GB2312" w:eastAsia="仿宋_GB2312"/>
        </w:rPr>
        <w:t>联系电话：0834-2898899</w:t>
      </w:r>
    </w:p>
    <w:p>
      <w:pPr>
        <w:pStyle w:val="null3"/>
        <w:jc w:val="left"/>
      </w:pPr>
      <w:r>
        <w:rPr>
          <w:rFonts w:ascii="仿宋_GB2312" w:hAnsi="仿宋_GB2312" w:cs="仿宋_GB2312" w:eastAsia="仿宋_GB2312"/>
        </w:rPr>
        <w:t>地址：四川省凉山州西昌市建昌西路44号建昌苑小区10幢3单元6楼(旧时火锅味楼上)</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590,000.00</w:t>
      </w:r>
    </w:p>
    <w:p>
      <w:pPr>
        <w:pStyle w:val="null3"/>
        <w:jc w:val="left"/>
      </w:pPr>
      <w:r>
        <w:rPr>
          <w:rFonts w:ascii="仿宋_GB2312" w:hAnsi="仿宋_GB2312" w:cs="仿宋_GB2312" w:eastAsia="仿宋_GB2312"/>
        </w:rPr>
        <w:t>采购包最高限价（元）: 590,000.00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C12990000 其他水利管理服务</w:t>
            </w:r>
          </w:p>
        </w:tc>
        <w:tc>
          <w:tcPr>
            <w:tcW w:type="dxa" w:w="821"/>
          </w:tcPr>
          <w:p>
            <w:pPr>
              <w:pStyle w:val="null3"/>
              <w:jc w:val="left"/>
            </w:pPr>
            <w:r>
              <w:rPr>
                <w:rFonts w:ascii="仿宋_GB2312" w:hAnsi="仿宋_GB2312" w:cs="仿宋_GB2312" w:eastAsia="仿宋_GB2312"/>
              </w:rPr>
              <w:t>布拖县2026年山洪灾害防治非工程措施项目运行维护项目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590,000.00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布拖县2026年山洪灾害防治非工程措施项目运行维护项目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为技术服务项目，投标报价是履行合同的最终价格，应包括货款、包装、运输、税金、安装等竞标人完成本项目所需的一切费用（供应商所提供的货物价格是包干价，包括设计、安装、制作、运费、税费、售后等一切费用。），采购人不再支付任何费用；投标报价估算错误等引起的风险由竞标人自行承担。</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标的名称：布拖县2026年山洪灾害防治非工程措施项目运行维护项目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80"/>
              <w:jc w:val="both"/>
            </w:pPr>
            <w:r>
              <w:rPr>
                <w:rFonts w:ascii="仿宋_GB2312" w:hAnsi="仿宋_GB2312" w:cs="仿宋_GB2312" w:eastAsia="仿宋_GB2312"/>
                <w:sz w:val="28"/>
                <w:b/>
                <w:color w:val="000000"/>
              </w:rPr>
              <w:t>一、维护项目要求及数量</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1）站点维护清单维护：</w:t>
            </w:r>
          </w:p>
          <w:tbl>
            <w:tblPr>
              <w:tblBorders>
                <w:top w:val="none" w:color="000000" w:sz="4"/>
                <w:left w:val="none" w:color="000000" w:sz="4"/>
                <w:bottom w:val="none" w:color="000000" w:sz="4"/>
                <w:right w:val="none" w:color="000000" w:sz="4"/>
                <w:insideH w:val="none"/>
                <w:insideV w:val="none"/>
              </w:tblBorders>
            </w:tblPr>
            <w:tblGrid>
              <w:gridCol w:w="426"/>
              <w:gridCol w:w="2169"/>
              <w:gridCol w:w="2150"/>
              <w:gridCol w:w="426"/>
              <w:gridCol w:w="426"/>
            </w:tblGrid>
            <w:tr>
              <w:tc>
                <w:tcPr>
                  <w:tcW w:type="dxa" w:w="426"/>
                  <w:tcBorders>
                    <w:top w:val="single" w:color="000000" w:sz="4"/>
                    <w:left w:val="single" w:color="000000" w:sz="4"/>
                    <w:bottom w:val="single" w:color="000000" w:sz="4"/>
                    <w:right w:val="single" w:color="000000" w:sz="4"/>
                  </w:tcBorders>
                  <w:shd w:fill="F9CBAA"/>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169"/>
                  <w:tcBorders>
                    <w:top w:val="single" w:color="000000" w:sz="4"/>
                    <w:left w:val="none" w:color="000000" w:sz="4"/>
                    <w:bottom w:val="single" w:color="000000" w:sz="4"/>
                    <w:right w:val="single" w:color="000000" w:sz="4"/>
                  </w:tcBorders>
                  <w:shd w:fill="F9CBAA"/>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2150"/>
                  <w:tcBorders>
                    <w:top w:val="single" w:color="000000" w:sz="4"/>
                    <w:left w:val="none" w:color="000000" w:sz="4"/>
                    <w:bottom w:val="single" w:color="000000" w:sz="4"/>
                    <w:right w:val="single" w:color="000000" w:sz="4"/>
                  </w:tcBorders>
                  <w:shd w:fill="F9CBAA"/>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类型</w:t>
                  </w:r>
                </w:p>
              </w:tc>
              <w:tc>
                <w:tcPr>
                  <w:tcW w:type="dxa" w:w="426"/>
                  <w:tcBorders>
                    <w:top w:val="single" w:color="000000" w:sz="4"/>
                    <w:left w:val="none" w:color="000000" w:sz="4"/>
                    <w:bottom w:val="single" w:color="000000" w:sz="4"/>
                    <w:right w:val="single" w:color="000000" w:sz="4"/>
                  </w:tcBorders>
                  <w:shd w:fill="F9CBAA"/>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426"/>
                  <w:tcBorders>
                    <w:top w:val="single" w:color="000000" w:sz="4"/>
                    <w:left w:val="none" w:color="000000" w:sz="4"/>
                    <w:bottom w:val="single" w:color="000000" w:sz="4"/>
                    <w:right w:val="single" w:color="000000" w:sz="4"/>
                  </w:tcBorders>
                  <w:shd w:fill="F9CBAA"/>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1、野外监测站点维护服务</w:t>
                  </w:r>
                </w:p>
              </w:tc>
              <w:tc>
                <w:tcPr>
                  <w:tcW w:type="dxa" w:w="21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自动雨量站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站</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自动水位站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站</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自动水位雨量站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站</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视频监控站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站</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自动视频雨量站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站</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站</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无线广播站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站</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自动现地预警站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站</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防汛呼叫器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入户报警应答器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1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2、中心机房维护</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数据接收软件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交换机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防火墙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网络设备机柜及配件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1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3.视频会议</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调音台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分布式接点</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话筒</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音频接收器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功率放大器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全频音箱</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反馈抑制器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视频会议终端系统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4、省级平台数据维护</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省级平台数据维护</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21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5、人员驻场值班值守服务</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技术驻守、</w:t>
                  </w:r>
                  <w:r>
                    <w:rPr>
                      <w:rFonts w:ascii="仿宋_GB2312" w:hAnsi="仿宋_GB2312" w:cs="仿宋_GB2312" w:eastAsia="仿宋_GB2312"/>
                      <w:sz w:val="24"/>
                      <w:color w:val="000000"/>
                    </w:rPr>
                    <w:t>24小时值班值守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2169"/>
                  <w:vMerge/>
                  <w:tcBorders>
                    <w:top w:val="none" w:color="000000" w:sz="4"/>
                    <w:left w:val="non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车辆使用及燃油</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bl>
          <w:p>
            <w:pPr>
              <w:pStyle w:val="null3"/>
              <w:ind w:firstLine="480"/>
              <w:jc w:val="both"/>
            </w:pPr>
            <w:r>
              <w:rPr>
                <w:rFonts w:ascii="仿宋_GB2312" w:hAnsi="仿宋_GB2312" w:cs="仿宋_GB2312" w:eastAsia="仿宋_GB2312"/>
                <w:sz w:val="28"/>
                <w:b/>
                <w:color w:val="000000"/>
              </w:rPr>
              <w:t>二、售后服务要求</w:t>
            </w:r>
          </w:p>
          <w:p>
            <w:pPr>
              <w:pStyle w:val="null3"/>
              <w:ind w:firstLine="480"/>
              <w:jc w:val="both"/>
            </w:pPr>
            <w:r>
              <w:rPr>
                <w:rFonts w:ascii="仿宋_GB2312" w:hAnsi="仿宋_GB2312" w:cs="仿宋_GB2312" w:eastAsia="仿宋_GB2312"/>
                <w:sz w:val="28"/>
                <w:color w:val="000000"/>
              </w:rPr>
              <w:t>供应商的服务承诺应按不低于采购文件中提出的所有服务要求的标准做出响应。其基本服务要求如下：</w:t>
            </w:r>
          </w:p>
          <w:p>
            <w:pPr>
              <w:pStyle w:val="null3"/>
              <w:ind w:firstLine="480"/>
              <w:jc w:val="both"/>
            </w:pPr>
            <w:r>
              <w:rPr>
                <w:rFonts w:ascii="仿宋_GB2312" w:hAnsi="仿宋_GB2312" w:cs="仿宋_GB2312" w:eastAsia="仿宋_GB2312"/>
                <w:sz w:val="28"/>
                <w:color w:val="000000"/>
              </w:rPr>
              <w:t>1、需提供技术现场维护服务，服务期 1 年内，应具备4名技术人员和维护车辆服务项目所在地，汛期能提供 7*24 小时技术支持，在监测站点或预警系统出现故障时，能应急抢修维护服务。防汛期间 24 小时响应，遇故障，30 分钟现场响应，3 小时处理问题；超过 3 次未能达到要求视为违约，考核不合格，给供应商处以 5000-10000 元/次的违约金。（提供承诺函）</w:t>
            </w:r>
          </w:p>
          <w:p>
            <w:pPr>
              <w:pStyle w:val="null3"/>
              <w:ind w:firstLine="480"/>
              <w:jc w:val="both"/>
            </w:pPr>
            <w:r>
              <w:rPr>
                <w:rFonts w:ascii="仿宋_GB2312" w:hAnsi="仿宋_GB2312" w:cs="仿宋_GB2312" w:eastAsia="仿宋_GB2312"/>
                <w:sz w:val="28"/>
                <w:color w:val="000000"/>
              </w:rPr>
              <w:t>2、所有自动野外监测站点的通信费用（序号1至序号10项的内容）由竞标人承担，售后维护期间需保证站点汛期报汛率大于 95%，如达不到基本指标要求，并认定全年考核不合格。（提供承诺函）</w:t>
            </w:r>
          </w:p>
          <w:p>
            <w:pPr>
              <w:pStyle w:val="null3"/>
              <w:ind w:firstLine="480"/>
              <w:jc w:val="both"/>
            </w:pPr>
            <w:r>
              <w:rPr>
                <w:rFonts w:ascii="仿宋_GB2312" w:hAnsi="仿宋_GB2312" w:cs="仿宋_GB2312" w:eastAsia="仿宋_GB2312"/>
                <w:sz w:val="28"/>
                <w:color w:val="000000"/>
              </w:rPr>
              <w:t>3、技术服务期间服从甲方其他工作安排，辅助开展防汛类工作，需维护和录入四川水利业务平台系统信息数据。（提供承诺函）</w:t>
            </w:r>
          </w:p>
          <w:p>
            <w:pPr>
              <w:pStyle w:val="null3"/>
              <w:ind w:firstLine="480"/>
              <w:jc w:val="both"/>
            </w:pPr>
            <w:r>
              <w:rPr>
                <w:rFonts w:ascii="仿宋_GB2312" w:hAnsi="仿宋_GB2312" w:cs="仿宋_GB2312" w:eastAsia="仿宋_GB2312"/>
                <w:sz w:val="28"/>
                <w:color w:val="000000"/>
              </w:rPr>
              <w:t>4、必须承诺巡检所有简易和自动站点，保证站点正常工作。应自行解决交通和食宿问题，需要熟悉布拖地理环境或点位安装情况，根据实施资料中的站点信息，巡检站点。</w:t>
            </w:r>
          </w:p>
          <w:p>
            <w:pPr>
              <w:pStyle w:val="null3"/>
              <w:ind w:firstLine="480"/>
              <w:jc w:val="both"/>
            </w:pPr>
            <w:r>
              <w:rPr>
                <w:rFonts w:ascii="仿宋_GB2312" w:hAnsi="仿宋_GB2312" w:cs="仿宋_GB2312" w:eastAsia="仿宋_GB2312"/>
                <w:sz w:val="28"/>
                <w:color w:val="000000"/>
              </w:rPr>
              <w:t>5、服务期内应提供1辆防汛维护车辆，车辆能满足防汛下乡使用，车辆需24小时待命，确保接通知后30分钟内可出发，竞标人及竞标人驾驶员须无条件配合采购人防汛任务安排，包括夜间、节假日出勤，竞标人承担全部车辆相关费用，包括燃油、维修、保养、保险（交强险+商业全险）、路桥费、年检等，采购人不额外支付用车成本。</w:t>
            </w:r>
          </w:p>
          <w:p>
            <w:pPr>
              <w:pStyle w:val="null3"/>
              <w:ind w:firstLine="480"/>
              <w:jc w:val="both"/>
            </w:pPr>
            <w:r>
              <w:rPr>
                <w:rFonts w:ascii="仿宋_GB2312" w:hAnsi="仿宋_GB2312" w:cs="仿宋_GB2312" w:eastAsia="仿宋_GB2312"/>
                <w:sz w:val="28"/>
                <w:color w:val="000000"/>
              </w:rPr>
              <w:t>6、维护应包相关软件及数据库等。维护内容、标准不得低于水利部颁发的《山洪灾害防治非工程措施运行维护指南》的相关要求。包含且不限于以下内容：</w:t>
            </w:r>
          </w:p>
          <w:p>
            <w:pPr>
              <w:pStyle w:val="null3"/>
              <w:ind w:firstLine="480"/>
              <w:jc w:val="both"/>
            </w:pPr>
            <w:r>
              <w:rPr>
                <w:rFonts w:ascii="仿宋_GB2312" w:hAnsi="仿宋_GB2312" w:cs="仿宋_GB2312" w:eastAsia="仿宋_GB2312"/>
                <w:sz w:val="28"/>
                <w:color w:val="000000"/>
              </w:rPr>
              <w:t>①雨量监测和水位监测：维护内容设备加电运行、看护、除光、清理（清淤）、设备运行状况观察、接口测试、硬件安装、测试设置、升级、备份数据文件、电池等部件更换、故障处理、修复异常数据处理等。</w:t>
            </w:r>
          </w:p>
          <w:p>
            <w:pPr>
              <w:pStyle w:val="null3"/>
              <w:ind w:firstLine="480"/>
              <w:jc w:val="both"/>
            </w:pPr>
            <w:r>
              <w:rPr>
                <w:rFonts w:ascii="仿宋_GB2312" w:hAnsi="仿宋_GB2312" w:cs="仿宋_GB2312" w:eastAsia="仿宋_GB2312"/>
                <w:sz w:val="28"/>
                <w:color w:val="000000"/>
              </w:rPr>
              <w:t>②检测预警平台：定期检查设备运行情况，排除设备故障保障设备功能正常，通讯网络安全、稳定。对软件、硬件系统作必要更新、维护、确保预警平台安全、正常运行，能及时准确、安全发布预警信息。</w:t>
            </w:r>
          </w:p>
          <w:p>
            <w:pPr>
              <w:pStyle w:val="null3"/>
              <w:ind w:firstLine="480"/>
              <w:jc w:val="both"/>
            </w:pPr>
            <w:r>
              <w:rPr>
                <w:rFonts w:ascii="仿宋_GB2312" w:hAnsi="仿宋_GB2312" w:cs="仿宋_GB2312" w:eastAsia="仿宋_GB2312"/>
                <w:sz w:val="28"/>
                <w:color w:val="000000"/>
              </w:rPr>
              <w:t>③自动视频检测站：设备加电运行、看护、除光、运行状况检测，接口、网络线路连接测试及维护，设备坏件更换、故障处理及修复。</w:t>
            </w:r>
          </w:p>
          <w:p>
            <w:pPr>
              <w:pStyle w:val="null3"/>
              <w:ind w:firstLine="480"/>
              <w:jc w:val="both"/>
            </w:pPr>
            <w:r>
              <w:rPr>
                <w:rFonts w:ascii="仿宋_GB2312" w:hAnsi="仿宋_GB2312" w:cs="仿宋_GB2312" w:eastAsia="仿宋_GB2312"/>
                <w:sz w:val="28"/>
                <w:color w:val="000000"/>
              </w:rPr>
              <w:t>④机房网络设备维护内容：定期检查网络设备运行情况，检查设备的系统利用率，检查关键接口运行情况，收发数据的情况，分析系统运行数据，排除网络故障，保障网络安全运行。、</w:t>
            </w:r>
          </w:p>
          <w:p>
            <w:pPr>
              <w:pStyle w:val="null3"/>
              <w:ind w:firstLine="480"/>
              <w:jc w:val="both"/>
            </w:pPr>
            <w:r>
              <w:rPr>
                <w:rFonts w:ascii="仿宋_GB2312" w:hAnsi="仿宋_GB2312" w:cs="仿宋_GB2312" w:eastAsia="仿宋_GB2312"/>
                <w:sz w:val="28"/>
                <w:color w:val="000000"/>
              </w:rPr>
              <w:t>⑤机房服务器设备维护内容：设备运行、除光、运行情况监测、设备软硬件故障修复，数据库系统及应用软件维护，版本升级等。</w:t>
            </w:r>
          </w:p>
          <w:p>
            <w:pPr>
              <w:pStyle w:val="null3"/>
              <w:ind w:firstLine="480"/>
              <w:jc w:val="both"/>
            </w:pPr>
            <w:r>
              <w:rPr>
                <w:rFonts w:ascii="仿宋_GB2312" w:hAnsi="仿宋_GB2312" w:cs="仿宋_GB2312" w:eastAsia="仿宋_GB2312"/>
                <w:sz w:val="28"/>
                <w:color w:val="000000"/>
              </w:rPr>
              <w:t>⑥会商系统维护内容：维修、清洁、保养，零部件更换，设备运行状况监测，系统整体调试，网络通讯维护系统故障修复，确保会商音视频系统正常运行。</w:t>
            </w:r>
          </w:p>
          <w:p>
            <w:pPr>
              <w:pStyle w:val="null3"/>
              <w:ind w:firstLine="480"/>
              <w:jc w:val="both"/>
            </w:pPr>
            <w:r>
              <w:rPr>
                <w:rFonts w:ascii="仿宋_GB2312" w:hAnsi="仿宋_GB2312" w:cs="仿宋_GB2312" w:eastAsia="仿宋_GB2312"/>
                <w:sz w:val="28"/>
                <w:color w:val="000000"/>
              </w:rPr>
              <w:t>⑦电源系统维护内容：及时发现、处理电源故障，监测UPS电源及UPS电池运行情况设备除光、清洁做好常规维护工作，确保项目设备正常供电。</w:t>
            </w:r>
          </w:p>
          <w:p>
            <w:pPr>
              <w:pStyle w:val="null3"/>
              <w:ind w:firstLine="480"/>
              <w:jc w:val="both"/>
            </w:pPr>
            <w:r>
              <w:rPr>
                <w:rFonts w:ascii="仿宋_GB2312" w:hAnsi="仿宋_GB2312" w:cs="仿宋_GB2312" w:eastAsia="仿宋_GB2312"/>
                <w:sz w:val="28"/>
                <w:b/>
                <w:color w:val="000000"/>
              </w:rPr>
              <w:t>三、项目报价要求：</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本项目为技术服务项目，投标报价是履行合同的最终价格，应包括货款、包装、运输、税金、安装等竞标人完成本项目所需的一切费用（供应商所提供的货物价格是包干价，包括设计、安装、制作、运费、税费、售后等一切费用。），采购人不再支付任何费用；投标报价估算错误等引起的风险由竞标人自行承担。</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2）预算控制价金额：59万元/年。竞标人报价需符合预算控制价要求，超出预算控制价的报价为无效投标。</w:t>
            </w:r>
          </w:p>
          <w:p>
            <w:pPr>
              <w:pStyle w:val="null3"/>
              <w:ind w:firstLine="480"/>
              <w:jc w:val="both"/>
            </w:pPr>
            <w:r>
              <w:rPr>
                <w:rFonts w:ascii="仿宋_GB2312" w:hAnsi="仿宋_GB2312" w:cs="仿宋_GB2312" w:eastAsia="仿宋_GB2312"/>
                <w:sz w:val="28"/>
                <w:color w:val="000000"/>
              </w:rPr>
              <w:t>注：评标委员会认为竞标人的报价明显低于其他通过符合性审查竞标人的报价，有可能影响产品质量或者不能诚信履约的，应当要求其在评标现场合理的时间内提供书面说明，必要时提交相关证明材料</w:t>
            </w:r>
            <w:r>
              <w:rPr>
                <w:rFonts w:ascii="仿宋_GB2312" w:hAnsi="仿宋_GB2312" w:cs="仿宋_GB2312" w:eastAsia="仿宋_GB2312"/>
                <w:sz w:val="28"/>
                <w:color w:val="000000"/>
              </w:rPr>
              <w:t>;竞标人不能证明其报价合理性的，评标委员会应当将其作为无效投标处理。</w:t>
            </w:r>
          </w:p>
          <w:p>
            <w:pPr>
              <w:pStyle w:val="null3"/>
              <w:ind w:firstLine="480"/>
              <w:jc w:val="both"/>
            </w:pPr>
            <w:r>
              <w:rPr>
                <w:rFonts w:ascii="仿宋_GB2312" w:hAnsi="仿宋_GB2312" w:cs="仿宋_GB2312" w:eastAsia="仿宋_GB2312"/>
                <w:sz w:val="28"/>
                <w:color w:val="000000"/>
              </w:rPr>
              <w:t>供应商书面说明应当按照国家财务会计制度的规定要求，逐项就供应商提供的货物、工程和服务的主营业务成本（应根据供应商企业类型予以区别）、税金及附加、销售费用、管理费用、财务费用等成本构成事项详细陈述。</w:t>
            </w:r>
          </w:p>
          <w:p>
            <w:pPr>
              <w:pStyle w:val="null3"/>
              <w:ind w:firstLine="480"/>
              <w:jc w:val="both"/>
            </w:pPr>
            <w:r>
              <w:rPr>
                <w:rFonts w:ascii="仿宋_GB2312" w:hAnsi="仿宋_GB2312" w:cs="仿宋_GB2312" w:eastAsia="仿宋_GB2312"/>
                <w:sz w:val="28"/>
                <w:color w:val="000000"/>
              </w:rPr>
              <w:t>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pPr>
              <w:pStyle w:val="null3"/>
              <w:ind w:firstLine="480"/>
              <w:jc w:val="both"/>
            </w:pPr>
            <w:r>
              <w:rPr>
                <w:rFonts w:ascii="仿宋_GB2312" w:hAnsi="仿宋_GB2312" w:cs="仿宋_GB2312" w:eastAsia="仿宋_GB2312"/>
                <w:sz w:val="28"/>
                <w:color w:val="000000"/>
              </w:rPr>
              <w:t>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p>
            <w:pPr>
              <w:pStyle w:val="null3"/>
              <w:ind w:firstLine="480"/>
              <w:jc w:val="both"/>
            </w:pPr>
            <w:r>
              <w:rPr>
                <w:rFonts w:ascii="仿宋_GB2312" w:hAnsi="仿宋_GB2312" w:cs="仿宋_GB2312" w:eastAsia="仿宋_GB2312"/>
                <w:sz w:val="28"/>
                <w:b/>
                <w:color w:val="000000"/>
              </w:rPr>
              <w:t>四</w:t>
            </w:r>
            <w:r>
              <w:rPr>
                <w:rFonts w:ascii="仿宋_GB2312" w:hAnsi="仿宋_GB2312" w:cs="仿宋_GB2312" w:eastAsia="仿宋_GB2312"/>
                <w:sz w:val="28"/>
                <w:b/>
                <w:color w:val="000000"/>
              </w:rPr>
              <w:t>、质量要求：</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1）招标文件及竞标人承诺的质量、技术和其他要求，符合国家相关行业的质量标准和技术规范。</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2）提供的技术支撑服务标准和技术规范等，必须符合最新国家标准。各项技术标准应当符合国家强制性标准。</w:t>
            </w:r>
          </w:p>
          <w:p>
            <w:pPr>
              <w:pStyle w:val="null3"/>
              <w:jc w:val="both"/>
            </w:pPr>
            <w:r>
              <w:rPr>
                <w:rFonts w:ascii="仿宋_GB2312" w:hAnsi="仿宋_GB2312" w:cs="仿宋_GB2312" w:eastAsia="仿宋_GB2312"/>
              </w:rPr>
              <w:t xml:space="preserve"> </w:t>
            </w:r>
          </w:p>
          <w:p>
            <w:pPr>
              <w:pStyle w:val="null3"/>
              <w:ind w:firstLine="480"/>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布拖县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验收办法：成交供应商与采购人应按照《政府采购需求管理办法》（财库〔2021〕22号）的要求进行验收。 验收标准：按采购文件的要求、供应商的投标文件及承诺与本项目合同约定标准进行验收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1、合同签订后达到付款条件，达到付款条件起15日内，支付合同总金额的40.00%</w:t>
            </w:r>
          </w:p>
          <w:p>
            <w:pPr>
              <w:pStyle w:val="null3"/>
              <w:jc w:val="left"/>
            </w:pPr>
            <w:r>
              <w:rPr>
                <w:rFonts w:ascii="仿宋_GB2312" w:hAnsi="仿宋_GB2312" w:cs="仿宋_GB2312" w:eastAsia="仿宋_GB2312"/>
              </w:rPr>
              <w:t>2、系统正常运行维护3个月后，达到付款条件起15日内，支付合同总金额的40.00%</w:t>
            </w:r>
          </w:p>
          <w:p>
            <w:pPr>
              <w:pStyle w:val="null3"/>
              <w:jc w:val="left"/>
            </w:pPr>
            <w:r>
              <w:rPr>
                <w:rFonts w:ascii="仿宋_GB2312" w:hAnsi="仿宋_GB2312" w:cs="仿宋_GB2312" w:eastAsia="仿宋_GB2312"/>
              </w:rPr>
              <w:t>3、系统正常运行维护汛期结束服务期满后，达到付款条件起15日内，支付合同总金额的20.00%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1、甲方违约责任（1）甲方必须遵守本合同并执行合同中的各项规定，保证本合同的正常履行；（2）如因甲方原因导致变更、中止或者终止本合同的，甲方应当依照 本合同约定对乙方受到的损失予以赔偿或者补偿。 2、乙方违约责任 （1）乙方必须遵守本合同并执行合同中的各项规定，保证本合同的正常履行；（2）如因乙方工作人员在履行职务过程中的疏忽、失职、过错等故意或者过失原因给甲方造成损失或侵害，包括但不限于甲方本身的财产损失、由此而导致的甲方对任何第三方的法律责任等，乙方对此均应承担全部的赔偿责任。 （3）乙方偿付的违约金不足以弥补甲方损失的，还应按甲方损失尚未弥补的部分，支付赔偿金给甲方。 争议解决办法合同履行期间,若双方发生争议，可协商或由 有关部门调解解决，协商或调解不成的，由当事人依法维护其合法权益，并由合同履行地人民法院会裁定。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（1）根据采购文件需求和供应商提供的技术分析方案，内容包含但不限于：①项目背景与现状分析、②重点难点应急处理措施 ③项目工作流程； （2）根据采购文件需求和供应商提供的巡检保障方案，内容包含但不限于：①对当前监测站点的问题进行现状分析与如何保障站点汛期高效运转；②30天内完成所有站点巡检的承诺及保障计划；③项目运维时间计划与进度保障措施；④汛期中遇到设备故障的的快速保障计划； （3）根据采购文件需求和供应商提供的安全质量方案，内容包含但不限于：(①安全管理措施、②项目如何保证站点报汛率大于95%的具体措施和承诺、③资料归档及保密措施； （4）根据采购文件需求和供应商针对本项目提供的后续服务方案，包括但不限于：①后续服务承诺及后续服务计划、②服务管理制度和后续响应时间承诺③后续服务人员及计划；</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针对本项目采购文件第三章所包含的技术、服务及其他要求，在磋商过程中，磋商小组在获得采购人代表确认的前提下,磋商小组对磋商文件作出的实质性变动是磋商文件的有效组成部分，磋商小组会及时以书面形式通知所有参加磋商的供应商。</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针对本项目采购文件第七章所包含的拟签订采购合同文本，在磋商过程中，磋商小组在获得采购人代表确认的前提下，可以根据磋商情况实质性变动相关内容。磋商小组对磋商文件作出的实质性变动是磋商文件的有效组成部分，磋商小组会及时以书面形式通知所有参加磋商的供应商。</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提供具有独立承担民事责任的能力的证明材料（注：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tc>
        <w:tc>
          <w:tcPr>
            <w:tcW w:type="dxa" w:w="1661"/>
          </w:tcPr>
          <w:p>
            <w:pPr>
              <w:pStyle w:val="null3"/>
              <w:jc w:val="left"/>
            </w:pPr>
            <w:r>
              <w:rPr>
                <w:rFonts w:ascii="仿宋_GB2312" w:hAnsi="仿宋_GB2312" w:cs="仿宋_GB2312" w:eastAsia="仿宋_GB2312"/>
              </w:rPr>
              <w:t>响应文件封面,供应商应提交的相关证明材料,关于符合本国产品标准的声明函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提供具有良好的商业信誉承诺函并加盖供应商电子签章</w:t>
            </w:r>
          </w:p>
        </w:tc>
        <w:tc>
          <w:tcPr>
            <w:tcW w:type="dxa" w:w="1661"/>
          </w:tcPr>
          <w:p>
            <w:pPr>
              <w:pStyle w:val="null3"/>
              <w:jc w:val="left"/>
            </w:pPr>
            <w:r>
              <w:rPr>
                <w:rFonts w:ascii="仿宋_GB2312" w:hAnsi="仿宋_GB2312" w:cs="仿宋_GB2312" w:eastAsia="仿宋_GB2312"/>
              </w:rPr>
              <w:t>格式自拟.docx,投标（响应）函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备健全的财务会计制度的证明材料。{注：①可提供2023年以来任一年度经审计的财务报告复印件（包含审计报告和审计报告中所涉及的财务报表和报表附注），②也可提供2023年以来任一年度供应商内部的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承诺函，格式自拟}（供应商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提供具备履行合同所必须的设备和专业技术能力的承诺函；（加盖供应商电子签章）</w:t>
            </w:r>
          </w:p>
        </w:tc>
        <w:tc>
          <w:tcPr>
            <w:tcW w:type="dxa" w:w="1661"/>
          </w:tcPr>
          <w:p>
            <w:pPr>
              <w:pStyle w:val="null3"/>
              <w:jc w:val="left"/>
            </w:pPr>
            <w:r>
              <w:rPr>
                <w:rFonts w:ascii="仿宋_GB2312" w:hAnsi="仿宋_GB2312" w:cs="仿宋_GB2312" w:eastAsia="仿宋_GB2312"/>
              </w:rPr>
              <w:t>格式自拟.docx,投标（响应）函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具有依法缴纳税收和社会保障资金的良好记录。{注：①可提供供应商2025年1月至今任意三个月纳税（如为零申报的须提供税务系统网络申报或税务大厅申报零申报报表、免税企业须提供税务免税备案通知书）、社保资金缴纳证明复印件；②也可提供承诺函，格式自拟}（供应商进行电子签章）</w:t>
            </w:r>
          </w:p>
        </w:tc>
        <w:tc>
          <w:tcPr>
            <w:tcW w:type="dxa" w:w="1661"/>
          </w:tcPr>
          <w:p>
            <w:pPr>
              <w:pStyle w:val="null3"/>
              <w:jc w:val="left"/>
            </w:pPr>
            <w:r>
              <w:rPr>
                <w:rFonts w:ascii="仿宋_GB2312" w:hAnsi="仿宋_GB2312" w:cs="仿宋_GB2312" w:eastAsia="仿宋_GB2312"/>
              </w:rPr>
              <w:t>格式自拟.docx,投标（响应）函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提供参加本次政府采购活动前三年内，在经营活动中没有重大违法记录的承诺书原件；（供应商进行电子签章）</w:t>
            </w:r>
          </w:p>
        </w:tc>
        <w:tc>
          <w:tcPr>
            <w:tcW w:type="dxa" w:w="1661"/>
          </w:tcPr>
          <w:p>
            <w:pPr>
              <w:pStyle w:val="null3"/>
              <w:jc w:val="left"/>
            </w:pPr>
            <w:r>
              <w:rPr>
                <w:rFonts w:ascii="仿宋_GB2312" w:hAnsi="仿宋_GB2312" w:cs="仿宋_GB2312" w:eastAsia="仿宋_GB2312"/>
              </w:rPr>
              <w:t>格式自拟.docx,投标（响应）函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技术分析方案、巡检保障方案、安全质量方案、后续服务方案、人员配置、履约能力</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技术分析方案</w:t>
            </w:r>
          </w:p>
        </w:tc>
        <w:tc>
          <w:tcPr>
            <w:tcW w:type="dxa" w:w="2575"/>
          </w:tcPr>
          <w:p>
            <w:pPr>
              <w:pStyle w:val="null3"/>
              <w:jc w:val="left"/>
            </w:pPr>
            <w:r>
              <w:rPr>
                <w:rFonts w:ascii="仿宋_GB2312" w:hAnsi="仿宋_GB2312" w:cs="仿宋_GB2312" w:eastAsia="仿宋_GB2312"/>
              </w:rPr>
              <w:t>根据供应商提供的针对本项目的技术分析方案进行评审，内容包括包含但不限于：①项目背景与现状分析、②重点难点应急处理措施 ③项目工作流程；以上内容满足需求的得18分，每缺少一项内容扣6分，每有一项有缺陷或不足扣3分 （注：缺陷是指方案中存在下列情形之一：①方案内容过于简单（如方案只有复制需求内容而无具体说明或措施；方案仅有标题无其他说明或阐述）；②缺少关键节点或表述不完整；③内容与本项目无关、仅有标题或简单的文字描述、存在项目名称或地点区域错误；④涉及的规范、标准与本项目要求不一致或存在与专业知识不符的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格式自拟.docx</w:t>
            </w:r>
          </w:p>
        </w:tc>
      </w:tr>
      <w:tr>
        <w:tc>
          <w:tcPr>
            <w:tcW w:type="dxa" w:w="831"/>
            <w:vMerge/>
          </w:tcPr>
          <w:p/>
        </w:tc>
        <w:tc>
          <w:tcPr>
            <w:tcW w:type="dxa" w:w="1661"/>
          </w:tcPr>
          <w:p>
            <w:pPr>
              <w:pStyle w:val="null3"/>
              <w:jc w:val="left"/>
            </w:pPr>
            <w:r>
              <w:rPr>
                <w:rFonts w:ascii="仿宋_GB2312" w:hAnsi="仿宋_GB2312" w:cs="仿宋_GB2312" w:eastAsia="仿宋_GB2312"/>
              </w:rPr>
              <w:t>巡检保障方案</w:t>
            </w:r>
          </w:p>
        </w:tc>
        <w:tc>
          <w:tcPr>
            <w:tcW w:type="dxa" w:w="2575"/>
          </w:tcPr>
          <w:p>
            <w:pPr>
              <w:pStyle w:val="null3"/>
              <w:jc w:val="left"/>
            </w:pPr>
            <w:r>
              <w:rPr>
                <w:rFonts w:ascii="仿宋_GB2312" w:hAnsi="仿宋_GB2312" w:cs="仿宋_GB2312" w:eastAsia="仿宋_GB2312"/>
              </w:rPr>
              <w:t>根据供应商提供的针对本项目的巡检保障方案进行评审，内容包括包含但不限于：(①对当前监测站点的问题进行现状分析与如何保障站点汛期高效运转②30天内完成所有站点巡检的承诺及保障计划③项目运维时间计划与进度保障措施；④汛期中遇到设备故障的的快速保障计划。 以上内容满足需求的得20分，每缺少一项内容扣5分，每有一项有缺陷或不足扣2.5分 。（注：缺陷是指方案中存在下列情形之一：①方案内容过于简单（如方案只有复制需求内容而无具体说明或措施；方案仅有标题无其他说明或阐述）；②缺少关键节点或表述不完整；③内容与本项目无关、仅有标题或简单的文字描述、存在项目名称或地点区域错误；④涉及的规范、标准与本项目要求不一致或存在与专业知识不符的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格式自拟.docx</w:t>
            </w:r>
          </w:p>
        </w:tc>
      </w:tr>
      <w:tr>
        <w:tc>
          <w:tcPr>
            <w:tcW w:type="dxa" w:w="831"/>
            <w:vMerge/>
          </w:tcPr>
          <w:p/>
        </w:tc>
        <w:tc>
          <w:tcPr>
            <w:tcW w:type="dxa" w:w="1661"/>
          </w:tcPr>
          <w:p>
            <w:pPr>
              <w:pStyle w:val="null3"/>
              <w:jc w:val="left"/>
            </w:pPr>
            <w:r>
              <w:rPr>
                <w:rFonts w:ascii="仿宋_GB2312" w:hAnsi="仿宋_GB2312" w:cs="仿宋_GB2312" w:eastAsia="仿宋_GB2312"/>
              </w:rPr>
              <w:t>安全质量方案</w:t>
            </w:r>
          </w:p>
        </w:tc>
        <w:tc>
          <w:tcPr>
            <w:tcW w:type="dxa" w:w="2575"/>
          </w:tcPr>
          <w:p>
            <w:pPr>
              <w:pStyle w:val="null3"/>
              <w:jc w:val="left"/>
            </w:pPr>
            <w:r>
              <w:rPr>
                <w:rFonts w:ascii="仿宋_GB2312" w:hAnsi="仿宋_GB2312" w:cs="仿宋_GB2312" w:eastAsia="仿宋_GB2312"/>
              </w:rPr>
              <w:t>根据供应商提供的针对本项目的安全质量方案进行评审，内容包括包含但不限于：①安全管理措施、②项目如何保证站点报汛率大于95%的具体措施和承诺、③资料归档及保密措施；以上内容满足需求的得15分，每缺少一项内容扣5分，每有一项有缺陷或不足扣2.5分 （注：缺陷是指方案中存在下列情形之一：①方案内容过于简单（如方案只有复制需求内容而无具体说明或措施；方案仅有标题无其他说明或阐述）；②缺少关键节点或表述不完整；③内容与本项目无关、仅有标题或简单的文字描述、存在项目名称或地点区域错误；④涉及的规范、标准与本项目要求不一致或存在与专业知识不符的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格式自拟.docx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供应商提供的针对本项目的后续服务方案进行评审，内容包括包含但不限于：①后续服务承诺及后续服务计划、②服务管理制度和后续响应时间承诺③后续服务人员及计划；以上内容满足需求的得15分，每缺少一项内容扣5分，每有一项有缺陷或不足扣2.5分 （注：缺陷是指方案中存在下列情形之一：①方案内容过于简单（如方案只有复制需求内容而无具体说明或措施；方案仅有标题无其他说明或阐述）；②缺少关键节点或表述不完整；③内容与本项目无关、仅有标题或简单的文字描述、存在项目名称或地点区域错误；④涉及的规范、标准与本项目要求不一致或存在与专业知识不符的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格式自拟.docx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①负责本项目的项目经理应具有弱电类或智能化类系统集成项目经理证书。具有高级及以上证书得3分，中级得2分，不提供不得分；本项最高得3分。 ②负责本项目的项目经理还应具有信息安全类水平证书，提供证书得3分，不提供不得分； ③本项目的技术负责人应具有网络工程师证书；具有高级及以上证书得3分，中级得2分，不提供不得分；本项最高得3分。 ④本项目的技术人员应具有数据库管理工程师证书；提供证书得3分。 （以上人员需提供相关证书复印件、人员所在单位任职证明，不提供或提供不完整的不得分）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格式自拟.docx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①供应商提供类似山洪灾害或网络设备运维监控类软件证书，提供证书复印件，提供1个得2分，最多得4分，不提供不得分； ②供应商提供类似网络安全监测类软件，提供软著证书复印件的，得2分，不提供不得分；（需提供证书复印件加盖公章） ③供应商自2023年1月1日以来每具有一个类似项目业绩的得1分，本项最多得4分，未提供不得分。 注：提供中标/成交通知书或合同的复印件并加盖供应商公章。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格式自拟.docx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详见附件：格式自拟.docx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