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版本号：N510401202600008420260330001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三维C型臂X光机采购项目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N5104012026000084</w:t>
      </w:r>
    </w:p>
    <w:p>
      <w:pPr>
        <w:pStyle w:val="null3"/>
        <w:jc w:val="left"/>
        <w:outlineLvl w:val="2"/>
      </w:pPr>
      <w:r>
        <w:rPr>
          <w:rFonts w:ascii="仿宋_GB2312" w:hAnsi="仿宋_GB2312" w:cs="仿宋_GB2312" w:eastAsia="仿宋_GB2312"/>
          <w:sz w:val="28"/>
          <w:b/>
        </w:rPr>
        <w:t>攀枝花市中心医院</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攀枝花市中心医院</w:t>
      </w:r>
      <w:r>
        <w:rPr>
          <w:rFonts w:ascii="仿宋_GB2312" w:hAnsi="仿宋_GB2312" w:cs="仿宋_GB2312" w:eastAsia="仿宋_GB2312"/>
        </w:rPr>
        <w:t xml:space="preserve"> 委托，拟对 </w:t>
      </w:r>
      <w:r>
        <w:rPr>
          <w:rFonts w:ascii="仿宋_GB2312" w:hAnsi="仿宋_GB2312" w:cs="仿宋_GB2312" w:eastAsia="仿宋_GB2312"/>
        </w:rPr>
        <w:t>三维C型臂X光机采购项目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攀枝花市市本级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N5104012026000084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三维C型臂X光机采购项目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攀枝花市中心医院拟采购三维C型臂X光机1套，本项目为1个包。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中华人民共和国医疗器械注册证或备案凭证。（描述：若投标产品及其配置产品为医疗器械的，投标产品及其配置产品须符合《医疗器械注册与备案管理办法》要求并提供中华人民共和国医疗器械注册证或备案凭证。）</w:t>
      </w:r>
    </w:p>
    <w:p>
      <w:pPr>
        <w:pStyle w:val="null3"/>
        <w:jc w:val="left"/>
      </w:pPr>
      <w:r>
        <w:rPr>
          <w:rFonts w:ascii="仿宋_GB2312" w:hAnsi="仿宋_GB2312" w:cs="仿宋_GB2312" w:eastAsia="仿宋_GB2312"/>
        </w:rPr>
        <w:t>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描述：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w:t>
      </w:r>
    </w:p>
    <w:p>
      <w:pPr>
        <w:pStyle w:val="null3"/>
        <w:jc w:val="left"/>
      </w:pPr>
      <w:r>
        <w:rPr>
          <w:rFonts w:ascii="仿宋_GB2312" w:hAnsi="仿宋_GB2312" w:cs="仿宋_GB2312" w:eastAsia="仿宋_GB2312"/>
        </w:rPr>
        <w:t>3、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描述：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攀枝花市中心医院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四川省攀枝花市东区大渡口街道益康街34号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0812-2238331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四川省成都市金牛区茶店子西街36号1栋2单元18层1819号/项目咨询地址：四川省攀枝花市东区三线大道北段金海财智中心1809号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1、项目负责：龙福兴，陆恒；2、技术审核：沈倩，明宇，张维，李嘉星，刘洋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1、项目负责：0812-2298810；2、公司监察合规部(投诉、举报)：028-62306011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代理服务费收费标准：预算 700万元(不含)以下项目：代理服务费按照中标金额的1.5%收取；不足6000元按6000元收取。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攀枝花市中心医院</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攀枝花市中心医院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设备到院安装完毕正常投入使用后，供应商提出验收申请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组织验收小组严格按照招标文件要求以及投标文件响应内容逐条验收，如任意一条参数与投标文件响应内容不符合，视为虚假应标，采购人拒绝验收并有权终止合同。设备由中标人自行撤离，采购人不承担任何违约责任，且保留追究中标人赔偿责任。</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按照招标文件要求及供应商投标文件响应内容、中标产品厂家注册内容、产品说明书（如涉及）等内容进行技术验收。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按照招标文件商务要求及供应商响应内容进行商务履约验收。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采购人应严格按照《财政部关于进一步加强政府采购需求和履约验收管理的指导意见》（财库〔2016〕205号）文件的要求进行验收；调试及验收方案：验收合格（附验收报告），由采购单位签字确认。</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双方如对质量要求和技术指标的约定标准有相互抵触或异议的事项，由采购人在招标文件和供应商投标文件中按质量要求和技术指标比较优胜的原则确定该项的约定标准进行验收。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攀枝花市中心医院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联系电话：0812-2238331</w:t>
      </w:r>
    </w:p>
    <w:p>
      <w:pPr>
        <w:pStyle w:val="null3"/>
        <w:jc w:val="left"/>
      </w:pPr>
      <w:r>
        <w:rPr>
          <w:rFonts w:ascii="仿宋_GB2312" w:hAnsi="仿宋_GB2312" w:cs="仿宋_GB2312" w:eastAsia="仿宋_GB2312"/>
        </w:rPr>
        <w:t>地址：四川省攀枝花市东区大渡口街道益康街34号</w:t>
      </w:r>
    </w:p>
    <w:p>
      <w:pPr>
        <w:pStyle w:val="null3"/>
        <w:jc w:val="left"/>
      </w:pPr>
      <w:r>
        <w:rPr>
          <w:rFonts w:ascii="仿宋_GB2312" w:hAnsi="仿宋_GB2312" w:cs="仿宋_GB2312" w:eastAsia="仿宋_GB2312"/>
        </w:rPr>
        <w:t>邮编：617000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联系人：陆老师</w:t>
      </w:r>
    </w:p>
    <w:p>
      <w:pPr>
        <w:pStyle w:val="null3"/>
        <w:jc w:val="left"/>
      </w:pPr>
      <w:r>
        <w:rPr>
          <w:rFonts w:ascii="仿宋_GB2312" w:hAnsi="仿宋_GB2312" w:cs="仿宋_GB2312" w:eastAsia="仿宋_GB2312"/>
        </w:rPr>
        <w:t>联系电话：0812-2298810</w:t>
      </w:r>
    </w:p>
    <w:p>
      <w:pPr>
        <w:pStyle w:val="null3"/>
        <w:jc w:val="left"/>
      </w:pPr>
      <w:r>
        <w:rPr>
          <w:rFonts w:ascii="仿宋_GB2312" w:hAnsi="仿宋_GB2312" w:cs="仿宋_GB2312" w:eastAsia="仿宋_GB2312"/>
        </w:rPr>
        <w:t>地址：四川省攀枝花市东区三线大道北段金海财智中心1809号</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2,240,000.00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三维C型臂X光机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三维C型臂X光机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三维C型臂X光机</w:t>
            </w:r>
          </w:p>
        </w:tc>
        <w:tc>
          <w:tcPr>
            <w:tcW w:type="dxa" w:w="2492"/>
          </w:tcPr>
          <w:p>
            <w:pPr>
              <w:pStyle w:val="null3"/>
              <w:jc w:val="left"/>
            </w:pPr>
            <w:r>
              <w:rPr>
                <w:rFonts w:ascii="仿宋_GB2312" w:hAnsi="仿宋_GB2312" w:cs="仿宋_GB2312" w:eastAsia="仿宋_GB2312"/>
              </w:rPr>
              <w:t>三维C型臂X光机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标的名称：三维C型臂X光机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480"/>
              <w:jc w:val="both"/>
            </w:pPr>
            <w:r>
              <w:rPr>
                <w:rFonts w:ascii="仿宋_GB2312" w:hAnsi="仿宋_GB2312" w:cs="仿宋_GB2312" w:eastAsia="仿宋_GB2312"/>
                <w:sz w:val="24"/>
              </w:rPr>
              <w:t>1、功能需求</w:t>
            </w:r>
          </w:p>
          <w:p>
            <w:pPr>
              <w:pStyle w:val="null3"/>
              <w:ind w:firstLine="480"/>
              <w:jc w:val="both"/>
            </w:pPr>
            <w:r>
              <w:rPr>
                <w:rFonts w:ascii="仿宋_GB2312" w:hAnsi="仿宋_GB2312" w:cs="仿宋_GB2312" w:eastAsia="仿宋_GB2312"/>
                <w:sz w:val="24"/>
              </w:rPr>
              <w:t>▲1.1、整机采用一体机设计，无需独立的工作站台车。适用于骨科手术的所有临床应用场景，支持提供2D和3D影像资料，辅助医生完成手术。</w:t>
            </w:r>
          </w:p>
          <w:p>
            <w:pPr>
              <w:pStyle w:val="null3"/>
              <w:ind w:firstLine="480"/>
              <w:jc w:val="both"/>
            </w:pPr>
            <w:r>
              <w:rPr>
                <w:rFonts w:ascii="仿宋_GB2312" w:hAnsi="仿宋_GB2312" w:cs="仿宋_GB2312" w:eastAsia="仿宋_GB2312"/>
                <w:sz w:val="24"/>
              </w:rPr>
              <w:t>▲1.2、具备开放的3D图像适配接口，能适配两家及以上非本品牌骨科机器人或导航设备。</w:t>
            </w:r>
            <w:r>
              <w:rPr>
                <w:rFonts w:ascii="仿宋_GB2312" w:hAnsi="仿宋_GB2312" w:cs="仿宋_GB2312" w:eastAsia="仿宋_GB2312"/>
                <w:sz w:val="24"/>
                <w:b/>
              </w:rPr>
              <w:t>（提供投标产品厂家与机器人或导航厂家的认证协议或链接认证扫描件并加盖投标人公章予以佐证）</w:t>
            </w:r>
          </w:p>
          <w:p>
            <w:pPr>
              <w:pStyle w:val="null3"/>
              <w:ind w:firstLine="480"/>
              <w:jc w:val="both"/>
            </w:pPr>
            <w:r>
              <w:rPr>
                <w:rFonts w:ascii="仿宋_GB2312" w:hAnsi="仿宋_GB2312" w:cs="仿宋_GB2312" w:eastAsia="仿宋_GB2312"/>
                <w:sz w:val="24"/>
              </w:rPr>
              <w:t>2、C形臂</w:t>
            </w:r>
          </w:p>
          <w:p>
            <w:pPr>
              <w:pStyle w:val="null3"/>
              <w:ind w:firstLine="480"/>
              <w:jc w:val="both"/>
            </w:pPr>
            <w:r>
              <w:rPr>
                <w:rFonts w:ascii="仿宋_GB2312" w:hAnsi="仿宋_GB2312" w:cs="仿宋_GB2312" w:eastAsia="仿宋_GB2312"/>
                <w:sz w:val="24"/>
              </w:rPr>
              <w:t>▲2.1、SID值固定不可调，SID≥1100mm。</w:t>
            </w:r>
          </w:p>
          <w:p>
            <w:pPr>
              <w:pStyle w:val="null3"/>
              <w:ind w:firstLine="480"/>
              <w:jc w:val="both"/>
            </w:pPr>
            <w:r>
              <w:rPr>
                <w:rFonts w:ascii="仿宋_GB2312" w:hAnsi="仿宋_GB2312" w:cs="仿宋_GB2312" w:eastAsia="仿宋_GB2312"/>
                <w:sz w:val="24"/>
              </w:rPr>
              <w:t>2.2、滑转运动范围≥180°。</w:t>
            </w:r>
          </w:p>
          <w:p>
            <w:pPr>
              <w:pStyle w:val="null3"/>
              <w:ind w:firstLine="480"/>
              <w:jc w:val="both"/>
            </w:pPr>
            <w:r>
              <w:rPr>
                <w:rFonts w:ascii="仿宋_GB2312" w:hAnsi="仿宋_GB2312" w:cs="仿宋_GB2312" w:eastAsia="仿宋_GB2312"/>
                <w:sz w:val="24"/>
              </w:rPr>
              <w:t>▲2.3、轴向旋转运动范围≥±220°。</w:t>
            </w:r>
          </w:p>
          <w:p>
            <w:pPr>
              <w:pStyle w:val="null3"/>
              <w:ind w:firstLine="480"/>
              <w:jc w:val="both"/>
            </w:pPr>
            <w:r>
              <w:rPr>
                <w:rFonts w:ascii="仿宋_GB2312" w:hAnsi="仿宋_GB2312" w:cs="仿宋_GB2312" w:eastAsia="仿宋_GB2312"/>
                <w:sz w:val="24"/>
              </w:rPr>
              <w:t>2.4、水平运动范围≥220mm。</w:t>
            </w:r>
          </w:p>
          <w:p>
            <w:pPr>
              <w:pStyle w:val="null3"/>
              <w:ind w:firstLine="480"/>
              <w:jc w:val="both"/>
            </w:pPr>
            <w:r>
              <w:rPr>
                <w:rFonts w:ascii="仿宋_GB2312" w:hAnsi="仿宋_GB2312" w:cs="仿宋_GB2312" w:eastAsia="仿宋_GB2312"/>
                <w:sz w:val="24"/>
              </w:rPr>
              <w:t>2.5、垂直运动范围≥400mm。</w:t>
            </w:r>
          </w:p>
          <w:p>
            <w:pPr>
              <w:pStyle w:val="null3"/>
              <w:ind w:firstLine="480"/>
              <w:jc w:val="both"/>
            </w:pPr>
            <w:r>
              <w:rPr>
                <w:rFonts w:ascii="仿宋_GB2312" w:hAnsi="仿宋_GB2312" w:cs="仿宋_GB2312" w:eastAsia="仿宋_GB2312"/>
                <w:sz w:val="24"/>
              </w:rPr>
              <w:t>2.6、摆动范围≥±12°。</w:t>
            </w:r>
          </w:p>
          <w:p>
            <w:pPr>
              <w:pStyle w:val="null3"/>
              <w:ind w:firstLine="480"/>
              <w:jc w:val="both"/>
            </w:pPr>
            <w:r>
              <w:rPr>
                <w:rFonts w:ascii="仿宋_GB2312" w:hAnsi="仿宋_GB2312" w:cs="仿宋_GB2312" w:eastAsia="仿宋_GB2312"/>
                <w:sz w:val="24"/>
              </w:rPr>
              <w:t>▲2.7、C臂开口尺寸≥870mm。</w:t>
            </w:r>
          </w:p>
          <w:p>
            <w:pPr>
              <w:pStyle w:val="null3"/>
              <w:ind w:firstLine="480"/>
              <w:jc w:val="both"/>
            </w:pPr>
            <w:r>
              <w:rPr>
                <w:rFonts w:ascii="仿宋_GB2312" w:hAnsi="仿宋_GB2312" w:cs="仿宋_GB2312" w:eastAsia="仿宋_GB2312"/>
                <w:sz w:val="24"/>
              </w:rPr>
              <w:t>2.8、C臂弧深≥680mm。</w:t>
            </w:r>
          </w:p>
          <w:p>
            <w:pPr>
              <w:pStyle w:val="null3"/>
              <w:ind w:firstLine="480"/>
              <w:jc w:val="both"/>
            </w:pPr>
            <w:r>
              <w:rPr>
                <w:rFonts w:ascii="仿宋_GB2312" w:hAnsi="仿宋_GB2312" w:cs="仿宋_GB2312" w:eastAsia="仿宋_GB2312"/>
                <w:sz w:val="24"/>
              </w:rPr>
              <w:t>2.9、机身具备电磁解锁开关，可以一键完成相应运动轴的控制和解锁。</w:t>
            </w:r>
          </w:p>
          <w:p>
            <w:pPr>
              <w:pStyle w:val="null3"/>
              <w:ind w:firstLine="480"/>
              <w:jc w:val="both"/>
            </w:pPr>
            <w:r>
              <w:rPr>
                <w:rFonts w:ascii="仿宋_GB2312" w:hAnsi="仿宋_GB2312" w:cs="仿宋_GB2312" w:eastAsia="仿宋_GB2312"/>
                <w:sz w:val="24"/>
              </w:rPr>
              <w:t>▲2.10、设备球管与探测器采用常规中心放置设计，非偏置设计。</w:t>
            </w:r>
          </w:p>
          <w:p>
            <w:pPr>
              <w:pStyle w:val="null3"/>
              <w:ind w:firstLine="480"/>
              <w:jc w:val="both"/>
            </w:pPr>
            <w:r>
              <w:rPr>
                <w:rFonts w:ascii="仿宋_GB2312" w:hAnsi="仿宋_GB2312" w:cs="仿宋_GB2312" w:eastAsia="仿宋_GB2312"/>
                <w:sz w:val="24"/>
              </w:rPr>
              <w:t>3、高压发生器</w:t>
            </w:r>
          </w:p>
          <w:p>
            <w:pPr>
              <w:pStyle w:val="null3"/>
              <w:ind w:firstLine="480"/>
              <w:jc w:val="both"/>
            </w:pPr>
            <w:r>
              <w:rPr>
                <w:rFonts w:ascii="仿宋_GB2312" w:hAnsi="仿宋_GB2312" w:cs="仿宋_GB2312" w:eastAsia="仿宋_GB2312"/>
                <w:sz w:val="24"/>
              </w:rPr>
              <w:t>▲3.1、最大输出电功率≥8KW。</w:t>
            </w:r>
          </w:p>
          <w:p>
            <w:pPr>
              <w:pStyle w:val="null3"/>
              <w:ind w:firstLine="480"/>
              <w:jc w:val="both"/>
            </w:pPr>
            <w:r>
              <w:rPr>
                <w:rFonts w:ascii="仿宋_GB2312" w:hAnsi="仿宋_GB2312" w:cs="仿宋_GB2312" w:eastAsia="仿宋_GB2312"/>
                <w:sz w:val="24"/>
              </w:rPr>
              <w:t>3.2、最小管电压≤40KV。</w:t>
            </w:r>
          </w:p>
          <w:p>
            <w:pPr>
              <w:pStyle w:val="null3"/>
              <w:ind w:firstLine="480"/>
              <w:jc w:val="both"/>
            </w:pPr>
            <w:r>
              <w:rPr>
                <w:rFonts w:ascii="仿宋_GB2312" w:hAnsi="仿宋_GB2312" w:cs="仿宋_GB2312" w:eastAsia="仿宋_GB2312"/>
                <w:sz w:val="24"/>
              </w:rPr>
              <w:t>3.3、最大管电压≥120KV。</w:t>
            </w:r>
          </w:p>
          <w:p>
            <w:pPr>
              <w:pStyle w:val="null3"/>
              <w:ind w:firstLine="480"/>
              <w:jc w:val="both"/>
            </w:pPr>
            <w:r>
              <w:rPr>
                <w:rFonts w:ascii="仿宋_GB2312" w:hAnsi="仿宋_GB2312" w:cs="仿宋_GB2312" w:eastAsia="仿宋_GB2312"/>
                <w:sz w:val="24"/>
              </w:rPr>
              <w:t>3.4、最小管电流≤1mA。</w:t>
            </w:r>
          </w:p>
          <w:p>
            <w:pPr>
              <w:pStyle w:val="null3"/>
              <w:ind w:firstLine="480"/>
              <w:jc w:val="both"/>
            </w:pPr>
            <w:r>
              <w:rPr>
                <w:rFonts w:ascii="仿宋_GB2312" w:hAnsi="仿宋_GB2312" w:cs="仿宋_GB2312" w:eastAsia="仿宋_GB2312"/>
                <w:sz w:val="24"/>
              </w:rPr>
              <w:t>3.5、最大管电流≥100mA。</w:t>
            </w:r>
          </w:p>
          <w:p>
            <w:pPr>
              <w:pStyle w:val="null3"/>
              <w:ind w:firstLine="480"/>
              <w:jc w:val="both"/>
            </w:pPr>
            <w:r>
              <w:rPr>
                <w:rFonts w:ascii="仿宋_GB2312" w:hAnsi="仿宋_GB2312" w:cs="仿宋_GB2312" w:eastAsia="仿宋_GB2312"/>
                <w:sz w:val="24"/>
              </w:rPr>
              <w:t>4、X射线管组件</w:t>
            </w:r>
          </w:p>
          <w:p>
            <w:pPr>
              <w:pStyle w:val="null3"/>
              <w:ind w:firstLine="480"/>
              <w:jc w:val="both"/>
            </w:pPr>
            <w:r>
              <w:rPr>
                <w:rFonts w:ascii="仿宋_GB2312" w:hAnsi="仿宋_GB2312" w:cs="仿宋_GB2312" w:eastAsia="仿宋_GB2312"/>
                <w:sz w:val="24"/>
              </w:rPr>
              <w:t>4.1、双焦点：具备。</w:t>
            </w:r>
          </w:p>
          <w:p>
            <w:pPr>
              <w:pStyle w:val="null3"/>
              <w:ind w:firstLine="480"/>
              <w:jc w:val="both"/>
            </w:pPr>
            <w:r>
              <w:rPr>
                <w:rFonts w:ascii="仿宋_GB2312" w:hAnsi="仿宋_GB2312" w:cs="仿宋_GB2312" w:eastAsia="仿宋_GB2312"/>
                <w:sz w:val="24"/>
              </w:rPr>
              <w:t>4.2、小焦点≤0.3mm。</w:t>
            </w:r>
          </w:p>
          <w:p>
            <w:pPr>
              <w:pStyle w:val="null3"/>
              <w:ind w:firstLine="480"/>
              <w:jc w:val="both"/>
            </w:pPr>
            <w:r>
              <w:rPr>
                <w:rFonts w:ascii="仿宋_GB2312" w:hAnsi="仿宋_GB2312" w:cs="仿宋_GB2312" w:eastAsia="仿宋_GB2312"/>
                <w:sz w:val="24"/>
              </w:rPr>
              <w:t>4.3、大焦点≤0.6mm。</w:t>
            </w:r>
          </w:p>
          <w:p>
            <w:pPr>
              <w:pStyle w:val="null3"/>
              <w:ind w:firstLine="480"/>
              <w:jc w:val="both"/>
            </w:pPr>
            <w:r>
              <w:rPr>
                <w:rFonts w:ascii="仿宋_GB2312" w:hAnsi="仿宋_GB2312" w:cs="仿宋_GB2312" w:eastAsia="仿宋_GB2312"/>
                <w:sz w:val="24"/>
              </w:rPr>
              <w:t>▲4.4、阳极类型：旋转阳极。</w:t>
            </w:r>
          </w:p>
          <w:p>
            <w:pPr>
              <w:pStyle w:val="null3"/>
              <w:ind w:firstLine="480"/>
              <w:jc w:val="both"/>
            </w:pPr>
            <w:r>
              <w:rPr>
                <w:rFonts w:ascii="仿宋_GB2312" w:hAnsi="仿宋_GB2312" w:cs="仿宋_GB2312" w:eastAsia="仿宋_GB2312"/>
                <w:sz w:val="24"/>
              </w:rPr>
              <w:t>4.5、最大阳极连续热耗散：≥20kHU/min。</w:t>
            </w:r>
          </w:p>
          <w:p>
            <w:pPr>
              <w:pStyle w:val="null3"/>
              <w:ind w:firstLine="480"/>
              <w:jc w:val="both"/>
            </w:pPr>
            <w:r>
              <w:rPr>
                <w:rFonts w:ascii="仿宋_GB2312" w:hAnsi="仿宋_GB2312" w:cs="仿宋_GB2312" w:eastAsia="仿宋_GB2312"/>
                <w:sz w:val="24"/>
              </w:rPr>
              <w:t>▲4.6、阳极</w:t>
            </w:r>
            <w:r>
              <w:rPr>
                <w:rFonts w:ascii="仿宋_GB2312" w:hAnsi="仿宋_GB2312" w:cs="仿宋_GB2312" w:eastAsia="仿宋_GB2312"/>
                <w:sz w:val="24"/>
              </w:rPr>
              <w:t>热容量</w:t>
            </w:r>
            <w:r>
              <w:rPr>
                <w:rFonts w:ascii="仿宋_GB2312" w:hAnsi="仿宋_GB2312" w:cs="仿宋_GB2312" w:eastAsia="仿宋_GB2312"/>
                <w:sz w:val="24"/>
              </w:rPr>
              <w:t>：</w:t>
            </w:r>
            <w:r>
              <w:rPr>
                <w:rFonts w:ascii="仿宋_GB2312" w:hAnsi="仿宋_GB2312" w:cs="仿宋_GB2312" w:eastAsia="仿宋_GB2312"/>
                <w:sz w:val="24"/>
              </w:rPr>
              <w:t>≥200kHU</w:t>
            </w:r>
          </w:p>
          <w:p>
            <w:pPr>
              <w:pStyle w:val="null3"/>
              <w:ind w:firstLine="480"/>
              <w:jc w:val="both"/>
            </w:pPr>
            <w:r>
              <w:rPr>
                <w:rFonts w:ascii="仿宋_GB2312" w:hAnsi="仿宋_GB2312" w:cs="仿宋_GB2312" w:eastAsia="仿宋_GB2312"/>
                <w:sz w:val="24"/>
              </w:rPr>
              <w:t>4.7、靶面角度≤10°。</w:t>
            </w:r>
          </w:p>
          <w:p>
            <w:pPr>
              <w:pStyle w:val="null3"/>
              <w:ind w:firstLine="480"/>
              <w:jc w:val="both"/>
            </w:pPr>
            <w:r>
              <w:rPr>
                <w:rFonts w:ascii="仿宋_GB2312" w:hAnsi="仿宋_GB2312" w:cs="仿宋_GB2312" w:eastAsia="仿宋_GB2312"/>
                <w:sz w:val="24"/>
              </w:rPr>
              <w:t>5、平板探测器</w:t>
            </w:r>
          </w:p>
          <w:p>
            <w:pPr>
              <w:pStyle w:val="null3"/>
              <w:ind w:firstLine="480"/>
              <w:jc w:val="both"/>
            </w:pPr>
            <w:r>
              <w:rPr>
                <w:rFonts w:ascii="仿宋_GB2312" w:hAnsi="仿宋_GB2312" w:cs="仿宋_GB2312" w:eastAsia="仿宋_GB2312"/>
                <w:sz w:val="24"/>
              </w:rPr>
              <w:t>▲5.1、探测器材质为CMOS或IGZO。</w:t>
            </w:r>
          </w:p>
          <w:p>
            <w:pPr>
              <w:pStyle w:val="null3"/>
              <w:ind w:firstLine="480"/>
              <w:jc w:val="both"/>
            </w:pPr>
            <w:r>
              <w:rPr>
                <w:rFonts w:ascii="仿宋_GB2312" w:hAnsi="仿宋_GB2312" w:cs="仿宋_GB2312" w:eastAsia="仿宋_GB2312"/>
                <w:sz w:val="24"/>
              </w:rPr>
              <w:t>▲5.2、像素尺寸≤150µm。</w:t>
            </w:r>
          </w:p>
          <w:p>
            <w:pPr>
              <w:pStyle w:val="null3"/>
              <w:ind w:firstLine="480"/>
              <w:jc w:val="both"/>
            </w:pPr>
            <w:r>
              <w:rPr>
                <w:rFonts w:ascii="仿宋_GB2312" w:hAnsi="仿宋_GB2312" w:cs="仿宋_GB2312" w:eastAsia="仿宋_GB2312"/>
                <w:sz w:val="24"/>
              </w:rPr>
              <w:t>▲5.3、采集矩阵≥2000×2000。</w:t>
            </w:r>
          </w:p>
          <w:p>
            <w:pPr>
              <w:pStyle w:val="null3"/>
              <w:ind w:firstLine="480"/>
              <w:jc w:val="both"/>
            </w:pPr>
            <w:r>
              <w:rPr>
                <w:rFonts w:ascii="仿宋_GB2312" w:hAnsi="仿宋_GB2312" w:cs="仿宋_GB2312" w:eastAsia="仿宋_GB2312"/>
                <w:sz w:val="24"/>
              </w:rPr>
              <w:t>5.4、成像区域≥30cm×30cm。</w:t>
            </w:r>
          </w:p>
          <w:p>
            <w:pPr>
              <w:pStyle w:val="null3"/>
              <w:ind w:firstLine="480"/>
              <w:jc w:val="both"/>
            </w:pPr>
            <w:r>
              <w:rPr>
                <w:rFonts w:ascii="仿宋_GB2312" w:hAnsi="仿宋_GB2312" w:cs="仿宋_GB2312" w:eastAsia="仿宋_GB2312"/>
                <w:sz w:val="24"/>
              </w:rPr>
              <w:t>5.5、位深≥16bits。</w:t>
            </w:r>
          </w:p>
          <w:p>
            <w:pPr>
              <w:pStyle w:val="null3"/>
              <w:ind w:firstLine="480"/>
              <w:jc w:val="both"/>
            </w:pPr>
            <w:r>
              <w:rPr>
                <w:rFonts w:ascii="仿宋_GB2312" w:hAnsi="仿宋_GB2312" w:cs="仿宋_GB2312" w:eastAsia="仿宋_GB2312"/>
                <w:sz w:val="24"/>
              </w:rPr>
              <w:t>6、激光灯</w:t>
            </w:r>
          </w:p>
          <w:p>
            <w:pPr>
              <w:pStyle w:val="null3"/>
              <w:ind w:firstLine="480"/>
              <w:jc w:val="both"/>
            </w:pPr>
            <w:r>
              <w:rPr>
                <w:rFonts w:ascii="仿宋_GB2312" w:hAnsi="仿宋_GB2312" w:cs="仿宋_GB2312" w:eastAsia="仿宋_GB2312"/>
                <w:sz w:val="24"/>
              </w:rPr>
              <w:t>6.1、十字激光灯：球管端、平板探测器端均配置激光灯。</w:t>
            </w:r>
          </w:p>
          <w:p>
            <w:pPr>
              <w:pStyle w:val="null3"/>
              <w:ind w:firstLine="480"/>
              <w:jc w:val="both"/>
            </w:pPr>
            <w:r>
              <w:rPr>
                <w:rFonts w:ascii="仿宋_GB2312" w:hAnsi="仿宋_GB2312" w:cs="仿宋_GB2312" w:eastAsia="仿宋_GB2312"/>
                <w:sz w:val="24"/>
              </w:rPr>
              <w:t>7、影像及控制工作站</w:t>
            </w:r>
          </w:p>
          <w:p>
            <w:pPr>
              <w:pStyle w:val="null3"/>
              <w:ind w:firstLine="480"/>
              <w:jc w:val="both"/>
            </w:pPr>
            <w:r>
              <w:rPr>
                <w:rFonts w:ascii="仿宋_GB2312" w:hAnsi="仿宋_GB2312" w:cs="仿宋_GB2312" w:eastAsia="仿宋_GB2312"/>
                <w:sz w:val="24"/>
              </w:rPr>
              <w:t>7.1、CPU：≥4核。</w:t>
            </w:r>
          </w:p>
          <w:p>
            <w:pPr>
              <w:pStyle w:val="null3"/>
              <w:ind w:firstLine="480"/>
              <w:jc w:val="both"/>
            </w:pPr>
            <w:r>
              <w:rPr>
                <w:rFonts w:ascii="仿宋_GB2312" w:hAnsi="仿宋_GB2312" w:cs="仿宋_GB2312" w:eastAsia="仿宋_GB2312"/>
                <w:sz w:val="24"/>
              </w:rPr>
              <w:t>7.2、运行内存≥16GB。</w:t>
            </w:r>
          </w:p>
          <w:p>
            <w:pPr>
              <w:pStyle w:val="null3"/>
              <w:ind w:firstLine="480"/>
              <w:jc w:val="both"/>
            </w:pPr>
            <w:r>
              <w:rPr>
                <w:rFonts w:ascii="仿宋_GB2312" w:hAnsi="仿宋_GB2312" w:cs="仿宋_GB2312" w:eastAsia="仿宋_GB2312"/>
                <w:sz w:val="24"/>
              </w:rPr>
              <w:t>7.3、硬盘≥128GB。</w:t>
            </w:r>
          </w:p>
          <w:p>
            <w:pPr>
              <w:pStyle w:val="null3"/>
              <w:ind w:firstLine="480"/>
              <w:jc w:val="both"/>
            </w:pPr>
            <w:r>
              <w:rPr>
                <w:rFonts w:ascii="仿宋_GB2312" w:hAnsi="仿宋_GB2312" w:cs="仿宋_GB2312" w:eastAsia="仿宋_GB2312"/>
                <w:sz w:val="24"/>
              </w:rPr>
              <w:t>7.4、触摸控制屏尺寸≥13英寸。</w:t>
            </w:r>
          </w:p>
          <w:p>
            <w:pPr>
              <w:pStyle w:val="null3"/>
              <w:ind w:firstLine="480"/>
              <w:jc w:val="both"/>
            </w:pPr>
            <w:r>
              <w:rPr>
                <w:rFonts w:ascii="仿宋_GB2312" w:hAnsi="仿宋_GB2312" w:cs="仿宋_GB2312" w:eastAsia="仿宋_GB2312"/>
                <w:sz w:val="24"/>
              </w:rPr>
              <w:t>7.5、触摸控制屏尺寸分辨率≥1920×1080。</w:t>
            </w:r>
          </w:p>
          <w:p>
            <w:pPr>
              <w:pStyle w:val="null3"/>
              <w:ind w:firstLine="480"/>
              <w:jc w:val="both"/>
            </w:pPr>
            <w:r>
              <w:rPr>
                <w:rFonts w:ascii="仿宋_GB2312" w:hAnsi="仿宋_GB2312" w:cs="仿宋_GB2312" w:eastAsia="仿宋_GB2312"/>
                <w:sz w:val="24"/>
              </w:rPr>
              <w:t>7.6、C形臂机身配备医用显示设备装置；医用显示设备屏幕尺寸≥24英寸。</w:t>
            </w:r>
          </w:p>
          <w:p>
            <w:pPr>
              <w:pStyle w:val="null3"/>
              <w:ind w:firstLine="480"/>
              <w:jc w:val="both"/>
            </w:pPr>
            <w:r>
              <w:rPr>
                <w:rFonts w:ascii="仿宋_GB2312" w:hAnsi="仿宋_GB2312" w:cs="仿宋_GB2312" w:eastAsia="仿宋_GB2312"/>
                <w:sz w:val="24"/>
              </w:rPr>
              <w:t>7.7、医用显示设备像素≥2560×1440。</w:t>
            </w:r>
          </w:p>
          <w:p>
            <w:pPr>
              <w:pStyle w:val="null3"/>
              <w:ind w:firstLine="480"/>
              <w:jc w:val="both"/>
            </w:pPr>
            <w:r>
              <w:rPr>
                <w:rFonts w:ascii="仿宋_GB2312" w:hAnsi="仿宋_GB2312" w:cs="仿宋_GB2312" w:eastAsia="仿宋_GB2312"/>
                <w:sz w:val="24"/>
              </w:rPr>
              <w:t>7.8、医用显示设备最高亮度≥350cd/m</w:t>
            </w:r>
            <w:r>
              <w:rPr>
                <w:rFonts w:ascii="仿宋_GB2312" w:hAnsi="仿宋_GB2312" w:cs="仿宋_GB2312" w:eastAsia="仿宋_GB2312"/>
                <w:sz w:val="24"/>
                <w:vertAlign w:val="superscript"/>
              </w:rPr>
              <w:t>2</w:t>
            </w:r>
          </w:p>
          <w:p>
            <w:pPr>
              <w:pStyle w:val="null3"/>
              <w:ind w:firstLine="480"/>
              <w:jc w:val="both"/>
            </w:pPr>
            <w:r>
              <w:rPr>
                <w:rFonts w:ascii="仿宋_GB2312" w:hAnsi="仿宋_GB2312" w:cs="仿宋_GB2312" w:eastAsia="仿宋_GB2312"/>
                <w:sz w:val="24"/>
              </w:rPr>
              <w:t>8、患者管理</w:t>
            </w:r>
          </w:p>
          <w:p>
            <w:pPr>
              <w:pStyle w:val="null3"/>
              <w:ind w:firstLine="480"/>
              <w:jc w:val="both"/>
            </w:pPr>
            <w:r>
              <w:rPr>
                <w:rFonts w:ascii="仿宋_GB2312" w:hAnsi="仿宋_GB2312" w:cs="仿宋_GB2312" w:eastAsia="仿宋_GB2312"/>
                <w:sz w:val="24"/>
              </w:rPr>
              <w:t>8.1、支持DICOM Worklist功能，从HIS或RIS导入患者注册信息。</w:t>
            </w:r>
          </w:p>
          <w:p>
            <w:pPr>
              <w:pStyle w:val="null3"/>
              <w:ind w:firstLine="480"/>
              <w:jc w:val="both"/>
            </w:pPr>
            <w:r>
              <w:rPr>
                <w:rFonts w:ascii="仿宋_GB2312" w:hAnsi="仿宋_GB2312" w:cs="仿宋_GB2312" w:eastAsia="仿宋_GB2312"/>
                <w:sz w:val="24"/>
              </w:rPr>
              <w:t>8.2、用户可选开机自动注册紧急患者或者手动注册紧急患者，以快速完成患者注册，预登记患者相关信息，完成本地患者注册。</w:t>
            </w:r>
          </w:p>
          <w:p>
            <w:pPr>
              <w:pStyle w:val="null3"/>
              <w:ind w:firstLine="480"/>
              <w:jc w:val="both"/>
            </w:pPr>
            <w:r>
              <w:rPr>
                <w:rFonts w:ascii="仿宋_GB2312" w:hAnsi="仿宋_GB2312" w:cs="仿宋_GB2312" w:eastAsia="仿宋_GB2312"/>
                <w:sz w:val="24"/>
              </w:rPr>
              <w:t>8.3、支持对患者信息的复制，粘贴，删除，保护设置，修改患者信息，排序，查询患者，打印图像，通过USB接口和DICOM接口导入导出患者数据等功能。</w:t>
            </w:r>
          </w:p>
          <w:p>
            <w:pPr>
              <w:pStyle w:val="null3"/>
              <w:ind w:firstLine="480"/>
              <w:jc w:val="both"/>
            </w:pPr>
            <w:r>
              <w:rPr>
                <w:rFonts w:ascii="仿宋_GB2312" w:hAnsi="仿宋_GB2312" w:cs="仿宋_GB2312" w:eastAsia="仿宋_GB2312"/>
                <w:sz w:val="24"/>
              </w:rPr>
              <w:t>8.4、支持DICOM3.0标准。</w:t>
            </w:r>
          </w:p>
          <w:p>
            <w:pPr>
              <w:pStyle w:val="null3"/>
              <w:ind w:firstLine="480"/>
              <w:jc w:val="both"/>
            </w:pPr>
            <w:r>
              <w:rPr>
                <w:rFonts w:ascii="仿宋_GB2312" w:hAnsi="仿宋_GB2312" w:cs="仿宋_GB2312" w:eastAsia="仿宋_GB2312"/>
                <w:sz w:val="24"/>
              </w:rPr>
              <w:t>9、图像采集处理功能</w:t>
            </w:r>
          </w:p>
          <w:p>
            <w:pPr>
              <w:pStyle w:val="null3"/>
              <w:ind w:firstLine="480"/>
              <w:jc w:val="both"/>
            </w:pPr>
            <w:r>
              <w:rPr>
                <w:rFonts w:ascii="仿宋_GB2312" w:hAnsi="仿宋_GB2312" w:cs="仿宋_GB2312" w:eastAsia="仿宋_GB2312"/>
                <w:sz w:val="24"/>
              </w:rPr>
              <w:t>9.1、最大脉冲频率≥30fps。</w:t>
            </w:r>
          </w:p>
          <w:p>
            <w:pPr>
              <w:pStyle w:val="null3"/>
              <w:ind w:firstLine="480"/>
              <w:jc w:val="both"/>
            </w:pPr>
            <w:r>
              <w:rPr>
                <w:rFonts w:ascii="仿宋_GB2312" w:hAnsi="仿宋_GB2312" w:cs="仿宋_GB2312" w:eastAsia="仿宋_GB2312"/>
                <w:sz w:val="24"/>
              </w:rPr>
              <w:t>9.2、最小脉冲频率≤0.5fps。</w:t>
            </w:r>
          </w:p>
          <w:p>
            <w:pPr>
              <w:pStyle w:val="null3"/>
              <w:ind w:firstLine="480"/>
              <w:jc w:val="both"/>
            </w:pPr>
            <w:r>
              <w:rPr>
                <w:rFonts w:ascii="仿宋_GB2312" w:hAnsi="仿宋_GB2312" w:cs="仿宋_GB2312" w:eastAsia="仿宋_GB2312"/>
                <w:sz w:val="24"/>
              </w:rPr>
              <w:t>9.3、全自动曝光控制技术：可以全自动实时调整曝光参数。</w:t>
            </w:r>
          </w:p>
          <w:p>
            <w:pPr>
              <w:pStyle w:val="null3"/>
              <w:ind w:firstLine="480"/>
              <w:jc w:val="both"/>
            </w:pPr>
            <w:r>
              <w:rPr>
                <w:rFonts w:ascii="仿宋_GB2312" w:hAnsi="仿宋_GB2312" w:cs="仿宋_GB2312" w:eastAsia="仿宋_GB2312"/>
                <w:sz w:val="24"/>
              </w:rPr>
              <w:t>▲9.4、3D容积尺寸≥190mm（长）×190mm（宽）×190mm（高）。</w:t>
            </w:r>
          </w:p>
          <w:p>
            <w:pPr>
              <w:pStyle w:val="null3"/>
              <w:ind w:firstLine="480"/>
              <w:jc w:val="both"/>
            </w:pPr>
            <w:r>
              <w:rPr>
                <w:rFonts w:ascii="仿宋_GB2312" w:hAnsi="仿宋_GB2312" w:cs="仿宋_GB2312" w:eastAsia="仿宋_GB2312"/>
                <w:sz w:val="24"/>
              </w:rPr>
              <w:t>9.5、3D扫描采集时间≤30s。</w:t>
            </w:r>
          </w:p>
          <w:p>
            <w:pPr>
              <w:pStyle w:val="null3"/>
              <w:ind w:firstLine="480"/>
              <w:jc w:val="both"/>
            </w:pPr>
            <w:r>
              <w:rPr>
                <w:rFonts w:ascii="仿宋_GB2312" w:hAnsi="仿宋_GB2312" w:cs="仿宋_GB2312" w:eastAsia="仿宋_GB2312"/>
                <w:sz w:val="24"/>
              </w:rPr>
              <w:t>9.6、自动LUT图像处理技术：自动分析图像灰度的分布特征，采用有所区别的图像算法，获得视觉效果一致的清晰图像。</w:t>
            </w:r>
          </w:p>
          <w:p>
            <w:pPr>
              <w:pStyle w:val="null3"/>
              <w:ind w:firstLine="480"/>
              <w:jc w:val="both"/>
            </w:pPr>
            <w:r>
              <w:rPr>
                <w:rFonts w:ascii="仿宋_GB2312" w:hAnsi="仿宋_GB2312" w:cs="仿宋_GB2312" w:eastAsia="仿宋_GB2312"/>
                <w:sz w:val="24"/>
              </w:rPr>
              <w:t>9.7、双模脚闸：左踏板透视功能，右踏板摄影功能。</w:t>
            </w:r>
          </w:p>
          <w:p>
            <w:pPr>
              <w:pStyle w:val="null3"/>
              <w:ind w:firstLine="480"/>
              <w:jc w:val="both"/>
            </w:pPr>
            <w:r>
              <w:rPr>
                <w:rFonts w:ascii="仿宋_GB2312" w:hAnsi="仿宋_GB2312" w:cs="仿宋_GB2312" w:eastAsia="仿宋_GB2312"/>
                <w:sz w:val="24"/>
              </w:rPr>
              <w:t>9.8、重建工具：系统可重建出断层图像和表面渲染图像。</w:t>
            </w:r>
          </w:p>
          <w:p>
            <w:pPr>
              <w:pStyle w:val="null3"/>
              <w:ind w:firstLine="480"/>
              <w:jc w:val="both"/>
            </w:pPr>
            <w:r>
              <w:rPr>
                <w:rFonts w:ascii="仿宋_GB2312" w:hAnsi="仿宋_GB2312" w:cs="仿宋_GB2312" w:eastAsia="仿宋_GB2312"/>
                <w:sz w:val="24"/>
              </w:rPr>
              <w:t>9.9、具备R/L标记、文本注释功能。</w:t>
            </w:r>
          </w:p>
          <w:p>
            <w:pPr>
              <w:pStyle w:val="null3"/>
              <w:ind w:firstLine="480"/>
              <w:jc w:val="both"/>
            </w:pPr>
            <w:r>
              <w:rPr>
                <w:rFonts w:ascii="仿宋_GB2312" w:hAnsi="仿宋_GB2312" w:cs="仿宋_GB2312" w:eastAsia="仿宋_GB2312"/>
                <w:sz w:val="24"/>
              </w:rPr>
              <w:t>9.10、具备距离、角度测量功能。</w:t>
            </w:r>
          </w:p>
          <w:p>
            <w:pPr>
              <w:pStyle w:val="null3"/>
              <w:ind w:firstLine="480"/>
              <w:jc w:val="both"/>
            </w:pPr>
            <w:r>
              <w:rPr>
                <w:rFonts w:ascii="仿宋_GB2312" w:hAnsi="仿宋_GB2312" w:cs="仿宋_GB2312" w:eastAsia="仿宋_GB2312"/>
                <w:sz w:val="24"/>
              </w:rPr>
              <w:t>9.11、具备窗宽窗位调节、灰阶翻转、平滑锐化功能。</w:t>
            </w:r>
          </w:p>
          <w:p>
            <w:pPr>
              <w:pStyle w:val="null3"/>
              <w:ind w:firstLine="480"/>
              <w:jc w:val="both"/>
            </w:pPr>
            <w:r>
              <w:rPr>
                <w:rFonts w:ascii="仿宋_GB2312" w:hAnsi="仿宋_GB2312" w:cs="仿宋_GB2312" w:eastAsia="仿宋_GB2312"/>
                <w:sz w:val="24"/>
              </w:rPr>
              <w:t>9.12、具备去金属伪影功能。</w:t>
            </w:r>
          </w:p>
          <w:p>
            <w:pPr>
              <w:pStyle w:val="null3"/>
              <w:ind w:firstLine="480"/>
              <w:jc w:val="both"/>
            </w:pPr>
            <w:r>
              <w:rPr>
                <w:rFonts w:ascii="仿宋_GB2312" w:hAnsi="仿宋_GB2312" w:cs="仿宋_GB2312" w:eastAsia="仿宋_GB2312"/>
                <w:sz w:val="24"/>
              </w:rPr>
              <w:t>10、操作功能</w:t>
            </w:r>
          </w:p>
          <w:p>
            <w:pPr>
              <w:pStyle w:val="null3"/>
              <w:ind w:firstLine="480"/>
              <w:jc w:val="both"/>
            </w:pPr>
            <w:r>
              <w:rPr>
                <w:rFonts w:ascii="仿宋_GB2312" w:hAnsi="仿宋_GB2312" w:cs="仿宋_GB2312" w:eastAsia="仿宋_GB2312"/>
                <w:sz w:val="24"/>
              </w:rPr>
              <w:t>10.1、具备中文操作界面。</w:t>
            </w:r>
          </w:p>
          <w:p>
            <w:pPr>
              <w:pStyle w:val="null3"/>
              <w:ind w:firstLine="480"/>
              <w:jc w:val="both"/>
            </w:pPr>
            <w:r>
              <w:rPr>
                <w:rFonts w:ascii="仿宋_GB2312" w:hAnsi="仿宋_GB2312" w:cs="仿宋_GB2312" w:eastAsia="仿宋_GB2312"/>
                <w:sz w:val="24"/>
              </w:rPr>
              <w:t>10.2、C形臂摆位可以进行电动控制和手动控制。</w:t>
            </w:r>
          </w:p>
          <w:p>
            <w:pPr>
              <w:pStyle w:val="null3"/>
              <w:ind w:firstLine="480"/>
              <w:jc w:val="both"/>
            </w:pPr>
            <w:r>
              <w:rPr>
                <w:rFonts w:ascii="仿宋_GB2312" w:hAnsi="仿宋_GB2312" w:cs="仿宋_GB2312" w:eastAsia="仿宋_GB2312"/>
                <w:sz w:val="24"/>
              </w:rPr>
              <w:t>10.3、电磁解锁控制的运动方向：滑转运动、轴向旋转运动、水平运动。</w:t>
            </w:r>
          </w:p>
          <w:p>
            <w:pPr>
              <w:pStyle w:val="null3"/>
              <w:ind w:firstLine="480"/>
              <w:jc w:val="both"/>
            </w:pPr>
            <w:r>
              <w:rPr>
                <w:rFonts w:ascii="仿宋_GB2312" w:hAnsi="仿宋_GB2312" w:cs="仿宋_GB2312" w:eastAsia="仿宋_GB2312"/>
                <w:sz w:val="24"/>
              </w:rPr>
              <w:t>10.4、可手动控制C臂环进行滑转运动、轴向旋转运动、水平运动、摆动运动。</w:t>
            </w:r>
          </w:p>
          <w:p>
            <w:pPr>
              <w:pStyle w:val="null3"/>
              <w:ind w:firstLine="480"/>
              <w:jc w:val="both"/>
            </w:pPr>
            <w:r>
              <w:rPr>
                <w:rFonts w:ascii="仿宋_GB2312" w:hAnsi="仿宋_GB2312" w:cs="仿宋_GB2312" w:eastAsia="仿宋_GB2312"/>
                <w:sz w:val="24"/>
              </w:rPr>
              <w:t>10.5、可电动控制C臂环进行滑转运动、垂直运动、水平运动。</w:t>
            </w:r>
          </w:p>
          <w:p>
            <w:pPr>
              <w:pStyle w:val="null3"/>
              <w:ind w:firstLine="480"/>
              <w:jc w:val="both"/>
            </w:pPr>
            <w:r>
              <w:rPr>
                <w:rFonts w:ascii="仿宋_GB2312" w:hAnsi="仿宋_GB2312" w:cs="仿宋_GB2312" w:eastAsia="仿宋_GB2312"/>
                <w:sz w:val="24"/>
              </w:rPr>
              <w:t>10.6、可使用触控屏进行图像后处理操作。</w:t>
            </w:r>
          </w:p>
          <w:p>
            <w:pPr>
              <w:pStyle w:val="null3"/>
              <w:ind w:firstLine="480"/>
              <w:jc w:val="both"/>
            </w:pPr>
            <w:r>
              <w:rPr>
                <w:rFonts w:ascii="仿宋_GB2312" w:hAnsi="仿宋_GB2312" w:cs="仿宋_GB2312" w:eastAsia="仿宋_GB2312"/>
                <w:sz w:val="24"/>
              </w:rPr>
              <w:t>10.7、可使用手闸进行曝光。</w:t>
            </w:r>
          </w:p>
          <w:p>
            <w:pPr>
              <w:pStyle w:val="null3"/>
              <w:ind w:firstLine="480"/>
              <w:jc w:val="both"/>
            </w:pPr>
            <w:r>
              <w:rPr>
                <w:rFonts w:ascii="仿宋_GB2312" w:hAnsi="仿宋_GB2312" w:cs="仿宋_GB2312" w:eastAsia="仿宋_GB2312"/>
                <w:sz w:val="24"/>
              </w:rPr>
              <w:t>10.8、具备标准脚踏开关进行曝光。</w:t>
            </w:r>
          </w:p>
          <w:p>
            <w:pPr>
              <w:pStyle w:val="null3"/>
              <w:ind w:firstLine="480"/>
              <w:jc w:val="both"/>
            </w:pPr>
            <w:r>
              <w:rPr>
                <w:rFonts w:ascii="仿宋_GB2312" w:hAnsi="仿宋_GB2312" w:cs="仿宋_GB2312" w:eastAsia="仿宋_GB2312"/>
                <w:sz w:val="24"/>
              </w:rPr>
              <w:t>10.9、触摸屏可与台车显示器同步显示图像。</w:t>
            </w:r>
          </w:p>
          <w:p>
            <w:pPr>
              <w:pStyle w:val="null3"/>
              <w:ind w:firstLine="480"/>
              <w:jc w:val="both"/>
            </w:pPr>
            <w:r>
              <w:rPr>
                <w:rFonts w:ascii="仿宋_GB2312" w:hAnsi="仿宋_GB2312" w:cs="仿宋_GB2312" w:eastAsia="仿宋_GB2312"/>
                <w:sz w:val="24"/>
              </w:rPr>
              <w:t>★11、配置清单</w:t>
            </w:r>
          </w:p>
          <w:tbl>
            <w:tblPr>
              <w:tblInd w:type="dxa" w:w="240"/>
              <w:tblBorders>
                <w:top w:val="none" w:color="000000" w:sz="4"/>
                <w:left w:val="none" w:color="000000" w:sz="4"/>
                <w:bottom w:val="none" w:color="000000" w:sz="4"/>
                <w:right w:val="none" w:color="000000" w:sz="4"/>
                <w:insideH w:val="none"/>
                <w:insideV w:val="none"/>
              </w:tblBorders>
            </w:tblPr>
            <w:tblGrid>
              <w:gridCol w:w="807"/>
              <w:gridCol w:w="2721"/>
              <w:gridCol w:w="2070"/>
            </w:tblGrid>
            <w:tr>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数量及单位</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一体化</w:t>
                  </w:r>
                  <w:r>
                    <w:rPr>
                      <w:rFonts w:ascii="仿宋_GB2312" w:hAnsi="仿宋_GB2312" w:cs="仿宋_GB2312" w:eastAsia="仿宋_GB2312"/>
                      <w:sz w:val="24"/>
                    </w:rPr>
                    <w:t>C臂机架</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平板探测器</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球管组件</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限束器</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激光灯套装</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影像工作站</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医用显示设备</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w:t>
                  </w:r>
                  <w:r>
                    <w:rPr>
                      <w:rFonts w:ascii="仿宋_GB2312" w:hAnsi="仿宋_GB2312" w:cs="仿宋_GB2312" w:eastAsia="仿宋_GB2312"/>
                      <w:sz w:val="24"/>
                    </w:rPr>
                    <w:t>触摸控制显示屏</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配套操作系统</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三维成像功能</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480"/>
              <w:jc w:val="both"/>
            </w:pPr>
            <w:r>
              <w:rPr>
                <w:rFonts w:ascii="仿宋_GB2312" w:hAnsi="仿宋_GB2312" w:cs="仿宋_GB2312" w:eastAsia="仿宋_GB2312"/>
                <w:sz w:val="24"/>
                <w:color w:val="000000"/>
              </w:rPr>
              <w:t>1、人员培训：</w:t>
            </w:r>
            <w:r>
              <w:rPr>
                <w:rFonts w:ascii="仿宋_GB2312" w:hAnsi="仿宋_GB2312" w:cs="仿宋_GB2312" w:eastAsia="仿宋_GB2312"/>
                <w:sz w:val="24"/>
                <w:color w:val="000000"/>
              </w:rPr>
              <w:t>委派专业工程师到对采购人</w:t>
            </w:r>
            <w:r>
              <w:rPr>
                <w:rFonts w:ascii="仿宋_GB2312" w:hAnsi="仿宋_GB2312" w:cs="仿宋_GB2312" w:eastAsia="仿宋_GB2312"/>
                <w:sz w:val="24"/>
                <w:color w:val="000000"/>
              </w:rPr>
              <w:t>单位</w:t>
            </w:r>
            <w:r>
              <w:rPr>
                <w:rFonts w:ascii="仿宋_GB2312" w:hAnsi="仿宋_GB2312" w:cs="仿宋_GB2312" w:eastAsia="仿宋_GB2312"/>
                <w:sz w:val="24"/>
                <w:color w:val="000000"/>
              </w:rPr>
              <w:t>进行系统培训，直到采购人的操作人员熟练为止，产生的费用由中标人负责。</w:t>
            </w:r>
          </w:p>
          <w:p>
            <w:pPr>
              <w:pStyle w:val="null3"/>
              <w:ind w:firstLine="480"/>
              <w:jc w:val="both"/>
            </w:pPr>
            <w:r>
              <w:rPr>
                <w:rFonts w:ascii="仿宋_GB2312" w:hAnsi="仿宋_GB2312" w:cs="仿宋_GB2312" w:eastAsia="仿宋_GB2312"/>
                <w:sz w:val="24"/>
                <w:color w:val="000000"/>
              </w:rPr>
              <w:t>2、设备主机设计使用寿</w:t>
            </w:r>
            <w:r>
              <w:rPr>
                <w:rFonts w:ascii="仿宋_GB2312" w:hAnsi="仿宋_GB2312" w:cs="仿宋_GB2312" w:eastAsia="仿宋_GB2312"/>
                <w:sz w:val="24"/>
                <w:color w:val="000000"/>
              </w:rPr>
              <w:t>命</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年</w:t>
            </w:r>
            <w:r>
              <w:rPr>
                <w:rFonts w:ascii="仿宋_GB2312" w:hAnsi="仿宋_GB2312" w:cs="仿宋_GB2312" w:eastAsia="仿宋_GB2312"/>
                <w:sz w:val="24"/>
                <w:b/>
                <w:color w:val="000000"/>
              </w:rPr>
              <w:t>（提供说明书或设备铭牌照片）</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3、原厂配件供应≥10年，质保期内配件更换产生所有费用由中标人承担。</w:t>
            </w:r>
            <w:r>
              <w:rPr>
                <w:rFonts w:ascii="仿宋_GB2312" w:hAnsi="仿宋_GB2312" w:cs="仿宋_GB2312" w:eastAsia="仿宋_GB2312"/>
                <w:sz w:val="24"/>
                <w:b/>
                <w:color w:val="000000"/>
              </w:rPr>
              <w:t>（需单独提供承诺函并加盖投标人公章，格式自拟）</w:t>
            </w:r>
          </w:p>
          <w:p>
            <w:pPr>
              <w:pStyle w:val="null3"/>
              <w:ind w:firstLine="480"/>
              <w:jc w:val="both"/>
            </w:pPr>
            <w:r>
              <w:rPr>
                <w:rFonts w:ascii="仿宋_GB2312" w:hAnsi="仿宋_GB2312" w:cs="仿宋_GB2312" w:eastAsia="仿宋_GB2312"/>
                <w:sz w:val="24"/>
                <w:color w:val="000000"/>
              </w:rPr>
              <w:t>4、有完善的售后服务体系，实时解决产品的问题；有专业的维修工程师团队。在中国有零部件储备仓库，能及时提供配件，保证维修速度。如一时无法修复，则提供备用产品。</w:t>
            </w:r>
          </w:p>
          <w:p>
            <w:pPr>
              <w:pStyle w:val="null3"/>
              <w:ind w:firstLine="480"/>
              <w:jc w:val="both"/>
            </w:pPr>
            <w:r>
              <w:rPr>
                <w:rFonts w:ascii="仿宋_GB2312" w:hAnsi="仿宋_GB2312" w:cs="仿宋_GB2312" w:eastAsia="仿宋_GB2312"/>
                <w:sz w:val="24"/>
                <w:color w:val="000000"/>
              </w:rPr>
              <w:t>5、设备必须是交货验收日期前1年内生产的设备。</w:t>
            </w:r>
          </w:p>
          <w:p>
            <w:pPr>
              <w:pStyle w:val="null3"/>
              <w:ind w:firstLine="480"/>
              <w:jc w:val="both"/>
            </w:pPr>
            <w:r>
              <w:rPr>
                <w:rFonts w:ascii="仿宋_GB2312" w:hAnsi="仿宋_GB2312" w:cs="仿宋_GB2312" w:eastAsia="仿宋_GB2312"/>
                <w:sz w:val="24"/>
                <w:color w:val="000000"/>
              </w:rPr>
              <w:t>6、设备到医院安装期间（采购人验收前），设备出现故障只更换新设备不进行维修。</w:t>
            </w:r>
          </w:p>
          <w:p>
            <w:pPr>
              <w:pStyle w:val="null3"/>
              <w:ind w:firstLine="480"/>
              <w:jc w:val="both"/>
            </w:pPr>
            <w:r>
              <w:rPr>
                <w:rFonts w:ascii="仿宋_GB2312" w:hAnsi="仿宋_GB2312" w:cs="仿宋_GB2312" w:eastAsia="仿宋_GB2312"/>
                <w:sz w:val="24"/>
                <w:color w:val="000000"/>
              </w:rPr>
              <w:t>7、在接到采购人通知设备故障后应在2小时内响应，响应后48小时内到达现场处理。</w:t>
            </w:r>
            <w:r>
              <w:rPr>
                <w:rFonts w:ascii="仿宋_GB2312" w:hAnsi="仿宋_GB2312" w:cs="仿宋_GB2312" w:eastAsia="仿宋_GB2312"/>
                <w:sz w:val="24"/>
                <w:b/>
                <w:color w:val="000000"/>
              </w:rPr>
              <w:t>（需单独提供承诺函并加盖投标人公章，格式自拟）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合同签订后30天内到货。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攀枝花市中心医院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1、进度款，安装调试完成运行正常后且验收合格，供应商须向采购人出具合法有效完整的完税发票，达到付款条件起30日内，支付合同总金额的90.00%</w:t>
            </w:r>
          </w:p>
          <w:p>
            <w:pPr>
              <w:pStyle w:val="null3"/>
              <w:jc w:val="left"/>
            </w:pPr>
            <w:r>
              <w:rPr>
                <w:rFonts w:ascii="仿宋_GB2312" w:hAnsi="仿宋_GB2312" w:cs="仿宋_GB2312" w:eastAsia="仿宋_GB2312"/>
              </w:rPr>
              <w:t>2、尾款，验收之日起1年，产品仍能正常使用，供应商须向采购人出具合法有效完整的完税发票，达到付款条件起30日内，支付合同总金额的10.00%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交付标准和方法：本项目采购人将按照政府采购相关法律法规、《财政部关于进一步加强政府采购需求和履约验收管理的指导意见》（财库〔2016〕205号）以及《政府采购需求管理办法》（财库〔2021〕22号）的要求进行验收。2、验收主体：采购人。3、验收组织方式：自行验收。4、履约验收程序：一次性验收。5、履约验收时间：设备到院安装完毕正常投入使用后，供应商提出验收申请，达到验收条件起30日内，验收合同总金额的100.00%。6、验收组织的其他事项：采购人组织验收小组严格按照招标文件要求以及投标文件响应内容逐条验收，如任意一条参数与投标文件响应内容不符合，视为虚假应标，采购人拒绝验收并有权终止合同。设备由中标人自行撤离，采购人不承担任何违约责任，且保留追究中标人赔偿责任。7、技术履约验收内容：按照招标文件要求及供应商投标文件响应内容、中标产品厂家注册内容、产品说明书（如涉及）等内容进行技术验收。8、商务履约验收内容：按照招标文件商务要求及供应商响应内容进行商务履约验收。9、履约验收其他事项：双方如对质量要求和技术指标的约定标准有相互抵触或异议的事项，由采购人在招标文件和供应商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1、整机质保期不低于3年（合同签订后采购人出具验收报告之日起）； 2、若设备在整体验收后六个月内出现3次维修，中标人需在1个月内无条件更换新设备,产生的费用由中标人负责。</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1.1、供应商应按照合同规定的时间，配送并提供伴随服务。 1.2、在履行合同的过程中，如果供应商遇到妨碍按时配送和提供伴随服务的情况时，应及时以书面形式将拖延的事实、可能拖延的时间和原因通知采购人。 1.3、如供应商无正当理由拖延交货，将受到以下制裁：加收误期赔偿费或终止合同。 1.4、误期赔偿：除采购合同规定的特殊情况外，如果供应商没有按照合同规定的时间配送并提供伴随服务，采购人可从货款中扣除违约金。每延误一周的违约金为迟交货款的5%，直至交货或提供服务为止。一周按7日计算，不足7日的按一周计算。违约金的最高限额是合同总价的10%，一旦达到违约金的最高限额，采购人可以通知终止合同。供应商在支付违约金后，还应当履行应尽的交货义务。 2、争议解决办法 2.1、因采购合同引起的或与采购合同有关的任何争议，由双方当事人协商解决；也可以向有关部门申请调解。协商或调解不成，当事人可依照有关法律规定将争议提交甲方所在地有管辖权人民法院起诉。 2.2、法院地点：四川省攀枝花市东区。 2.3、上述过程发生的费用（含诉讼费、保全费、鉴定费、律师代理费等）由败诉方承担。 2.4、在进行法院审理期间，除提交法院审理的事项外，合同仍应继续履行。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（仅为评审依据，未完全满足仅按评审要求进行扣分，不影响其投标文件有效性） 1、在满足招标文件实质性要求的前提下投标人针对本项目提供项目实施方案，方案包括：①安装调试及安全质量保障方案；②应急措施，③人员培训方案。 2、在满足招标文件实质性要求的前提下投标人针对本项目提供售后服务方案，方案包括：①售后服务计划及团队分工；②售后服务质量保障措施。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事业法人：提供“统一社会信用代码法人登记证书”；未换证的提交“事业法人登记证书、组织机构代码证”；③投标人若为其他组织：提供“对应主管部门颁发的准许执业证明文件或营业执照”；④投标人若为个体工商户：提供“统一社会信用代码营业执照副本”或“营业执照、税务登记证”⑤投标人若为自然人：提供“身份证明材料”。投标人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2023年度（含）至今（任意一年度）经审计的财务报告（包含审计报告和审计报告中所涉及的财务报表和报表附注）；B、也可提供2023年度（含）至今任意一年度供应商内部的财务报表（至少包含资产负债表）；C、也可提供截止响应文件递交截止日一年内其基本开户银行出具的资信证明；D、供应商注册时间截止响应文件递交截止日不足一年的，也可提供经备案的公司章程。以上A.B.C.D均提供复印件；E、若为事业单位或其他组织(不具备法人条件的组织，如合伙组织、个体工商户、农村承包经营户等)或自然人时，则可提供具有健全的财务会计制度的承诺函（原件）。A-E项具有同等的投标效力，投标人可根据自身实际情况选择提供其中任意一项。投标人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供应商除外）。</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tc>
        <w:tc>
          <w:tcPr>
            <w:tcW w:type="dxa" w:w="3322"/>
          </w:tcPr>
          <w:p>
            <w:pPr>
              <w:pStyle w:val="null3"/>
              <w:jc w:val="left"/>
            </w:pPr>
            <w:r>
              <w:rPr>
                <w:rFonts w:ascii="仿宋_GB2312" w:hAnsi="仿宋_GB2312" w:cs="仿宋_GB2312" w:eastAsia="仿宋_GB2312"/>
              </w:rPr>
              <w:t>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异常低价响应预防措施</w:t>
            </w:r>
          </w:p>
        </w:tc>
        <w:tc>
          <w:tcPr>
            <w:tcW w:type="dxa" w:w="3322"/>
          </w:tcPr>
          <w:p>
            <w:pPr>
              <w:pStyle w:val="null3"/>
              <w:jc w:val="left"/>
            </w:pPr>
            <w:r>
              <w:rPr>
                <w:rFonts w:ascii="仿宋_GB2312" w:hAnsi="仿宋_GB2312" w:cs="仿宋_GB2312" w:eastAsia="仿宋_GB2312"/>
              </w:rPr>
              <w:t>评审过程中出现下列情形之一的，评标委员会应当启动异常低价投标（响应）审查程序：1.供应商报价低于全部通过符合性审查供应商报价平均值50%的，即报价&lt;全部通过符合性审查供应商报价平均值×50%；2.供应商报价低于通过符合性审查的次低报价供应商报价50%的，即报价&lt;通过符合性审查的次低报价供应商报价×50%；3.供应商报价低于采购包最高限价45%的，即报价&lt;采购包最高限价×45%；4.评标委员会基于专业判断，认为供应商报价过低，有可能影响产品质量或者不能诚信履约的其他情形。评标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标委员会应当将其作为无效投标（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招标文件第三章3.2.技术要求中，标注“★”的技术参数要求为实质性要求，不允许负偏离，否则视为无效投标。</w:t>
            </w:r>
          </w:p>
        </w:tc>
        <w:tc>
          <w:tcPr>
            <w:tcW w:type="dxa" w:w="1661"/>
          </w:tcPr>
          <w:p>
            <w:pPr>
              <w:pStyle w:val="null3"/>
              <w:jc w:val="left"/>
            </w:pPr>
            <w:r>
              <w:rPr>
                <w:rFonts w:ascii="仿宋_GB2312" w:hAnsi="仿宋_GB2312" w:cs="仿宋_GB2312" w:eastAsia="仿宋_GB2312"/>
              </w:rPr>
              <w:t>技术参数要求应答表.docx,售后服务要求应答表.docx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3.3.2.商务要求</w:t>
            </w:r>
          </w:p>
        </w:tc>
        <w:tc>
          <w:tcPr>
            <w:tcW w:type="dxa" w:w="3322"/>
          </w:tcPr>
          <w:p>
            <w:pPr>
              <w:pStyle w:val="null3"/>
              <w:jc w:val="left"/>
            </w:pPr>
            <w:r>
              <w:rPr>
                <w:rFonts w:ascii="仿宋_GB2312" w:hAnsi="仿宋_GB2312" w:cs="仿宋_GB2312" w:eastAsia="仿宋_GB2312"/>
              </w:rPr>
              <w:t>招标文件第三章3.3.2.商务要求中注明“★”的要求为实质性要求，不允许负偏离，否则视为无效投标。</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标委员会依据本招标文件要求的其他实质性要求，对符合资格的投标文件进行审查，以确定其是否满足本招标文件的其他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tc>
        <w:tc>
          <w:tcPr>
            <w:tcW w:type="dxa" w:w="1661"/>
          </w:tcPr>
          <w:p>
            <w:pPr>
              <w:pStyle w:val="null3"/>
              <w:jc w:val="left"/>
            </w:pPr>
            <w:r>
              <w:rPr>
                <w:rFonts w:ascii="仿宋_GB2312" w:hAnsi="仿宋_GB2312" w:cs="仿宋_GB2312" w:eastAsia="仿宋_GB2312"/>
              </w:rPr>
              <w:t>投标人应提交的相关证明材料,关于招标文件第二章中实质性要求的承诺函.docx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符合招标文件第三章的“3.2.技术要求”中“技术参数与性能指标”，没有负偏离得50分。1、带“▲”技术参数要求部分得分=满足条款数量/条款总数×39分。（注：针对带“▲”条款）；2、非带“▲”和非带“★”技术参数要求部分得分=满足条款数量/条款总数×11分。（注：针对非带“▲”和非带“★”条款）； 注：1、带“▲”的技术参数要求的证明材料若招标文件有具体要求的，按招标文件具体要求提供，否则对应技术参数条款将视为负偏离。2、带“▲”的技术参数要求的证明材料招标文件若没有具体要求的，提供以下资料中的任意一项进行佐证，否则对应技术参数条款将视为负偏离：①产品生产制造厂商公开发布的技术说明书；②投标产品彩页资料；③国家认可的第三方检验（检测）机构出具的检测（检测）报告；3、非带“▲”和非带“★”的技术要求的证明材料若招标文件有具体要求的，按要求提供。否则对应技术参数条款将视为负偏离。4、本项目技术参数要求较多，若投标人本项分值扣完，不能认定其未实质性响应。5、数量的计算：招标文件第三章的“技术参数与性能指标”中的全部技术参数要求（非实质性要求部分）条款中：“1、”、“2、”、“3、”…或“1.1、”、“2.2、”、“3.3、”最末端标号作为计算条数。（注：以最低级别编号（例如1.1；2.2…等）为一条参数，若无最低等级编号，则以上一级别编号（例如1、2、3、等）计算，以此类推。6、本项目带“▲”的技术参数要求共13条；非带“▲”和非带“★”的技术参数要求共50条。</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在满足招标文件实质性要求的前提下投标人针对本项目提供的项目实施方案进行评审，方案包括：①安装调试及安全质量保障方案；②应急措施；③人员培训方案。 涵盖以上内容且不存在缺陷得12分，在此基础上，每缺少一项内容扣4分，每有一处内容存在缺陷扣2分，扣完为止。 （“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在满足招标文件实质性要求的前提下投标人针对本项目提供的售后服务方案进行评审，方案包括①售后服务计划及团队分工；②售后服务质量保障措施。 涵盖以上内容且不存在缺陷得8分，在此基础上，每缺少一项内容扣4分，每有一处内容存在缺陷扣2分，扣完为止。 （“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满足招标文件要求且投标价格最低的报价为基准价，其价格分为满分。其他投标人的价格分统一按照下列公式计算：报价得分=(基准价／报价)×30%×100。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-20%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详见附件：关于招标文件第二章中实质性要求的承诺函.docx</w:t>
      </w:r>
    </w:p>
    <w:p>
      <w:pPr>
        <w:pStyle w:val="null3"/>
        <w:ind w:firstLine="960"/>
        <w:jc w:val="left"/>
      </w:pPr>
      <w:r>
        <w:rPr>
          <w:rFonts w:ascii="仿宋_GB2312" w:hAnsi="仿宋_GB2312" w:cs="仿宋_GB2312" w:eastAsia="仿宋_GB2312"/>
        </w:rPr>
        <w:t>详见附件：技术参数要求应答表.docx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详见附件：售后服务要求应答表.docx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