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版本号：N510129202600003520260407001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大邑县交通运输“十五五”发展规划编制服务项目(二次)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N5101292026000035</w:t>
      </w:r>
    </w:p>
    <w:p>
      <w:pPr>
        <w:pStyle w:val="null3"/>
        <w:jc w:val="left"/>
        <w:outlineLvl w:val="2"/>
      </w:pPr>
      <w:r>
        <w:rPr>
          <w:rFonts w:ascii="仿宋_GB2312" w:hAnsi="仿宋_GB2312" w:cs="仿宋_GB2312" w:eastAsia="仿宋_GB2312"/>
          <w:sz w:val="28"/>
          <w:b/>
        </w:rPr>
        <w:t>大邑县交通运输局</w:t>
      </w:r>
    </w:p>
    <w:p>
      <w:pPr>
        <w:pStyle w:val="null3"/>
        <w:jc w:val="center"/>
        <w:outlineLvl w:val="2"/>
      </w:pPr>
      <w:r>
        <w:rPr>
          <w:rFonts w:ascii="仿宋_GB2312" w:hAnsi="仿宋_GB2312" w:cs="仿宋_GB2312" w:eastAsia="仿宋_GB2312"/>
          <w:sz w:val="28"/>
          <w:b/>
        </w:rPr>
        <w:t>中锦军贤工程咨询集团有限公司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中锦军贤工程咨询集团有限公司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大邑县交通运输局</w:t>
      </w:r>
      <w:r>
        <w:rPr>
          <w:rFonts w:ascii="仿宋_GB2312" w:hAnsi="仿宋_GB2312" w:cs="仿宋_GB2312" w:eastAsia="仿宋_GB2312"/>
        </w:rPr>
        <w:t xml:space="preserve"> 委托，拟对 </w:t>
      </w:r>
      <w:r>
        <w:rPr>
          <w:rFonts w:ascii="仿宋_GB2312" w:hAnsi="仿宋_GB2312" w:cs="仿宋_GB2312" w:eastAsia="仿宋_GB2312"/>
        </w:rPr>
        <w:t>大邑县交通运输“十五五”发展规划编制服务项目(二次)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成都市大邑县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N5101292026000035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大邑县交通运输“十五五”发展规划编制服务项目(二次)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坚持以“邑达、邑畅、邑享”三大专项行动为思想统领，系统总结“十四五”综合交通运输发展成效；对标世界旅游目的地等建设目标，研究并提出“十五五”期间大邑综合交通发展的阶段性目标、核心指标及实施路径；谋划“十五五”大邑县交通运输体系建设重点举措和重大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大邑县交通运输局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四川省成都市大邑县西岭大道98号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611330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028-88282520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中锦军贤工程咨询集团有限公司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四川省成都市双流区东升街道龙桥路6号132栋7楼701号、702号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028-83119888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采购包1：940,000.00元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代理服务费收费标准：按中标价为基数参照国家计委计价[2002]1980号文收费标准下浮20%计算。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大邑县交通运输局</w:t>
      </w:r>
      <w:r>
        <w:rPr>
          <w:rFonts w:ascii="仿宋_GB2312" w:hAnsi="仿宋_GB2312" w:cs="仿宋_GB2312" w:eastAsia="仿宋_GB2312"/>
        </w:rPr>
        <w:t xml:space="preserve"> 和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大邑县交通运输局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中锦军贤工程咨询集团有限公司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按照本项目磋商文件中技术要求、成交供应商响应文件、合同及服务成果进行验收。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按照本项目磋商文件中商务要求、成交供应商响应文件、合同及服务成果进行验收。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验收不合格时，采购人和成交供应商应协商一致，成交供应商应根据相关验收证明材料及时补足或更换，费用由成交供应商自行承担。</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大邑县交通运输局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联系人：夏老师</w:t>
      </w:r>
    </w:p>
    <w:p>
      <w:pPr>
        <w:pStyle w:val="null3"/>
        <w:jc w:val="left"/>
      </w:pPr>
      <w:r>
        <w:rPr>
          <w:rFonts w:ascii="仿宋_GB2312" w:hAnsi="仿宋_GB2312" w:cs="仿宋_GB2312" w:eastAsia="仿宋_GB2312"/>
        </w:rPr>
        <w:t>联系电话：028-83119888</w:t>
      </w:r>
    </w:p>
    <w:p>
      <w:pPr>
        <w:pStyle w:val="null3"/>
        <w:jc w:val="left"/>
      </w:pPr>
      <w:r>
        <w:rPr>
          <w:rFonts w:ascii="仿宋_GB2312" w:hAnsi="仿宋_GB2312" w:cs="仿宋_GB2312" w:eastAsia="仿宋_GB2312"/>
        </w:rPr>
        <w:t>地址：四川省成都市双流区东升街道龙桥路6号132栋7楼701号、702号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940,000.00</w:t>
      </w:r>
    </w:p>
    <w:p>
      <w:pPr>
        <w:pStyle w:val="null3"/>
        <w:jc w:val="left"/>
      </w:pPr>
      <w:r>
        <w:rPr>
          <w:rFonts w:ascii="仿宋_GB2312" w:hAnsi="仿宋_GB2312" w:cs="仿宋_GB2312" w:eastAsia="仿宋_GB2312"/>
        </w:rPr>
        <w:t>采购包最高限价（元）: 940,000.00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C23080100 行业规划服务</w:t>
            </w:r>
          </w:p>
        </w:tc>
        <w:tc>
          <w:tcPr>
            <w:tcW w:type="dxa" w:w="821"/>
          </w:tcPr>
          <w:p>
            <w:pPr>
              <w:pStyle w:val="null3"/>
              <w:jc w:val="left"/>
            </w:pPr>
            <w:r>
              <w:rPr>
                <w:rFonts w:ascii="仿宋_GB2312" w:hAnsi="仿宋_GB2312" w:cs="仿宋_GB2312" w:eastAsia="仿宋_GB2312"/>
              </w:rPr>
              <w:t>大邑县交通运输“十五五”发展规划编制服务项目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大邑县交通运输“十五五”发展规划编制服务项目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标的名称：大邑县交通运输“十五五”发展规划编制服务项目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both"/>
            </w:pPr>
            <w:r>
              <w:rPr>
                <w:rFonts w:ascii="仿宋_GB2312" w:hAnsi="仿宋_GB2312" w:cs="仿宋_GB2312" w:eastAsia="仿宋_GB2312"/>
                <w:sz w:val="24"/>
              </w:rPr>
              <w:t>立足大邑县经济社会发展全局，系统评估“十四五”期综合交通运输发展现状，精准把握“十五五”发展面临的机遇和挑战，提出大邑县近中远期综合交通规划。</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评估发展现状。总结“十四五”期大邑县综合交通发展成就，分析主要指标完成情况，并开展出行调查工作；围绕对外通道、内部路网、运输服务、行业治理等方面剖析发展不足，挖掘问题根源。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研判形势要求。围绕国家和省重大战略部署，提前掌握省市“十五五”交通发展规划及重点支持方向，研究各级各类国土空间规划布局，分析“十五五”期大邑县综合交通发展面临的形势和要求，研判发展阶段性特征。</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拟定发展思路。在总结综合交通发展现状和研判发展趋势的基础上，明确规划指导思想、基本原则、发展定位和阶段性目标，目标指标体系设置要体现高质量发展要求，易感知、能检查、易评估。结合县域发展目标和国土空间规划要求，确定交通规划的总体目标，根据县域的区位条件、经济发展需求、产业布局、人口分布、居民出行调查成果等因素，分片区、有针对性的提出近中远期综合交通规划发展思路。</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 xml:space="preserve">找准着力重点。以问题和需求为导向，聚焦省市“十五五”交通发展规划及重点支持方向，精准开展“十五五”大邑县交通运输领域项目包装策划工作，服务人口和产业的集聚；围绕县“十五五”规划纲要在特定领域提出的重点任务，细化落实的时间表、路线图和任务书，提高针对性和可落地性；有效衔接国家、省、市“十五五”规划纲要和各级各类国土空间规划，对重要交通走廊进行空间预留和控制；兼顾生态保护和城市发展需求，为未来交通发展预留弹性空间；考虑自然灾害（如地震、洪水）和突发事件对交通系统的影响，增强交通设施的抗灾能力和恢复能力，构建多通道、多方式的交通网络，提高系统的可靠性。 </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强化措施保障。为保障规划实施，从组织领导、资金保障、人才保障和监督考核等方面提出相应措施和建议。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成果形式</w:t>
            </w:r>
          </w:p>
        </w:tc>
        <w:tc>
          <w:tcPr>
            <w:tcW w:type="dxa" w:w="5814"/>
          </w:tcPr>
          <w:p>
            <w:pPr>
              <w:pStyle w:val="null3"/>
              <w:ind w:firstLine="480"/>
              <w:jc w:val="both"/>
            </w:pPr>
            <w:r>
              <w:rPr>
                <w:rFonts w:ascii="仿宋_GB2312" w:hAnsi="仿宋_GB2312" w:cs="仿宋_GB2312" w:eastAsia="仿宋_GB2312"/>
                <w:sz w:val="24"/>
              </w:rPr>
              <w:t>形成《大邑县交通运输“十五五”发展规划》（含附图附表）纸质版8份、电子版1份。</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、2026年5月底</w:t>
            </w:r>
            <w:r>
              <w:rPr>
                <w:rFonts w:ascii="仿宋_GB2312" w:hAnsi="仿宋_GB2312" w:cs="仿宋_GB2312" w:eastAsia="仿宋_GB2312"/>
                <w:sz w:val="24"/>
              </w:rPr>
              <w:t>前，</w:t>
            </w:r>
            <w:r>
              <w:rPr>
                <w:rFonts w:ascii="仿宋_GB2312" w:hAnsi="仿宋_GB2312" w:cs="仿宋_GB2312" w:eastAsia="仿宋_GB2312"/>
                <w:sz w:val="24"/>
              </w:rPr>
              <w:t>供应商提交本</w:t>
            </w:r>
            <w:r>
              <w:rPr>
                <w:rFonts w:ascii="仿宋_GB2312" w:hAnsi="仿宋_GB2312" w:cs="仿宋_GB2312" w:eastAsia="仿宋_GB2312"/>
                <w:sz w:val="24"/>
              </w:rPr>
              <w:t>项目编制工作计划；</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11</w:t>
            </w:r>
            <w:r>
              <w:rPr>
                <w:rFonts w:ascii="仿宋_GB2312" w:hAnsi="仿宋_GB2312" w:cs="仿宋_GB2312" w:eastAsia="仿宋_GB2312"/>
                <w:sz w:val="24"/>
              </w:rPr>
              <w:t>月底前，</w:t>
            </w:r>
            <w:r>
              <w:rPr>
                <w:rFonts w:ascii="仿宋_GB2312" w:hAnsi="仿宋_GB2312" w:cs="仿宋_GB2312" w:eastAsia="仿宋_GB2312"/>
                <w:sz w:val="24"/>
              </w:rPr>
              <w:t>供应商</w:t>
            </w:r>
            <w:r>
              <w:rPr>
                <w:rFonts w:ascii="仿宋_GB2312" w:hAnsi="仿宋_GB2312" w:cs="仿宋_GB2312" w:eastAsia="仿宋_GB2312"/>
                <w:sz w:val="24"/>
              </w:rPr>
              <w:t>提交编制成果初稿；报县政府审议后，</w:t>
            </w:r>
            <w:r>
              <w:rPr>
                <w:rFonts w:ascii="仿宋_GB2312" w:hAnsi="仿宋_GB2312" w:cs="仿宋_GB2312" w:eastAsia="仿宋_GB2312"/>
                <w:sz w:val="24"/>
              </w:rPr>
              <w:t>供应商</w:t>
            </w:r>
            <w:r>
              <w:rPr>
                <w:rFonts w:ascii="仿宋_GB2312" w:hAnsi="仿宋_GB2312" w:cs="仿宋_GB2312" w:eastAsia="仿宋_GB2312"/>
                <w:sz w:val="24"/>
              </w:rPr>
              <w:t>配合采购人完善编制成果直至验收通过并印发。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、严格按要求组织项目组，认真调查研究，确保成果质量，按约定时间提交成果资料。</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、后续服务应给予采购人必要的指导和配合，为采购人做好政策解读，后续采购人有修改意见或审查过程中有修订要求的，应当进行修改或修订。</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大邑县内采购人指定地点。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1、首期款，合同签订后，成交供应商提交项目编制工作计划，成交供应商向采购人提交真实有效、合法的等额发票后，达到付款条件起14日内，支付合同总金额的30.00%</w:t>
            </w:r>
          </w:p>
          <w:p>
            <w:pPr>
              <w:pStyle w:val="null3"/>
              <w:jc w:val="left"/>
            </w:pPr>
            <w:r>
              <w:rPr>
                <w:rFonts w:ascii="仿宋_GB2312" w:hAnsi="仿宋_GB2312" w:cs="仿宋_GB2312" w:eastAsia="仿宋_GB2312"/>
              </w:rPr>
              <w:t>2、进度款，成交供应商提交成果初稿，成交供应商向采购人提交真实有效、合法的等额发票后，达到付款条件起14日内，支付合同总金额的50.00%</w:t>
            </w:r>
          </w:p>
          <w:p>
            <w:pPr>
              <w:pStyle w:val="null3"/>
              <w:jc w:val="left"/>
            </w:pPr>
            <w:r>
              <w:rPr>
                <w:rFonts w:ascii="仿宋_GB2312" w:hAnsi="仿宋_GB2312" w:cs="仿宋_GB2312" w:eastAsia="仿宋_GB2312"/>
              </w:rPr>
              <w:t>3、尾款，成交供应商提交成果送审稿验收通过并印发后，成交供应商向采购人提交真实有效、合法的等额发票后，达到付款条件起14日内，支付合同总金额的20.00%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①甲乙双方必须遵守采购合同并执行合同中的各项规定，保证采购合同的正常履行。 ②如因乙方工作人员在履行职务过程中的疏忽、失职、过错等故意或者过失原因给甲方造成损失或侵害，包括但不限于采购人本身的财产损失、由此而导致的采购人对任何第三方的法律责任等，乙方对此均应承担全部的赔偿责任。 ③乙方应当遵守采购方的相关项目需求及相关技术要求及实质性条款，实施完成采购合同应当完全满足相关项目需求及相关技术要求及实质性条款，若供应商未按要求履行采购合同，采购方有权向乙方要求赔偿合同总价款20%的违约金，若造成相关损失的，甲方有权要求乙方承担所有赔偿责任。 （2）争议解决办法： ①因本合同及合同有关事项发生的争议，由甲乙双方友好协商解决。协商不成时，可以向有关组织申请调解。合同一方或双方不愿调解或调解不成的，由当事人依法向采购人所在地人民法院提起诉讼解决争议。 ②如甲乙双方有争议的事项不影响合同其他部分的履行，在争议解决期间，合同其他部分应当继续履行。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1.供应商需针对本项目拟定项目实施方案，方案包含：①项目背景及评估发展现状；②规划解读及研判形势要求；③项目重难点分析；④拟定发展思路；⑤主要研究内容；⑥重点板块及初步方案构思。 2.供应商需针对本项目拟定项目保障方案，方案包含：①项目进度及服务保障措施；②项目质量保障措施。 3.类似业绩：供应商从2022年1月1日（含）至响应文件递交截止日具有类似项目业绩（类似项目是指：交通研究、交通规划、公交规划、物流研究、道路方案研究、枢纽场站、交通组织、交通评估类业绩）。 4.人员配置： （1）项目负责人（1人）：具有交通规划或交通工程或国土空间规划专业中级及以上技术职称。 （2）项目参与人员：配备交通规划或交通工程或国土空间规划专业中级及以上技术职称。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0"/>
        </w:rPr>
        <w:t>技术要求，服务要求。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0"/>
        </w:rPr>
        <w:t>合同文本中的条款。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本项目竞争性磋商文件第三章、技术、服务及其他要求。</w:t>
            </w:r>
          </w:p>
        </w:tc>
        <w:tc>
          <w:tcPr>
            <w:tcW w:type="dxa" w:w="3322"/>
          </w:tcPr>
          <w:p>
            <w:pPr>
              <w:pStyle w:val="null3"/>
              <w:jc w:val="left"/>
            </w:pPr>
            <w:r>
              <w:rPr>
                <w:rFonts w:ascii="仿宋_GB2312" w:hAnsi="仿宋_GB2312" w:cs="仿宋_GB2312" w:eastAsia="仿宋_GB2312"/>
              </w:rPr>
              <w:t>对“第三章-技术、服务要求及其他要求”进行响应。</w:t>
            </w:r>
          </w:p>
        </w:tc>
        <w:tc>
          <w:tcPr>
            <w:tcW w:type="dxa" w:w="1661"/>
          </w:tcPr>
          <w:p>
            <w:pPr>
              <w:pStyle w:val="null3"/>
              <w:jc w:val="left"/>
            </w:pPr>
            <w:r>
              <w:rPr>
                <w:rFonts w:ascii="仿宋_GB2312" w:hAnsi="仿宋_GB2312" w:cs="仿宋_GB2312" w:eastAsia="仿宋_GB2312"/>
              </w:rPr>
              <w:t>技术要求、服务要求及其他要求应答表.docx,供应商认为应该提供的其他资料.docx,服务应答表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供应商需针对本项目拟定项目实施方案，方案包含：①项目背景及评估发展现状；②规划解读及研判形势要求；③项目重难点分析；④拟定发展思路；⑤主要研究内容；⑥重点板块及初步方案构思。 上述内容无缺项无缺陷得54分，每缺少一项内容的扣9分，其中每有一处缺陷扣4.5分，每项最多扣9分。 注：缺陷指项目名称、地点区域等内容存在错误；方案与本项目需求无关或与本项目要求不一致；适用的规范（标准）错误或失效或与本项目涉及的相关规范（标准）不符；仅有框架或标题或方案内容与标题不符。</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项目保障方案</w:t>
            </w:r>
          </w:p>
        </w:tc>
        <w:tc>
          <w:tcPr>
            <w:tcW w:type="dxa" w:w="2575"/>
          </w:tcPr>
          <w:p>
            <w:pPr>
              <w:pStyle w:val="null3"/>
              <w:jc w:val="left"/>
            </w:pPr>
            <w:r>
              <w:rPr>
                <w:rFonts w:ascii="仿宋_GB2312" w:hAnsi="仿宋_GB2312" w:cs="仿宋_GB2312" w:eastAsia="仿宋_GB2312"/>
              </w:rPr>
              <w:t>供应商需针对本项目拟定项目保障方案，方案包含：①项目进度及服务保障措施；②项目质量保障措施。 上述内容无缺项无缺陷得5分，每缺少一项内容的扣2.5分，其中每有一处缺陷扣1.25分，每项最多扣2.5分。 注：缺陷指项目名称、地点区域等内容存在错误；方案与本项目需求无关或与本项目要求不一致；适用的规范（标准）错误或失效或与本项目涉及的相关规范（标准）不符；仅有框架或标题或方案内容与标题不符。</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项目保障方案.docx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供应商从2022年1月1日（含）至响应文件递交截止日具有类似项目业绩的，每提供1个得4分，本项最高得12分。 注：①类似项目是指：交通研究、交通规划、公交规划、物流研究、道路方案研究、枢纽场站、交通组织、交通评估类业绩；②提供合同扫描件并加盖供应商电子签章，未提供不得分。以合同签订时间为准。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1.项目负责人（1人）：具有交通规划或交通工程或国土空间规划专业中级技术职称的得3分，具有交通规划或交通工程或国土空间规划专业副高级及以上技术职称的得6分，最高得6分。 2.项目参与人员： 每配备1名交通规划或交通工程或国土空间规划专业中级技术职称的得1分，每配备1名交通规划或交通工程或国土空间规划专业副高级及以上技术职称的得2分，本项最高得8分。 注：以上人员不重复计分。提供以上人员身份证及相关证书扫描件，未按要求提供不得分。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详见附件：项目保障方案.docx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详见附件：技术要求、服务要求及其他要求应答表.docx</w:t>
      </w:r>
    </w:p>
    <w:p>
      <w:pPr>
        <w:pStyle w:val="null3"/>
        <w:ind w:firstLine="960"/>
        <w:jc w:val="left"/>
      </w:pPr>
      <w:r>
        <w:rPr>
          <w:rFonts w:ascii="仿宋_GB2312" w:hAnsi="仿宋_GB2312" w:cs="仿宋_GB2312" w:eastAsia="仿宋_GB2312"/>
        </w:rPr>
        <w:t>详见附件：供应商认为应该提供的其他资料.docx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