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版本号：N513223202600001720260410001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高原病防治研究基地（阿坝）信息化设计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N5132232026000017</w:t>
      </w:r>
    </w:p>
    <w:p>
      <w:pPr>
        <w:pStyle w:val="null3"/>
        <w:jc w:val="center"/>
        <w:outlineLvl w:val="2"/>
      </w:pPr>
      <w:r>
        <w:rPr>
          <w:rFonts w:ascii="仿宋_GB2312" w:hAnsi="仿宋_GB2312" w:cs="仿宋_GB2312" w:eastAsia="仿宋_GB2312"/>
          <w:sz w:val="28"/>
          <w:b/>
        </w:rPr>
        <w:t>茂县卫生健康局</w:t>
      </w:r>
    </w:p>
    <w:p>
      <w:pPr>
        <w:pStyle w:val="null3"/>
        <w:jc w:val="center"/>
        <w:outlineLvl w:val="2"/>
      </w:pPr>
      <w:r>
        <w:rPr>
          <w:rFonts w:ascii="仿宋_GB2312" w:hAnsi="仿宋_GB2312" w:cs="仿宋_GB2312" w:eastAsia="仿宋_GB2312"/>
          <w:sz w:val="28"/>
          <w:b/>
        </w:rPr>
        <w:t>成都明程企业管理咨询有限公司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成都明程企业管理咨询有限公司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茂县卫生健康局</w:t>
      </w:r>
      <w:r>
        <w:rPr>
          <w:rFonts w:ascii="仿宋_GB2312" w:hAnsi="仿宋_GB2312" w:cs="仿宋_GB2312" w:eastAsia="仿宋_GB2312"/>
        </w:rPr>
        <w:t xml:space="preserve"> 委托，拟对 </w:t>
      </w:r>
      <w:r>
        <w:rPr>
          <w:rFonts w:ascii="仿宋_GB2312" w:hAnsi="仿宋_GB2312" w:cs="仿宋_GB2312" w:eastAsia="仿宋_GB2312"/>
        </w:rPr>
        <w:t>高原病防治研究基地（阿坝）信息化设计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阿坝藏族羌族自治州茂县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N5132232026000017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高原病防治研究基地（阿坝）信息化设计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采购一家供应商完成高原病防治研究基地（阿坝）信息化设计。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国家行政主管部门颁发的在有效期内的工程设计电子通信广电行业（通信工程或电子工程）甲级及以上资质或工程设计电子通信广电行业（有线通信或无线通信或电子系统工程）专业甲级及以上资质或建筑智能化系统设计专项甲级及以上资质。(提供资质证书复印件）（描述：供应商须具有国家行政主管部门颁发的在有效期内的工程设计电子通信广电行业（通信工程或电子工程）甲级及以上资质或工程设计电子通信广电行业（有线通信或无线通信或电子系统工程）专业甲级及以上资质或建筑智能化系统设计专项甲级及以上资质。(提供资质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茂县卫生健康局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四川省阿坝藏族羌族自治州茂县凤仪镇</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孟老师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0837-7460750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成都明程企业管理咨询有限公司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成都市青羊区太升北路56号江信大厦13楼3号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028-84171631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采购包1：730,000.00元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代理服务费收费标准：按成本加合理利润原则计取，由成交供应商在领取成交通知书时向采购代理机构一次性支付。代理费用为：12000.00元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茂县卫生健康局</w:t>
      </w:r>
      <w:r>
        <w:rPr>
          <w:rFonts w:ascii="仿宋_GB2312" w:hAnsi="仿宋_GB2312" w:cs="仿宋_GB2312" w:eastAsia="仿宋_GB2312"/>
        </w:rPr>
        <w:t xml:space="preserve"> 和 </w:t>
      </w:r>
      <w:r>
        <w:rPr>
          <w:rFonts w:ascii="仿宋_GB2312" w:hAnsi="仿宋_GB2312" w:cs="仿宋_GB2312" w:eastAsia="仿宋_GB2312"/>
        </w:rPr>
        <w:t>成都明程企业管理咨询有限公司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茂县卫生健康局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成都明程企业管理咨询有限公司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成交供应商按照合同要求完成服务内容后，供应商提出验收申请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依据国家标准、本项目采购要求及供应商的响应应答进行验收。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本包采购拟采购标的技术要求、成交供应商响应文件内容以及合同要求。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按照采购文件商务要求、成交供应商响应文件响应进行验收。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国家及行业相关标准、竞争性磋商文件要求、响应文件及承诺、签订的合同、《财政部关于进一步加强政府采购需求和履约验收管理的指导意见》（财库〔2016〕205号）《财政部关于印发&lt;政府采购需求管理办法&gt;的通知》（财库〔2021〕22号）等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茂县卫生健康局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成都明程企业管理咨询有限公司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成都明程企业管理咨询有限公司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联系人：孟老师</w:t>
      </w:r>
    </w:p>
    <w:p>
      <w:pPr>
        <w:pStyle w:val="null3"/>
        <w:jc w:val="left"/>
      </w:pPr>
      <w:r>
        <w:rPr>
          <w:rFonts w:ascii="仿宋_GB2312" w:hAnsi="仿宋_GB2312" w:cs="仿宋_GB2312" w:eastAsia="仿宋_GB2312"/>
        </w:rPr>
        <w:t>联系电话：0837-7460750</w:t>
      </w:r>
    </w:p>
    <w:p>
      <w:pPr>
        <w:pStyle w:val="null3"/>
        <w:jc w:val="left"/>
      </w:pPr>
      <w:r>
        <w:rPr>
          <w:rFonts w:ascii="仿宋_GB2312" w:hAnsi="仿宋_GB2312" w:cs="仿宋_GB2312" w:eastAsia="仿宋_GB2312"/>
        </w:rPr>
        <w:t>地址：四川省阿坝藏族羌族自治州茂县凤仪镇</w:t>
      </w:r>
    </w:p>
    <w:p>
      <w:pPr>
        <w:pStyle w:val="null3"/>
        <w:jc w:val="left"/>
      </w:pPr>
      <w:r>
        <w:rPr>
          <w:rFonts w:ascii="仿宋_GB2312" w:hAnsi="仿宋_GB2312" w:cs="仿宋_GB2312" w:eastAsia="仿宋_GB2312"/>
        </w:rPr>
        <w:t>邮编：623200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联系电话：028-84171631</w:t>
      </w:r>
    </w:p>
    <w:p>
      <w:pPr>
        <w:pStyle w:val="null3"/>
        <w:jc w:val="left"/>
      </w:pPr>
      <w:r>
        <w:rPr>
          <w:rFonts w:ascii="仿宋_GB2312" w:hAnsi="仿宋_GB2312" w:cs="仿宋_GB2312" w:eastAsia="仿宋_GB2312"/>
        </w:rPr>
        <w:t>地址：成都市青羊区太升北路56号江信大厦13楼3号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730,000.00</w:t>
      </w:r>
    </w:p>
    <w:p>
      <w:pPr>
        <w:pStyle w:val="null3"/>
        <w:jc w:val="left"/>
      </w:pPr>
      <w:r>
        <w:rPr>
          <w:rFonts w:ascii="仿宋_GB2312" w:hAnsi="仿宋_GB2312" w:cs="仿宋_GB2312" w:eastAsia="仿宋_GB2312"/>
        </w:rPr>
        <w:t>采购包最高限价（元）: 730,000.00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C16029900 其他系统集成实施服务</w:t>
            </w:r>
          </w:p>
        </w:tc>
        <w:tc>
          <w:tcPr>
            <w:tcW w:type="dxa" w:w="821"/>
          </w:tcPr>
          <w:p>
            <w:pPr>
              <w:pStyle w:val="null3"/>
              <w:jc w:val="left"/>
            </w:pPr>
            <w:r>
              <w:rPr>
                <w:rFonts w:ascii="仿宋_GB2312" w:hAnsi="仿宋_GB2312" w:cs="仿宋_GB2312" w:eastAsia="仿宋_GB2312"/>
              </w:rPr>
              <w:t>高原病防治研究基地（阿坝）信息化设计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730,000.00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高原病防治研究基地（阿坝）信息化设计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合同总价是供应商完成服务内容的全部金额，包括供应商履约过程中的设备费用、人工费、差旅费、车辆燃油费、住宿费、办公费、管理费、招标代理服务费、税金、利润以及供应商履约本项目所需要的其他所有费用。供应商应根据本项目的实际情况与自身现实情况，并充分考虑不确定性因素可能导致的风险后自行填报。若因响应供应商原因造成的漏报、错报而导致本项目无法履行的，由响应供应商自行承担责任。</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标的名称：高原病防治研究基地（阿坝）信息化设计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项目概况</w:t>
            </w:r>
          </w:p>
        </w:tc>
        <w:tc>
          <w:tcPr>
            <w:tcW w:type="dxa" w:w="5814"/>
          </w:tcPr>
          <w:p>
            <w:pPr>
              <w:pStyle w:val="null3"/>
              <w:jc w:val="left"/>
            </w:pPr>
            <w:r>
              <w:rPr>
                <w:rFonts w:ascii="仿宋_GB2312" w:hAnsi="仿宋_GB2312" w:cs="仿宋_GB2312" w:eastAsia="仿宋_GB2312"/>
                <w:sz w:val="32"/>
              </w:rPr>
              <w:t>本项目主要建设内容包括业务系统</w:t>
            </w:r>
            <w:r>
              <w:rPr>
                <w:rFonts w:ascii="仿宋_GB2312" w:hAnsi="仿宋_GB2312" w:cs="仿宋_GB2312" w:eastAsia="仿宋_GB2312"/>
                <w:sz w:val="32"/>
              </w:rPr>
              <w:t>7大应用分类</w:t>
            </w:r>
            <w:r>
              <w:rPr>
                <w:rFonts w:ascii="仿宋_GB2312" w:hAnsi="仿宋_GB2312" w:cs="仿宋_GB2312" w:eastAsia="仿宋_GB2312"/>
                <w:sz w:val="32"/>
              </w:rPr>
              <w:t>（</w:t>
            </w:r>
            <w:r>
              <w:rPr>
                <w:rFonts w:ascii="仿宋_GB2312" w:hAnsi="仿宋_GB2312" w:cs="仿宋_GB2312" w:eastAsia="仿宋_GB2312"/>
                <w:sz w:val="32"/>
              </w:rPr>
              <w:t>覆盖基础业务、科室业务、精细化管理、数据中心、集成平台、新技术应用及三方接口</w:t>
            </w:r>
            <w:r>
              <w:rPr>
                <w:rFonts w:ascii="仿宋_GB2312" w:hAnsi="仿宋_GB2312" w:cs="仿宋_GB2312" w:eastAsia="仿宋_GB2312"/>
                <w:sz w:val="32"/>
              </w:rPr>
              <w:t>），</w:t>
            </w:r>
            <w:r>
              <w:rPr>
                <w:rFonts w:ascii="仿宋_GB2312" w:hAnsi="仿宋_GB2312" w:cs="仿宋_GB2312" w:eastAsia="仿宋_GB2312"/>
                <w:sz w:val="32"/>
              </w:rPr>
              <w:t>以及</w:t>
            </w:r>
            <w:r>
              <w:rPr>
                <w:rFonts w:ascii="仿宋_GB2312" w:hAnsi="仿宋_GB2312" w:cs="仿宋_GB2312" w:eastAsia="仿宋_GB2312"/>
                <w:sz w:val="32"/>
              </w:rPr>
              <w:t>数据中心硬件、云桌面系统、机房改造、专线网络、安全及灾备</w:t>
            </w:r>
            <w:r>
              <w:rPr>
                <w:rFonts w:ascii="仿宋_GB2312" w:hAnsi="仿宋_GB2312" w:cs="仿宋_GB2312" w:eastAsia="仿宋_GB2312"/>
                <w:sz w:val="32"/>
              </w:rPr>
              <w:t>、</w:t>
            </w:r>
            <w:r>
              <w:rPr>
                <w:rFonts w:ascii="仿宋_GB2312" w:hAnsi="仿宋_GB2312" w:cs="仿宋_GB2312" w:eastAsia="仿宋_GB2312"/>
                <w:sz w:val="32"/>
              </w:rPr>
              <w:t>本地化存储</w:t>
            </w:r>
            <w:r>
              <w:rPr>
                <w:rFonts w:ascii="仿宋_GB2312" w:hAnsi="仿宋_GB2312" w:cs="仿宋_GB2312" w:eastAsia="仿宋_GB2312"/>
                <w:sz w:val="32"/>
              </w:rPr>
              <w:t>、</w:t>
            </w:r>
            <w:r>
              <w:rPr>
                <w:rFonts w:ascii="仿宋_GB2312" w:hAnsi="仿宋_GB2312" w:cs="仿宋_GB2312" w:eastAsia="仿宋_GB2312"/>
                <w:sz w:val="32"/>
              </w:rPr>
              <w:t>配套终端及办公设备</w:t>
            </w:r>
            <w:r>
              <w:rPr>
                <w:rFonts w:ascii="仿宋_GB2312" w:hAnsi="仿宋_GB2312" w:cs="仿宋_GB2312" w:eastAsia="仿宋_GB2312"/>
                <w:sz w:val="32"/>
              </w:rPr>
              <w:t>等。</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项目地点</w:t>
            </w:r>
          </w:p>
        </w:tc>
        <w:tc>
          <w:tcPr>
            <w:tcW w:type="dxa" w:w="5814"/>
          </w:tcPr>
          <w:p>
            <w:pPr>
              <w:pStyle w:val="null3"/>
              <w:jc w:val="left"/>
            </w:pPr>
            <w:r>
              <w:rPr>
                <w:rFonts w:ascii="仿宋_GB2312" w:hAnsi="仿宋_GB2312" w:cs="仿宋_GB2312" w:eastAsia="仿宋_GB2312"/>
                <w:sz w:val="32"/>
              </w:rPr>
              <w:t>阿坝藏族羌族自治州茂县。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left"/>
            </w:pPr>
            <w:r>
              <w:rPr>
                <w:rFonts w:ascii="仿宋_GB2312" w:hAnsi="仿宋_GB2312" w:cs="仿宋_GB2312" w:eastAsia="仿宋_GB2312"/>
                <w:sz w:val="32"/>
              </w:rPr>
              <w:t>成交供应商为本项目提供的所有服务应符合现行的国家相关标准、行业标准、地方标准或者其他标准、规范，同时满足采购人的功能需求。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服务范围</w:t>
            </w:r>
          </w:p>
        </w:tc>
        <w:tc>
          <w:tcPr>
            <w:tcW w:type="dxa" w:w="5814"/>
          </w:tcPr>
          <w:p>
            <w:pPr>
              <w:pStyle w:val="null3"/>
              <w:jc w:val="left"/>
            </w:pPr>
            <w:r>
              <w:rPr>
                <w:rFonts w:ascii="仿宋_GB2312" w:hAnsi="仿宋_GB2312" w:cs="仿宋_GB2312" w:eastAsia="仿宋_GB2312"/>
                <w:sz w:val="32"/>
              </w:rPr>
              <w:t>包括但不限于项目概况</w:t>
            </w:r>
            <w:r>
              <w:rPr>
                <w:rFonts w:ascii="仿宋_GB2312" w:hAnsi="仿宋_GB2312" w:cs="仿宋_GB2312" w:eastAsia="仿宋_GB2312"/>
                <w:sz w:val="32"/>
              </w:rPr>
              <w:t>所述</w:t>
            </w:r>
            <w:r>
              <w:rPr>
                <w:rFonts w:ascii="仿宋_GB2312" w:hAnsi="仿宋_GB2312" w:cs="仿宋_GB2312" w:eastAsia="仿宋_GB2312"/>
                <w:sz w:val="32"/>
              </w:rPr>
              <w:t>内容的设计方案；设计图纸；需求分析报告；编制项目清单及概算；施工配合服务及其后续相关服务。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保密要求</w:t>
            </w:r>
          </w:p>
        </w:tc>
        <w:tc>
          <w:tcPr>
            <w:tcW w:type="dxa" w:w="5814"/>
          </w:tcPr>
          <w:p>
            <w:pPr>
              <w:pStyle w:val="null3"/>
              <w:jc w:val="left"/>
            </w:pPr>
            <w:r>
              <w:rPr>
                <w:rFonts w:ascii="仿宋_GB2312" w:hAnsi="仿宋_GB2312" w:cs="仿宋_GB2312" w:eastAsia="仿宋_GB2312"/>
                <w:sz w:val="32"/>
              </w:rPr>
              <w:t>成交供应商因履行本合同所获得的一切原始资料、信息及相关工作成果属采购人所有，成交供应商负有保密义务。未经采购人书面同意，成交供应商不得在合同期内或合同履行完毕后以任何方式对外泄露或用于与本项目无关的其他任何事项。如因成交供应商过错导致采购人遭受损失的，成交供应商应承担全部赔偿责任。采购人提供的所有技术资料和基础资料（文字、图纸、电子数据等）均受版权保护，未经采购人授权，任何人不得将其内容复制、引用、改编、分发、发布、外借、转让。</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ind w:firstLine="624"/>
              <w:jc w:val="both"/>
            </w:pPr>
            <w:r>
              <w:rPr>
                <w:rFonts w:ascii="仿宋_GB2312" w:hAnsi="仿宋_GB2312" w:cs="仿宋_GB2312" w:eastAsia="仿宋_GB2312"/>
                <w:sz w:val="32"/>
              </w:rPr>
              <w:t>1.成交供应商应按照有关要求自合同签订之日起20日内提交</w:t>
            </w:r>
            <w:r>
              <w:rPr>
                <w:rFonts w:ascii="仿宋_GB2312" w:hAnsi="仿宋_GB2312" w:cs="仿宋_GB2312" w:eastAsia="仿宋_GB2312"/>
                <w:sz w:val="32"/>
              </w:rPr>
              <w:t>设计方案</w:t>
            </w:r>
            <w:r>
              <w:rPr>
                <w:rFonts w:ascii="仿宋_GB2312" w:hAnsi="仿宋_GB2312" w:cs="仿宋_GB2312" w:eastAsia="仿宋_GB2312"/>
                <w:sz w:val="32"/>
              </w:rPr>
              <w:t>、</w:t>
            </w:r>
            <w:r>
              <w:rPr>
                <w:rFonts w:ascii="仿宋_GB2312" w:hAnsi="仿宋_GB2312" w:cs="仿宋_GB2312" w:eastAsia="仿宋_GB2312"/>
                <w:sz w:val="32"/>
              </w:rPr>
              <w:t>设计图纸</w:t>
            </w:r>
            <w:r>
              <w:rPr>
                <w:rFonts w:ascii="仿宋_GB2312" w:hAnsi="仿宋_GB2312" w:cs="仿宋_GB2312" w:eastAsia="仿宋_GB2312"/>
                <w:sz w:val="32"/>
              </w:rPr>
              <w:t>、</w:t>
            </w:r>
            <w:r>
              <w:rPr>
                <w:rFonts w:ascii="仿宋_GB2312" w:hAnsi="仿宋_GB2312" w:cs="仿宋_GB2312" w:eastAsia="仿宋_GB2312"/>
                <w:sz w:val="32"/>
              </w:rPr>
              <w:t>需求分析报告</w:t>
            </w:r>
            <w:r>
              <w:rPr>
                <w:rFonts w:ascii="仿宋_GB2312" w:hAnsi="仿宋_GB2312" w:cs="仿宋_GB2312" w:eastAsia="仿宋_GB2312"/>
                <w:sz w:val="32"/>
              </w:rPr>
              <w:t>、</w:t>
            </w:r>
            <w:r>
              <w:rPr>
                <w:rFonts w:ascii="仿宋_GB2312" w:hAnsi="仿宋_GB2312" w:cs="仿宋_GB2312" w:eastAsia="仿宋_GB2312"/>
                <w:sz w:val="32"/>
              </w:rPr>
              <w:t>编制项目清单及概算</w:t>
            </w:r>
            <w:r>
              <w:rPr>
                <w:rFonts w:ascii="仿宋_GB2312" w:hAnsi="仿宋_GB2312" w:cs="仿宋_GB2312" w:eastAsia="仿宋_GB2312"/>
                <w:sz w:val="32"/>
              </w:rPr>
              <w:t>，保证其所出具报告的真实性、合法性，并上报相关部门完成相关审批手续。</w:t>
            </w:r>
          </w:p>
          <w:p>
            <w:pPr>
              <w:pStyle w:val="null3"/>
              <w:ind w:firstLine="624"/>
              <w:jc w:val="both"/>
            </w:pPr>
            <w:r>
              <w:rPr>
                <w:rFonts w:ascii="仿宋_GB2312" w:hAnsi="仿宋_GB2312" w:cs="仿宋_GB2312" w:eastAsia="仿宋_GB2312"/>
                <w:sz w:val="32"/>
              </w:rPr>
              <w:t>2.成交供应商应向采购人提供通过审查的纸质版成果资料8套(纸质版成果资料必须签章齐全，图文清楚，图面清晰，完整齐全)和电子版资料1套。</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踏勘现场</w:t>
            </w:r>
          </w:p>
        </w:tc>
        <w:tc>
          <w:tcPr>
            <w:tcW w:type="dxa" w:w="5814"/>
          </w:tcPr>
          <w:p>
            <w:pPr>
              <w:pStyle w:val="null3"/>
              <w:ind w:firstLine="584"/>
              <w:jc w:val="left"/>
            </w:pPr>
            <w:r>
              <w:rPr>
                <w:rFonts w:ascii="仿宋_GB2312" w:hAnsi="仿宋_GB2312" w:cs="仿宋_GB2312" w:eastAsia="仿宋_GB2312"/>
                <w:sz w:val="32"/>
              </w:rPr>
              <w:t>供应商在递交响应文件之前对项目现场及周围环境自行踏勘，无论供应商是否踏勘过现场，均被认为在递交响应文件之前已踏勘现场，对本项目的风险和义务已经了解，并在其响应文件中已充分考虑了现场和环境因素，踏勘现场所发生的费用及安全由供应商自行承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sz w:val="32"/>
              </w:rPr>
              <w:t>在服务期限内，成交供应商应负责设计过程中的人身安全、财产安全、环境安全，保证项目安全有序进行。如发生纠纷、事故等，均由成交供应商自行负责，情节严重的，追究相应责任，并按相关国家法律法规处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后续服务要求</w:t>
            </w:r>
          </w:p>
        </w:tc>
        <w:tc>
          <w:tcPr>
            <w:tcW w:type="dxa" w:w="5814"/>
          </w:tcPr>
          <w:p>
            <w:pPr>
              <w:pStyle w:val="null3"/>
              <w:jc w:val="left"/>
            </w:pPr>
            <w:r>
              <w:rPr>
                <w:rFonts w:ascii="仿宋_GB2312" w:hAnsi="仿宋_GB2312" w:cs="仿宋_GB2312" w:eastAsia="仿宋_GB2312"/>
                <w:sz w:val="32"/>
              </w:rPr>
              <w:t>后续施工过程中，供应商做好与该工程相关的施工单位、项管单位、建设主管部门等相关单位的对接沟通工作，提供施工交底、技术支撑服务。</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阿坝藏族羌族自治州茂县。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国家及行业相关标准、竞争性磋商文件要求、响应文件及承诺、签订的合同、《财政部关于进一步加强政府采购需求和履约验收管理的指导意见》（财库〔2016〕205号）《财政部关于印发&lt;政府采购需求管理办法&gt;的通知》（财库〔2021〕22号）等政府采购相关法律法规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1、第一次付款，合同签订后，达到付款条件起10日内，支付合同总金额的30.00%</w:t>
            </w:r>
          </w:p>
          <w:p>
            <w:pPr>
              <w:pStyle w:val="null3"/>
              <w:jc w:val="left"/>
            </w:pPr>
            <w:r>
              <w:rPr>
                <w:rFonts w:ascii="仿宋_GB2312" w:hAnsi="仿宋_GB2312" w:cs="仿宋_GB2312" w:eastAsia="仿宋_GB2312"/>
              </w:rPr>
              <w:t>2、第二次付款，交付项目设计服务成果并通过评审后，达到付款条件起10日内，支付合同总金额的60.00%</w:t>
            </w:r>
          </w:p>
          <w:p>
            <w:pPr>
              <w:pStyle w:val="null3"/>
              <w:jc w:val="left"/>
            </w:pPr>
            <w:r>
              <w:rPr>
                <w:rFonts w:ascii="仿宋_GB2312" w:hAnsi="仿宋_GB2312" w:cs="仿宋_GB2312" w:eastAsia="仿宋_GB2312"/>
              </w:rPr>
              <w:t>3、第三次付款，整体建设项目验收评审通过后，达到付款条件起10日内，支付合同总金额的10.00%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采购人及成交供应商双方必须遵守采购合同并执行合同中的各项规定，保证采购合同的正常履行。任何一方违约给对方造成直接损失均负有赔偿责任，对方均有权视情况要求对方继续履行合同或提出解除合同。 （1）采购人违约责任： ①因采购人原因造成合同变更、中止：采购人擅自解除、中止或变更合同导致成交供应商权益受到损害时，采购人向成交供应商支付合同价款5‰的违约金，并赔偿成交供应商所受全部损失。 ②采购人未按合同约定付款：采购人应当按照政府采购合同约定，向供应商支付采购资金，不得以机构变动、人员更替、政策调整等为由延迟付款。不得将采购文件和合同中未规定的义务作为向供应商付款的条件，因采购人原因延期超过合同约定期限付款的，供应商有权单方面解除合同，并赔偿供应商所受损失。 （2）供应商违约责任： ①供应商擅自解除、中止或变更合同导致采购人权益受到损害时，成交供应商向采购人支付合同价款5‰的违约金，并赔偿采购人所受全部损失。（最高不超过合同额） ②如因成交供应商在履行过程中的疏忽、失职、过错等故意或者过失原因给采购人造成损失或侵害，包括但不限于采购人本身的财产损失、由此而导致的采购人对任何第三方的法律责任等，成交供应商对此均应承担全部的赔偿责任。（最高不超过合同额） ③验收不合格时，采购人将下达整改通知书，供应商应在整改通知书所明确的限期内整改至合格，供应商拒绝整改或经两次整改仍未达到验收合格标准时，采购人有权解除合同，由供应商退还已拨付资金并向采购人支付违约金。 ④供应商未能在合同约定的时间内履约完成，若供应商逾期时间超过30日的，采购人有权解除合同，并由供应商承担全部责任。（最高不超过合同额） ⑤若成交将本项目直接或间接转包，采购人有权单方面解除合同，并由供应商承担全部责任。 注：违约方就其违约行为造成对方的损失应予以全部赔偿，包括但不限于对方直接损失、对第三方的赔偿责任及因解决真意所致的律师费、仲裁费、诉讼费、保全费、执行费等全部费用。供应商违约应当支付的赔偿金、违约金，采购人有权于未付款项中予以扣除。（最高不超过合同额） 2.争议解决办法 （1）在执行合同中发生的或与本合同有关的争端，双方应通过友好协商解决，经协商在30天内不能达成协议时，任何一方可向甲方所在地人民法院提起民事诉讼。 （2）诉讼裁决应为最终决定，并对双方具有约束力。 （3）除另有裁决外，诉讼费应由败诉方负担。 （4）在诉讼期间，除正在进行诉讼部分外，合同其他部分继续执行。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根据自身情况按需提供针对本项目的技术方案（①项目特点概况描述及分析；②项目重点、难点的分析；③总体架构设计及系统建设方案。）。若供应商不提供或少提供均不影响响应文件的完整性、有效性，按评分标准做相应的得分。 2、供应商根据自身情况按需提供针对本项目的服务方案（①服务进度、质量保证及投资控制方案；②人员组织措施；③设计变更管理；④后续服务方案。）。若供应商不提供或少提供均不影响响应文件的完整性、有效性，按评分标准做相应的得分。 3、供应商根据自身情况按需提供服务团队证明资料。若供应商不提供或少提供均不影响响应文件的完整性、有效性，按评分标准作相应的得分。 4、供应商根据自身情况按需提供履约能力证明资料。若供应商不提供或少提供均不影响响应文件的完整性、有效性，按评分标准作相应的得分。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磋商小组可以根据磋商文件和磋商情况实质性变动第三章</w:t>
      </w:r>
      <w:r>
        <w:rPr>
          <w:rFonts w:ascii="仿宋_GB2312" w:hAnsi="仿宋_GB2312" w:cs="仿宋_GB2312" w:eastAsia="仿宋_GB2312"/>
          <w:sz w:val="21"/>
        </w:rPr>
        <w:t>“技术、服务及其他要求”中“3.2.技术要求”，“3.3.服务要求”，但不得变动磋商文件中的其他内容。 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磋商小组可以根据磋商文件和磋商情况实质性变动第七章</w:t>
      </w:r>
      <w:r>
        <w:rPr>
          <w:rFonts w:ascii="仿宋_GB2312" w:hAnsi="仿宋_GB2312" w:cs="仿宋_GB2312" w:eastAsia="仿宋_GB2312"/>
          <w:sz w:val="21"/>
        </w:rPr>
        <w:t>“拟签订采购合同文本”，但不得变动磋商文件中的其他内容。实质性变动的内容，须经采购人代表确认。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国家行政主管部门颁发的在有效期内的工程设计电子通信广电行业（通信工程或电子工程）甲级及以上资质或工程设计电子通信广电行业（有线通信或无线通信或电子系统工程）专业甲级及以上资质或建筑智能化系统设计专项甲级及以上资质。(提供资质证书复印件）</w:t>
            </w:r>
          </w:p>
        </w:tc>
        <w:tc>
          <w:tcPr>
            <w:tcW w:type="dxa" w:w="3322"/>
          </w:tcPr>
          <w:p>
            <w:pPr>
              <w:pStyle w:val="null3"/>
              <w:jc w:val="left"/>
            </w:pPr>
            <w:r>
              <w:rPr>
                <w:rFonts w:ascii="仿宋_GB2312" w:hAnsi="仿宋_GB2312" w:cs="仿宋_GB2312" w:eastAsia="仿宋_GB2312"/>
              </w:rPr>
              <w:t>供应商须具有国家行政主管部门颁发的在有效期内的工程设计电子通信广电行业（通信工程或电子工程）甲级及以上资质或工程设计电子通信广电行业（有线通信或无线通信或电子系统工程）专业甲级及以上资质或建筑智能化系统设计专项甲级及以上资质。(提供资质证书复印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w:t>
            </w:r>
          </w:p>
        </w:tc>
        <w:tc>
          <w:tcPr>
            <w:tcW w:type="dxa" w:w="3322"/>
          </w:tcPr>
          <w:p>
            <w:pPr>
              <w:pStyle w:val="null3"/>
              <w:jc w:val="left"/>
            </w:pPr>
            <w:r>
              <w:rPr>
                <w:rFonts w:ascii="仿宋_GB2312" w:hAnsi="仿宋_GB2312" w:cs="仿宋_GB2312" w:eastAsia="仿宋_GB2312"/>
              </w:rPr>
              <w:t>本项目磋商文件中第三章 技术、服务及其他要求中“3.2.技术要求、3.3.服务要求”带“★”的要求为实质性要求。供应商必须单独响应并满足。</w:t>
            </w:r>
          </w:p>
        </w:tc>
        <w:tc>
          <w:tcPr>
            <w:tcW w:type="dxa" w:w="1661"/>
          </w:tcPr>
          <w:p>
            <w:pPr>
              <w:pStyle w:val="null3"/>
              <w:jc w:val="left"/>
            </w:pPr>
            <w:r>
              <w:rPr>
                <w:rFonts w:ascii="仿宋_GB2312" w:hAnsi="仿宋_GB2312" w:cs="仿宋_GB2312" w:eastAsia="仿宋_GB2312"/>
              </w:rPr>
              <w:t>技术要求应答表,服务要求应答表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技术方案、服务方案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服务团队</w:t>
            </w:r>
          </w:p>
        </w:tc>
        <w:tc>
          <w:tcPr>
            <w:tcW w:type="dxa" w:w="2575"/>
          </w:tcPr>
          <w:p>
            <w:pPr>
              <w:pStyle w:val="null3"/>
              <w:jc w:val="left"/>
            </w:pPr>
            <w:r>
              <w:rPr>
                <w:rFonts w:ascii="仿宋_GB2312" w:hAnsi="仿宋_GB2312" w:cs="仿宋_GB2312" w:eastAsia="仿宋_GB2312"/>
              </w:rPr>
              <w:t>1、项目负责人（1 名）：具有电子类相关专业或通信类相关专业或信息化类相关专业中级职称得3分；具有电子类相关专业或通信类相关专业或信息化类相关专业高级及以上职称得5分。本小项最多得5分。 2、技术负责人（1 名）：具有电子类相关专业或通信类相关专业或信息化类相关专业中级职称得3分；具有电子类相关专业或通信类相关专业或信息化类相关专业高级及以上职称得5分。本小项最多得5分。 3、造价专业负责人（1名）：具有一级造价工程师注册证书（安装专业）得3分。本小项最多得3分。 4、电气专业负责人（1名）：具有注册电气工程师（供配电）证书得3分。本小项最多得3分。 5、其他人员：提供1名具有电子类相关专业或通信类相关专业或信息化类相关专业中级及以上职称人员得3分。本小项最多得9分。 注：同一人员不重复得分。提供人员身份证复印件、相应证书复印件并加盖公章。</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服务团队一览表</w:t>
            </w:r>
          </w:p>
          <w:p>
            <w:pPr>
              <w:pStyle w:val="null3"/>
              <w:jc w:val="left"/>
            </w:pPr>
            <w:r>
              <w:rPr>
                <w:rFonts w:ascii="仿宋_GB2312" w:hAnsi="仿宋_GB2312" w:cs="仿宋_GB2312" w:eastAsia="仿宋_GB2312"/>
              </w:rPr>
              <w:t>服务团队证明材料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供应商每具有1个类似项目业绩得3分，最多得9分。 注：1、类似业绩是指信息化设计业绩。 2、提供中标（成交）通知书复印件或合同（协议）复印件并加盖公章。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w:t>
            </w:r>
          </w:p>
          <w:p>
            <w:pPr>
              <w:pStyle w:val="null3"/>
              <w:jc w:val="left"/>
            </w:pPr>
            <w:r>
              <w:rPr>
                <w:rFonts w:ascii="仿宋_GB2312" w:hAnsi="仿宋_GB2312" w:cs="仿宋_GB2312" w:eastAsia="仿宋_GB2312"/>
              </w:rPr>
              <w:t>履约能力证明材料</w:t>
            </w:r>
          </w:p>
        </w:tc>
      </w:tr>
      <w:tr>
        <w:tc>
          <w:tcPr>
            <w:tcW w:type="dxa" w:w="831"/>
            <w:vMerge/>
          </w:tcP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供应商应针对本项目实际情况编制技术方案，根据供应商针对本项目提供的技术方案进行评审，方案包括：①项目特点概况描述及分析；②项目重点、难点的分析；③总体架构设计及系统建设方案。以上3项内容完整且完全满足磋商文件要求得24分，每缺少一项内容的扣8分，每有一处内容存在缺陷的扣4分，扣完为止。 注：缺陷是指存在项目名称及编号错误、地点区域错误、内容与本项目需求无关、方案内容相互矛盾、仅有框架或标题、适用的标准（方法）错误任意一种情形。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应针对本项目实际情况编制服务方案，根据供应商针对本项目提供的服务方案进行评审，方案包括：①服务进度、质量保证及投资控制方案；②人员组织措施；③设计变更管理；④后续服务方案。以上4项内容完整且完全满足磋商文件要求得32分，每缺少一项内容的扣8分，每有一处内容存在缺陷的扣4分，扣完为止。 注：缺陷是指存在项目名称及编号错误、地点区域错误、内容与本项目需求无关、方案内容相互矛盾、仅有框架或标题、适用的标准（方法）错误任意一种情形。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以本次符合要求的最低的有效磋商最终报价为基准价，基准价得分为满分，其他有效的磋商最终报价得分=（基准价／磋商最终报价）×100×10%。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详见附件：服务团队一览表</w:t>
      </w:r>
    </w:p>
    <w:p>
      <w:pPr>
        <w:pStyle w:val="null3"/>
        <w:ind w:firstLine="960"/>
        <w:jc w:val="left"/>
      </w:pPr>
      <w:r>
        <w:rPr>
          <w:rFonts w:ascii="仿宋_GB2312" w:hAnsi="仿宋_GB2312" w:cs="仿宋_GB2312" w:eastAsia="仿宋_GB2312"/>
        </w:rPr>
        <w:t>详见附件：服务团队证明材料</w:t>
      </w:r>
    </w:p>
    <w:p>
      <w:pPr>
        <w:pStyle w:val="null3"/>
        <w:ind w:firstLine="960"/>
        <w:jc w:val="left"/>
      </w:pPr>
      <w:r>
        <w:rPr>
          <w:rFonts w:ascii="仿宋_GB2312" w:hAnsi="仿宋_GB2312" w:cs="仿宋_GB2312" w:eastAsia="仿宋_GB2312"/>
        </w:rPr>
        <w:t>详见附件：供应商类似项目业绩一览表</w:t>
      </w:r>
    </w:p>
    <w:p>
      <w:pPr>
        <w:pStyle w:val="null3"/>
        <w:ind w:firstLine="960"/>
        <w:jc w:val="left"/>
      </w:pPr>
      <w:r>
        <w:rPr>
          <w:rFonts w:ascii="仿宋_GB2312" w:hAnsi="仿宋_GB2312" w:cs="仿宋_GB2312" w:eastAsia="仿宋_GB2312"/>
        </w:rPr>
        <w:t>详见附件：技术方案</w:t>
      </w:r>
    </w:p>
    <w:p>
      <w:pPr>
        <w:pStyle w:val="null3"/>
        <w:ind w:firstLine="960"/>
        <w:jc w:val="left"/>
      </w:pPr>
      <w:r>
        <w:rPr>
          <w:rFonts w:ascii="仿宋_GB2312" w:hAnsi="仿宋_GB2312" w:cs="仿宋_GB2312" w:eastAsia="仿宋_GB2312"/>
        </w:rPr>
        <w:t>详见附件：履约能力证明材料</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详见附件：技术要求应答表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