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C9A7">
      <w:pPr>
        <w:pStyle w:val="4"/>
        <w:jc w:val="center"/>
        <w:outlineLvl w:val="1"/>
      </w:pPr>
      <w:r>
        <w:rPr>
          <w:rFonts w:ascii="仿宋_GB2312" w:hAnsi="仿宋_GB2312" w:eastAsia="仿宋_GB2312" w:cs="仿宋_GB2312"/>
          <w:b/>
          <w:sz w:val="36"/>
        </w:rPr>
        <w:t xml:space="preserve"> 技术、服务及其他要求</w:t>
      </w:r>
      <w:bookmarkStart w:id="0" w:name="_GoBack"/>
      <w:bookmarkEnd w:id="0"/>
    </w:p>
    <w:p w14:paraId="6FA94C02">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53329799">
      <w:pPr>
        <w:pStyle w:val="4"/>
        <w:jc w:val="left"/>
        <w:outlineLvl w:val="2"/>
      </w:pPr>
      <w:r>
        <w:rPr>
          <w:rFonts w:ascii="仿宋_GB2312" w:hAnsi="仿宋_GB2312" w:eastAsia="仿宋_GB2312" w:cs="仿宋_GB2312"/>
          <w:b/>
          <w:sz w:val="28"/>
        </w:rPr>
        <w:t>3.1.采购内容</w:t>
      </w:r>
    </w:p>
    <w:p w14:paraId="442E3526">
      <w:pPr>
        <w:pStyle w:val="4"/>
        <w:jc w:val="left"/>
      </w:pPr>
      <w:r>
        <w:rPr>
          <w:rFonts w:ascii="仿宋_GB2312" w:hAnsi="仿宋_GB2312" w:eastAsia="仿宋_GB2312" w:cs="仿宋_GB2312"/>
        </w:rPr>
        <w:t>采购包1：</w:t>
      </w:r>
    </w:p>
    <w:p w14:paraId="36B7EC19">
      <w:pPr>
        <w:pStyle w:val="4"/>
        <w:jc w:val="left"/>
      </w:pPr>
      <w:r>
        <w:rPr>
          <w:rFonts w:ascii="仿宋_GB2312" w:hAnsi="仿宋_GB2312" w:eastAsia="仿宋_GB2312" w:cs="仿宋_GB2312"/>
        </w:rPr>
        <w:t>采购包预算金额（元）: 837,000.00</w:t>
      </w:r>
    </w:p>
    <w:p w14:paraId="5A3187E2">
      <w:pPr>
        <w:pStyle w:val="4"/>
        <w:jc w:val="left"/>
      </w:pPr>
      <w:r>
        <w:rPr>
          <w:rFonts w:ascii="仿宋_GB2312" w:hAnsi="仿宋_GB2312" w:eastAsia="仿宋_GB2312" w:cs="仿宋_GB2312"/>
        </w:rPr>
        <w:t>采购包最高限价（元）: 767,000.00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7E378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A843F1">
            <w:pPr>
              <w:pStyle w:val="4"/>
              <w:jc w:val="center"/>
            </w:pPr>
            <w:r>
              <w:rPr>
                <w:rFonts w:ascii="仿宋_GB2312" w:hAnsi="仿宋_GB2312" w:eastAsia="仿宋_GB2312" w:cs="仿宋_GB2312"/>
              </w:rPr>
              <w:t>序号</w:t>
            </w:r>
          </w:p>
        </w:tc>
        <w:tc>
          <w:tcPr>
            <w:tcW w:w="821" w:type="dxa"/>
          </w:tcPr>
          <w:p w14:paraId="489CEA47">
            <w:pPr>
              <w:pStyle w:val="4"/>
              <w:jc w:val="center"/>
            </w:pPr>
            <w:r>
              <w:rPr>
                <w:rFonts w:ascii="仿宋_GB2312" w:hAnsi="仿宋_GB2312" w:eastAsia="仿宋_GB2312" w:cs="仿宋_GB2312"/>
              </w:rPr>
              <w:t>采购品目名称</w:t>
            </w:r>
          </w:p>
        </w:tc>
        <w:tc>
          <w:tcPr>
            <w:tcW w:w="821" w:type="dxa"/>
          </w:tcPr>
          <w:p w14:paraId="087495D1">
            <w:pPr>
              <w:pStyle w:val="4"/>
              <w:jc w:val="center"/>
            </w:pPr>
            <w:r>
              <w:rPr>
                <w:rFonts w:ascii="仿宋_GB2312" w:hAnsi="仿宋_GB2312" w:eastAsia="仿宋_GB2312" w:cs="仿宋_GB2312"/>
              </w:rPr>
              <w:t>标的名称</w:t>
            </w:r>
          </w:p>
        </w:tc>
        <w:tc>
          <w:tcPr>
            <w:tcW w:w="821" w:type="dxa"/>
          </w:tcPr>
          <w:p w14:paraId="77A1E0E2">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90171AB">
            <w:pPr>
              <w:pStyle w:val="4"/>
              <w:jc w:val="center"/>
            </w:pPr>
            <w:r>
              <w:rPr>
                <w:rFonts w:ascii="仿宋_GB2312" w:hAnsi="仿宋_GB2312" w:eastAsia="仿宋_GB2312" w:cs="仿宋_GB2312"/>
              </w:rPr>
              <w:t>标的金额 （元）</w:t>
            </w:r>
          </w:p>
        </w:tc>
        <w:tc>
          <w:tcPr>
            <w:tcW w:w="821" w:type="dxa"/>
          </w:tcPr>
          <w:p w14:paraId="0036033E">
            <w:pPr>
              <w:pStyle w:val="4"/>
              <w:jc w:val="center"/>
            </w:pPr>
            <w:r>
              <w:rPr>
                <w:rFonts w:ascii="仿宋_GB2312" w:hAnsi="仿宋_GB2312" w:eastAsia="仿宋_GB2312" w:cs="仿宋_GB2312"/>
              </w:rPr>
              <w:t>所属行业</w:t>
            </w:r>
          </w:p>
        </w:tc>
        <w:tc>
          <w:tcPr>
            <w:tcW w:w="821" w:type="dxa"/>
          </w:tcPr>
          <w:p w14:paraId="4439E350">
            <w:pPr>
              <w:pStyle w:val="4"/>
              <w:jc w:val="center"/>
            </w:pPr>
            <w:r>
              <w:rPr>
                <w:rFonts w:ascii="仿宋_GB2312" w:hAnsi="仿宋_GB2312" w:eastAsia="仿宋_GB2312" w:cs="仿宋_GB2312"/>
              </w:rPr>
              <w:t>是否涉及核心产品</w:t>
            </w:r>
          </w:p>
        </w:tc>
        <w:tc>
          <w:tcPr>
            <w:tcW w:w="821" w:type="dxa"/>
          </w:tcPr>
          <w:p w14:paraId="750D4723">
            <w:pPr>
              <w:pStyle w:val="4"/>
              <w:jc w:val="center"/>
            </w:pPr>
            <w:r>
              <w:rPr>
                <w:rFonts w:ascii="仿宋_GB2312" w:hAnsi="仿宋_GB2312" w:eastAsia="仿宋_GB2312" w:cs="仿宋_GB2312"/>
              </w:rPr>
              <w:t>是否涉及采购进口产品</w:t>
            </w:r>
          </w:p>
        </w:tc>
        <w:tc>
          <w:tcPr>
            <w:tcW w:w="821" w:type="dxa"/>
          </w:tcPr>
          <w:p w14:paraId="4CA570BD">
            <w:pPr>
              <w:pStyle w:val="4"/>
              <w:jc w:val="center"/>
            </w:pPr>
            <w:r>
              <w:rPr>
                <w:rFonts w:ascii="仿宋_GB2312" w:hAnsi="仿宋_GB2312" w:eastAsia="仿宋_GB2312" w:cs="仿宋_GB2312"/>
              </w:rPr>
              <w:t>是否涉及强制采购节能产品</w:t>
            </w:r>
          </w:p>
        </w:tc>
        <w:tc>
          <w:tcPr>
            <w:tcW w:w="639" w:type="dxa"/>
          </w:tcPr>
          <w:p w14:paraId="0950DD87">
            <w:pPr>
              <w:pStyle w:val="4"/>
              <w:jc w:val="center"/>
            </w:pPr>
            <w:r>
              <w:rPr>
                <w:rFonts w:ascii="仿宋_GB2312" w:hAnsi="仿宋_GB2312" w:eastAsia="仿宋_GB2312" w:cs="仿宋_GB2312"/>
              </w:rPr>
              <w:t>是否涉及优先采购节能产品</w:t>
            </w:r>
          </w:p>
        </w:tc>
        <w:tc>
          <w:tcPr>
            <w:tcW w:w="639" w:type="dxa"/>
          </w:tcPr>
          <w:p w14:paraId="02BF73A8">
            <w:pPr>
              <w:pStyle w:val="4"/>
              <w:jc w:val="center"/>
            </w:pPr>
            <w:r>
              <w:rPr>
                <w:rFonts w:ascii="仿宋_GB2312" w:hAnsi="仿宋_GB2312" w:eastAsia="仿宋_GB2312" w:cs="仿宋_GB2312"/>
              </w:rPr>
              <w:t>是否涉及优先采购环境标志产品</w:t>
            </w:r>
          </w:p>
        </w:tc>
      </w:tr>
      <w:tr w14:paraId="0A47A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3FD345">
            <w:pPr>
              <w:pStyle w:val="4"/>
              <w:jc w:val="left"/>
            </w:pPr>
            <w:r>
              <w:rPr>
                <w:rFonts w:ascii="仿宋_GB2312" w:hAnsi="仿宋_GB2312" w:eastAsia="仿宋_GB2312" w:cs="仿宋_GB2312"/>
              </w:rPr>
              <w:t>1</w:t>
            </w:r>
          </w:p>
        </w:tc>
        <w:tc>
          <w:tcPr>
            <w:tcW w:w="821" w:type="dxa"/>
          </w:tcPr>
          <w:p w14:paraId="1932C158">
            <w:pPr>
              <w:pStyle w:val="4"/>
              <w:jc w:val="left"/>
            </w:pPr>
            <w:r>
              <w:rPr>
                <w:rFonts w:ascii="仿宋_GB2312" w:hAnsi="仿宋_GB2312" w:eastAsia="仿宋_GB2312" w:cs="仿宋_GB2312"/>
              </w:rPr>
              <w:t>C16020300 软件集成实施服务</w:t>
            </w:r>
          </w:p>
        </w:tc>
        <w:tc>
          <w:tcPr>
            <w:tcW w:w="821" w:type="dxa"/>
          </w:tcPr>
          <w:p w14:paraId="15C72BFF">
            <w:pPr>
              <w:pStyle w:val="4"/>
              <w:jc w:val="left"/>
            </w:pPr>
            <w:r>
              <w:rPr>
                <w:rFonts w:ascii="仿宋_GB2312" w:hAnsi="仿宋_GB2312" w:eastAsia="仿宋_GB2312" w:cs="仿宋_GB2312"/>
              </w:rPr>
              <w:t>急诊急救信息系统</w:t>
            </w:r>
          </w:p>
        </w:tc>
        <w:tc>
          <w:tcPr>
            <w:tcW w:w="821" w:type="dxa"/>
          </w:tcPr>
          <w:p w14:paraId="4D3752BC">
            <w:pPr>
              <w:pStyle w:val="4"/>
              <w:jc w:val="right"/>
            </w:pPr>
            <w:r>
              <w:rPr>
                <w:rFonts w:ascii="仿宋_GB2312" w:hAnsi="仿宋_GB2312" w:eastAsia="仿宋_GB2312" w:cs="仿宋_GB2312"/>
              </w:rPr>
              <w:t>1.00（项）</w:t>
            </w:r>
          </w:p>
        </w:tc>
        <w:tc>
          <w:tcPr>
            <w:tcW w:w="821" w:type="dxa"/>
          </w:tcPr>
          <w:p w14:paraId="5895D3D8">
            <w:pPr>
              <w:pStyle w:val="4"/>
              <w:jc w:val="right"/>
            </w:pPr>
            <w:r>
              <w:rPr>
                <w:rFonts w:ascii="仿宋_GB2312" w:hAnsi="仿宋_GB2312" w:eastAsia="仿宋_GB2312" w:cs="仿宋_GB2312"/>
              </w:rPr>
              <w:t>767,000.00</w:t>
            </w:r>
          </w:p>
        </w:tc>
        <w:tc>
          <w:tcPr>
            <w:tcW w:w="821" w:type="dxa"/>
          </w:tcPr>
          <w:p w14:paraId="6A49D3C8">
            <w:pPr>
              <w:pStyle w:val="4"/>
              <w:jc w:val="left"/>
            </w:pPr>
            <w:r>
              <w:rPr>
                <w:rFonts w:ascii="仿宋_GB2312" w:hAnsi="仿宋_GB2312" w:eastAsia="仿宋_GB2312" w:cs="仿宋_GB2312"/>
              </w:rPr>
              <w:t>软件和信息技术服务业</w:t>
            </w:r>
          </w:p>
        </w:tc>
        <w:tc>
          <w:tcPr>
            <w:tcW w:w="821" w:type="dxa"/>
          </w:tcPr>
          <w:p w14:paraId="0B9B122C">
            <w:pPr>
              <w:pStyle w:val="4"/>
              <w:jc w:val="left"/>
            </w:pPr>
            <w:r>
              <w:rPr>
                <w:rFonts w:ascii="仿宋_GB2312" w:hAnsi="仿宋_GB2312" w:eastAsia="仿宋_GB2312" w:cs="仿宋_GB2312"/>
              </w:rPr>
              <w:t>否</w:t>
            </w:r>
          </w:p>
        </w:tc>
        <w:tc>
          <w:tcPr>
            <w:tcW w:w="821" w:type="dxa"/>
          </w:tcPr>
          <w:p w14:paraId="172E98E4">
            <w:pPr>
              <w:pStyle w:val="4"/>
              <w:jc w:val="left"/>
            </w:pPr>
            <w:r>
              <w:rPr>
                <w:rFonts w:ascii="仿宋_GB2312" w:hAnsi="仿宋_GB2312" w:eastAsia="仿宋_GB2312" w:cs="仿宋_GB2312"/>
              </w:rPr>
              <w:t>否</w:t>
            </w:r>
          </w:p>
        </w:tc>
        <w:tc>
          <w:tcPr>
            <w:tcW w:w="821" w:type="dxa"/>
          </w:tcPr>
          <w:p w14:paraId="5F417A65">
            <w:pPr>
              <w:pStyle w:val="4"/>
              <w:jc w:val="left"/>
            </w:pPr>
            <w:r>
              <w:rPr>
                <w:rFonts w:ascii="仿宋_GB2312" w:hAnsi="仿宋_GB2312" w:eastAsia="仿宋_GB2312" w:cs="仿宋_GB2312"/>
              </w:rPr>
              <w:t>否</w:t>
            </w:r>
          </w:p>
        </w:tc>
        <w:tc>
          <w:tcPr>
            <w:tcW w:w="639" w:type="dxa"/>
          </w:tcPr>
          <w:p w14:paraId="70A85364">
            <w:pPr>
              <w:pStyle w:val="4"/>
              <w:jc w:val="left"/>
            </w:pPr>
            <w:r>
              <w:rPr>
                <w:rFonts w:ascii="仿宋_GB2312" w:hAnsi="仿宋_GB2312" w:eastAsia="仿宋_GB2312" w:cs="仿宋_GB2312"/>
              </w:rPr>
              <w:t>否</w:t>
            </w:r>
          </w:p>
        </w:tc>
        <w:tc>
          <w:tcPr>
            <w:tcW w:w="639" w:type="dxa"/>
          </w:tcPr>
          <w:p w14:paraId="26650538">
            <w:pPr>
              <w:pStyle w:val="4"/>
              <w:jc w:val="left"/>
            </w:pPr>
            <w:r>
              <w:rPr>
                <w:rFonts w:ascii="仿宋_GB2312" w:hAnsi="仿宋_GB2312" w:eastAsia="仿宋_GB2312" w:cs="仿宋_GB2312"/>
              </w:rPr>
              <w:t>否</w:t>
            </w:r>
          </w:p>
        </w:tc>
      </w:tr>
    </w:tbl>
    <w:p w14:paraId="1E548C3A">
      <w:pPr>
        <w:pStyle w:val="4"/>
        <w:jc w:val="left"/>
      </w:pPr>
      <w:r>
        <w:rPr>
          <w:rFonts w:ascii="仿宋_GB2312" w:hAnsi="仿宋_GB2312" w:eastAsia="仿宋_GB2312" w:cs="仿宋_GB2312"/>
        </w:rPr>
        <w:t xml:space="preserve"> 是否适用本国产品标准：</w:t>
      </w:r>
    </w:p>
    <w:p w14:paraId="64D5FFBF">
      <w:pPr>
        <w:pStyle w:val="4"/>
        <w:jc w:val="left"/>
      </w:pPr>
      <w:r>
        <w:rPr>
          <w:rFonts w:ascii="仿宋_GB2312" w:hAnsi="仿宋_GB2312" w:eastAsia="仿宋_GB2312" w:cs="仿宋_GB2312"/>
        </w:rPr>
        <w:t>采购包1：否</w:t>
      </w:r>
    </w:p>
    <w:p w14:paraId="7C06BC5A">
      <w:pPr>
        <w:pStyle w:val="4"/>
        <w:jc w:val="left"/>
        <w:outlineLvl w:val="3"/>
      </w:pPr>
      <w:r>
        <w:rPr>
          <w:rFonts w:ascii="仿宋_GB2312" w:hAnsi="仿宋_GB2312" w:eastAsia="仿宋_GB2312" w:cs="仿宋_GB2312"/>
          <w:b/>
          <w:sz w:val="24"/>
        </w:rPr>
        <w:t>报价要求</w:t>
      </w:r>
    </w:p>
    <w:p w14:paraId="07D4BAE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7D85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1ED0F0">
            <w:pPr>
              <w:pStyle w:val="4"/>
              <w:jc w:val="center"/>
            </w:pPr>
            <w:r>
              <w:rPr>
                <w:rFonts w:ascii="仿宋_GB2312" w:hAnsi="仿宋_GB2312" w:eastAsia="仿宋_GB2312" w:cs="仿宋_GB2312"/>
              </w:rPr>
              <w:t>序号</w:t>
            </w:r>
          </w:p>
        </w:tc>
        <w:tc>
          <w:tcPr>
            <w:tcW w:w="1707" w:type="dxa"/>
          </w:tcPr>
          <w:p w14:paraId="0308B532">
            <w:pPr>
              <w:pStyle w:val="4"/>
              <w:jc w:val="center"/>
            </w:pPr>
            <w:r>
              <w:rPr>
                <w:rFonts w:ascii="仿宋_GB2312" w:hAnsi="仿宋_GB2312" w:eastAsia="仿宋_GB2312" w:cs="仿宋_GB2312"/>
              </w:rPr>
              <w:t>报价内容</w:t>
            </w:r>
          </w:p>
        </w:tc>
        <w:tc>
          <w:tcPr>
            <w:tcW w:w="1138" w:type="dxa"/>
          </w:tcPr>
          <w:p w14:paraId="5CABA52B">
            <w:pPr>
              <w:pStyle w:val="4"/>
              <w:jc w:val="center"/>
            </w:pPr>
            <w:r>
              <w:rPr>
                <w:rFonts w:ascii="仿宋_GB2312" w:hAnsi="仿宋_GB2312" w:eastAsia="仿宋_GB2312" w:cs="仿宋_GB2312"/>
              </w:rPr>
              <w:t>数量（计量单位）</w:t>
            </w:r>
          </w:p>
        </w:tc>
        <w:tc>
          <w:tcPr>
            <w:tcW w:w="1365" w:type="dxa"/>
          </w:tcPr>
          <w:p w14:paraId="74025D44">
            <w:pPr>
              <w:pStyle w:val="4"/>
              <w:jc w:val="center"/>
            </w:pPr>
            <w:r>
              <w:rPr>
                <w:rFonts w:ascii="仿宋_GB2312" w:hAnsi="仿宋_GB2312" w:eastAsia="仿宋_GB2312" w:cs="仿宋_GB2312"/>
              </w:rPr>
              <w:t>最高限价</w:t>
            </w:r>
          </w:p>
        </w:tc>
        <w:tc>
          <w:tcPr>
            <w:tcW w:w="1138" w:type="dxa"/>
          </w:tcPr>
          <w:p w14:paraId="1414DC70">
            <w:pPr>
              <w:pStyle w:val="4"/>
              <w:jc w:val="center"/>
            </w:pPr>
            <w:r>
              <w:rPr>
                <w:rFonts w:ascii="仿宋_GB2312" w:hAnsi="仿宋_GB2312" w:eastAsia="仿宋_GB2312" w:cs="仿宋_GB2312"/>
              </w:rPr>
              <w:t>价款形式</w:t>
            </w:r>
          </w:p>
        </w:tc>
        <w:tc>
          <w:tcPr>
            <w:tcW w:w="1934" w:type="dxa"/>
          </w:tcPr>
          <w:p w14:paraId="398FD06D">
            <w:pPr>
              <w:pStyle w:val="4"/>
              <w:jc w:val="center"/>
            </w:pPr>
            <w:r>
              <w:rPr>
                <w:rFonts w:ascii="仿宋_GB2312" w:hAnsi="仿宋_GB2312" w:eastAsia="仿宋_GB2312" w:cs="仿宋_GB2312"/>
              </w:rPr>
              <w:t>报价说明</w:t>
            </w:r>
          </w:p>
        </w:tc>
      </w:tr>
      <w:tr w14:paraId="18895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48C5E3">
            <w:pPr>
              <w:pStyle w:val="4"/>
              <w:jc w:val="center"/>
            </w:pPr>
            <w:r>
              <w:rPr>
                <w:rFonts w:ascii="仿宋_GB2312" w:hAnsi="仿宋_GB2312" w:eastAsia="仿宋_GB2312" w:cs="仿宋_GB2312"/>
              </w:rPr>
              <w:t>1</w:t>
            </w:r>
          </w:p>
        </w:tc>
        <w:tc>
          <w:tcPr>
            <w:tcW w:w="1707" w:type="dxa"/>
          </w:tcPr>
          <w:p w14:paraId="77032566">
            <w:pPr>
              <w:pStyle w:val="4"/>
              <w:jc w:val="center"/>
            </w:pPr>
            <w:r>
              <w:rPr>
                <w:rFonts w:ascii="仿宋_GB2312" w:hAnsi="仿宋_GB2312" w:eastAsia="仿宋_GB2312" w:cs="仿宋_GB2312"/>
              </w:rPr>
              <w:t>急诊急救信息系统</w:t>
            </w:r>
          </w:p>
        </w:tc>
        <w:tc>
          <w:tcPr>
            <w:tcW w:w="1138" w:type="dxa"/>
          </w:tcPr>
          <w:p w14:paraId="45C8E8A3">
            <w:pPr>
              <w:pStyle w:val="4"/>
              <w:jc w:val="center"/>
            </w:pPr>
            <w:r>
              <w:rPr>
                <w:rFonts w:ascii="仿宋_GB2312" w:hAnsi="仿宋_GB2312" w:eastAsia="仿宋_GB2312" w:cs="仿宋_GB2312"/>
              </w:rPr>
              <w:t>1.00（项）</w:t>
            </w:r>
          </w:p>
        </w:tc>
        <w:tc>
          <w:tcPr>
            <w:tcW w:w="1365" w:type="dxa"/>
          </w:tcPr>
          <w:p w14:paraId="03E95DB0">
            <w:pPr>
              <w:pStyle w:val="4"/>
              <w:jc w:val="center"/>
            </w:pPr>
            <w:r>
              <w:rPr>
                <w:rFonts w:ascii="仿宋_GB2312" w:hAnsi="仿宋_GB2312" w:eastAsia="仿宋_GB2312" w:cs="仿宋_GB2312"/>
              </w:rPr>
              <w:t>767,000.00</w:t>
            </w:r>
          </w:p>
        </w:tc>
        <w:tc>
          <w:tcPr>
            <w:tcW w:w="1138" w:type="dxa"/>
          </w:tcPr>
          <w:p w14:paraId="5FCC3295">
            <w:pPr>
              <w:pStyle w:val="4"/>
              <w:jc w:val="center"/>
            </w:pPr>
            <w:r>
              <w:rPr>
                <w:rFonts w:ascii="仿宋_GB2312" w:hAnsi="仿宋_GB2312" w:eastAsia="仿宋_GB2312" w:cs="仿宋_GB2312"/>
              </w:rPr>
              <w:t>总价</w:t>
            </w:r>
          </w:p>
        </w:tc>
        <w:tc>
          <w:tcPr>
            <w:tcW w:w="1934" w:type="dxa"/>
          </w:tcPr>
          <w:p w14:paraId="78209AF7">
            <w:pPr>
              <w:pStyle w:val="4"/>
              <w:jc w:val="left"/>
            </w:pPr>
            <w:r>
              <w:rPr>
                <w:rFonts w:ascii="仿宋_GB2312" w:hAnsi="仿宋_GB2312" w:eastAsia="仿宋_GB2312" w:cs="仿宋_GB2312"/>
              </w:rPr>
              <w:t>供应商的总报价是供应商响应采购项目要求的全部工作内容的价格体现，包括供应商完成本项目所需的一切费用。供应商报价范围包括但不限于：人员工资、社保、福利、培训、系统开发费、系统接口费、交通费、人员住宿、餐费、税费、管理费、代理费、各类保险等全部服务相关费用，采购人不再额外支付其余任何费用。</w:t>
            </w:r>
          </w:p>
        </w:tc>
      </w:tr>
    </w:tbl>
    <w:p w14:paraId="63E16C8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33E326CB">
      <w:pPr>
        <w:pStyle w:val="4"/>
        <w:jc w:val="left"/>
        <w:outlineLvl w:val="3"/>
      </w:pPr>
      <w:r>
        <w:rPr>
          <w:rFonts w:ascii="仿宋_GB2312" w:hAnsi="仿宋_GB2312" w:eastAsia="仿宋_GB2312" w:cs="仿宋_GB2312"/>
          <w:b/>
          <w:sz w:val="24"/>
        </w:rPr>
        <w:t>本项目涉及核心产品：</w:t>
      </w:r>
    </w:p>
    <w:p w14:paraId="105544B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8933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D56028">
            <w:pPr>
              <w:pStyle w:val="4"/>
              <w:jc w:val="center"/>
            </w:pPr>
            <w:r>
              <w:rPr>
                <w:rFonts w:ascii="仿宋_GB2312" w:hAnsi="仿宋_GB2312" w:eastAsia="仿宋_GB2312" w:cs="仿宋_GB2312"/>
              </w:rPr>
              <w:t>序号</w:t>
            </w:r>
          </w:p>
        </w:tc>
        <w:tc>
          <w:tcPr>
            <w:tcW w:w="2492" w:type="dxa"/>
          </w:tcPr>
          <w:p w14:paraId="2C4BE622">
            <w:pPr>
              <w:pStyle w:val="4"/>
              <w:jc w:val="center"/>
            </w:pPr>
            <w:r>
              <w:rPr>
                <w:rFonts w:ascii="仿宋_GB2312" w:hAnsi="仿宋_GB2312" w:eastAsia="仿宋_GB2312" w:cs="仿宋_GB2312"/>
              </w:rPr>
              <w:t>采购品目名称</w:t>
            </w:r>
          </w:p>
        </w:tc>
        <w:tc>
          <w:tcPr>
            <w:tcW w:w="2492" w:type="dxa"/>
          </w:tcPr>
          <w:p w14:paraId="36D45172">
            <w:pPr>
              <w:pStyle w:val="4"/>
              <w:jc w:val="center"/>
            </w:pPr>
            <w:r>
              <w:rPr>
                <w:rFonts w:ascii="仿宋_GB2312" w:hAnsi="仿宋_GB2312" w:eastAsia="仿宋_GB2312" w:cs="仿宋_GB2312"/>
              </w:rPr>
              <w:t>标的名称</w:t>
            </w:r>
          </w:p>
        </w:tc>
        <w:tc>
          <w:tcPr>
            <w:tcW w:w="2492" w:type="dxa"/>
          </w:tcPr>
          <w:p w14:paraId="5CCAF662">
            <w:pPr>
              <w:pStyle w:val="4"/>
              <w:jc w:val="center"/>
            </w:pPr>
            <w:r>
              <w:rPr>
                <w:rFonts w:ascii="仿宋_GB2312" w:hAnsi="仿宋_GB2312" w:eastAsia="仿宋_GB2312" w:cs="仿宋_GB2312"/>
              </w:rPr>
              <w:t>产品名称</w:t>
            </w:r>
          </w:p>
        </w:tc>
      </w:tr>
      <w:tr w14:paraId="11BF8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0D9EC67">
            <w:pPr>
              <w:pStyle w:val="4"/>
              <w:jc w:val="center"/>
            </w:pPr>
            <w:r>
              <w:rPr>
                <w:rFonts w:ascii="仿宋_GB2312" w:hAnsi="仿宋_GB2312" w:eastAsia="仿宋_GB2312" w:cs="仿宋_GB2312"/>
              </w:rPr>
              <w:t>不涉及</w:t>
            </w:r>
          </w:p>
        </w:tc>
      </w:tr>
    </w:tbl>
    <w:p w14:paraId="685C2D1C">
      <w:pPr>
        <w:pStyle w:val="4"/>
        <w:ind w:firstLine="480"/>
        <w:jc w:val="left"/>
      </w:pPr>
      <w:r>
        <w:rPr>
          <w:rFonts w:ascii="仿宋_GB2312" w:hAnsi="仿宋_GB2312" w:eastAsia="仿宋_GB2312" w:cs="仿宋_GB2312"/>
        </w:rPr>
        <w:t>注：涉及核心产品的，具体评审规定见第五章。</w:t>
      </w:r>
    </w:p>
    <w:p w14:paraId="54C06E2E">
      <w:pPr>
        <w:pStyle w:val="4"/>
        <w:jc w:val="left"/>
        <w:outlineLvl w:val="3"/>
      </w:pPr>
      <w:r>
        <w:rPr>
          <w:rFonts w:ascii="仿宋_GB2312" w:hAnsi="仿宋_GB2312" w:eastAsia="仿宋_GB2312" w:cs="仿宋_GB2312"/>
          <w:b/>
          <w:sz w:val="24"/>
        </w:rPr>
        <w:t>本项目涉及采购进口产品：</w:t>
      </w:r>
    </w:p>
    <w:p w14:paraId="33C9B3D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C7BA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034CD3">
            <w:pPr>
              <w:pStyle w:val="4"/>
              <w:jc w:val="center"/>
            </w:pPr>
            <w:r>
              <w:rPr>
                <w:rFonts w:ascii="仿宋_GB2312" w:hAnsi="仿宋_GB2312" w:eastAsia="仿宋_GB2312" w:cs="仿宋_GB2312"/>
              </w:rPr>
              <w:t>序号</w:t>
            </w:r>
          </w:p>
        </w:tc>
        <w:tc>
          <w:tcPr>
            <w:tcW w:w="2492" w:type="dxa"/>
          </w:tcPr>
          <w:p w14:paraId="47548D96">
            <w:pPr>
              <w:pStyle w:val="4"/>
              <w:jc w:val="center"/>
            </w:pPr>
            <w:r>
              <w:rPr>
                <w:rFonts w:ascii="仿宋_GB2312" w:hAnsi="仿宋_GB2312" w:eastAsia="仿宋_GB2312" w:cs="仿宋_GB2312"/>
              </w:rPr>
              <w:t>采购品目名称</w:t>
            </w:r>
          </w:p>
        </w:tc>
        <w:tc>
          <w:tcPr>
            <w:tcW w:w="2492" w:type="dxa"/>
          </w:tcPr>
          <w:p w14:paraId="54230CDA">
            <w:pPr>
              <w:pStyle w:val="4"/>
              <w:jc w:val="center"/>
            </w:pPr>
            <w:r>
              <w:rPr>
                <w:rFonts w:ascii="仿宋_GB2312" w:hAnsi="仿宋_GB2312" w:eastAsia="仿宋_GB2312" w:cs="仿宋_GB2312"/>
              </w:rPr>
              <w:t>标的名称</w:t>
            </w:r>
          </w:p>
        </w:tc>
        <w:tc>
          <w:tcPr>
            <w:tcW w:w="2492" w:type="dxa"/>
          </w:tcPr>
          <w:p w14:paraId="3E0C2C81">
            <w:pPr>
              <w:pStyle w:val="4"/>
              <w:jc w:val="center"/>
            </w:pPr>
            <w:r>
              <w:rPr>
                <w:rFonts w:ascii="仿宋_GB2312" w:hAnsi="仿宋_GB2312" w:eastAsia="仿宋_GB2312" w:cs="仿宋_GB2312"/>
              </w:rPr>
              <w:t>产品名称</w:t>
            </w:r>
          </w:p>
        </w:tc>
      </w:tr>
      <w:tr w14:paraId="5BF13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46A8491">
            <w:pPr>
              <w:pStyle w:val="4"/>
              <w:jc w:val="center"/>
            </w:pPr>
            <w:r>
              <w:rPr>
                <w:rFonts w:ascii="仿宋_GB2312" w:hAnsi="仿宋_GB2312" w:eastAsia="仿宋_GB2312" w:cs="仿宋_GB2312"/>
              </w:rPr>
              <w:t>不涉及</w:t>
            </w:r>
          </w:p>
        </w:tc>
      </w:tr>
    </w:tbl>
    <w:p w14:paraId="0023878B">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749B8612">
      <w:pPr>
        <w:pStyle w:val="4"/>
        <w:jc w:val="left"/>
        <w:outlineLvl w:val="3"/>
      </w:pPr>
      <w:r>
        <w:rPr>
          <w:rFonts w:ascii="仿宋_GB2312" w:hAnsi="仿宋_GB2312" w:eastAsia="仿宋_GB2312" w:cs="仿宋_GB2312"/>
          <w:b/>
          <w:sz w:val="24"/>
        </w:rPr>
        <w:t>本项目涉及强制采购节能产品：</w:t>
      </w:r>
    </w:p>
    <w:p w14:paraId="71D138D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0851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D0B937">
            <w:pPr>
              <w:pStyle w:val="4"/>
              <w:jc w:val="center"/>
            </w:pPr>
            <w:r>
              <w:rPr>
                <w:rFonts w:ascii="仿宋_GB2312" w:hAnsi="仿宋_GB2312" w:eastAsia="仿宋_GB2312" w:cs="仿宋_GB2312"/>
              </w:rPr>
              <w:t>序号</w:t>
            </w:r>
          </w:p>
        </w:tc>
        <w:tc>
          <w:tcPr>
            <w:tcW w:w="2492" w:type="dxa"/>
          </w:tcPr>
          <w:p w14:paraId="12BFAF6B">
            <w:pPr>
              <w:pStyle w:val="4"/>
              <w:jc w:val="center"/>
            </w:pPr>
            <w:r>
              <w:rPr>
                <w:rFonts w:ascii="仿宋_GB2312" w:hAnsi="仿宋_GB2312" w:eastAsia="仿宋_GB2312" w:cs="仿宋_GB2312"/>
              </w:rPr>
              <w:t>采购品目名称</w:t>
            </w:r>
          </w:p>
        </w:tc>
        <w:tc>
          <w:tcPr>
            <w:tcW w:w="2492" w:type="dxa"/>
          </w:tcPr>
          <w:p w14:paraId="4E4B746A">
            <w:pPr>
              <w:pStyle w:val="4"/>
              <w:jc w:val="center"/>
            </w:pPr>
            <w:r>
              <w:rPr>
                <w:rFonts w:ascii="仿宋_GB2312" w:hAnsi="仿宋_GB2312" w:eastAsia="仿宋_GB2312" w:cs="仿宋_GB2312"/>
              </w:rPr>
              <w:t>标的名称</w:t>
            </w:r>
          </w:p>
        </w:tc>
        <w:tc>
          <w:tcPr>
            <w:tcW w:w="2492" w:type="dxa"/>
          </w:tcPr>
          <w:p w14:paraId="1330FDBF">
            <w:pPr>
              <w:pStyle w:val="4"/>
              <w:jc w:val="center"/>
            </w:pPr>
            <w:r>
              <w:rPr>
                <w:rFonts w:ascii="仿宋_GB2312" w:hAnsi="仿宋_GB2312" w:eastAsia="仿宋_GB2312" w:cs="仿宋_GB2312"/>
              </w:rPr>
              <w:t>产品名称</w:t>
            </w:r>
          </w:p>
        </w:tc>
      </w:tr>
      <w:tr w14:paraId="12241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8658AA1">
            <w:pPr>
              <w:pStyle w:val="4"/>
              <w:jc w:val="center"/>
            </w:pPr>
            <w:r>
              <w:rPr>
                <w:rFonts w:ascii="仿宋_GB2312" w:hAnsi="仿宋_GB2312" w:eastAsia="仿宋_GB2312" w:cs="仿宋_GB2312"/>
              </w:rPr>
              <w:t>不涉及</w:t>
            </w:r>
          </w:p>
        </w:tc>
      </w:tr>
    </w:tbl>
    <w:p w14:paraId="4978A281">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47F753F">
      <w:pPr>
        <w:pStyle w:val="4"/>
        <w:jc w:val="left"/>
      </w:pPr>
      <w:r>
        <w:rPr>
          <w:rFonts w:ascii="仿宋_GB2312" w:hAnsi="仿宋_GB2312" w:eastAsia="仿宋_GB2312" w:cs="仿宋_GB2312"/>
          <w:b/>
        </w:rPr>
        <w:t>本项目涉及优先采购节能产品：</w:t>
      </w:r>
    </w:p>
    <w:p w14:paraId="03DEBDE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0E8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EE1506">
            <w:pPr>
              <w:pStyle w:val="4"/>
              <w:jc w:val="center"/>
            </w:pPr>
            <w:r>
              <w:rPr>
                <w:rFonts w:ascii="仿宋_GB2312" w:hAnsi="仿宋_GB2312" w:eastAsia="仿宋_GB2312" w:cs="仿宋_GB2312"/>
              </w:rPr>
              <w:t>序号</w:t>
            </w:r>
          </w:p>
        </w:tc>
        <w:tc>
          <w:tcPr>
            <w:tcW w:w="2492" w:type="dxa"/>
          </w:tcPr>
          <w:p w14:paraId="2B4DF7C6">
            <w:pPr>
              <w:pStyle w:val="4"/>
              <w:jc w:val="center"/>
            </w:pPr>
            <w:r>
              <w:rPr>
                <w:rFonts w:ascii="仿宋_GB2312" w:hAnsi="仿宋_GB2312" w:eastAsia="仿宋_GB2312" w:cs="仿宋_GB2312"/>
              </w:rPr>
              <w:t>采购品目名称</w:t>
            </w:r>
          </w:p>
        </w:tc>
        <w:tc>
          <w:tcPr>
            <w:tcW w:w="2492" w:type="dxa"/>
          </w:tcPr>
          <w:p w14:paraId="7C76CB34">
            <w:pPr>
              <w:pStyle w:val="4"/>
              <w:jc w:val="center"/>
            </w:pPr>
            <w:r>
              <w:rPr>
                <w:rFonts w:ascii="仿宋_GB2312" w:hAnsi="仿宋_GB2312" w:eastAsia="仿宋_GB2312" w:cs="仿宋_GB2312"/>
              </w:rPr>
              <w:t>标的名称</w:t>
            </w:r>
          </w:p>
        </w:tc>
        <w:tc>
          <w:tcPr>
            <w:tcW w:w="2492" w:type="dxa"/>
          </w:tcPr>
          <w:p w14:paraId="5A542757">
            <w:pPr>
              <w:pStyle w:val="4"/>
              <w:jc w:val="center"/>
            </w:pPr>
            <w:r>
              <w:rPr>
                <w:rFonts w:ascii="仿宋_GB2312" w:hAnsi="仿宋_GB2312" w:eastAsia="仿宋_GB2312" w:cs="仿宋_GB2312"/>
              </w:rPr>
              <w:t>产品名称</w:t>
            </w:r>
          </w:p>
        </w:tc>
      </w:tr>
      <w:tr w14:paraId="14FA5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C8A8A0">
            <w:pPr>
              <w:pStyle w:val="4"/>
              <w:jc w:val="center"/>
            </w:pPr>
            <w:r>
              <w:rPr>
                <w:rFonts w:ascii="仿宋_GB2312" w:hAnsi="仿宋_GB2312" w:eastAsia="仿宋_GB2312" w:cs="仿宋_GB2312"/>
              </w:rPr>
              <w:t>不涉及</w:t>
            </w:r>
          </w:p>
        </w:tc>
      </w:tr>
    </w:tbl>
    <w:p w14:paraId="328BB21D">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CD299F5">
      <w:pPr>
        <w:pStyle w:val="4"/>
        <w:jc w:val="left"/>
        <w:outlineLvl w:val="3"/>
      </w:pPr>
      <w:r>
        <w:rPr>
          <w:rFonts w:ascii="仿宋_GB2312" w:hAnsi="仿宋_GB2312" w:eastAsia="仿宋_GB2312" w:cs="仿宋_GB2312"/>
          <w:b/>
          <w:sz w:val="24"/>
        </w:rPr>
        <w:t>本项目涉及优先采购环境标志产品：</w:t>
      </w:r>
    </w:p>
    <w:p w14:paraId="0ED879E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0C6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C8809A">
            <w:pPr>
              <w:pStyle w:val="4"/>
              <w:jc w:val="center"/>
            </w:pPr>
            <w:r>
              <w:rPr>
                <w:rFonts w:ascii="仿宋_GB2312" w:hAnsi="仿宋_GB2312" w:eastAsia="仿宋_GB2312" w:cs="仿宋_GB2312"/>
              </w:rPr>
              <w:t>序号</w:t>
            </w:r>
          </w:p>
        </w:tc>
        <w:tc>
          <w:tcPr>
            <w:tcW w:w="2492" w:type="dxa"/>
          </w:tcPr>
          <w:p w14:paraId="39BC30AC">
            <w:pPr>
              <w:pStyle w:val="4"/>
              <w:jc w:val="center"/>
            </w:pPr>
            <w:r>
              <w:rPr>
                <w:rFonts w:ascii="仿宋_GB2312" w:hAnsi="仿宋_GB2312" w:eastAsia="仿宋_GB2312" w:cs="仿宋_GB2312"/>
              </w:rPr>
              <w:t>采购品目名称</w:t>
            </w:r>
          </w:p>
        </w:tc>
        <w:tc>
          <w:tcPr>
            <w:tcW w:w="2492" w:type="dxa"/>
          </w:tcPr>
          <w:p w14:paraId="0F0F03AB">
            <w:pPr>
              <w:pStyle w:val="4"/>
              <w:jc w:val="center"/>
            </w:pPr>
            <w:r>
              <w:rPr>
                <w:rFonts w:ascii="仿宋_GB2312" w:hAnsi="仿宋_GB2312" w:eastAsia="仿宋_GB2312" w:cs="仿宋_GB2312"/>
              </w:rPr>
              <w:t>标的名称</w:t>
            </w:r>
          </w:p>
        </w:tc>
        <w:tc>
          <w:tcPr>
            <w:tcW w:w="2492" w:type="dxa"/>
          </w:tcPr>
          <w:p w14:paraId="52DCD77A">
            <w:pPr>
              <w:pStyle w:val="4"/>
              <w:jc w:val="center"/>
            </w:pPr>
            <w:r>
              <w:rPr>
                <w:rFonts w:ascii="仿宋_GB2312" w:hAnsi="仿宋_GB2312" w:eastAsia="仿宋_GB2312" w:cs="仿宋_GB2312"/>
              </w:rPr>
              <w:t>产品名称</w:t>
            </w:r>
          </w:p>
        </w:tc>
      </w:tr>
      <w:tr w14:paraId="448D7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0E9951A">
            <w:pPr>
              <w:pStyle w:val="4"/>
              <w:jc w:val="center"/>
            </w:pPr>
            <w:r>
              <w:rPr>
                <w:rFonts w:ascii="仿宋_GB2312" w:hAnsi="仿宋_GB2312" w:eastAsia="仿宋_GB2312" w:cs="仿宋_GB2312"/>
              </w:rPr>
              <w:t>不涉及</w:t>
            </w:r>
          </w:p>
        </w:tc>
      </w:tr>
    </w:tbl>
    <w:p w14:paraId="4D166560">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3950E7B">
      <w:pPr>
        <w:pStyle w:val="4"/>
        <w:jc w:val="left"/>
        <w:outlineLvl w:val="2"/>
      </w:pPr>
      <w:r>
        <w:rPr>
          <w:rFonts w:ascii="仿宋_GB2312" w:hAnsi="仿宋_GB2312" w:eastAsia="仿宋_GB2312" w:cs="仿宋_GB2312"/>
          <w:b/>
          <w:sz w:val="28"/>
        </w:rPr>
        <w:t>3.2.技术要求</w:t>
      </w:r>
    </w:p>
    <w:p w14:paraId="35C62192">
      <w:pPr>
        <w:pStyle w:val="4"/>
        <w:jc w:val="left"/>
      </w:pPr>
      <w:r>
        <w:rPr>
          <w:rFonts w:ascii="仿宋_GB2312" w:hAnsi="仿宋_GB2312" w:eastAsia="仿宋_GB2312" w:cs="仿宋_GB2312"/>
        </w:rPr>
        <w:t>采购包1：</w:t>
      </w:r>
    </w:p>
    <w:p w14:paraId="2927159B">
      <w:pPr>
        <w:pStyle w:val="4"/>
        <w:jc w:val="left"/>
      </w:pPr>
      <w:r>
        <w:rPr>
          <w:rFonts w:ascii="仿宋_GB2312" w:hAnsi="仿宋_GB2312" w:eastAsia="仿宋_GB2312" w:cs="仿宋_GB2312"/>
        </w:rPr>
        <w:t>标的名称：急诊急救信息系统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CD9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2573E1">
            <w:pPr>
              <w:pStyle w:val="4"/>
              <w:jc w:val="center"/>
            </w:pPr>
            <w:r>
              <w:rPr>
                <w:rFonts w:ascii="仿宋_GB2312" w:hAnsi="仿宋_GB2312" w:eastAsia="仿宋_GB2312" w:cs="仿宋_GB2312"/>
              </w:rPr>
              <w:t>序号</w:t>
            </w:r>
          </w:p>
        </w:tc>
        <w:tc>
          <w:tcPr>
            <w:tcW w:w="581" w:type="dxa"/>
          </w:tcPr>
          <w:p w14:paraId="0720E825">
            <w:pPr>
              <w:pStyle w:val="4"/>
              <w:jc w:val="center"/>
            </w:pPr>
            <w:r>
              <w:rPr>
                <w:rFonts w:ascii="仿宋_GB2312" w:hAnsi="仿宋_GB2312" w:eastAsia="仿宋_GB2312" w:cs="仿宋_GB2312"/>
              </w:rPr>
              <w:t>符号标识</w:t>
            </w:r>
          </w:p>
        </w:tc>
        <w:tc>
          <w:tcPr>
            <w:tcW w:w="1495" w:type="dxa"/>
          </w:tcPr>
          <w:p w14:paraId="2420CC98">
            <w:pPr>
              <w:pStyle w:val="4"/>
              <w:jc w:val="center"/>
            </w:pPr>
            <w:r>
              <w:rPr>
                <w:rFonts w:ascii="仿宋_GB2312" w:hAnsi="仿宋_GB2312" w:eastAsia="仿宋_GB2312" w:cs="仿宋_GB2312"/>
              </w:rPr>
              <w:t>技术要求名称</w:t>
            </w:r>
          </w:p>
        </w:tc>
        <w:tc>
          <w:tcPr>
            <w:tcW w:w="5814" w:type="dxa"/>
          </w:tcPr>
          <w:p w14:paraId="28AEBA5B">
            <w:pPr>
              <w:pStyle w:val="4"/>
              <w:jc w:val="center"/>
            </w:pPr>
            <w:r>
              <w:rPr>
                <w:rFonts w:ascii="仿宋_GB2312" w:hAnsi="仿宋_GB2312" w:eastAsia="仿宋_GB2312" w:cs="仿宋_GB2312"/>
              </w:rPr>
              <w:t>技术参数与性能指标</w:t>
            </w:r>
          </w:p>
        </w:tc>
      </w:tr>
      <w:tr w14:paraId="310AB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F1CDE6">
            <w:pPr>
              <w:pStyle w:val="4"/>
              <w:jc w:val="center"/>
            </w:pPr>
            <w:r>
              <w:rPr>
                <w:rFonts w:ascii="仿宋_GB2312" w:hAnsi="仿宋_GB2312" w:eastAsia="仿宋_GB2312" w:cs="仿宋_GB2312"/>
              </w:rPr>
              <w:t>1</w:t>
            </w:r>
          </w:p>
        </w:tc>
        <w:tc>
          <w:tcPr>
            <w:tcW w:w="581" w:type="dxa"/>
          </w:tcPr>
          <w:p w14:paraId="0EEF8791">
            <w:pPr>
              <w:pStyle w:val="4"/>
              <w:jc w:val="center"/>
            </w:pPr>
            <w:r>
              <w:rPr>
                <w:rFonts w:ascii="仿宋_GB2312" w:hAnsi="仿宋_GB2312" w:eastAsia="仿宋_GB2312" w:cs="仿宋_GB2312"/>
              </w:rPr>
              <w:t>★</w:t>
            </w:r>
          </w:p>
        </w:tc>
        <w:tc>
          <w:tcPr>
            <w:tcW w:w="1495" w:type="dxa"/>
          </w:tcPr>
          <w:p w14:paraId="58FD195B">
            <w:pPr>
              <w:pStyle w:val="4"/>
              <w:jc w:val="left"/>
            </w:pPr>
            <w:r>
              <w:rPr>
                <w:rFonts w:ascii="仿宋_GB2312" w:hAnsi="仿宋_GB2312" w:eastAsia="仿宋_GB2312" w:cs="仿宋_GB2312"/>
              </w:rPr>
              <w:t>技术参数与服务要求 所需要的接口等费用包含在投标总价里面。</w:t>
            </w:r>
          </w:p>
        </w:tc>
        <w:tc>
          <w:tcPr>
            <w:tcW w:w="5814" w:type="dxa"/>
          </w:tcPr>
          <w:p w14:paraId="366C2272">
            <w:pPr>
              <w:pStyle w:val="4"/>
              <w:jc w:val="both"/>
            </w:pPr>
            <w:r>
              <w:rPr>
                <w:rFonts w:ascii="仿宋_GB2312" w:hAnsi="仿宋_GB2312" w:eastAsia="仿宋_GB2312" w:cs="仿宋_GB2312"/>
                <w:sz w:val="24"/>
              </w:rPr>
              <w:t xml:space="preserve">    1.★本项目需和现有检验、检查、平台、HIS、手麻、重症等信息系统及后期市120统建的信息平台做对接，涉及到的三方厂商配合，由成交供应商负责协调，涉及的相关费用包含在投标总价里面。</w:t>
            </w:r>
          </w:p>
          <w:p w14:paraId="6669AF02">
            <w:pPr>
              <w:pStyle w:val="4"/>
              <w:jc w:val="both"/>
            </w:pPr>
            <w:r>
              <w:rPr>
                <w:rFonts w:ascii="仿宋_GB2312" w:hAnsi="仿宋_GB2312" w:eastAsia="仿宋_GB2312" w:cs="仿宋_GB2312"/>
                <w:sz w:val="24"/>
              </w:rPr>
              <w:t xml:space="preserve"> 2.★成交供应商需单独承诺所投产品须兼容采购人现有的预检分诊系统、院前急救系统、HIS系统、手麻系统、重症系统，实现全面无缝对接、全部数据互通共享，确保系统运行稳定。满足医院电子病历五级及互联互通4乙测评相关功能和数据要求。（单独提供承诺函，格式自拟）</w:t>
            </w:r>
          </w:p>
          <w:p w14:paraId="55F30789">
            <w:pPr>
              <w:pStyle w:val="4"/>
              <w:jc w:val="both"/>
            </w:pPr>
            <w:r>
              <w:rPr>
                <w:rFonts w:ascii="仿宋_GB2312" w:hAnsi="仿宋_GB2312" w:eastAsia="仿宋_GB2312" w:cs="仿宋_GB2312"/>
                <w:sz w:val="24"/>
              </w:rPr>
              <w:t xml:space="preserve">  3.★系统需支持米易县人民医院及中医医院院区使用，两个院区数据既能相对独立又能一起统计展示。</w:t>
            </w:r>
          </w:p>
          <w:p w14:paraId="53C96EEF">
            <w:pPr>
              <w:pStyle w:val="4"/>
              <w:spacing w:after="120"/>
              <w:jc w:val="both"/>
            </w:pPr>
            <w:r>
              <w:rPr>
                <w:rFonts w:ascii="仿宋_GB2312" w:hAnsi="仿宋_GB2312" w:eastAsia="仿宋_GB2312" w:cs="仿宋_GB2312"/>
              </w:rPr>
              <w:t xml:space="preserve">    4.</w:t>
            </w:r>
            <w:r>
              <w:rPr>
                <w:rFonts w:ascii="仿宋_GB2312" w:hAnsi="仿宋_GB2312" w:eastAsia="仿宋_GB2312" w:cs="仿宋_GB2312"/>
                <w:sz w:val="24"/>
              </w:rPr>
              <w:t>★急诊科设备（心电监护仪+除颤监护仪）接口要求：上线期至维保期结束，须确保接入急诊急救系统且可正常使用设备数量不少于18台，</w:t>
            </w:r>
            <w:r>
              <w:rPr>
                <w:rFonts w:ascii="仿宋_GB2312" w:hAnsi="仿宋_GB2312" w:eastAsia="仿宋_GB2312" w:cs="仿宋_GB2312"/>
              </w:rPr>
              <w:t>涉及的相关费用包含在投标总价里面。</w:t>
            </w:r>
          </w:p>
          <w:p w14:paraId="3B8CCA88">
            <w:pPr>
              <w:pStyle w:val="4"/>
              <w:spacing w:after="120"/>
              <w:jc w:val="both"/>
            </w:pPr>
            <w:r>
              <w:rPr>
                <w:rFonts w:ascii="仿宋_GB2312" w:hAnsi="仿宋_GB2312" w:eastAsia="仿宋_GB2312" w:cs="仿宋_GB2312"/>
                <w:sz w:val="21"/>
              </w:rPr>
              <w:t xml:space="preserve"> </w:t>
            </w:r>
          </w:p>
        </w:tc>
      </w:tr>
      <w:tr w14:paraId="3389D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2B412F">
            <w:pPr>
              <w:pStyle w:val="4"/>
              <w:jc w:val="center"/>
            </w:pPr>
            <w:r>
              <w:rPr>
                <w:rFonts w:ascii="仿宋_GB2312" w:hAnsi="仿宋_GB2312" w:eastAsia="仿宋_GB2312" w:cs="仿宋_GB2312"/>
              </w:rPr>
              <w:t>2</w:t>
            </w:r>
          </w:p>
        </w:tc>
        <w:tc>
          <w:tcPr>
            <w:tcW w:w="581" w:type="dxa"/>
          </w:tcPr>
          <w:p w14:paraId="06FE3467"/>
        </w:tc>
        <w:tc>
          <w:tcPr>
            <w:tcW w:w="1495" w:type="dxa"/>
          </w:tcPr>
          <w:p w14:paraId="26CE0C1C">
            <w:pPr>
              <w:pStyle w:val="4"/>
              <w:jc w:val="left"/>
            </w:pPr>
            <w:r>
              <w:rPr>
                <w:rFonts w:ascii="仿宋_GB2312" w:hAnsi="仿宋_GB2312" w:eastAsia="仿宋_GB2312" w:cs="仿宋_GB2312"/>
              </w:rPr>
              <w:t>技术参数与服务要求</w:t>
            </w:r>
          </w:p>
        </w:tc>
        <w:tc>
          <w:tcPr>
            <w:tcW w:w="5814" w:type="dxa"/>
          </w:tcPr>
          <w:p w14:paraId="68A16978">
            <w:pPr>
              <w:pStyle w:val="4"/>
              <w:jc w:val="both"/>
            </w:pPr>
            <w:r>
              <w:rPr>
                <w:rFonts w:ascii="仿宋_GB2312" w:hAnsi="仿宋_GB2312" w:eastAsia="仿宋_GB2312" w:cs="仿宋_GB2312"/>
                <w:b/>
                <w:sz w:val="21"/>
              </w:rPr>
              <w:t>急诊门诊工作站</w:t>
            </w:r>
          </w:p>
          <w:p w14:paraId="165008C1">
            <w:pPr>
              <w:pStyle w:val="4"/>
              <w:jc w:val="both"/>
            </w:pPr>
            <w:r>
              <w:rPr>
                <w:rFonts w:ascii="仿宋_GB2312" w:hAnsi="仿宋_GB2312" w:eastAsia="仿宋_GB2312" w:cs="仿宋_GB2312"/>
                <w:sz w:val="21"/>
              </w:rPr>
              <w:t>1.支持登记患者的基本信息，包含：患者姓名、性别、出生日期、地址、电话、身份证号、联系人等信息；</w:t>
            </w:r>
          </w:p>
          <w:p w14:paraId="00ABD3FC">
            <w:pPr>
              <w:pStyle w:val="4"/>
              <w:jc w:val="both"/>
            </w:pPr>
            <w:r>
              <w:rPr>
                <w:rFonts w:ascii="仿宋_GB2312" w:hAnsi="仿宋_GB2312" w:eastAsia="仿宋_GB2312" w:cs="仿宋_GB2312"/>
                <w:sz w:val="21"/>
              </w:rPr>
              <w:t>2.支持输入患者就诊卡号、身份证号码后自动识别患者出生日期、性别、年龄等信息；</w:t>
            </w:r>
          </w:p>
          <w:p w14:paraId="6C9405AA">
            <w:pPr>
              <w:pStyle w:val="4"/>
              <w:jc w:val="both"/>
            </w:pPr>
            <w:r>
              <w:rPr>
                <w:rFonts w:ascii="仿宋_GB2312" w:hAnsi="仿宋_GB2312" w:eastAsia="仿宋_GB2312" w:cs="仿宋_GB2312"/>
                <w:sz w:val="21"/>
              </w:rPr>
              <w:t>3.支持读卡器，实现通过患者身份证、就诊卡、医保卡中读取患者基本资料的功能；</w:t>
            </w:r>
          </w:p>
          <w:p w14:paraId="7B1CAEAD">
            <w:pPr>
              <w:pStyle w:val="4"/>
              <w:jc w:val="both"/>
            </w:pPr>
            <w:r>
              <w:rPr>
                <w:rFonts w:ascii="仿宋_GB2312" w:hAnsi="仿宋_GB2312" w:eastAsia="仿宋_GB2312" w:cs="仿宋_GB2312"/>
                <w:sz w:val="21"/>
              </w:rPr>
              <w:t>4.支持就诊卡对接院内HIS系统获取患者信息，减少医护人员录入工作量；</w:t>
            </w:r>
          </w:p>
          <w:p w14:paraId="0C4AD40E">
            <w:pPr>
              <w:pStyle w:val="4"/>
              <w:jc w:val="both"/>
            </w:pPr>
            <w:r>
              <w:rPr>
                <w:rFonts w:ascii="仿宋_GB2312" w:hAnsi="仿宋_GB2312" w:eastAsia="仿宋_GB2312" w:cs="仿宋_GB2312"/>
                <w:sz w:val="21"/>
              </w:rPr>
              <w:t>5.支持对接监护仪、血氧仪等设备自动采集患者体征；</w:t>
            </w:r>
          </w:p>
          <w:p w14:paraId="2208B697">
            <w:pPr>
              <w:pStyle w:val="4"/>
              <w:jc w:val="both"/>
            </w:pPr>
            <w:r>
              <w:rPr>
                <w:rFonts w:ascii="仿宋_GB2312" w:hAnsi="仿宋_GB2312" w:eastAsia="仿宋_GB2312" w:cs="仿宋_GB2312"/>
                <w:sz w:val="21"/>
              </w:rPr>
              <w:t>6.支持常用急诊病人病情评估评分表，其中如MEWS涉及生命体征可根据已有数据自动填写并计算评分，免去登记护士的二次填写评分；</w:t>
            </w:r>
          </w:p>
          <w:p w14:paraId="37F88D48">
            <w:pPr>
              <w:pStyle w:val="4"/>
              <w:jc w:val="both"/>
            </w:pPr>
            <w:r>
              <w:rPr>
                <w:rFonts w:ascii="仿宋_GB2312" w:hAnsi="仿宋_GB2312" w:eastAsia="仿宋_GB2312" w:cs="仿宋_GB2312"/>
                <w:sz w:val="21"/>
              </w:rPr>
              <w:t>7.支持发病时间，来院时间，来院方式登记，来院方式可通过系统设置自定义添加，来院方式支持关联双向转诊；</w:t>
            </w:r>
          </w:p>
          <w:p w14:paraId="25AD0FDA">
            <w:pPr>
              <w:pStyle w:val="4"/>
              <w:jc w:val="both"/>
            </w:pPr>
            <w:r>
              <w:rPr>
                <w:rFonts w:ascii="仿宋_GB2312" w:hAnsi="仿宋_GB2312" w:eastAsia="仿宋_GB2312" w:cs="仿宋_GB2312"/>
                <w:sz w:val="21"/>
              </w:rPr>
              <w:t>8.支持三无人员登记并建档；</w:t>
            </w:r>
          </w:p>
          <w:p w14:paraId="73DB2169">
            <w:pPr>
              <w:pStyle w:val="4"/>
              <w:jc w:val="both"/>
            </w:pPr>
            <w:r>
              <w:rPr>
                <w:rFonts w:ascii="仿宋_GB2312" w:hAnsi="仿宋_GB2312" w:eastAsia="仿宋_GB2312" w:cs="仿宋_GB2312"/>
                <w:sz w:val="21"/>
              </w:rPr>
              <w:t>9.支持门诊转急诊患者免挂号直接登记；</w:t>
            </w:r>
          </w:p>
          <w:p w14:paraId="3542CF51">
            <w:pPr>
              <w:pStyle w:val="4"/>
              <w:jc w:val="both"/>
            </w:pPr>
            <w:r>
              <w:rPr>
                <w:rFonts w:ascii="仿宋_GB2312" w:hAnsi="仿宋_GB2312" w:eastAsia="仿宋_GB2312" w:cs="仿宋_GB2312"/>
                <w:sz w:val="21"/>
              </w:rPr>
              <w:t>10.支持急诊绿色通道，绿道状态实时同步至HIS、LIS、PACS等第三方相关系统，由第三方系统进行通知，对于需开通绿色通道的急危重症患者，允许先诊疗后缴费；</w:t>
            </w:r>
          </w:p>
          <w:p w14:paraId="6D4A2313">
            <w:pPr>
              <w:pStyle w:val="4"/>
              <w:jc w:val="both"/>
            </w:pPr>
            <w:r>
              <w:rPr>
                <w:rFonts w:ascii="仿宋_GB2312" w:hAnsi="仿宋_GB2312" w:eastAsia="仿宋_GB2312" w:cs="仿宋_GB2312"/>
                <w:sz w:val="21"/>
              </w:rPr>
              <w:t>11.支持重点病种，支持标识重点病种病人如胸痛、卒中、创伤、心衰、呼衰、中毒等，重点病种患者自动开通绿色通道；</w:t>
            </w:r>
          </w:p>
          <w:p w14:paraId="0828A77F">
            <w:pPr>
              <w:pStyle w:val="4"/>
              <w:jc w:val="both"/>
            </w:pPr>
            <w:r>
              <w:rPr>
                <w:rFonts w:ascii="仿宋_GB2312" w:hAnsi="仿宋_GB2312" w:eastAsia="仿宋_GB2312" w:cs="仿宋_GB2312"/>
                <w:sz w:val="21"/>
              </w:rPr>
              <w:t>12.支持特殊人群登记，支持如三无人员、孕妇、传染病等，可通过系统设置增加新的标识；</w:t>
            </w:r>
          </w:p>
          <w:p w14:paraId="02352228">
            <w:pPr>
              <w:pStyle w:val="4"/>
              <w:jc w:val="both"/>
            </w:pPr>
            <w:r>
              <w:rPr>
                <w:rFonts w:ascii="仿宋_GB2312" w:hAnsi="仿宋_GB2312" w:eastAsia="仿宋_GB2312" w:cs="仿宋_GB2312"/>
                <w:sz w:val="21"/>
              </w:rPr>
              <w:t>13.支持发热患者，体温超过临界值自动同步患者信息至发热登记表；</w:t>
            </w:r>
          </w:p>
          <w:p w14:paraId="33B60195">
            <w:pPr>
              <w:pStyle w:val="4"/>
              <w:jc w:val="both"/>
            </w:pPr>
            <w:r>
              <w:rPr>
                <w:rFonts w:ascii="仿宋_GB2312" w:hAnsi="仿宋_GB2312" w:eastAsia="仿宋_GB2312" w:cs="仿宋_GB2312"/>
                <w:sz w:val="21"/>
              </w:rPr>
              <w:t>14.支持双向转诊患者登记，根据来院方式自动同步至患者双向转诊登记表；</w:t>
            </w:r>
          </w:p>
          <w:p w14:paraId="7750AA0A">
            <w:pPr>
              <w:pStyle w:val="4"/>
              <w:jc w:val="both"/>
            </w:pPr>
            <w:r>
              <w:rPr>
                <w:rFonts w:ascii="仿宋_GB2312" w:hAnsi="仿宋_GB2312" w:eastAsia="仿宋_GB2312" w:cs="仿宋_GB2312"/>
                <w:sz w:val="21"/>
              </w:rPr>
              <w:t>15.支持登记记录查找，可通过登记日期、患者姓名、病情分区、病情分级、登记人、接诊医生、标记类型等条件查找登记信息并支持导出Excel；</w:t>
            </w:r>
          </w:p>
          <w:p w14:paraId="75EA99E4">
            <w:pPr>
              <w:pStyle w:val="4"/>
              <w:jc w:val="both"/>
            </w:pPr>
            <w:r>
              <w:rPr>
                <w:rFonts w:ascii="仿宋_GB2312" w:hAnsi="仿宋_GB2312" w:eastAsia="仿宋_GB2312" w:cs="仿宋_GB2312"/>
                <w:sz w:val="21"/>
              </w:rPr>
              <w:t>16.支持登记时打印腕带、标签、缴费单；</w:t>
            </w:r>
          </w:p>
          <w:p w14:paraId="2D365AA6">
            <w:pPr>
              <w:pStyle w:val="4"/>
              <w:jc w:val="both"/>
            </w:pPr>
            <w:r>
              <w:rPr>
                <w:rFonts w:ascii="仿宋_GB2312" w:hAnsi="仿宋_GB2312" w:eastAsia="仿宋_GB2312" w:cs="仿宋_GB2312"/>
                <w:sz w:val="21"/>
              </w:rPr>
              <w:t>17.▲支持动物伤害登记，标记为动物伤患者可查看免疫注射情况或进行免疫信息登记，根据接种类型自动生成注射计划，支持查看每日系统登记的所有动物伤患者计划接种情况并进行逾期接种提醒；（提供系统功能截图或产品说明书或产品彩页等相关证明资料）</w:t>
            </w:r>
          </w:p>
          <w:p w14:paraId="3C3D9C8E">
            <w:pPr>
              <w:pStyle w:val="4"/>
              <w:jc w:val="both"/>
            </w:pPr>
            <w:r>
              <w:rPr>
                <w:rFonts w:ascii="仿宋_GB2312" w:hAnsi="仿宋_GB2312" w:eastAsia="仿宋_GB2312" w:cs="仿宋_GB2312"/>
                <w:sz w:val="21"/>
              </w:rPr>
              <w:t>18.支持特殊名单管理，名单内患者来诊会进行特殊醒目提醒，支持医生端查看该患者的备注原因；</w:t>
            </w:r>
          </w:p>
          <w:p w14:paraId="10079F75">
            <w:pPr>
              <w:pStyle w:val="4"/>
              <w:jc w:val="both"/>
            </w:pPr>
            <w:r>
              <w:rPr>
                <w:rFonts w:ascii="仿宋_GB2312" w:hAnsi="仿宋_GB2312" w:eastAsia="仿宋_GB2312" w:cs="仿宋_GB2312"/>
                <w:sz w:val="21"/>
              </w:rPr>
              <w:t>19.支持群伤事件登记，记录事件类型、发生时间、致伤地点、事件内容说明、抢救措施及经过，实现对患者病情监控、去向追踪等功能；</w:t>
            </w:r>
          </w:p>
          <w:p w14:paraId="64BF6C4F">
            <w:pPr>
              <w:pStyle w:val="4"/>
              <w:jc w:val="both"/>
            </w:pPr>
            <w:r>
              <w:rPr>
                <w:rFonts w:ascii="仿宋_GB2312" w:hAnsi="仿宋_GB2312" w:eastAsia="仿宋_GB2312" w:cs="仿宋_GB2312"/>
                <w:sz w:val="21"/>
              </w:rPr>
              <w:t>20.支持群伤患者批量建档、挂号；</w:t>
            </w:r>
          </w:p>
          <w:p w14:paraId="445E7664">
            <w:pPr>
              <w:pStyle w:val="4"/>
              <w:jc w:val="both"/>
            </w:pPr>
            <w:r>
              <w:rPr>
                <w:rFonts w:ascii="仿宋_GB2312" w:hAnsi="仿宋_GB2312" w:eastAsia="仿宋_GB2312" w:cs="仿宋_GB2312"/>
                <w:sz w:val="21"/>
              </w:rPr>
              <w:t>21.支持群伤事件事后补录并关联已经登记的患者；</w:t>
            </w:r>
          </w:p>
          <w:p w14:paraId="3EA7C7DA">
            <w:pPr>
              <w:pStyle w:val="4"/>
              <w:jc w:val="both"/>
            </w:pPr>
            <w:r>
              <w:rPr>
                <w:rFonts w:ascii="仿宋_GB2312" w:hAnsi="仿宋_GB2312" w:eastAsia="仿宋_GB2312" w:cs="仿宋_GB2312"/>
                <w:sz w:val="21"/>
              </w:rPr>
              <w:t>22.支持事件内容导出为Excel格式，内容包含：事件名称、类型、发生时间、地点、涉及人数、患者列表、事件说明、抢救措施、抢救结果等信息；</w:t>
            </w:r>
          </w:p>
          <w:p w14:paraId="34302FF9">
            <w:pPr>
              <w:pStyle w:val="4"/>
              <w:jc w:val="both"/>
            </w:pPr>
            <w:r>
              <w:rPr>
                <w:rFonts w:ascii="仿宋_GB2312" w:hAnsi="仿宋_GB2312" w:eastAsia="仿宋_GB2312" w:cs="仿宋_GB2312"/>
                <w:b/>
                <w:sz w:val="21"/>
              </w:rPr>
              <w:t>急诊医生工作站</w:t>
            </w:r>
          </w:p>
          <w:p w14:paraId="13317A46">
            <w:pPr>
              <w:pStyle w:val="4"/>
              <w:jc w:val="both"/>
            </w:pPr>
            <w:r>
              <w:rPr>
                <w:rFonts w:ascii="仿宋_GB2312" w:hAnsi="仿宋_GB2312" w:eastAsia="仿宋_GB2312" w:cs="仿宋_GB2312"/>
                <w:sz w:val="21"/>
              </w:rPr>
              <w:t>23.支持一体化工作台,允许医生在同一界面完成诊断开立、病历书写，检验、检查、处方、处置下达的工作内容；</w:t>
            </w:r>
          </w:p>
          <w:p w14:paraId="595CDEA1">
            <w:pPr>
              <w:pStyle w:val="4"/>
              <w:jc w:val="both"/>
            </w:pPr>
            <w:r>
              <w:rPr>
                <w:rFonts w:ascii="仿宋_GB2312" w:hAnsi="仿宋_GB2312" w:eastAsia="仿宋_GB2312" w:cs="仿宋_GB2312"/>
                <w:sz w:val="21"/>
              </w:rPr>
              <w:t>24.支持快速查看候诊、已诊病人列表，根据患者登记等级调整顺序，优先展示高级别待诊患者；</w:t>
            </w:r>
          </w:p>
          <w:p w14:paraId="71D8F6AD">
            <w:pPr>
              <w:pStyle w:val="4"/>
              <w:jc w:val="both"/>
            </w:pPr>
            <w:r>
              <w:rPr>
                <w:rFonts w:ascii="仿宋_GB2312" w:hAnsi="仿宋_GB2312" w:eastAsia="仿宋_GB2312" w:cs="仿宋_GB2312"/>
                <w:sz w:val="21"/>
              </w:rPr>
              <w:t>25.支持多科室交叉看诊，允许非接诊医生继续治疗；</w:t>
            </w:r>
          </w:p>
          <w:p w14:paraId="56EEAFA8">
            <w:pPr>
              <w:pStyle w:val="4"/>
              <w:jc w:val="both"/>
            </w:pPr>
            <w:r>
              <w:rPr>
                <w:rFonts w:ascii="仿宋_GB2312" w:hAnsi="仿宋_GB2312" w:eastAsia="仿宋_GB2312" w:cs="仿宋_GB2312"/>
                <w:sz w:val="21"/>
              </w:rPr>
              <w:t>26.支持医生在诊疗过程中可随时申请开通绿色通道或退出绿色通道，同时绿道状态实时同步至HIS、LIS、PACS等第三方相关系统，由第三方系统进行通知，允许患者先诊疗后缴费；</w:t>
            </w:r>
          </w:p>
          <w:p w14:paraId="2E9A2CC4">
            <w:pPr>
              <w:pStyle w:val="4"/>
              <w:jc w:val="both"/>
            </w:pPr>
            <w:r>
              <w:rPr>
                <w:rFonts w:ascii="仿宋_GB2312" w:hAnsi="仿宋_GB2312" w:eastAsia="仿宋_GB2312" w:cs="仿宋_GB2312"/>
                <w:sz w:val="21"/>
              </w:rPr>
              <w:t>27.支持患者信息总览，根据患者急诊就诊历史记录回顾患者登记信息、诊断信息、医嘱信息、检查检验结果、危急值记录；</w:t>
            </w:r>
          </w:p>
          <w:p w14:paraId="0A765270">
            <w:pPr>
              <w:pStyle w:val="4"/>
              <w:jc w:val="both"/>
            </w:pPr>
            <w:r>
              <w:rPr>
                <w:rFonts w:ascii="仿宋_GB2312" w:hAnsi="仿宋_GB2312" w:eastAsia="仿宋_GB2312" w:cs="仿宋_GB2312"/>
                <w:sz w:val="21"/>
              </w:rPr>
              <w:t>28.支持患者登记信息修改和补充；</w:t>
            </w:r>
          </w:p>
          <w:p w14:paraId="4873A21D">
            <w:pPr>
              <w:pStyle w:val="4"/>
              <w:jc w:val="both"/>
            </w:pPr>
            <w:r>
              <w:rPr>
                <w:rFonts w:ascii="仿宋_GB2312" w:hAnsi="仿宋_GB2312" w:eastAsia="仿宋_GB2312" w:cs="仿宋_GB2312"/>
                <w:sz w:val="21"/>
              </w:rPr>
              <w:t>29.支持患者诊疗时间轴查看，横向管理患者诊疗过程关键时间节点；</w:t>
            </w:r>
          </w:p>
          <w:p w14:paraId="04AC7241">
            <w:pPr>
              <w:pStyle w:val="4"/>
              <w:jc w:val="both"/>
            </w:pPr>
            <w:r>
              <w:rPr>
                <w:rFonts w:ascii="仿宋_GB2312" w:hAnsi="仿宋_GB2312" w:eastAsia="仿宋_GB2312" w:cs="仿宋_GB2312"/>
                <w:sz w:val="21"/>
              </w:rPr>
              <w:t>30.支持中西医诊断录入，根据现有HIS标准，支持基于ICD-10标准诊断库的诊断开立；</w:t>
            </w:r>
          </w:p>
          <w:p w14:paraId="386584A4">
            <w:pPr>
              <w:pStyle w:val="4"/>
              <w:jc w:val="both"/>
            </w:pPr>
            <w:r>
              <w:rPr>
                <w:rFonts w:ascii="仿宋_GB2312" w:hAnsi="仿宋_GB2312" w:eastAsia="仿宋_GB2312" w:cs="仿宋_GB2312"/>
                <w:sz w:val="21"/>
              </w:rPr>
              <w:t>31.支持诊断前后缀信息补充，医生根据病情诊疗情况，可对初步诊断进行确认或修订；</w:t>
            </w:r>
          </w:p>
          <w:p w14:paraId="597118EE">
            <w:pPr>
              <w:pStyle w:val="4"/>
              <w:jc w:val="both"/>
            </w:pPr>
            <w:r>
              <w:rPr>
                <w:rFonts w:ascii="仿宋_GB2312" w:hAnsi="仿宋_GB2312" w:eastAsia="仿宋_GB2312" w:cs="仿宋_GB2312"/>
                <w:sz w:val="21"/>
              </w:rPr>
              <w:t>32.支持通过诊断编码、名称、首拼等方式搜索诊断；</w:t>
            </w:r>
          </w:p>
          <w:p w14:paraId="5D1B19E5">
            <w:pPr>
              <w:pStyle w:val="4"/>
              <w:jc w:val="both"/>
            </w:pPr>
            <w:r>
              <w:rPr>
                <w:rFonts w:ascii="仿宋_GB2312" w:hAnsi="仿宋_GB2312" w:eastAsia="仿宋_GB2312" w:cs="仿宋_GB2312"/>
                <w:sz w:val="21"/>
              </w:rPr>
              <w:t>33.支持快捷诊断，系统自动记录医生开立诊断次数并进行排序展示，支持医生通过常用诊断功能快速开立诊断。</w:t>
            </w:r>
          </w:p>
          <w:p w14:paraId="67E044B2">
            <w:pPr>
              <w:pStyle w:val="4"/>
              <w:jc w:val="both"/>
            </w:pPr>
            <w:r>
              <w:rPr>
                <w:rFonts w:ascii="仿宋_GB2312" w:hAnsi="仿宋_GB2312" w:eastAsia="仿宋_GB2312" w:cs="仿宋_GB2312"/>
                <w:sz w:val="21"/>
              </w:rPr>
              <w:t>34.▲支持非嵌入式医嘱开立功能，能够在急诊系统进行临时医嘱、长期医嘱开立（提供系统功能截图或产品说明书或产品彩页等相关证明资料）；</w:t>
            </w:r>
          </w:p>
          <w:p w14:paraId="307AC1E1">
            <w:pPr>
              <w:pStyle w:val="4"/>
              <w:jc w:val="both"/>
            </w:pPr>
            <w:r>
              <w:rPr>
                <w:rFonts w:ascii="仿宋_GB2312" w:hAnsi="仿宋_GB2312" w:eastAsia="仿宋_GB2312" w:cs="仿宋_GB2312"/>
                <w:sz w:val="21"/>
              </w:rPr>
              <w:t>35.支持根据医嘱类型自动生成处方笺、检查申请单、检验申请单、费用清单、临时/长期医嘱单；</w:t>
            </w:r>
          </w:p>
          <w:p w14:paraId="138C545C">
            <w:pPr>
              <w:pStyle w:val="4"/>
              <w:jc w:val="both"/>
            </w:pPr>
            <w:r>
              <w:rPr>
                <w:rFonts w:ascii="仿宋_GB2312" w:hAnsi="仿宋_GB2312" w:eastAsia="仿宋_GB2312" w:cs="仿宋_GB2312"/>
                <w:sz w:val="21"/>
              </w:rPr>
              <w:t>36.开立检查、检验医嘱时自动带入检查目的、体征、病状、诊断等信息创建申请单；</w:t>
            </w:r>
          </w:p>
          <w:p w14:paraId="437C649A">
            <w:pPr>
              <w:pStyle w:val="4"/>
              <w:jc w:val="both"/>
            </w:pPr>
            <w:r>
              <w:rPr>
                <w:rFonts w:ascii="仿宋_GB2312" w:hAnsi="仿宋_GB2312" w:eastAsia="仿宋_GB2312" w:cs="仿宋_GB2312"/>
                <w:sz w:val="21"/>
              </w:rPr>
              <w:t>37.支持医嘱模板的维护和引用，包括个人模板和科室模板；</w:t>
            </w:r>
          </w:p>
          <w:p w14:paraId="5939222E">
            <w:pPr>
              <w:pStyle w:val="4"/>
              <w:jc w:val="both"/>
            </w:pPr>
            <w:r>
              <w:rPr>
                <w:rFonts w:ascii="仿宋_GB2312" w:hAnsi="仿宋_GB2312" w:eastAsia="仿宋_GB2312" w:cs="仿宋_GB2312"/>
                <w:sz w:val="21"/>
              </w:rPr>
              <w:t>38.支持患者历史就诊医嘱的查看和直接引用到本次医嘱列表；</w:t>
            </w:r>
          </w:p>
          <w:p w14:paraId="3507C6C2">
            <w:pPr>
              <w:pStyle w:val="4"/>
              <w:jc w:val="both"/>
            </w:pPr>
            <w:r>
              <w:rPr>
                <w:rFonts w:ascii="仿宋_GB2312" w:hAnsi="仿宋_GB2312" w:eastAsia="仿宋_GB2312" w:cs="仿宋_GB2312"/>
                <w:sz w:val="21"/>
              </w:rPr>
              <w:t>39.▲支持查看医嘱执行状态，皮试结果自动生成阴性或阳性标识展示在医嘱列表上（提供系统功能截图或产品说明书或产品彩页等相关证明资料）；</w:t>
            </w:r>
          </w:p>
          <w:p w14:paraId="1CD54EF5">
            <w:pPr>
              <w:pStyle w:val="4"/>
              <w:jc w:val="both"/>
            </w:pPr>
            <w:r>
              <w:rPr>
                <w:rFonts w:ascii="仿宋_GB2312" w:hAnsi="仿宋_GB2312" w:eastAsia="仿宋_GB2312" w:cs="仿宋_GB2312"/>
                <w:sz w:val="21"/>
              </w:rPr>
              <w:t>40.支持医嘱费用明细查看，根据颜色区分缴费状态，包括待缴费、已缴费、已退费、未计费；</w:t>
            </w:r>
          </w:p>
          <w:p w14:paraId="4CD3E7FE">
            <w:pPr>
              <w:pStyle w:val="4"/>
              <w:jc w:val="both"/>
            </w:pPr>
            <w:r>
              <w:rPr>
                <w:rFonts w:ascii="仿宋_GB2312" w:hAnsi="仿宋_GB2312" w:eastAsia="仿宋_GB2312" w:cs="仿宋_GB2312"/>
                <w:sz w:val="21"/>
              </w:rPr>
              <w:t>41.支持在工作站内查看检查、检验结果，检验异常项通过特殊颜色标记；</w:t>
            </w:r>
          </w:p>
          <w:p w14:paraId="57594A4D">
            <w:pPr>
              <w:pStyle w:val="4"/>
              <w:jc w:val="both"/>
            </w:pPr>
            <w:r>
              <w:rPr>
                <w:rFonts w:ascii="仿宋_GB2312" w:hAnsi="仿宋_GB2312" w:eastAsia="仿宋_GB2312" w:cs="仿宋_GB2312"/>
                <w:sz w:val="21"/>
              </w:rPr>
              <w:t>42.支持超声影像调阅（需接口支持）；</w:t>
            </w:r>
          </w:p>
          <w:p w14:paraId="4B9E521A">
            <w:pPr>
              <w:pStyle w:val="4"/>
              <w:jc w:val="both"/>
            </w:pPr>
            <w:r>
              <w:rPr>
                <w:rFonts w:ascii="仿宋_GB2312" w:hAnsi="仿宋_GB2312" w:eastAsia="仿宋_GB2312" w:cs="仿宋_GB2312"/>
                <w:sz w:val="21"/>
              </w:rPr>
              <w:t>43.支持快速创建患者会诊申请以及查看患者历史会诊记录，能够对会诊执行签到、记录、打印等操作。</w:t>
            </w:r>
          </w:p>
          <w:p w14:paraId="11AD4529">
            <w:pPr>
              <w:pStyle w:val="4"/>
              <w:jc w:val="both"/>
            </w:pPr>
            <w:r>
              <w:rPr>
                <w:rFonts w:ascii="仿宋_GB2312" w:hAnsi="仿宋_GB2312" w:eastAsia="仿宋_GB2312" w:cs="仿宋_GB2312"/>
                <w:sz w:val="21"/>
              </w:rPr>
              <w:t>44.支持诊疗统计查看接诊患者详细信息，提供搜索引擎功能：可以通过ID、姓名、诊断等多种方式进行该患者查询。</w:t>
            </w:r>
          </w:p>
          <w:p w14:paraId="158DC35B">
            <w:pPr>
              <w:pStyle w:val="4"/>
              <w:jc w:val="both"/>
            </w:pPr>
            <w:r>
              <w:rPr>
                <w:rFonts w:ascii="仿宋_GB2312" w:hAnsi="仿宋_GB2312" w:eastAsia="仿宋_GB2312" w:cs="仿宋_GB2312"/>
                <w:sz w:val="21"/>
              </w:rPr>
              <w:t>45.支持专用于急诊科的B/S架构的结构化门诊电子病历,提供急诊门诊病历模版，支持自动带出相关患者信息，无需再手动录入，减少医生工作量。</w:t>
            </w:r>
          </w:p>
          <w:p w14:paraId="6DF903EF">
            <w:pPr>
              <w:pStyle w:val="4"/>
              <w:jc w:val="both"/>
            </w:pPr>
            <w:r>
              <w:rPr>
                <w:rFonts w:ascii="仿宋_GB2312" w:hAnsi="仿宋_GB2312" w:eastAsia="仿宋_GB2312" w:cs="仿宋_GB2312"/>
                <w:sz w:val="21"/>
              </w:rPr>
              <w:t>46.▲病历书写时支持插入医嘱、诊断、检验结果、检查报告、危急值记录，检验项目支持一键插入异常项；（提供系统功能截图或产品说明书或产品彩页等相关证明资料）</w:t>
            </w:r>
          </w:p>
          <w:p w14:paraId="09871EB1">
            <w:pPr>
              <w:pStyle w:val="4"/>
              <w:jc w:val="both"/>
            </w:pPr>
            <w:r>
              <w:rPr>
                <w:rFonts w:ascii="仿宋_GB2312" w:hAnsi="仿宋_GB2312" w:eastAsia="仿宋_GB2312" w:cs="仿宋_GB2312"/>
                <w:sz w:val="21"/>
              </w:rPr>
              <w:t>47.提供病历知识库模板配置工具，允许科室和个人自己维护各种病历文书文字模板内容并快速引用；</w:t>
            </w:r>
          </w:p>
          <w:p w14:paraId="0A8E07E8">
            <w:pPr>
              <w:pStyle w:val="4"/>
              <w:jc w:val="both"/>
            </w:pPr>
            <w:r>
              <w:rPr>
                <w:rFonts w:ascii="仿宋_GB2312" w:hAnsi="仿宋_GB2312" w:eastAsia="仿宋_GB2312" w:cs="仿宋_GB2312"/>
                <w:sz w:val="21"/>
              </w:rPr>
              <w:t>48.支持插入医疗文书常用的特殊符号(如：℃，℉，‰，㎡，mmol)；</w:t>
            </w:r>
          </w:p>
          <w:p w14:paraId="1C1DA3A2">
            <w:pPr>
              <w:pStyle w:val="4"/>
              <w:jc w:val="both"/>
            </w:pPr>
            <w:r>
              <w:rPr>
                <w:rFonts w:ascii="仿宋_GB2312" w:hAnsi="仿宋_GB2312" w:eastAsia="仿宋_GB2312" w:cs="仿宋_GB2312"/>
                <w:sz w:val="21"/>
              </w:rPr>
              <w:t>49.支持插入医疗文书常用的医学表达式（如：月经公式）；</w:t>
            </w:r>
          </w:p>
          <w:p w14:paraId="6775A17A">
            <w:pPr>
              <w:pStyle w:val="4"/>
              <w:jc w:val="both"/>
            </w:pPr>
            <w:r>
              <w:rPr>
                <w:rFonts w:ascii="仿宋_GB2312" w:hAnsi="仿宋_GB2312" w:eastAsia="仿宋_GB2312" w:cs="仿宋_GB2312"/>
                <w:sz w:val="21"/>
              </w:rPr>
              <w:t>50.支持病历模板维护，保存已有内容为个人/科室标准化病历模板；</w:t>
            </w:r>
          </w:p>
          <w:p w14:paraId="226C57DE">
            <w:pPr>
              <w:pStyle w:val="4"/>
              <w:jc w:val="both"/>
            </w:pPr>
            <w:r>
              <w:rPr>
                <w:rFonts w:ascii="仿宋_GB2312" w:hAnsi="仿宋_GB2312" w:eastAsia="仿宋_GB2312" w:cs="仿宋_GB2312"/>
                <w:sz w:val="21"/>
              </w:rPr>
              <w:t>51.▲支持追加病程，支持单个病程位置调整和删除单个病程（提供系统功能截图或产品说明书或产品彩页等相关证明资料）；</w:t>
            </w:r>
          </w:p>
          <w:p w14:paraId="0928EFDC">
            <w:pPr>
              <w:pStyle w:val="4"/>
              <w:jc w:val="both"/>
            </w:pPr>
            <w:r>
              <w:rPr>
                <w:rFonts w:ascii="仿宋_GB2312" w:hAnsi="仿宋_GB2312" w:eastAsia="仿宋_GB2312" w:cs="仿宋_GB2312"/>
                <w:sz w:val="21"/>
              </w:rPr>
              <w:t>52.支持按照就诊记录查看患者历史病历文书，并引用至本次书写内容；</w:t>
            </w:r>
          </w:p>
          <w:p w14:paraId="14F7F2F4">
            <w:pPr>
              <w:pStyle w:val="4"/>
              <w:jc w:val="both"/>
            </w:pPr>
            <w:r>
              <w:rPr>
                <w:rFonts w:ascii="仿宋_GB2312" w:hAnsi="仿宋_GB2312" w:eastAsia="仿宋_GB2312" w:cs="仿宋_GB2312"/>
                <w:sz w:val="21"/>
              </w:rPr>
              <w:t>53.支持自定义维护片段知识库模板；</w:t>
            </w:r>
          </w:p>
          <w:p w14:paraId="5D02479C">
            <w:pPr>
              <w:pStyle w:val="4"/>
              <w:jc w:val="both"/>
            </w:pPr>
            <w:r>
              <w:rPr>
                <w:rFonts w:ascii="仿宋_GB2312" w:hAnsi="仿宋_GB2312" w:eastAsia="仿宋_GB2312" w:cs="仿宋_GB2312"/>
                <w:sz w:val="21"/>
              </w:rPr>
              <w:t>54.支持病历电子CA签名；</w:t>
            </w:r>
          </w:p>
          <w:p w14:paraId="335DA0CD">
            <w:pPr>
              <w:pStyle w:val="4"/>
              <w:jc w:val="both"/>
            </w:pPr>
            <w:r>
              <w:rPr>
                <w:rFonts w:ascii="仿宋_GB2312" w:hAnsi="仿宋_GB2312" w:eastAsia="仿宋_GB2312" w:cs="仿宋_GB2312"/>
                <w:sz w:val="21"/>
              </w:rPr>
              <w:t>55.支持病历质控，允许上级医生修改下级医生病历内容并追加上级医师电子签名；</w:t>
            </w:r>
          </w:p>
          <w:p w14:paraId="57D379AD">
            <w:pPr>
              <w:pStyle w:val="4"/>
              <w:jc w:val="both"/>
            </w:pPr>
            <w:r>
              <w:rPr>
                <w:rFonts w:ascii="仿宋_GB2312" w:hAnsi="仿宋_GB2312" w:eastAsia="仿宋_GB2312" w:cs="仿宋_GB2312"/>
                <w:sz w:val="21"/>
              </w:rPr>
              <w:t>56.支持续打、区域选择打印，包括奇偶页、当前页、双面打印等；</w:t>
            </w:r>
          </w:p>
          <w:p w14:paraId="45CC0DBC">
            <w:pPr>
              <w:pStyle w:val="4"/>
              <w:jc w:val="both"/>
            </w:pPr>
            <w:r>
              <w:rPr>
                <w:rFonts w:ascii="仿宋_GB2312" w:hAnsi="仿宋_GB2312" w:eastAsia="仿宋_GB2312" w:cs="仿宋_GB2312"/>
                <w:b/>
                <w:sz w:val="21"/>
              </w:rPr>
              <w:t>急诊抢救医护一体工作站</w:t>
            </w:r>
          </w:p>
          <w:p w14:paraId="15A2A755">
            <w:pPr>
              <w:pStyle w:val="4"/>
              <w:jc w:val="both"/>
            </w:pPr>
            <w:r>
              <w:rPr>
                <w:rFonts w:ascii="仿宋_GB2312" w:hAnsi="仿宋_GB2312" w:eastAsia="仿宋_GB2312" w:cs="仿宋_GB2312"/>
                <w:sz w:val="21"/>
              </w:rPr>
              <w:t xml:space="preserve"> 57.采用一体化界面设计，实现抢救室医护人员在同一系统内对抢救患者的医疗、护理、检查、检验数据集中管理</w:t>
            </w:r>
          </w:p>
          <w:p w14:paraId="59E0F9B7">
            <w:pPr>
              <w:pStyle w:val="4"/>
              <w:jc w:val="both"/>
            </w:pPr>
            <w:r>
              <w:rPr>
                <w:rFonts w:ascii="仿宋_GB2312" w:hAnsi="仿宋_GB2312" w:eastAsia="仿宋_GB2312" w:cs="仿宋_GB2312"/>
                <w:sz w:val="21"/>
              </w:rPr>
              <w:t>58.支持床头卡、列表两种显示方式，根据科室需要自定义配置床位数量和名称；</w:t>
            </w:r>
          </w:p>
          <w:p w14:paraId="694CF258">
            <w:pPr>
              <w:pStyle w:val="4"/>
              <w:jc w:val="both"/>
            </w:pPr>
            <w:r>
              <w:rPr>
                <w:rFonts w:ascii="仿宋_GB2312" w:hAnsi="仿宋_GB2312" w:eastAsia="仿宋_GB2312" w:cs="仿宋_GB2312"/>
                <w:sz w:val="21"/>
              </w:rPr>
              <w:t>59.支持将非抢救区患者主动拉入区域进行登记和诊疗；</w:t>
            </w:r>
          </w:p>
          <w:p w14:paraId="23132257">
            <w:pPr>
              <w:pStyle w:val="4"/>
              <w:jc w:val="both"/>
            </w:pPr>
            <w:r>
              <w:rPr>
                <w:rFonts w:ascii="仿宋_GB2312" w:hAnsi="仿宋_GB2312" w:eastAsia="仿宋_GB2312" w:cs="仿宋_GB2312"/>
                <w:sz w:val="21"/>
              </w:rPr>
              <w:t>60.▲支持通过拖拽方式对患者进行入床登记和换床操作，换床支持将床位患者换至空闲床位和将两个在床患者进行床位互换（提供系统功能截图或产品说明书或产品彩页等相关证明资料）；</w:t>
            </w:r>
          </w:p>
          <w:p w14:paraId="1B3BBDC3">
            <w:pPr>
              <w:pStyle w:val="4"/>
              <w:jc w:val="both"/>
            </w:pPr>
            <w:r>
              <w:rPr>
                <w:rFonts w:ascii="仿宋_GB2312" w:hAnsi="仿宋_GB2312" w:eastAsia="仿宋_GB2312" w:cs="仿宋_GB2312"/>
                <w:sz w:val="21"/>
              </w:rPr>
              <w:t>61.床头卡提供患者三无、群伤、绿色通道等特殊标示展示，支持自定义配置床头卡标识类型；</w:t>
            </w:r>
          </w:p>
          <w:p w14:paraId="0C23A830">
            <w:pPr>
              <w:pStyle w:val="4"/>
              <w:jc w:val="both"/>
            </w:pPr>
            <w:r>
              <w:rPr>
                <w:rFonts w:ascii="仿宋_GB2312" w:hAnsi="仿宋_GB2312" w:eastAsia="仿宋_GB2312" w:cs="仿宋_GB2312"/>
                <w:sz w:val="21"/>
              </w:rPr>
              <w:t>62.支持病区患者腕带打印、床头卡打印；</w:t>
            </w:r>
          </w:p>
          <w:p w14:paraId="072FE836">
            <w:pPr>
              <w:pStyle w:val="4"/>
              <w:jc w:val="both"/>
            </w:pPr>
            <w:r>
              <w:rPr>
                <w:rFonts w:ascii="仿宋_GB2312" w:hAnsi="仿宋_GB2312" w:eastAsia="仿宋_GB2312" w:cs="仿宋_GB2312"/>
                <w:sz w:val="21"/>
              </w:rPr>
              <w:t>63.支持患者信息总览，根据患者急诊就诊历史记录回顾患者登记信息、诊断信息、医嘱信息、检查检验结果、危急值记录；</w:t>
            </w:r>
          </w:p>
          <w:p w14:paraId="347772B2">
            <w:pPr>
              <w:pStyle w:val="4"/>
              <w:jc w:val="both"/>
            </w:pPr>
            <w:r>
              <w:rPr>
                <w:rFonts w:ascii="仿宋_GB2312" w:hAnsi="仿宋_GB2312" w:eastAsia="仿宋_GB2312" w:cs="仿宋_GB2312"/>
                <w:sz w:val="21"/>
              </w:rPr>
              <w:t>64.支持患者登记信息修改和补充；</w:t>
            </w:r>
          </w:p>
          <w:p w14:paraId="46D97D4E">
            <w:pPr>
              <w:pStyle w:val="4"/>
              <w:jc w:val="both"/>
            </w:pPr>
            <w:r>
              <w:rPr>
                <w:rFonts w:ascii="仿宋_GB2312" w:hAnsi="仿宋_GB2312" w:eastAsia="仿宋_GB2312" w:cs="仿宋_GB2312"/>
                <w:sz w:val="21"/>
              </w:rPr>
              <w:t>65.支持患者诊疗时间轴查看，横向管理患者诊疗过程关键时间节点；</w:t>
            </w:r>
          </w:p>
          <w:p w14:paraId="3FA3DA51">
            <w:pPr>
              <w:pStyle w:val="4"/>
              <w:jc w:val="both"/>
            </w:pPr>
            <w:r>
              <w:rPr>
                <w:rFonts w:ascii="仿宋_GB2312" w:hAnsi="仿宋_GB2312" w:eastAsia="仿宋_GB2312" w:cs="仿宋_GB2312"/>
                <w:sz w:val="21"/>
              </w:rPr>
              <w:t>66.▲支持非嵌入式医嘱开立功能，能够在急诊系统进行临时医嘱、长期医嘱开立（提供系统功能截图或产品说明书或产品彩页等相关证明资料）；</w:t>
            </w:r>
          </w:p>
          <w:p w14:paraId="1E1A1C3D">
            <w:pPr>
              <w:pStyle w:val="4"/>
              <w:jc w:val="both"/>
            </w:pPr>
            <w:r>
              <w:rPr>
                <w:rFonts w:ascii="仿宋_GB2312" w:hAnsi="仿宋_GB2312" w:eastAsia="仿宋_GB2312" w:cs="仿宋_GB2312"/>
                <w:sz w:val="21"/>
              </w:rPr>
              <w:t>67.支持根据医嘱类型自动生成处方笺、检查申请单、检验申请单、费用清单、临时/长期医嘱单；</w:t>
            </w:r>
          </w:p>
          <w:p w14:paraId="650416AA">
            <w:pPr>
              <w:pStyle w:val="4"/>
              <w:jc w:val="both"/>
            </w:pPr>
            <w:r>
              <w:rPr>
                <w:rFonts w:ascii="仿宋_GB2312" w:hAnsi="仿宋_GB2312" w:eastAsia="仿宋_GB2312" w:cs="仿宋_GB2312"/>
                <w:sz w:val="21"/>
              </w:rPr>
              <w:t>68.开立检查、检验医嘱时自动带入检查目的、体征、病状、诊断等信息创建申请单；</w:t>
            </w:r>
          </w:p>
          <w:p w14:paraId="486BD7C9">
            <w:pPr>
              <w:pStyle w:val="4"/>
              <w:jc w:val="both"/>
            </w:pPr>
            <w:r>
              <w:rPr>
                <w:rFonts w:ascii="仿宋_GB2312" w:hAnsi="仿宋_GB2312" w:eastAsia="仿宋_GB2312" w:cs="仿宋_GB2312"/>
                <w:sz w:val="21"/>
              </w:rPr>
              <w:t>69.支持医嘱模板的维护和引用，包括个人模板和科室模板；</w:t>
            </w:r>
          </w:p>
          <w:p w14:paraId="4E0CCB45">
            <w:pPr>
              <w:pStyle w:val="4"/>
              <w:jc w:val="both"/>
            </w:pPr>
            <w:r>
              <w:rPr>
                <w:rFonts w:ascii="仿宋_GB2312" w:hAnsi="仿宋_GB2312" w:eastAsia="仿宋_GB2312" w:cs="仿宋_GB2312"/>
                <w:sz w:val="21"/>
              </w:rPr>
              <w:t>70.支持患者历史就诊医嘱的查看和直接引用到本次医嘱列表；</w:t>
            </w:r>
          </w:p>
          <w:p w14:paraId="499DF883">
            <w:pPr>
              <w:pStyle w:val="4"/>
              <w:jc w:val="both"/>
            </w:pPr>
            <w:r>
              <w:rPr>
                <w:rFonts w:ascii="仿宋_GB2312" w:hAnsi="仿宋_GB2312" w:eastAsia="仿宋_GB2312" w:cs="仿宋_GB2312"/>
                <w:sz w:val="21"/>
              </w:rPr>
              <w:t>71.▲支持查看医嘱执行状态，皮试结果自动生成阴性或阳性标识展示在医嘱列表上（提供系统功能截图或产品说明书或产品彩页等相关证明资料）；</w:t>
            </w:r>
          </w:p>
          <w:p w14:paraId="47044837">
            <w:pPr>
              <w:pStyle w:val="4"/>
              <w:jc w:val="both"/>
            </w:pPr>
            <w:r>
              <w:rPr>
                <w:rFonts w:ascii="仿宋_GB2312" w:hAnsi="仿宋_GB2312" w:eastAsia="仿宋_GB2312" w:cs="仿宋_GB2312"/>
                <w:sz w:val="21"/>
              </w:rPr>
              <w:t>72.支持医嘱费用明细查看，根据颜色区分缴费状态，包括待缴费、已缴费、已退费、未计费；</w:t>
            </w:r>
          </w:p>
          <w:p w14:paraId="0FCB1FCD">
            <w:pPr>
              <w:pStyle w:val="4"/>
              <w:jc w:val="both"/>
            </w:pPr>
            <w:r>
              <w:rPr>
                <w:rFonts w:ascii="仿宋_GB2312" w:hAnsi="仿宋_GB2312" w:eastAsia="仿宋_GB2312" w:cs="仿宋_GB2312"/>
                <w:sz w:val="21"/>
              </w:rPr>
              <w:t>73.提供B/S架构的结构化电子病历模板，支持抢救患者相关病历文书、病程书写；</w:t>
            </w:r>
          </w:p>
          <w:p w14:paraId="0AF90EBC">
            <w:pPr>
              <w:pStyle w:val="4"/>
              <w:jc w:val="both"/>
            </w:pPr>
            <w:r>
              <w:rPr>
                <w:rFonts w:ascii="仿宋_GB2312" w:hAnsi="仿宋_GB2312" w:eastAsia="仿宋_GB2312" w:cs="仿宋_GB2312"/>
                <w:sz w:val="21"/>
              </w:rPr>
              <w:t>74.支持病历书写时右键插入患者本次就诊的检查、检验、处置、处方等信息。支持自动带出相关患者信息，无需再手动录入，减少医生工作量。</w:t>
            </w:r>
          </w:p>
          <w:p w14:paraId="6700DA40">
            <w:pPr>
              <w:pStyle w:val="4"/>
              <w:jc w:val="both"/>
            </w:pPr>
            <w:r>
              <w:rPr>
                <w:rFonts w:ascii="仿宋_GB2312" w:hAnsi="仿宋_GB2312" w:eastAsia="仿宋_GB2312" w:cs="仿宋_GB2312"/>
                <w:sz w:val="21"/>
              </w:rPr>
              <w:t>75.提供病历知识库模板配置工具，允许科室和个人自己维护各种病历文书文字模板内容并快速引用；</w:t>
            </w:r>
          </w:p>
          <w:p w14:paraId="298A6A4A">
            <w:pPr>
              <w:pStyle w:val="4"/>
              <w:jc w:val="both"/>
            </w:pPr>
            <w:r>
              <w:rPr>
                <w:rFonts w:ascii="仿宋_GB2312" w:hAnsi="仿宋_GB2312" w:eastAsia="仿宋_GB2312" w:cs="仿宋_GB2312"/>
                <w:sz w:val="21"/>
              </w:rPr>
              <w:t>76.支持病历模板维护，保存已有内容为个人/科室标准化病历模板；</w:t>
            </w:r>
          </w:p>
          <w:p w14:paraId="6A04658A">
            <w:pPr>
              <w:pStyle w:val="4"/>
              <w:jc w:val="both"/>
            </w:pPr>
            <w:r>
              <w:rPr>
                <w:rFonts w:ascii="仿宋_GB2312" w:hAnsi="仿宋_GB2312" w:eastAsia="仿宋_GB2312" w:cs="仿宋_GB2312"/>
                <w:sz w:val="21"/>
              </w:rPr>
              <w:t>77.提供抢救专用病程模板，如抢救记录、操作记录、气管插管记录、查房记录等；</w:t>
            </w:r>
          </w:p>
          <w:p w14:paraId="5B9EFE12">
            <w:pPr>
              <w:pStyle w:val="4"/>
              <w:jc w:val="both"/>
            </w:pPr>
            <w:r>
              <w:rPr>
                <w:rFonts w:ascii="仿宋_GB2312" w:hAnsi="仿宋_GB2312" w:eastAsia="仿宋_GB2312" w:cs="仿宋_GB2312"/>
                <w:sz w:val="21"/>
              </w:rPr>
              <w:t>78.▲支持追加病程，支持单个病程位置调整和删除单个病程；（提供系统功能截图或产品说明书或产品彩页等相关证明资料）</w:t>
            </w:r>
          </w:p>
          <w:p w14:paraId="5E94DB94">
            <w:pPr>
              <w:pStyle w:val="4"/>
              <w:jc w:val="both"/>
            </w:pPr>
            <w:r>
              <w:rPr>
                <w:rFonts w:ascii="仿宋_GB2312" w:hAnsi="仿宋_GB2312" w:eastAsia="仿宋_GB2312" w:cs="仿宋_GB2312"/>
                <w:sz w:val="21"/>
              </w:rPr>
              <w:t>79.▲支持护士核对医嘱，核对过程中支持对医嘱执行确认执行和驳回操作，驳回的医嘱通过系统消息提醒开立医生进行医嘱修改和重新发送；（提供系统功能截图或产品说明书或产品彩页等相关证明资料）</w:t>
            </w:r>
          </w:p>
          <w:p w14:paraId="6DAAADFA">
            <w:pPr>
              <w:pStyle w:val="4"/>
              <w:jc w:val="both"/>
            </w:pPr>
            <w:r>
              <w:rPr>
                <w:rFonts w:ascii="仿宋_GB2312" w:hAnsi="仿宋_GB2312" w:eastAsia="仿宋_GB2312" w:cs="仿宋_GB2312"/>
                <w:sz w:val="21"/>
              </w:rPr>
              <w:t>80.支持护士补充计费，提供个人和科室计费模板维护工具，支持将常用计费项目维护成模板，通过模板快速开立项目；</w:t>
            </w:r>
          </w:p>
          <w:p w14:paraId="247EDD62">
            <w:pPr>
              <w:pStyle w:val="4"/>
              <w:jc w:val="both"/>
            </w:pPr>
            <w:r>
              <w:rPr>
                <w:rFonts w:ascii="仿宋_GB2312" w:hAnsi="仿宋_GB2312" w:eastAsia="仿宋_GB2312" w:cs="仿宋_GB2312"/>
                <w:sz w:val="21"/>
              </w:rPr>
              <w:t>81.支持按分类执行医嘱，如注射、口服、其他，根据医嘱频次自动生成执行计划；</w:t>
            </w:r>
          </w:p>
          <w:p w14:paraId="07FCDAFF">
            <w:pPr>
              <w:pStyle w:val="4"/>
              <w:jc w:val="both"/>
            </w:pPr>
            <w:r>
              <w:rPr>
                <w:rFonts w:ascii="仿宋_GB2312" w:hAnsi="仿宋_GB2312" w:eastAsia="仿宋_GB2312" w:cs="仿宋_GB2312"/>
                <w:sz w:val="21"/>
              </w:rPr>
              <w:t>82.支持医嘱批量执行和单独执行，并根据需要选择是否按照计划时间执行；</w:t>
            </w:r>
          </w:p>
          <w:p w14:paraId="1E858325">
            <w:pPr>
              <w:pStyle w:val="4"/>
              <w:jc w:val="both"/>
            </w:pPr>
            <w:r>
              <w:rPr>
                <w:rFonts w:ascii="仿宋_GB2312" w:hAnsi="仿宋_GB2312" w:eastAsia="仿宋_GB2312" w:cs="仿宋_GB2312"/>
                <w:sz w:val="21"/>
              </w:rPr>
              <w:t>83.▲支持皮试医嘱倒计时，根据皮试观察等待时间自动进入倒计时，计时结束发送消息提醒护士观察皮试结果；</w:t>
            </w:r>
          </w:p>
          <w:p w14:paraId="5F865BAD">
            <w:pPr>
              <w:pStyle w:val="4"/>
              <w:jc w:val="both"/>
            </w:pPr>
            <w:r>
              <w:rPr>
                <w:rFonts w:ascii="仿宋_GB2312" w:hAnsi="仿宋_GB2312" w:eastAsia="仿宋_GB2312" w:cs="仿宋_GB2312"/>
                <w:sz w:val="21"/>
              </w:rPr>
              <w:t>84.支持注射类医嘱瓶签打印、医嘱单打印、分类执行单打印；</w:t>
            </w:r>
          </w:p>
          <w:p w14:paraId="1011211F">
            <w:pPr>
              <w:pStyle w:val="4"/>
              <w:jc w:val="both"/>
            </w:pPr>
            <w:r>
              <w:rPr>
                <w:rFonts w:ascii="仿宋_GB2312" w:hAnsi="仿宋_GB2312" w:eastAsia="仿宋_GB2312" w:cs="仿宋_GB2312"/>
                <w:sz w:val="21"/>
              </w:rPr>
              <w:t>85.▲支持护理记录单入量关联医嘱一键引用，提供常用出入量维护模板（提供系统功能截图或产品说明书或产品彩页等相关证明资料）；</w:t>
            </w:r>
          </w:p>
          <w:p w14:paraId="6D5D6E16">
            <w:pPr>
              <w:pStyle w:val="4"/>
              <w:jc w:val="both"/>
            </w:pPr>
            <w:r>
              <w:rPr>
                <w:rFonts w:ascii="仿宋_GB2312" w:hAnsi="仿宋_GB2312" w:eastAsia="仿宋_GB2312" w:cs="仿宋_GB2312"/>
                <w:sz w:val="21"/>
              </w:rPr>
              <w:t>86.支持护理记录出入量小结，入量支持引用输液类、注射类、输血类医嘱；</w:t>
            </w:r>
          </w:p>
          <w:p w14:paraId="1B300940">
            <w:pPr>
              <w:pStyle w:val="4"/>
              <w:jc w:val="both"/>
            </w:pPr>
            <w:r>
              <w:rPr>
                <w:rFonts w:ascii="仿宋_GB2312" w:hAnsi="仿宋_GB2312" w:eastAsia="仿宋_GB2312" w:cs="仿宋_GB2312"/>
                <w:sz w:val="21"/>
              </w:rPr>
              <w:t>87.支持护理知识库模板维护，可自定义创建护理观察项所需的文字内容模板，支持个人或科室模板维护；</w:t>
            </w:r>
          </w:p>
          <w:p w14:paraId="3C715E5C">
            <w:pPr>
              <w:pStyle w:val="4"/>
              <w:jc w:val="both"/>
            </w:pPr>
            <w:r>
              <w:rPr>
                <w:rFonts w:ascii="仿宋_GB2312" w:hAnsi="仿宋_GB2312" w:eastAsia="仿宋_GB2312" w:cs="仿宋_GB2312"/>
                <w:sz w:val="21"/>
              </w:rPr>
              <w:t>88.支持护理记录单书写时插入患者本次检验结果和检查报告信息；</w:t>
            </w:r>
          </w:p>
          <w:p w14:paraId="3889218D">
            <w:pPr>
              <w:pStyle w:val="4"/>
              <w:jc w:val="both"/>
            </w:pPr>
            <w:r>
              <w:rPr>
                <w:rFonts w:ascii="仿宋_GB2312" w:hAnsi="仿宋_GB2312" w:eastAsia="仿宋_GB2312" w:cs="仿宋_GB2312"/>
                <w:sz w:val="21"/>
              </w:rPr>
              <w:t>89.▲支持体温单录入，图表同步展示，根据体温记录数据绘制图表的功能，在图表上显示患者的体温历史趋势；（提供系统功能截图或产品说明书或产品彩页等相关证明资料）</w:t>
            </w:r>
          </w:p>
          <w:p w14:paraId="159789CE">
            <w:pPr>
              <w:pStyle w:val="4"/>
              <w:jc w:val="both"/>
            </w:pPr>
            <w:r>
              <w:rPr>
                <w:rFonts w:ascii="仿宋_GB2312" w:hAnsi="仿宋_GB2312" w:eastAsia="仿宋_GB2312" w:cs="仿宋_GB2312"/>
                <w:sz w:val="21"/>
              </w:rPr>
              <w:t>90.支持查看患者检查、检验结果，支持检查影像在线查看（需提供接口）；</w:t>
            </w:r>
          </w:p>
          <w:p w14:paraId="268EE880">
            <w:pPr>
              <w:pStyle w:val="4"/>
              <w:jc w:val="both"/>
            </w:pPr>
            <w:r>
              <w:rPr>
                <w:rFonts w:ascii="仿宋_GB2312" w:hAnsi="仿宋_GB2312" w:eastAsia="仿宋_GB2312" w:cs="仿宋_GB2312"/>
                <w:sz w:val="21"/>
              </w:rPr>
              <w:t>91.支持快速创建患者会诊申请以及查看患者历史急诊会诊记录，能够对会诊执行签到、记录、打印等操作。</w:t>
            </w:r>
          </w:p>
          <w:p w14:paraId="20FFD7F3">
            <w:pPr>
              <w:pStyle w:val="4"/>
              <w:jc w:val="both"/>
            </w:pPr>
            <w:r>
              <w:rPr>
                <w:rFonts w:ascii="仿宋_GB2312" w:hAnsi="仿宋_GB2312" w:eastAsia="仿宋_GB2312" w:cs="仿宋_GB2312"/>
                <w:b/>
                <w:sz w:val="21"/>
              </w:rPr>
              <w:t>急诊留观医护一体工作站</w:t>
            </w:r>
          </w:p>
          <w:p w14:paraId="58061AB5">
            <w:pPr>
              <w:pStyle w:val="4"/>
              <w:jc w:val="both"/>
            </w:pPr>
            <w:r>
              <w:rPr>
                <w:rFonts w:ascii="仿宋_GB2312" w:hAnsi="仿宋_GB2312" w:eastAsia="仿宋_GB2312" w:cs="仿宋_GB2312"/>
                <w:sz w:val="21"/>
              </w:rPr>
              <w:t xml:space="preserve"> 92.采用一体化界面设计，实现留观室医护人员在同一系统内对留观患者的医疗、护理、检查、检验数据集中管理。</w:t>
            </w:r>
          </w:p>
          <w:p w14:paraId="6BFC8503">
            <w:pPr>
              <w:pStyle w:val="4"/>
              <w:jc w:val="both"/>
            </w:pPr>
            <w:r>
              <w:rPr>
                <w:rFonts w:ascii="仿宋_GB2312" w:hAnsi="仿宋_GB2312" w:eastAsia="仿宋_GB2312" w:cs="仿宋_GB2312"/>
                <w:sz w:val="21"/>
              </w:rPr>
              <w:t>93.支持床头卡、列表两种显示方式，根据科室需要自定义配置床位数量和名称；</w:t>
            </w:r>
          </w:p>
          <w:p w14:paraId="0BDA9593">
            <w:pPr>
              <w:pStyle w:val="4"/>
              <w:jc w:val="both"/>
            </w:pPr>
            <w:r>
              <w:rPr>
                <w:rFonts w:ascii="仿宋_GB2312" w:hAnsi="仿宋_GB2312" w:eastAsia="仿宋_GB2312" w:cs="仿宋_GB2312"/>
                <w:sz w:val="21"/>
              </w:rPr>
              <w:t>94.支持将非留观区患者主动拉入区域进行登记和诊疗；</w:t>
            </w:r>
          </w:p>
          <w:p w14:paraId="17632623">
            <w:pPr>
              <w:pStyle w:val="4"/>
              <w:jc w:val="both"/>
            </w:pPr>
            <w:r>
              <w:rPr>
                <w:rFonts w:ascii="仿宋_GB2312" w:hAnsi="仿宋_GB2312" w:eastAsia="仿宋_GB2312" w:cs="仿宋_GB2312"/>
                <w:sz w:val="21"/>
              </w:rPr>
              <w:t>95.▲支持通过拖拽方式对患者进行入床登记和换床操作，换床支持将床位患者换至空闲床位和将两个在床患者进行床位互换（提供系统功能截图或产品说明书或产品彩页等相关证明资料）；</w:t>
            </w:r>
          </w:p>
          <w:p w14:paraId="1E3EEE6F">
            <w:pPr>
              <w:pStyle w:val="4"/>
              <w:jc w:val="both"/>
            </w:pPr>
            <w:r>
              <w:rPr>
                <w:rFonts w:ascii="仿宋_GB2312" w:hAnsi="仿宋_GB2312" w:eastAsia="仿宋_GB2312" w:cs="仿宋_GB2312"/>
                <w:sz w:val="21"/>
              </w:rPr>
              <w:t>96.床头卡提供患者三无、群伤、绿色通道等特殊标示展示，支持自定义配置床头卡标识类型；</w:t>
            </w:r>
          </w:p>
          <w:p w14:paraId="22E2096E">
            <w:pPr>
              <w:pStyle w:val="4"/>
              <w:jc w:val="both"/>
            </w:pPr>
            <w:r>
              <w:rPr>
                <w:rFonts w:ascii="仿宋_GB2312" w:hAnsi="仿宋_GB2312" w:eastAsia="仿宋_GB2312" w:cs="仿宋_GB2312"/>
                <w:sz w:val="21"/>
              </w:rPr>
              <w:t>97.支持病区患者腕带打印、床头卡打印；</w:t>
            </w:r>
          </w:p>
          <w:p w14:paraId="49DB66B0">
            <w:pPr>
              <w:pStyle w:val="4"/>
              <w:jc w:val="both"/>
            </w:pPr>
            <w:r>
              <w:rPr>
                <w:rFonts w:ascii="仿宋_GB2312" w:hAnsi="仿宋_GB2312" w:eastAsia="仿宋_GB2312" w:cs="仿宋_GB2312"/>
                <w:sz w:val="21"/>
              </w:rPr>
              <w:t>98.支持患者信息总览，根据患者急诊就诊历史记录回顾患者登记信息、诊断信息、医嘱信息、检查检验结果、危急值记录；</w:t>
            </w:r>
          </w:p>
          <w:p w14:paraId="25D0A2C1">
            <w:pPr>
              <w:pStyle w:val="4"/>
              <w:jc w:val="both"/>
            </w:pPr>
            <w:r>
              <w:rPr>
                <w:rFonts w:ascii="仿宋_GB2312" w:hAnsi="仿宋_GB2312" w:eastAsia="仿宋_GB2312" w:cs="仿宋_GB2312"/>
                <w:sz w:val="21"/>
              </w:rPr>
              <w:t>99.支持患者登记信息修改和补充；</w:t>
            </w:r>
          </w:p>
          <w:p w14:paraId="43E98E27">
            <w:pPr>
              <w:pStyle w:val="4"/>
              <w:jc w:val="both"/>
            </w:pPr>
            <w:r>
              <w:rPr>
                <w:rFonts w:ascii="仿宋_GB2312" w:hAnsi="仿宋_GB2312" w:eastAsia="仿宋_GB2312" w:cs="仿宋_GB2312"/>
                <w:sz w:val="21"/>
              </w:rPr>
              <w:t>100.支持患者诊疗时间轴查看，横向管理患者诊疗过程关键时间节点；</w:t>
            </w:r>
          </w:p>
          <w:p w14:paraId="422F5692">
            <w:pPr>
              <w:pStyle w:val="4"/>
              <w:jc w:val="both"/>
            </w:pPr>
            <w:r>
              <w:rPr>
                <w:rFonts w:ascii="仿宋_GB2312" w:hAnsi="仿宋_GB2312" w:eastAsia="仿宋_GB2312" w:cs="仿宋_GB2312"/>
                <w:sz w:val="21"/>
              </w:rPr>
              <w:t>101.▲支持非嵌入式医嘱开立功能，能够在急诊系统进行临时医嘱、长期医嘱开立（提供系统功能截图或产品说明书或产品彩页等相关证明资料）；</w:t>
            </w:r>
          </w:p>
          <w:p w14:paraId="175D409C">
            <w:pPr>
              <w:pStyle w:val="4"/>
              <w:jc w:val="both"/>
            </w:pPr>
            <w:r>
              <w:rPr>
                <w:rFonts w:ascii="仿宋_GB2312" w:hAnsi="仿宋_GB2312" w:eastAsia="仿宋_GB2312" w:cs="仿宋_GB2312"/>
                <w:sz w:val="21"/>
              </w:rPr>
              <w:t>102.支持根据医嘱类型自动生成处方笺、检查申请单、检验申请单、费用清单、临时/长期医嘱单；</w:t>
            </w:r>
          </w:p>
          <w:p w14:paraId="4F28066D">
            <w:pPr>
              <w:pStyle w:val="4"/>
              <w:jc w:val="both"/>
            </w:pPr>
            <w:r>
              <w:rPr>
                <w:rFonts w:ascii="仿宋_GB2312" w:hAnsi="仿宋_GB2312" w:eastAsia="仿宋_GB2312" w:cs="仿宋_GB2312"/>
                <w:sz w:val="21"/>
              </w:rPr>
              <w:t>103.开立检查、检验医嘱时自动带入检查目的、体征、病状、诊断等信息创建申请单；</w:t>
            </w:r>
          </w:p>
          <w:p w14:paraId="72DA9EAA">
            <w:pPr>
              <w:pStyle w:val="4"/>
              <w:jc w:val="both"/>
            </w:pPr>
            <w:r>
              <w:rPr>
                <w:rFonts w:ascii="仿宋_GB2312" w:hAnsi="仿宋_GB2312" w:eastAsia="仿宋_GB2312" w:cs="仿宋_GB2312"/>
                <w:sz w:val="21"/>
              </w:rPr>
              <w:t>104.支持医嘱模板的维护和引用，包括个人模板和科室模板；</w:t>
            </w:r>
          </w:p>
          <w:p w14:paraId="22849BD9">
            <w:pPr>
              <w:pStyle w:val="4"/>
              <w:jc w:val="both"/>
            </w:pPr>
            <w:r>
              <w:rPr>
                <w:rFonts w:ascii="仿宋_GB2312" w:hAnsi="仿宋_GB2312" w:eastAsia="仿宋_GB2312" w:cs="仿宋_GB2312"/>
                <w:sz w:val="21"/>
              </w:rPr>
              <w:t>105.支持患者历史就诊医嘱的查看和直接引用到本次医嘱列表；</w:t>
            </w:r>
          </w:p>
          <w:p w14:paraId="0BF693E3">
            <w:pPr>
              <w:pStyle w:val="4"/>
              <w:jc w:val="both"/>
            </w:pPr>
            <w:r>
              <w:rPr>
                <w:rFonts w:ascii="仿宋_GB2312" w:hAnsi="仿宋_GB2312" w:eastAsia="仿宋_GB2312" w:cs="仿宋_GB2312"/>
                <w:sz w:val="21"/>
              </w:rPr>
              <w:t>106.▲支持查看医嘱执行状态，皮试结果自动生成阴性或阳性标识展示在医嘱列表上（提供系统功能截图或产品说明书或产品彩页等相关证明资料）；</w:t>
            </w:r>
          </w:p>
          <w:p w14:paraId="39E5BE44">
            <w:pPr>
              <w:pStyle w:val="4"/>
              <w:jc w:val="both"/>
            </w:pPr>
            <w:r>
              <w:rPr>
                <w:rFonts w:ascii="仿宋_GB2312" w:hAnsi="仿宋_GB2312" w:eastAsia="仿宋_GB2312" w:cs="仿宋_GB2312"/>
                <w:sz w:val="21"/>
              </w:rPr>
              <w:t>107.支持医嘱费用明细查看，根据颜色区分缴费状态，包括待缴费、已缴费、已退费、未计费；</w:t>
            </w:r>
          </w:p>
          <w:p w14:paraId="6878C87B">
            <w:pPr>
              <w:pStyle w:val="4"/>
              <w:jc w:val="both"/>
            </w:pPr>
            <w:r>
              <w:rPr>
                <w:rFonts w:ascii="仿宋_GB2312" w:hAnsi="仿宋_GB2312" w:eastAsia="仿宋_GB2312" w:cs="仿宋_GB2312"/>
                <w:sz w:val="21"/>
              </w:rPr>
              <w:t>108.提供B/S架构的结构化电子病历模板，支持留观患者相关病历文书书写；</w:t>
            </w:r>
          </w:p>
          <w:p w14:paraId="3639B24C">
            <w:pPr>
              <w:pStyle w:val="4"/>
              <w:jc w:val="both"/>
            </w:pPr>
            <w:r>
              <w:rPr>
                <w:rFonts w:ascii="仿宋_GB2312" w:hAnsi="仿宋_GB2312" w:eastAsia="仿宋_GB2312" w:cs="仿宋_GB2312"/>
                <w:sz w:val="21"/>
              </w:rPr>
              <w:t>109.支持病历书写时右键插入患者本次就诊的检查、检验、处置、处方等信息。支持自动带出相关患者信息，无需再手动录入，减少医生工作量。</w:t>
            </w:r>
          </w:p>
          <w:p w14:paraId="46ABE3A6">
            <w:pPr>
              <w:pStyle w:val="4"/>
              <w:jc w:val="both"/>
            </w:pPr>
            <w:r>
              <w:rPr>
                <w:rFonts w:ascii="仿宋_GB2312" w:hAnsi="仿宋_GB2312" w:eastAsia="仿宋_GB2312" w:cs="仿宋_GB2312"/>
                <w:sz w:val="21"/>
              </w:rPr>
              <w:t>110.提供病历知识库模板配置工具，允许科室和个人自己维护各种病历文书文字模板内容并快速引用；</w:t>
            </w:r>
          </w:p>
          <w:p w14:paraId="7C674F95">
            <w:pPr>
              <w:pStyle w:val="4"/>
              <w:jc w:val="both"/>
            </w:pPr>
            <w:r>
              <w:rPr>
                <w:rFonts w:ascii="仿宋_GB2312" w:hAnsi="仿宋_GB2312" w:eastAsia="仿宋_GB2312" w:cs="仿宋_GB2312"/>
                <w:sz w:val="21"/>
              </w:rPr>
              <w:t>111.支持病历模板维护，保存已有内容为个人/科室标准化病历模板；</w:t>
            </w:r>
          </w:p>
          <w:p w14:paraId="629FB09B">
            <w:pPr>
              <w:pStyle w:val="4"/>
              <w:jc w:val="both"/>
            </w:pPr>
            <w:r>
              <w:rPr>
                <w:rFonts w:ascii="仿宋_GB2312" w:hAnsi="仿宋_GB2312" w:eastAsia="仿宋_GB2312" w:cs="仿宋_GB2312"/>
                <w:sz w:val="21"/>
              </w:rPr>
              <w:t>112.▲支持追加病程，支持单个病程位置调整和删除单个病程；（提供系统功能截图或产品说明书或产品彩页等相关证明资料）</w:t>
            </w:r>
          </w:p>
          <w:p w14:paraId="136F5ABD">
            <w:pPr>
              <w:pStyle w:val="4"/>
              <w:jc w:val="both"/>
            </w:pPr>
            <w:r>
              <w:rPr>
                <w:rFonts w:ascii="仿宋_GB2312" w:hAnsi="仿宋_GB2312" w:eastAsia="仿宋_GB2312" w:cs="仿宋_GB2312"/>
                <w:sz w:val="21"/>
              </w:rPr>
              <w:t>113.▲支持护士核对医嘱，核对过程中支持对医嘱执行确认执行和驳回操作，驳回的医嘱通过系统消息提醒开立医生进行医嘱修改和重新发送；（提供系统功能截图或产品说明书或产品彩页等相关证明资料）</w:t>
            </w:r>
          </w:p>
          <w:p w14:paraId="01BCAAF3">
            <w:pPr>
              <w:pStyle w:val="4"/>
              <w:jc w:val="both"/>
            </w:pPr>
            <w:r>
              <w:rPr>
                <w:rFonts w:ascii="仿宋_GB2312" w:hAnsi="仿宋_GB2312" w:eastAsia="仿宋_GB2312" w:cs="仿宋_GB2312"/>
                <w:sz w:val="21"/>
              </w:rPr>
              <w:t>114.支持护士补充计费，提供个人和科室计费模板维护工具，支持将常用计费项目维护成模板，通过模板快速开立项目；</w:t>
            </w:r>
          </w:p>
          <w:p w14:paraId="1A5FC902">
            <w:pPr>
              <w:pStyle w:val="4"/>
              <w:jc w:val="both"/>
            </w:pPr>
            <w:r>
              <w:rPr>
                <w:rFonts w:ascii="仿宋_GB2312" w:hAnsi="仿宋_GB2312" w:eastAsia="仿宋_GB2312" w:cs="仿宋_GB2312"/>
                <w:sz w:val="21"/>
              </w:rPr>
              <w:t>115.支持按分类执行医嘱，如注射、口服、其他，根据医嘱频次自动生成执行计划；</w:t>
            </w:r>
          </w:p>
          <w:p w14:paraId="2DE9FAC0">
            <w:pPr>
              <w:pStyle w:val="4"/>
              <w:jc w:val="both"/>
            </w:pPr>
            <w:r>
              <w:rPr>
                <w:rFonts w:ascii="仿宋_GB2312" w:hAnsi="仿宋_GB2312" w:eastAsia="仿宋_GB2312" w:cs="仿宋_GB2312"/>
                <w:sz w:val="21"/>
              </w:rPr>
              <w:t>116.支持医嘱批量执行和单独执行，并根据需要选择是否按照计划时间执行；</w:t>
            </w:r>
          </w:p>
          <w:p w14:paraId="4005932C">
            <w:pPr>
              <w:pStyle w:val="4"/>
              <w:jc w:val="both"/>
            </w:pPr>
            <w:r>
              <w:rPr>
                <w:rFonts w:ascii="仿宋_GB2312" w:hAnsi="仿宋_GB2312" w:eastAsia="仿宋_GB2312" w:cs="仿宋_GB2312"/>
                <w:sz w:val="21"/>
              </w:rPr>
              <w:t>117.▲支持皮试医嘱倒计时，根据皮试观察等待时间自动进入倒计时，计时结束发送消息提醒护士观察皮试结果；</w:t>
            </w:r>
          </w:p>
          <w:p w14:paraId="3A4D98EA">
            <w:pPr>
              <w:pStyle w:val="4"/>
              <w:jc w:val="both"/>
            </w:pPr>
            <w:r>
              <w:rPr>
                <w:rFonts w:ascii="仿宋_GB2312" w:hAnsi="仿宋_GB2312" w:eastAsia="仿宋_GB2312" w:cs="仿宋_GB2312"/>
                <w:sz w:val="21"/>
              </w:rPr>
              <w:t>118.支持注射类医嘱瓶签打印、医嘱单打印、分类执行单打印；</w:t>
            </w:r>
          </w:p>
          <w:p w14:paraId="2191B86B">
            <w:pPr>
              <w:pStyle w:val="4"/>
              <w:jc w:val="both"/>
            </w:pPr>
            <w:r>
              <w:rPr>
                <w:rFonts w:ascii="仿宋_GB2312" w:hAnsi="仿宋_GB2312" w:eastAsia="仿宋_GB2312" w:cs="仿宋_GB2312"/>
                <w:sz w:val="21"/>
              </w:rPr>
              <w:t>119.▲支持护理记录单入量关联医嘱一键引用，提供常用出入量维护模板；（提供系统功能截图或产品说明书或产品彩页等相关证明资料）；</w:t>
            </w:r>
          </w:p>
          <w:p w14:paraId="0B45EC72">
            <w:pPr>
              <w:pStyle w:val="4"/>
              <w:jc w:val="both"/>
            </w:pPr>
            <w:r>
              <w:rPr>
                <w:rFonts w:ascii="仿宋_GB2312" w:hAnsi="仿宋_GB2312" w:eastAsia="仿宋_GB2312" w:cs="仿宋_GB2312"/>
                <w:sz w:val="21"/>
              </w:rPr>
              <w:t>120.支持护理记录出入量小结，入量支持引用输液类、注射类、输血类医嘱；</w:t>
            </w:r>
          </w:p>
          <w:p w14:paraId="191F38EA">
            <w:pPr>
              <w:pStyle w:val="4"/>
              <w:jc w:val="both"/>
            </w:pPr>
            <w:r>
              <w:rPr>
                <w:rFonts w:ascii="仿宋_GB2312" w:hAnsi="仿宋_GB2312" w:eastAsia="仿宋_GB2312" w:cs="仿宋_GB2312"/>
                <w:sz w:val="21"/>
              </w:rPr>
              <w:t>121.支持护理知识库模板维护，可自定义创建护理观察项所需的文字内容模板，支持个人或科室模板维护；</w:t>
            </w:r>
          </w:p>
          <w:p w14:paraId="1E8F60C0">
            <w:pPr>
              <w:pStyle w:val="4"/>
              <w:jc w:val="both"/>
            </w:pPr>
            <w:r>
              <w:rPr>
                <w:rFonts w:ascii="仿宋_GB2312" w:hAnsi="仿宋_GB2312" w:eastAsia="仿宋_GB2312" w:cs="仿宋_GB2312"/>
                <w:sz w:val="21"/>
              </w:rPr>
              <w:t>122.支持护理记录单书写时插入患者本次检验结果和检查报告信息；</w:t>
            </w:r>
          </w:p>
          <w:p w14:paraId="56E5F67B">
            <w:pPr>
              <w:pStyle w:val="4"/>
              <w:jc w:val="both"/>
            </w:pPr>
            <w:r>
              <w:rPr>
                <w:rFonts w:ascii="仿宋_GB2312" w:hAnsi="仿宋_GB2312" w:eastAsia="仿宋_GB2312" w:cs="仿宋_GB2312"/>
                <w:sz w:val="21"/>
              </w:rPr>
              <w:t>123.▲支持体温单录入，图表同步展示，根据体温记录数据绘制图表的功能，在图表上显示患者的体温历史趋势；（提供系统功能截图或产品说明书或产品彩页等相关证明资料）</w:t>
            </w:r>
          </w:p>
          <w:p w14:paraId="68F08B28">
            <w:pPr>
              <w:pStyle w:val="4"/>
              <w:jc w:val="both"/>
            </w:pPr>
            <w:r>
              <w:rPr>
                <w:rFonts w:ascii="仿宋_GB2312" w:hAnsi="仿宋_GB2312" w:eastAsia="仿宋_GB2312" w:cs="仿宋_GB2312"/>
                <w:sz w:val="21"/>
              </w:rPr>
              <w:t>124.支持查看患者检查、检验结果，支持检查影像在线查看（需提供接口）；</w:t>
            </w:r>
          </w:p>
          <w:p w14:paraId="5F09390A">
            <w:pPr>
              <w:pStyle w:val="4"/>
              <w:jc w:val="both"/>
            </w:pPr>
            <w:r>
              <w:rPr>
                <w:rFonts w:ascii="仿宋_GB2312" w:hAnsi="仿宋_GB2312" w:eastAsia="仿宋_GB2312" w:cs="仿宋_GB2312"/>
                <w:sz w:val="21"/>
              </w:rPr>
              <w:t>125.支持快速创建患者会诊申请以及查看患者历史急诊会诊记录，能够对会诊执行签到、记录、打印等操作。</w:t>
            </w:r>
          </w:p>
          <w:p w14:paraId="40912EDA">
            <w:pPr>
              <w:pStyle w:val="4"/>
              <w:jc w:val="both"/>
            </w:pPr>
            <w:r>
              <w:rPr>
                <w:rFonts w:ascii="仿宋_GB2312" w:hAnsi="仿宋_GB2312" w:eastAsia="仿宋_GB2312" w:cs="仿宋_GB2312"/>
                <w:b/>
                <w:sz w:val="21"/>
              </w:rPr>
              <w:t>急诊输液工作站</w:t>
            </w:r>
          </w:p>
          <w:p w14:paraId="559E40B0">
            <w:pPr>
              <w:pStyle w:val="4"/>
              <w:jc w:val="both"/>
            </w:pPr>
            <w:r>
              <w:rPr>
                <w:rFonts w:ascii="仿宋_GB2312" w:hAnsi="仿宋_GB2312" w:eastAsia="仿宋_GB2312" w:cs="仿宋_GB2312"/>
                <w:sz w:val="21"/>
              </w:rPr>
              <w:t xml:space="preserve"> 126.系统需同时支持急诊输液患者医嘱执行和门诊转急诊输液患者医嘱执行，支持门诊医嘱提取并实现以下功能：</w:t>
            </w:r>
          </w:p>
          <w:p w14:paraId="2E145950">
            <w:pPr>
              <w:pStyle w:val="4"/>
              <w:jc w:val="both"/>
            </w:pPr>
            <w:r>
              <w:rPr>
                <w:rFonts w:ascii="仿宋_GB2312" w:hAnsi="仿宋_GB2312" w:eastAsia="仿宋_GB2312" w:cs="仿宋_GB2312"/>
                <w:sz w:val="21"/>
              </w:rPr>
              <w:t>127.支持在同一页面内完成输液登记、座位安置、医嘱核对、输液执行、计费补充操作；</w:t>
            </w:r>
          </w:p>
          <w:p w14:paraId="26447DA0">
            <w:pPr>
              <w:pStyle w:val="4"/>
              <w:jc w:val="both"/>
            </w:pPr>
            <w:r>
              <w:rPr>
                <w:rFonts w:ascii="仿宋_GB2312" w:hAnsi="仿宋_GB2312" w:eastAsia="仿宋_GB2312" w:cs="仿宋_GB2312"/>
                <w:sz w:val="21"/>
              </w:rPr>
              <w:t>128.支持输液简卡显示，包括座位号、患者基础信息、入室时间；</w:t>
            </w:r>
          </w:p>
          <w:p w14:paraId="646D5706">
            <w:pPr>
              <w:pStyle w:val="4"/>
              <w:jc w:val="both"/>
            </w:pPr>
            <w:r>
              <w:rPr>
                <w:rFonts w:ascii="仿宋_GB2312" w:hAnsi="仿宋_GB2312" w:eastAsia="仿宋_GB2312" w:cs="仿宋_GB2312"/>
                <w:sz w:val="21"/>
              </w:rPr>
              <w:t>129.支持对处置输液室座位/床位进行管理，根据科室需要自定义配置座位数量和名称；</w:t>
            </w:r>
          </w:p>
          <w:p w14:paraId="54DD40BC">
            <w:pPr>
              <w:pStyle w:val="4"/>
              <w:jc w:val="both"/>
            </w:pPr>
            <w:r>
              <w:rPr>
                <w:rFonts w:ascii="仿宋_GB2312" w:hAnsi="仿宋_GB2312" w:eastAsia="仿宋_GB2312" w:cs="仿宋_GB2312"/>
                <w:sz w:val="21"/>
              </w:rPr>
              <w:t>130.支持医嘱核对与驳回，驳回医嘱通过消息推送提醒开立医生进行处理，提高医嘱审核效率和及时性；</w:t>
            </w:r>
          </w:p>
          <w:p w14:paraId="6296EEC6">
            <w:pPr>
              <w:pStyle w:val="4"/>
              <w:jc w:val="both"/>
            </w:pPr>
            <w:r>
              <w:rPr>
                <w:rFonts w:ascii="仿宋_GB2312" w:hAnsi="仿宋_GB2312" w:eastAsia="仿宋_GB2312" w:cs="仿宋_GB2312"/>
                <w:sz w:val="21"/>
              </w:rPr>
              <w:t>131.支持护士补充计费，如耗材费、座位费、护理费用等，提供模板维护工具，允许将常用计费项维护为个人或科室模板；</w:t>
            </w:r>
          </w:p>
          <w:p w14:paraId="3BD7DA9E">
            <w:pPr>
              <w:pStyle w:val="4"/>
              <w:jc w:val="both"/>
            </w:pPr>
            <w:r>
              <w:rPr>
                <w:rFonts w:ascii="仿宋_GB2312" w:hAnsi="仿宋_GB2312" w:eastAsia="仿宋_GB2312" w:cs="仿宋_GB2312"/>
                <w:sz w:val="21"/>
              </w:rPr>
              <w:t>132.支持费用明细查看，通过颜色快速区分医嘱缴费状态和执行状态；</w:t>
            </w:r>
          </w:p>
          <w:p w14:paraId="7877F671">
            <w:pPr>
              <w:pStyle w:val="4"/>
              <w:jc w:val="both"/>
            </w:pPr>
            <w:r>
              <w:rPr>
                <w:rFonts w:ascii="仿宋_GB2312" w:hAnsi="仿宋_GB2312" w:eastAsia="仿宋_GB2312" w:cs="仿宋_GB2312"/>
                <w:sz w:val="21"/>
              </w:rPr>
              <w:t>133.▲支持门诊医嘱提取，通过开方科室、开方日期提取门诊患者输液医嘱至急诊系统，包括药品名称、用法、用量、频次等信息；（提供系统功能截图或产品说明书或产品彩页等相关证明资料）</w:t>
            </w:r>
          </w:p>
          <w:p w14:paraId="18618C68">
            <w:pPr>
              <w:pStyle w:val="4"/>
              <w:jc w:val="both"/>
            </w:pPr>
            <w:r>
              <w:rPr>
                <w:rFonts w:ascii="仿宋_GB2312" w:hAnsi="仿宋_GB2312" w:eastAsia="仿宋_GB2312" w:cs="仿宋_GB2312"/>
                <w:sz w:val="21"/>
              </w:rPr>
              <w:t>134.支持按分类执行医嘱，支持瓶签、采血条码、执行单、医嘱单打印；</w:t>
            </w:r>
          </w:p>
          <w:p w14:paraId="609481B5">
            <w:pPr>
              <w:pStyle w:val="4"/>
              <w:jc w:val="both"/>
            </w:pPr>
            <w:r>
              <w:rPr>
                <w:rFonts w:ascii="仿宋_GB2312" w:hAnsi="仿宋_GB2312" w:eastAsia="仿宋_GB2312" w:cs="仿宋_GB2312"/>
                <w:sz w:val="21"/>
              </w:rPr>
              <w:t>135.支持根据打印状态和用法类型选择瓶签，支持瓶签的打印、补打、更改打印状态操作。</w:t>
            </w:r>
          </w:p>
          <w:p w14:paraId="72AA0C6E">
            <w:pPr>
              <w:pStyle w:val="4"/>
              <w:jc w:val="both"/>
            </w:pPr>
            <w:r>
              <w:rPr>
                <w:rFonts w:ascii="仿宋_GB2312" w:hAnsi="仿宋_GB2312" w:eastAsia="仿宋_GB2312" w:cs="仿宋_GB2312"/>
                <w:sz w:val="21"/>
              </w:rPr>
              <w:t xml:space="preserve"> 急诊移动护理系统</w:t>
            </w:r>
          </w:p>
          <w:p w14:paraId="0C3A3968">
            <w:pPr>
              <w:pStyle w:val="4"/>
              <w:jc w:val="both"/>
            </w:pPr>
            <w:r>
              <w:rPr>
                <w:rFonts w:ascii="仿宋_GB2312" w:hAnsi="仿宋_GB2312" w:eastAsia="仿宋_GB2312" w:cs="仿宋_GB2312"/>
                <w:sz w:val="21"/>
              </w:rPr>
              <w:t xml:space="preserve"> 136.支持急诊患者列表管理，以红、黄、绿三色区分患者所在抢救区、留观区、输液区患者，同时用图标标注重点病种（如心梗、脑卒中）、病情等级（I-IV 级）；可根据医院要求提供给其他输液科室使用，包括但不仅限于儿科门诊。</w:t>
            </w:r>
          </w:p>
          <w:p w14:paraId="17600600">
            <w:pPr>
              <w:pStyle w:val="4"/>
              <w:jc w:val="both"/>
            </w:pPr>
            <w:r>
              <w:rPr>
                <w:rFonts w:ascii="仿宋_GB2312" w:hAnsi="仿宋_GB2312" w:eastAsia="仿宋_GB2312" w:cs="仿宋_GB2312"/>
                <w:sz w:val="21"/>
              </w:rPr>
              <w:t>137.支持通过患者当前诊疗区域（抢救区/ 留观区 / 输液区）进行筛选，快速定位目标区域患者；</w:t>
            </w:r>
          </w:p>
          <w:p w14:paraId="31C7869E">
            <w:pPr>
              <w:pStyle w:val="4"/>
              <w:jc w:val="both"/>
            </w:pPr>
            <w:r>
              <w:rPr>
                <w:rFonts w:ascii="仿宋_GB2312" w:hAnsi="仿宋_GB2312" w:eastAsia="仿宋_GB2312" w:cs="仿宋_GB2312"/>
                <w:sz w:val="21"/>
              </w:rPr>
              <w:t>138.支持通过姓名模糊查询患者；</w:t>
            </w:r>
          </w:p>
          <w:p w14:paraId="6197C7F9">
            <w:pPr>
              <w:pStyle w:val="4"/>
              <w:jc w:val="both"/>
            </w:pPr>
            <w:r>
              <w:rPr>
                <w:rFonts w:ascii="仿宋_GB2312" w:hAnsi="仿宋_GB2312" w:eastAsia="仿宋_GB2312" w:cs="仿宋_GB2312"/>
                <w:sz w:val="21"/>
              </w:rPr>
              <w:t>139.支持点击患者条目直接进入该患者详情页面，展示患者医嘱列表与执行情况。</w:t>
            </w:r>
          </w:p>
          <w:p w14:paraId="3ABAEF63">
            <w:pPr>
              <w:pStyle w:val="4"/>
              <w:jc w:val="both"/>
            </w:pPr>
            <w:r>
              <w:rPr>
                <w:rFonts w:ascii="仿宋_GB2312" w:hAnsi="仿宋_GB2312" w:eastAsia="仿宋_GB2312" w:cs="仿宋_GB2312"/>
                <w:sz w:val="21"/>
              </w:rPr>
              <w:t>140.支持医嘱执行前的收药、配药确认、配药复核流程；</w:t>
            </w:r>
          </w:p>
          <w:p w14:paraId="15599597">
            <w:pPr>
              <w:pStyle w:val="4"/>
              <w:jc w:val="both"/>
            </w:pPr>
            <w:r>
              <w:rPr>
                <w:rFonts w:ascii="仿宋_GB2312" w:hAnsi="仿宋_GB2312" w:eastAsia="仿宋_GB2312" w:cs="仿宋_GB2312"/>
                <w:sz w:val="21"/>
              </w:rPr>
              <w:t>141.支持通过扫描药品瓶签二维码完成收药、配药确认、配药复核操作，并自动记录操作人及操作时间；</w:t>
            </w:r>
          </w:p>
          <w:p w14:paraId="017CE53A">
            <w:pPr>
              <w:pStyle w:val="4"/>
              <w:jc w:val="both"/>
            </w:pPr>
            <w:r>
              <w:rPr>
                <w:rFonts w:ascii="仿宋_GB2312" w:hAnsi="仿宋_GB2312" w:eastAsia="仿宋_GB2312" w:cs="仿宋_GB2312"/>
                <w:sz w:val="21"/>
              </w:rPr>
              <w:t>142.支持连续扫描多个药品瓶签二维码，批量操作收药、配药确认、配药复核；</w:t>
            </w:r>
          </w:p>
          <w:p w14:paraId="3B83AAA7">
            <w:pPr>
              <w:pStyle w:val="4"/>
              <w:jc w:val="both"/>
            </w:pPr>
            <w:r>
              <w:rPr>
                <w:rFonts w:ascii="仿宋_GB2312" w:hAnsi="仿宋_GB2312" w:eastAsia="仿宋_GB2312" w:cs="仿宋_GB2312"/>
                <w:sz w:val="21"/>
              </w:rPr>
              <w:t>143.支持支持按医嘱类型、执行状态多种视图展示所有可执行医嘱任务；</w:t>
            </w:r>
          </w:p>
          <w:p w14:paraId="18A2E1BE">
            <w:pPr>
              <w:pStyle w:val="4"/>
              <w:jc w:val="both"/>
            </w:pPr>
            <w:r>
              <w:rPr>
                <w:rFonts w:ascii="仿宋_GB2312" w:hAnsi="仿宋_GB2312" w:eastAsia="仿宋_GB2312" w:cs="仿宋_GB2312"/>
                <w:sz w:val="21"/>
              </w:rPr>
              <w:t>144.支持在执行注射类医嘱前，强制扫描患者腕带进行最终身份确认；</w:t>
            </w:r>
          </w:p>
          <w:p w14:paraId="0977D7B4">
            <w:pPr>
              <w:pStyle w:val="4"/>
              <w:jc w:val="both"/>
            </w:pPr>
            <w:r>
              <w:rPr>
                <w:rFonts w:ascii="仿宋_GB2312" w:hAnsi="仿宋_GB2312" w:eastAsia="仿宋_GB2312" w:cs="仿宋_GB2312"/>
                <w:sz w:val="21"/>
              </w:rPr>
              <w:t>145.支持在执行时查看完整的医嘱信息，如用药途径、剂量、频次及注意事项；</w:t>
            </w:r>
          </w:p>
          <w:p w14:paraId="34A250EA">
            <w:pPr>
              <w:pStyle w:val="4"/>
              <w:jc w:val="both"/>
            </w:pPr>
            <w:r>
              <w:rPr>
                <w:rFonts w:ascii="仿宋_GB2312" w:hAnsi="仿宋_GB2312" w:eastAsia="仿宋_GB2312" w:cs="仿宋_GB2312"/>
                <w:sz w:val="21"/>
              </w:rPr>
              <w:t>146.支持记录执行结果（如完成、停止、撤销）、执行时间和操作人；</w:t>
            </w:r>
          </w:p>
          <w:p w14:paraId="1124907A">
            <w:pPr>
              <w:pStyle w:val="4"/>
              <w:jc w:val="both"/>
            </w:pPr>
            <w:r>
              <w:rPr>
                <w:rFonts w:ascii="仿宋_GB2312" w:hAnsi="仿宋_GB2312" w:eastAsia="仿宋_GB2312" w:cs="仿宋_GB2312"/>
                <w:sz w:val="21"/>
              </w:rPr>
              <w:t>147.支持对口服药、输液、注射、皮试等各类医嘱类型的执行记录；</w:t>
            </w:r>
          </w:p>
          <w:p w14:paraId="3C33244C">
            <w:pPr>
              <w:pStyle w:val="4"/>
              <w:jc w:val="both"/>
            </w:pPr>
            <w:r>
              <w:rPr>
                <w:rFonts w:ascii="仿宋_GB2312" w:hAnsi="仿宋_GB2312" w:eastAsia="仿宋_GB2312" w:cs="仿宋_GB2312"/>
                <w:sz w:val="21"/>
              </w:rPr>
              <w:t>148.支持生成并展示从“收药”到“执行”全流程的闭环追溯记录；</w:t>
            </w:r>
          </w:p>
          <w:p w14:paraId="2AA1848D">
            <w:pPr>
              <w:pStyle w:val="4"/>
              <w:jc w:val="both"/>
            </w:pPr>
            <w:r>
              <w:rPr>
                <w:rFonts w:ascii="仿宋_GB2312" w:hAnsi="仿宋_GB2312" w:eastAsia="仿宋_GB2312" w:cs="仿宋_GB2312"/>
                <w:sz w:val="21"/>
              </w:rPr>
              <w:t>149.支持科室设备交班，支持PC端与移动PDA端双终端协同运作；</w:t>
            </w:r>
          </w:p>
          <w:p w14:paraId="2154DAEF">
            <w:pPr>
              <w:pStyle w:val="4"/>
              <w:jc w:val="both"/>
            </w:pPr>
            <w:r>
              <w:rPr>
                <w:rFonts w:ascii="仿宋_GB2312" w:hAnsi="仿宋_GB2312" w:eastAsia="仿宋_GB2312" w:cs="仿宋_GB2312"/>
                <w:sz w:val="21"/>
              </w:rPr>
              <w:t>150.支持在科设备通过移动终端扫码完成自动化交接，实现交接流程高效化、精准化；</w:t>
            </w:r>
          </w:p>
          <w:p w14:paraId="18C8B327">
            <w:pPr>
              <w:pStyle w:val="4"/>
              <w:jc w:val="both"/>
            </w:pPr>
            <w:r>
              <w:rPr>
                <w:rFonts w:ascii="仿宋_GB2312" w:hAnsi="仿宋_GB2312" w:eastAsia="仿宋_GB2312" w:cs="仿宋_GB2312"/>
                <w:sz w:val="21"/>
              </w:rPr>
              <w:t>151.支持未在科设备异常标记，提供规范化分类选择及原因备注功能，确保设备去向可追溯、管理可闭环；</w:t>
            </w:r>
          </w:p>
          <w:p w14:paraId="08B9635B">
            <w:pPr>
              <w:pStyle w:val="4"/>
              <w:jc w:val="both"/>
            </w:pPr>
            <w:r>
              <w:rPr>
                <w:rFonts w:ascii="仿宋_GB2312" w:hAnsi="仿宋_GB2312" w:eastAsia="仿宋_GB2312" w:cs="仿宋_GB2312"/>
                <w:sz w:val="21"/>
              </w:rPr>
              <w:t>152.交接全量信息实时同步至PC端管理模块，实现交接数据集中呈现、便捷查询；</w:t>
            </w:r>
          </w:p>
          <w:p w14:paraId="27BCC2E1">
            <w:pPr>
              <w:pStyle w:val="4"/>
              <w:jc w:val="both"/>
            </w:pPr>
            <w:r>
              <w:rPr>
                <w:rFonts w:ascii="仿宋_GB2312" w:hAnsi="仿宋_GB2312" w:eastAsia="仿宋_GB2312" w:cs="仿宋_GB2312"/>
                <w:sz w:val="21"/>
              </w:rPr>
              <w:t>153.支持移动端交班日志，通过日历查看设备交班汇总，查看每班次设备交班状态和数量；</w:t>
            </w:r>
          </w:p>
          <w:p w14:paraId="3EF4885E">
            <w:pPr>
              <w:pStyle w:val="4"/>
              <w:jc w:val="both"/>
            </w:pPr>
            <w:r>
              <w:rPr>
                <w:rFonts w:ascii="仿宋_GB2312" w:hAnsi="仿宋_GB2312" w:eastAsia="仿宋_GB2312" w:cs="仿宋_GB2312"/>
                <w:sz w:val="21"/>
              </w:rPr>
              <w:t>154.移动终端支持离线模式下完成交接操作，具备网络恢复后数据自动同步功能，确保交接工作不中断、数据不丢失，保障极端场景下交接流程的连续性与完整性。</w:t>
            </w:r>
          </w:p>
          <w:p w14:paraId="4F6F8E84">
            <w:pPr>
              <w:pStyle w:val="4"/>
              <w:jc w:val="both"/>
            </w:pPr>
            <w:r>
              <w:rPr>
                <w:rFonts w:ascii="仿宋_GB2312" w:hAnsi="仿宋_GB2312" w:eastAsia="仿宋_GB2312" w:cs="仿宋_GB2312"/>
                <w:b/>
                <w:sz w:val="21"/>
              </w:rPr>
              <w:t xml:space="preserve"> 结构化电子病历</w:t>
            </w:r>
          </w:p>
          <w:p w14:paraId="07F3D0CE">
            <w:pPr>
              <w:pStyle w:val="4"/>
              <w:jc w:val="both"/>
            </w:pPr>
            <w:r>
              <w:rPr>
                <w:rFonts w:ascii="仿宋_GB2312" w:hAnsi="仿宋_GB2312" w:eastAsia="仿宋_GB2312" w:cs="仿宋_GB2312"/>
                <w:sz w:val="21"/>
              </w:rPr>
              <w:t xml:space="preserve"> 155.支持专用于急诊科的B/S架构的结构化门诊电子病历,提供急诊门诊病历模版，支持自动带出相关患者信息，无需再手动录入，减少医生工作量。</w:t>
            </w:r>
          </w:p>
          <w:p w14:paraId="16546833">
            <w:pPr>
              <w:pStyle w:val="4"/>
              <w:jc w:val="both"/>
            </w:pPr>
            <w:r>
              <w:rPr>
                <w:rFonts w:ascii="仿宋_GB2312" w:hAnsi="仿宋_GB2312" w:eastAsia="仿宋_GB2312" w:cs="仿宋_GB2312"/>
                <w:sz w:val="21"/>
              </w:rPr>
              <w:t>156.提供急诊相关的医学评分，如MEWS评分、REMS评分、GCS评分、RTS评分、ISS评分、疼痛评分；</w:t>
            </w:r>
          </w:p>
          <w:p w14:paraId="26049D12">
            <w:pPr>
              <w:pStyle w:val="4"/>
              <w:jc w:val="both"/>
            </w:pPr>
            <w:r>
              <w:rPr>
                <w:rFonts w:ascii="仿宋_GB2312" w:hAnsi="仿宋_GB2312" w:eastAsia="仿宋_GB2312" w:cs="仿宋_GB2312"/>
                <w:sz w:val="21"/>
              </w:rPr>
              <w:t>157.实现临床数据的“单次输入，全程共享”，能够自动导入和选择导入相结合的方式，实现病历、护理间数据的充分衔接；</w:t>
            </w:r>
          </w:p>
          <w:p w14:paraId="4E680B13">
            <w:pPr>
              <w:pStyle w:val="4"/>
              <w:jc w:val="both"/>
            </w:pPr>
            <w:r>
              <w:rPr>
                <w:rFonts w:ascii="仿宋_GB2312" w:hAnsi="仿宋_GB2312" w:eastAsia="仿宋_GB2312" w:cs="仿宋_GB2312"/>
                <w:sz w:val="21"/>
              </w:rPr>
              <w:t>158.在住院电子病历系统提供相关接口前提下，实现与住院电子病历的集成，实现急诊与住院病历的共享；</w:t>
            </w:r>
          </w:p>
          <w:p w14:paraId="6E1A7796">
            <w:pPr>
              <w:pStyle w:val="4"/>
              <w:jc w:val="both"/>
            </w:pPr>
            <w:r>
              <w:rPr>
                <w:rFonts w:ascii="仿宋_GB2312" w:hAnsi="仿宋_GB2312" w:eastAsia="仿宋_GB2312" w:cs="仿宋_GB2312"/>
                <w:sz w:val="21"/>
              </w:rPr>
              <w:t>159.支持规范化病历书写流程，已归档病历文书支持申请修改和审核修改流程；</w:t>
            </w:r>
          </w:p>
          <w:p w14:paraId="16EDBDEA">
            <w:pPr>
              <w:pStyle w:val="4"/>
              <w:jc w:val="both"/>
            </w:pPr>
            <w:r>
              <w:rPr>
                <w:rFonts w:ascii="仿宋_GB2312" w:hAnsi="仿宋_GB2312" w:eastAsia="仿宋_GB2312" w:cs="仿宋_GB2312"/>
                <w:sz w:val="21"/>
              </w:rPr>
              <w:t>160.支持B/S端的所见即所得分页，医生录入时自动分页，编辑效果与打印一致；</w:t>
            </w:r>
          </w:p>
          <w:p w14:paraId="4652BBE3">
            <w:pPr>
              <w:pStyle w:val="4"/>
              <w:jc w:val="both"/>
            </w:pPr>
            <w:r>
              <w:rPr>
                <w:rFonts w:ascii="仿宋_GB2312" w:hAnsi="仿宋_GB2312" w:eastAsia="仿宋_GB2312" w:cs="仿宋_GB2312"/>
                <w:sz w:val="21"/>
              </w:rPr>
              <w:t>161.▲病历书写时支持右键插入医嘱、诊断、检验结果、检查报告信息，检验结果支持一键插入异常项；（提供系统功能截图或产品说明书或产品彩页等相关证明资料）</w:t>
            </w:r>
          </w:p>
          <w:p w14:paraId="508F9E20">
            <w:pPr>
              <w:pStyle w:val="4"/>
              <w:jc w:val="both"/>
            </w:pPr>
            <w:r>
              <w:rPr>
                <w:rFonts w:ascii="仿宋_GB2312" w:hAnsi="仿宋_GB2312" w:eastAsia="仿宋_GB2312" w:cs="仿宋_GB2312"/>
                <w:sz w:val="21"/>
              </w:rPr>
              <w:t>162.提供常用的急诊病历模版、病程模板、知情同意书模板、护理文书模板；</w:t>
            </w:r>
          </w:p>
          <w:p w14:paraId="08E36065">
            <w:pPr>
              <w:pStyle w:val="4"/>
              <w:jc w:val="both"/>
            </w:pPr>
            <w:r>
              <w:rPr>
                <w:rFonts w:ascii="仿宋_GB2312" w:hAnsi="仿宋_GB2312" w:eastAsia="仿宋_GB2312" w:cs="仿宋_GB2312"/>
                <w:sz w:val="21"/>
              </w:rPr>
              <w:t>163.提供病历模板维护功能，用户可将已经书写的模板维护为标准模板，相同病例直接复用模板内容；</w:t>
            </w:r>
          </w:p>
          <w:p w14:paraId="4D09D50A">
            <w:pPr>
              <w:pStyle w:val="4"/>
              <w:jc w:val="both"/>
            </w:pPr>
            <w:r>
              <w:rPr>
                <w:rFonts w:ascii="仿宋_GB2312" w:hAnsi="仿宋_GB2312" w:eastAsia="仿宋_GB2312" w:cs="仿宋_GB2312"/>
                <w:sz w:val="21"/>
              </w:rPr>
              <w:t>164.支持病历书写留痕，自动记录对病历所有修改动作信息的保存；</w:t>
            </w:r>
          </w:p>
          <w:p w14:paraId="3D4E2523">
            <w:pPr>
              <w:pStyle w:val="4"/>
              <w:jc w:val="both"/>
            </w:pPr>
            <w:r>
              <w:rPr>
                <w:rFonts w:ascii="仿宋_GB2312" w:hAnsi="仿宋_GB2312" w:eastAsia="仿宋_GB2312" w:cs="仿宋_GB2312"/>
                <w:sz w:val="21"/>
              </w:rPr>
              <w:t>165.支持配置唯一模板，书写时校验文书唯一性；</w:t>
            </w:r>
          </w:p>
          <w:p w14:paraId="334B21BA">
            <w:pPr>
              <w:pStyle w:val="4"/>
              <w:jc w:val="both"/>
            </w:pPr>
            <w:r>
              <w:rPr>
                <w:rFonts w:ascii="仿宋_GB2312" w:hAnsi="仿宋_GB2312" w:eastAsia="仿宋_GB2312" w:cs="仿宋_GB2312"/>
                <w:sz w:val="21"/>
              </w:rPr>
              <w:t>166.提供病历文本模板配置工具，允许科室和个人自己维护各种病历文书模板内容并快速引用；</w:t>
            </w:r>
          </w:p>
          <w:p w14:paraId="77504B78">
            <w:pPr>
              <w:pStyle w:val="4"/>
              <w:jc w:val="both"/>
            </w:pPr>
            <w:r>
              <w:rPr>
                <w:rFonts w:ascii="仿宋_GB2312" w:hAnsi="仿宋_GB2312" w:eastAsia="仿宋_GB2312" w:cs="仿宋_GB2312"/>
                <w:sz w:val="21"/>
              </w:rPr>
              <w:t>167.▲支持追加病程，支持单个病程位置调整和删除单个病程；（提供系统功能截图或产品说明书或产品彩页等相关证明资料）</w:t>
            </w:r>
          </w:p>
          <w:p w14:paraId="795E186B">
            <w:pPr>
              <w:pStyle w:val="4"/>
              <w:jc w:val="both"/>
            </w:pPr>
            <w:r>
              <w:rPr>
                <w:rFonts w:ascii="仿宋_GB2312" w:hAnsi="仿宋_GB2312" w:eastAsia="仿宋_GB2312" w:cs="仿宋_GB2312"/>
                <w:sz w:val="21"/>
              </w:rPr>
              <w:t>168.支持插入医疗文书常用的特殊符号(如：℃，℉，‰，㎡，mmol等)；</w:t>
            </w:r>
          </w:p>
          <w:p w14:paraId="617B221C">
            <w:pPr>
              <w:pStyle w:val="4"/>
              <w:jc w:val="both"/>
            </w:pPr>
            <w:r>
              <w:rPr>
                <w:rFonts w:ascii="仿宋_GB2312" w:hAnsi="仿宋_GB2312" w:eastAsia="仿宋_GB2312" w:cs="仿宋_GB2312"/>
                <w:sz w:val="21"/>
              </w:rPr>
              <w:t>169.支持插入医疗文书常用的医学表达式（如：月经公式等）；</w:t>
            </w:r>
          </w:p>
          <w:p w14:paraId="2844A227">
            <w:pPr>
              <w:pStyle w:val="4"/>
              <w:jc w:val="both"/>
            </w:pPr>
            <w:r>
              <w:rPr>
                <w:rFonts w:ascii="仿宋_GB2312" w:hAnsi="仿宋_GB2312" w:eastAsia="仿宋_GB2312" w:cs="仿宋_GB2312"/>
                <w:sz w:val="21"/>
              </w:rPr>
              <w:t>170.支持病历导为pdf、xml、txt、rtf、图片等格式。</w:t>
            </w:r>
          </w:p>
          <w:p w14:paraId="0946B6AC">
            <w:pPr>
              <w:pStyle w:val="4"/>
              <w:jc w:val="both"/>
            </w:pPr>
            <w:r>
              <w:rPr>
                <w:rFonts w:ascii="仿宋_GB2312" w:hAnsi="仿宋_GB2312" w:eastAsia="仿宋_GB2312" w:cs="仿宋_GB2312"/>
                <w:sz w:val="21"/>
              </w:rPr>
              <w:t>171.支持自定义页眉页脚，支持纸张切换（例如A4,A5等），支持横打、竖打的任意切换等；</w:t>
            </w:r>
          </w:p>
          <w:p w14:paraId="382CF5A5">
            <w:pPr>
              <w:pStyle w:val="4"/>
              <w:jc w:val="both"/>
            </w:pPr>
            <w:r>
              <w:rPr>
                <w:rFonts w:ascii="仿宋_GB2312" w:hAnsi="仿宋_GB2312" w:eastAsia="仿宋_GB2312" w:cs="仿宋_GB2312"/>
                <w:sz w:val="21"/>
              </w:rPr>
              <w:t>172.支持续打、区域选择打印，包括奇偶页、当前页、双面打印等；</w:t>
            </w:r>
          </w:p>
          <w:p w14:paraId="2E5E4121">
            <w:pPr>
              <w:pStyle w:val="4"/>
              <w:jc w:val="both"/>
            </w:pPr>
            <w:r>
              <w:rPr>
                <w:rFonts w:ascii="仿宋_GB2312" w:hAnsi="仿宋_GB2312" w:eastAsia="仿宋_GB2312" w:cs="仿宋_GB2312"/>
                <w:sz w:val="21"/>
              </w:rPr>
              <w:t>173.支持与CA系统集成，进行医生、患者电子签名；</w:t>
            </w:r>
          </w:p>
          <w:p w14:paraId="43F893B6">
            <w:pPr>
              <w:pStyle w:val="4"/>
              <w:jc w:val="both"/>
            </w:pPr>
            <w:r>
              <w:rPr>
                <w:rFonts w:ascii="仿宋_GB2312" w:hAnsi="仿宋_GB2312" w:eastAsia="仿宋_GB2312" w:cs="仿宋_GB2312"/>
                <w:b/>
                <w:sz w:val="21"/>
              </w:rPr>
              <w:t>急诊电子医嘱</w:t>
            </w:r>
          </w:p>
          <w:p w14:paraId="47D09574">
            <w:pPr>
              <w:pStyle w:val="4"/>
              <w:jc w:val="both"/>
            </w:pPr>
            <w:r>
              <w:rPr>
                <w:rFonts w:ascii="仿宋_GB2312" w:hAnsi="仿宋_GB2312" w:eastAsia="仿宋_GB2312" w:cs="仿宋_GB2312"/>
                <w:sz w:val="21"/>
              </w:rPr>
              <w:t xml:space="preserve"> 174.▲支持非嵌入式医嘱开立功能，能够在急诊系统进行临时医嘱、长期医嘱开立（提供系统功能截图或产品说明书或产品彩页等相关证明资料）；</w:t>
            </w:r>
          </w:p>
          <w:p w14:paraId="66D8605F">
            <w:pPr>
              <w:pStyle w:val="4"/>
              <w:jc w:val="both"/>
            </w:pPr>
            <w:r>
              <w:rPr>
                <w:rFonts w:ascii="仿宋_GB2312" w:hAnsi="仿宋_GB2312" w:eastAsia="仿宋_GB2312" w:cs="仿宋_GB2312"/>
                <w:sz w:val="21"/>
              </w:rPr>
              <w:t>175.支持根据病情开立各类医嘱，包括：嘱托、处方、检验、检查、治疗、住院、会诊等；</w:t>
            </w:r>
          </w:p>
          <w:p w14:paraId="19F424B2">
            <w:pPr>
              <w:pStyle w:val="4"/>
              <w:jc w:val="both"/>
            </w:pPr>
            <w:r>
              <w:rPr>
                <w:rFonts w:ascii="仿宋_GB2312" w:hAnsi="仿宋_GB2312" w:eastAsia="仿宋_GB2312" w:cs="仿宋_GB2312"/>
                <w:sz w:val="21"/>
              </w:rPr>
              <w:t>176.支持组合医嘱开立，能够清楚的识别医生下达的医嘱组套关系；</w:t>
            </w:r>
          </w:p>
          <w:p w14:paraId="28D1241B">
            <w:pPr>
              <w:pStyle w:val="4"/>
              <w:jc w:val="both"/>
            </w:pPr>
            <w:r>
              <w:rPr>
                <w:rFonts w:ascii="仿宋_GB2312" w:hAnsi="仿宋_GB2312" w:eastAsia="仿宋_GB2312" w:cs="仿宋_GB2312"/>
                <w:sz w:val="21"/>
              </w:rPr>
              <w:t>177.适应抢救医嘱场景，支持在已审核列表直接修改多项医嘱开始时间；</w:t>
            </w:r>
          </w:p>
          <w:p w14:paraId="2D6ABDEA">
            <w:pPr>
              <w:pStyle w:val="4"/>
              <w:jc w:val="both"/>
            </w:pPr>
            <w:r>
              <w:rPr>
                <w:rFonts w:ascii="仿宋_GB2312" w:hAnsi="仿宋_GB2312" w:eastAsia="仿宋_GB2312" w:cs="仿宋_GB2312"/>
                <w:sz w:val="21"/>
              </w:rPr>
              <w:t>178.支持中药处方开立，开立处方时自动校验是否开立中医诊断</w:t>
            </w:r>
          </w:p>
          <w:p w14:paraId="3B011934">
            <w:pPr>
              <w:pStyle w:val="4"/>
              <w:jc w:val="both"/>
            </w:pPr>
            <w:r>
              <w:rPr>
                <w:rFonts w:ascii="仿宋_GB2312" w:hAnsi="仿宋_GB2312" w:eastAsia="仿宋_GB2312" w:cs="仿宋_GB2312"/>
                <w:sz w:val="21"/>
              </w:rPr>
              <w:t>179.开立检查、检验医嘱时自动带入检查目的、体征、病状、诊断等信息创建申请单；</w:t>
            </w:r>
          </w:p>
          <w:p w14:paraId="357C2D57">
            <w:pPr>
              <w:pStyle w:val="4"/>
              <w:jc w:val="both"/>
            </w:pPr>
            <w:r>
              <w:rPr>
                <w:rFonts w:ascii="仿宋_GB2312" w:hAnsi="仿宋_GB2312" w:eastAsia="仿宋_GB2312" w:cs="仿宋_GB2312"/>
                <w:sz w:val="21"/>
              </w:rPr>
              <w:t>180.支持医嘱模板的维护和引用，包括个人模板和科室模板；</w:t>
            </w:r>
          </w:p>
          <w:p w14:paraId="1B274CD7">
            <w:pPr>
              <w:pStyle w:val="4"/>
              <w:jc w:val="both"/>
            </w:pPr>
            <w:r>
              <w:rPr>
                <w:rFonts w:ascii="仿宋_GB2312" w:hAnsi="仿宋_GB2312" w:eastAsia="仿宋_GB2312" w:cs="仿宋_GB2312"/>
                <w:sz w:val="21"/>
              </w:rPr>
              <w:t>181.支持患者历史就诊医嘱的查看和直接引用到本次医嘱列表；</w:t>
            </w:r>
          </w:p>
          <w:p w14:paraId="06C5466C">
            <w:pPr>
              <w:pStyle w:val="4"/>
              <w:jc w:val="both"/>
            </w:pPr>
            <w:r>
              <w:rPr>
                <w:rFonts w:ascii="仿宋_GB2312" w:hAnsi="仿宋_GB2312" w:eastAsia="仿宋_GB2312" w:cs="仿宋_GB2312"/>
                <w:sz w:val="21"/>
              </w:rPr>
              <w:t>182.提供综合打印，包括：执行单、输液单、注射单、标签、口服单、医嘱单等；</w:t>
            </w:r>
          </w:p>
          <w:p w14:paraId="3805147A">
            <w:pPr>
              <w:pStyle w:val="4"/>
              <w:jc w:val="both"/>
            </w:pPr>
            <w:r>
              <w:rPr>
                <w:rFonts w:ascii="仿宋_GB2312" w:hAnsi="仿宋_GB2312" w:eastAsia="仿宋_GB2312" w:cs="仿宋_GB2312"/>
                <w:sz w:val="21"/>
              </w:rPr>
              <w:t>183.▲支持查看医嘱执行状态，皮试结果自动生成阴性或阳性标识展示在医嘱列表上（提供系统功能截图或产品说明书或产品彩页等相关证明资料）；</w:t>
            </w:r>
          </w:p>
          <w:p w14:paraId="4D5060BB">
            <w:pPr>
              <w:pStyle w:val="4"/>
              <w:jc w:val="both"/>
            </w:pPr>
            <w:r>
              <w:rPr>
                <w:rFonts w:ascii="仿宋_GB2312" w:hAnsi="仿宋_GB2312" w:eastAsia="仿宋_GB2312" w:cs="仿宋_GB2312"/>
                <w:sz w:val="21"/>
              </w:rPr>
              <w:t>184.支持医嘱费用明细查看，根据颜色区分缴费状态，包括待缴费、已缴费、已退费、未计费；</w:t>
            </w:r>
          </w:p>
          <w:p w14:paraId="31FE5311">
            <w:pPr>
              <w:pStyle w:val="4"/>
              <w:jc w:val="both"/>
            </w:pPr>
            <w:r>
              <w:rPr>
                <w:rFonts w:ascii="仿宋_GB2312" w:hAnsi="仿宋_GB2312" w:eastAsia="仿宋_GB2312" w:cs="仿宋_GB2312"/>
                <w:sz w:val="21"/>
              </w:rPr>
              <w:t>185.▲支持护士核对医嘱，核对过程中支持对医嘱执行确认执行和驳回操作，驳回的医嘱通过系统消息提醒开立医生进行医嘱修改和重新发送；（提供系统功能截图或产品说明书或产品彩页等相关证明资料）</w:t>
            </w:r>
          </w:p>
          <w:p w14:paraId="1A7DE10F">
            <w:pPr>
              <w:pStyle w:val="4"/>
              <w:jc w:val="both"/>
            </w:pPr>
            <w:r>
              <w:rPr>
                <w:rFonts w:ascii="仿宋_GB2312" w:hAnsi="仿宋_GB2312" w:eastAsia="仿宋_GB2312" w:cs="仿宋_GB2312"/>
                <w:sz w:val="21"/>
              </w:rPr>
              <w:t>186.支持医嘱执行管理，支持查看医嘱执行信息；</w:t>
            </w:r>
          </w:p>
          <w:p w14:paraId="506B8CE1">
            <w:pPr>
              <w:pStyle w:val="4"/>
              <w:jc w:val="both"/>
            </w:pPr>
            <w:r>
              <w:rPr>
                <w:rFonts w:ascii="仿宋_GB2312" w:hAnsi="仿宋_GB2312" w:eastAsia="仿宋_GB2312" w:cs="仿宋_GB2312"/>
                <w:sz w:val="21"/>
              </w:rPr>
              <w:t>187.支持护士补充计费功能，允许护理人员开立患者耗材、治疗类费用；</w:t>
            </w:r>
          </w:p>
          <w:p w14:paraId="61D0F696">
            <w:pPr>
              <w:pStyle w:val="4"/>
              <w:jc w:val="both"/>
            </w:pPr>
            <w:r>
              <w:rPr>
                <w:rFonts w:ascii="仿宋_GB2312" w:hAnsi="仿宋_GB2312" w:eastAsia="仿宋_GB2312" w:cs="仿宋_GB2312"/>
                <w:sz w:val="21"/>
              </w:rPr>
              <w:t>188.提供个人和科室补费模板维护工具，支持将常用计费项目维护成模板，通过模板快速开立项目；</w:t>
            </w:r>
          </w:p>
          <w:p w14:paraId="5BEF9543">
            <w:pPr>
              <w:pStyle w:val="4"/>
              <w:jc w:val="both"/>
            </w:pPr>
            <w:r>
              <w:rPr>
                <w:rFonts w:ascii="仿宋_GB2312" w:hAnsi="仿宋_GB2312" w:eastAsia="仿宋_GB2312" w:cs="仿宋_GB2312"/>
                <w:b/>
                <w:sz w:val="21"/>
              </w:rPr>
              <w:t>费用管理</w:t>
            </w:r>
          </w:p>
          <w:p w14:paraId="242A8032">
            <w:pPr>
              <w:pStyle w:val="4"/>
              <w:jc w:val="both"/>
            </w:pPr>
            <w:r>
              <w:rPr>
                <w:rFonts w:ascii="仿宋_GB2312" w:hAnsi="仿宋_GB2312" w:eastAsia="仿宋_GB2312" w:cs="仿宋_GB2312"/>
                <w:sz w:val="21"/>
              </w:rPr>
              <w:t xml:space="preserve"> 189.支持查看所有急诊患者计费项目明细，自动计算药占比、耗材比；</w:t>
            </w:r>
          </w:p>
          <w:p w14:paraId="030010F1">
            <w:pPr>
              <w:pStyle w:val="4"/>
              <w:jc w:val="both"/>
            </w:pPr>
            <w:r>
              <w:rPr>
                <w:rFonts w:ascii="仿宋_GB2312" w:hAnsi="仿宋_GB2312" w:eastAsia="仿宋_GB2312" w:cs="仿宋_GB2312"/>
                <w:sz w:val="21"/>
              </w:rPr>
              <w:t>190.支持按照计费类型分类展示收费信息；</w:t>
            </w:r>
          </w:p>
          <w:p w14:paraId="60FA862A">
            <w:pPr>
              <w:pStyle w:val="4"/>
              <w:jc w:val="both"/>
            </w:pPr>
            <w:r>
              <w:rPr>
                <w:rFonts w:ascii="仿宋_GB2312" w:hAnsi="仿宋_GB2312" w:eastAsia="仿宋_GB2312" w:cs="仿宋_GB2312"/>
                <w:sz w:val="21"/>
              </w:rPr>
              <w:t>191.提供计费明细过滤器，支持按照计费类别、划价人、划价时间等查询计费明细和金额；</w:t>
            </w:r>
          </w:p>
          <w:p w14:paraId="5033EF19">
            <w:pPr>
              <w:pStyle w:val="4"/>
              <w:jc w:val="both"/>
            </w:pPr>
            <w:r>
              <w:rPr>
                <w:rFonts w:ascii="仿宋_GB2312" w:hAnsi="仿宋_GB2312" w:eastAsia="仿宋_GB2312" w:cs="仿宋_GB2312"/>
                <w:sz w:val="21"/>
              </w:rPr>
              <w:t>192.支持查看计费项目缴费情况，并汇总金额，包括应收金额、已缴金额、待缴金额等；</w:t>
            </w:r>
          </w:p>
          <w:p w14:paraId="1E3F88F2">
            <w:pPr>
              <w:pStyle w:val="4"/>
              <w:jc w:val="both"/>
            </w:pPr>
            <w:r>
              <w:rPr>
                <w:rFonts w:ascii="仿宋_GB2312" w:hAnsi="仿宋_GB2312" w:eastAsia="仿宋_GB2312" w:cs="仿宋_GB2312"/>
                <w:sz w:val="21"/>
              </w:rPr>
              <w:t>193.支持计费明细导出为Excel；</w:t>
            </w:r>
          </w:p>
          <w:p w14:paraId="79C909A6">
            <w:pPr>
              <w:pStyle w:val="4"/>
              <w:jc w:val="both"/>
            </w:pPr>
            <w:r>
              <w:rPr>
                <w:rFonts w:ascii="仿宋_GB2312" w:hAnsi="仿宋_GB2312" w:eastAsia="仿宋_GB2312" w:cs="仿宋_GB2312"/>
                <w:b/>
                <w:sz w:val="21"/>
              </w:rPr>
              <w:t>会诊管理</w:t>
            </w:r>
          </w:p>
          <w:p w14:paraId="6D31FDBD">
            <w:pPr>
              <w:pStyle w:val="4"/>
              <w:jc w:val="both"/>
            </w:pPr>
            <w:r>
              <w:rPr>
                <w:rFonts w:ascii="仿宋_GB2312" w:hAnsi="仿宋_GB2312" w:eastAsia="仿宋_GB2312" w:cs="仿宋_GB2312"/>
                <w:sz w:val="21"/>
              </w:rPr>
              <w:t xml:space="preserve"> 194.支持会诊记录列表，提供过滤器，通过会诊患者、科室、申请人、会诊时间、状态等信息查找会诊记录；</w:t>
            </w:r>
          </w:p>
          <w:p w14:paraId="3C6368D2">
            <w:pPr>
              <w:pStyle w:val="4"/>
              <w:jc w:val="both"/>
            </w:pPr>
            <w:r>
              <w:rPr>
                <w:rFonts w:ascii="仿宋_GB2312" w:hAnsi="仿宋_GB2312" w:eastAsia="仿宋_GB2312" w:cs="仿宋_GB2312"/>
                <w:sz w:val="21"/>
              </w:rPr>
              <w:t>195.支持自动记录高频会诊科室，一键点击快速引用会诊科室；</w:t>
            </w:r>
          </w:p>
          <w:p w14:paraId="4F1C9EF5">
            <w:pPr>
              <w:pStyle w:val="4"/>
              <w:jc w:val="both"/>
            </w:pPr>
            <w:r>
              <w:rPr>
                <w:rFonts w:ascii="仿宋_GB2312" w:hAnsi="仿宋_GB2312" w:eastAsia="仿宋_GB2312" w:cs="仿宋_GB2312"/>
                <w:sz w:val="21"/>
              </w:rPr>
              <w:t>196.支持会诊申请单一键引用患者主诉、病历摘要、检查检验结果、医嘱信息；</w:t>
            </w:r>
          </w:p>
          <w:p w14:paraId="5EB23234">
            <w:pPr>
              <w:pStyle w:val="4"/>
              <w:jc w:val="both"/>
            </w:pPr>
            <w:r>
              <w:rPr>
                <w:rFonts w:ascii="仿宋_GB2312" w:hAnsi="仿宋_GB2312" w:eastAsia="仿宋_GB2312" w:cs="仿宋_GB2312"/>
                <w:sz w:val="21"/>
              </w:rPr>
              <w:t>197.支持未接收的会诊撤回重发；</w:t>
            </w:r>
          </w:p>
          <w:p w14:paraId="1447B813">
            <w:pPr>
              <w:pStyle w:val="4"/>
              <w:jc w:val="both"/>
            </w:pPr>
            <w:r>
              <w:rPr>
                <w:rFonts w:ascii="仿宋_GB2312" w:hAnsi="仿宋_GB2312" w:eastAsia="仿宋_GB2312" w:cs="仿宋_GB2312"/>
                <w:sz w:val="21"/>
              </w:rPr>
              <w:t>198.支持对接或提供调阅链接的方式，允许其他科室医师登录查看本人/本科参与的会诊记录信息；</w:t>
            </w:r>
          </w:p>
          <w:p w14:paraId="653EA81E">
            <w:pPr>
              <w:pStyle w:val="4"/>
              <w:jc w:val="both"/>
            </w:pPr>
            <w:r>
              <w:rPr>
                <w:rFonts w:ascii="仿宋_GB2312" w:hAnsi="仿宋_GB2312" w:eastAsia="仿宋_GB2312" w:cs="仿宋_GB2312"/>
                <w:sz w:val="21"/>
              </w:rPr>
              <w:t>199.支持会诊科室登录急诊系统签到，签到方式支持CA签到；</w:t>
            </w:r>
          </w:p>
          <w:p w14:paraId="1253F72F">
            <w:pPr>
              <w:pStyle w:val="4"/>
              <w:jc w:val="both"/>
            </w:pPr>
            <w:r>
              <w:rPr>
                <w:rFonts w:ascii="仿宋_GB2312" w:hAnsi="仿宋_GB2312" w:eastAsia="仿宋_GB2312" w:cs="仿宋_GB2312"/>
                <w:sz w:val="21"/>
              </w:rPr>
              <w:t>200.支持会诊完成通知，所有会诊科室录入意见后，系统消息推送给申请医生，提醒会诊已完成；</w:t>
            </w:r>
          </w:p>
          <w:p w14:paraId="2DABC8FC">
            <w:pPr>
              <w:pStyle w:val="4"/>
              <w:jc w:val="both"/>
            </w:pPr>
            <w:r>
              <w:rPr>
                <w:rFonts w:ascii="仿宋_GB2312" w:hAnsi="仿宋_GB2312" w:eastAsia="仿宋_GB2312" w:cs="仿宋_GB2312"/>
                <w:sz w:val="21"/>
              </w:rPr>
              <w:t>201.支持会诊记录列表导出Excel；</w:t>
            </w:r>
          </w:p>
          <w:p w14:paraId="399C9CF8">
            <w:pPr>
              <w:pStyle w:val="4"/>
              <w:jc w:val="both"/>
            </w:pPr>
            <w:r>
              <w:rPr>
                <w:rFonts w:ascii="仿宋_GB2312" w:hAnsi="仿宋_GB2312" w:eastAsia="仿宋_GB2312" w:cs="仿宋_GB2312"/>
                <w:sz w:val="21"/>
              </w:rPr>
              <w:t>202.支持会诊信息补录、打印会诊单。</w:t>
            </w:r>
          </w:p>
          <w:p w14:paraId="61EE5583">
            <w:pPr>
              <w:pStyle w:val="4"/>
              <w:jc w:val="both"/>
            </w:pPr>
            <w:r>
              <w:rPr>
                <w:rFonts w:ascii="仿宋_GB2312" w:hAnsi="仿宋_GB2312" w:eastAsia="仿宋_GB2312" w:cs="仿宋_GB2312"/>
                <w:b/>
                <w:sz w:val="21"/>
              </w:rPr>
              <w:t xml:space="preserve"> 医护交接班</w:t>
            </w:r>
          </w:p>
          <w:p w14:paraId="62D6C2A7">
            <w:pPr>
              <w:pStyle w:val="4"/>
              <w:jc w:val="both"/>
            </w:pPr>
            <w:r>
              <w:rPr>
                <w:rFonts w:ascii="仿宋_GB2312" w:hAnsi="仿宋_GB2312" w:eastAsia="仿宋_GB2312" w:cs="仿宋_GB2312"/>
                <w:sz w:val="21"/>
              </w:rPr>
              <w:t xml:space="preserve"> 203.提供电子交班本，支持医护交班、接班流程；</w:t>
            </w:r>
          </w:p>
          <w:p w14:paraId="7EC18EE3">
            <w:pPr>
              <w:pStyle w:val="4"/>
              <w:jc w:val="both"/>
            </w:pPr>
            <w:r>
              <w:rPr>
                <w:rFonts w:ascii="仿宋_GB2312" w:hAnsi="仿宋_GB2312" w:eastAsia="仿宋_GB2312" w:cs="仿宋_GB2312"/>
                <w:sz w:val="21"/>
              </w:rPr>
              <w:t>204.支持自动获取班次需交接的统计信息，如班次就诊人数、入抢人数、入院人数等，提供配置工具，根据科室需要配置统计数据；</w:t>
            </w:r>
          </w:p>
          <w:p w14:paraId="398B3267">
            <w:pPr>
              <w:pStyle w:val="4"/>
              <w:jc w:val="both"/>
            </w:pPr>
            <w:r>
              <w:rPr>
                <w:rFonts w:ascii="仿宋_GB2312" w:hAnsi="仿宋_GB2312" w:eastAsia="仿宋_GB2312" w:cs="仿宋_GB2312"/>
                <w:sz w:val="21"/>
              </w:rPr>
              <w:t>205.支持特殊交班，允许选择特殊交班患者备注交班信息；</w:t>
            </w:r>
          </w:p>
          <w:p w14:paraId="6AD710A6">
            <w:pPr>
              <w:pStyle w:val="4"/>
              <w:jc w:val="both"/>
            </w:pPr>
            <w:r>
              <w:rPr>
                <w:rFonts w:ascii="仿宋_GB2312" w:hAnsi="仿宋_GB2312" w:eastAsia="仿宋_GB2312" w:cs="仿宋_GB2312"/>
                <w:sz w:val="21"/>
              </w:rPr>
              <w:t>206.特殊交班支持插入患者来诊时间、主诉、体征、医嘱信息、检查报告、检验结果数据；</w:t>
            </w:r>
          </w:p>
          <w:p w14:paraId="40A72569">
            <w:pPr>
              <w:pStyle w:val="4"/>
              <w:jc w:val="both"/>
            </w:pPr>
            <w:r>
              <w:rPr>
                <w:rFonts w:ascii="仿宋_GB2312" w:hAnsi="仿宋_GB2312" w:eastAsia="仿宋_GB2312" w:cs="仿宋_GB2312"/>
                <w:sz w:val="21"/>
              </w:rPr>
              <w:t>207.▲支持科室设备交班，通过移动设备扫码获取在科设备信息，并标注遗失、外借、送修、报废设备情况；（提供系统功能截图或产品说明书或产品彩页等相关证明资料）</w:t>
            </w:r>
          </w:p>
          <w:p w14:paraId="416133BC">
            <w:pPr>
              <w:pStyle w:val="4"/>
              <w:jc w:val="both"/>
            </w:pPr>
            <w:r>
              <w:rPr>
                <w:rFonts w:ascii="仿宋_GB2312" w:hAnsi="仿宋_GB2312" w:eastAsia="仿宋_GB2312" w:cs="仿宋_GB2312"/>
                <w:sz w:val="21"/>
              </w:rPr>
              <w:t>208.支持按班次单独查看设备交班信息和按日期汇总查看交班信息；</w:t>
            </w:r>
          </w:p>
          <w:p w14:paraId="55E5DA77">
            <w:pPr>
              <w:pStyle w:val="4"/>
              <w:jc w:val="both"/>
            </w:pPr>
            <w:r>
              <w:rPr>
                <w:rFonts w:ascii="仿宋_GB2312" w:hAnsi="仿宋_GB2312" w:eastAsia="仿宋_GB2312" w:cs="仿宋_GB2312"/>
                <w:sz w:val="21"/>
              </w:rPr>
              <w:t>209.支持PC端交班日志，重点实现异常设备去向的全流程追溯，强化责任管控，保障管理合规性；</w:t>
            </w:r>
          </w:p>
          <w:p w14:paraId="208E21E3">
            <w:pPr>
              <w:pStyle w:val="4"/>
              <w:jc w:val="both"/>
            </w:pPr>
            <w:r>
              <w:rPr>
                <w:rFonts w:ascii="仿宋_GB2312" w:hAnsi="仿宋_GB2312" w:eastAsia="仿宋_GB2312" w:cs="仿宋_GB2312"/>
                <w:sz w:val="21"/>
              </w:rPr>
              <w:t>210.支持打印交班本。</w:t>
            </w:r>
          </w:p>
          <w:p w14:paraId="06E05599">
            <w:pPr>
              <w:pStyle w:val="4"/>
              <w:jc w:val="both"/>
            </w:pPr>
            <w:r>
              <w:rPr>
                <w:rFonts w:ascii="仿宋_GB2312" w:hAnsi="仿宋_GB2312" w:eastAsia="仿宋_GB2312" w:cs="仿宋_GB2312"/>
                <w:b/>
                <w:sz w:val="21"/>
              </w:rPr>
              <w:t>医护工作台</w:t>
            </w:r>
          </w:p>
          <w:p w14:paraId="27F0F7C8">
            <w:pPr>
              <w:pStyle w:val="4"/>
              <w:jc w:val="both"/>
            </w:pPr>
            <w:r>
              <w:rPr>
                <w:rFonts w:ascii="仿宋_GB2312" w:hAnsi="仿宋_GB2312" w:eastAsia="仿宋_GB2312" w:cs="仿宋_GB2312"/>
                <w:sz w:val="21"/>
              </w:rPr>
              <w:t xml:space="preserve"> 211.根据登录用户权限供高频功能的快速导航入口；</w:t>
            </w:r>
          </w:p>
          <w:p w14:paraId="2C42B5CD">
            <w:pPr>
              <w:pStyle w:val="4"/>
              <w:jc w:val="both"/>
            </w:pPr>
            <w:r>
              <w:rPr>
                <w:rFonts w:ascii="仿宋_GB2312" w:hAnsi="仿宋_GB2312" w:eastAsia="仿宋_GB2312" w:cs="仿宋_GB2312"/>
                <w:sz w:val="21"/>
              </w:rPr>
              <w:t>212.支持以图形化的方式动态显示各类医生/护士相关的急诊临床信息数据统计分析；</w:t>
            </w:r>
          </w:p>
          <w:p w14:paraId="2F3C1C00">
            <w:pPr>
              <w:pStyle w:val="4"/>
              <w:jc w:val="both"/>
            </w:pPr>
            <w:r>
              <w:rPr>
                <w:rFonts w:ascii="仿宋_GB2312" w:hAnsi="仿宋_GB2312" w:eastAsia="仿宋_GB2312" w:cs="仿宋_GB2312"/>
                <w:sz w:val="21"/>
              </w:rPr>
              <w:t>213.支持医生/护士个人工作量查看，集成交接班统计数据，展示每日工作量；</w:t>
            </w:r>
          </w:p>
          <w:p w14:paraId="02008E76">
            <w:pPr>
              <w:pStyle w:val="4"/>
              <w:jc w:val="both"/>
            </w:pPr>
            <w:r>
              <w:rPr>
                <w:rFonts w:ascii="仿宋_GB2312" w:hAnsi="仿宋_GB2312" w:eastAsia="仿宋_GB2312" w:cs="仿宋_GB2312"/>
                <w:sz w:val="21"/>
              </w:rPr>
              <w:t>214.支持医生/护士待办事项提醒，如病历未完成、医嘱未执行、超时未转归等，支持特别关注患者待办事项提醒；</w:t>
            </w:r>
          </w:p>
          <w:p w14:paraId="2C4DE909">
            <w:pPr>
              <w:pStyle w:val="4"/>
              <w:jc w:val="both"/>
            </w:pPr>
            <w:r>
              <w:rPr>
                <w:rFonts w:ascii="仿宋_GB2312" w:hAnsi="仿宋_GB2312" w:eastAsia="仿宋_GB2312" w:cs="仿宋_GB2312"/>
                <w:sz w:val="21"/>
              </w:rPr>
              <w:t>215.提供日程安排小工具，医生/护士可以自行记录工作事项安排；</w:t>
            </w:r>
          </w:p>
          <w:p w14:paraId="0202151B">
            <w:pPr>
              <w:pStyle w:val="4"/>
              <w:jc w:val="both"/>
            </w:pPr>
            <w:r>
              <w:rPr>
                <w:rFonts w:ascii="仿宋_GB2312" w:hAnsi="仿宋_GB2312" w:eastAsia="仿宋_GB2312" w:cs="仿宋_GB2312"/>
                <w:sz w:val="21"/>
              </w:rPr>
              <w:t>216.提供简易计算器小工具，允许在诊疗过程中快速打开计算器并使用；</w:t>
            </w:r>
          </w:p>
          <w:p w14:paraId="15BFB35C">
            <w:pPr>
              <w:pStyle w:val="4"/>
              <w:jc w:val="both"/>
            </w:pPr>
            <w:r>
              <w:rPr>
                <w:rFonts w:ascii="仿宋_GB2312" w:hAnsi="仿宋_GB2312" w:eastAsia="仿宋_GB2312" w:cs="仿宋_GB2312"/>
                <w:sz w:val="21"/>
              </w:rPr>
              <w:t xml:space="preserve">217.支持科室公告，授权用户可以在系统发布科室相关公告，通过消息推送至接收人阅读；   </w:t>
            </w:r>
          </w:p>
          <w:p w14:paraId="430C3B69">
            <w:pPr>
              <w:pStyle w:val="4"/>
              <w:jc w:val="both"/>
            </w:pPr>
            <w:r>
              <w:rPr>
                <w:rFonts w:ascii="仿宋_GB2312" w:hAnsi="仿宋_GB2312" w:eastAsia="仿宋_GB2312" w:cs="仿宋_GB2312"/>
                <w:sz w:val="21"/>
              </w:rPr>
              <w:t>218.支持菜单收藏，医生/护士可将常用功能菜单进行收藏，快速打开常用菜单并使用；</w:t>
            </w:r>
          </w:p>
          <w:p w14:paraId="541FD17C">
            <w:pPr>
              <w:pStyle w:val="4"/>
              <w:jc w:val="both"/>
            </w:pPr>
            <w:r>
              <w:rPr>
                <w:rFonts w:ascii="仿宋_GB2312" w:hAnsi="仿宋_GB2312" w:eastAsia="仿宋_GB2312" w:cs="仿宋_GB2312"/>
                <w:sz w:val="21"/>
              </w:rPr>
              <w:t>219.支持菜单查找，医生/护士可通过菜单搜索引擎快速查找系统功能菜单并打开使用。</w:t>
            </w:r>
          </w:p>
          <w:p w14:paraId="16409B49">
            <w:pPr>
              <w:pStyle w:val="4"/>
              <w:jc w:val="both"/>
            </w:pPr>
            <w:r>
              <w:rPr>
                <w:rFonts w:ascii="仿宋_GB2312" w:hAnsi="仿宋_GB2312" w:eastAsia="仿宋_GB2312" w:cs="仿宋_GB2312"/>
                <w:sz w:val="21"/>
              </w:rPr>
              <w:t>消息提醒</w:t>
            </w:r>
          </w:p>
          <w:p w14:paraId="6D5EDA82">
            <w:pPr>
              <w:pStyle w:val="4"/>
              <w:jc w:val="both"/>
            </w:pPr>
            <w:r>
              <w:rPr>
                <w:rFonts w:ascii="仿宋_GB2312" w:hAnsi="仿宋_GB2312" w:eastAsia="仿宋_GB2312" w:cs="仿宋_GB2312"/>
                <w:sz w:val="21"/>
              </w:rPr>
              <w:t xml:space="preserve"> 220.支持医嘱审核驳回提醒；</w:t>
            </w:r>
          </w:p>
          <w:p w14:paraId="322E4E4C">
            <w:pPr>
              <w:pStyle w:val="4"/>
              <w:jc w:val="both"/>
            </w:pPr>
            <w:r>
              <w:rPr>
                <w:rFonts w:ascii="仿宋_GB2312" w:hAnsi="仿宋_GB2312" w:eastAsia="仿宋_GB2312" w:cs="仿宋_GB2312"/>
                <w:sz w:val="21"/>
              </w:rPr>
              <w:t>221.支持患者危急值提醒（需接口支持）；</w:t>
            </w:r>
          </w:p>
          <w:p w14:paraId="4DAD0F57">
            <w:pPr>
              <w:pStyle w:val="4"/>
              <w:jc w:val="both"/>
            </w:pPr>
            <w:r>
              <w:rPr>
                <w:rFonts w:ascii="仿宋_GB2312" w:hAnsi="仿宋_GB2312" w:eastAsia="仿宋_GB2312" w:cs="仿宋_GB2312"/>
                <w:sz w:val="21"/>
              </w:rPr>
              <w:t>222.支持留观超时提醒，根据科室需求设定留观超时临界值；</w:t>
            </w:r>
          </w:p>
          <w:p w14:paraId="1DF19EEA">
            <w:pPr>
              <w:pStyle w:val="4"/>
              <w:jc w:val="both"/>
            </w:pPr>
            <w:r>
              <w:rPr>
                <w:rFonts w:ascii="仿宋_GB2312" w:hAnsi="仿宋_GB2312" w:eastAsia="仿宋_GB2312" w:cs="仿宋_GB2312"/>
                <w:sz w:val="21"/>
              </w:rPr>
              <w:t>223.支持挂号信息过期提醒；</w:t>
            </w:r>
          </w:p>
          <w:p w14:paraId="553EAA3C">
            <w:pPr>
              <w:pStyle w:val="4"/>
              <w:jc w:val="both"/>
            </w:pPr>
            <w:r>
              <w:rPr>
                <w:rFonts w:ascii="仿宋_GB2312" w:hAnsi="仿宋_GB2312" w:eastAsia="仿宋_GB2312" w:cs="仿宋_GB2312"/>
                <w:sz w:val="21"/>
              </w:rPr>
              <w:t>224.支持病历修改申请提醒；</w:t>
            </w:r>
          </w:p>
          <w:p w14:paraId="3B39C2C9">
            <w:pPr>
              <w:pStyle w:val="4"/>
              <w:jc w:val="both"/>
            </w:pPr>
            <w:r>
              <w:rPr>
                <w:rFonts w:ascii="仿宋_GB2312" w:hAnsi="仿宋_GB2312" w:eastAsia="仿宋_GB2312" w:cs="仿宋_GB2312"/>
                <w:sz w:val="21"/>
              </w:rPr>
              <w:t>225.支持皮试阳性提醒；</w:t>
            </w:r>
          </w:p>
          <w:p w14:paraId="661BE200">
            <w:pPr>
              <w:pStyle w:val="4"/>
              <w:jc w:val="both"/>
            </w:pPr>
            <w:r>
              <w:rPr>
                <w:rFonts w:ascii="仿宋_GB2312" w:hAnsi="仿宋_GB2312" w:eastAsia="仿宋_GB2312" w:cs="仿宋_GB2312"/>
                <w:sz w:val="21"/>
              </w:rPr>
              <w:t>226.支持会诊意见录入完成提醒；</w:t>
            </w:r>
          </w:p>
          <w:p w14:paraId="41CA8DFE">
            <w:pPr>
              <w:pStyle w:val="4"/>
              <w:jc w:val="both"/>
            </w:pPr>
            <w:r>
              <w:rPr>
                <w:rFonts w:ascii="仿宋_GB2312" w:hAnsi="仿宋_GB2312" w:eastAsia="仿宋_GB2312" w:cs="仿宋_GB2312"/>
                <w:sz w:val="21"/>
              </w:rPr>
              <w:t>227.支持检查检验结果已完成提醒（需接口支持）；</w:t>
            </w:r>
          </w:p>
          <w:p w14:paraId="1A6C0F28">
            <w:pPr>
              <w:pStyle w:val="4"/>
              <w:jc w:val="both"/>
            </w:pPr>
            <w:r>
              <w:rPr>
                <w:rFonts w:ascii="仿宋_GB2312" w:hAnsi="仿宋_GB2312" w:eastAsia="仿宋_GB2312" w:cs="仿宋_GB2312"/>
                <w:sz w:val="21"/>
              </w:rPr>
              <w:t>228.支持检查检验结果变更提醒（需接口支持）；</w:t>
            </w:r>
          </w:p>
          <w:p w14:paraId="5CF2EBE5">
            <w:pPr>
              <w:pStyle w:val="4"/>
              <w:jc w:val="both"/>
            </w:pPr>
            <w:r>
              <w:rPr>
                <w:rFonts w:ascii="仿宋_GB2312" w:hAnsi="仿宋_GB2312" w:eastAsia="仿宋_GB2312" w:cs="仿宋_GB2312"/>
                <w:sz w:val="21"/>
              </w:rPr>
              <w:t>229.支持科室公告提醒；</w:t>
            </w:r>
          </w:p>
          <w:p w14:paraId="430EABF7">
            <w:pPr>
              <w:pStyle w:val="4"/>
              <w:jc w:val="both"/>
            </w:pPr>
            <w:r>
              <w:rPr>
                <w:rFonts w:ascii="仿宋_GB2312" w:hAnsi="仿宋_GB2312" w:eastAsia="仿宋_GB2312" w:cs="仿宋_GB2312"/>
                <w:sz w:val="21"/>
              </w:rPr>
              <w:t>230.支持日程安排提醒。</w:t>
            </w:r>
          </w:p>
          <w:p w14:paraId="5B4FC2F9">
            <w:pPr>
              <w:pStyle w:val="4"/>
              <w:jc w:val="both"/>
            </w:pPr>
            <w:r>
              <w:rPr>
                <w:rFonts w:ascii="仿宋_GB2312" w:hAnsi="仿宋_GB2312" w:eastAsia="仿宋_GB2312" w:cs="仿宋_GB2312"/>
                <w:b/>
                <w:sz w:val="21"/>
              </w:rPr>
              <w:t xml:space="preserve"> 质控管理</w:t>
            </w:r>
          </w:p>
          <w:p w14:paraId="42707047">
            <w:pPr>
              <w:pStyle w:val="4"/>
              <w:jc w:val="both"/>
            </w:pPr>
            <w:r>
              <w:rPr>
                <w:rFonts w:ascii="仿宋_GB2312" w:hAnsi="仿宋_GB2312" w:eastAsia="仿宋_GB2312" w:cs="仿宋_GB2312"/>
                <w:sz w:val="21"/>
              </w:rPr>
              <w:t xml:space="preserve"> 231.支持《急诊医学专业医疗质量控制指标 （2024 年版）》；</w:t>
            </w:r>
          </w:p>
          <w:p w14:paraId="44C159A3">
            <w:pPr>
              <w:pStyle w:val="4"/>
              <w:jc w:val="both"/>
            </w:pPr>
            <w:r>
              <w:rPr>
                <w:rFonts w:ascii="仿宋_GB2312" w:hAnsi="仿宋_GB2312" w:eastAsia="仿宋_GB2312" w:cs="仿宋_GB2312"/>
                <w:sz w:val="21"/>
              </w:rPr>
              <w:t>232.支持《NCIS质量控制数据统计指标》；</w:t>
            </w:r>
          </w:p>
          <w:p w14:paraId="5AC7A8CD">
            <w:pPr>
              <w:pStyle w:val="4"/>
              <w:jc w:val="both"/>
            </w:pPr>
            <w:r>
              <w:rPr>
                <w:rFonts w:ascii="仿宋_GB2312" w:hAnsi="仿宋_GB2312" w:eastAsia="仿宋_GB2312" w:cs="仿宋_GB2312"/>
                <w:sz w:val="21"/>
              </w:rPr>
              <w:t>233.提供科室常用统计报表，如：急诊科工作量表、抢救信息统计表、抢救病种百分比、急诊留观平均时间统计表、急诊诊疗总例数与抢救、死亡例数、急诊重点病种统计急诊科就诊病人流向统计表、急诊输液患者统计；</w:t>
            </w:r>
          </w:p>
          <w:p w14:paraId="3B66DE66">
            <w:pPr>
              <w:pStyle w:val="4"/>
              <w:jc w:val="both"/>
            </w:pPr>
            <w:r>
              <w:rPr>
                <w:rFonts w:ascii="仿宋_GB2312" w:hAnsi="仿宋_GB2312" w:eastAsia="仿宋_GB2312" w:cs="仿宋_GB2312"/>
                <w:sz w:val="21"/>
              </w:rPr>
              <w:t>234.可根据科室需求定制报表统计内容。</w:t>
            </w:r>
          </w:p>
          <w:p w14:paraId="62D983FC">
            <w:pPr>
              <w:pStyle w:val="4"/>
              <w:jc w:val="both"/>
            </w:pPr>
            <w:r>
              <w:rPr>
                <w:rFonts w:ascii="仿宋_GB2312" w:hAnsi="仿宋_GB2312" w:eastAsia="仿宋_GB2312" w:cs="仿宋_GB2312"/>
                <w:b/>
                <w:sz w:val="21"/>
              </w:rPr>
              <w:t xml:space="preserve"> 急诊智慧大屏</w:t>
            </w:r>
          </w:p>
          <w:p w14:paraId="01177DD1">
            <w:pPr>
              <w:pStyle w:val="4"/>
              <w:jc w:val="both"/>
            </w:pPr>
            <w:r>
              <w:rPr>
                <w:rFonts w:ascii="仿宋_GB2312" w:hAnsi="仿宋_GB2312" w:eastAsia="仿宋_GB2312" w:cs="仿宋_GB2312"/>
                <w:sz w:val="21"/>
              </w:rPr>
              <w:t xml:space="preserve"> 235.在急诊科相关区域部署智慧大屏，以实时展示当前急诊科运行情况；</w:t>
            </w:r>
          </w:p>
          <w:p w14:paraId="177F585E">
            <w:pPr>
              <w:pStyle w:val="4"/>
              <w:jc w:val="both"/>
            </w:pPr>
            <w:r>
              <w:rPr>
                <w:rFonts w:ascii="仿宋_GB2312" w:hAnsi="仿宋_GB2312" w:eastAsia="仿宋_GB2312" w:cs="仿宋_GB2312"/>
                <w:sz w:val="21"/>
              </w:rPr>
              <w:t>236.具备急诊驾驶舱功能，展示当前急诊科医疗资源占用情况及相关统计信息；</w:t>
            </w:r>
          </w:p>
          <w:p w14:paraId="7FF5B6DE">
            <w:pPr>
              <w:pStyle w:val="4"/>
              <w:jc w:val="both"/>
            </w:pPr>
            <w:r>
              <w:rPr>
                <w:rFonts w:ascii="仿宋_GB2312" w:hAnsi="仿宋_GB2312" w:eastAsia="仿宋_GB2312" w:cs="仿宋_GB2312"/>
                <w:sz w:val="21"/>
              </w:rPr>
              <w:t>237.支持科室统计看板，查看科室工作运行相关统计数据；</w:t>
            </w:r>
          </w:p>
          <w:p w14:paraId="015DA2FF">
            <w:pPr>
              <w:pStyle w:val="4"/>
              <w:jc w:val="both"/>
            </w:pPr>
            <w:r>
              <w:rPr>
                <w:rFonts w:ascii="仿宋_GB2312" w:hAnsi="仿宋_GB2312" w:eastAsia="仿宋_GB2312" w:cs="仿宋_GB2312"/>
                <w:sz w:val="21"/>
              </w:rPr>
              <w:t>238.支持质控统计看板，查看NCIS质量控制数据统计；</w:t>
            </w:r>
          </w:p>
          <w:p w14:paraId="02F6E331">
            <w:pPr>
              <w:pStyle w:val="4"/>
              <w:jc w:val="both"/>
            </w:pPr>
            <w:r>
              <w:rPr>
                <w:rFonts w:ascii="仿宋_GB2312" w:hAnsi="仿宋_GB2312" w:eastAsia="仿宋_GB2312" w:cs="仿宋_GB2312"/>
                <w:sz w:val="21"/>
              </w:rPr>
              <w:t>239.提供月度/年度科室人数统计数据，如：累计分诊人数、今日来诊人数、抢救人数、胸痛人数、创伤人数、卒中人数、中毒人数、脓毒症人数、入院人数、转院人数、死亡人数；</w:t>
            </w:r>
          </w:p>
          <w:p w14:paraId="01DA11B6">
            <w:pPr>
              <w:pStyle w:val="4"/>
              <w:jc w:val="both"/>
            </w:pPr>
            <w:r>
              <w:rPr>
                <w:rFonts w:ascii="仿宋_GB2312" w:hAnsi="仿宋_GB2312" w:eastAsia="仿宋_GB2312" w:cs="仿宋_GB2312"/>
                <w:sz w:val="21"/>
              </w:rPr>
              <w:t>240.提供月度/年度三区四级人数和占比；</w:t>
            </w:r>
          </w:p>
          <w:p w14:paraId="6C433E9D">
            <w:pPr>
              <w:pStyle w:val="4"/>
              <w:jc w:val="both"/>
            </w:pPr>
            <w:r>
              <w:rPr>
                <w:rFonts w:ascii="仿宋_GB2312" w:hAnsi="仿宋_GB2312" w:eastAsia="仿宋_GB2312" w:cs="仿宋_GB2312"/>
                <w:sz w:val="21"/>
              </w:rPr>
              <w:t>241.提供月度/年度急诊科收入院科室人数和占比；</w:t>
            </w:r>
          </w:p>
          <w:p w14:paraId="0A68076F">
            <w:pPr>
              <w:pStyle w:val="4"/>
              <w:jc w:val="both"/>
            </w:pPr>
            <w:r>
              <w:rPr>
                <w:rFonts w:ascii="仿宋_GB2312" w:hAnsi="仿宋_GB2312" w:eastAsia="仿宋_GB2312" w:cs="仿宋_GB2312"/>
                <w:sz w:val="21"/>
              </w:rPr>
              <w:t>242.提供月度/年度患者来诊方式人数和占比；</w:t>
            </w:r>
          </w:p>
          <w:p w14:paraId="5E382EE7">
            <w:pPr>
              <w:pStyle w:val="4"/>
              <w:jc w:val="both"/>
            </w:pPr>
            <w:r>
              <w:rPr>
                <w:rFonts w:ascii="仿宋_GB2312" w:hAnsi="仿宋_GB2312" w:eastAsia="仿宋_GB2312" w:cs="仿宋_GB2312"/>
                <w:sz w:val="21"/>
              </w:rPr>
              <w:t>243.提供来诊性别、年龄人数和占比；</w:t>
            </w:r>
          </w:p>
          <w:p w14:paraId="2808F5DE">
            <w:pPr>
              <w:pStyle w:val="4"/>
              <w:jc w:val="both"/>
            </w:pPr>
            <w:r>
              <w:rPr>
                <w:rFonts w:ascii="仿宋_GB2312" w:hAnsi="仿宋_GB2312" w:eastAsia="仿宋_GB2312" w:cs="仿宋_GB2312"/>
                <w:sz w:val="21"/>
              </w:rPr>
              <w:t>244.提供近7日急诊科来诊时间段分布热力图；</w:t>
            </w:r>
          </w:p>
          <w:p w14:paraId="6A7859B2">
            <w:pPr>
              <w:pStyle w:val="4"/>
              <w:jc w:val="both"/>
            </w:pPr>
            <w:r>
              <w:rPr>
                <w:rFonts w:ascii="仿宋_GB2312" w:hAnsi="仿宋_GB2312" w:eastAsia="仿宋_GB2312" w:cs="仿宋_GB2312"/>
                <w:sz w:val="21"/>
              </w:rPr>
              <w:t>245.提供月度/年度急诊和EICU床位和医护人员配比；</w:t>
            </w:r>
          </w:p>
          <w:p w14:paraId="41A0DBBB">
            <w:pPr>
              <w:pStyle w:val="4"/>
              <w:jc w:val="both"/>
            </w:pPr>
            <w:r>
              <w:rPr>
                <w:rFonts w:ascii="仿宋_GB2312" w:hAnsi="仿宋_GB2312" w:eastAsia="仿宋_GB2312" w:cs="仿宋_GB2312"/>
                <w:sz w:val="21"/>
              </w:rPr>
              <w:t>246.提供月度/年度科室分诊完成率和分诊正确率统计；</w:t>
            </w:r>
          </w:p>
          <w:p w14:paraId="5B586FAB">
            <w:pPr>
              <w:pStyle w:val="4"/>
              <w:jc w:val="both"/>
            </w:pPr>
            <w:r>
              <w:rPr>
                <w:rFonts w:ascii="仿宋_GB2312" w:hAnsi="仿宋_GB2312" w:eastAsia="仿宋_GB2312" w:cs="仿宋_GB2312"/>
                <w:sz w:val="21"/>
              </w:rPr>
              <w:t>247.提供月度/年度急诊科抗生素使用情况统计；</w:t>
            </w:r>
          </w:p>
          <w:p w14:paraId="7195E6F8">
            <w:pPr>
              <w:pStyle w:val="4"/>
              <w:jc w:val="both"/>
            </w:pPr>
            <w:r>
              <w:rPr>
                <w:rFonts w:ascii="仿宋_GB2312" w:hAnsi="仿宋_GB2312" w:eastAsia="仿宋_GB2312" w:cs="仿宋_GB2312"/>
                <w:sz w:val="21"/>
              </w:rPr>
              <w:t>248.提供月度/年度创伤患者救治情况；</w:t>
            </w:r>
          </w:p>
          <w:p w14:paraId="78DA13C9">
            <w:pPr>
              <w:pStyle w:val="4"/>
              <w:jc w:val="both"/>
            </w:pPr>
            <w:r>
              <w:rPr>
                <w:rFonts w:ascii="仿宋_GB2312" w:hAnsi="仿宋_GB2312" w:eastAsia="仿宋_GB2312" w:cs="仿宋_GB2312"/>
                <w:sz w:val="21"/>
              </w:rPr>
              <w:t>249.提供月度/年度脓毒症患者救治情况；</w:t>
            </w:r>
          </w:p>
          <w:p w14:paraId="6B614C13">
            <w:pPr>
              <w:pStyle w:val="4"/>
              <w:jc w:val="both"/>
            </w:pPr>
            <w:r>
              <w:rPr>
                <w:rFonts w:ascii="仿宋_GB2312" w:hAnsi="仿宋_GB2312" w:eastAsia="仿宋_GB2312" w:cs="仿宋_GB2312"/>
                <w:sz w:val="21"/>
              </w:rPr>
              <w:t>250.月度/年度滞留时间中位数情况；</w:t>
            </w:r>
          </w:p>
          <w:p w14:paraId="6481727B">
            <w:pPr>
              <w:pStyle w:val="4"/>
              <w:jc w:val="both"/>
            </w:pPr>
            <w:r>
              <w:rPr>
                <w:rFonts w:ascii="仿宋_GB2312" w:hAnsi="仿宋_GB2312" w:eastAsia="仿宋_GB2312" w:cs="仿宋_GB2312"/>
                <w:sz w:val="21"/>
              </w:rPr>
              <w:t>251.支持根据科室需要调整驾驶舱大屏展示数据；</w:t>
            </w:r>
          </w:p>
          <w:p w14:paraId="7EB4A577">
            <w:pPr>
              <w:pStyle w:val="4"/>
              <w:jc w:val="both"/>
            </w:pPr>
            <w:r>
              <w:rPr>
                <w:rFonts w:ascii="仿宋_GB2312" w:hAnsi="仿宋_GB2312" w:eastAsia="仿宋_GB2312" w:cs="仿宋_GB2312"/>
                <w:sz w:val="21"/>
              </w:rPr>
              <w:t>252.支持对文字、图片、视频格式的宣传、科普内容播放。</w:t>
            </w:r>
          </w:p>
          <w:p w14:paraId="6C34389B">
            <w:pPr>
              <w:pStyle w:val="4"/>
              <w:jc w:val="both"/>
            </w:pPr>
            <w:r>
              <w:rPr>
                <w:rFonts w:ascii="仿宋_GB2312" w:hAnsi="仿宋_GB2312" w:eastAsia="仿宋_GB2312" w:cs="仿宋_GB2312"/>
                <w:b/>
                <w:sz w:val="21"/>
              </w:rPr>
              <w:t xml:space="preserve"> 硬件部分</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0"/>
              <w:gridCol w:w="614"/>
              <w:gridCol w:w="477"/>
              <w:gridCol w:w="735"/>
              <w:gridCol w:w="2804"/>
              <w:gridCol w:w="453"/>
            </w:tblGrid>
            <w:tr w14:paraId="5CE8E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181B9A">
                  <w:pPr>
                    <w:pStyle w:val="4"/>
                    <w:jc w:val="both"/>
                  </w:pPr>
                  <w:r>
                    <w:rPr>
                      <w:rFonts w:ascii="仿宋_GB2312" w:hAnsi="仿宋_GB2312" w:eastAsia="仿宋_GB2312" w:cs="仿宋_GB2312"/>
                      <w:sz w:val="21"/>
                    </w:rPr>
                    <w:t>序号</w:t>
                  </w:r>
                </w:p>
              </w:tc>
              <w:tc>
                <w:tcPr>
                  <w:tcW w:w="65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74A345">
                  <w:pPr>
                    <w:pStyle w:val="4"/>
                    <w:jc w:val="both"/>
                  </w:pPr>
                  <w:r>
                    <w:rPr>
                      <w:rFonts w:ascii="仿宋_GB2312" w:hAnsi="仿宋_GB2312" w:eastAsia="仿宋_GB2312" w:cs="仿宋_GB2312"/>
                      <w:sz w:val="21"/>
                    </w:rPr>
                    <w:t>设备名称</w:t>
                  </w:r>
                </w:p>
              </w:tc>
              <w:tc>
                <w:tcPr>
                  <w:tcW w:w="505"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8B9C10D">
                  <w:pPr>
                    <w:pStyle w:val="4"/>
                    <w:jc w:val="both"/>
                  </w:pPr>
                  <w:r>
                    <w:rPr>
                      <w:rFonts w:ascii="仿宋_GB2312" w:hAnsi="仿宋_GB2312" w:eastAsia="仿宋_GB2312" w:cs="仿宋_GB2312"/>
                      <w:sz w:val="21"/>
                    </w:rPr>
                    <w:t>单位</w:t>
                  </w:r>
                </w:p>
              </w:tc>
              <w:tc>
                <w:tcPr>
                  <w:tcW w:w="54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6108919">
                  <w:pPr>
                    <w:pStyle w:val="4"/>
                    <w:jc w:val="both"/>
                  </w:pPr>
                  <w:r>
                    <w:rPr>
                      <w:rFonts w:ascii="仿宋_GB2312" w:hAnsi="仿宋_GB2312" w:eastAsia="仿宋_GB2312" w:cs="仿宋_GB2312"/>
                      <w:sz w:val="21"/>
                    </w:rPr>
                    <w:t>数量</w:t>
                  </w:r>
                </w:p>
              </w:tc>
              <w:tc>
                <w:tcPr>
                  <w:tcW w:w="2997"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C607BC">
                  <w:pPr>
                    <w:pStyle w:val="4"/>
                    <w:jc w:val="both"/>
                  </w:pPr>
                  <w:r>
                    <w:rPr>
                      <w:rFonts w:ascii="仿宋_GB2312" w:hAnsi="仿宋_GB2312" w:eastAsia="仿宋_GB2312" w:cs="仿宋_GB2312"/>
                      <w:sz w:val="21"/>
                    </w:rPr>
                    <w:t>参数</w:t>
                  </w:r>
                </w:p>
              </w:tc>
              <w:tc>
                <w:tcPr>
                  <w:tcW w:w="469"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F52EDFD">
                  <w:pPr>
                    <w:pStyle w:val="4"/>
                    <w:jc w:val="both"/>
                  </w:pPr>
                  <w:r>
                    <w:rPr>
                      <w:rFonts w:ascii="仿宋_GB2312" w:hAnsi="仿宋_GB2312" w:eastAsia="仿宋_GB2312" w:cs="仿宋_GB2312"/>
                      <w:sz w:val="21"/>
                    </w:rPr>
                    <w:t>备注</w:t>
                  </w:r>
                </w:p>
              </w:tc>
            </w:tr>
            <w:tr w14:paraId="65C2DD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6278A3">
                  <w:pPr>
                    <w:pStyle w:val="4"/>
                    <w:jc w:val="both"/>
                  </w:pPr>
                  <w:r>
                    <w:rPr>
                      <w:rFonts w:ascii="仿宋_GB2312" w:hAnsi="仿宋_GB2312" w:eastAsia="仿宋_GB2312" w:cs="仿宋_GB2312"/>
                      <w:sz w:val="21"/>
                    </w:rPr>
                    <w:t>1</w:t>
                  </w:r>
                </w:p>
              </w:tc>
              <w:tc>
                <w:tcPr>
                  <w:tcW w:w="65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84F2246">
                  <w:pPr>
                    <w:pStyle w:val="4"/>
                    <w:jc w:val="both"/>
                  </w:pPr>
                  <w:r>
                    <w:rPr>
                      <w:rFonts w:ascii="仿宋_GB2312" w:hAnsi="仿宋_GB2312" w:eastAsia="仿宋_GB2312" w:cs="仿宋_GB2312"/>
                      <w:sz w:val="21"/>
                    </w:rPr>
                    <w:t>PDA</w:t>
                  </w:r>
                </w:p>
              </w:tc>
              <w:tc>
                <w:tcPr>
                  <w:tcW w:w="5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C702394">
                  <w:pPr>
                    <w:pStyle w:val="4"/>
                    <w:jc w:val="both"/>
                  </w:pPr>
                  <w:r>
                    <w:rPr>
                      <w:rFonts w:ascii="仿宋_GB2312" w:hAnsi="仿宋_GB2312" w:eastAsia="仿宋_GB2312" w:cs="仿宋_GB2312"/>
                      <w:sz w:val="21"/>
                    </w:rPr>
                    <w:t>台</w:t>
                  </w:r>
                </w:p>
              </w:tc>
              <w:tc>
                <w:tcPr>
                  <w:tcW w:w="54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E01F9C9">
                  <w:pPr>
                    <w:pStyle w:val="4"/>
                    <w:jc w:val="both"/>
                  </w:pPr>
                  <w:r>
                    <w:rPr>
                      <w:rFonts w:ascii="仿宋_GB2312" w:hAnsi="仿宋_GB2312" w:eastAsia="仿宋_GB2312" w:cs="仿宋_GB2312"/>
                      <w:sz w:val="21"/>
                    </w:rPr>
                    <w:t>6</w:t>
                  </w:r>
                </w:p>
              </w:tc>
              <w:tc>
                <w:tcPr>
                  <w:tcW w:w="29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8C4C950">
                  <w:pPr>
                    <w:pStyle w:val="4"/>
                    <w:jc w:val="both"/>
                  </w:pPr>
                  <w:r>
                    <w:rPr>
                      <w:rFonts w:ascii="仿宋_GB2312" w:hAnsi="仿宋_GB2312" w:eastAsia="仿宋_GB2312" w:cs="仿宋_GB2312"/>
                      <w:sz w:val="21"/>
                    </w:rPr>
                    <w:t xml:space="preserve"> 253.▲CPU:八核处理器及以上，频率≥2.65GHz ，存储器RAM：≥8GB，ROM：≥128GB;</w:t>
                  </w:r>
                </w:p>
                <w:p w14:paraId="1E94AE58">
                  <w:pPr>
                    <w:pStyle w:val="4"/>
                    <w:jc w:val="both"/>
                  </w:pPr>
                  <w:r>
                    <w:rPr>
                      <w:rFonts w:ascii="仿宋_GB2312" w:hAnsi="仿宋_GB2312" w:eastAsia="仿宋_GB2312" w:cs="仿宋_GB2312"/>
                      <w:sz w:val="21"/>
                    </w:rPr>
                    <w:t>254.操作系统≥Android 13;</w:t>
                  </w:r>
                </w:p>
                <w:p w14:paraId="2F350DB5">
                  <w:pPr>
                    <w:pStyle w:val="4"/>
                    <w:jc w:val="both"/>
                  </w:pPr>
                  <w:r>
                    <w:rPr>
                      <w:rFonts w:ascii="仿宋_GB2312" w:hAnsi="仿宋_GB2312" w:eastAsia="仿宋_GB2312" w:cs="仿宋_GB2312"/>
                      <w:sz w:val="21"/>
                    </w:rPr>
                    <w:t>255.▲屏幕尺寸≥6.5英寸，分辨率支持：≥720×1600;</w:t>
                  </w:r>
                </w:p>
                <w:p w14:paraId="06088149">
                  <w:pPr>
                    <w:pStyle w:val="4"/>
                    <w:jc w:val="both"/>
                  </w:pPr>
                  <w:r>
                    <w:rPr>
                      <w:rFonts w:ascii="仿宋_GB2312" w:hAnsi="仿宋_GB2312" w:eastAsia="仿宋_GB2312" w:cs="仿宋_GB2312"/>
                      <w:sz w:val="21"/>
                    </w:rPr>
                    <w:t>256.支持Wi-Fi6E，2.4G/5G/6G，IEEE ,蓝牙5.2或以上;</w:t>
                  </w:r>
                </w:p>
                <w:p w14:paraId="4D8A99C3">
                  <w:pPr>
                    <w:pStyle w:val="4"/>
                    <w:jc w:val="both"/>
                  </w:pPr>
                  <w:r>
                    <w:rPr>
                      <w:rFonts w:ascii="仿宋_GB2312" w:hAnsi="仿宋_GB2312" w:eastAsia="仿宋_GB2312" w:cs="仿宋_GB2312"/>
                      <w:sz w:val="21"/>
                    </w:rPr>
                    <w:t>257.支持BR/EDR + BLE，支持5G ,向下兼容4G、3G、2G网络;</w:t>
                  </w:r>
                </w:p>
                <w:p w14:paraId="7A6A90DB">
                  <w:pPr>
                    <w:pStyle w:val="4"/>
                    <w:jc w:val="both"/>
                  </w:pPr>
                  <w:r>
                    <w:rPr>
                      <w:rFonts w:ascii="仿宋_GB2312" w:hAnsi="仿宋_GB2312" w:eastAsia="仿宋_GB2312" w:cs="仿宋_GB2312"/>
                      <w:sz w:val="21"/>
                    </w:rPr>
                    <w:t>258.前置≥800W 像素，后置≥1600W 摄像头。</w:t>
                  </w:r>
                </w:p>
                <w:p w14:paraId="0A3A30B4">
                  <w:pPr>
                    <w:pStyle w:val="4"/>
                    <w:jc w:val="both"/>
                  </w:pPr>
                  <w:r>
                    <w:rPr>
                      <w:rFonts w:ascii="仿宋_GB2312" w:hAnsi="仿宋_GB2312" w:eastAsia="仿宋_GB2312" w:cs="仿宋_GB2312"/>
                      <w:sz w:val="21"/>
                    </w:rPr>
                    <w:t>259.条码扫描：可读取国际通用一维条码和二维条码，同时支持左右两侧实体扫描按键及屏幕虚拟扫描按键扫描。</w:t>
                  </w:r>
                </w:p>
                <w:p w14:paraId="7037A6F8">
                  <w:pPr>
                    <w:pStyle w:val="4"/>
                    <w:jc w:val="both"/>
                  </w:pPr>
                  <w:r>
                    <w:rPr>
                      <w:rFonts w:ascii="仿宋_GB2312" w:hAnsi="仿宋_GB2312" w:eastAsia="仿宋_GB2312" w:cs="仿宋_GB2312"/>
                      <w:sz w:val="21"/>
                    </w:rPr>
                    <w:t>260.▲支持不关机更换电池，带独立瞳孔手电筒。</w:t>
                  </w:r>
                </w:p>
                <w:p w14:paraId="4C2281B4">
                  <w:pPr>
                    <w:pStyle w:val="4"/>
                    <w:jc w:val="both"/>
                  </w:pPr>
                  <w:r>
                    <w:rPr>
                      <w:rFonts w:ascii="仿宋_GB2312" w:hAnsi="仿宋_GB2312" w:eastAsia="仿宋_GB2312" w:cs="仿宋_GB2312"/>
                      <w:sz w:val="21"/>
                    </w:rPr>
                    <w:t>261.IP68防护等级，可承受 ≥1.5m 高处到地面的多次跌落。</w:t>
                  </w:r>
                </w:p>
                <w:p w14:paraId="4DE92FC0">
                  <w:pPr>
                    <w:pStyle w:val="4"/>
                    <w:jc w:val="both"/>
                  </w:pPr>
                  <w:r>
                    <w:rPr>
                      <w:rFonts w:ascii="仿宋_GB2312" w:hAnsi="仿宋_GB2312" w:eastAsia="仿宋_GB2312" w:cs="仿宋_GB2312"/>
                      <w:sz w:val="21"/>
                    </w:rPr>
                    <w:t>262.5000mAh或以上锂电池。</w:t>
                  </w:r>
                </w:p>
                <w:p w14:paraId="175F426F">
                  <w:pPr>
                    <w:pStyle w:val="4"/>
                    <w:jc w:val="both"/>
                  </w:pPr>
                  <w:r>
                    <w:rPr>
                      <w:rFonts w:ascii="仿宋_GB2312" w:hAnsi="仿宋_GB2312" w:eastAsia="仿宋_GB2312" w:cs="仿宋_GB2312"/>
                      <w:sz w:val="21"/>
                    </w:rPr>
                    <w:t>263.产品选用医疗专用材料的外壳，可耐受酒精、过氧化氢等消毒剂擦拭，耐受紫外线老化消毒。</w:t>
                  </w:r>
                </w:p>
              </w:tc>
              <w:tc>
                <w:tcPr>
                  <w:tcW w:w="4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CCF4A6">
                  <w:pPr>
                    <w:pStyle w:val="4"/>
                    <w:jc w:val="both"/>
                  </w:pPr>
                </w:p>
              </w:tc>
            </w:tr>
            <w:tr w14:paraId="30BBA3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259E3B">
                  <w:pPr>
                    <w:pStyle w:val="4"/>
                    <w:jc w:val="both"/>
                  </w:pPr>
                  <w:r>
                    <w:rPr>
                      <w:rFonts w:ascii="仿宋_GB2312" w:hAnsi="仿宋_GB2312" w:eastAsia="仿宋_GB2312" w:cs="仿宋_GB2312"/>
                      <w:sz w:val="21"/>
                    </w:rPr>
                    <w:t>2</w:t>
                  </w:r>
                </w:p>
              </w:tc>
              <w:tc>
                <w:tcPr>
                  <w:tcW w:w="65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9A91B2">
                  <w:pPr>
                    <w:pStyle w:val="4"/>
                    <w:jc w:val="both"/>
                  </w:pPr>
                  <w:r>
                    <w:rPr>
                      <w:rFonts w:ascii="仿宋_GB2312" w:hAnsi="仿宋_GB2312" w:eastAsia="仿宋_GB2312" w:cs="仿宋_GB2312"/>
                      <w:sz w:val="21"/>
                    </w:rPr>
                    <w:t>移动推车</w:t>
                  </w:r>
                </w:p>
              </w:tc>
              <w:tc>
                <w:tcPr>
                  <w:tcW w:w="5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88020A1">
                  <w:pPr>
                    <w:pStyle w:val="4"/>
                    <w:jc w:val="both"/>
                  </w:pPr>
                  <w:r>
                    <w:rPr>
                      <w:rFonts w:ascii="仿宋_GB2312" w:hAnsi="仿宋_GB2312" w:eastAsia="仿宋_GB2312" w:cs="仿宋_GB2312"/>
                      <w:sz w:val="21"/>
                    </w:rPr>
                    <w:t>台</w:t>
                  </w:r>
                </w:p>
              </w:tc>
              <w:tc>
                <w:tcPr>
                  <w:tcW w:w="54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381B39E">
                  <w:pPr>
                    <w:pStyle w:val="4"/>
                    <w:jc w:val="both"/>
                  </w:pPr>
                  <w:r>
                    <w:rPr>
                      <w:rFonts w:ascii="仿宋_GB2312" w:hAnsi="仿宋_GB2312" w:eastAsia="仿宋_GB2312" w:cs="仿宋_GB2312"/>
                      <w:sz w:val="21"/>
                    </w:rPr>
                    <w:t>2</w:t>
                  </w:r>
                </w:p>
              </w:tc>
              <w:tc>
                <w:tcPr>
                  <w:tcW w:w="29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54E0AE">
                  <w:pPr>
                    <w:pStyle w:val="4"/>
                    <w:jc w:val="both"/>
                  </w:pPr>
                  <w:r>
                    <w:rPr>
                      <w:rFonts w:ascii="仿宋_GB2312" w:hAnsi="仿宋_GB2312" w:eastAsia="仿宋_GB2312" w:cs="仿宋_GB2312"/>
                      <w:sz w:val="21"/>
                    </w:rPr>
                    <w:t xml:space="preserve"> 264.一体化结构设计，包含推车，一体机和电源三个部分组成，一体机包含显示器，主板，内存条以及硬盘等为一个整体，便于后期的维护和升级，电池固定在车体底座内保障车体平衡</w:t>
                  </w:r>
                </w:p>
                <w:p w14:paraId="4570B61F">
                  <w:pPr>
                    <w:pStyle w:val="4"/>
                    <w:jc w:val="both"/>
                  </w:pPr>
                  <w:r>
                    <w:rPr>
                      <w:rFonts w:ascii="仿宋_GB2312" w:hAnsi="仿宋_GB2312" w:eastAsia="仿宋_GB2312" w:cs="仿宋_GB2312"/>
                      <w:sz w:val="21"/>
                    </w:rPr>
                    <w:t>265.▲台面把手一体化：台面及把手为塑料无缝一体成型，把手与台面之间无螺丝固定，颜色及材质一致，把手两端直接与台面相连为封闭式设计。（需提供实物图片并加盖投标人公章）</w:t>
                  </w:r>
                </w:p>
                <w:p w14:paraId="1245B059">
                  <w:pPr>
                    <w:pStyle w:val="4"/>
                    <w:jc w:val="both"/>
                  </w:pPr>
                  <w:r>
                    <w:rPr>
                      <w:rFonts w:ascii="仿宋_GB2312" w:hAnsi="仿宋_GB2312" w:eastAsia="仿宋_GB2312" w:cs="仿宋_GB2312"/>
                      <w:sz w:val="21"/>
                    </w:rPr>
                    <w:t>266.台面尺寸：长度500mm*宽度475mm±2mm</w:t>
                  </w:r>
                </w:p>
                <w:p w14:paraId="1F2041A6">
                  <w:pPr>
                    <w:pStyle w:val="4"/>
                    <w:jc w:val="both"/>
                  </w:pPr>
                  <w:r>
                    <w:rPr>
                      <w:rFonts w:ascii="仿宋_GB2312" w:hAnsi="仿宋_GB2312" w:eastAsia="仿宋_GB2312" w:cs="仿宋_GB2312"/>
                      <w:sz w:val="21"/>
                    </w:rPr>
                    <w:t>267.台面承重：台面承重≥110KG，升降结构可承载重量≥110KG</w:t>
                  </w:r>
                </w:p>
                <w:p w14:paraId="2695889B">
                  <w:pPr>
                    <w:pStyle w:val="4"/>
                    <w:jc w:val="both"/>
                  </w:pPr>
                  <w:r>
                    <w:rPr>
                      <w:rFonts w:ascii="仿宋_GB2312" w:hAnsi="仿宋_GB2312" w:eastAsia="仿宋_GB2312" w:cs="仿宋_GB2312"/>
                      <w:sz w:val="21"/>
                    </w:rPr>
                    <w:t>268.▲把手设计：环形设计，方便推拉，同时推车把手中间配备推车升降硅胶按键，方便推车工程中，随时调整推车整体高度。（需提供升降按键位置实物图片并加盖投标人公章)</w:t>
                  </w:r>
                </w:p>
                <w:p w14:paraId="25423D2C">
                  <w:pPr>
                    <w:pStyle w:val="4"/>
                    <w:jc w:val="both"/>
                  </w:pPr>
                  <w:r>
                    <w:rPr>
                      <w:rFonts w:ascii="仿宋_GB2312" w:hAnsi="仿宋_GB2312" w:eastAsia="仿宋_GB2312" w:cs="仿宋_GB2312"/>
                      <w:sz w:val="21"/>
                    </w:rPr>
                    <w:t>269.显示器位置调整：显示器可单独升降，行程≥15cm，左右摆动角度≥60˚，上下俯仰角度≥15˚。</w:t>
                  </w:r>
                </w:p>
                <w:p w14:paraId="0E2A164F">
                  <w:pPr>
                    <w:pStyle w:val="4"/>
                    <w:jc w:val="both"/>
                  </w:pPr>
                  <w:r>
                    <w:rPr>
                      <w:rFonts w:ascii="仿宋_GB2312" w:hAnsi="仿宋_GB2312" w:eastAsia="仿宋_GB2312" w:cs="仿宋_GB2312"/>
                      <w:sz w:val="21"/>
                    </w:rPr>
                    <w:t>270.升降方式：电动升降，行程≥350mm;电推杆负重≥80kg；升降寿命≥10000次，需提供的第三方检测报告作为佐证材料。</w:t>
                  </w:r>
                </w:p>
                <w:p w14:paraId="0A07CDE3">
                  <w:pPr>
                    <w:pStyle w:val="4"/>
                    <w:jc w:val="both"/>
                  </w:pPr>
                  <w:r>
                    <w:rPr>
                      <w:rFonts w:ascii="仿宋_GB2312" w:hAnsi="仿宋_GB2312" w:eastAsia="仿宋_GB2312" w:cs="仿宋_GB2312"/>
                      <w:sz w:val="21"/>
                    </w:rPr>
                    <w:t>271.▲模块化设计：推车升降立柱四周一共预留六个扩展槽（前后各两个，左右各一个），便于后期扩展升级。(需提供实物图片并加盖投标人公章)</w:t>
                  </w:r>
                </w:p>
                <w:p w14:paraId="2F89E8E4">
                  <w:pPr>
                    <w:pStyle w:val="4"/>
                    <w:jc w:val="both"/>
                  </w:pPr>
                  <w:r>
                    <w:rPr>
                      <w:rFonts w:ascii="仿宋_GB2312" w:hAnsi="仿宋_GB2312" w:eastAsia="仿宋_GB2312" w:cs="仿宋_GB2312"/>
                      <w:sz w:val="21"/>
                    </w:rPr>
                    <w:t>272.键盘托：键盘托隐藏于台面内，同时内可容纳专用鼠标键盘，具备专用鼠标、键盘放置凹槽；</w:t>
                  </w:r>
                </w:p>
                <w:p w14:paraId="6E520158">
                  <w:pPr>
                    <w:pStyle w:val="4"/>
                    <w:jc w:val="both"/>
                  </w:pPr>
                  <w:r>
                    <w:rPr>
                      <w:rFonts w:ascii="仿宋_GB2312" w:hAnsi="仿宋_GB2312" w:eastAsia="仿宋_GB2312" w:cs="仿宋_GB2312"/>
                      <w:sz w:val="21"/>
                    </w:rPr>
                    <w:t>273.▲底座材质：底座采用改性工程塑胶ABS一体成型，采用抗菌材质：大肠杆菌和金黄色葡萄球菌。（提供封面具有CMA或CNAS认证标识的检测报告关键页扫描件或相关国家部门、检测机构出具的证明材料扫描件并加盖投标人公章）</w:t>
                  </w:r>
                </w:p>
                <w:p w14:paraId="38231D86">
                  <w:pPr>
                    <w:pStyle w:val="4"/>
                    <w:jc w:val="both"/>
                  </w:pPr>
                  <w:r>
                    <w:rPr>
                      <w:rFonts w:ascii="仿宋_GB2312" w:hAnsi="仿宋_GB2312" w:eastAsia="仿宋_GB2312" w:cs="仿宋_GB2312"/>
                      <w:sz w:val="21"/>
                    </w:rPr>
                    <w:t>274.屏幕尺寸：尺寸≥23.8英寸IPS液晶显示屏，分辨率≥1920x1080。</w:t>
                  </w:r>
                </w:p>
                <w:p w14:paraId="4F272E4E">
                  <w:pPr>
                    <w:pStyle w:val="4"/>
                    <w:jc w:val="both"/>
                  </w:pPr>
                  <w:r>
                    <w:rPr>
                      <w:rFonts w:ascii="仿宋_GB2312" w:hAnsi="仿宋_GB2312" w:eastAsia="仿宋_GB2312" w:cs="仿宋_GB2312"/>
                      <w:sz w:val="21"/>
                    </w:rPr>
                    <w:t>275.CPU：≥8核8线程；内存≥8GB DDR4 ；</w:t>
                  </w:r>
                </w:p>
                <w:p w14:paraId="6D2F077E">
                  <w:pPr>
                    <w:pStyle w:val="4"/>
                    <w:jc w:val="both"/>
                  </w:pPr>
                  <w:r>
                    <w:rPr>
                      <w:rFonts w:ascii="仿宋_GB2312" w:hAnsi="仿宋_GB2312" w:eastAsia="仿宋_GB2312" w:cs="仿宋_GB2312"/>
                      <w:sz w:val="21"/>
                    </w:rPr>
                    <w:t>276.接口：USB3.0≥2，USB2.0≥4，HDMI口≥1；网口≥1；</w:t>
                  </w:r>
                </w:p>
                <w:p w14:paraId="07F9811F">
                  <w:pPr>
                    <w:pStyle w:val="4"/>
                    <w:jc w:val="both"/>
                  </w:pPr>
                  <w:r>
                    <w:rPr>
                      <w:rFonts w:ascii="仿宋_GB2312" w:hAnsi="仿宋_GB2312" w:eastAsia="仿宋_GB2312" w:cs="仿宋_GB2312"/>
                      <w:sz w:val="21"/>
                    </w:rPr>
                    <w:t>277.▲电池性能：磷酸铁锂材质，安全稳定，有效循环寿命≥2000次，续航时间≥8小时；电池位于推车底部，确保整机平衡。(需提供电池位置实物图片并加盖投标人公章)</w:t>
                  </w:r>
                </w:p>
                <w:p w14:paraId="646BAC27">
                  <w:pPr>
                    <w:pStyle w:val="4"/>
                    <w:jc w:val="both"/>
                  </w:pPr>
                  <w:r>
                    <w:rPr>
                      <w:rFonts w:ascii="仿宋_GB2312" w:hAnsi="仿宋_GB2312" w:eastAsia="仿宋_GB2312" w:cs="仿宋_GB2312"/>
                      <w:sz w:val="21"/>
                    </w:rPr>
                    <w:t>278.电源开关：位于车体台面下方，防止误触；方便按压。</w:t>
                  </w:r>
                </w:p>
                <w:p w14:paraId="38633472">
                  <w:pPr>
                    <w:pStyle w:val="4"/>
                    <w:jc w:val="both"/>
                  </w:pPr>
                  <w:r>
                    <w:rPr>
                      <w:rFonts w:ascii="仿宋_GB2312" w:hAnsi="仿宋_GB2312" w:eastAsia="仿宋_GB2312" w:cs="仿宋_GB2312"/>
                      <w:sz w:val="21"/>
                    </w:rPr>
                    <w:t>279.电量显示：底座配备电量显示，用于实时显示电池电量。</w:t>
                  </w:r>
                </w:p>
              </w:tc>
              <w:tc>
                <w:tcPr>
                  <w:tcW w:w="4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4E9B59">
                  <w:pPr>
                    <w:pStyle w:val="4"/>
                    <w:jc w:val="both"/>
                  </w:pPr>
                </w:p>
              </w:tc>
            </w:tr>
            <w:tr w14:paraId="55A2F8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D811AC0">
                  <w:pPr>
                    <w:pStyle w:val="4"/>
                    <w:jc w:val="both"/>
                  </w:pPr>
                  <w:r>
                    <w:rPr>
                      <w:rFonts w:ascii="仿宋_GB2312" w:hAnsi="仿宋_GB2312" w:eastAsia="仿宋_GB2312" w:cs="仿宋_GB2312"/>
                      <w:sz w:val="21"/>
                    </w:rPr>
                    <w:t>3</w:t>
                  </w:r>
                </w:p>
              </w:tc>
              <w:tc>
                <w:tcPr>
                  <w:tcW w:w="65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0FE6FB">
                  <w:pPr>
                    <w:pStyle w:val="4"/>
                    <w:jc w:val="both"/>
                  </w:pPr>
                  <w:r>
                    <w:rPr>
                      <w:rFonts w:ascii="仿宋_GB2312" w:hAnsi="仿宋_GB2312" w:eastAsia="仿宋_GB2312" w:cs="仿宋_GB2312"/>
                      <w:sz w:val="21"/>
                    </w:rPr>
                    <w:t>腕带打印输出设备</w:t>
                  </w:r>
                </w:p>
              </w:tc>
              <w:tc>
                <w:tcPr>
                  <w:tcW w:w="5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CAD88F2">
                  <w:pPr>
                    <w:pStyle w:val="4"/>
                    <w:jc w:val="both"/>
                  </w:pPr>
                  <w:r>
                    <w:rPr>
                      <w:rFonts w:ascii="仿宋_GB2312" w:hAnsi="仿宋_GB2312" w:eastAsia="仿宋_GB2312" w:cs="仿宋_GB2312"/>
                      <w:sz w:val="21"/>
                    </w:rPr>
                    <w:t>台</w:t>
                  </w:r>
                </w:p>
              </w:tc>
              <w:tc>
                <w:tcPr>
                  <w:tcW w:w="54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A34BD2">
                  <w:pPr>
                    <w:pStyle w:val="4"/>
                    <w:jc w:val="both"/>
                  </w:pPr>
                  <w:r>
                    <w:rPr>
                      <w:rFonts w:ascii="仿宋_GB2312" w:hAnsi="仿宋_GB2312" w:eastAsia="仿宋_GB2312" w:cs="仿宋_GB2312"/>
                      <w:sz w:val="21"/>
                    </w:rPr>
                    <w:t>1</w:t>
                  </w:r>
                </w:p>
              </w:tc>
              <w:tc>
                <w:tcPr>
                  <w:tcW w:w="29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5061FA">
                  <w:pPr>
                    <w:pStyle w:val="4"/>
                    <w:jc w:val="both"/>
                  </w:pPr>
                  <w:r>
                    <w:rPr>
                      <w:rFonts w:ascii="仿宋_GB2312" w:hAnsi="仿宋_GB2312" w:eastAsia="仿宋_GB2312" w:cs="仿宋_GB2312"/>
                      <w:sz w:val="21"/>
                    </w:rPr>
                    <w:t xml:space="preserve"> 280.打印方式：热敏</w:t>
                  </w:r>
                </w:p>
                <w:p w14:paraId="6BA4F46D">
                  <w:pPr>
                    <w:pStyle w:val="4"/>
                    <w:jc w:val="both"/>
                  </w:pPr>
                  <w:r>
                    <w:rPr>
                      <w:rFonts w:ascii="仿宋_GB2312" w:hAnsi="仿宋_GB2312" w:eastAsia="仿宋_GB2312" w:cs="仿宋_GB2312"/>
                      <w:sz w:val="21"/>
                    </w:rPr>
                    <w:t>281.纸张探测方式：光感应，双感应头</w:t>
                  </w:r>
                </w:p>
                <w:p w14:paraId="7F6BC4F1">
                  <w:pPr>
                    <w:pStyle w:val="4"/>
                    <w:jc w:val="both"/>
                  </w:pPr>
                  <w:r>
                    <w:rPr>
                      <w:rFonts w:ascii="仿宋_GB2312" w:hAnsi="仿宋_GB2312" w:eastAsia="仿宋_GB2312" w:cs="仿宋_GB2312"/>
                      <w:sz w:val="21"/>
                    </w:rPr>
                    <w:t>282.处理器：≥ARM 64-bit Cortex-M3 Microcontroller 144MHz</w:t>
                  </w:r>
                </w:p>
                <w:p w14:paraId="3245FD4E">
                  <w:pPr>
                    <w:pStyle w:val="4"/>
                    <w:jc w:val="both"/>
                  </w:pPr>
                  <w:r>
                    <w:rPr>
                      <w:rFonts w:ascii="仿宋_GB2312" w:hAnsi="仿宋_GB2312" w:eastAsia="仿宋_GB2312" w:cs="仿宋_GB2312"/>
                      <w:sz w:val="21"/>
                    </w:rPr>
                    <w:t>283.分辨率：≥203dpi (8点/毫米)</w:t>
                  </w:r>
                </w:p>
                <w:p w14:paraId="4F15F50A">
                  <w:pPr>
                    <w:pStyle w:val="4"/>
                    <w:jc w:val="both"/>
                  </w:pPr>
                  <w:r>
                    <w:rPr>
                      <w:rFonts w:ascii="仿宋_GB2312" w:hAnsi="仿宋_GB2312" w:eastAsia="仿宋_GB2312" w:cs="仿宋_GB2312"/>
                      <w:sz w:val="21"/>
                    </w:rPr>
                    <w:t>284.接口：USB 2.0接口</w:t>
                  </w:r>
                </w:p>
                <w:p w14:paraId="04F9E262">
                  <w:pPr>
                    <w:pStyle w:val="4"/>
                    <w:jc w:val="both"/>
                  </w:pPr>
                  <w:r>
                    <w:rPr>
                      <w:rFonts w:ascii="仿宋_GB2312" w:hAnsi="仿宋_GB2312" w:eastAsia="仿宋_GB2312" w:cs="仿宋_GB2312"/>
                      <w:sz w:val="21"/>
                    </w:rPr>
                    <w:t>285.有效打印宽度：≥56mm</w:t>
                  </w:r>
                </w:p>
                <w:p w14:paraId="5066A7FB">
                  <w:pPr>
                    <w:pStyle w:val="4"/>
                    <w:jc w:val="both"/>
                  </w:pPr>
                  <w:r>
                    <w:rPr>
                      <w:rFonts w:ascii="仿宋_GB2312" w:hAnsi="仿宋_GB2312" w:eastAsia="仿宋_GB2312" w:cs="仿宋_GB2312"/>
                      <w:sz w:val="21"/>
                    </w:rPr>
                    <w:t>286.最大打印速度：≥155mm/s</w:t>
                  </w:r>
                </w:p>
                <w:p w14:paraId="0CD60453">
                  <w:pPr>
                    <w:pStyle w:val="4"/>
                    <w:jc w:val="both"/>
                  </w:pPr>
                  <w:r>
                    <w:rPr>
                      <w:rFonts w:ascii="仿宋_GB2312" w:hAnsi="仿宋_GB2312" w:eastAsia="仿宋_GB2312" w:cs="仿宋_GB2312"/>
                      <w:sz w:val="21"/>
                    </w:rPr>
                    <w:t>287.进纸宽度：≥10-56mm：标签卷外径</w:t>
                  </w:r>
                </w:p>
                <w:p w14:paraId="17F97D3D">
                  <w:pPr>
                    <w:pStyle w:val="4"/>
                    <w:jc w:val="both"/>
                  </w:pPr>
                  <w:r>
                    <w:rPr>
                      <w:rFonts w:ascii="仿宋_GB2312" w:hAnsi="仿宋_GB2312" w:eastAsia="仿宋_GB2312" w:cs="仿宋_GB2312"/>
                      <w:sz w:val="21"/>
                    </w:rPr>
                    <w:t xml:space="preserve">288.最大外径：≥100mm  </w:t>
                  </w:r>
                </w:p>
                <w:p w14:paraId="70F7CFC0">
                  <w:pPr>
                    <w:pStyle w:val="4"/>
                    <w:jc w:val="both"/>
                  </w:pPr>
                  <w:r>
                    <w:rPr>
                      <w:rFonts w:ascii="仿宋_GB2312" w:hAnsi="仿宋_GB2312" w:eastAsia="仿宋_GB2312" w:cs="仿宋_GB2312"/>
                      <w:sz w:val="21"/>
                    </w:rPr>
                    <w:t>289.标签厚度：≥0.1～0.5mm</w:t>
                  </w:r>
                </w:p>
                <w:p w14:paraId="309E186F">
                  <w:pPr>
                    <w:pStyle w:val="4"/>
                    <w:jc w:val="both"/>
                  </w:pPr>
                  <w:r>
                    <w:rPr>
                      <w:rFonts w:ascii="仿宋_GB2312" w:hAnsi="仿宋_GB2312" w:eastAsia="仿宋_GB2312" w:cs="仿宋_GB2312"/>
                      <w:sz w:val="21"/>
                    </w:rPr>
                    <w:t>290.纸张类型：全黑标纸</w:t>
                  </w:r>
                </w:p>
                <w:p w14:paraId="252B7E43">
                  <w:pPr>
                    <w:pStyle w:val="4"/>
                    <w:jc w:val="both"/>
                  </w:pPr>
                  <w:r>
                    <w:rPr>
                      <w:rFonts w:ascii="仿宋_GB2312" w:hAnsi="仿宋_GB2312" w:eastAsia="仿宋_GB2312" w:cs="仿宋_GB2312"/>
                      <w:sz w:val="21"/>
                    </w:rPr>
                    <w:t>291.纸卷轴心尺寸：≥25.4mm</w:t>
                  </w:r>
                </w:p>
                <w:p w14:paraId="68B3F8B4">
                  <w:pPr>
                    <w:pStyle w:val="4"/>
                    <w:jc w:val="both"/>
                  </w:pPr>
                  <w:r>
                    <w:rPr>
                      <w:rFonts w:ascii="仿宋_GB2312" w:hAnsi="仿宋_GB2312" w:eastAsia="仿宋_GB2312" w:cs="仿宋_GB2312"/>
                      <w:sz w:val="21"/>
                    </w:rPr>
                    <w:t>292.机身尺寸：≥210*100*145mm</w:t>
                  </w:r>
                </w:p>
                <w:p w14:paraId="79617303">
                  <w:pPr>
                    <w:pStyle w:val="4"/>
                    <w:jc w:val="both"/>
                  </w:pPr>
                  <w:r>
                    <w:rPr>
                      <w:rFonts w:ascii="仿宋_GB2312" w:hAnsi="仿宋_GB2312" w:eastAsia="仿宋_GB2312" w:cs="仿宋_GB2312"/>
                      <w:sz w:val="21"/>
                    </w:rPr>
                    <w:t>293.条码：Code39/93/128，Codabar，EAN13/8</w:t>
                  </w:r>
                </w:p>
                <w:p w14:paraId="0E6B61D8">
                  <w:pPr>
                    <w:pStyle w:val="4"/>
                    <w:jc w:val="both"/>
                  </w:pPr>
                  <w:r>
                    <w:rPr>
                      <w:rFonts w:ascii="仿宋_GB2312" w:hAnsi="仿宋_GB2312" w:eastAsia="仿宋_GB2312" w:cs="仿宋_GB2312"/>
                      <w:sz w:val="21"/>
                    </w:rPr>
                    <w:t>294.PDF417/QR Code2</w:t>
                  </w:r>
                </w:p>
                <w:p w14:paraId="3FC990D8">
                  <w:pPr>
                    <w:pStyle w:val="4"/>
                    <w:jc w:val="both"/>
                  </w:pPr>
                  <w:r>
                    <w:rPr>
                      <w:rFonts w:ascii="仿宋_GB2312" w:hAnsi="仿宋_GB2312" w:eastAsia="仿宋_GB2312" w:cs="仿宋_GB2312"/>
                      <w:sz w:val="21"/>
                    </w:rPr>
                    <w:t>295.支持：蓝牙/wifi</w:t>
                  </w:r>
                </w:p>
                <w:p w14:paraId="66C332BE">
                  <w:pPr>
                    <w:pStyle w:val="4"/>
                    <w:jc w:val="both"/>
                  </w:pPr>
                  <w:r>
                    <w:rPr>
                      <w:rFonts w:ascii="仿宋_GB2312" w:hAnsi="仿宋_GB2312" w:eastAsia="仿宋_GB2312" w:cs="仿宋_GB2312"/>
                      <w:sz w:val="21"/>
                    </w:rPr>
                    <w:t>296.抗菌认证：机身采用抗菌材质</w:t>
                  </w:r>
                </w:p>
              </w:tc>
              <w:tc>
                <w:tcPr>
                  <w:tcW w:w="4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FFAFA5">
                  <w:pPr>
                    <w:pStyle w:val="4"/>
                    <w:jc w:val="both"/>
                  </w:pPr>
                </w:p>
              </w:tc>
            </w:tr>
            <w:tr w14:paraId="6FF22B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1961A27">
                  <w:pPr>
                    <w:pStyle w:val="4"/>
                    <w:jc w:val="both"/>
                  </w:pPr>
                  <w:r>
                    <w:rPr>
                      <w:rFonts w:ascii="仿宋_GB2312" w:hAnsi="仿宋_GB2312" w:eastAsia="仿宋_GB2312" w:cs="仿宋_GB2312"/>
                      <w:sz w:val="21"/>
                    </w:rPr>
                    <w:t>4</w:t>
                  </w:r>
                </w:p>
              </w:tc>
              <w:tc>
                <w:tcPr>
                  <w:tcW w:w="65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8D3C98">
                  <w:pPr>
                    <w:pStyle w:val="4"/>
                    <w:jc w:val="both"/>
                  </w:pPr>
                  <w:r>
                    <w:rPr>
                      <w:rFonts w:ascii="仿宋_GB2312" w:hAnsi="仿宋_GB2312" w:eastAsia="仿宋_GB2312" w:cs="仿宋_GB2312"/>
                      <w:sz w:val="21"/>
                    </w:rPr>
                    <w:t>腕带</w:t>
                  </w:r>
                </w:p>
              </w:tc>
              <w:tc>
                <w:tcPr>
                  <w:tcW w:w="5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0735686">
                  <w:pPr>
                    <w:pStyle w:val="4"/>
                    <w:jc w:val="both"/>
                  </w:pPr>
                  <w:r>
                    <w:rPr>
                      <w:rFonts w:ascii="仿宋_GB2312" w:hAnsi="仿宋_GB2312" w:eastAsia="仿宋_GB2312" w:cs="仿宋_GB2312"/>
                      <w:sz w:val="21"/>
                    </w:rPr>
                    <w:t>条</w:t>
                  </w:r>
                </w:p>
              </w:tc>
              <w:tc>
                <w:tcPr>
                  <w:tcW w:w="54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3FBB34">
                  <w:pPr>
                    <w:pStyle w:val="4"/>
                    <w:jc w:val="both"/>
                  </w:pPr>
                  <w:r>
                    <w:rPr>
                      <w:rFonts w:ascii="仿宋_GB2312" w:hAnsi="仿宋_GB2312" w:eastAsia="仿宋_GB2312" w:cs="仿宋_GB2312"/>
                      <w:sz w:val="21"/>
                    </w:rPr>
                    <w:t>10000</w:t>
                  </w:r>
                </w:p>
              </w:tc>
              <w:tc>
                <w:tcPr>
                  <w:tcW w:w="29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9542BFF">
                  <w:pPr>
                    <w:pStyle w:val="4"/>
                    <w:jc w:val="both"/>
                  </w:pPr>
                  <w:r>
                    <w:rPr>
                      <w:rFonts w:ascii="仿宋_GB2312" w:hAnsi="仿宋_GB2312" w:eastAsia="仿宋_GB2312" w:cs="仿宋_GB2312"/>
                      <w:sz w:val="21"/>
                    </w:rPr>
                    <w:t>297.包装规格：100条/卷，25卷/箱</w:t>
                  </w:r>
                </w:p>
                <w:p w14:paraId="528D4A22">
                  <w:pPr>
                    <w:pStyle w:val="4"/>
                    <w:jc w:val="both"/>
                  </w:pPr>
                  <w:r>
                    <w:rPr>
                      <w:rFonts w:ascii="仿宋_GB2312" w:hAnsi="仿宋_GB2312" w:eastAsia="仿宋_GB2312" w:cs="仿宋_GB2312"/>
                      <w:sz w:val="21"/>
                    </w:rPr>
                    <w:t>298.颜色：蓝色、绿色、红色、黄色可选</w:t>
                  </w:r>
                </w:p>
                <w:p w14:paraId="4F32D41A">
                  <w:pPr>
                    <w:pStyle w:val="4"/>
                    <w:jc w:val="both"/>
                  </w:pPr>
                  <w:r>
                    <w:rPr>
                      <w:rFonts w:ascii="仿宋_GB2312" w:hAnsi="仿宋_GB2312" w:eastAsia="仿宋_GB2312" w:cs="仿宋_GB2312"/>
                      <w:sz w:val="21"/>
                    </w:rPr>
                    <w:t>299.规格：≥26*260*0.225mm /条取出后250.5*23*0.225mm/条，</w:t>
                  </w:r>
                </w:p>
                <w:p w14:paraId="760AB221">
                  <w:pPr>
                    <w:pStyle w:val="4"/>
                    <w:jc w:val="both"/>
                  </w:pPr>
                  <w:r>
                    <w:rPr>
                      <w:rFonts w:ascii="仿宋_GB2312" w:hAnsi="仿宋_GB2312" w:eastAsia="仿宋_GB2312" w:cs="仿宋_GB2312"/>
                      <w:sz w:val="21"/>
                    </w:rPr>
                    <w:t>300.打印区域：≥115*23mm</w:t>
                  </w:r>
                </w:p>
                <w:p w14:paraId="094A30AB">
                  <w:pPr>
                    <w:pStyle w:val="4"/>
                    <w:jc w:val="both"/>
                  </w:pPr>
                  <w:r>
                    <w:rPr>
                      <w:rFonts w:ascii="仿宋_GB2312" w:hAnsi="仿宋_GB2312" w:eastAsia="仿宋_GB2312" w:cs="仿宋_GB2312"/>
                      <w:sz w:val="21"/>
                    </w:rPr>
                    <w:t>301.材质类型：EVA(乙烯-醋酸乙烯共聚物，环保型）</w:t>
                  </w:r>
                </w:p>
                <w:p w14:paraId="3D05B0AD">
                  <w:pPr>
                    <w:pStyle w:val="4"/>
                    <w:jc w:val="both"/>
                  </w:pPr>
                  <w:r>
                    <w:rPr>
                      <w:rFonts w:ascii="仿宋_GB2312" w:hAnsi="仿宋_GB2312" w:eastAsia="仿宋_GB2312" w:cs="仿宋_GB2312"/>
                      <w:sz w:val="21"/>
                    </w:rPr>
                    <w:t>302.打印方式：热敏打印，无需碳带，节约成本</w:t>
                  </w:r>
                </w:p>
                <w:p w14:paraId="06C4FB76">
                  <w:pPr>
                    <w:pStyle w:val="4"/>
                    <w:jc w:val="both"/>
                  </w:pPr>
                  <w:r>
                    <w:rPr>
                      <w:rFonts w:ascii="仿宋_GB2312" w:hAnsi="仿宋_GB2312" w:eastAsia="仿宋_GB2312" w:cs="仿宋_GB2312"/>
                      <w:sz w:val="21"/>
                    </w:rPr>
                    <w:t>303.打印内容：1、支持文字、一维码、二维码、图片，条码、二维码可扫描期限：≥30天</w:t>
                  </w:r>
                </w:p>
                <w:p w14:paraId="1C0FD97F">
                  <w:pPr>
                    <w:pStyle w:val="4"/>
                    <w:jc w:val="both"/>
                  </w:pPr>
                  <w:r>
                    <w:rPr>
                      <w:rFonts w:ascii="仿宋_GB2312" w:hAnsi="仿宋_GB2312" w:eastAsia="仿宋_GB2312" w:cs="仿宋_GB2312"/>
                      <w:sz w:val="21"/>
                    </w:rPr>
                    <w:t>304.携带方式：锁扣型，一次性使用，使用过程中不会脱落和松动</w:t>
                  </w:r>
                </w:p>
                <w:p w14:paraId="7EA8DF22">
                  <w:pPr>
                    <w:pStyle w:val="4"/>
                    <w:jc w:val="both"/>
                  </w:pPr>
                  <w:r>
                    <w:rPr>
                      <w:rFonts w:ascii="仿宋_GB2312" w:hAnsi="仿宋_GB2312" w:eastAsia="仿宋_GB2312" w:cs="仿宋_GB2312"/>
                      <w:sz w:val="21"/>
                    </w:rPr>
                    <w:t>305.舒适性：柔软、轻薄、透气、不粘皮肤</w:t>
                  </w:r>
                </w:p>
                <w:p w14:paraId="717C2843">
                  <w:pPr>
                    <w:pStyle w:val="4"/>
                    <w:jc w:val="both"/>
                  </w:pPr>
                  <w:r>
                    <w:rPr>
                      <w:rFonts w:ascii="仿宋_GB2312" w:hAnsi="仿宋_GB2312" w:eastAsia="仿宋_GB2312" w:cs="仿宋_GB2312"/>
                      <w:sz w:val="21"/>
                    </w:rPr>
                    <w:t>306.字迹效果：防水、防酒精、耐磨，打印效果清晰持久</w:t>
                  </w:r>
                </w:p>
              </w:tc>
              <w:tc>
                <w:tcPr>
                  <w:tcW w:w="4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83EC6C">
                  <w:pPr>
                    <w:pStyle w:val="4"/>
                    <w:jc w:val="both"/>
                  </w:pPr>
                </w:p>
              </w:tc>
            </w:tr>
            <w:tr w14:paraId="58F64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3847C9">
                  <w:pPr>
                    <w:pStyle w:val="4"/>
                    <w:jc w:val="both"/>
                  </w:pPr>
                  <w:r>
                    <w:rPr>
                      <w:rFonts w:ascii="仿宋_GB2312" w:hAnsi="仿宋_GB2312" w:eastAsia="仿宋_GB2312" w:cs="仿宋_GB2312"/>
                      <w:sz w:val="21"/>
                    </w:rPr>
                    <w:t>5</w:t>
                  </w:r>
                </w:p>
              </w:tc>
              <w:tc>
                <w:tcPr>
                  <w:tcW w:w="65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77C5C2A">
                  <w:pPr>
                    <w:pStyle w:val="4"/>
                    <w:jc w:val="both"/>
                  </w:pPr>
                  <w:r>
                    <w:rPr>
                      <w:rFonts w:ascii="仿宋_GB2312" w:hAnsi="仿宋_GB2312" w:eastAsia="仿宋_GB2312" w:cs="仿宋_GB2312"/>
                      <w:sz w:val="21"/>
                    </w:rPr>
                    <w:t>标签打印输出设备</w:t>
                  </w:r>
                </w:p>
              </w:tc>
              <w:tc>
                <w:tcPr>
                  <w:tcW w:w="50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DCBE59F">
                  <w:pPr>
                    <w:pStyle w:val="4"/>
                    <w:jc w:val="both"/>
                  </w:pPr>
                  <w:r>
                    <w:rPr>
                      <w:rFonts w:ascii="仿宋_GB2312" w:hAnsi="仿宋_GB2312" w:eastAsia="仿宋_GB2312" w:cs="仿宋_GB2312"/>
                      <w:sz w:val="21"/>
                    </w:rPr>
                    <w:t>台</w:t>
                  </w:r>
                </w:p>
              </w:tc>
              <w:tc>
                <w:tcPr>
                  <w:tcW w:w="541"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ED12A7">
                  <w:pPr>
                    <w:pStyle w:val="4"/>
                    <w:jc w:val="both"/>
                  </w:pPr>
                  <w:r>
                    <w:rPr>
                      <w:rFonts w:ascii="仿宋_GB2312" w:hAnsi="仿宋_GB2312" w:eastAsia="仿宋_GB2312" w:cs="仿宋_GB2312"/>
                      <w:sz w:val="21"/>
                    </w:rPr>
                    <w:t>1</w:t>
                  </w:r>
                </w:p>
              </w:tc>
              <w:tc>
                <w:tcPr>
                  <w:tcW w:w="299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2CCD9F">
                  <w:pPr>
                    <w:pStyle w:val="4"/>
                    <w:jc w:val="both"/>
                  </w:pPr>
                  <w:r>
                    <w:rPr>
                      <w:rFonts w:ascii="仿宋_GB2312" w:hAnsi="仿宋_GB2312" w:eastAsia="仿宋_GB2312" w:cs="仿宋_GB2312"/>
                      <w:sz w:val="21"/>
                    </w:rPr>
                    <w:t>307.打印方式：热敏</w:t>
                  </w:r>
                </w:p>
                <w:p w14:paraId="1485AEFA">
                  <w:pPr>
                    <w:pStyle w:val="4"/>
                    <w:jc w:val="both"/>
                  </w:pPr>
                  <w:r>
                    <w:rPr>
                      <w:rFonts w:ascii="仿宋_GB2312" w:hAnsi="仿宋_GB2312" w:eastAsia="仿宋_GB2312" w:cs="仿宋_GB2312"/>
                      <w:sz w:val="21"/>
                    </w:rPr>
                    <w:t>308.分辨率：≥203 dpi</w:t>
                  </w:r>
                </w:p>
                <w:p w14:paraId="126BF81C">
                  <w:pPr>
                    <w:pStyle w:val="4"/>
                    <w:jc w:val="both"/>
                  </w:pPr>
                  <w:r>
                    <w:rPr>
                      <w:rFonts w:ascii="仿宋_GB2312" w:hAnsi="仿宋_GB2312" w:eastAsia="仿宋_GB2312" w:cs="仿宋_GB2312"/>
                      <w:sz w:val="21"/>
                    </w:rPr>
                    <w:t>309.打印宽度：≥80mm</w:t>
                  </w:r>
                </w:p>
                <w:p w14:paraId="457B58A6">
                  <w:pPr>
                    <w:pStyle w:val="4"/>
                    <w:jc w:val="both"/>
                  </w:pPr>
                  <w:r>
                    <w:rPr>
                      <w:rFonts w:ascii="仿宋_GB2312" w:hAnsi="仿宋_GB2312" w:eastAsia="仿宋_GB2312" w:cs="仿宋_GB2312"/>
                      <w:sz w:val="21"/>
                    </w:rPr>
                    <w:t>310.打印速度：最大≥150mm/s</w:t>
                  </w:r>
                </w:p>
                <w:p w14:paraId="3ACBA4CB">
                  <w:pPr>
                    <w:pStyle w:val="4"/>
                    <w:jc w:val="both"/>
                  </w:pPr>
                  <w:r>
                    <w:rPr>
                      <w:rFonts w:ascii="仿宋_GB2312" w:hAnsi="仿宋_GB2312" w:eastAsia="仿宋_GB2312" w:cs="仿宋_GB2312"/>
                      <w:sz w:val="21"/>
                    </w:rPr>
                    <w:t>311.存储器：FLASH存储器：1024K byte ， RAM存储器1M byte</w:t>
                  </w:r>
                </w:p>
                <w:p w14:paraId="6AEA172A">
                  <w:pPr>
                    <w:pStyle w:val="4"/>
                    <w:jc w:val="both"/>
                  </w:pPr>
                  <w:r>
                    <w:rPr>
                      <w:rFonts w:ascii="仿宋_GB2312" w:hAnsi="仿宋_GB2312" w:eastAsia="仿宋_GB2312" w:cs="仿宋_GB2312"/>
                      <w:sz w:val="21"/>
                    </w:rPr>
                    <w:t>312.打印头温度探测：NTC热敏电阻</w:t>
                  </w:r>
                </w:p>
                <w:p w14:paraId="3AB64743">
                  <w:pPr>
                    <w:pStyle w:val="4"/>
                    <w:jc w:val="both"/>
                  </w:pPr>
                  <w:r>
                    <w:rPr>
                      <w:rFonts w:ascii="仿宋_GB2312" w:hAnsi="仿宋_GB2312" w:eastAsia="仿宋_GB2312" w:cs="仿宋_GB2312"/>
                      <w:sz w:val="21"/>
                    </w:rPr>
                    <w:t>313.打印头位置探测：光电传感器，双感应头</w:t>
                  </w:r>
                </w:p>
                <w:p w14:paraId="0602BAC3">
                  <w:pPr>
                    <w:pStyle w:val="4"/>
                    <w:jc w:val="both"/>
                  </w:pPr>
                  <w:r>
                    <w:rPr>
                      <w:rFonts w:ascii="仿宋_GB2312" w:hAnsi="仿宋_GB2312" w:eastAsia="仿宋_GB2312" w:cs="仿宋_GB2312"/>
                      <w:sz w:val="21"/>
                    </w:rPr>
                    <w:t>314.纸标记探测：光电传感器，双感应头</w:t>
                  </w:r>
                </w:p>
                <w:p w14:paraId="18D92CAB">
                  <w:pPr>
                    <w:pStyle w:val="4"/>
                    <w:jc w:val="both"/>
                  </w:pPr>
                  <w:r>
                    <w:rPr>
                      <w:rFonts w:ascii="仿宋_GB2312" w:hAnsi="仿宋_GB2312" w:eastAsia="仿宋_GB2312" w:cs="仿宋_GB2312"/>
                      <w:sz w:val="21"/>
                    </w:rPr>
                    <w:t>315.通讯接口：USB接口，选配蓝牙/WIFI</w:t>
                  </w:r>
                </w:p>
                <w:p w14:paraId="6A2C2B67">
                  <w:pPr>
                    <w:pStyle w:val="4"/>
                    <w:jc w:val="both"/>
                  </w:pPr>
                  <w:r>
                    <w:rPr>
                      <w:rFonts w:ascii="仿宋_GB2312" w:hAnsi="仿宋_GB2312" w:eastAsia="仿宋_GB2312" w:cs="仿宋_GB2312"/>
                      <w:sz w:val="21"/>
                    </w:rPr>
                    <w:t>316.条码：Code39/93/128，Codabar，EAN13/8/128,UCC-128， PDF417/ QR Code2</w:t>
                  </w:r>
                </w:p>
                <w:p w14:paraId="16759B73">
                  <w:pPr>
                    <w:pStyle w:val="4"/>
                    <w:jc w:val="both"/>
                  </w:pPr>
                  <w:r>
                    <w:rPr>
                      <w:rFonts w:ascii="仿宋_GB2312" w:hAnsi="仿宋_GB2312" w:eastAsia="仿宋_GB2312" w:cs="仿宋_GB2312"/>
                      <w:sz w:val="21"/>
                    </w:rPr>
                    <w:t>317.纸张类型：连续纸，黑标标记纸，不干胶纸等</w:t>
                  </w:r>
                </w:p>
                <w:p w14:paraId="34485346">
                  <w:pPr>
                    <w:pStyle w:val="4"/>
                    <w:jc w:val="both"/>
                  </w:pPr>
                  <w:r>
                    <w:rPr>
                      <w:rFonts w:ascii="仿宋_GB2312" w:hAnsi="仿宋_GB2312" w:eastAsia="仿宋_GB2312" w:cs="仿宋_GB2312"/>
                      <w:sz w:val="21"/>
                    </w:rPr>
                    <w:t>318.介质幅宽：≥20-86mm</w:t>
                  </w:r>
                </w:p>
                <w:p w14:paraId="164BCFC3">
                  <w:pPr>
                    <w:pStyle w:val="4"/>
                    <w:jc w:val="both"/>
                  </w:pPr>
                  <w:r>
                    <w:rPr>
                      <w:rFonts w:ascii="仿宋_GB2312" w:hAnsi="仿宋_GB2312" w:eastAsia="仿宋_GB2312" w:cs="仿宋_GB2312"/>
                      <w:sz w:val="21"/>
                    </w:rPr>
                    <w:t>319.纸卷外径：最大≥100mm</w:t>
                  </w:r>
                </w:p>
                <w:p w14:paraId="6D0C087A">
                  <w:pPr>
                    <w:pStyle w:val="4"/>
                    <w:jc w:val="both"/>
                  </w:pPr>
                  <w:r>
                    <w:rPr>
                      <w:rFonts w:ascii="仿宋_GB2312" w:hAnsi="仿宋_GB2312" w:eastAsia="仿宋_GB2312" w:cs="仿宋_GB2312"/>
                      <w:sz w:val="21"/>
                    </w:rPr>
                    <w:t>320.纸卷内径：标准内径≥25.4mm</w:t>
                  </w:r>
                </w:p>
                <w:p w14:paraId="5EF73A9F">
                  <w:pPr>
                    <w:pStyle w:val="4"/>
                    <w:jc w:val="both"/>
                  </w:pPr>
                  <w:r>
                    <w:rPr>
                      <w:rFonts w:ascii="仿宋_GB2312" w:hAnsi="仿宋_GB2312" w:eastAsia="仿宋_GB2312" w:cs="仿宋_GB2312"/>
                      <w:sz w:val="21"/>
                    </w:rPr>
                    <w:t>321.出纸方式：撕离</w:t>
                  </w:r>
                </w:p>
                <w:p w14:paraId="2F2EACCD">
                  <w:pPr>
                    <w:pStyle w:val="4"/>
                    <w:jc w:val="both"/>
                  </w:pPr>
                  <w:r>
                    <w:rPr>
                      <w:rFonts w:ascii="仿宋_GB2312" w:hAnsi="仿宋_GB2312" w:eastAsia="仿宋_GB2312" w:cs="仿宋_GB2312"/>
                      <w:sz w:val="21"/>
                    </w:rPr>
                    <w:t>322.输入：DC 24V 2.5A</w:t>
                  </w:r>
                </w:p>
                <w:p w14:paraId="2E151E4E">
                  <w:pPr>
                    <w:pStyle w:val="4"/>
                    <w:jc w:val="both"/>
                  </w:pPr>
                  <w:r>
                    <w:rPr>
                      <w:rFonts w:ascii="仿宋_GB2312" w:hAnsi="仿宋_GB2312" w:eastAsia="仿宋_GB2312" w:cs="仿宋_GB2312"/>
                      <w:sz w:val="21"/>
                    </w:rPr>
                    <w:t>323.打印头寿命：≥30km</w:t>
                  </w:r>
                </w:p>
                <w:p w14:paraId="04D8FEE3">
                  <w:pPr>
                    <w:pStyle w:val="4"/>
                    <w:jc w:val="both"/>
                  </w:pPr>
                  <w:r>
                    <w:rPr>
                      <w:rFonts w:ascii="仿宋_GB2312" w:hAnsi="仿宋_GB2312" w:eastAsia="仿宋_GB2312" w:cs="仿宋_GB2312"/>
                      <w:sz w:val="21"/>
                    </w:rPr>
                    <w:t>324.外形尺寸：≥255*170*140</w:t>
                  </w:r>
                </w:p>
                <w:p w14:paraId="236CA25E">
                  <w:pPr>
                    <w:pStyle w:val="4"/>
                    <w:jc w:val="both"/>
                  </w:pPr>
                  <w:r>
                    <w:rPr>
                      <w:rFonts w:ascii="仿宋_GB2312" w:hAnsi="仿宋_GB2312" w:eastAsia="仿宋_GB2312" w:cs="仿宋_GB2312"/>
                      <w:sz w:val="21"/>
                    </w:rPr>
                    <w:t>325.抗菌：机身采用抗菌材质，通过SGS抗菌效果实验报告认证</w:t>
                  </w:r>
                </w:p>
                <w:p w14:paraId="5D0D4B02">
                  <w:pPr>
                    <w:pStyle w:val="4"/>
                    <w:jc w:val="both"/>
                  </w:pPr>
                  <w:r>
                    <w:rPr>
                      <w:rFonts w:ascii="仿宋_GB2312" w:hAnsi="仿宋_GB2312" w:eastAsia="仿宋_GB2312" w:cs="仿宋_GB2312"/>
                      <w:sz w:val="21"/>
                    </w:rPr>
                    <w:t>326.驱动安装：驱动一键自动安装，无需调节电脑usb端口，插入电脑任何usb端口即可打印</w:t>
                  </w:r>
                </w:p>
                <w:p w14:paraId="400F6C4E">
                  <w:pPr>
                    <w:pStyle w:val="4"/>
                    <w:jc w:val="both"/>
                  </w:pPr>
                  <w:r>
                    <w:rPr>
                      <w:rFonts w:ascii="仿宋_GB2312" w:hAnsi="仿宋_GB2312" w:eastAsia="仿宋_GB2312" w:cs="仿宋_GB2312"/>
                      <w:sz w:val="21"/>
                    </w:rPr>
                    <w:t>327.效率：1、不使用碳带，热敏打印，安装耗材只需一步。2、无需测纸，双感应头，首张即可准确打印。</w:t>
                  </w:r>
                </w:p>
                <w:p w14:paraId="0DA47E50">
                  <w:pPr>
                    <w:pStyle w:val="4"/>
                    <w:jc w:val="both"/>
                  </w:pPr>
                  <w:r>
                    <w:rPr>
                      <w:rFonts w:ascii="仿宋_GB2312" w:hAnsi="仿宋_GB2312" w:eastAsia="仿宋_GB2312" w:cs="仿宋_GB2312"/>
                      <w:sz w:val="21"/>
                    </w:rPr>
                    <w:t>328.系统对接：可连接医院相关系统，精准高效</w:t>
                  </w:r>
                </w:p>
              </w:tc>
              <w:tc>
                <w:tcPr>
                  <w:tcW w:w="46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09400E0">
                  <w:pPr>
                    <w:pStyle w:val="4"/>
                    <w:jc w:val="both"/>
                  </w:pPr>
                </w:p>
              </w:tc>
            </w:tr>
            <w:tr w14:paraId="6B50CB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continue"/>
                  <w:tcBorders>
                    <w:top w:val="nil"/>
                    <w:left w:val="single" w:color="000000" w:sz="4" w:space="0"/>
                    <w:bottom w:val="single" w:color="000000" w:sz="4" w:space="0"/>
                    <w:right w:val="single" w:color="000000" w:sz="4" w:space="0"/>
                  </w:tcBorders>
                </w:tcPr>
                <w:p w14:paraId="5660A26B"/>
              </w:tc>
              <w:tc>
                <w:tcPr>
                  <w:tcW w:w="659" w:type="dxa"/>
                  <w:vMerge w:val="continue"/>
                  <w:tcBorders>
                    <w:top w:val="nil"/>
                    <w:left w:val="nil"/>
                    <w:bottom w:val="single" w:color="000000" w:sz="4" w:space="0"/>
                    <w:right w:val="single" w:color="000000" w:sz="4" w:space="0"/>
                  </w:tcBorders>
                </w:tcPr>
                <w:p w14:paraId="41948973"/>
              </w:tc>
              <w:tc>
                <w:tcPr>
                  <w:tcW w:w="505" w:type="dxa"/>
                  <w:vMerge w:val="continue"/>
                  <w:tcBorders>
                    <w:top w:val="nil"/>
                    <w:left w:val="nil"/>
                    <w:bottom w:val="single" w:color="000000" w:sz="4" w:space="0"/>
                    <w:right w:val="single" w:color="000000" w:sz="4" w:space="0"/>
                  </w:tcBorders>
                </w:tcPr>
                <w:p w14:paraId="5A203A46"/>
              </w:tc>
              <w:tc>
                <w:tcPr>
                  <w:tcW w:w="541" w:type="dxa"/>
                  <w:vMerge w:val="continue"/>
                  <w:tcBorders>
                    <w:top w:val="nil"/>
                    <w:left w:val="nil"/>
                    <w:bottom w:val="single" w:color="000000" w:sz="4" w:space="0"/>
                    <w:right w:val="single" w:color="000000" w:sz="4" w:space="0"/>
                  </w:tcBorders>
                </w:tcPr>
                <w:p w14:paraId="046DACA9"/>
              </w:tc>
              <w:tc>
                <w:tcPr>
                  <w:tcW w:w="2997" w:type="dxa"/>
                  <w:vMerge w:val="continue"/>
                  <w:tcBorders>
                    <w:top w:val="nil"/>
                    <w:left w:val="nil"/>
                    <w:bottom w:val="single" w:color="000000" w:sz="4" w:space="0"/>
                    <w:right w:val="single" w:color="000000" w:sz="4" w:space="0"/>
                  </w:tcBorders>
                </w:tcPr>
                <w:p w14:paraId="11FD81C7"/>
              </w:tc>
              <w:tc>
                <w:tcPr>
                  <w:tcW w:w="469" w:type="dxa"/>
                  <w:vMerge w:val="continue"/>
                  <w:tcBorders>
                    <w:top w:val="nil"/>
                    <w:left w:val="nil"/>
                    <w:bottom w:val="single" w:color="000000" w:sz="4" w:space="0"/>
                    <w:right w:val="single" w:color="000000" w:sz="4" w:space="0"/>
                  </w:tcBorders>
                </w:tcPr>
                <w:p w14:paraId="174D082D"/>
              </w:tc>
            </w:tr>
            <w:tr w14:paraId="45162A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9505928">
                  <w:pPr>
                    <w:pStyle w:val="4"/>
                    <w:jc w:val="both"/>
                  </w:pPr>
                  <w:r>
                    <w:rPr>
                      <w:rFonts w:ascii="仿宋_GB2312" w:hAnsi="仿宋_GB2312" w:eastAsia="仿宋_GB2312" w:cs="仿宋_GB2312"/>
                      <w:sz w:val="21"/>
                    </w:rPr>
                    <w:t>6</w:t>
                  </w:r>
                </w:p>
              </w:tc>
              <w:tc>
                <w:tcPr>
                  <w:tcW w:w="65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08B3883">
                  <w:pPr>
                    <w:pStyle w:val="4"/>
                    <w:jc w:val="both"/>
                  </w:pPr>
                  <w:r>
                    <w:rPr>
                      <w:rFonts w:ascii="仿宋_GB2312" w:hAnsi="仿宋_GB2312" w:eastAsia="仿宋_GB2312" w:cs="仿宋_GB2312"/>
                      <w:sz w:val="21"/>
                    </w:rPr>
                    <w:t>标签</w:t>
                  </w:r>
                </w:p>
              </w:tc>
              <w:tc>
                <w:tcPr>
                  <w:tcW w:w="50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54A1CCF">
                  <w:pPr>
                    <w:pStyle w:val="4"/>
                    <w:jc w:val="both"/>
                  </w:pPr>
                  <w:r>
                    <w:rPr>
                      <w:rFonts w:ascii="仿宋_GB2312" w:hAnsi="仿宋_GB2312" w:eastAsia="仿宋_GB2312" w:cs="仿宋_GB2312"/>
                      <w:sz w:val="21"/>
                    </w:rPr>
                    <w:t>张</w:t>
                  </w:r>
                </w:p>
              </w:tc>
              <w:tc>
                <w:tcPr>
                  <w:tcW w:w="541"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24CD3EF">
                  <w:pPr>
                    <w:pStyle w:val="4"/>
                    <w:jc w:val="both"/>
                  </w:pPr>
                  <w:r>
                    <w:rPr>
                      <w:rFonts w:ascii="仿宋_GB2312" w:hAnsi="仿宋_GB2312" w:eastAsia="仿宋_GB2312" w:cs="仿宋_GB2312"/>
                      <w:sz w:val="21"/>
                    </w:rPr>
                    <w:t>10000</w:t>
                  </w:r>
                </w:p>
              </w:tc>
              <w:tc>
                <w:tcPr>
                  <w:tcW w:w="299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C96CCB">
                  <w:pPr>
                    <w:pStyle w:val="4"/>
                    <w:jc w:val="both"/>
                  </w:pPr>
                  <w:r>
                    <w:rPr>
                      <w:rFonts w:ascii="仿宋_GB2312" w:hAnsi="仿宋_GB2312" w:eastAsia="仿宋_GB2312" w:cs="仿宋_GB2312"/>
                      <w:sz w:val="21"/>
                    </w:rPr>
                    <w:t>329.包装规格：500片/卷。</w:t>
                  </w:r>
                </w:p>
                <w:p w14:paraId="40D21413">
                  <w:pPr>
                    <w:pStyle w:val="4"/>
                    <w:jc w:val="both"/>
                  </w:pPr>
                  <w:r>
                    <w:rPr>
                      <w:rFonts w:ascii="仿宋_GB2312" w:hAnsi="仿宋_GB2312" w:eastAsia="仿宋_GB2312" w:cs="仿宋_GB2312"/>
                      <w:sz w:val="21"/>
                    </w:rPr>
                    <w:t>330.标签尺寸：≥80*60mm</w:t>
                  </w:r>
                </w:p>
                <w:p w14:paraId="16C9390D">
                  <w:pPr>
                    <w:pStyle w:val="4"/>
                    <w:jc w:val="both"/>
                  </w:pPr>
                  <w:r>
                    <w:rPr>
                      <w:rFonts w:ascii="仿宋_GB2312" w:hAnsi="仿宋_GB2312" w:eastAsia="仿宋_GB2312" w:cs="仿宋_GB2312"/>
                      <w:sz w:val="21"/>
                    </w:rPr>
                    <w:t>331.排数：单排</w:t>
                  </w:r>
                </w:p>
                <w:p w14:paraId="26CDC11C">
                  <w:pPr>
                    <w:pStyle w:val="4"/>
                    <w:jc w:val="both"/>
                  </w:pPr>
                  <w:r>
                    <w:rPr>
                      <w:rFonts w:ascii="仿宋_GB2312" w:hAnsi="仿宋_GB2312" w:eastAsia="仿宋_GB2312" w:cs="仿宋_GB2312"/>
                      <w:sz w:val="21"/>
                    </w:rPr>
                    <w:t>332.打印方式：热敏打印</w:t>
                  </w:r>
                </w:p>
                <w:p w14:paraId="77115C3C">
                  <w:pPr>
                    <w:pStyle w:val="4"/>
                    <w:jc w:val="both"/>
                  </w:pPr>
                  <w:r>
                    <w:rPr>
                      <w:rFonts w:ascii="仿宋_GB2312" w:hAnsi="仿宋_GB2312" w:eastAsia="仿宋_GB2312" w:cs="仿宋_GB2312"/>
                      <w:sz w:val="21"/>
                    </w:rPr>
                    <w:t>333.纸张厚度：≥0.135mm</w:t>
                  </w:r>
                </w:p>
                <w:p w14:paraId="658B0160">
                  <w:pPr>
                    <w:pStyle w:val="4"/>
                    <w:jc w:val="both"/>
                  </w:pPr>
                  <w:r>
                    <w:rPr>
                      <w:rFonts w:ascii="仿宋_GB2312" w:hAnsi="仿宋_GB2312" w:eastAsia="仿宋_GB2312" w:cs="仿宋_GB2312"/>
                      <w:sz w:val="21"/>
                    </w:rPr>
                    <w:t>334.最低贴标温度：≥-15℃</w:t>
                  </w:r>
                </w:p>
                <w:p w14:paraId="3E81EAFF">
                  <w:pPr>
                    <w:pStyle w:val="4"/>
                    <w:jc w:val="both"/>
                  </w:pPr>
                  <w:r>
                    <w:rPr>
                      <w:rFonts w:ascii="仿宋_GB2312" w:hAnsi="仿宋_GB2312" w:eastAsia="仿宋_GB2312" w:cs="仿宋_GB2312"/>
                      <w:sz w:val="21"/>
                    </w:rPr>
                    <w:t>335.使用温度范围：≥-15℃~+65℃</w:t>
                  </w:r>
                </w:p>
                <w:p w14:paraId="6869A86E">
                  <w:pPr>
                    <w:pStyle w:val="4"/>
                    <w:jc w:val="both"/>
                  </w:pPr>
                  <w:r>
                    <w:rPr>
                      <w:rFonts w:ascii="仿宋_GB2312" w:hAnsi="仿宋_GB2312" w:eastAsia="仿宋_GB2312" w:cs="仿宋_GB2312"/>
                      <w:sz w:val="21"/>
                    </w:rPr>
                    <w:t>336.使用底纸：格拉辛底纸</w:t>
                  </w:r>
                </w:p>
                <w:p w14:paraId="7C996C35">
                  <w:pPr>
                    <w:pStyle w:val="4"/>
                    <w:jc w:val="both"/>
                  </w:pPr>
                  <w:r>
                    <w:rPr>
                      <w:rFonts w:ascii="仿宋_GB2312" w:hAnsi="仿宋_GB2312" w:eastAsia="仿宋_GB2312" w:cs="仿宋_GB2312"/>
                      <w:sz w:val="21"/>
                    </w:rPr>
                    <w:t>337.粘胶剂：通用性永久性丙烯酸基粘胶剂</w:t>
                  </w:r>
                </w:p>
                <w:p w14:paraId="6E6D8B45">
                  <w:pPr>
                    <w:pStyle w:val="4"/>
                    <w:jc w:val="both"/>
                  </w:pPr>
                  <w:r>
                    <w:rPr>
                      <w:rFonts w:ascii="仿宋_GB2312" w:hAnsi="仿宋_GB2312" w:eastAsia="仿宋_GB2312" w:cs="仿宋_GB2312"/>
                      <w:sz w:val="21"/>
                    </w:rPr>
                    <w:t>338.表面基材：有热敏涂层的平滑亮白纸</w:t>
                  </w:r>
                </w:p>
                <w:p w14:paraId="4FEAA05E">
                  <w:pPr>
                    <w:pStyle w:val="4"/>
                    <w:jc w:val="both"/>
                  </w:pPr>
                  <w:r>
                    <w:rPr>
                      <w:rFonts w:ascii="仿宋_GB2312" w:hAnsi="仿宋_GB2312" w:eastAsia="仿宋_GB2312" w:cs="仿宋_GB2312"/>
                      <w:sz w:val="21"/>
                    </w:rPr>
                    <w:t>339.材质：热敏纸</w:t>
                  </w:r>
                </w:p>
                <w:p w14:paraId="66CBAC9F">
                  <w:pPr>
                    <w:pStyle w:val="4"/>
                    <w:jc w:val="both"/>
                  </w:pPr>
                  <w:r>
                    <w:rPr>
                      <w:rFonts w:ascii="仿宋_GB2312" w:hAnsi="仿宋_GB2312" w:eastAsia="仿宋_GB2312" w:cs="仿宋_GB2312"/>
                      <w:sz w:val="21"/>
                    </w:rPr>
                    <w:t>340.字迹效果：防水、防油、防酒精、不易褪色</w:t>
                  </w:r>
                </w:p>
                <w:p w14:paraId="5229A77B">
                  <w:pPr>
                    <w:pStyle w:val="4"/>
                    <w:jc w:val="both"/>
                  </w:pPr>
                  <w:r>
                    <w:rPr>
                      <w:rFonts w:ascii="仿宋_GB2312" w:hAnsi="仿宋_GB2312" w:eastAsia="仿宋_GB2312" w:cs="仿宋_GB2312"/>
                      <w:sz w:val="21"/>
                    </w:rPr>
                    <w:t>341.打印内容：支持一维码、二维码，超清内容打印</w:t>
                  </w:r>
                </w:p>
              </w:tc>
              <w:tc>
                <w:tcPr>
                  <w:tcW w:w="46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62D176E">
                  <w:pPr>
                    <w:pStyle w:val="4"/>
                    <w:jc w:val="both"/>
                  </w:pPr>
                </w:p>
              </w:tc>
            </w:tr>
            <w:tr w14:paraId="360485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continue"/>
                  <w:tcBorders>
                    <w:top w:val="nil"/>
                    <w:left w:val="single" w:color="000000" w:sz="4" w:space="0"/>
                    <w:bottom w:val="single" w:color="000000" w:sz="4" w:space="0"/>
                    <w:right w:val="single" w:color="000000" w:sz="4" w:space="0"/>
                  </w:tcBorders>
                </w:tcPr>
                <w:p w14:paraId="3529FD7F"/>
              </w:tc>
              <w:tc>
                <w:tcPr>
                  <w:tcW w:w="659" w:type="dxa"/>
                  <w:vMerge w:val="continue"/>
                  <w:tcBorders>
                    <w:top w:val="nil"/>
                    <w:left w:val="nil"/>
                    <w:bottom w:val="single" w:color="000000" w:sz="4" w:space="0"/>
                    <w:right w:val="single" w:color="000000" w:sz="4" w:space="0"/>
                  </w:tcBorders>
                </w:tcPr>
                <w:p w14:paraId="752B8AAD"/>
              </w:tc>
              <w:tc>
                <w:tcPr>
                  <w:tcW w:w="505" w:type="dxa"/>
                  <w:vMerge w:val="continue"/>
                  <w:tcBorders>
                    <w:top w:val="nil"/>
                    <w:left w:val="nil"/>
                    <w:bottom w:val="single" w:color="000000" w:sz="4" w:space="0"/>
                    <w:right w:val="single" w:color="000000" w:sz="4" w:space="0"/>
                  </w:tcBorders>
                </w:tcPr>
                <w:p w14:paraId="0739F7C9"/>
              </w:tc>
              <w:tc>
                <w:tcPr>
                  <w:tcW w:w="541" w:type="dxa"/>
                  <w:vMerge w:val="continue"/>
                  <w:tcBorders>
                    <w:top w:val="nil"/>
                    <w:left w:val="nil"/>
                    <w:bottom w:val="single" w:color="000000" w:sz="4" w:space="0"/>
                    <w:right w:val="single" w:color="000000" w:sz="4" w:space="0"/>
                  </w:tcBorders>
                </w:tcPr>
                <w:p w14:paraId="3668AC17"/>
              </w:tc>
              <w:tc>
                <w:tcPr>
                  <w:tcW w:w="2997" w:type="dxa"/>
                  <w:vMerge w:val="continue"/>
                  <w:tcBorders>
                    <w:top w:val="nil"/>
                    <w:left w:val="nil"/>
                    <w:bottom w:val="single" w:color="000000" w:sz="4" w:space="0"/>
                    <w:right w:val="single" w:color="000000" w:sz="4" w:space="0"/>
                  </w:tcBorders>
                </w:tcPr>
                <w:p w14:paraId="6ACDC7CE"/>
              </w:tc>
              <w:tc>
                <w:tcPr>
                  <w:tcW w:w="469" w:type="dxa"/>
                  <w:vMerge w:val="continue"/>
                  <w:tcBorders>
                    <w:top w:val="nil"/>
                    <w:left w:val="nil"/>
                    <w:bottom w:val="single" w:color="000000" w:sz="4" w:space="0"/>
                    <w:right w:val="single" w:color="000000" w:sz="4" w:space="0"/>
                  </w:tcBorders>
                </w:tcPr>
                <w:p w14:paraId="43FD4E55"/>
              </w:tc>
            </w:tr>
            <w:tr w14:paraId="0A49F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0C93D8">
                  <w:pPr>
                    <w:pStyle w:val="4"/>
                    <w:jc w:val="both"/>
                  </w:pPr>
                  <w:r>
                    <w:rPr>
                      <w:rFonts w:ascii="仿宋_GB2312" w:hAnsi="仿宋_GB2312" w:eastAsia="仿宋_GB2312" w:cs="仿宋_GB2312"/>
                      <w:sz w:val="21"/>
                    </w:rPr>
                    <w:t>7</w:t>
                  </w:r>
                </w:p>
              </w:tc>
              <w:tc>
                <w:tcPr>
                  <w:tcW w:w="65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7029276">
                  <w:pPr>
                    <w:pStyle w:val="4"/>
                    <w:jc w:val="both"/>
                  </w:pPr>
                  <w:r>
                    <w:rPr>
                      <w:rFonts w:ascii="仿宋_GB2312" w:hAnsi="仿宋_GB2312" w:eastAsia="仿宋_GB2312" w:cs="仿宋_GB2312"/>
                      <w:sz w:val="21"/>
                    </w:rPr>
                    <w:t>诊室门口屏</w:t>
                  </w:r>
                </w:p>
              </w:tc>
              <w:tc>
                <w:tcPr>
                  <w:tcW w:w="50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A68CE4">
                  <w:pPr>
                    <w:pStyle w:val="4"/>
                    <w:jc w:val="both"/>
                  </w:pPr>
                  <w:r>
                    <w:rPr>
                      <w:rFonts w:ascii="仿宋_GB2312" w:hAnsi="仿宋_GB2312" w:eastAsia="仿宋_GB2312" w:cs="仿宋_GB2312"/>
                      <w:sz w:val="21"/>
                    </w:rPr>
                    <w:t>台</w:t>
                  </w:r>
                </w:p>
              </w:tc>
              <w:tc>
                <w:tcPr>
                  <w:tcW w:w="541"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B2AA12">
                  <w:pPr>
                    <w:pStyle w:val="4"/>
                    <w:jc w:val="both"/>
                  </w:pPr>
                  <w:r>
                    <w:rPr>
                      <w:rFonts w:ascii="仿宋_GB2312" w:hAnsi="仿宋_GB2312" w:eastAsia="仿宋_GB2312" w:cs="仿宋_GB2312"/>
                      <w:sz w:val="21"/>
                    </w:rPr>
                    <w:t>2</w:t>
                  </w:r>
                </w:p>
              </w:tc>
              <w:tc>
                <w:tcPr>
                  <w:tcW w:w="299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30D8134">
                  <w:pPr>
                    <w:pStyle w:val="4"/>
                    <w:jc w:val="both"/>
                  </w:pPr>
                  <w:r>
                    <w:rPr>
                      <w:rFonts w:ascii="仿宋_GB2312" w:hAnsi="仿宋_GB2312" w:eastAsia="仿宋_GB2312" w:cs="仿宋_GB2312"/>
                      <w:sz w:val="21"/>
                    </w:rPr>
                    <w:t>342.尺寸：≥21.5寸</w:t>
                  </w:r>
                </w:p>
                <w:p w14:paraId="6AF03E61">
                  <w:pPr>
                    <w:pStyle w:val="4"/>
                    <w:jc w:val="both"/>
                  </w:pPr>
                  <w:r>
                    <w:rPr>
                      <w:rFonts w:ascii="仿宋_GB2312" w:hAnsi="仿宋_GB2312" w:eastAsia="仿宋_GB2312" w:cs="仿宋_GB2312"/>
                      <w:sz w:val="21"/>
                    </w:rPr>
                    <w:t>343.CPU：≥四核，1.5GHz</w:t>
                  </w:r>
                </w:p>
                <w:p w14:paraId="17702D86">
                  <w:pPr>
                    <w:pStyle w:val="4"/>
                    <w:jc w:val="both"/>
                  </w:pPr>
                  <w:r>
                    <w:rPr>
                      <w:rFonts w:ascii="仿宋_GB2312" w:hAnsi="仿宋_GB2312" w:eastAsia="仿宋_GB2312" w:cs="仿宋_GB2312"/>
                      <w:sz w:val="21"/>
                    </w:rPr>
                    <w:t>344.内存：≥1G DDR</w:t>
                  </w:r>
                </w:p>
                <w:p w14:paraId="046F4673">
                  <w:pPr>
                    <w:pStyle w:val="4"/>
                    <w:jc w:val="both"/>
                  </w:pPr>
                  <w:r>
                    <w:rPr>
                      <w:rFonts w:ascii="仿宋_GB2312" w:hAnsi="仿宋_GB2312" w:eastAsia="仿宋_GB2312" w:cs="仿宋_GB2312"/>
                      <w:sz w:val="21"/>
                    </w:rPr>
                    <w:t xml:space="preserve">345.内置存储器：≥8GB </w:t>
                  </w:r>
                </w:p>
                <w:p w14:paraId="748E1F3D">
                  <w:pPr>
                    <w:pStyle w:val="4"/>
                    <w:jc w:val="both"/>
                  </w:pPr>
                  <w:r>
                    <w:rPr>
                      <w:rFonts w:ascii="仿宋_GB2312" w:hAnsi="仿宋_GB2312" w:eastAsia="仿宋_GB2312" w:cs="仿宋_GB2312"/>
                      <w:sz w:val="21"/>
                    </w:rPr>
                    <w:t>346.液晶面板：≥21.5寸LED背光</w:t>
                  </w:r>
                </w:p>
                <w:p w14:paraId="5B7E7EEC">
                  <w:pPr>
                    <w:pStyle w:val="4"/>
                    <w:jc w:val="both"/>
                  </w:pPr>
                  <w:r>
                    <w:rPr>
                      <w:rFonts w:ascii="仿宋_GB2312" w:hAnsi="仿宋_GB2312" w:eastAsia="仿宋_GB2312" w:cs="仿宋_GB2312"/>
                      <w:sz w:val="21"/>
                    </w:rPr>
                    <w:t>347.分辨率：≥1920x1080</w:t>
                  </w:r>
                </w:p>
                <w:p w14:paraId="0A7A2993">
                  <w:pPr>
                    <w:pStyle w:val="4"/>
                    <w:jc w:val="both"/>
                  </w:pPr>
                  <w:r>
                    <w:rPr>
                      <w:rFonts w:ascii="仿宋_GB2312" w:hAnsi="仿宋_GB2312" w:eastAsia="仿宋_GB2312" w:cs="仿宋_GB2312"/>
                      <w:sz w:val="21"/>
                    </w:rPr>
                    <w:t>348.显示比列：≥16：9</w:t>
                  </w:r>
                </w:p>
                <w:p w14:paraId="0900CA07">
                  <w:pPr>
                    <w:pStyle w:val="4"/>
                    <w:jc w:val="both"/>
                  </w:pPr>
                  <w:r>
                    <w:rPr>
                      <w:rFonts w:ascii="仿宋_GB2312" w:hAnsi="仿宋_GB2312" w:eastAsia="仿宋_GB2312" w:cs="仿宋_GB2312"/>
                      <w:sz w:val="21"/>
                    </w:rPr>
                    <w:t>349.操作系统：Android系统</w:t>
                  </w:r>
                </w:p>
                <w:p w14:paraId="051117DD">
                  <w:pPr>
                    <w:pStyle w:val="4"/>
                    <w:jc w:val="both"/>
                  </w:pPr>
                  <w:r>
                    <w:rPr>
                      <w:rFonts w:ascii="仿宋_GB2312" w:hAnsi="仿宋_GB2312" w:eastAsia="仿宋_GB2312" w:cs="仿宋_GB2312"/>
                      <w:sz w:val="21"/>
                    </w:rPr>
                    <w:t>350.可视角度：全视角</w:t>
                  </w:r>
                </w:p>
                <w:p w14:paraId="6E816D27">
                  <w:pPr>
                    <w:pStyle w:val="4"/>
                    <w:jc w:val="both"/>
                  </w:pPr>
                  <w:r>
                    <w:rPr>
                      <w:rFonts w:ascii="仿宋_GB2312" w:hAnsi="仿宋_GB2312" w:eastAsia="仿宋_GB2312" w:cs="仿宋_GB2312"/>
                      <w:sz w:val="21"/>
                    </w:rPr>
                    <w:t>351.亮度：≥250cd/m2</w:t>
                  </w:r>
                </w:p>
                <w:p w14:paraId="7F3474EB">
                  <w:pPr>
                    <w:pStyle w:val="4"/>
                    <w:jc w:val="both"/>
                  </w:pPr>
                  <w:r>
                    <w:rPr>
                      <w:rFonts w:ascii="仿宋_GB2312" w:hAnsi="仿宋_GB2312" w:eastAsia="仿宋_GB2312" w:cs="仿宋_GB2312"/>
                      <w:sz w:val="21"/>
                    </w:rPr>
                    <w:t>352.对比度：500：1</w:t>
                  </w:r>
                </w:p>
                <w:p w14:paraId="0449FA79">
                  <w:pPr>
                    <w:pStyle w:val="4"/>
                    <w:jc w:val="both"/>
                  </w:pPr>
                  <w:r>
                    <w:rPr>
                      <w:rFonts w:ascii="仿宋_GB2312" w:hAnsi="仿宋_GB2312" w:eastAsia="仿宋_GB2312" w:cs="仿宋_GB2312"/>
                      <w:sz w:val="21"/>
                    </w:rPr>
                    <w:t>353.输入/输出接口：2×USB2.0，LVDS，RJ45，音频口</w:t>
                  </w:r>
                </w:p>
                <w:p w14:paraId="4748DEA6">
                  <w:pPr>
                    <w:pStyle w:val="4"/>
                    <w:jc w:val="both"/>
                  </w:pPr>
                  <w:r>
                    <w:rPr>
                      <w:rFonts w:ascii="仿宋_GB2312" w:hAnsi="仿宋_GB2312" w:eastAsia="仿宋_GB2312" w:cs="仿宋_GB2312"/>
                      <w:sz w:val="21"/>
                    </w:rPr>
                    <w:t>354.网络支持：以太网</w:t>
                  </w:r>
                </w:p>
                <w:p w14:paraId="2B64B117">
                  <w:pPr>
                    <w:pStyle w:val="4"/>
                    <w:jc w:val="both"/>
                  </w:pPr>
                  <w:r>
                    <w:rPr>
                      <w:rFonts w:ascii="仿宋_GB2312" w:hAnsi="仿宋_GB2312" w:eastAsia="仿宋_GB2312" w:cs="仿宋_GB2312"/>
                      <w:sz w:val="21"/>
                    </w:rPr>
                    <w:t>355.音频输出：左右双声道输出8R/3W喇叭</w:t>
                  </w:r>
                </w:p>
                <w:p w14:paraId="4A06BE6B">
                  <w:pPr>
                    <w:pStyle w:val="4"/>
                    <w:jc w:val="both"/>
                  </w:pPr>
                  <w:r>
                    <w:rPr>
                      <w:rFonts w:ascii="仿宋_GB2312" w:hAnsi="仿宋_GB2312" w:eastAsia="仿宋_GB2312" w:cs="仿宋_GB2312"/>
                      <w:sz w:val="21"/>
                    </w:rPr>
                    <w:t>356.定时开关机：支持</w:t>
                  </w:r>
                </w:p>
                <w:p w14:paraId="46B8D394">
                  <w:pPr>
                    <w:pStyle w:val="4"/>
                    <w:jc w:val="both"/>
                  </w:pPr>
                  <w:r>
                    <w:rPr>
                      <w:rFonts w:ascii="仿宋_GB2312" w:hAnsi="仿宋_GB2312" w:eastAsia="仿宋_GB2312" w:cs="仿宋_GB2312"/>
                      <w:sz w:val="21"/>
                    </w:rPr>
                    <w:t>357.安装方式：壁挂式</w:t>
                  </w:r>
                </w:p>
              </w:tc>
              <w:tc>
                <w:tcPr>
                  <w:tcW w:w="46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507EE9F">
                  <w:pPr>
                    <w:pStyle w:val="4"/>
                    <w:jc w:val="both"/>
                  </w:pPr>
                </w:p>
              </w:tc>
            </w:tr>
            <w:tr w14:paraId="0B671F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continue"/>
                  <w:tcBorders>
                    <w:top w:val="nil"/>
                    <w:left w:val="single" w:color="000000" w:sz="4" w:space="0"/>
                    <w:bottom w:val="single" w:color="000000" w:sz="4" w:space="0"/>
                    <w:right w:val="single" w:color="000000" w:sz="4" w:space="0"/>
                  </w:tcBorders>
                </w:tcPr>
                <w:p w14:paraId="7F06A28B"/>
              </w:tc>
              <w:tc>
                <w:tcPr>
                  <w:tcW w:w="659" w:type="dxa"/>
                  <w:vMerge w:val="continue"/>
                  <w:tcBorders>
                    <w:top w:val="nil"/>
                    <w:left w:val="nil"/>
                    <w:bottom w:val="single" w:color="000000" w:sz="4" w:space="0"/>
                    <w:right w:val="single" w:color="000000" w:sz="4" w:space="0"/>
                  </w:tcBorders>
                </w:tcPr>
                <w:p w14:paraId="2EACD61F"/>
              </w:tc>
              <w:tc>
                <w:tcPr>
                  <w:tcW w:w="505" w:type="dxa"/>
                  <w:vMerge w:val="continue"/>
                  <w:tcBorders>
                    <w:top w:val="nil"/>
                    <w:left w:val="nil"/>
                    <w:bottom w:val="single" w:color="000000" w:sz="4" w:space="0"/>
                    <w:right w:val="single" w:color="000000" w:sz="4" w:space="0"/>
                  </w:tcBorders>
                </w:tcPr>
                <w:p w14:paraId="07A1A274"/>
              </w:tc>
              <w:tc>
                <w:tcPr>
                  <w:tcW w:w="541" w:type="dxa"/>
                  <w:vMerge w:val="continue"/>
                  <w:tcBorders>
                    <w:top w:val="nil"/>
                    <w:left w:val="nil"/>
                    <w:bottom w:val="single" w:color="000000" w:sz="4" w:space="0"/>
                    <w:right w:val="single" w:color="000000" w:sz="4" w:space="0"/>
                  </w:tcBorders>
                </w:tcPr>
                <w:p w14:paraId="56C9DA18"/>
              </w:tc>
              <w:tc>
                <w:tcPr>
                  <w:tcW w:w="2997" w:type="dxa"/>
                  <w:vMerge w:val="continue"/>
                  <w:tcBorders>
                    <w:top w:val="nil"/>
                    <w:left w:val="nil"/>
                    <w:bottom w:val="single" w:color="000000" w:sz="4" w:space="0"/>
                    <w:right w:val="single" w:color="000000" w:sz="4" w:space="0"/>
                  </w:tcBorders>
                </w:tcPr>
                <w:p w14:paraId="0BFF8886"/>
              </w:tc>
              <w:tc>
                <w:tcPr>
                  <w:tcW w:w="469" w:type="dxa"/>
                  <w:vMerge w:val="continue"/>
                  <w:tcBorders>
                    <w:top w:val="nil"/>
                    <w:left w:val="nil"/>
                    <w:bottom w:val="single" w:color="000000" w:sz="4" w:space="0"/>
                    <w:right w:val="single" w:color="000000" w:sz="4" w:space="0"/>
                  </w:tcBorders>
                </w:tcPr>
                <w:p w14:paraId="30D704DB"/>
              </w:tc>
            </w:tr>
            <w:tr w14:paraId="4DF676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6242964">
                  <w:pPr>
                    <w:pStyle w:val="4"/>
                    <w:jc w:val="both"/>
                  </w:pPr>
                  <w:r>
                    <w:rPr>
                      <w:rFonts w:ascii="仿宋_GB2312" w:hAnsi="仿宋_GB2312" w:eastAsia="仿宋_GB2312" w:cs="仿宋_GB2312"/>
                      <w:sz w:val="21"/>
                    </w:rPr>
                    <w:t>8</w:t>
                  </w:r>
                </w:p>
              </w:tc>
              <w:tc>
                <w:tcPr>
                  <w:tcW w:w="65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D212487">
                  <w:pPr>
                    <w:pStyle w:val="4"/>
                    <w:jc w:val="both"/>
                  </w:pPr>
                  <w:r>
                    <w:rPr>
                      <w:rFonts w:ascii="仿宋_GB2312" w:hAnsi="仿宋_GB2312" w:eastAsia="仿宋_GB2312" w:cs="仿宋_GB2312"/>
                      <w:sz w:val="21"/>
                    </w:rPr>
                    <w:t>自助报到机</w:t>
                  </w:r>
                </w:p>
              </w:tc>
              <w:tc>
                <w:tcPr>
                  <w:tcW w:w="50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B44D2A6">
                  <w:pPr>
                    <w:pStyle w:val="4"/>
                    <w:jc w:val="both"/>
                  </w:pPr>
                  <w:r>
                    <w:rPr>
                      <w:rFonts w:ascii="仿宋_GB2312" w:hAnsi="仿宋_GB2312" w:eastAsia="仿宋_GB2312" w:cs="仿宋_GB2312"/>
                      <w:sz w:val="21"/>
                    </w:rPr>
                    <w:t>台</w:t>
                  </w:r>
                </w:p>
              </w:tc>
              <w:tc>
                <w:tcPr>
                  <w:tcW w:w="541"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92F5A85">
                  <w:pPr>
                    <w:pStyle w:val="4"/>
                    <w:jc w:val="both"/>
                  </w:pPr>
                  <w:r>
                    <w:rPr>
                      <w:rFonts w:ascii="仿宋_GB2312" w:hAnsi="仿宋_GB2312" w:eastAsia="仿宋_GB2312" w:cs="仿宋_GB2312"/>
                      <w:sz w:val="21"/>
                    </w:rPr>
                    <w:t>1</w:t>
                  </w:r>
                </w:p>
              </w:tc>
              <w:tc>
                <w:tcPr>
                  <w:tcW w:w="299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3F9350">
                  <w:pPr>
                    <w:pStyle w:val="4"/>
                    <w:jc w:val="both"/>
                  </w:pPr>
                  <w:r>
                    <w:rPr>
                      <w:rFonts w:ascii="仿宋_GB2312" w:hAnsi="仿宋_GB2312" w:eastAsia="仿宋_GB2312" w:cs="仿宋_GB2312"/>
                      <w:sz w:val="21"/>
                    </w:rPr>
                    <w:t xml:space="preserve"> 358.尺寸：≥21.5寸</w:t>
                  </w:r>
                </w:p>
                <w:p w14:paraId="22C5CAC9">
                  <w:pPr>
                    <w:pStyle w:val="4"/>
                    <w:jc w:val="both"/>
                  </w:pPr>
                  <w:r>
                    <w:rPr>
                      <w:rFonts w:ascii="仿宋_GB2312" w:hAnsi="仿宋_GB2312" w:eastAsia="仿宋_GB2312" w:cs="仿宋_GB2312"/>
                      <w:sz w:val="21"/>
                    </w:rPr>
                    <w:t>359.CPU：≥四核，1.3GHz</w:t>
                  </w:r>
                </w:p>
                <w:p w14:paraId="48FDFC72">
                  <w:pPr>
                    <w:pStyle w:val="4"/>
                    <w:jc w:val="both"/>
                  </w:pPr>
                  <w:r>
                    <w:rPr>
                      <w:rFonts w:ascii="仿宋_GB2312" w:hAnsi="仿宋_GB2312" w:eastAsia="仿宋_GB2312" w:cs="仿宋_GB2312"/>
                      <w:sz w:val="21"/>
                    </w:rPr>
                    <w:t>360.内存：≥1G DDR</w:t>
                  </w:r>
                </w:p>
                <w:p w14:paraId="687156D8">
                  <w:pPr>
                    <w:pStyle w:val="4"/>
                    <w:jc w:val="both"/>
                  </w:pPr>
                  <w:r>
                    <w:rPr>
                      <w:rFonts w:ascii="仿宋_GB2312" w:hAnsi="仿宋_GB2312" w:eastAsia="仿宋_GB2312" w:cs="仿宋_GB2312"/>
                      <w:sz w:val="21"/>
                    </w:rPr>
                    <w:t xml:space="preserve">361.内置存储器：≥8GB  </w:t>
                  </w:r>
                </w:p>
                <w:p w14:paraId="2D74FA9C">
                  <w:pPr>
                    <w:pStyle w:val="4"/>
                    <w:jc w:val="both"/>
                  </w:pPr>
                  <w:r>
                    <w:rPr>
                      <w:rFonts w:ascii="仿宋_GB2312" w:hAnsi="仿宋_GB2312" w:eastAsia="仿宋_GB2312" w:cs="仿宋_GB2312"/>
                      <w:sz w:val="21"/>
                    </w:rPr>
                    <w:t>362.液晶面板：≥21.5寸LED背光</w:t>
                  </w:r>
                </w:p>
                <w:p w14:paraId="6AACCB0B">
                  <w:pPr>
                    <w:pStyle w:val="4"/>
                    <w:jc w:val="both"/>
                  </w:pPr>
                  <w:r>
                    <w:rPr>
                      <w:rFonts w:ascii="仿宋_GB2312" w:hAnsi="仿宋_GB2312" w:eastAsia="仿宋_GB2312" w:cs="仿宋_GB2312"/>
                      <w:sz w:val="21"/>
                    </w:rPr>
                    <w:t>363.分辨率：≥1920x1080</w:t>
                  </w:r>
                </w:p>
                <w:p w14:paraId="453A3D98">
                  <w:pPr>
                    <w:pStyle w:val="4"/>
                    <w:jc w:val="both"/>
                  </w:pPr>
                  <w:r>
                    <w:rPr>
                      <w:rFonts w:ascii="仿宋_GB2312" w:hAnsi="仿宋_GB2312" w:eastAsia="仿宋_GB2312" w:cs="仿宋_GB2312"/>
                      <w:sz w:val="21"/>
                    </w:rPr>
                    <w:t>364.显示比列：≥16：9</w:t>
                  </w:r>
                </w:p>
                <w:p w14:paraId="192A8B60">
                  <w:pPr>
                    <w:pStyle w:val="4"/>
                    <w:jc w:val="both"/>
                  </w:pPr>
                  <w:r>
                    <w:rPr>
                      <w:rFonts w:ascii="仿宋_GB2312" w:hAnsi="仿宋_GB2312" w:eastAsia="仿宋_GB2312" w:cs="仿宋_GB2312"/>
                      <w:sz w:val="21"/>
                    </w:rPr>
                    <w:t>365.操作系统：安卓</w:t>
                  </w:r>
                </w:p>
                <w:p w14:paraId="726F9A90">
                  <w:pPr>
                    <w:pStyle w:val="4"/>
                    <w:jc w:val="both"/>
                  </w:pPr>
                  <w:r>
                    <w:rPr>
                      <w:rFonts w:ascii="仿宋_GB2312" w:hAnsi="仿宋_GB2312" w:eastAsia="仿宋_GB2312" w:cs="仿宋_GB2312"/>
                      <w:sz w:val="21"/>
                    </w:rPr>
                    <w:t>366.可视角度：全视角</w:t>
                  </w:r>
                </w:p>
                <w:p w14:paraId="5D3DD87E">
                  <w:pPr>
                    <w:pStyle w:val="4"/>
                    <w:jc w:val="both"/>
                  </w:pPr>
                  <w:r>
                    <w:rPr>
                      <w:rFonts w:ascii="仿宋_GB2312" w:hAnsi="仿宋_GB2312" w:eastAsia="仿宋_GB2312" w:cs="仿宋_GB2312"/>
                      <w:sz w:val="21"/>
                    </w:rPr>
                    <w:t>367.亮度：≥250cd/m2</w:t>
                  </w:r>
                </w:p>
                <w:p w14:paraId="611E669F">
                  <w:pPr>
                    <w:pStyle w:val="4"/>
                    <w:jc w:val="both"/>
                  </w:pPr>
                  <w:r>
                    <w:rPr>
                      <w:rFonts w:ascii="仿宋_GB2312" w:hAnsi="仿宋_GB2312" w:eastAsia="仿宋_GB2312" w:cs="仿宋_GB2312"/>
                      <w:sz w:val="21"/>
                    </w:rPr>
                    <w:t>368.对比度：≥500：1</w:t>
                  </w:r>
                </w:p>
                <w:p w14:paraId="0CA76FE3">
                  <w:pPr>
                    <w:pStyle w:val="4"/>
                    <w:jc w:val="both"/>
                  </w:pPr>
                  <w:r>
                    <w:rPr>
                      <w:rFonts w:ascii="仿宋_GB2312" w:hAnsi="仿宋_GB2312" w:eastAsia="仿宋_GB2312" w:cs="仿宋_GB2312"/>
                      <w:sz w:val="21"/>
                    </w:rPr>
                    <w:t>369.触摸屏：≥21.5寸电容触摸屏、单点寿命超5000万次</w:t>
                  </w:r>
                </w:p>
                <w:p w14:paraId="4ED708A4">
                  <w:pPr>
                    <w:pStyle w:val="4"/>
                    <w:jc w:val="both"/>
                  </w:pPr>
                  <w:r>
                    <w:rPr>
                      <w:rFonts w:ascii="仿宋_GB2312" w:hAnsi="仿宋_GB2312" w:eastAsia="仿宋_GB2312" w:cs="仿宋_GB2312"/>
                      <w:sz w:val="21"/>
                    </w:rPr>
                    <w:t>370.输入/输出接口：4×USB2.0，VGA，LVDS，RJ45，音频口，并口</w:t>
                  </w:r>
                </w:p>
                <w:p w14:paraId="3DF292AB">
                  <w:pPr>
                    <w:pStyle w:val="4"/>
                    <w:jc w:val="both"/>
                  </w:pPr>
                  <w:r>
                    <w:rPr>
                      <w:rFonts w:ascii="仿宋_GB2312" w:hAnsi="仿宋_GB2312" w:eastAsia="仿宋_GB2312" w:cs="仿宋_GB2312"/>
                      <w:sz w:val="21"/>
                    </w:rPr>
                    <w:t>371.网络支持：以太网</w:t>
                  </w:r>
                </w:p>
                <w:p w14:paraId="047825C9">
                  <w:pPr>
                    <w:pStyle w:val="4"/>
                    <w:jc w:val="both"/>
                  </w:pPr>
                  <w:r>
                    <w:rPr>
                      <w:rFonts w:ascii="仿宋_GB2312" w:hAnsi="仿宋_GB2312" w:eastAsia="仿宋_GB2312" w:cs="仿宋_GB2312"/>
                      <w:sz w:val="21"/>
                    </w:rPr>
                    <w:t>372.音频输出：左右双声道输出8R/3W喇叭</w:t>
                  </w:r>
                </w:p>
                <w:p w14:paraId="529ED507">
                  <w:pPr>
                    <w:pStyle w:val="4"/>
                    <w:jc w:val="both"/>
                  </w:pPr>
                  <w:r>
                    <w:rPr>
                      <w:rFonts w:ascii="仿宋_GB2312" w:hAnsi="仿宋_GB2312" w:eastAsia="仿宋_GB2312" w:cs="仿宋_GB2312"/>
                      <w:sz w:val="21"/>
                    </w:rPr>
                    <w:t>373.安装方式：壁挂立式</w:t>
                  </w:r>
                </w:p>
                <w:p w14:paraId="0ACA9F19">
                  <w:pPr>
                    <w:pStyle w:val="4"/>
                    <w:jc w:val="both"/>
                  </w:pPr>
                  <w:r>
                    <w:rPr>
                      <w:rFonts w:ascii="仿宋_GB2312" w:hAnsi="仿宋_GB2312" w:eastAsia="仿宋_GB2312" w:cs="仿宋_GB2312"/>
                      <w:sz w:val="21"/>
                    </w:rPr>
                    <w:t>374.条码扫描器：USB接口，可识别一维、二维条码</w:t>
                  </w:r>
                </w:p>
              </w:tc>
              <w:tc>
                <w:tcPr>
                  <w:tcW w:w="46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12B8406">
                  <w:pPr>
                    <w:pStyle w:val="4"/>
                    <w:jc w:val="both"/>
                  </w:pPr>
                </w:p>
              </w:tc>
            </w:tr>
            <w:tr w14:paraId="67F624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continue"/>
                  <w:tcBorders>
                    <w:top w:val="nil"/>
                    <w:left w:val="single" w:color="000000" w:sz="4" w:space="0"/>
                    <w:bottom w:val="single" w:color="000000" w:sz="4" w:space="0"/>
                    <w:right w:val="single" w:color="000000" w:sz="4" w:space="0"/>
                  </w:tcBorders>
                </w:tcPr>
                <w:p w14:paraId="2F50043F"/>
              </w:tc>
              <w:tc>
                <w:tcPr>
                  <w:tcW w:w="659" w:type="dxa"/>
                  <w:vMerge w:val="continue"/>
                  <w:tcBorders>
                    <w:top w:val="nil"/>
                    <w:left w:val="nil"/>
                    <w:bottom w:val="single" w:color="000000" w:sz="4" w:space="0"/>
                    <w:right w:val="single" w:color="000000" w:sz="4" w:space="0"/>
                  </w:tcBorders>
                </w:tcPr>
                <w:p w14:paraId="23FE48B5"/>
              </w:tc>
              <w:tc>
                <w:tcPr>
                  <w:tcW w:w="505" w:type="dxa"/>
                  <w:vMerge w:val="continue"/>
                  <w:tcBorders>
                    <w:top w:val="nil"/>
                    <w:left w:val="nil"/>
                    <w:bottom w:val="single" w:color="000000" w:sz="4" w:space="0"/>
                    <w:right w:val="single" w:color="000000" w:sz="4" w:space="0"/>
                  </w:tcBorders>
                </w:tcPr>
                <w:p w14:paraId="7549801B"/>
              </w:tc>
              <w:tc>
                <w:tcPr>
                  <w:tcW w:w="541" w:type="dxa"/>
                  <w:vMerge w:val="continue"/>
                  <w:tcBorders>
                    <w:top w:val="nil"/>
                    <w:left w:val="nil"/>
                    <w:bottom w:val="single" w:color="000000" w:sz="4" w:space="0"/>
                    <w:right w:val="single" w:color="000000" w:sz="4" w:space="0"/>
                  </w:tcBorders>
                </w:tcPr>
                <w:p w14:paraId="672126B5"/>
              </w:tc>
              <w:tc>
                <w:tcPr>
                  <w:tcW w:w="2997" w:type="dxa"/>
                  <w:vMerge w:val="continue"/>
                  <w:tcBorders>
                    <w:top w:val="nil"/>
                    <w:left w:val="nil"/>
                    <w:bottom w:val="single" w:color="000000" w:sz="4" w:space="0"/>
                    <w:right w:val="single" w:color="000000" w:sz="4" w:space="0"/>
                  </w:tcBorders>
                </w:tcPr>
                <w:p w14:paraId="6BF2930D"/>
              </w:tc>
              <w:tc>
                <w:tcPr>
                  <w:tcW w:w="469" w:type="dxa"/>
                  <w:vMerge w:val="continue"/>
                  <w:tcBorders>
                    <w:top w:val="nil"/>
                    <w:left w:val="nil"/>
                    <w:bottom w:val="single" w:color="000000" w:sz="4" w:space="0"/>
                    <w:right w:val="single" w:color="000000" w:sz="4" w:space="0"/>
                  </w:tcBorders>
                </w:tcPr>
                <w:p w14:paraId="7BEC2235"/>
              </w:tc>
            </w:tr>
            <w:tr w14:paraId="248A2F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9F053F3">
                  <w:pPr>
                    <w:pStyle w:val="4"/>
                    <w:jc w:val="both"/>
                  </w:pPr>
                  <w:r>
                    <w:rPr>
                      <w:rFonts w:ascii="仿宋_GB2312" w:hAnsi="仿宋_GB2312" w:eastAsia="仿宋_GB2312" w:cs="仿宋_GB2312"/>
                      <w:sz w:val="21"/>
                    </w:rPr>
                    <w:t>9</w:t>
                  </w:r>
                </w:p>
              </w:tc>
              <w:tc>
                <w:tcPr>
                  <w:tcW w:w="65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068AE20">
                  <w:pPr>
                    <w:pStyle w:val="4"/>
                    <w:jc w:val="both"/>
                  </w:pPr>
                  <w:r>
                    <w:rPr>
                      <w:rFonts w:ascii="仿宋_GB2312" w:hAnsi="仿宋_GB2312" w:eastAsia="仿宋_GB2312" w:cs="仿宋_GB2312"/>
                      <w:sz w:val="21"/>
                    </w:rPr>
                    <w:t>候诊综合显示屏</w:t>
                  </w:r>
                </w:p>
              </w:tc>
              <w:tc>
                <w:tcPr>
                  <w:tcW w:w="505"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A9BB9FD">
                  <w:pPr>
                    <w:pStyle w:val="4"/>
                    <w:jc w:val="both"/>
                  </w:pPr>
                  <w:r>
                    <w:rPr>
                      <w:rFonts w:ascii="仿宋_GB2312" w:hAnsi="仿宋_GB2312" w:eastAsia="仿宋_GB2312" w:cs="仿宋_GB2312"/>
                      <w:sz w:val="21"/>
                    </w:rPr>
                    <w:t>台</w:t>
                  </w:r>
                </w:p>
              </w:tc>
              <w:tc>
                <w:tcPr>
                  <w:tcW w:w="541"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380513D">
                  <w:pPr>
                    <w:pStyle w:val="4"/>
                    <w:jc w:val="both"/>
                  </w:pPr>
                  <w:r>
                    <w:rPr>
                      <w:rFonts w:ascii="仿宋_GB2312" w:hAnsi="仿宋_GB2312" w:eastAsia="仿宋_GB2312" w:cs="仿宋_GB2312"/>
                      <w:sz w:val="21"/>
                    </w:rPr>
                    <w:t>1</w:t>
                  </w:r>
                </w:p>
              </w:tc>
              <w:tc>
                <w:tcPr>
                  <w:tcW w:w="2997"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0EFD634">
                  <w:pPr>
                    <w:pStyle w:val="4"/>
                    <w:jc w:val="both"/>
                  </w:pPr>
                  <w:r>
                    <w:rPr>
                      <w:rFonts w:ascii="仿宋_GB2312" w:hAnsi="仿宋_GB2312" w:eastAsia="仿宋_GB2312" w:cs="仿宋_GB2312"/>
                      <w:sz w:val="21"/>
                    </w:rPr>
                    <w:t>375.尺寸：≥55寸</w:t>
                  </w:r>
                </w:p>
                <w:p w14:paraId="119FA59B">
                  <w:pPr>
                    <w:pStyle w:val="4"/>
                    <w:jc w:val="both"/>
                  </w:pPr>
                  <w:r>
                    <w:rPr>
                      <w:rFonts w:ascii="仿宋_GB2312" w:hAnsi="仿宋_GB2312" w:eastAsia="仿宋_GB2312" w:cs="仿宋_GB2312"/>
                      <w:sz w:val="21"/>
                    </w:rPr>
                    <w:t>376.CPU：≥四核，≥1.3GHz</w:t>
                  </w:r>
                </w:p>
                <w:p w14:paraId="53ACAD55">
                  <w:pPr>
                    <w:pStyle w:val="4"/>
                    <w:jc w:val="both"/>
                  </w:pPr>
                  <w:r>
                    <w:rPr>
                      <w:rFonts w:ascii="仿宋_GB2312" w:hAnsi="仿宋_GB2312" w:eastAsia="仿宋_GB2312" w:cs="仿宋_GB2312"/>
                      <w:sz w:val="21"/>
                    </w:rPr>
                    <w:t>377.内存：≥1G DDR</w:t>
                  </w:r>
                </w:p>
                <w:p w14:paraId="46348438">
                  <w:pPr>
                    <w:pStyle w:val="4"/>
                    <w:jc w:val="both"/>
                  </w:pPr>
                  <w:r>
                    <w:rPr>
                      <w:rFonts w:ascii="仿宋_GB2312" w:hAnsi="仿宋_GB2312" w:eastAsia="仿宋_GB2312" w:cs="仿宋_GB2312"/>
                      <w:sz w:val="21"/>
                    </w:rPr>
                    <w:t xml:space="preserve">378.内置存储器：≥8GB </w:t>
                  </w:r>
                </w:p>
                <w:p w14:paraId="5C74C54D">
                  <w:pPr>
                    <w:pStyle w:val="4"/>
                    <w:jc w:val="both"/>
                  </w:pPr>
                  <w:r>
                    <w:rPr>
                      <w:rFonts w:ascii="仿宋_GB2312" w:hAnsi="仿宋_GB2312" w:eastAsia="仿宋_GB2312" w:cs="仿宋_GB2312"/>
                      <w:sz w:val="21"/>
                    </w:rPr>
                    <w:t>379.液晶面板：≥55寸LED背光</w:t>
                  </w:r>
                </w:p>
                <w:p w14:paraId="3AE32B24">
                  <w:pPr>
                    <w:pStyle w:val="4"/>
                    <w:jc w:val="both"/>
                  </w:pPr>
                  <w:r>
                    <w:rPr>
                      <w:rFonts w:ascii="仿宋_GB2312" w:hAnsi="仿宋_GB2312" w:eastAsia="仿宋_GB2312" w:cs="仿宋_GB2312"/>
                      <w:sz w:val="21"/>
                    </w:rPr>
                    <w:t>380.分辨率：≥1920x1080</w:t>
                  </w:r>
                </w:p>
                <w:p w14:paraId="32BCA4E0">
                  <w:pPr>
                    <w:pStyle w:val="4"/>
                    <w:jc w:val="both"/>
                  </w:pPr>
                  <w:r>
                    <w:rPr>
                      <w:rFonts w:ascii="仿宋_GB2312" w:hAnsi="仿宋_GB2312" w:eastAsia="仿宋_GB2312" w:cs="仿宋_GB2312"/>
                      <w:sz w:val="21"/>
                    </w:rPr>
                    <w:t>381.显示比列：≥16：9</w:t>
                  </w:r>
                </w:p>
                <w:p w14:paraId="604AF640">
                  <w:pPr>
                    <w:pStyle w:val="4"/>
                    <w:jc w:val="both"/>
                  </w:pPr>
                  <w:r>
                    <w:rPr>
                      <w:rFonts w:ascii="仿宋_GB2312" w:hAnsi="仿宋_GB2312" w:eastAsia="仿宋_GB2312" w:cs="仿宋_GB2312"/>
                      <w:sz w:val="21"/>
                    </w:rPr>
                    <w:t>382.操作系统：Android系统</w:t>
                  </w:r>
                </w:p>
                <w:p w14:paraId="677E5217">
                  <w:pPr>
                    <w:pStyle w:val="4"/>
                    <w:jc w:val="both"/>
                  </w:pPr>
                  <w:r>
                    <w:rPr>
                      <w:rFonts w:ascii="仿宋_GB2312" w:hAnsi="仿宋_GB2312" w:eastAsia="仿宋_GB2312" w:cs="仿宋_GB2312"/>
                      <w:sz w:val="21"/>
                    </w:rPr>
                    <w:t>383.可视角度：≥全视角</w:t>
                  </w:r>
                </w:p>
                <w:p w14:paraId="7AF94161">
                  <w:pPr>
                    <w:pStyle w:val="4"/>
                    <w:jc w:val="both"/>
                  </w:pPr>
                  <w:r>
                    <w:rPr>
                      <w:rFonts w:ascii="仿宋_GB2312" w:hAnsi="仿宋_GB2312" w:eastAsia="仿宋_GB2312" w:cs="仿宋_GB2312"/>
                      <w:sz w:val="21"/>
                    </w:rPr>
                    <w:t>384.亮度：≥350cd/m2</w:t>
                  </w:r>
                </w:p>
                <w:p w14:paraId="616C2736">
                  <w:pPr>
                    <w:pStyle w:val="4"/>
                    <w:jc w:val="both"/>
                  </w:pPr>
                  <w:r>
                    <w:rPr>
                      <w:rFonts w:ascii="仿宋_GB2312" w:hAnsi="仿宋_GB2312" w:eastAsia="仿宋_GB2312" w:cs="仿宋_GB2312"/>
                      <w:sz w:val="21"/>
                    </w:rPr>
                    <w:t>385.对比度：≥1000：1</w:t>
                  </w:r>
                </w:p>
                <w:p w14:paraId="467FAD7C">
                  <w:pPr>
                    <w:pStyle w:val="4"/>
                    <w:jc w:val="both"/>
                  </w:pPr>
                  <w:r>
                    <w:rPr>
                      <w:rFonts w:ascii="仿宋_GB2312" w:hAnsi="仿宋_GB2312" w:eastAsia="仿宋_GB2312" w:cs="仿宋_GB2312"/>
                      <w:sz w:val="21"/>
                    </w:rPr>
                    <w:t>386.输入/输出接口：2×USB2.0，LVDS，RJ45，音频口</w:t>
                  </w:r>
                </w:p>
                <w:p w14:paraId="1C92D690">
                  <w:pPr>
                    <w:pStyle w:val="4"/>
                    <w:jc w:val="both"/>
                  </w:pPr>
                  <w:r>
                    <w:rPr>
                      <w:rFonts w:ascii="仿宋_GB2312" w:hAnsi="仿宋_GB2312" w:eastAsia="仿宋_GB2312" w:cs="仿宋_GB2312"/>
                      <w:sz w:val="21"/>
                    </w:rPr>
                    <w:t>387.网络支持：以太网</w:t>
                  </w:r>
                </w:p>
                <w:p w14:paraId="76C6C03C">
                  <w:pPr>
                    <w:pStyle w:val="4"/>
                    <w:jc w:val="both"/>
                  </w:pPr>
                  <w:r>
                    <w:rPr>
                      <w:rFonts w:ascii="仿宋_GB2312" w:hAnsi="仿宋_GB2312" w:eastAsia="仿宋_GB2312" w:cs="仿宋_GB2312"/>
                      <w:sz w:val="21"/>
                    </w:rPr>
                    <w:t>388.音频输出：左右双声道输出8R/3W喇叭</w:t>
                  </w:r>
                </w:p>
                <w:p w14:paraId="1E208661">
                  <w:pPr>
                    <w:pStyle w:val="4"/>
                    <w:jc w:val="both"/>
                  </w:pPr>
                  <w:r>
                    <w:rPr>
                      <w:rFonts w:ascii="仿宋_GB2312" w:hAnsi="仿宋_GB2312" w:eastAsia="仿宋_GB2312" w:cs="仿宋_GB2312"/>
                      <w:sz w:val="21"/>
                    </w:rPr>
                    <w:t>389.定时开关机：支持</w:t>
                  </w:r>
                </w:p>
                <w:p w14:paraId="324CC559">
                  <w:pPr>
                    <w:pStyle w:val="4"/>
                    <w:jc w:val="both"/>
                  </w:pPr>
                  <w:r>
                    <w:rPr>
                      <w:rFonts w:ascii="仿宋_GB2312" w:hAnsi="仿宋_GB2312" w:eastAsia="仿宋_GB2312" w:cs="仿宋_GB2312"/>
                      <w:sz w:val="21"/>
                    </w:rPr>
                    <w:t>390.安装方式：壁挂或者吊装式</w:t>
                  </w:r>
                </w:p>
              </w:tc>
              <w:tc>
                <w:tcPr>
                  <w:tcW w:w="469"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821C06">
                  <w:pPr>
                    <w:pStyle w:val="4"/>
                    <w:jc w:val="both"/>
                  </w:pPr>
                </w:p>
              </w:tc>
            </w:tr>
            <w:tr w14:paraId="47C8FF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vMerge w:val="continue"/>
                  <w:tcBorders>
                    <w:top w:val="nil"/>
                    <w:left w:val="single" w:color="000000" w:sz="4" w:space="0"/>
                    <w:bottom w:val="single" w:color="000000" w:sz="4" w:space="0"/>
                    <w:right w:val="single" w:color="000000" w:sz="4" w:space="0"/>
                  </w:tcBorders>
                </w:tcPr>
                <w:p w14:paraId="66A21D33"/>
              </w:tc>
              <w:tc>
                <w:tcPr>
                  <w:tcW w:w="659" w:type="dxa"/>
                  <w:vMerge w:val="continue"/>
                  <w:tcBorders>
                    <w:top w:val="nil"/>
                    <w:left w:val="nil"/>
                    <w:bottom w:val="single" w:color="000000" w:sz="4" w:space="0"/>
                    <w:right w:val="single" w:color="000000" w:sz="4" w:space="0"/>
                  </w:tcBorders>
                </w:tcPr>
                <w:p w14:paraId="3A057690"/>
              </w:tc>
              <w:tc>
                <w:tcPr>
                  <w:tcW w:w="505" w:type="dxa"/>
                  <w:vMerge w:val="continue"/>
                  <w:tcBorders>
                    <w:top w:val="nil"/>
                    <w:left w:val="nil"/>
                    <w:bottom w:val="single" w:color="000000" w:sz="4" w:space="0"/>
                    <w:right w:val="single" w:color="000000" w:sz="4" w:space="0"/>
                  </w:tcBorders>
                </w:tcPr>
                <w:p w14:paraId="663CE0DA"/>
              </w:tc>
              <w:tc>
                <w:tcPr>
                  <w:tcW w:w="541" w:type="dxa"/>
                  <w:vMerge w:val="continue"/>
                  <w:tcBorders>
                    <w:top w:val="nil"/>
                    <w:left w:val="nil"/>
                    <w:bottom w:val="single" w:color="000000" w:sz="4" w:space="0"/>
                    <w:right w:val="single" w:color="000000" w:sz="4" w:space="0"/>
                  </w:tcBorders>
                </w:tcPr>
                <w:p w14:paraId="47ABD7CB"/>
              </w:tc>
              <w:tc>
                <w:tcPr>
                  <w:tcW w:w="2997" w:type="dxa"/>
                  <w:vMerge w:val="continue"/>
                  <w:tcBorders>
                    <w:top w:val="nil"/>
                    <w:left w:val="nil"/>
                    <w:bottom w:val="single" w:color="000000" w:sz="4" w:space="0"/>
                    <w:right w:val="single" w:color="000000" w:sz="4" w:space="0"/>
                  </w:tcBorders>
                </w:tcPr>
                <w:p w14:paraId="56AA1A22"/>
              </w:tc>
              <w:tc>
                <w:tcPr>
                  <w:tcW w:w="469" w:type="dxa"/>
                  <w:vMerge w:val="continue"/>
                  <w:tcBorders>
                    <w:top w:val="nil"/>
                    <w:left w:val="nil"/>
                    <w:bottom w:val="single" w:color="000000" w:sz="4" w:space="0"/>
                    <w:right w:val="single" w:color="000000" w:sz="4" w:space="0"/>
                  </w:tcBorders>
                </w:tcPr>
                <w:p w14:paraId="72680CF6"/>
              </w:tc>
            </w:tr>
            <w:tr w14:paraId="47A0F5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6"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2C4C8CB">
                  <w:pPr>
                    <w:pStyle w:val="4"/>
                    <w:jc w:val="both"/>
                  </w:pPr>
                  <w:r>
                    <w:rPr>
                      <w:rFonts w:ascii="仿宋_GB2312" w:hAnsi="仿宋_GB2312" w:eastAsia="仿宋_GB2312" w:cs="仿宋_GB2312"/>
                      <w:sz w:val="21"/>
                    </w:rPr>
                    <w:t>10</w:t>
                  </w:r>
                </w:p>
              </w:tc>
              <w:tc>
                <w:tcPr>
                  <w:tcW w:w="65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824E9E0">
                  <w:pPr>
                    <w:pStyle w:val="4"/>
                    <w:jc w:val="both"/>
                  </w:pPr>
                  <w:r>
                    <w:rPr>
                      <w:rFonts w:ascii="仿宋_GB2312" w:hAnsi="仿宋_GB2312" w:eastAsia="仿宋_GB2312" w:cs="仿宋_GB2312"/>
                      <w:sz w:val="21"/>
                    </w:rPr>
                    <w:t>急诊智慧大屏</w:t>
                  </w:r>
                </w:p>
              </w:tc>
              <w:tc>
                <w:tcPr>
                  <w:tcW w:w="505"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98CC4BC">
                  <w:pPr>
                    <w:pStyle w:val="4"/>
                    <w:jc w:val="both"/>
                  </w:pPr>
                  <w:r>
                    <w:rPr>
                      <w:rFonts w:ascii="仿宋_GB2312" w:hAnsi="仿宋_GB2312" w:eastAsia="仿宋_GB2312" w:cs="仿宋_GB2312"/>
                      <w:sz w:val="21"/>
                    </w:rPr>
                    <w:t>台</w:t>
                  </w:r>
                </w:p>
              </w:tc>
              <w:tc>
                <w:tcPr>
                  <w:tcW w:w="54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99FC982">
                  <w:pPr>
                    <w:pStyle w:val="4"/>
                    <w:jc w:val="both"/>
                  </w:pPr>
                  <w:r>
                    <w:rPr>
                      <w:rFonts w:ascii="仿宋_GB2312" w:hAnsi="仿宋_GB2312" w:eastAsia="仿宋_GB2312" w:cs="仿宋_GB2312"/>
                      <w:sz w:val="21"/>
                    </w:rPr>
                    <w:t>1</w:t>
                  </w:r>
                </w:p>
              </w:tc>
              <w:tc>
                <w:tcPr>
                  <w:tcW w:w="2997"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7481116">
                  <w:pPr>
                    <w:pStyle w:val="4"/>
                    <w:jc w:val="both"/>
                  </w:pPr>
                  <w:r>
                    <w:rPr>
                      <w:rFonts w:ascii="仿宋_GB2312" w:hAnsi="仿宋_GB2312" w:eastAsia="仿宋_GB2312" w:cs="仿宋_GB2312"/>
                      <w:sz w:val="21"/>
                    </w:rPr>
                    <w:t xml:space="preserve"> 391.尺寸：≥65英寸</w:t>
                  </w:r>
                </w:p>
                <w:p w14:paraId="376FBA56">
                  <w:pPr>
                    <w:pStyle w:val="4"/>
                    <w:jc w:val="both"/>
                  </w:pPr>
                  <w:r>
                    <w:rPr>
                      <w:rFonts w:ascii="仿宋_GB2312" w:hAnsi="仿宋_GB2312" w:eastAsia="仿宋_GB2312" w:cs="仿宋_GB2312"/>
                      <w:sz w:val="21"/>
                    </w:rPr>
                    <w:t>392.分辨率：≥3840×2160</w:t>
                  </w:r>
                </w:p>
                <w:p w14:paraId="6348B1BA">
                  <w:pPr>
                    <w:pStyle w:val="4"/>
                    <w:jc w:val="both"/>
                  </w:pPr>
                  <w:r>
                    <w:rPr>
                      <w:rFonts w:ascii="仿宋_GB2312" w:hAnsi="仿宋_GB2312" w:eastAsia="仿宋_GB2312" w:cs="仿宋_GB2312"/>
                      <w:sz w:val="21"/>
                    </w:rPr>
                    <w:t>393.点距：≤0.372（H）×0.372（V）mm</w:t>
                  </w:r>
                </w:p>
                <w:p w14:paraId="11D3CCD8">
                  <w:pPr>
                    <w:pStyle w:val="4"/>
                    <w:jc w:val="both"/>
                  </w:pPr>
                  <w:r>
                    <w:rPr>
                      <w:rFonts w:ascii="仿宋_GB2312" w:hAnsi="仿宋_GB2312" w:eastAsia="仿宋_GB2312" w:cs="仿宋_GB2312"/>
                      <w:sz w:val="21"/>
                    </w:rPr>
                    <w:t>394.最大亮度：≥350cd/㎡</w:t>
                  </w:r>
                </w:p>
                <w:p w14:paraId="6576FF83">
                  <w:pPr>
                    <w:pStyle w:val="4"/>
                    <w:jc w:val="both"/>
                  </w:pPr>
                  <w:r>
                    <w:rPr>
                      <w:rFonts w:ascii="仿宋_GB2312" w:hAnsi="仿宋_GB2312" w:eastAsia="仿宋_GB2312" w:cs="仿宋_GB2312"/>
                      <w:sz w:val="21"/>
                    </w:rPr>
                    <w:t>395.对比度：≥4000:1</w:t>
                  </w:r>
                </w:p>
                <w:p w14:paraId="0257025B">
                  <w:pPr>
                    <w:pStyle w:val="4"/>
                    <w:jc w:val="both"/>
                  </w:pPr>
                  <w:r>
                    <w:rPr>
                      <w:rFonts w:ascii="仿宋_GB2312" w:hAnsi="仿宋_GB2312" w:eastAsia="仿宋_GB2312" w:cs="仿宋_GB2312"/>
                      <w:sz w:val="21"/>
                    </w:rPr>
                    <w:t>396.可视角度：≥178°</w:t>
                  </w:r>
                </w:p>
                <w:p w14:paraId="1C4AD596">
                  <w:pPr>
                    <w:pStyle w:val="4"/>
                    <w:jc w:val="both"/>
                  </w:pPr>
                  <w:r>
                    <w:rPr>
                      <w:rFonts w:ascii="仿宋_GB2312" w:hAnsi="仿宋_GB2312" w:eastAsia="仿宋_GB2312" w:cs="仿宋_GB2312"/>
                      <w:sz w:val="21"/>
                    </w:rPr>
                    <w:t>397.响应时间：≤6.5ms</w:t>
                  </w:r>
                </w:p>
                <w:p w14:paraId="328A72E9">
                  <w:pPr>
                    <w:pStyle w:val="4"/>
                    <w:jc w:val="both"/>
                  </w:pPr>
                  <w:r>
                    <w:rPr>
                      <w:rFonts w:ascii="仿宋_GB2312" w:hAnsi="仿宋_GB2312" w:eastAsia="仿宋_GB2312" w:cs="仿宋_GB2312"/>
                      <w:sz w:val="21"/>
                    </w:rPr>
                    <w:t>398.PC模块配置要求：CPU≥为Intel® Core i5；内存≥16G  DDR4；硬盘 ≥ 256G 固态硬盘</w:t>
                  </w:r>
                </w:p>
                <w:p w14:paraId="49C4A975">
                  <w:pPr>
                    <w:pStyle w:val="4"/>
                    <w:jc w:val="both"/>
                  </w:pPr>
                  <w:r>
                    <w:rPr>
                      <w:rFonts w:ascii="仿宋_GB2312" w:hAnsi="仿宋_GB2312" w:eastAsia="仿宋_GB2312" w:cs="仿宋_GB2312"/>
                      <w:sz w:val="21"/>
                    </w:rPr>
                    <w:t>399.整机一体化、高集成度设计，内置≥4800W像素高清摄像头，内置≥8个≥8米有效拾音距离拾音阵列麦克风，采用前置发声扬声器，内置通讯天线设计，集成≥2个书写笔吸附位并标配2只书写笔</w:t>
                  </w:r>
                </w:p>
                <w:p w14:paraId="52F1B998">
                  <w:pPr>
                    <w:pStyle w:val="4"/>
                    <w:jc w:val="both"/>
                  </w:pPr>
                  <w:r>
                    <w:rPr>
                      <w:rFonts w:ascii="仿宋_GB2312" w:hAnsi="仿宋_GB2312" w:eastAsia="仿宋_GB2312" w:cs="仿宋_GB2312"/>
                      <w:sz w:val="21"/>
                    </w:rPr>
                    <w:t>400.▲观片灯箱：提供观片灯箱功能，支持分屏、横屏、全屏三种模式，取代传统的观片灯箱（提供封面具有CMA或CNAS认证标识的检测报告关键页扫描件或相关国家部门、检测机构出具的证明材料扫描件并加盖投标人公章）</w:t>
                  </w:r>
                </w:p>
                <w:p w14:paraId="6FA4C901">
                  <w:pPr>
                    <w:pStyle w:val="4"/>
                    <w:jc w:val="both"/>
                  </w:pPr>
                  <w:r>
                    <w:rPr>
                      <w:rFonts w:ascii="仿宋_GB2312" w:hAnsi="仿宋_GB2312" w:eastAsia="仿宋_GB2312" w:cs="仿宋_GB2312"/>
                      <w:sz w:val="21"/>
                    </w:rPr>
                    <w:t>401.▲胶片夹工具：提供胶片夹工具，配合观片灯箱功能，固定胶片，方便医生浏览实体胶片。（提供封面具有CMA或CNAS认证标识的检测报告关键页扫描件或相关国家部门、检测机构出具的证明材料扫描件并加盖投标人公章）</w:t>
                  </w:r>
                </w:p>
                <w:p w14:paraId="1F61D71E">
                  <w:pPr>
                    <w:pStyle w:val="4"/>
                    <w:jc w:val="both"/>
                  </w:pPr>
                  <w:r>
                    <w:rPr>
                      <w:rFonts w:ascii="仿宋_GB2312" w:hAnsi="仿宋_GB2312" w:eastAsia="仿宋_GB2312" w:cs="仿宋_GB2312"/>
                      <w:sz w:val="21"/>
                    </w:rPr>
                    <w:t>402.无线投屏：整机内置接收模块，除无线传屏器外不需要连接任何附加设备，可实现外部电脑音视频信号实时传输到触摸一体机上（无论整机处于任何通道），并可支持触摸回传，支持免安装驱动，即插即用。</w:t>
                  </w:r>
                </w:p>
                <w:p w14:paraId="0CD3F70F">
                  <w:pPr>
                    <w:pStyle w:val="4"/>
                    <w:jc w:val="both"/>
                  </w:pPr>
                  <w:r>
                    <w:rPr>
                      <w:rFonts w:ascii="仿宋_GB2312" w:hAnsi="仿宋_GB2312" w:eastAsia="仿宋_GB2312" w:cs="仿宋_GB2312"/>
                      <w:sz w:val="21"/>
                    </w:rPr>
                    <w:t>403.▲U盘锁功能：开启禁用外设连接，保护设备安全（提供封面具有CMA或CNAS认证标识的检测报告关键页扫描件或相关国家部门、检测机构出具的证明材料扫描件并加盖投标人公章）</w:t>
                  </w:r>
                </w:p>
                <w:p w14:paraId="7588FFE7">
                  <w:pPr>
                    <w:pStyle w:val="4"/>
                    <w:jc w:val="both"/>
                  </w:pPr>
                  <w:r>
                    <w:rPr>
                      <w:rFonts w:ascii="仿宋_GB2312" w:hAnsi="仿宋_GB2312" w:eastAsia="仿宋_GB2312" w:cs="仿宋_GB2312"/>
                      <w:sz w:val="21"/>
                    </w:rPr>
                    <w:t>404.智能图形：智能识别手绘图形，书写无需重新点击选择画笔功能；可支持插入智能表格，表格大小可根据书写内容自动扩充，可通过画直线的方式添加行列。</w:t>
                  </w:r>
                </w:p>
                <w:p w14:paraId="1558418D">
                  <w:pPr>
                    <w:pStyle w:val="4"/>
                    <w:jc w:val="both"/>
                  </w:pPr>
                  <w:r>
                    <w:rPr>
                      <w:rFonts w:ascii="仿宋_GB2312" w:hAnsi="仿宋_GB2312" w:eastAsia="仿宋_GB2312" w:cs="仿宋_GB2312"/>
                      <w:sz w:val="21"/>
                    </w:rPr>
                    <w:t>405.小屏控大屏：支持手机投屏软件操控大屏，小屏控大屏满足近端操控需求。</w:t>
                  </w:r>
                </w:p>
                <w:p w14:paraId="3E6CDB86">
                  <w:pPr>
                    <w:pStyle w:val="4"/>
                    <w:jc w:val="both"/>
                  </w:pPr>
                  <w:r>
                    <w:rPr>
                      <w:rFonts w:ascii="仿宋_GB2312" w:hAnsi="仿宋_GB2312" w:eastAsia="仿宋_GB2312" w:cs="仿宋_GB2312"/>
                      <w:sz w:val="21"/>
                    </w:rPr>
                    <w:t>406.▲触摸锁：设置触摸锁，防止离开后不必要的误触（提供封面具有CMA或CNAS认证标识的检测报告关键页扫描件或相关国家部门、检测机构出具的证明材料复印件并加盖投标人公章）</w:t>
                  </w:r>
                </w:p>
              </w:tc>
              <w:tc>
                <w:tcPr>
                  <w:tcW w:w="46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63710E">
                  <w:pPr>
                    <w:pStyle w:val="4"/>
                    <w:jc w:val="both"/>
                  </w:pPr>
                </w:p>
              </w:tc>
            </w:tr>
          </w:tbl>
          <w:p w14:paraId="77AE541D"/>
        </w:tc>
      </w:tr>
    </w:tbl>
    <w:p w14:paraId="0A065D52">
      <w:pPr>
        <w:pStyle w:val="4"/>
        <w:jc w:val="left"/>
        <w:outlineLvl w:val="2"/>
      </w:pPr>
      <w:r>
        <w:rPr>
          <w:rFonts w:ascii="仿宋_GB2312" w:hAnsi="仿宋_GB2312" w:eastAsia="仿宋_GB2312" w:cs="仿宋_GB2312"/>
          <w:b/>
          <w:sz w:val="28"/>
        </w:rPr>
        <w:t>3.3.服务要求</w:t>
      </w:r>
    </w:p>
    <w:p w14:paraId="44736AC2">
      <w:pPr>
        <w:pStyle w:val="4"/>
        <w:jc w:val="left"/>
        <w:outlineLvl w:val="3"/>
      </w:pPr>
      <w:r>
        <w:rPr>
          <w:rFonts w:ascii="仿宋_GB2312" w:hAnsi="仿宋_GB2312" w:eastAsia="仿宋_GB2312" w:cs="仿宋_GB2312"/>
          <w:b/>
          <w:sz w:val="24"/>
        </w:rPr>
        <w:t>3.3.1服务内容要求</w:t>
      </w:r>
    </w:p>
    <w:p w14:paraId="10300B7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9B1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8521A6">
            <w:pPr>
              <w:pStyle w:val="4"/>
              <w:jc w:val="center"/>
            </w:pPr>
            <w:r>
              <w:rPr>
                <w:rFonts w:ascii="仿宋_GB2312" w:hAnsi="仿宋_GB2312" w:eastAsia="仿宋_GB2312" w:cs="仿宋_GB2312"/>
              </w:rPr>
              <w:t xml:space="preserve"> 序号</w:t>
            </w:r>
          </w:p>
        </w:tc>
        <w:tc>
          <w:tcPr>
            <w:tcW w:w="581" w:type="dxa"/>
          </w:tcPr>
          <w:p w14:paraId="01321AD5">
            <w:pPr>
              <w:pStyle w:val="4"/>
              <w:jc w:val="center"/>
            </w:pPr>
            <w:r>
              <w:rPr>
                <w:rFonts w:ascii="仿宋_GB2312" w:hAnsi="仿宋_GB2312" w:eastAsia="仿宋_GB2312" w:cs="仿宋_GB2312"/>
              </w:rPr>
              <w:t xml:space="preserve"> 符号标识</w:t>
            </w:r>
          </w:p>
        </w:tc>
        <w:tc>
          <w:tcPr>
            <w:tcW w:w="1495" w:type="dxa"/>
          </w:tcPr>
          <w:p w14:paraId="42DAE646">
            <w:pPr>
              <w:pStyle w:val="4"/>
              <w:jc w:val="center"/>
            </w:pPr>
            <w:r>
              <w:rPr>
                <w:rFonts w:ascii="仿宋_GB2312" w:hAnsi="仿宋_GB2312" w:eastAsia="仿宋_GB2312" w:cs="仿宋_GB2312"/>
              </w:rPr>
              <w:t xml:space="preserve"> 服务要求名称</w:t>
            </w:r>
          </w:p>
        </w:tc>
        <w:tc>
          <w:tcPr>
            <w:tcW w:w="5814" w:type="dxa"/>
          </w:tcPr>
          <w:p w14:paraId="7AC0B17B">
            <w:pPr>
              <w:pStyle w:val="4"/>
              <w:jc w:val="center"/>
            </w:pPr>
            <w:r>
              <w:rPr>
                <w:rFonts w:ascii="仿宋_GB2312" w:hAnsi="仿宋_GB2312" w:eastAsia="仿宋_GB2312" w:cs="仿宋_GB2312"/>
              </w:rPr>
              <w:t xml:space="preserve"> 服务要求内容</w:t>
            </w:r>
          </w:p>
        </w:tc>
      </w:tr>
      <w:tr w14:paraId="56926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6E0B308D">
            <w:pPr>
              <w:pStyle w:val="4"/>
              <w:jc w:val="center"/>
            </w:pPr>
            <w:r>
              <w:rPr>
                <w:rFonts w:ascii="仿宋_GB2312" w:hAnsi="仿宋_GB2312" w:eastAsia="仿宋_GB2312" w:cs="仿宋_GB2312"/>
              </w:rPr>
              <w:t>无</w:t>
            </w:r>
          </w:p>
        </w:tc>
      </w:tr>
    </w:tbl>
    <w:p w14:paraId="76E30B6D">
      <w:pPr>
        <w:pStyle w:val="4"/>
        <w:jc w:val="left"/>
        <w:outlineLvl w:val="3"/>
      </w:pPr>
      <w:r>
        <w:rPr>
          <w:rFonts w:ascii="仿宋_GB2312" w:hAnsi="仿宋_GB2312" w:eastAsia="仿宋_GB2312" w:cs="仿宋_GB2312"/>
          <w:b/>
          <w:sz w:val="24"/>
        </w:rPr>
        <w:t>3.3.2.商务要求</w:t>
      </w:r>
    </w:p>
    <w:p w14:paraId="272C46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E50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0CCA8">
            <w:pPr>
              <w:pStyle w:val="4"/>
              <w:jc w:val="center"/>
            </w:pPr>
            <w:r>
              <w:rPr>
                <w:rFonts w:ascii="仿宋_GB2312" w:hAnsi="仿宋_GB2312" w:eastAsia="仿宋_GB2312" w:cs="仿宋_GB2312"/>
              </w:rPr>
              <w:t>序号</w:t>
            </w:r>
          </w:p>
        </w:tc>
        <w:tc>
          <w:tcPr>
            <w:tcW w:w="581" w:type="dxa"/>
          </w:tcPr>
          <w:p w14:paraId="55A6900F">
            <w:pPr>
              <w:pStyle w:val="4"/>
              <w:jc w:val="center"/>
            </w:pPr>
            <w:r>
              <w:rPr>
                <w:rFonts w:ascii="仿宋_GB2312" w:hAnsi="仿宋_GB2312" w:eastAsia="仿宋_GB2312" w:cs="仿宋_GB2312"/>
              </w:rPr>
              <w:t>符号标识</w:t>
            </w:r>
          </w:p>
        </w:tc>
        <w:tc>
          <w:tcPr>
            <w:tcW w:w="1495" w:type="dxa"/>
          </w:tcPr>
          <w:p w14:paraId="5CF48808">
            <w:pPr>
              <w:pStyle w:val="4"/>
              <w:jc w:val="center"/>
            </w:pPr>
            <w:r>
              <w:rPr>
                <w:rFonts w:ascii="仿宋_GB2312" w:hAnsi="仿宋_GB2312" w:eastAsia="仿宋_GB2312" w:cs="仿宋_GB2312"/>
              </w:rPr>
              <w:t>商务要求名称</w:t>
            </w:r>
          </w:p>
        </w:tc>
        <w:tc>
          <w:tcPr>
            <w:tcW w:w="5814" w:type="dxa"/>
          </w:tcPr>
          <w:p w14:paraId="40836679">
            <w:pPr>
              <w:pStyle w:val="4"/>
              <w:jc w:val="center"/>
            </w:pPr>
            <w:r>
              <w:rPr>
                <w:rFonts w:ascii="仿宋_GB2312" w:hAnsi="仿宋_GB2312" w:eastAsia="仿宋_GB2312" w:cs="仿宋_GB2312"/>
              </w:rPr>
              <w:t>商务要求内容</w:t>
            </w:r>
          </w:p>
        </w:tc>
      </w:tr>
      <w:tr w14:paraId="7398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8A47425">
            <w:pPr>
              <w:pStyle w:val="4"/>
              <w:jc w:val="center"/>
            </w:pPr>
            <w:r>
              <w:rPr>
                <w:rFonts w:ascii="仿宋_GB2312" w:hAnsi="仿宋_GB2312" w:eastAsia="仿宋_GB2312" w:cs="仿宋_GB2312"/>
              </w:rPr>
              <w:t>1</w:t>
            </w:r>
          </w:p>
        </w:tc>
        <w:tc>
          <w:tcPr>
            <w:tcW w:w="581" w:type="dxa"/>
          </w:tcPr>
          <w:p w14:paraId="7A40F22B">
            <w:pPr>
              <w:pStyle w:val="4"/>
              <w:jc w:val="center"/>
            </w:pPr>
            <w:r>
              <w:rPr>
                <w:rFonts w:ascii="仿宋_GB2312" w:hAnsi="仿宋_GB2312" w:eastAsia="仿宋_GB2312" w:cs="仿宋_GB2312"/>
              </w:rPr>
              <w:t>★</w:t>
            </w:r>
          </w:p>
        </w:tc>
        <w:tc>
          <w:tcPr>
            <w:tcW w:w="1495" w:type="dxa"/>
          </w:tcPr>
          <w:p w14:paraId="6A6D5C36">
            <w:pPr>
              <w:pStyle w:val="4"/>
              <w:jc w:val="left"/>
            </w:pPr>
            <w:r>
              <w:rPr>
                <w:rFonts w:ascii="仿宋_GB2312" w:hAnsi="仿宋_GB2312" w:eastAsia="仿宋_GB2312" w:cs="仿宋_GB2312"/>
              </w:rPr>
              <w:t>服务期限</w:t>
            </w:r>
          </w:p>
        </w:tc>
        <w:tc>
          <w:tcPr>
            <w:tcW w:w="5814" w:type="dxa"/>
          </w:tcPr>
          <w:p w14:paraId="74E40546">
            <w:pPr>
              <w:pStyle w:val="4"/>
              <w:jc w:val="left"/>
            </w:pPr>
            <w:r>
              <w:rPr>
                <w:rFonts w:ascii="仿宋_GB2312" w:hAnsi="仿宋_GB2312" w:eastAsia="仿宋_GB2312" w:cs="仿宋_GB2312"/>
              </w:rPr>
              <w:t>180日</w:t>
            </w:r>
          </w:p>
        </w:tc>
      </w:tr>
      <w:tr w14:paraId="0C23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ED75AC">
            <w:pPr>
              <w:pStyle w:val="4"/>
              <w:jc w:val="center"/>
            </w:pPr>
            <w:r>
              <w:rPr>
                <w:rFonts w:ascii="仿宋_GB2312" w:hAnsi="仿宋_GB2312" w:eastAsia="仿宋_GB2312" w:cs="仿宋_GB2312"/>
              </w:rPr>
              <w:t>2</w:t>
            </w:r>
          </w:p>
        </w:tc>
        <w:tc>
          <w:tcPr>
            <w:tcW w:w="581" w:type="dxa"/>
          </w:tcPr>
          <w:p w14:paraId="44E77848">
            <w:pPr>
              <w:pStyle w:val="4"/>
              <w:jc w:val="center"/>
            </w:pPr>
            <w:r>
              <w:rPr>
                <w:rFonts w:ascii="仿宋_GB2312" w:hAnsi="仿宋_GB2312" w:eastAsia="仿宋_GB2312" w:cs="仿宋_GB2312"/>
              </w:rPr>
              <w:t>★</w:t>
            </w:r>
          </w:p>
        </w:tc>
        <w:tc>
          <w:tcPr>
            <w:tcW w:w="1495" w:type="dxa"/>
          </w:tcPr>
          <w:p w14:paraId="350D2DD6">
            <w:pPr>
              <w:pStyle w:val="4"/>
              <w:jc w:val="left"/>
            </w:pPr>
            <w:r>
              <w:rPr>
                <w:rFonts w:ascii="仿宋_GB2312" w:hAnsi="仿宋_GB2312" w:eastAsia="仿宋_GB2312" w:cs="仿宋_GB2312"/>
              </w:rPr>
              <w:t>服务地点</w:t>
            </w:r>
          </w:p>
        </w:tc>
        <w:tc>
          <w:tcPr>
            <w:tcW w:w="5814" w:type="dxa"/>
          </w:tcPr>
          <w:p w14:paraId="7366F74D">
            <w:pPr>
              <w:pStyle w:val="4"/>
              <w:jc w:val="left"/>
            </w:pPr>
            <w:r>
              <w:rPr>
                <w:rFonts w:ascii="仿宋_GB2312" w:hAnsi="仿宋_GB2312" w:eastAsia="仿宋_GB2312" w:cs="仿宋_GB2312"/>
              </w:rPr>
              <w:t>米易县人民医院</w:t>
            </w:r>
          </w:p>
        </w:tc>
      </w:tr>
      <w:tr w14:paraId="48E01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BB1DD">
            <w:pPr>
              <w:pStyle w:val="4"/>
              <w:jc w:val="center"/>
            </w:pPr>
            <w:r>
              <w:rPr>
                <w:rFonts w:ascii="仿宋_GB2312" w:hAnsi="仿宋_GB2312" w:eastAsia="仿宋_GB2312" w:cs="仿宋_GB2312"/>
              </w:rPr>
              <w:t>3</w:t>
            </w:r>
          </w:p>
        </w:tc>
        <w:tc>
          <w:tcPr>
            <w:tcW w:w="581" w:type="dxa"/>
          </w:tcPr>
          <w:p w14:paraId="0070A155">
            <w:pPr>
              <w:pStyle w:val="4"/>
              <w:jc w:val="center"/>
            </w:pPr>
            <w:r>
              <w:rPr>
                <w:rFonts w:ascii="仿宋_GB2312" w:hAnsi="仿宋_GB2312" w:eastAsia="仿宋_GB2312" w:cs="仿宋_GB2312"/>
              </w:rPr>
              <w:t>★</w:t>
            </w:r>
          </w:p>
        </w:tc>
        <w:tc>
          <w:tcPr>
            <w:tcW w:w="1495" w:type="dxa"/>
          </w:tcPr>
          <w:p w14:paraId="39999A75">
            <w:pPr>
              <w:pStyle w:val="4"/>
              <w:jc w:val="left"/>
            </w:pPr>
            <w:r>
              <w:rPr>
                <w:rFonts w:ascii="仿宋_GB2312" w:hAnsi="仿宋_GB2312" w:eastAsia="仿宋_GB2312" w:cs="仿宋_GB2312"/>
              </w:rPr>
              <w:t>验收、交付标准和方法</w:t>
            </w:r>
          </w:p>
        </w:tc>
        <w:tc>
          <w:tcPr>
            <w:tcW w:w="5814" w:type="dxa"/>
          </w:tcPr>
          <w:p w14:paraId="6D05595C">
            <w:pPr>
              <w:pStyle w:val="4"/>
              <w:jc w:val="left"/>
            </w:pPr>
            <w:r>
              <w:rPr>
                <w:rFonts w:ascii="仿宋_GB2312" w:hAnsi="仿宋_GB2312" w:eastAsia="仿宋_GB2312" w:cs="仿宋_GB2312"/>
              </w:rPr>
              <w:t>本项目采购人将严格按照政府采购相关法律法规、《财政部关于进一步加强政府采购需求和履约验收管理的指导意见》（财库〔2016〕205号）以及《政府采购需求管理办法》（财库〔2021〕22号）的要求进行验收。如出现未在采购文件中明确规定的，以行业相关标准为准。如采购双方如对服务内容及服务质量有相互抵触或异议的事项，由采购人在采购文件与响应文件中按服务内容及服务要求、行业标准比较优胜的原则确定该项的约定标准进行验收。如出现争议，在场验收人员无法确定的，委托第三方质检机构进行检测，检测费用由中标人垫付，最终验收标准以检测结果为准，如检测合格由采购人承担检测费用，如检测不合格由中标人承担。</w:t>
            </w:r>
          </w:p>
        </w:tc>
      </w:tr>
      <w:tr w14:paraId="733FD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E5F4E9">
            <w:pPr>
              <w:pStyle w:val="4"/>
              <w:jc w:val="center"/>
            </w:pPr>
            <w:r>
              <w:rPr>
                <w:rFonts w:ascii="仿宋_GB2312" w:hAnsi="仿宋_GB2312" w:eastAsia="仿宋_GB2312" w:cs="仿宋_GB2312"/>
              </w:rPr>
              <w:t>4</w:t>
            </w:r>
          </w:p>
        </w:tc>
        <w:tc>
          <w:tcPr>
            <w:tcW w:w="581" w:type="dxa"/>
          </w:tcPr>
          <w:p w14:paraId="342251C7">
            <w:pPr>
              <w:pStyle w:val="4"/>
              <w:jc w:val="center"/>
            </w:pPr>
            <w:r>
              <w:rPr>
                <w:rFonts w:ascii="仿宋_GB2312" w:hAnsi="仿宋_GB2312" w:eastAsia="仿宋_GB2312" w:cs="仿宋_GB2312"/>
              </w:rPr>
              <w:t>★</w:t>
            </w:r>
          </w:p>
        </w:tc>
        <w:tc>
          <w:tcPr>
            <w:tcW w:w="1495" w:type="dxa"/>
          </w:tcPr>
          <w:p w14:paraId="6B38DE27">
            <w:pPr>
              <w:pStyle w:val="4"/>
              <w:jc w:val="left"/>
            </w:pPr>
            <w:r>
              <w:rPr>
                <w:rFonts w:ascii="仿宋_GB2312" w:hAnsi="仿宋_GB2312" w:eastAsia="仿宋_GB2312" w:cs="仿宋_GB2312"/>
              </w:rPr>
              <w:t>支付方式</w:t>
            </w:r>
          </w:p>
        </w:tc>
        <w:tc>
          <w:tcPr>
            <w:tcW w:w="5814" w:type="dxa"/>
          </w:tcPr>
          <w:p w14:paraId="28F4B492">
            <w:pPr>
              <w:pStyle w:val="4"/>
              <w:jc w:val="left"/>
            </w:pPr>
            <w:r>
              <w:rPr>
                <w:rFonts w:ascii="仿宋_GB2312" w:hAnsi="仿宋_GB2312" w:eastAsia="仿宋_GB2312" w:cs="仿宋_GB2312"/>
              </w:rPr>
              <w:t>分期付款</w:t>
            </w:r>
          </w:p>
        </w:tc>
      </w:tr>
      <w:tr w14:paraId="3E03F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7B9E98">
            <w:pPr>
              <w:pStyle w:val="4"/>
              <w:jc w:val="center"/>
            </w:pPr>
            <w:r>
              <w:rPr>
                <w:rFonts w:ascii="仿宋_GB2312" w:hAnsi="仿宋_GB2312" w:eastAsia="仿宋_GB2312" w:cs="仿宋_GB2312"/>
              </w:rPr>
              <w:t>5</w:t>
            </w:r>
          </w:p>
        </w:tc>
        <w:tc>
          <w:tcPr>
            <w:tcW w:w="581" w:type="dxa"/>
          </w:tcPr>
          <w:p w14:paraId="33701465">
            <w:pPr>
              <w:pStyle w:val="4"/>
              <w:jc w:val="center"/>
            </w:pPr>
            <w:r>
              <w:rPr>
                <w:rFonts w:ascii="仿宋_GB2312" w:hAnsi="仿宋_GB2312" w:eastAsia="仿宋_GB2312" w:cs="仿宋_GB2312"/>
              </w:rPr>
              <w:t>★</w:t>
            </w:r>
          </w:p>
        </w:tc>
        <w:tc>
          <w:tcPr>
            <w:tcW w:w="1495" w:type="dxa"/>
          </w:tcPr>
          <w:p w14:paraId="185A77A0">
            <w:pPr>
              <w:pStyle w:val="4"/>
              <w:jc w:val="left"/>
            </w:pPr>
            <w:r>
              <w:rPr>
                <w:rFonts w:ascii="仿宋_GB2312" w:hAnsi="仿宋_GB2312" w:eastAsia="仿宋_GB2312" w:cs="仿宋_GB2312"/>
              </w:rPr>
              <w:t>付款进度安排</w:t>
            </w:r>
          </w:p>
        </w:tc>
        <w:tc>
          <w:tcPr>
            <w:tcW w:w="5814" w:type="dxa"/>
          </w:tcPr>
          <w:p w14:paraId="0AC04DCC">
            <w:pPr>
              <w:pStyle w:val="4"/>
              <w:jc w:val="left"/>
            </w:pPr>
            <w:r>
              <w:rPr>
                <w:rFonts w:ascii="仿宋_GB2312" w:hAnsi="仿宋_GB2312" w:eastAsia="仿宋_GB2312" w:cs="仿宋_GB2312"/>
              </w:rPr>
              <w:t>1、自合同签订，供应商进场，且供应商提供完整有效完税发票后，，达到付款条件起30日内，支付合同总金额的40.00%</w:t>
            </w:r>
          </w:p>
          <w:p w14:paraId="5047C33C">
            <w:pPr>
              <w:pStyle w:val="4"/>
              <w:jc w:val="left"/>
            </w:pPr>
            <w:r>
              <w:rPr>
                <w:rFonts w:ascii="仿宋_GB2312" w:hAnsi="仿宋_GB2312" w:eastAsia="仿宋_GB2312" w:cs="仿宋_GB2312"/>
              </w:rPr>
              <w:t>2、所有软件完成安装调试、培训、上线，正式运行一个月后由采购人组织初步验收，初验合格且供应商提供完整有效完税发票后，达到付款条件起30日内，支付合同总金额的55.00%</w:t>
            </w:r>
          </w:p>
          <w:p w14:paraId="467410D2">
            <w:pPr>
              <w:pStyle w:val="4"/>
              <w:jc w:val="left"/>
            </w:pPr>
            <w:r>
              <w:rPr>
                <w:rFonts w:ascii="仿宋_GB2312" w:hAnsi="仿宋_GB2312" w:eastAsia="仿宋_GB2312" w:cs="仿宋_GB2312"/>
              </w:rPr>
              <w:t>3、初验三个月后进行终验，终验合格且供应商提供完整有效完税发票后，达到付款条件起30日内，支付合同总金额的5.00%</w:t>
            </w:r>
          </w:p>
        </w:tc>
      </w:tr>
      <w:tr w14:paraId="39012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4D670B">
            <w:pPr>
              <w:pStyle w:val="4"/>
              <w:jc w:val="center"/>
            </w:pPr>
            <w:r>
              <w:rPr>
                <w:rFonts w:ascii="仿宋_GB2312" w:hAnsi="仿宋_GB2312" w:eastAsia="仿宋_GB2312" w:cs="仿宋_GB2312"/>
              </w:rPr>
              <w:t>6</w:t>
            </w:r>
          </w:p>
        </w:tc>
        <w:tc>
          <w:tcPr>
            <w:tcW w:w="581" w:type="dxa"/>
          </w:tcPr>
          <w:p w14:paraId="1C26F72E">
            <w:pPr>
              <w:pStyle w:val="4"/>
              <w:jc w:val="center"/>
            </w:pPr>
            <w:r>
              <w:rPr>
                <w:rFonts w:ascii="仿宋_GB2312" w:hAnsi="仿宋_GB2312" w:eastAsia="仿宋_GB2312" w:cs="仿宋_GB2312"/>
              </w:rPr>
              <w:t>★</w:t>
            </w:r>
          </w:p>
        </w:tc>
        <w:tc>
          <w:tcPr>
            <w:tcW w:w="1495" w:type="dxa"/>
          </w:tcPr>
          <w:p w14:paraId="047ECE97">
            <w:pPr>
              <w:pStyle w:val="4"/>
              <w:jc w:val="left"/>
            </w:pPr>
            <w:r>
              <w:rPr>
                <w:rFonts w:ascii="仿宋_GB2312" w:hAnsi="仿宋_GB2312" w:eastAsia="仿宋_GB2312" w:cs="仿宋_GB2312"/>
              </w:rPr>
              <w:t>违约责任与解决争议的方法</w:t>
            </w:r>
          </w:p>
        </w:tc>
        <w:tc>
          <w:tcPr>
            <w:tcW w:w="5814" w:type="dxa"/>
          </w:tcPr>
          <w:p w14:paraId="73A78792">
            <w:pPr>
              <w:pStyle w:val="4"/>
              <w:jc w:val="left"/>
            </w:pPr>
            <w:r>
              <w:rPr>
                <w:rFonts w:ascii="仿宋_GB2312" w:hAnsi="仿宋_GB2312" w:eastAsia="仿宋_GB2312" w:cs="仿宋_GB2312"/>
              </w:rPr>
              <w:t>1.甲乙双方必须遵守本合同并执行合同中的各项规定，保证本合同的正常履行。 2.如因乙方工作人员在履行职务过程中的疏忽、失职、过错等故意或者过失原因给甲方造成损失或侵害，包括但不限于甲方本身的财产损失、由此而导致的甲方对任何第三方的法律责任等，乙方对此均应承担全部的赔偿责任。 3.在执行本合同中发生的或与本合同有关的争端，双方应通过友好协商解决，经协商不能达成协议时，应向甲方所在地的人民法院提起诉讼解决。</w:t>
            </w:r>
          </w:p>
        </w:tc>
      </w:tr>
    </w:tbl>
    <w:p w14:paraId="3D9BE012">
      <w:pPr>
        <w:pStyle w:val="4"/>
        <w:jc w:val="left"/>
        <w:outlineLvl w:val="2"/>
      </w:pPr>
      <w:r>
        <w:rPr>
          <w:rFonts w:ascii="仿宋_GB2312" w:hAnsi="仿宋_GB2312" w:eastAsia="仿宋_GB2312" w:cs="仿宋_GB2312"/>
          <w:b/>
          <w:sz w:val="28"/>
        </w:rPr>
        <w:t>3.4.其他要求</w:t>
      </w:r>
    </w:p>
    <w:p w14:paraId="59F032DC">
      <w:pPr>
        <w:pStyle w:val="4"/>
        <w:ind w:firstLine="480"/>
        <w:jc w:val="left"/>
      </w:pPr>
      <w:r>
        <w:rPr>
          <w:rFonts w:ascii="仿宋_GB2312" w:hAnsi="仿宋_GB2312" w:eastAsia="仿宋_GB2312" w:cs="仿宋_GB2312"/>
        </w:rPr>
        <w:t>采购包1：</w:t>
      </w:r>
    </w:p>
    <w:p w14:paraId="7649FAA9">
      <w:pPr>
        <w:pStyle w:val="4"/>
        <w:jc w:val="left"/>
      </w:pPr>
      <w:r>
        <w:rPr>
          <w:rFonts w:ascii="仿宋_GB2312" w:hAnsi="仿宋_GB2312" w:eastAsia="仿宋_GB2312" w:cs="仿宋_GB2312"/>
        </w:rPr>
        <w:t>1、供应商提供售后服务方案：①售后服务计划；②应急响应措施；③服务承诺；④培训计划。 2、供应商提供项目实施方案，包括：①项目进度计划；②质量控制与质量保证计划；③人员培训计划；④需求受理方案；⑤应急保障方案；⑥系统功能设计。 3、供应商根据自身情况提供有利于本项目实施的相关著作权。 4、供应商根据自身情况提供有利于本项目实施的类似业绩证明材料。 5、本招标文件中关联的相关格式，仅参考，投标供应商可根据实情况进行更改和增加。</w:t>
      </w:r>
    </w:p>
    <w:p w14:paraId="63C3572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41CDA"/>
    <w:rsid w:val="1C857F33"/>
    <w:rsid w:val="3D6C1D56"/>
    <w:rsid w:val="5212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2026-04-22T00:42:28Z</dcterms:created>
  <dc:creator>Administrator</dc:creator>
  <cp:lastModifiedBy>Administrator</cp:lastModifiedBy>
  <dcterms:modified xsi:type="dcterms:W3CDTF">2026-04-22T00:43:17Z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eyJoZGlkIjoiOTM1MzEwYTQ5MmU3OWQxZDMzNGFmYjFjNzdlOGQ1MDUiLCJ1c2VySWQiOiIxMzgwNTYwIn0=</vt:lpwstr>
  </property>
  <property fmtid="{D5CDD505-2E9C-101B-9397-08002B2CF9AE}" pid="4" name="ICV">
    <vt:lpwstr>9DFA6C704C7647B590A74B4E9E16CAC2_12</vt:lpwstr>
  </property>
</Properties>
</file>