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版本号：N511602202600005420260408001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食堂劳务承揽(二次)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N5116022026000054</w:t>
      </w:r>
    </w:p>
    <w:p>
      <w:pPr>
        <w:pStyle w:val="null3"/>
        <w:jc w:val="left"/>
        <w:outlineLvl w:val="2"/>
      </w:pPr>
      <w:r>
        <w:rPr>
          <w:rFonts w:ascii="仿宋_GB2312" w:hAnsi="仿宋_GB2312" w:cs="仿宋_GB2312" w:eastAsia="仿宋_GB2312"/>
          <w:sz w:val="28"/>
          <w:b/>
        </w:rPr>
        <w:t>广安市广安区妇幼保健计划生育服务中心</w:t>
      </w:r>
    </w:p>
    <w:p>
      <w:pPr>
        <w:pStyle w:val="null3"/>
        <w:jc w:val="center"/>
        <w:outlineLvl w:val="2"/>
      </w:pPr>
      <w:r>
        <w:rPr>
          <w:rFonts w:ascii="仿宋_GB2312" w:hAnsi="仿宋_GB2312" w:cs="仿宋_GB2312" w:eastAsia="仿宋_GB2312"/>
          <w:sz w:val="28"/>
          <w:b/>
        </w:rPr>
        <w:t>四川和信亦招标代理有限责任公司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四川和信亦招标代理有限责任公司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委托，拟对 </w:t>
      </w:r>
      <w:r>
        <w:rPr>
          <w:rFonts w:ascii="仿宋_GB2312" w:hAnsi="仿宋_GB2312" w:cs="仿宋_GB2312" w:eastAsia="仿宋_GB2312"/>
        </w:rPr>
        <w:t>食堂劳务承揽(二次)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广安市广安区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N5116022026000054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食堂劳务承揽(二次)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安区妇幼保健计划生育服务中心职工食堂劳务外包为人员及责任包干模式，我院作为业主单位，负责提供食材、劳动工具、厨房用具、厨房场地及水电气等基础运营条件，外包企业仅需按照要求派驻合格从业人员，承担全部人员管理及安全责任，无需承担任何运营物资成本。</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广安市广安区妇幼保健计划生育服务中心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广安市广安区凌云东路600号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15882559464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四川和信亦招标代理有限责任公司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四川省广安市华蓥市四川省广安市华蓥市双河街道办事处新华大道华蓥市商会大厦1栋1-14-1号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15351332352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服务费参照原国家计委计价格〔2002〕1980号和发改办价格〔2003〕857号文件的规定取费标准收取6000元。本磋商文件特别约定，招标代理服务费由成交供应商向招标代理机构支付（招标代理服务费收取时间为领取成交通知书前）。 收款单位：四川和信亦招标代理有限责任公司 开户银行：中国建设银行股份有限公司华蓥支行 开户行账号：5105 0174 7470 0000 0826 （注：本次采购项目成交的供应商在领取中标通知书后，招标代理服务费不予退还。）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和 </w:t>
      </w:r>
      <w:r>
        <w:rPr>
          <w:rFonts w:ascii="仿宋_GB2312" w:hAnsi="仿宋_GB2312" w:cs="仿宋_GB2312" w:eastAsia="仿宋_GB2312"/>
        </w:rPr>
        <w:t>四川和信亦招标代理有限责任公司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四川和信亦招标代理有限责任公司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供应商提出验收申请，每月15日前结算上月费用</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成交供应商与采购人应严格按照《财政部关于进一步加强政府采购需求和履约验收管理指导意见》（财库 【2016】205号）的要求进行履约，采购人将针对成交供应商制定严格的考核措施，必要时将邀请相关监督部门现场监督考核。</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四川和信亦招标代理有限责任公司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四川和信亦招标代理有限责任公司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联系人：赵女士</w:t>
      </w:r>
    </w:p>
    <w:p>
      <w:pPr>
        <w:pStyle w:val="null3"/>
        <w:jc w:val="left"/>
      </w:pPr>
      <w:r>
        <w:rPr>
          <w:rFonts w:ascii="仿宋_GB2312" w:hAnsi="仿宋_GB2312" w:cs="仿宋_GB2312" w:eastAsia="仿宋_GB2312"/>
        </w:rPr>
        <w:t>联系电话：15351332352</w:t>
      </w:r>
    </w:p>
    <w:p>
      <w:pPr>
        <w:pStyle w:val="null3"/>
        <w:jc w:val="left"/>
      </w:pPr>
      <w:r>
        <w:rPr>
          <w:rFonts w:ascii="仿宋_GB2312" w:hAnsi="仿宋_GB2312" w:cs="仿宋_GB2312" w:eastAsia="仿宋_GB2312"/>
        </w:rPr>
        <w:t>地址：四川省广安市华蓥市建设路66号荟景南苑东南门（荟景广场）</w:t>
      </w:r>
    </w:p>
    <w:p>
      <w:pPr>
        <w:pStyle w:val="null3"/>
        <w:jc w:val="left"/>
      </w:pPr>
      <w:r>
        <w:rPr>
          <w:rFonts w:ascii="仿宋_GB2312" w:hAnsi="仿宋_GB2312" w:cs="仿宋_GB2312" w:eastAsia="仿宋_GB2312"/>
        </w:rPr>
        <w:t>邮编：638600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390,000.00</w:t>
      </w:r>
    </w:p>
    <w:p>
      <w:pPr>
        <w:pStyle w:val="null3"/>
        <w:jc w:val="left"/>
      </w:pPr>
      <w:r>
        <w:rPr>
          <w:rFonts w:ascii="仿宋_GB2312" w:hAnsi="仿宋_GB2312" w:cs="仿宋_GB2312" w:eastAsia="仿宋_GB2312"/>
        </w:rPr>
        <w:t>采购包最高限价（元）: 370,500.00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食堂劳务承揽</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370,500.00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食堂劳务承揽</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标的名称：食堂劳务承揽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外包要求</w:t>
            </w:r>
          </w:p>
        </w:tc>
        <w:tc>
          <w:tcPr>
            <w:tcW w:type="dxa" w:w="5814"/>
          </w:tcPr>
          <w:p>
            <w:pPr>
              <w:pStyle w:val="null3"/>
              <w:jc w:val="left"/>
            </w:pPr>
            <w:r>
              <w:rPr>
                <w:rFonts w:ascii="仿宋_GB2312" w:hAnsi="仿宋_GB2312" w:cs="仿宋_GB2312" w:eastAsia="仿宋_GB2312"/>
              </w:rPr>
              <w:t>本次职工食堂劳务外包为人员及责任包干模式，我院作为业主单位，负责提供食材、劳动工具、厨房用具、厨房场地及水电气等基础运营条件，外包企业仅需按照要求派驻合格从业人员，承担全部人员管理及安全责任，无需承担任何运营物资成本。在确定中标商后,实行先试吃选定厨师团队，直到选定主厨及面点师人员后才签订正式合同，中标方在对参与试菜的主厨和面点师进行更换时，必须经过甲方同意方可更换。</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外包企业需派驻 1 名主厨、1 名副厨、1名面点师、3名服务员，共计 6 名从业人员，所有人员均需持有效健康证、相关岗位技能证书上岗，年龄要求男性≤55岁，女性原则上≤50岁。派驻人员负责食堂日常餐品加工制作、食材切配、窗口售餐、餐厅保洁、餐具清洗消毒、职工加班送盒饭等全部工作，同时需无条件配合临时调配，满足临时公务活动等单独用餐或盒饭保障需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费用及责任包干范围</w:t>
            </w:r>
          </w:p>
        </w:tc>
        <w:tc>
          <w:tcPr>
            <w:tcW w:type="dxa" w:w="5814"/>
          </w:tcPr>
          <w:p>
            <w:pPr>
              <w:pStyle w:val="null3"/>
              <w:jc w:val="left"/>
            </w:pPr>
            <w:r>
              <w:rPr>
                <w:rFonts w:ascii="仿宋_GB2312" w:hAnsi="仿宋_GB2312" w:cs="仿宋_GB2312" w:eastAsia="仿宋_GB2312"/>
              </w:rPr>
              <w:t>1.费用包干：采用年度包干制，预算总金额为 39万元（实际中标价低于该价格），该费用为全包价，包含派驻人员的薪酬、社会保险、人身意外伤害保险等全部人员相关费用，无任何额外增补项。我院作为公益一类医疗事业单位（全年365天均需上班），无节假日薪酬翻倍相关支付条款，外包人需自行统筹派驻人员的排班及薪酬分配，不得额外索要节假日加班费用。单独接待工作餐增量时，经协商后可补充合同约定加班费事宜。</w:t>
            </w:r>
            <w:r>
              <w:br/>
            </w:r>
            <w:r>
              <w:rPr>
                <w:rFonts w:ascii="仿宋_GB2312" w:hAnsi="仿宋_GB2312" w:cs="仿宋_GB2312" w:eastAsia="仿宋_GB2312"/>
              </w:rPr>
              <w:t xml:space="preserve"> 2.责任包干：外包人对派驻人员的劳动关系、社保缴纳、工伤意外、劳资纠纷等承担全部法律责任，如发生人员工伤、劳务仲裁等情况，均由外包企业独立处理并承担经济赔偿责任，与我院无涉。</w:t>
            </w:r>
            <w:r>
              <w:br/>
            </w:r>
            <w:r>
              <w:rPr>
                <w:rFonts w:ascii="仿宋_GB2312" w:hAnsi="仿宋_GB2312" w:cs="仿宋_GB2312" w:eastAsia="仿宋_GB2312"/>
              </w:rPr>
              <w:t xml:space="preserve"> 3.安全要求：外包人全权负责食堂运营期间的食品加工安全、生产操作安全，严格落实食材留样、餐具消毒、卫生消杀、设备规范操作等制度，承担因管理疏漏引发的食品安全事故、生产安全事故的全部责任及经济损失等。</w:t>
            </w:r>
            <w:r>
              <w:br/>
            </w:r>
            <w:r>
              <w:rPr>
                <w:rFonts w:ascii="仿宋_GB2312" w:hAnsi="仿宋_GB2312" w:cs="仿宋_GB2312" w:eastAsia="仿宋_GB2312"/>
              </w:rPr>
              <w:t xml:space="preserve"> 4.管理要求：外包公司需确定1名管理人员，加强对外包人员的管理，所有外包人需无条件接受我院的管理、监督与考核，严格遵守我院食堂管理相关规定，配合完成上级部门及我院组织的各类食品安全、卫生防疫检查工作，确保各项指标达标。</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单独接待等临时活动用餐保障要求</w:t>
            </w:r>
          </w:p>
        </w:tc>
        <w:tc>
          <w:tcPr>
            <w:tcW w:type="dxa" w:w="5814"/>
          </w:tcPr>
          <w:p>
            <w:pPr>
              <w:pStyle w:val="null3"/>
              <w:jc w:val="left"/>
            </w:pPr>
            <w:r>
              <w:rPr>
                <w:rFonts w:ascii="仿宋_GB2312" w:hAnsi="仿宋_GB2312" w:cs="仿宋_GB2312" w:eastAsia="仿宋_GB2312"/>
              </w:rPr>
              <w:t>针对临时活动等单独用餐或盒饭需求，外包人需无条件配合保障，按照我院指定的时间、标准、数量完成餐品制作与配送，相关食材成本由我院另行据实结算。可适当增加加班费（协商后补充合同约定）。</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考核约定</w:t>
            </w:r>
          </w:p>
        </w:tc>
        <w:tc>
          <w:tcPr>
            <w:tcW w:type="dxa" w:w="5814"/>
          </w:tcPr>
          <w:p>
            <w:pPr>
              <w:pStyle w:val="null3"/>
              <w:ind w:left="675" w:firstLine="324"/>
              <w:jc w:val="left"/>
            </w:pPr>
            <w:r>
              <w:rPr>
                <w:rFonts w:ascii="仿宋_GB2312" w:hAnsi="仿宋_GB2312" w:cs="仿宋_GB2312" w:eastAsia="仿宋_GB2312"/>
                <w:sz w:val="31"/>
                <w:color w:val="000000"/>
              </w:rPr>
              <w:t>为规范食堂管理，提升服务质量与食品安全保障水平，确保职工饮食健康，食堂全体工作人员实行月度考核，结果与劳务费用挂钩</w:t>
            </w:r>
            <w:r>
              <w:rPr>
                <w:rFonts w:ascii="仿宋_GB2312" w:hAnsi="仿宋_GB2312" w:cs="仿宋_GB2312" w:eastAsia="仿宋_GB2312"/>
                <w:sz w:val="31"/>
                <w:color w:val="000000"/>
              </w:rPr>
              <w:t>(</w:t>
            </w:r>
            <w:r>
              <w:rPr>
                <w:rFonts w:ascii="仿宋_GB2312" w:hAnsi="仿宋_GB2312" w:cs="仿宋_GB2312" w:eastAsia="仿宋_GB2312"/>
                <w:sz w:val="31"/>
                <w:color w:val="000000"/>
              </w:rPr>
              <w:t>考核表见附件</w:t>
            </w:r>
            <w:r>
              <w:rPr>
                <w:rFonts w:ascii="仿宋_GB2312" w:hAnsi="仿宋_GB2312" w:cs="仿宋_GB2312" w:eastAsia="仿宋_GB2312"/>
                <w:sz w:val="31"/>
                <w:color w:val="000000"/>
              </w:rPr>
              <w:t>).</w:t>
            </w:r>
          </w:p>
          <w:p>
            <w:pPr>
              <w:pStyle w:val="null3"/>
              <w:ind w:firstLine="976"/>
              <w:jc w:val="left"/>
            </w:pPr>
            <w:r>
              <w:rPr>
                <w:rFonts w:ascii="仿宋_GB2312" w:hAnsi="仿宋_GB2312" w:cs="仿宋_GB2312" w:eastAsia="仿宋_GB2312"/>
                <w:sz w:val="31"/>
                <w:b/>
                <w:color w:val="000000"/>
              </w:rPr>
              <w:t xml:space="preserve"> </w:t>
            </w:r>
            <w:r>
              <w:rPr>
                <w:rFonts w:ascii="仿宋_GB2312" w:hAnsi="仿宋_GB2312" w:cs="仿宋_GB2312" w:eastAsia="仿宋_GB2312"/>
                <w:sz w:val="31"/>
                <w:b/>
                <w:color w:val="000000"/>
              </w:rPr>
              <w:t>考核内容及评分标准（总分</w:t>
            </w:r>
            <w:r>
              <w:rPr>
                <w:rFonts w:ascii="仿宋_GB2312" w:hAnsi="仿宋_GB2312" w:cs="仿宋_GB2312" w:eastAsia="仿宋_GB2312"/>
                <w:sz w:val="31"/>
                <w:b/>
                <w:color w:val="000000"/>
              </w:rPr>
              <w:t>100</w:t>
            </w:r>
            <w:r>
              <w:rPr>
                <w:rFonts w:ascii="仿宋_GB2312" w:hAnsi="仿宋_GB2312" w:cs="仿宋_GB2312" w:eastAsia="仿宋_GB2312"/>
                <w:sz w:val="31"/>
                <w:b/>
                <w:color w:val="000000"/>
              </w:rPr>
              <w:t>分）</w:t>
            </w:r>
          </w:p>
          <w:tbl>
            <w:tblPr>
              <w:tblBorders>
                <w:top w:val="none" w:color="000000" w:sz="4"/>
                <w:left w:val="none" w:color="000000" w:sz="4"/>
                <w:bottom w:val="none" w:color="000000" w:sz="4"/>
                <w:right w:val="none" w:color="000000" w:sz="4"/>
                <w:insideH w:val="none"/>
                <w:insideV w:val="none"/>
              </w:tblBorders>
            </w:tblPr>
            <w:tblGrid>
              <w:gridCol w:w="502"/>
              <w:gridCol w:w="620"/>
              <w:gridCol w:w="1323"/>
              <w:gridCol w:w="1323"/>
              <w:gridCol w:w="502"/>
              <w:gridCol w:w="1328"/>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序号</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类别</w:t>
                  </w:r>
                </w:p>
              </w:tc>
              <w:tc>
                <w:tcPr>
                  <w:tcW w:type="dxa" w:w="26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考核项目</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分值</w:t>
                  </w:r>
                </w:p>
              </w:tc>
              <w:tc>
                <w:tcPr>
                  <w:tcW w:type="dxa" w:w="1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评分</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职业道德与服务态度</w:t>
                  </w:r>
                  <w:r>
                    <w:rPr>
                      <w:rFonts w:ascii="仿宋_GB2312" w:hAnsi="仿宋_GB2312" w:cs="仿宋_GB2312" w:eastAsia="仿宋_GB2312"/>
                      <w:sz w:val="21"/>
                      <w:color w:val="000000"/>
                    </w:rPr>
                    <w:t>20分</w:t>
                  </w: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爱岗敬业：服从工作安排，责任心强，无推诿、扯皮现象。</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服务意识：文明用语，态度和蔼，主动听取职工意见并及时反馈。</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出勤纪律：严格遵守上下班时间，不迟到、早退、旷工，请假程序规范。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食品安全与卫生规范</w:t>
                  </w:r>
                  <w:r>
                    <w:rPr>
                      <w:rFonts w:ascii="仿宋_GB2312" w:hAnsi="仿宋_GB2312" w:cs="仿宋_GB2312" w:eastAsia="仿宋_GB2312"/>
                      <w:sz w:val="21"/>
                      <w:color w:val="000000"/>
                    </w:rPr>
                    <w:t>40分</w:t>
                  </w: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个人卫生：持有效健康证上岗；工作时穿戴整洁统一的工作服、帽、口罩；勤洗手、剪指甲，不留长指甲、不涂指甲油、不佩戴饰物。</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环境卫生：每日清洁操作间、就餐区、餐具存放间等场所，保持地面、台面、墙壁干净无油污；垃圾做到</w:t>
                  </w:r>
                  <w:r>
                    <w:rPr>
                      <w:rFonts w:ascii="仿宋_GB2312" w:hAnsi="仿宋_GB2312" w:cs="仿宋_GB2312" w:eastAsia="仿宋_GB2312"/>
                      <w:sz w:val="21"/>
                      <w:color w:val="000000"/>
                    </w:rPr>
                    <w:t>“日产日清、分类处理”。</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食材管理：严格执行食材验收制度，杜绝采购、使用过期、变质、三无食品。生熟食品分开存放、加工，工具、容器标识清晰。</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餐具消毒：餐具、厨具严格按照</w:t>
                  </w:r>
                  <w:r>
                    <w:rPr>
                      <w:rFonts w:ascii="仿宋_GB2312" w:hAnsi="仿宋_GB2312" w:cs="仿宋_GB2312" w:eastAsia="仿宋_GB2312"/>
                      <w:sz w:val="21"/>
                      <w:color w:val="000000"/>
                    </w:rPr>
                    <w:t>“一洗、二清、三消毒、四保洁”的流程进行处理，消毒记录完整。</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菜品质量与制作规范</w:t>
                  </w:r>
                  <w:r>
                    <w:rPr>
                      <w:rFonts w:ascii="仿宋_GB2312" w:hAnsi="仿宋_GB2312" w:cs="仿宋_GB2312" w:eastAsia="仿宋_GB2312"/>
                      <w:sz w:val="21"/>
                      <w:color w:val="000000"/>
                    </w:rPr>
                    <w:t>25分</w:t>
                  </w: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菜品口味：确保菜品咸淡适宜，口味稳定，无夹生、异味等问题。</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菜品新鲜：保证菜品新鲜度，杜绝隔夜剩菜（特殊情况按规定处理）。</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营养搭配：合理搭配菜品，注重营养均衡，关注特殊饮食需求。</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成本控制与节约意识</w:t>
                  </w:r>
                  <w:r>
                    <w:rPr>
                      <w:rFonts w:ascii="仿宋_GB2312" w:hAnsi="仿宋_GB2312" w:cs="仿宋_GB2312" w:eastAsia="仿宋_GB2312"/>
                      <w:sz w:val="21"/>
                      <w:color w:val="000000"/>
                    </w:rPr>
                    <w:t>15分</w:t>
                  </w: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物料使用：严格控制食材损耗，杜绝浪费，合理利用边角料。</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能源节约：节约用水、用电、用气，人走灯灭，杜绝</w:t>
                  </w:r>
                  <w:r>
                    <w:rPr>
                      <w:rFonts w:ascii="仿宋_GB2312" w:hAnsi="仿宋_GB2312" w:cs="仿宋_GB2312" w:eastAsia="仿宋_GB2312"/>
                      <w:sz w:val="21"/>
                      <w:color w:val="000000"/>
                    </w:rPr>
                    <w:t>“长流水”。</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20"/>
                  <w:vMerge/>
                  <w:tcBorders>
                    <w:top w:val="none" w:color="000000" w:sz="4"/>
                    <w:left w:val="single" w:color="000000" w:sz="4"/>
                    <w:bottom w:val="single" w:color="000000" w:sz="4"/>
                    <w:right w:val="single" w:color="000000" w:sz="4"/>
                  </w:tcBorders>
                </w:tcPr>
                <w:p/>
              </w:tc>
              <w:tc>
                <w:tcPr>
                  <w:tcW w:type="dxa" w:w="2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r>
                    <w:rPr>
                      <w:rFonts w:ascii="仿宋_GB2312" w:hAnsi="仿宋_GB2312" w:cs="仿宋_GB2312" w:eastAsia="仿宋_GB2312"/>
                      <w:sz w:val="21"/>
                      <w:color w:val="000000"/>
                    </w:rPr>
                    <w:t>公物爱护：爱护食堂内所有设备设施，做好日常维护保养。</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合计</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100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承包公司人员签字</w:t>
                  </w:r>
                </w:p>
              </w:tc>
              <w:tc>
                <w:tcPr>
                  <w:tcW w:type="dxa" w:w="3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9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考核人员签字</w:t>
                  </w:r>
                </w:p>
              </w:tc>
              <w:tc>
                <w:tcPr>
                  <w:tcW w:type="dxa" w:w="3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考核时间</w:t>
                  </w:r>
                </w:p>
              </w:tc>
              <w:tc>
                <w:tcPr>
                  <w:tcW w:type="dxa" w:w="3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right="15"/>
                    <w:jc w:val="center"/>
                  </w:pPr>
                  <w:r>
                    <w:rPr>
                      <w:rFonts w:ascii="仿宋_GB2312" w:hAnsi="仿宋_GB2312" w:cs="仿宋_GB2312" w:eastAsia="仿宋_GB2312"/>
                      <w:sz w:val="21"/>
                      <w:color w:val="000000"/>
                    </w:rPr>
                    <w:t>2026年  月   日</w:t>
                  </w:r>
                </w:p>
              </w:tc>
            </w:tr>
          </w:tbl>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考核实施</w:t>
            </w:r>
          </w:p>
        </w:tc>
        <w:tc>
          <w:tcPr>
            <w:tcW w:type="dxa" w:w="5814"/>
          </w:tcPr>
          <w:p>
            <w:pPr>
              <w:pStyle w:val="null3"/>
              <w:jc w:val="left"/>
            </w:pPr>
            <w:r>
              <w:rPr>
                <w:rFonts w:ascii="仿宋_GB2312" w:hAnsi="仿宋_GB2312" w:cs="仿宋_GB2312" w:eastAsia="仿宋_GB2312"/>
              </w:rPr>
              <w:t>1. 成立考核小组：由后勤管理部门牵头，联合区卫健局、医保局、执法大队共同用餐并组成考核小组，负责日常检查与月度考核。</w:t>
            </w:r>
            <w:r>
              <w:br/>
            </w:r>
            <w:r>
              <w:rPr>
                <w:rFonts w:ascii="仿宋_GB2312" w:hAnsi="仿宋_GB2312" w:cs="仿宋_GB2312" w:eastAsia="仿宋_GB2312"/>
              </w:rPr>
              <w:t xml:space="preserve"> 2. 考核方式：采取日常巡查、随机抽查、定期检查、职工满意度测评相结合的方式进行。</w:t>
            </w:r>
            <w:r>
              <w:br/>
            </w:r>
            <w:r>
              <w:rPr>
                <w:rFonts w:ascii="仿宋_GB2312" w:hAnsi="仿宋_GB2312" w:cs="仿宋_GB2312" w:eastAsia="仿宋_GB2312"/>
              </w:rPr>
              <w:t xml:space="preserve"> 3. 评分办法：根据各项考核标准进行量化评分，得出月度考核总分。</w:t>
            </w:r>
            <w:r>
              <w:br/>
            </w:r>
            <w:r>
              <w:rPr>
                <w:rFonts w:ascii="仿宋_GB2312" w:hAnsi="仿宋_GB2312" w:cs="仿宋_GB2312" w:eastAsia="仿宋_GB2312"/>
              </w:rPr>
              <w:t xml:space="preserve"> 七、 考核结果运用。</w:t>
            </w:r>
            <w:r>
              <w:br/>
            </w:r>
            <w:r>
              <w:rPr>
                <w:rFonts w:ascii="仿宋_GB2312" w:hAnsi="仿宋_GB2312" w:cs="仿宋_GB2312" w:eastAsia="仿宋_GB2312"/>
              </w:rPr>
              <w:t xml:space="preserve"> 1. 优秀等次（90分及以上）：发放全额劳务外包服务费。</w:t>
            </w:r>
            <w:r>
              <w:br/>
            </w:r>
            <w:r>
              <w:rPr>
                <w:rFonts w:ascii="仿宋_GB2312" w:hAnsi="仿宋_GB2312" w:cs="仿宋_GB2312" w:eastAsia="仿宋_GB2312"/>
              </w:rPr>
              <w:t xml:space="preserve"> 2. 合格等次（80-89分）：拨付95％劳务费，针对扣分项目进行约谈整改。</w:t>
            </w:r>
            <w:r>
              <w:br/>
            </w:r>
            <w:r>
              <w:rPr>
                <w:rFonts w:ascii="仿宋_GB2312" w:hAnsi="仿宋_GB2312" w:cs="仿宋_GB2312" w:eastAsia="仿宋_GB2312"/>
              </w:rPr>
              <w:t xml:space="preserve"> 3. 基本合格等次（70-79分）：拨付90％劳务费，限期整改，并可以要求对相应的人员进行更换。</w:t>
            </w:r>
            <w:r>
              <w:br/>
            </w:r>
            <w:r>
              <w:rPr>
                <w:rFonts w:ascii="仿宋_GB2312" w:hAnsi="仿宋_GB2312" w:cs="仿宋_GB2312" w:eastAsia="仿宋_GB2312"/>
              </w:rPr>
              <w:t xml:space="preserve"> 4. 不合格等次（70分以下）：甲方有权终止合同，所有的相关责任由劳务外包服务公司自行负责并赔。</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用餐人数</w:t>
            </w:r>
          </w:p>
        </w:tc>
        <w:tc>
          <w:tcPr>
            <w:tcW w:type="dxa" w:w="5814"/>
          </w:tcPr>
          <w:p>
            <w:pPr>
              <w:pStyle w:val="null3"/>
              <w:jc w:val="left"/>
            </w:pPr>
            <w:r>
              <w:rPr>
                <w:rFonts w:ascii="仿宋_GB2312" w:hAnsi="仿宋_GB2312" w:cs="仿宋_GB2312" w:eastAsia="仿宋_GB2312"/>
              </w:rPr>
              <w:t>早餐:</w:t>
            </w:r>
            <w:r>
              <w:br/>
            </w:r>
            <w:r>
              <w:rPr>
                <w:rFonts w:ascii="仿宋_GB2312" w:hAnsi="仿宋_GB2312" w:cs="仿宋_GB2312" w:eastAsia="仿宋_GB2312"/>
              </w:rPr>
              <w:t xml:space="preserve"> 周一至周五每天约60人周六周日每天约20人</w:t>
            </w:r>
            <w:r>
              <w:br/>
            </w:r>
            <w:r>
              <w:rPr>
                <w:rFonts w:ascii="仿宋_GB2312" w:hAnsi="仿宋_GB2312" w:cs="仿宋_GB2312" w:eastAsia="仿宋_GB2312"/>
              </w:rPr>
              <w:t xml:space="preserve"> 午餐:</w:t>
            </w:r>
            <w:r>
              <w:br/>
            </w:r>
            <w:r>
              <w:rPr>
                <w:rFonts w:ascii="仿宋_GB2312" w:hAnsi="仿宋_GB2312" w:cs="仿宋_GB2312" w:eastAsia="仿宋_GB2312"/>
              </w:rPr>
              <w:t xml:space="preserve"> 周一至周五每天约130人周六周日每天约40人</w:t>
            </w:r>
            <w:r>
              <w:br/>
            </w:r>
            <w:r>
              <w:rPr>
                <w:rFonts w:ascii="仿宋_GB2312" w:hAnsi="仿宋_GB2312" w:cs="仿宋_GB2312" w:eastAsia="仿宋_GB2312"/>
              </w:rPr>
              <w:t xml:space="preserve"> 晚餐:</w:t>
            </w:r>
            <w:r>
              <w:br/>
            </w:r>
            <w:r>
              <w:rPr>
                <w:rFonts w:ascii="仿宋_GB2312" w:hAnsi="仿宋_GB2312" w:cs="仿宋_GB2312" w:eastAsia="仿宋_GB2312"/>
              </w:rPr>
              <w:t xml:space="preserve"> 周一至周五每天约40人周六周日每天约20人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自合同签订之日起365日，期满后考核合格可续签1年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采购人按照《广安市政府采购项目履约验收工作规程》(广市财采【2021】275号)要求进行约验收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1、进度款，一月一结，达到付款条件起10日内，据实结算说明为供应商于次月10日前开具有效票据，经采购人审核无误后，于该月20日前将货款拨付给供应商</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因投标人工作人员在履行职务过程中的的疏忽、失职、过错等故意或者过失原因给招标人造成损失或侵害，包括但不限于招标人本身的财产损失、由此而导致的招标人对任何第三方的法律责任等，投标人对此均应承担全部的赔偿责任。解决争议的方法：在执行本合同中发生的或与本合同有关的争端，双方应通过友好协商解决，经协商在30天内不能达成协议时，向项目所在地有管辖权 的人民法院提起诉讼。在诉讼期间，中标人不得停止服务，并应保证政府采购合同的 继续履行执行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第七章“拟签订采购合同文本”相关内容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磋商文件技术要求响应</w:t>
            </w:r>
          </w:p>
        </w:tc>
        <w:tc>
          <w:tcPr>
            <w:tcW w:type="dxa" w:w="3322"/>
          </w:tcPr>
          <w:p>
            <w:pPr>
              <w:pStyle w:val="null3"/>
              <w:jc w:val="left"/>
            </w:pPr>
            <w:r>
              <w:rPr>
                <w:rFonts w:ascii="仿宋_GB2312" w:hAnsi="仿宋_GB2312" w:cs="仿宋_GB2312" w:eastAsia="仿宋_GB2312"/>
              </w:rPr>
              <w:t>供应商对磋商文件的技术要求响应是否完全。</w:t>
            </w:r>
          </w:p>
        </w:tc>
        <w:tc>
          <w:tcPr>
            <w:tcW w:type="dxa" w:w="1661"/>
          </w:tcPr>
          <w:p>
            <w:pPr>
              <w:pStyle w:val="null3"/>
              <w:jc w:val="left"/>
            </w:pPr>
            <w:r>
              <w:rPr>
                <w:rFonts w:ascii="仿宋_GB2312" w:hAnsi="仿宋_GB2312" w:cs="仿宋_GB2312" w:eastAsia="仿宋_GB2312"/>
              </w:rPr>
              <w:t>供应商应提交的相关证明材料,技术要求应答表.docx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磋商文件商务要求及其他要求响应情况。</w:t>
            </w:r>
          </w:p>
        </w:tc>
        <w:tc>
          <w:tcPr>
            <w:tcW w:type="dxa" w:w="3322"/>
          </w:tcPr>
          <w:p>
            <w:pPr>
              <w:pStyle w:val="null3"/>
              <w:jc w:val="left"/>
            </w:pPr>
            <w:r>
              <w:rPr>
                <w:rFonts w:ascii="仿宋_GB2312" w:hAnsi="仿宋_GB2312" w:cs="仿宋_GB2312" w:eastAsia="仿宋_GB2312"/>
              </w:rPr>
              <w:t>供应商对磋商文件的商务要求及其他要求响应是否完全。</w:t>
            </w:r>
          </w:p>
        </w:tc>
        <w:tc>
          <w:tcPr>
            <w:tcW w:type="dxa" w:w="1661"/>
          </w:tcPr>
          <w:p>
            <w:pPr>
              <w:pStyle w:val="null3"/>
              <w:jc w:val="left"/>
            </w:pPr>
            <w:r>
              <w:rPr>
                <w:rFonts w:ascii="仿宋_GB2312" w:hAnsi="仿宋_GB2312" w:cs="仿宋_GB2312" w:eastAsia="仿宋_GB2312"/>
              </w:rPr>
              <w:t>人员配置.docx,食堂相关制度及管理.docx,工作流程方案.docx,类似项目业绩.docx,商务要求应答表.docx,食品安全与服务方案.docx,供应商应提交的相关证明材料,食材管理方案.docx,应急保障方案.docx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供应商具有类似项目业绩（2021年1月1日至递交响应文件截止日），每提供一个业绩得5分，本项最多得5分。 注：1、业绩须提供合同/协议书复印件或中标（成交）通知书复印件加盖供应商公章，未提供不得分。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派本项目服务人员中，每具有1个厨师证得2分，本项最多得4分。每具有1个食品安全管理人员证书得6分。同一个人同时具有厨师证与食品安全管理人员证，可以重复得分，最多得10分。提供相应证书扫描件以及食品安全管理人员证书在省级食品安全管理平台的查询截图，未按要求提供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食材管理方案</w:t>
            </w:r>
          </w:p>
        </w:tc>
        <w:tc>
          <w:tcPr>
            <w:tcW w:type="dxa" w:w="2575"/>
          </w:tcPr>
          <w:p>
            <w:pPr>
              <w:pStyle w:val="null3"/>
              <w:jc w:val="left"/>
            </w:pPr>
            <w:r>
              <w:rPr>
                <w:rFonts w:ascii="仿宋_GB2312" w:hAnsi="仿宋_GB2312" w:cs="仿宋_GB2312" w:eastAsia="仿宋_GB2312"/>
              </w:rPr>
              <w:t>①食材协助验收管理措施、②食材清洗措施、③食材存储措施、④食材日常取用管理制度。 供应商每响应一项得2.5分，满分得10分。每缺一项的扣2.5分；每一小项存在缺陷的扣1.5分。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食材管理方案.docx</w:t>
            </w:r>
          </w:p>
        </w:tc>
      </w:tr>
      <w:tr>
        <w:tc>
          <w:tcPr>
            <w:tcW w:type="dxa" w:w="831"/>
            <w:vMerge/>
          </w:tcPr>
          <w:p/>
        </w:tc>
        <w:tc>
          <w:tcPr>
            <w:tcW w:type="dxa" w:w="1661"/>
          </w:tcPr>
          <w:p>
            <w:pPr>
              <w:pStyle w:val="null3"/>
              <w:jc w:val="left"/>
            </w:pPr>
            <w:r>
              <w:rPr>
                <w:rFonts w:ascii="仿宋_GB2312" w:hAnsi="仿宋_GB2312" w:cs="仿宋_GB2312" w:eastAsia="仿宋_GB2312"/>
              </w:rPr>
              <w:t>食品安全与服务方案</w:t>
            </w:r>
          </w:p>
        </w:tc>
        <w:tc>
          <w:tcPr>
            <w:tcW w:type="dxa" w:w="2575"/>
          </w:tcPr>
          <w:p>
            <w:pPr>
              <w:pStyle w:val="null3"/>
              <w:jc w:val="left"/>
            </w:pPr>
            <w:r>
              <w:rPr>
                <w:rFonts w:ascii="仿宋_GB2312" w:hAnsi="仿宋_GB2312" w:cs="仿宋_GB2312" w:eastAsia="仿宋_GB2312"/>
              </w:rPr>
              <w:t>一、根据供应商提供的服务方案进行评分：方案包括（1）保障各项用餐需求具体措施；（2）总体服务措施；（3）成本控制的描述等内容，完全满足磋商文件要求及项目实际需求的得15分，每缺一项的扣5分；每有一项缺陷的扣3分，扣完为止。 (缺陷是指存在项目名称错误、地点区域错误、内容与本项目需求无关、方案内容矛盾、仅有框架或标题、适用的标准（方法）错误、明显复制其他项目内容等任意一种情形) 二、根据供应商提供的安全管理制度进行评分：制度包括（1）食品安全管理制度；（2）安全隐患排查制度；（3）食品留样制度；（4）清洗消毒保洁制度；（5）员工培训制度等全部内容；完全满足磋商文件要求及项目实际需求的得20分，每缺一项的扣4分；每有一项缺陷的扣2分，扣完为止。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食品安全与服务方案.docx</w:t>
            </w:r>
          </w:p>
        </w:tc>
      </w:tr>
      <w:tr>
        <w:tc>
          <w:tcPr>
            <w:tcW w:type="dxa" w:w="831"/>
            <w:vMerge/>
          </w:tcPr>
          <w:p/>
        </w:tc>
        <w:tc>
          <w:tcPr>
            <w:tcW w:type="dxa" w:w="1661"/>
          </w:tcPr>
          <w:p>
            <w:pPr>
              <w:pStyle w:val="null3"/>
              <w:jc w:val="left"/>
            </w:pPr>
            <w:r>
              <w:rPr>
                <w:rFonts w:ascii="仿宋_GB2312" w:hAnsi="仿宋_GB2312" w:cs="仿宋_GB2312" w:eastAsia="仿宋_GB2312"/>
              </w:rPr>
              <w:t>食堂相关制度及管理</w:t>
            </w:r>
          </w:p>
        </w:tc>
        <w:tc>
          <w:tcPr>
            <w:tcW w:type="dxa" w:w="2575"/>
          </w:tcPr>
          <w:p>
            <w:pPr>
              <w:pStyle w:val="null3"/>
              <w:jc w:val="left"/>
            </w:pPr>
            <w:r>
              <w:rPr>
                <w:rFonts w:ascii="仿宋_GB2312" w:hAnsi="仿宋_GB2312" w:cs="仿宋_GB2312" w:eastAsia="仿宋_GB2312"/>
              </w:rPr>
              <w:t>根据供应商提供的各岗位人员职责进行评分： 内容包括（1）岗位职责；（2）岗位考核管理；（3）岗位人员管理制度；（4）员工入职与离职流程。完全满足磋商文件要求及项目实际需求的得10分，每缺一项的扣2.5分:每有一项缺陷的扣1.5分，扣完为止。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食堂相关制度及管理.docx</w:t>
            </w:r>
          </w:p>
        </w:tc>
      </w:tr>
      <w:tr>
        <w:tc>
          <w:tcPr>
            <w:tcW w:type="dxa" w:w="831"/>
            <w:vMerge/>
          </w:tcPr>
          <w:p/>
        </w:tc>
        <w:tc>
          <w:tcPr>
            <w:tcW w:type="dxa" w:w="1661"/>
          </w:tcPr>
          <w:p>
            <w:pPr>
              <w:pStyle w:val="null3"/>
              <w:jc w:val="left"/>
            </w:pPr>
            <w:r>
              <w:rPr>
                <w:rFonts w:ascii="仿宋_GB2312" w:hAnsi="仿宋_GB2312" w:cs="仿宋_GB2312" w:eastAsia="仿宋_GB2312"/>
              </w:rPr>
              <w:t>工作流程方案</w:t>
            </w:r>
          </w:p>
        </w:tc>
        <w:tc>
          <w:tcPr>
            <w:tcW w:type="dxa" w:w="2575"/>
          </w:tcPr>
          <w:p>
            <w:pPr>
              <w:pStyle w:val="null3"/>
              <w:jc w:val="left"/>
            </w:pPr>
            <w:r>
              <w:rPr>
                <w:rFonts w:ascii="仿宋_GB2312" w:hAnsi="仿宋_GB2312" w:cs="仿宋_GB2312" w:eastAsia="仿宋_GB2312"/>
              </w:rPr>
              <w:t>根据供应商提供的工作流程方案进行评分：方案包括（1）制定科学营养的菜谱，并定期更新；（2）加工流程；（3）供餐流程；（4）各种事件上报流程；工作流程方案，完全满足磋商文件要求及项目实际需求的得 10分，每缺一项的扣2.5分:每有一项缺陷的扣1.5分，扣完为止。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工作流程方案.docx</w:t>
            </w:r>
          </w:p>
        </w:tc>
      </w:tr>
      <w:tr>
        <w:tc>
          <w:tcPr>
            <w:tcW w:type="dxa" w:w="831"/>
            <w:vMerge/>
          </w:tcPr>
          <w:p/>
        </w:tc>
        <w:tc>
          <w:tcPr>
            <w:tcW w:type="dxa" w:w="1661"/>
          </w:tcPr>
          <w:p>
            <w:pPr>
              <w:pStyle w:val="null3"/>
              <w:jc w:val="left"/>
            </w:pPr>
            <w:r>
              <w:rPr>
                <w:rFonts w:ascii="仿宋_GB2312" w:hAnsi="仿宋_GB2312" w:cs="仿宋_GB2312" w:eastAsia="仿宋_GB2312"/>
              </w:rPr>
              <w:t>应急保障方案</w:t>
            </w:r>
          </w:p>
        </w:tc>
        <w:tc>
          <w:tcPr>
            <w:tcW w:type="dxa" w:w="2575"/>
          </w:tcPr>
          <w:p>
            <w:pPr>
              <w:pStyle w:val="null3"/>
              <w:jc w:val="left"/>
            </w:pPr>
            <w:r>
              <w:rPr>
                <w:rFonts w:ascii="仿宋_GB2312" w:hAnsi="仿宋_GB2312" w:cs="仿宋_GB2312" w:eastAsia="仿宋_GB2312"/>
              </w:rPr>
              <w:t>根据供应商提供的应急方案进行评分： 应急方案包括（1）食品安全事件应急预案；（2）消防应急预案；（3）突发各类能源故障应急预案（①突然断水、②断电、③停气的应急预案）等各类应急预案，（4）临时增加用餐人员的保障措施 完全满足磋商文件要求及项目实际需求的得10分，每缺一项的扣2.5分:每有一项缺陷的扣1.5分，扣完为止。 (缺陷是指:缺陷是指存在项目名称错误、地点区域错误、内容与本项目需求无关、方案内容矛盾、仅有框架或标题、适用的标准（方法）错误、明显复制其他项目内容等任意一种情形)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应急保障方案.docx</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详见附件：类似项目业绩.docx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详见附件：食材管理方案.docx</w:t>
      </w:r>
    </w:p>
    <w:p>
      <w:pPr>
        <w:pStyle w:val="null3"/>
        <w:ind w:firstLine="960"/>
        <w:jc w:val="left"/>
      </w:pPr>
      <w:r>
        <w:rPr>
          <w:rFonts w:ascii="仿宋_GB2312" w:hAnsi="仿宋_GB2312" w:cs="仿宋_GB2312" w:eastAsia="仿宋_GB2312"/>
        </w:rPr>
        <w:t>详见附件：食品安全与服务方案.docx</w:t>
      </w:r>
    </w:p>
    <w:p>
      <w:pPr>
        <w:pStyle w:val="null3"/>
        <w:ind w:firstLine="960"/>
        <w:jc w:val="left"/>
      </w:pPr>
      <w:r>
        <w:rPr>
          <w:rFonts w:ascii="仿宋_GB2312" w:hAnsi="仿宋_GB2312" w:cs="仿宋_GB2312" w:eastAsia="仿宋_GB2312"/>
        </w:rPr>
        <w:t>详见附件：食堂相关制度及管理.docx</w:t>
      </w:r>
    </w:p>
    <w:p>
      <w:pPr>
        <w:pStyle w:val="null3"/>
        <w:ind w:firstLine="960"/>
        <w:jc w:val="left"/>
      </w:pPr>
      <w:r>
        <w:rPr>
          <w:rFonts w:ascii="仿宋_GB2312" w:hAnsi="仿宋_GB2312" w:cs="仿宋_GB2312" w:eastAsia="仿宋_GB2312"/>
        </w:rPr>
        <w:t>详见附件：工作流程方案.docx</w:t>
      </w:r>
    </w:p>
    <w:p>
      <w:pPr>
        <w:pStyle w:val="null3"/>
        <w:ind w:firstLine="960"/>
        <w:jc w:val="left"/>
      </w:pPr>
      <w:r>
        <w:rPr>
          <w:rFonts w:ascii="仿宋_GB2312" w:hAnsi="仿宋_GB2312" w:cs="仿宋_GB2312" w:eastAsia="仿宋_GB2312"/>
        </w:rPr>
        <w:t>详见附件：应急保障方案.docx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