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版本号：N510525202600006120260324001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2025年巩固拓展脱贫攻坚成果捐赠项目（第二批）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N5105252026000061</w:t>
      </w:r>
    </w:p>
    <w:p>
      <w:pPr>
        <w:pStyle w:val="null3"/>
        <w:jc w:val="left"/>
        <w:outlineLvl w:val="2"/>
      </w:pPr>
      <w:r>
        <w:rPr>
          <w:rFonts w:ascii="仿宋_GB2312" w:hAnsi="仿宋_GB2312" w:cs="仿宋_GB2312" w:eastAsia="仿宋_GB2312"/>
          <w:sz w:val="28"/>
          <w:b/>
        </w:rPr>
        <w:t>古蔺县东新镇人民政府</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古蔺县东新镇人民政府</w:t>
      </w:r>
      <w:r>
        <w:rPr>
          <w:rFonts w:ascii="仿宋_GB2312" w:hAnsi="仿宋_GB2312" w:cs="仿宋_GB2312" w:eastAsia="仿宋_GB2312"/>
        </w:rPr>
        <w:t xml:space="preserve"> 委托，拟对 </w:t>
      </w:r>
      <w:r>
        <w:rPr>
          <w:rFonts w:ascii="仿宋_GB2312" w:hAnsi="仿宋_GB2312" w:cs="仿宋_GB2312" w:eastAsia="仿宋_GB2312"/>
        </w:rPr>
        <w:t>2025年巩固拓展脱贫攻坚成果捐赠项目（第二批）</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N5105252026000061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2025年巩固拓展脱贫攻坚成果捐赠项目（第二批）</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本项目共1个包，采购体育设备设施一批。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允许分包（描述：1.本项目分包范围：设备设施的安装过程中涉及的工程安装部分（拆除、修复、找平、排水沟、升旗台）。针对工程安装部分（拆除、修复、找平、排水沟、升旗台），须具有有效期内的建筑工程施工总承包三级及以上资质和有效的安全生产许可证；如供应商具有以上资质证书的，须在响应文件中提供证书扫描件，如供应商不具备资质的，须承诺分包给具有资质的第三方公司进行履约（须在响应文件中单独提供承诺函，承诺函中须包含分包主体信息，其余格式自拟，未提供视为无效响应文件），且须提供第三方公司的建筑工程施工总承包三级及以上资质的证书及有效的安全生产许可证扫描件。工程安装部分（拆除、修复、找平、排水沟、升旗台）的费用占本项目总预算的比例≤20%。）</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古蔺县东新镇人民政府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古蔺县东新镇东新街村35号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0830-7630024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四川省泸州市古蔺县彰德街道环城路918号附1号-惜字苑2幢101号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19150899960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总中标金额作为计算基数，按差额定率票进法进行计算，并按以下费率标准(货物采购项目)进行收取，按收费标准计算后代理费用不足5000元的按500元计算:代理服务费向中标人收取:中标金额100万元以下，费率1.5%;中标金额100-500万元，费率1.1%:中标金额500-1000万元，费车0.8%:中标金额100-500万元，费率0.5%:中标金额5000-10000万元，费率0.25%;中标金额10000-100000万元，费率0.05%:中标金额100000万元以上，费率0.01%。收款单位：四川锦创全过程工程项目管理有限公司古蔺分公司；开户行：泸州银行股份有限公司古蔺支行；账号：9200003725387180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古蔺县东新镇人民政府</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古蔺县东新镇人民政府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1.本项目分包范围：设备设施的安装过程中涉及的工程安装部分（拆除、修复、找平、排水沟、升旗台）。针对工程安装部分（拆除、修复、找平、排水沟、升旗台），须具有有效期内的建筑工程施工总承包三级及以上资质和有效的安全生产许可证；如供应商具有以上资质证书的，须在响应文件中提供证书扫描件，如供应商不具备资质的，须承诺分包给具有资质的第三方公司进行履约（须在响应文件中单独提供承诺函，承诺函中须包含分包主体信息，其余格式自拟，未提供视为无效响应文件），且须提供第三方公司的建筑工程施工总承包三级及以上资质的证书及有效的安全生产许可证扫描件。工程安装部分（拆除、修复、找平、排水沟、升旗台）的费用占本项目总预算的比例≤20%。</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项目交货合格后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成立验收小组，按照技术要求、商务要求及供应商投标文件的约定对供应商履约情况进行验收。供应商在验收时须出具符合财政要求的绩效报告，同时须至少提供过程流程报告。验收时，按照采购合同的约定对每一项技术、服务、安全标准的履约情况进行确认。验收结束后，验收小组出具验收书，列明各项标准的验收情况及项目总体评价，由验收双方共同签署。验收结果应当与采购合同约定的资金支付返还条件保持一致。 （2）验收结果合格的，供应商凭验收报告办理相关手续；验收结果不合格的，将不予支付采购资金，还可能会报告本项目同级财政部门按照政府采购法律法规有关规定给予处理。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古蔺县东新镇人民政府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联系人：罗先生</w:t>
      </w:r>
    </w:p>
    <w:p>
      <w:pPr>
        <w:pStyle w:val="null3"/>
        <w:jc w:val="left"/>
      </w:pPr>
      <w:r>
        <w:rPr>
          <w:rFonts w:ascii="仿宋_GB2312" w:hAnsi="仿宋_GB2312" w:cs="仿宋_GB2312" w:eastAsia="仿宋_GB2312"/>
        </w:rPr>
        <w:t>联系电话：0830-7630024</w:t>
      </w:r>
    </w:p>
    <w:p>
      <w:pPr>
        <w:pStyle w:val="null3"/>
        <w:jc w:val="left"/>
      </w:pPr>
      <w:r>
        <w:rPr>
          <w:rFonts w:ascii="仿宋_GB2312" w:hAnsi="仿宋_GB2312" w:cs="仿宋_GB2312" w:eastAsia="仿宋_GB2312"/>
        </w:rPr>
        <w:t>地址：古蔺县东新镇东新街村35号</w:t>
      </w:r>
    </w:p>
    <w:p>
      <w:pPr>
        <w:pStyle w:val="null3"/>
        <w:jc w:val="left"/>
      </w:pPr>
      <w:r>
        <w:rPr>
          <w:rFonts w:ascii="仿宋_GB2312" w:hAnsi="仿宋_GB2312" w:cs="仿宋_GB2312" w:eastAsia="仿宋_GB2312"/>
        </w:rPr>
        <w:t>邮编：646502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联系电话：19150899960</w:t>
      </w:r>
    </w:p>
    <w:p>
      <w:pPr>
        <w:pStyle w:val="null3"/>
        <w:jc w:val="left"/>
      </w:pPr>
      <w:r>
        <w:rPr>
          <w:rFonts w:ascii="仿宋_GB2312" w:hAnsi="仿宋_GB2312" w:cs="仿宋_GB2312" w:eastAsia="仿宋_GB2312"/>
        </w:rPr>
        <w:t>地址：四川省泸州市古蔺县彰德街道环城路918号附1号-惜字苑2幢101号</w:t>
      </w:r>
    </w:p>
    <w:p>
      <w:pPr>
        <w:pStyle w:val="null3"/>
        <w:jc w:val="left"/>
      </w:pPr>
      <w:r>
        <w:rPr>
          <w:rFonts w:ascii="仿宋_GB2312" w:hAnsi="仿宋_GB2312" w:cs="仿宋_GB2312" w:eastAsia="仿宋_GB2312"/>
        </w:rPr>
        <w:t>邮编：646500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体育设备设施</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体育设备设施</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A02469900 其他体育设备设施</w:t>
            </w:r>
          </w:p>
        </w:tc>
        <w:tc>
          <w:tcPr>
            <w:tcW w:type="dxa" w:w="2492"/>
          </w:tcPr>
          <w:p>
            <w:pPr>
              <w:pStyle w:val="null3"/>
              <w:jc w:val="left"/>
            </w:pPr>
            <w:r>
              <w:rPr>
                <w:rFonts w:ascii="仿宋_GB2312" w:hAnsi="仿宋_GB2312" w:cs="仿宋_GB2312" w:eastAsia="仿宋_GB2312"/>
              </w:rPr>
              <w:t>体育设备设施</w:t>
            </w:r>
          </w:p>
        </w:tc>
        <w:tc>
          <w:tcPr>
            <w:tcW w:type="dxa" w:w="2492"/>
          </w:tcPr>
          <w:p>
            <w:pPr>
              <w:pStyle w:val="null3"/>
              <w:jc w:val="left"/>
            </w:pPr>
            <w:r>
              <w:rPr>
                <w:rFonts w:ascii="仿宋_GB2312" w:hAnsi="仿宋_GB2312" w:cs="仿宋_GB2312" w:eastAsia="仿宋_GB2312"/>
              </w:rPr>
              <w:t>跑道、运动场地、乒乓球场（塑胶）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A02469900 其他体育设备设施</w:t>
            </w:r>
          </w:p>
        </w:tc>
        <w:tc>
          <w:tcPr>
            <w:tcW w:type="dxa" w:w="2492"/>
          </w:tcPr>
          <w:p>
            <w:pPr>
              <w:pStyle w:val="null3"/>
              <w:jc w:val="left"/>
            </w:pPr>
            <w:r>
              <w:rPr>
                <w:rFonts w:ascii="仿宋_GB2312" w:hAnsi="仿宋_GB2312" w:cs="仿宋_GB2312" w:eastAsia="仿宋_GB2312"/>
              </w:rPr>
              <w:t>体育设备设施</w:t>
            </w:r>
          </w:p>
        </w:tc>
        <w:tc>
          <w:tcPr>
            <w:tcW w:type="dxa" w:w="2492"/>
          </w:tcPr>
          <w:p>
            <w:pPr>
              <w:pStyle w:val="null3"/>
              <w:jc w:val="left"/>
            </w:pPr>
            <w:r>
              <w:rPr>
                <w:rFonts w:ascii="仿宋_GB2312" w:hAnsi="仿宋_GB2312" w:cs="仿宋_GB2312" w:eastAsia="仿宋_GB2312"/>
              </w:rPr>
              <w:t>跑道、运动场地、乒乓球场（塑胶）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A02469900 其他体育设备设施</w:t>
            </w:r>
          </w:p>
        </w:tc>
        <w:tc>
          <w:tcPr>
            <w:tcW w:type="dxa" w:w="2492"/>
          </w:tcPr>
          <w:p>
            <w:pPr>
              <w:pStyle w:val="null3"/>
              <w:jc w:val="left"/>
            </w:pPr>
            <w:r>
              <w:rPr>
                <w:rFonts w:ascii="仿宋_GB2312" w:hAnsi="仿宋_GB2312" w:cs="仿宋_GB2312" w:eastAsia="仿宋_GB2312"/>
              </w:rPr>
              <w:t>体育设备设施</w:t>
            </w:r>
          </w:p>
        </w:tc>
        <w:tc>
          <w:tcPr>
            <w:tcW w:type="dxa" w:w="2492"/>
          </w:tcPr>
          <w:p>
            <w:pPr>
              <w:pStyle w:val="null3"/>
              <w:jc w:val="left"/>
            </w:pPr>
            <w:r>
              <w:rPr>
                <w:rFonts w:ascii="仿宋_GB2312" w:hAnsi="仿宋_GB2312" w:cs="仿宋_GB2312" w:eastAsia="仿宋_GB2312"/>
              </w:rPr>
              <w:t>标准篮球场（硅PU）</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A02469900 其他体育设备设施</w:t>
            </w:r>
          </w:p>
        </w:tc>
        <w:tc>
          <w:tcPr>
            <w:tcW w:type="dxa" w:w="2492"/>
          </w:tcPr>
          <w:p>
            <w:pPr>
              <w:pStyle w:val="null3"/>
              <w:jc w:val="left"/>
            </w:pPr>
            <w:r>
              <w:rPr>
                <w:rFonts w:ascii="仿宋_GB2312" w:hAnsi="仿宋_GB2312" w:cs="仿宋_GB2312" w:eastAsia="仿宋_GB2312"/>
              </w:rPr>
              <w:t>体育设备设施</w:t>
            </w:r>
          </w:p>
        </w:tc>
        <w:tc>
          <w:tcPr>
            <w:tcW w:type="dxa" w:w="2492"/>
          </w:tcPr>
          <w:p>
            <w:pPr>
              <w:pStyle w:val="null3"/>
              <w:jc w:val="left"/>
            </w:pPr>
            <w:r>
              <w:rPr>
                <w:rFonts w:ascii="仿宋_GB2312" w:hAnsi="仿宋_GB2312" w:cs="仿宋_GB2312" w:eastAsia="仿宋_GB2312"/>
              </w:rPr>
              <w:t>五人制足球场人造草</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A02469900 其他体育设备设施</w:t>
            </w:r>
          </w:p>
        </w:tc>
        <w:tc>
          <w:tcPr>
            <w:tcW w:type="dxa" w:w="2492"/>
          </w:tcPr>
          <w:p>
            <w:pPr>
              <w:pStyle w:val="null3"/>
              <w:jc w:val="left"/>
            </w:pPr>
            <w:r>
              <w:rPr>
                <w:rFonts w:ascii="仿宋_GB2312" w:hAnsi="仿宋_GB2312" w:cs="仿宋_GB2312" w:eastAsia="仿宋_GB2312"/>
              </w:rPr>
              <w:t>体育设备设施</w:t>
            </w:r>
          </w:p>
        </w:tc>
        <w:tc>
          <w:tcPr>
            <w:tcW w:type="dxa" w:w="2492"/>
          </w:tcPr>
          <w:p>
            <w:pPr>
              <w:pStyle w:val="null3"/>
              <w:jc w:val="left"/>
            </w:pPr>
            <w:r>
              <w:rPr>
                <w:rFonts w:ascii="仿宋_GB2312" w:hAnsi="仿宋_GB2312" w:cs="仿宋_GB2312" w:eastAsia="仿宋_GB2312"/>
              </w:rPr>
              <w:t>电缆保护管</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标的名称：体育设备设施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跑道、运动场地、乒乓球场（塑胶）</w:t>
            </w:r>
          </w:p>
          <w:p>
            <w:pPr>
              <w:pStyle w:val="null3"/>
              <w:jc w:val="both"/>
            </w:pPr>
            <w:r>
              <w:rPr>
                <w:rFonts w:ascii="仿宋_GB2312" w:hAnsi="仿宋_GB2312" w:cs="仿宋_GB2312" w:eastAsia="仿宋_GB2312"/>
                <w:sz w:val="21"/>
              </w:rPr>
              <w:t>1.混合型塑胶，总厚度≥13mm；</w:t>
            </w:r>
          </w:p>
          <w:p>
            <w:pPr>
              <w:pStyle w:val="null3"/>
              <w:jc w:val="both"/>
            </w:pPr>
            <w:r>
              <w:rPr>
                <w:rFonts w:ascii="仿宋_GB2312" w:hAnsi="仿宋_GB2312" w:cs="仿宋_GB2312" w:eastAsia="仿宋_GB2312"/>
                <w:sz w:val="21"/>
              </w:rPr>
              <w:t xml:space="preserve">2.底层采用环保型单组分聚氨酯防水底漆，铺设1:5配比EPDM橡胶颗粒（2～4mm）打底；面层采用混合型环保聚氨酯面胶，分1～2遍涂刷，撒布1～3mmEPDM彩色胶粒，并配套使用环保型催干剂；加药用级分散剂施工，环保水性漆画线。                                                  </w:t>
            </w:r>
          </w:p>
          <w:p>
            <w:pPr>
              <w:pStyle w:val="null3"/>
              <w:jc w:val="both"/>
            </w:pPr>
            <w:r>
              <w:rPr>
                <w:rFonts w:ascii="仿宋_GB2312" w:hAnsi="仿宋_GB2312" w:cs="仿宋_GB2312" w:eastAsia="仿宋_GB2312"/>
                <w:sz w:val="21"/>
              </w:rPr>
              <w:t>▲3.基本性能要求：</w:t>
            </w:r>
          </w:p>
          <w:p>
            <w:pPr>
              <w:pStyle w:val="null3"/>
              <w:jc w:val="both"/>
            </w:pPr>
            <w:r>
              <w:rPr>
                <w:rFonts w:ascii="仿宋_GB2312" w:hAnsi="仿宋_GB2312" w:cs="仿宋_GB2312" w:eastAsia="仿宋_GB2312"/>
                <w:sz w:val="21"/>
              </w:rPr>
              <w:t>3.1.大肠杆菌、金黄色葡萄球菌、肺炎克雷伯氏菌的抗菌性能在GB/T 31402-2023检测标准下，抗菌率均≥99.8%；</w:t>
            </w:r>
            <w:r>
              <w:rPr>
                <w:rFonts w:ascii="仿宋_GB2312" w:hAnsi="仿宋_GB2312" w:cs="仿宋_GB2312" w:eastAsia="仿宋_GB2312"/>
                <w:sz w:val="21"/>
                <w:b/>
              </w:rPr>
              <w:t>【提供国家认可的第三方检测机构出具检测报告扫描件】</w:t>
            </w:r>
          </w:p>
          <w:p>
            <w:pPr>
              <w:pStyle w:val="null3"/>
              <w:jc w:val="both"/>
            </w:pPr>
            <w:r>
              <w:rPr>
                <w:rFonts w:ascii="仿宋_GB2312" w:hAnsi="仿宋_GB2312" w:cs="仿宋_GB2312" w:eastAsia="仿宋_GB2312"/>
                <w:sz w:val="21"/>
              </w:rPr>
              <w:t>3.2.肠沙门氏菌肠亚种鼠伤寒血清型、福氏志贺菌、铜绿假单胞菌的抗菌性能在GB/T 31402-2023检测标准下，抗菌率均≥99.9%；</w:t>
            </w:r>
            <w:r>
              <w:rPr>
                <w:rFonts w:ascii="仿宋_GB2312" w:hAnsi="仿宋_GB2312" w:cs="仿宋_GB2312" w:eastAsia="仿宋_GB2312"/>
                <w:sz w:val="21"/>
                <w:b/>
              </w:rPr>
              <w:t>【提供国家认可的第三方检测机构出具检测报告扫描件】</w:t>
            </w:r>
          </w:p>
          <w:p>
            <w:pPr>
              <w:pStyle w:val="null3"/>
              <w:jc w:val="both"/>
            </w:pPr>
            <w:r>
              <w:rPr>
                <w:rFonts w:ascii="仿宋_GB2312" w:hAnsi="仿宋_GB2312" w:cs="仿宋_GB2312" w:eastAsia="仿宋_GB2312"/>
                <w:sz w:val="21"/>
              </w:rPr>
              <w:t>3.3.在模拟人工气候老化≥1000h（</w:t>
            </w:r>
            <w:r>
              <w:rPr>
                <w:rFonts w:ascii="仿宋_GB2312" w:hAnsi="仿宋_GB2312" w:cs="仿宋_GB2312" w:eastAsia="仿宋_GB2312"/>
                <w:sz w:val="21"/>
              </w:rPr>
              <w:t>依据</w:t>
            </w:r>
            <w:r>
              <w:rPr>
                <w:rFonts w:ascii="仿宋_GB2312" w:hAnsi="仿宋_GB2312" w:cs="仿宋_GB2312" w:eastAsia="仿宋_GB2312"/>
                <w:sz w:val="21"/>
              </w:rPr>
              <w:t>GB/T 16422.3-2022</w:t>
            </w:r>
            <w:r>
              <w:rPr>
                <w:rFonts w:ascii="仿宋_GB2312" w:hAnsi="仿宋_GB2312" w:cs="仿宋_GB2312" w:eastAsia="仿宋_GB2312"/>
                <w:sz w:val="21"/>
              </w:rPr>
              <w:t>：</w:t>
            </w:r>
            <w:r>
              <w:rPr>
                <w:rFonts w:ascii="仿宋_GB2312" w:hAnsi="仿宋_GB2312" w:cs="仿宋_GB2312" w:eastAsia="仿宋_GB2312"/>
                <w:sz w:val="21"/>
              </w:rPr>
              <w:t>“荧光紫外灯"≥500h+GB/T 16422.2-2022：“氙弧灯”≥500h）条件下，无起泡、开裂、分层、脱落异常现象；</w:t>
            </w:r>
            <w:r>
              <w:rPr>
                <w:rFonts w:ascii="仿宋_GB2312" w:hAnsi="仿宋_GB2312" w:cs="仿宋_GB2312" w:eastAsia="仿宋_GB2312"/>
                <w:sz w:val="21"/>
                <w:b/>
              </w:rPr>
              <w:t>【提供国家认可的第三方检测机构出具检测报告扫描件】</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标准篮球场（硅</w:t>
            </w:r>
            <w:r>
              <w:rPr>
                <w:rFonts w:ascii="仿宋_GB2312" w:hAnsi="仿宋_GB2312" w:cs="仿宋_GB2312" w:eastAsia="仿宋_GB2312"/>
                <w:sz w:val="21"/>
                <w:b/>
              </w:rPr>
              <w:t>PU）</w:t>
            </w:r>
          </w:p>
          <w:p>
            <w:pPr>
              <w:pStyle w:val="null3"/>
              <w:jc w:val="both"/>
            </w:pPr>
            <w:r>
              <w:rPr>
                <w:rFonts w:ascii="仿宋_GB2312" w:hAnsi="仿宋_GB2312" w:cs="仿宋_GB2312" w:eastAsia="仿宋_GB2312"/>
                <w:sz w:val="21"/>
              </w:rPr>
              <w:t xml:space="preserve">1.水性环保硅PU球场材料，厚度≥6mm。                                                        </w:t>
            </w:r>
          </w:p>
          <w:p>
            <w:pPr>
              <w:pStyle w:val="null3"/>
              <w:jc w:val="both"/>
            </w:pPr>
            <w:r>
              <w:rPr>
                <w:rFonts w:ascii="仿宋_GB2312" w:hAnsi="仿宋_GB2312" w:cs="仿宋_GB2312" w:eastAsia="仿宋_GB2312"/>
                <w:sz w:val="21"/>
              </w:rPr>
              <w:t xml:space="preserve">2.底涂环保型单组分防水底涂；加强层：采用硅PU加强层（配比 1:4）；界面处理：环保型界面剂、药用级分散剂；面层：水性环保面漆；划线：环保划线漆。                                                                                                   </w:t>
            </w:r>
          </w:p>
          <w:p>
            <w:pPr>
              <w:pStyle w:val="null3"/>
              <w:jc w:val="both"/>
            </w:pPr>
            <w:r>
              <w:rPr>
                <w:rFonts w:ascii="仿宋_GB2312" w:hAnsi="仿宋_GB2312" w:cs="仿宋_GB2312" w:eastAsia="仿宋_GB2312"/>
                <w:sz w:val="21"/>
              </w:rPr>
              <w:t>▲3.基本性能要求：</w:t>
            </w:r>
          </w:p>
          <w:p>
            <w:pPr>
              <w:pStyle w:val="null3"/>
              <w:jc w:val="both"/>
            </w:pPr>
            <w:r>
              <w:rPr>
                <w:rFonts w:ascii="仿宋_GB2312" w:hAnsi="仿宋_GB2312" w:cs="仿宋_GB2312" w:eastAsia="仿宋_GB2312"/>
                <w:sz w:val="21"/>
              </w:rPr>
              <w:t>3.1.大肠杆菌、金黄色葡萄球菌、肺炎克雷伯氏菌、肠沙门氏菌肠亚种鼠伤寒血清型、福氏志贺菌的抗菌性能在GB/T 31402-2023检测标准下，抗菌率均≥99.8%；</w:t>
            </w:r>
            <w:r>
              <w:rPr>
                <w:rFonts w:ascii="仿宋_GB2312" w:hAnsi="仿宋_GB2312" w:cs="仿宋_GB2312" w:eastAsia="仿宋_GB2312"/>
                <w:sz w:val="21"/>
                <w:b/>
              </w:rPr>
              <w:t>【提供国家认可的第三方检测机构出具检测报告扫描件】</w:t>
            </w:r>
          </w:p>
          <w:p>
            <w:pPr>
              <w:pStyle w:val="null3"/>
              <w:jc w:val="both"/>
            </w:pPr>
            <w:r>
              <w:rPr>
                <w:rFonts w:ascii="仿宋_GB2312" w:hAnsi="仿宋_GB2312" w:cs="仿宋_GB2312" w:eastAsia="仿宋_GB2312"/>
                <w:sz w:val="21"/>
              </w:rPr>
              <w:t>3.2.肠道病毒71型的抗病毒性能在GB/T 43355-2023检测标准下，抗病毒活性率≥95%；</w:t>
            </w:r>
            <w:r>
              <w:rPr>
                <w:rFonts w:ascii="仿宋_GB2312" w:hAnsi="仿宋_GB2312" w:cs="仿宋_GB2312" w:eastAsia="仿宋_GB2312"/>
                <w:sz w:val="21"/>
                <w:b/>
              </w:rPr>
              <w:t>【提供国家认可的第三方检测机构出具检测报告扫描件】</w:t>
            </w:r>
          </w:p>
          <w:p>
            <w:pPr>
              <w:pStyle w:val="null3"/>
              <w:jc w:val="both"/>
            </w:pPr>
            <w:r>
              <w:rPr>
                <w:rFonts w:ascii="仿宋_GB2312" w:hAnsi="仿宋_GB2312" w:cs="仿宋_GB2312" w:eastAsia="仿宋_GB2312"/>
                <w:sz w:val="21"/>
              </w:rPr>
              <w:t>3.3.依据GB/T 16422.3-2022，在荧光紫外老化照射≥500h后，无开裂、无分层、无变色、无粉化、无脱落现象；</w:t>
            </w:r>
            <w:r>
              <w:rPr>
                <w:rFonts w:ascii="仿宋_GB2312" w:hAnsi="仿宋_GB2312" w:cs="仿宋_GB2312" w:eastAsia="仿宋_GB2312"/>
                <w:sz w:val="21"/>
                <w:b/>
              </w:rPr>
              <w:t>【提供国家认可的第三方检测机构出具检测报告扫描件】</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五人制足球场人造草</w:t>
            </w:r>
          </w:p>
          <w:p>
            <w:pPr>
              <w:pStyle w:val="null3"/>
              <w:jc w:val="both"/>
            </w:pPr>
            <w:r>
              <w:rPr>
                <w:rFonts w:ascii="仿宋_GB2312" w:hAnsi="仿宋_GB2312" w:cs="仿宋_GB2312" w:eastAsia="仿宋_GB2312"/>
                <w:sz w:val="21"/>
              </w:rPr>
              <w:t>1.产品类型：足球场人造草；草丝类型：加茎单丝草；草丝高度：50mm（±3mm）；草丝密度：≥10800簇/㎡；草丝磅重：≥8800D；颜色：田野绿+果绿+白色；</w:t>
            </w:r>
          </w:p>
          <w:p>
            <w:pPr>
              <w:pStyle w:val="null3"/>
              <w:jc w:val="both"/>
            </w:pPr>
            <w:r>
              <w:rPr>
                <w:rFonts w:ascii="仿宋_GB2312" w:hAnsi="仿宋_GB2312" w:cs="仿宋_GB2312" w:eastAsia="仿宋_GB2312"/>
                <w:sz w:val="21"/>
              </w:rPr>
              <w:t xml:space="preserve">2.底部结构：PP+网格加筋；使用粒径1—4mm、用量：4～6 kg/㎡的天然橡胶颗粒；使用粒径26—40目、用量：23～26kg/㎡的石英砂进行填充；                                         </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3.环保要求：所投产品需满足</w:t>
            </w:r>
            <w:r>
              <w:rPr>
                <w:rFonts w:ascii="仿宋_GB2312" w:hAnsi="仿宋_GB2312" w:cs="仿宋_GB2312" w:eastAsia="仿宋_GB2312"/>
                <w:sz w:val="21"/>
              </w:rPr>
              <w:t>GB 36246-2018</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篮球架</w:t>
            </w:r>
          </w:p>
          <w:p>
            <w:pPr>
              <w:pStyle w:val="null3"/>
              <w:jc w:val="both"/>
            </w:pPr>
            <w:r>
              <w:rPr>
                <w:rFonts w:ascii="仿宋_GB2312" w:hAnsi="仿宋_GB2312" w:cs="仿宋_GB2312" w:eastAsia="仿宋_GB2312"/>
                <w:sz w:val="21"/>
              </w:rPr>
              <w:t>1.篮球架伸臂长度：2.25m，篮圈上沿离地高度3.05m。</w:t>
            </w:r>
          </w:p>
          <w:p>
            <w:pPr>
              <w:pStyle w:val="null3"/>
              <w:jc w:val="both"/>
            </w:pPr>
            <w:r>
              <w:rPr>
                <w:rFonts w:ascii="仿宋_GB2312" w:hAnsi="仿宋_GB2312" w:cs="仿宋_GB2312" w:eastAsia="仿宋_GB2312"/>
                <w:sz w:val="21"/>
              </w:rPr>
              <w:t>2.立柱采用≥180×180×4mm大圆角方管制作，圆角≥R40mm，配备立柱防护装饰罩。</w:t>
            </w:r>
          </w:p>
          <w:p>
            <w:pPr>
              <w:pStyle w:val="null3"/>
              <w:jc w:val="both"/>
            </w:pPr>
            <w:r>
              <w:rPr>
                <w:rFonts w:ascii="仿宋_GB2312" w:hAnsi="仿宋_GB2312" w:cs="仿宋_GB2312" w:eastAsia="仿宋_GB2312"/>
                <w:sz w:val="21"/>
              </w:rPr>
              <w:t>3.采用≥δ3mm钢板一次冲压折边成型；固定孔配内置焊接螺母。</w:t>
            </w:r>
          </w:p>
          <w:p>
            <w:pPr>
              <w:pStyle w:val="null3"/>
              <w:jc w:val="both"/>
            </w:pPr>
            <w:r>
              <w:rPr>
                <w:rFonts w:ascii="仿宋_GB2312" w:hAnsi="仿宋_GB2312" w:cs="仿宋_GB2312" w:eastAsia="仿宋_GB2312"/>
                <w:sz w:val="21"/>
              </w:rPr>
              <w:t xml:space="preserve">4.可通过拉杆调节篮板平面度、垂直度及篮圈水平度；上拉杆：≥Φ48×2mm 圆管一次弯制成型；后拉杆：≥50×40×3mm 方管一次弯制成型；法兰采用≥350×350×27mm大圆角冲压件，≥5孔固定（远离场地侧3孔）；预埋件总长≥550mm，配 M18螺纹圆钢与冲扁加固结构，现场组装预埋。                            </w:t>
            </w:r>
          </w:p>
          <w:p>
            <w:pPr>
              <w:pStyle w:val="null3"/>
              <w:jc w:val="both"/>
            </w:pPr>
            <w:r>
              <w:rPr>
                <w:rFonts w:ascii="仿宋_GB2312" w:hAnsi="仿宋_GB2312" w:cs="仿宋_GB2312" w:eastAsia="仿宋_GB2312"/>
                <w:sz w:val="21"/>
              </w:rPr>
              <w:t>5.篮板规格：篮板尺寸1800mm×1050mm，篮板配用玻璃篮板，并在篮板下沿及侧面覆盖有保护条。</w:t>
            </w:r>
          </w:p>
          <w:p>
            <w:pPr>
              <w:pStyle w:val="null3"/>
              <w:jc w:val="both"/>
            </w:pPr>
            <w:r>
              <w:rPr>
                <w:rFonts w:ascii="仿宋_GB2312" w:hAnsi="仿宋_GB2312" w:cs="仿宋_GB2312" w:eastAsia="仿宋_GB2312"/>
                <w:sz w:val="21"/>
              </w:rPr>
              <w:t xml:space="preserve">6.篮圈采用φ17实心圆钢制作，实心圆钢制作，配冲压网钩与标准篮网。                                            </w:t>
            </w:r>
            <w:r>
              <w:rPr>
                <w:rFonts w:ascii="仿宋_GB2312" w:hAnsi="仿宋_GB2312" w:cs="仿宋_GB2312" w:eastAsia="仿宋_GB2312"/>
                <w:sz w:val="24"/>
              </w:rPr>
              <w:t>★</w:t>
            </w:r>
            <w:r>
              <w:rPr>
                <w:rFonts w:ascii="仿宋_GB2312" w:hAnsi="仿宋_GB2312" w:cs="仿宋_GB2312" w:eastAsia="仿宋_GB2312"/>
                <w:sz w:val="21"/>
              </w:rPr>
              <w:t>7.紧固件与表面处理：所有紧固件采用热镀锌处理；表面经全自动静电粉末喷涂：抛丸→脱脂→无磷转化→静电喷粉→高温固化；涂层耐酸碱、抗老化、无有毒有害物质，适用于潮湿及酸雨环境。</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足球门</w:t>
            </w:r>
          </w:p>
          <w:p>
            <w:pPr>
              <w:pStyle w:val="null3"/>
              <w:jc w:val="both"/>
            </w:pPr>
            <w:r>
              <w:rPr>
                <w:rFonts w:ascii="仿宋_GB2312" w:hAnsi="仿宋_GB2312" w:cs="仿宋_GB2312" w:eastAsia="仿宋_GB2312"/>
                <w:sz w:val="21"/>
              </w:rPr>
              <w:t>1.标准五人制足球门。</w:t>
            </w:r>
          </w:p>
          <w:p>
            <w:pPr>
              <w:pStyle w:val="null3"/>
              <w:jc w:val="both"/>
            </w:pPr>
            <w:r>
              <w:rPr>
                <w:rFonts w:ascii="仿宋_GB2312" w:hAnsi="仿宋_GB2312" w:cs="仿宋_GB2312" w:eastAsia="仿宋_GB2312"/>
                <w:sz w:val="21"/>
              </w:rPr>
              <w:t>2.尺寸：3*2*1.4米。</w:t>
            </w:r>
          </w:p>
          <w:p>
            <w:pPr>
              <w:pStyle w:val="null3"/>
              <w:jc w:val="both"/>
            </w:pPr>
            <w:r>
              <w:rPr>
                <w:rFonts w:ascii="仿宋_GB2312" w:hAnsi="仿宋_GB2312" w:cs="仿宋_GB2312" w:eastAsia="仿宋_GB2312"/>
                <w:sz w:val="21"/>
              </w:rPr>
              <w:t>3.门柱、横梁采用≥Φ114mm 镀锌钢管制作，管壁厚度≥2.5mm。工艺：表面处理采用静电粉末喷涂工艺，涂层均匀、附着力强；喷涂材料环保无味，无刺激性气味。</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乒乓球台</w:t>
            </w:r>
          </w:p>
          <w:p>
            <w:pPr>
              <w:pStyle w:val="null3"/>
              <w:jc w:val="both"/>
            </w:pPr>
            <w:r>
              <w:rPr>
                <w:rFonts w:ascii="仿宋_GB2312" w:hAnsi="仿宋_GB2312" w:cs="仿宋_GB2312" w:eastAsia="仿宋_GB2312"/>
                <w:sz w:val="21"/>
              </w:rPr>
              <w:t>1.整体尺寸：2740mm（长）×1525mm（宽），误差≤±3mm。台面高度：为 760mm，误差≤±3mm。桌面材质：SMC台面；面板厚度：≥50mm。</w:t>
            </w:r>
          </w:p>
          <w:p>
            <w:pPr>
              <w:pStyle w:val="null3"/>
              <w:jc w:val="both"/>
            </w:pPr>
            <w:r>
              <w:rPr>
                <w:rFonts w:ascii="仿宋_GB2312" w:hAnsi="仿宋_GB2312" w:cs="仿宋_GB2312" w:eastAsia="仿宋_GB2312"/>
                <w:sz w:val="21"/>
              </w:rPr>
              <w:t>2.台面工艺：台面与边框一体成型设计，无拼接缝隙，平整度高；支撑结构：底框配备纵横弧形钢结构加强支撑，增强整体稳固性；球桌腿：采用高强度钢材制作，结构坚固，抗变形、耐用性强；配套配件：配备 金属网架，稳固不松动。</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双杠</w:t>
            </w:r>
          </w:p>
          <w:p>
            <w:pPr>
              <w:pStyle w:val="null3"/>
              <w:jc w:val="both"/>
            </w:pPr>
            <w:r>
              <w:rPr>
                <w:rFonts w:ascii="仿宋_GB2312" w:hAnsi="仿宋_GB2312" w:cs="仿宋_GB2312" w:eastAsia="仿宋_GB2312"/>
                <w:sz w:val="21"/>
              </w:rPr>
              <w:t>1.整体规格：260cm（长）×55cm（杠间距）×140cm（高度）。主体管材：采用≥Φ114mm 镀锌钢管制作，管壁厚度≥2.50mm。表面采用静电粉末喷涂处理。</w:t>
            </w:r>
          </w:p>
          <w:p>
            <w:pPr>
              <w:pStyle w:val="null3"/>
              <w:jc w:val="both"/>
            </w:pPr>
            <w:r>
              <w:rPr>
                <w:rFonts w:ascii="仿宋_GB2312" w:hAnsi="仿宋_GB2312" w:cs="仿宋_GB2312" w:eastAsia="仿宋_GB2312"/>
                <w:sz w:val="21"/>
              </w:rPr>
              <w:t xml:space="preserve">2.工艺要求：喷涂粉末添加抗紫外线稳定剂。   </w:t>
            </w:r>
          </w:p>
          <w:p>
            <w:pPr>
              <w:pStyle w:val="null3"/>
              <w:jc w:val="both"/>
            </w:pPr>
            <w:r>
              <w:rPr>
                <w:rFonts w:ascii="仿宋_GB2312" w:hAnsi="仿宋_GB2312" w:cs="仿宋_GB2312" w:eastAsia="仿宋_GB2312"/>
                <w:sz w:val="21"/>
              </w:rPr>
              <w:t>3.表面处理质量需符合GB/T 10125-2021、GB/T 6461-2002相关检验检测要求。</w:t>
            </w:r>
            <w:r>
              <w:rPr>
                <w:rFonts w:ascii="仿宋_GB2312" w:hAnsi="仿宋_GB2312" w:cs="仿宋_GB2312" w:eastAsia="仿宋_GB2312"/>
                <w:sz w:val="21"/>
                <w:b/>
              </w:rPr>
              <w:t>（在投标文件中单独提供承诺函）</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双位单杠</w:t>
            </w:r>
          </w:p>
          <w:p>
            <w:pPr>
              <w:pStyle w:val="null3"/>
              <w:jc w:val="both"/>
            </w:pPr>
            <w:r>
              <w:rPr>
                <w:rFonts w:ascii="仿宋_GB2312" w:hAnsi="仿宋_GB2312" w:cs="仿宋_GB2312" w:eastAsia="仿宋_GB2312"/>
                <w:sz w:val="21"/>
              </w:rPr>
              <w:t>1.整体规格：240cm（长）×12cm（杠径）×240cm（高度）；主体管材：采用≥Φ114mm 镀锌钢管制作，管壁厚度≥2.50mm，镀锌层均匀致密，附着力强，有效提升防锈性能。表面工艺：采用静电粉末喷涂处理，涂层均匀光滑，无流挂、针孔、气泡、脱落等缺陷，附着力强；</w:t>
            </w:r>
          </w:p>
          <w:p>
            <w:pPr>
              <w:pStyle w:val="null3"/>
              <w:jc w:val="both"/>
            </w:pPr>
            <w:r>
              <w:rPr>
                <w:rFonts w:ascii="仿宋_GB2312" w:hAnsi="仿宋_GB2312" w:cs="仿宋_GB2312" w:eastAsia="仿宋_GB2312"/>
                <w:sz w:val="21"/>
              </w:rPr>
              <w:t>2.抗褪色要求：喷涂粉末添加抗紫外线稳定剂，表面处理质量需符合GB/T 10125-2021、GB/T 6461-2002相关检验检测要求。</w:t>
            </w:r>
          </w:p>
          <w:p>
            <w:pPr>
              <w:pStyle w:val="null3"/>
              <w:jc w:val="both"/>
            </w:pPr>
            <w:r>
              <w:rPr>
                <w:rFonts w:ascii="仿宋_GB2312" w:hAnsi="仿宋_GB2312" w:cs="仿宋_GB2312" w:eastAsia="仿宋_GB2312"/>
                <w:sz w:val="21"/>
                <w:b/>
              </w:rPr>
              <w:t>9</w:t>
            </w:r>
            <w:r>
              <w:rPr>
                <w:rFonts w:ascii="仿宋_GB2312" w:hAnsi="仿宋_GB2312" w:cs="仿宋_GB2312" w:eastAsia="仿宋_GB2312"/>
                <w:sz w:val="21"/>
                <w:b/>
              </w:rPr>
              <w:t>云梯</w:t>
            </w:r>
          </w:p>
          <w:p>
            <w:pPr>
              <w:pStyle w:val="null3"/>
              <w:jc w:val="both"/>
            </w:pPr>
            <w:r>
              <w:rPr>
                <w:rFonts w:ascii="仿宋_GB2312" w:hAnsi="仿宋_GB2312" w:cs="仿宋_GB2312" w:eastAsia="仿宋_GB2312"/>
                <w:sz w:val="21"/>
              </w:rPr>
              <w:t xml:space="preserve">1.整体规格：300×110×220cm。主框架采用镀锌钢管，管径≥Φ114mm，壁厚≥2.50mm；表面处理：静电粉末喷涂；防褪色工艺：喷涂粉末添加抗紫外线稳定剂；                            </w:t>
            </w:r>
          </w:p>
          <w:p>
            <w:pPr>
              <w:pStyle w:val="null3"/>
              <w:jc w:val="both"/>
            </w:pPr>
            <w:r>
              <w:rPr>
                <w:rFonts w:ascii="仿宋_GB2312" w:hAnsi="仿宋_GB2312" w:cs="仿宋_GB2312" w:eastAsia="仿宋_GB2312"/>
                <w:sz w:val="21"/>
              </w:rPr>
              <w:t>2.符合GB/T 10125-2021人造气氛腐蚀试验、盐雾试验；符合GB/T 6461-2002金属基体上金属和其他无机覆盖层经腐蚀试验后的试样和试件的评级。</w:t>
            </w:r>
          </w:p>
          <w:p>
            <w:pPr>
              <w:pStyle w:val="null3"/>
              <w:jc w:val="both"/>
            </w:pPr>
            <w:r>
              <w:rPr>
                <w:rFonts w:ascii="仿宋_GB2312" w:hAnsi="仿宋_GB2312" w:cs="仿宋_GB2312" w:eastAsia="仿宋_GB2312"/>
                <w:sz w:val="21"/>
                <w:b/>
              </w:rPr>
              <w:t>10</w:t>
            </w:r>
            <w:r>
              <w:rPr>
                <w:rFonts w:ascii="仿宋_GB2312" w:hAnsi="仿宋_GB2312" w:cs="仿宋_GB2312" w:eastAsia="仿宋_GB2312"/>
                <w:sz w:val="21"/>
                <w:b/>
              </w:rPr>
              <w:t>腹肌板</w:t>
            </w:r>
          </w:p>
          <w:p>
            <w:pPr>
              <w:pStyle w:val="null3"/>
              <w:jc w:val="both"/>
            </w:pPr>
            <w:r>
              <w:rPr>
                <w:rFonts w:ascii="仿宋_GB2312" w:hAnsi="仿宋_GB2312" w:cs="仿宋_GB2312" w:eastAsia="仿宋_GB2312"/>
                <w:sz w:val="21"/>
              </w:rPr>
              <w:t xml:space="preserve">1.规格：160×60×75cm；主框架采用镀锌钢管，管径≥Φ114mm，壁厚≥2.50mm；表面处理：静电喷涂；防褪色：粉末材料添加抗紫外线稳定剂；                                  </w:t>
            </w:r>
          </w:p>
          <w:p>
            <w:pPr>
              <w:pStyle w:val="null3"/>
              <w:jc w:val="both"/>
            </w:pPr>
            <w:r>
              <w:rPr>
                <w:rFonts w:ascii="仿宋_GB2312" w:hAnsi="仿宋_GB2312" w:cs="仿宋_GB2312" w:eastAsia="仿宋_GB2312"/>
                <w:sz w:val="21"/>
              </w:rPr>
              <w:t>2.符合GB/T 10125-2021人造气氛腐蚀试验、盐雾试验；符合GB/T 6461-2002金属基体上金属和其他无机覆盖层经腐蚀试验后的试样和试件评级。</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组合设施</w:t>
            </w:r>
            <w:r>
              <w:rPr>
                <w:rFonts w:ascii="仿宋_GB2312" w:hAnsi="仿宋_GB2312" w:cs="仿宋_GB2312" w:eastAsia="仿宋_GB2312"/>
                <w:sz w:val="21"/>
                <w:b/>
              </w:rPr>
              <w:t>1（定制）</w:t>
            </w:r>
          </w:p>
          <w:p>
            <w:pPr>
              <w:pStyle w:val="null3"/>
              <w:jc w:val="both"/>
            </w:pPr>
            <w:r>
              <w:rPr>
                <w:rFonts w:ascii="仿宋_GB2312" w:hAnsi="仿宋_GB2312" w:cs="仿宋_GB2312" w:eastAsia="仿宋_GB2312"/>
                <w:sz w:val="21"/>
              </w:rPr>
              <w:t>1.椭圆形综合体能训练组合功能模块与技术要求：吊环区：4 组吊环，钢丝绳直径≥8mm，承重≥120kg；沙袋区：2 个立式沙袋，填充高密度 EVA + 碎布，高度 1200mm，重量≥30kg ；攀爬梯区：2 组攀爬梯，梯杆 φ32×2.5mm，间距 200mm，防滑纹理；悬挂横杆区：5 组弧形横杆，间距 400mm，可做引体向上、悬垂训练；平衡踏板区：3 组摇摆踏板，直径 300mm，防滑橡胶面，摇摆幅度≤15°；辅助训练区：1 组握力训练板，1 组弧形支撑把手；整体承重：静态载荷≥800kg，同时可容纳≥8 人训练；安全高度：最高训练点离地≤2600mm，下方需铺设≥50mm 厚安全地垫；</w:t>
            </w:r>
          </w:p>
          <w:p>
            <w:pPr>
              <w:pStyle w:val="null3"/>
              <w:jc w:val="both"/>
            </w:pPr>
            <w:r>
              <w:rPr>
                <w:rFonts w:ascii="仿宋_GB2312" w:hAnsi="仿宋_GB2312" w:cs="仿宋_GB2312" w:eastAsia="仿宋_GB2312"/>
                <w:sz w:val="21"/>
              </w:rPr>
              <w:t>★2.执行标准：符合 GB 19272-2024《室外健身器材的安全通用要求》。</w:t>
            </w:r>
          </w:p>
          <w:p>
            <w:pPr>
              <w:pStyle w:val="null3"/>
              <w:jc w:val="both"/>
            </w:pPr>
            <w:r>
              <w:rPr>
                <w:rFonts w:ascii="仿宋_GB2312" w:hAnsi="仿宋_GB2312" w:cs="仿宋_GB2312" w:eastAsia="仿宋_GB2312"/>
                <w:sz w:val="21"/>
                <w:b/>
              </w:rPr>
              <w:t>12</w:t>
            </w:r>
            <w:r>
              <w:rPr>
                <w:rFonts w:ascii="仿宋_GB2312" w:hAnsi="仿宋_GB2312" w:cs="仿宋_GB2312" w:eastAsia="仿宋_GB2312"/>
                <w:sz w:val="21"/>
                <w:b/>
              </w:rPr>
              <w:t>组合设施</w:t>
            </w:r>
            <w:r>
              <w:rPr>
                <w:rFonts w:ascii="仿宋_GB2312" w:hAnsi="仿宋_GB2312" w:cs="仿宋_GB2312" w:eastAsia="仿宋_GB2312"/>
                <w:sz w:val="21"/>
                <w:b/>
              </w:rPr>
              <w:t>2（定制）</w:t>
            </w:r>
          </w:p>
          <w:p>
            <w:pPr>
              <w:pStyle w:val="null3"/>
              <w:jc w:val="both"/>
            </w:pPr>
            <w:r>
              <w:rPr>
                <w:rFonts w:ascii="仿宋_GB2312" w:hAnsi="仿宋_GB2312" w:cs="仿宋_GB2312" w:eastAsia="仿宋_GB2312"/>
                <w:sz w:val="21"/>
              </w:rPr>
              <w:t>1.圆形攀爬平衡训练组合功能模块与技术要求：垂直攀爬梯：1组，梯杆φ32×2.5mm，间距 200mm，带防滑纹理；S型平衡杆：3 组，杆身 φ32×2.5mm，底部配圆形防滑踏板（直径 300mm）；悬挂沙袋 / 抱石：3 组立式沙袋 / 抱石，高度 1200mm，重量≥25kg ；绳网攀爬区：1 组环形绳网，绳径≥16mm，网孔 100×100mm，承重≥150kg ；辅助把手：2 组横向支撑把手，用于辅助攀爬与平衡；</w:t>
            </w:r>
          </w:p>
          <w:p>
            <w:pPr>
              <w:pStyle w:val="null3"/>
              <w:jc w:val="both"/>
            </w:pPr>
            <w:r>
              <w:rPr>
                <w:rFonts w:ascii="仿宋_GB2312" w:hAnsi="仿宋_GB2312" w:cs="仿宋_GB2312" w:eastAsia="仿宋_GB2312"/>
                <w:sz w:val="21"/>
              </w:rPr>
              <w:t>整体承重：静态载荷</w:t>
            </w:r>
            <w:r>
              <w:rPr>
                <w:rFonts w:ascii="仿宋_GB2312" w:hAnsi="仿宋_GB2312" w:cs="仿宋_GB2312" w:eastAsia="仿宋_GB2312"/>
                <w:sz w:val="21"/>
              </w:rPr>
              <w:t>≥700kg，同时可容纳 ≥6 人训练；安全高度：最高训练点离地≤2600mm，下方需铺设≥50mm 厚安全地垫；</w:t>
            </w:r>
          </w:p>
          <w:p>
            <w:pPr>
              <w:pStyle w:val="null3"/>
              <w:jc w:val="both"/>
            </w:pPr>
            <w:r>
              <w:rPr>
                <w:rFonts w:ascii="仿宋_GB2312" w:hAnsi="仿宋_GB2312" w:cs="仿宋_GB2312" w:eastAsia="仿宋_GB2312"/>
                <w:sz w:val="21"/>
              </w:rPr>
              <w:t>★2.执行标准：符合GB 19272-2024《室外健身器材的安全 通用要求》</w:t>
            </w:r>
            <w:r>
              <w:rPr>
                <w:rFonts w:ascii="仿宋_GB2312" w:hAnsi="仿宋_GB2312" w:cs="仿宋_GB2312" w:eastAsia="仿宋_GB2312"/>
                <w:sz w:val="21"/>
                <w:color w:val="FF0000"/>
              </w:rPr>
              <w:t>。</w:t>
            </w:r>
          </w:p>
          <w:p>
            <w:pPr>
              <w:pStyle w:val="null3"/>
              <w:jc w:val="both"/>
            </w:pPr>
            <w:r>
              <w:rPr>
                <w:rFonts w:ascii="仿宋_GB2312" w:hAnsi="仿宋_GB2312" w:cs="仿宋_GB2312" w:eastAsia="仿宋_GB2312"/>
                <w:sz w:val="21"/>
                <w:b/>
              </w:rPr>
              <w:t>13</w:t>
            </w:r>
            <w:r>
              <w:rPr>
                <w:rFonts w:ascii="仿宋_GB2312" w:hAnsi="仿宋_GB2312" w:cs="仿宋_GB2312" w:eastAsia="仿宋_GB2312"/>
                <w:sz w:val="21"/>
                <w:b/>
              </w:rPr>
              <w:t>15米高杆灯塔</w:t>
            </w:r>
          </w:p>
          <w:p>
            <w:pPr>
              <w:pStyle w:val="null3"/>
              <w:jc w:val="both"/>
            </w:pPr>
            <w:r>
              <w:rPr>
                <w:rFonts w:ascii="仿宋_GB2312" w:hAnsi="仿宋_GB2312" w:cs="仿宋_GB2312" w:eastAsia="仿宋_GB2312"/>
                <w:sz w:val="21"/>
              </w:rPr>
              <w:t>1.灯杆高度：总高 15 米，顶部避雷针 1.2米；材质工艺：Q235 钢材，一体成型八角锥杆；下口径 320mm，上口径 180mm；分两节制作；壁厚 8mm+6mm；灯架为圆形结构；法兰底盘：Φ600mm×20mm；</w:t>
            </w:r>
          </w:p>
          <w:p>
            <w:pPr>
              <w:pStyle w:val="null3"/>
              <w:jc w:val="both"/>
            </w:pPr>
            <w:r>
              <w:rPr>
                <w:rFonts w:ascii="仿宋_GB2312" w:hAnsi="仿宋_GB2312" w:cs="仿宋_GB2312" w:eastAsia="仿宋_GB2312"/>
                <w:sz w:val="21"/>
              </w:rPr>
              <w:t>2.表面处理：整体热镀锌防锈处理后，静电喷涂户外专用防紫外线塑粉，抗氧化、耐腐蚀；灯杆颜色：白色；紧固件：不锈钢螺丝；灯头：压铸铝防水投光灯，防腐处理后静电喷塑；光源芯片：LED芯片；光源功率：6×800W、12×600W；光源色温：≥6000K；防护等级：≥IP65；配套预埋含地笼。</w:t>
            </w:r>
          </w:p>
          <w:p>
            <w:pPr>
              <w:pStyle w:val="null3"/>
              <w:jc w:val="both"/>
            </w:pPr>
            <w:r>
              <w:rPr>
                <w:rFonts w:ascii="仿宋_GB2312" w:hAnsi="仿宋_GB2312" w:cs="仿宋_GB2312" w:eastAsia="仿宋_GB2312"/>
                <w:sz w:val="21"/>
                <w:b/>
              </w:rPr>
              <w:t>14</w:t>
            </w:r>
            <w:r>
              <w:rPr>
                <w:rFonts w:ascii="仿宋_GB2312" w:hAnsi="仿宋_GB2312" w:cs="仿宋_GB2312" w:eastAsia="仿宋_GB2312"/>
                <w:sz w:val="21"/>
                <w:b/>
              </w:rPr>
              <w:t>电缆线</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1.ZC-YJV22-06／1-4*70+1*35电缆线；接入配电柜。</w:t>
            </w:r>
          </w:p>
          <w:p>
            <w:pPr>
              <w:pStyle w:val="null3"/>
              <w:jc w:val="both"/>
            </w:pPr>
            <w:r>
              <w:rPr>
                <w:rFonts w:ascii="仿宋_GB2312" w:hAnsi="仿宋_GB2312" w:cs="仿宋_GB2312" w:eastAsia="仿宋_GB2312"/>
                <w:sz w:val="21"/>
                <w:b/>
              </w:rPr>
              <w:t>15</w:t>
            </w:r>
            <w:r>
              <w:rPr>
                <w:rFonts w:ascii="仿宋_GB2312" w:hAnsi="仿宋_GB2312" w:cs="仿宋_GB2312" w:eastAsia="仿宋_GB2312"/>
                <w:sz w:val="21"/>
                <w:b/>
              </w:rPr>
              <w:t>电缆线</w:t>
            </w:r>
            <w:r>
              <w:rPr>
                <w:rFonts w:ascii="仿宋_GB2312" w:hAnsi="仿宋_GB2312" w:cs="仿宋_GB2312" w:eastAsia="仿宋_GB2312"/>
                <w:sz w:val="21"/>
                <w:b/>
              </w:rPr>
              <w:t>2</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1.ZC-YJV22-06／1-5*10电缆线；接入配电柜。</w:t>
            </w:r>
          </w:p>
          <w:p>
            <w:pPr>
              <w:pStyle w:val="null3"/>
              <w:jc w:val="both"/>
            </w:pPr>
            <w:r>
              <w:rPr>
                <w:rFonts w:ascii="仿宋_GB2312" w:hAnsi="仿宋_GB2312" w:cs="仿宋_GB2312" w:eastAsia="仿宋_GB2312"/>
                <w:sz w:val="21"/>
                <w:b/>
              </w:rPr>
              <w:t>16</w:t>
            </w:r>
            <w:r>
              <w:rPr>
                <w:rFonts w:ascii="仿宋_GB2312" w:hAnsi="仿宋_GB2312" w:cs="仿宋_GB2312" w:eastAsia="仿宋_GB2312"/>
                <w:sz w:val="21"/>
                <w:b/>
              </w:rPr>
              <w:t>不锈钢配电柜</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1.规格：600*1600*450mm。</w:t>
            </w:r>
          </w:p>
          <w:p>
            <w:pPr>
              <w:pStyle w:val="null3"/>
              <w:jc w:val="both"/>
            </w:pPr>
            <w:r>
              <w:rPr>
                <w:rFonts w:ascii="仿宋_GB2312" w:hAnsi="仿宋_GB2312" w:cs="仿宋_GB2312" w:eastAsia="仿宋_GB2312"/>
                <w:sz w:val="21"/>
                <w:b/>
              </w:rPr>
              <w:t>17</w:t>
            </w:r>
            <w:r>
              <w:rPr>
                <w:rFonts w:ascii="仿宋_GB2312" w:hAnsi="仿宋_GB2312" w:cs="仿宋_GB2312" w:eastAsia="仿宋_GB2312"/>
                <w:sz w:val="21"/>
                <w:b/>
              </w:rPr>
              <w:t>电缆保护管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1.C-PVCΦ75电缆保护管500米；开沟穿线并预埋。</w:t>
            </w:r>
          </w:p>
          <w:p>
            <w:pPr>
              <w:pStyle w:val="null3"/>
              <w:jc w:val="both"/>
            </w:pPr>
            <w:r>
              <w:rPr>
                <w:rFonts w:ascii="仿宋_GB2312" w:hAnsi="仿宋_GB2312" w:cs="仿宋_GB2312" w:eastAsia="仿宋_GB2312"/>
                <w:sz w:val="21"/>
                <w:b/>
              </w:rPr>
              <w:t>18</w:t>
            </w:r>
            <w:r>
              <w:rPr>
                <w:rFonts w:ascii="仿宋_GB2312" w:hAnsi="仿宋_GB2312" w:cs="仿宋_GB2312" w:eastAsia="仿宋_GB2312"/>
                <w:sz w:val="21"/>
                <w:b/>
              </w:rPr>
              <w:t>乒乓球台座椅</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1.长23.5米，宽40cm，高50cm（±2cm）；砖砌，石材贴面，棱角包圆处理。</w:t>
            </w:r>
          </w:p>
          <w:p>
            <w:pPr>
              <w:pStyle w:val="null3"/>
              <w:jc w:val="both"/>
            </w:pPr>
            <w:r>
              <w:rPr>
                <w:rFonts w:ascii="仿宋_GB2312" w:hAnsi="仿宋_GB2312" w:cs="仿宋_GB2312" w:eastAsia="仿宋_GB2312"/>
                <w:sz w:val="21"/>
                <w:b/>
              </w:rPr>
              <w:t>19</w:t>
            </w:r>
            <w:r>
              <w:rPr>
                <w:rFonts w:ascii="仿宋_GB2312" w:hAnsi="仿宋_GB2312" w:cs="仿宋_GB2312" w:eastAsia="仿宋_GB2312"/>
                <w:sz w:val="21"/>
                <w:b/>
              </w:rPr>
              <w:t>花台高低座椅</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1.长25.7米，宽60cm，高90、80、60、40cm不规则异型砌筑。砖砌，防腐木条贴面，加刷防腐漆，棱角包圆处理。</w:t>
            </w:r>
          </w:p>
          <w:p>
            <w:pPr>
              <w:pStyle w:val="null3"/>
              <w:jc w:val="both"/>
            </w:pPr>
            <w:r>
              <w:rPr>
                <w:rFonts w:ascii="仿宋_GB2312" w:hAnsi="仿宋_GB2312" w:cs="仿宋_GB2312" w:eastAsia="仿宋_GB2312"/>
                <w:sz w:val="21"/>
                <w:b/>
              </w:rPr>
              <w:t>20</w:t>
            </w:r>
            <w:r>
              <w:rPr>
                <w:rFonts w:ascii="仿宋_GB2312" w:hAnsi="仿宋_GB2312" w:cs="仿宋_GB2312" w:eastAsia="仿宋_GB2312"/>
                <w:sz w:val="21"/>
                <w:b/>
              </w:rPr>
              <w:t>拆除原有体育器材，器械</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1.拆除原有篮球架，乒乓球台，健身器材等系列垃圾清运，堆场自行安排无安全隐患，环保无公害处理。</w:t>
            </w:r>
          </w:p>
          <w:p>
            <w:pPr>
              <w:pStyle w:val="null3"/>
              <w:jc w:val="both"/>
            </w:pPr>
            <w:r>
              <w:rPr>
                <w:rFonts w:ascii="仿宋_GB2312" w:hAnsi="仿宋_GB2312" w:cs="仿宋_GB2312" w:eastAsia="仿宋_GB2312"/>
                <w:sz w:val="21"/>
                <w:b/>
              </w:rPr>
              <w:t>21</w:t>
            </w:r>
            <w:r>
              <w:rPr>
                <w:rFonts w:ascii="仿宋_GB2312" w:hAnsi="仿宋_GB2312" w:cs="仿宋_GB2312" w:eastAsia="仿宋_GB2312"/>
                <w:sz w:val="21"/>
                <w:b/>
              </w:rPr>
              <w:t>拆除原跑道地胶</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1.构件名称：拆除原有跑道地胶；材质：橡胶地面；厚度：13mm 。</w:t>
            </w:r>
          </w:p>
          <w:p>
            <w:pPr>
              <w:pStyle w:val="null3"/>
              <w:jc w:val="both"/>
            </w:pPr>
            <w:r>
              <w:rPr>
                <w:rFonts w:ascii="仿宋_GB2312" w:hAnsi="仿宋_GB2312" w:cs="仿宋_GB2312" w:eastAsia="仿宋_GB2312"/>
                <w:sz w:val="21"/>
                <w:b/>
              </w:rPr>
              <w:t>22</w:t>
            </w:r>
            <w:r>
              <w:rPr>
                <w:rFonts w:ascii="仿宋_GB2312" w:hAnsi="仿宋_GB2312" w:cs="仿宋_GB2312" w:eastAsia="仿宋_GB2312"/>
                <w:sz w:val="21"/>
                <w:b/>
              </w:rPr>
              <w:t>拆除原有</w:t>
            </w:r>
            <w:r>
              <w:rPr>
                <w:rFonts w:ascii="仿宋_GB2312" w:hAnsi="仿宋_GB2312" w:cs="仿宋_GB2312" w:eastAsia="仿宋_GB2312"/>
                <w:sz w:val="21"/>
                <w:b/>
              </w:rPr>
              <w:t>PU篮球场面层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1.构件名称：拆除原有PU篮球场面层；材质：PIU地面；厚度：6mm。</w:t>
            </w:r>
          </w:p>
          <w:p>
            <w:pPr>
              <w:pStyle w:val="null3"/>
              <w:jc w:val="both"/>
            </w:pPr>
            <w:r>
              <w:rPr>
                <w:rFonts w:ascii="仿宋_GB2312" w:hAnsi="仿宋_GB2312" w:cs="仿宋_GB2312" w:eastAsia="仿宋_GB2312"/>
                <w:sz w:val="21"/>
                <w:b/>
              </w:rPr>
              <w:t>23</w:t>
            </w:r>
            <w:r>
              <w:rPr>
                <w:rFonts w:ascii="仿宋_GB2312" w:hAnsi="仿宋_GB2312" w:cs="仿宋_GB2312" w:eastAsia="仿宋_GB2312"/>
                <w:sz w:val="21"/>
                <w:b/>
              </w:rPr>
              <w:t>加强腻子修复找平（跑道、篮球场原基础）</w:t>
            </w:r>
          </w:p>
          <w:p>
            <w:pPr>
              <w:pStyle w:val="null3"/>
              <w:jc w:val="both"/>
            </w:pPr>
            <w:r>
              <w:rPr>
                <w:rFonts w:ascii="仿宋_GB2312" w:hAnsi="仿宋_GB2312" w:cs="仿宋_GB2312" w:eastAsia="仿宋_GB2312"/>
                <w:sz w:val="21"/>
              </w:rPr>
              <w:t>★1.采用水泥基修补砂浆进行基础修复找平，设计厚度≥10mm，施工符合《合成材料运动场地面层工程技术规程》及设计要求。</w:t>
            </w:r>
          </w:p>
          <w:p>
            <w:pPr>
              <w:pStyle w:val="null3"/>
              <w:jc w:val="both"/>
            </w:pPr>
            <w:r>
              <w:rPr>
                <w:rFonts w:ascii="仿宋_GB2312" w:hAnsi="仿宋_GB2312" w:cs="仿宋_GB2312" w:eastAsia="仿宋_GB2312"/>
                <w:sz w:val="21"/>
                <w:b/>
              </w:rPr>
              <w:t>24</w:t>
            </w:r>
            <w:r>
              <w:rPr>
                <w:rFonts w:ascii="仿宋_GB2312" w:hAnsi="仿宋_GB2312" w:cs="仿宋_GB2312" w:eastAsia="仿宋_GB2312"/>
                <w:sz w:val="21"/>
                <w:b/>
              </w:rPr>
              <w:t>文化廊架</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整体采用热镀锌材质；廊架总长度：5500mm（主架净长）、廊架单跨宽度：3000mm（立柱横向间距）、廊架总高度：2800mm（地面至顶梁最高点）、立柱净高：2480mm（地面至次梁底部）、主横梁间距：1000mm（纵向等距分布）、立柱底部基础：500mm×300mm（地脚固定尺寸）。</w:t>
            </w:r>
          </w:p>
          <w:p>
            <w:pPr>
              <w:pStyle w:val="null3"/>
              <w:jc w:val="both"/>
            </w:pPr>
            <w:r>
              <w:rPr>
                <w:rFonts w:ascii="仿宋_GB2312" w:hAnsi="仿宋_GB2312" w:cs="仿宋_GB2312" w:eastAsia="仿宋_GB2312"/>
                <w:sz w:val="21"/>
                <w:b/>
              </w:rPr>
              <w:t>25</w:t>
            </w:r>
            <w:r>
              <w:rPr>
                <w:rFonts w:ascii="仿宋_GB2312" w:hAnsi="仿宋_GB2312" w:cs="仿宋_GB2312" w:eastAsia="仿宋_GB2312"/>
                <w:sz w:val="21"/>
                <w:b/>
              </w:rPr>
              <w:t>排水沟</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1.400mm宽水沟盖板拆除并清淤、500mm宽水沟盖板拆除并清淤、明沟清淤、垃圾外运。</w:t>
            </w:r>
          </w:p>
          <w:p>
            <w:pPr>
              <w:pStyle w:val="null3"/>
              <w:jc w:val="both"/>
            </w:pPr>
            <w:r>
              <w:rPr>
                <w:rFonts w:ascii="仿宋_GB2312" w:hAnsi="仿宋_GB2312" w:cs="仿宋_GB2312" w:eastAsia="仿宋_GB2312"/>
                <w:sz w:val="21"/>
                <w:b/>
              </w:rPr>
              <w:t>26</w:t>
            </w:r>
            <w:r>
              <w:rPr>
                <w:rFonts w:ascii="仿宋_GB2312" w:hAnsi="仿宋_GB2312" w:cs="仿宋_GB2312" w:eastAsia="仿宋_GB2312"/>
                <w:sz w:val="21"/>
                <w:b/>
              </w:rPr>
              <w:t>升旗台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1.旗台尺寸6x4x0.4m。</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2.使用c25混凝土浇筑，外贴芝麻灰火烧面花岗石，石材厚度≥0.3cm。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3.旗杆采用304不锈钢材质，高度12米，配2号旗（240×160cm）2张。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投标人</w:t>
            </w:r>
            <w:r>
              <w:rPr>
                <w:rFonts w:ascii="仿宋_GB2312" w:hAnsi="仿宋_GB2312" w:cs="仿宋_GB2312" w:eastAsia="仿宋_GB2312"/>
                <w:sz w:val="21"/>
              </w:rPr>
              <w:t>的报价是</w:t>
            </w:r>
            <w:r>
              <w:rPr>
                <w:rFonts w:ascii="仿宋_GB2312" w:hAnsi="仿宋_GB2312" w:cs="仿宋_GB2312" w:eastAsia="仿宋_GB2312"/>
                <w:sz w:val="21"/>
              </w:rPr>
              <w:t>供应商</w:t>
            </w:r>
            <w:r>
              <w:rPr>
                <w:rFonts w:ascii="仿宋_GB2312" w:hAnsi="仿宋_GB2312" w:cs="仿宋_GB2312" w:eastAsia="仿宋_GB2312"/>
                <w:sz w:val="21"/>
              </w:rPr>
              <w:t>响应本项目要求的全部工作内容的价格体现，包括投标人完成本项目所需的一切费用，采购人不再额外支付任何费用。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安全保密性</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中标人</w:t>
            </w:r>
            <w:r>
              <w:rPr>
                <w:rFonts w:ascii="仿宋_GB2312" w:hAnsi="仿宋_GB2312" w:cs="仿宋_GB2312" w:eastAsia="仿宋_GB2312"/>
                <w:sz w:val="21"/>
              </w:rPr>
              <w:t>在项目实施过程中获取的有关采购方的任何信息均须保密，并采取有效的保密措施和手段，严禁泄露给第三方，否则，除承担违约责任外，还应赔偿由此给采购方造成的一切损失。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1.投标人为本项目配备的服务人员中，最低要求须包含1名具有</w:t>
            </w:r>
            <w:r>
              <w:rPr>
                <w:rFonts w:ascii="仿宋_GB2312" w:hAnsi="仿宋_GB2312" w:cs="仿宋_GB2312" w:eastAsia="仿宋_GB2312"/>
                <w:sz w:val="21"/>
              </w:rPr>
              <w:t>《特种作业操作证（高压或低压电工作业）》证书</w:t>
            </w:r>
            <w:r>
              <w:rPr>
                <w:rFonts w:ascii="仿宋_GB2312" w:hAnsi="仿宋_GB2312" w:cs="仿宋_GB2312" w:eastAsia="仿宋_GB2312"/>
                <w:sz w:val="21"/>
              </w:rPr>
              <w:t>的人员，</w:t>
            </w:r>
            <w:r>
              <w:rPr>
                <w:rFonts w:ascii="仿宋_GB2312" w:hAnsi="仿宋_GB2312" w:cs="仿宋_GB2312" w:eastAsia="仿宋_GB2312"/>
                <w:sz w:val="21"/>
              </w:rPr>
              <w:t>1名具有</w:t>
            </w:r>
            <w:r>
              <w:rPr>
                <w:rFonts w:ascii="仿宋_GB2312" w:hAnsi="仿宋_GB2312" w:cs="仿宋_GB2312" w:eastAsia="仿宋_GB2312"/>
                <w:sz w:val="21"/>
              </w:rPr>
              <w:t>《特种作业操作证（熔化焊接与热切作业）》</w:t>
            </w:r>
            <w:r>
              <w:rPr>
                <w:rFonts w:ascii="仿宋_GB2312" w:hAnsi="仿宋_GB2312" w:cs="仿宋_GB2312" w:eastAsia="仿宋_GB2312"/>
                <w:sz w:val="21"/>
              </w:rPr>
              <w:t>的人员</w:t>
            </w:r>
            <w:r>
              <w:rPr>
                <w:rFonts w:ascii="仿宋_GB2312" w:hAnsi="仿宋_GB2312" w:cs="仿宋_GB2312" w:eastAsia="仿宋_GB2312"/>
                <w:sz w:val="21"/>
              </w:rPr>
              <w:t>。</w:t>
            </w:r>
            <w:r>
              <w:rPr>
                <w:rFonts w:ascii="仿宋_GB2312" w:hAnsi="仿宋_GB2312" w:cs="仿宋_GB2312" w:eastAsia="仿宋_GB2312"/>
                <w:sz w:val="21"/>
              </w:rPr>
              <w:t>【须在投标文件中提供人员身份证扫描件、证书扫描件并进行电子签章】</w:t>
            </w:r>
          </w:p>
          <w:p>
            <w:pPr>
              <w:pStyle w:val="null3"/>
              <w:jc w:val="left"/>
            </w:pPr>
            <w:r>
              <w:rPr>
                <w:rFonts w:ascii="仿宋_GB2312" w:hAnsi="仿宋_GB2312" w:cs="仿宋_GB2312" w:eastAsia="仿宋_GB2312"/>
                <w:sz w:val="21"/>
              </w:rPr>
              <w:t>2.投标人拟提供的服务人员（包含以上基本人员和根据评审方法得分的人员）均须到场施工，在安装施工期间，采购人有权根据投标人提供的服务人员信息核验到场施工人员的身份信息，查验人员证书原件，发现身份信息不符的，采购人有权要求投标人暂定安装并进行人员整改。造成经济损失或交货延误的，按照商务条件中“违约责任”进行处理。</w:t>
            </w:r>
            <w:r>
              <w:rPr>
                <w:rFonts w:ascii="仿宋_GB2312" w:hAnsi="仿宋_GB2312" w:cs="仿宋_GB2312" w:eastAsia="仿宋_GB2312"/>
                <w:sz w:val="21"/>
                <w:b/>
              </w:rPr>
              <w:t>（在投标文件中单独提供承诺函，格式自拟，未提供视为无效投标）</w:t>
            </w:r>
          </w:p>
          <w:p>
            <w:pPr>
              <w:pStyle w:val="null3"/>
              <w:jc w:val="left"/>
            </w:pPr>
            <w:r>
              <w:rPr>
                <w:rFonts w:ascii="仿宋_GB2312" w:hAnsi="仿宋_GB2312" w:cs="仿宋_GB2312" w:eastAsia="仿宋_GB2312"/>
                <w:sz w:val="21"/>
              </w:rPr>
              <w:t>3.如投标人根据评审细则在业绩中得分，采购人有权在签署合同前查验业绩合同原件，发现投标人虚假响应的，有权向同级财政部门上报。</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合同签订之日起90天内完成交货及安装。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古蔺县东新镇区域内采购人指定地点。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1、安装调试完毕，初步验收合格后，达到付款条件起30日内，支付合同总金额的97.00%</w:t>
            </w:r>
          </w:p>
          <w:p>
            <w:pPr>
              <w:pStyle w:val="null3"/>
              <w:jc w:val="left"/>
            </w:pPr>
            <w:r>
              <w:rPr>
                <w:rFonts w:ascii="仿宋_GB2312" w:hAnsi="仿宋_GB2312" w:cs="仿宋_GB2312" w:eastAsia="仿宋_GB2312"/>
              </w:rPr>
              <w:t>2、所有设备正常使用一年，且经最终验收合格后，达到付款条件起30日内，支付合同总金额的3.00%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按国家有关规定、招标文件的质量要求和技术指标、中标人的投标文件及承诺以及合同约定标准进行验收。其他未尽事宜将按照《财政部关于进一步加强政府采购需求和履约验收管理的指导意见》(财库(2016)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产品验收合格后≥1年，质保期内，产品出现质量问题的由中标人负责维修且不收取任何费用，同样的问题经连续两次维修后仍无法正常使用的，由中标人负责更换同品牌型号设备且不收取任何费用。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采购人、中标人双方必须遵守本合同并执行合同中的各项规定，保证本合同的合法正常履行。 如因中标人工作人员在履行项目过程中的的疏忽、失职、过错等故意或者过失原因给采购人造成损失或侵害，包括但不限于采购人本身的财产损失，由此而导致的采购人对任何第三方的法律责任等，中标人对此均应承担全部的赔偿责任。 中标人未能按本合同规定时间提供服务，逾期一个月以上的，采购人有权解除合同，并有权要求中标人支付相当于合同总金额20%的违约金，违约金不足以弥补采购人损失的，由此造成的采购人经济损失由中标人承担（包括但不限于律师费、诉讼费、保全费、保全保险费、鉴定费、公证费等）。 采购人逾期支付服务款项的，采购人就未支付部分应按全国银行间同业拆借中心公布的贷款市场报价利率标准向中标人支付违约金。 解决争议的方法: （1）因合同引起的或与本合同有关的任何争议，由双方当事人协商解决:也可以向有关部门申请调解。协商或调解不成，当事人可依照有关法律规定将争议向采购人所在地人民法院起诉。 （2）上述过程发生的费用(诉讼费、保全费、胜诉方律师代理费等)由败诉方承担。 （3）在进行法院审理期间，除提交法院审理的事项外，合同仍应继续履行。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1.投标人应针对本项目提供项目实施方案，内容包括但不限于：①供货方案；②进度安排；③安全质量保障措施；④安装调试方案；⑤应急预案等内容。 2.投标人应针对本项目提供项目售后服务方案，内容包括但不限于：①服务体系及流程；②售后服务承诺；③产品退换货处理方案。 3.标的说明及报价要求（本条仅做告知说明，供应商无需单独应答，按要求制作投标文件内容即可）： ①.本项目涉及的标的名称、品目、数量、计量单位、所属行业、是否涉及核心产品、是否涉及采购进口产品、是否涉及强制采购节能产品、是否涉及采购节能产品、是否涉及采购环境标志产品以“附件-采购清单”内容为准。 ②.本项目为货物项目，供应商若需响应《中小企业声明函》的，只需对“附件-采购清单”中明确需按《中小企业声明函》要求进行响应的产品进行响应即可。 4.“技术要求”中参数佐证方式说明如下（仅作说明，不用响应）：（1）“★”条款为实质性要求。技术参数中有佐证要求的，按佐证要求提供材料。未做明确要求的，直接在技术响应表中响应即可； （2）“▲”条款为重要技术参数，技术参数中有佐证要求的，按佐证要求提供材料；未做明确要求的，直接在技术响应表中响应即可； （3）其他未做标记的参数，在投标产品技术参数响应表中响应即可，但供应商必须如实响应，自行承担相关法律责任；（4）未提供相关证明材料或者虽提供但无法佐证者， 均自行承担被评标委员会视为技术参数负偏离的风险；（5）供应商须严格按照招标文件产品参数描述进行响应，不得曲解招标文件产品参数描述意思或以其他参数描述来响应招标文件参数，不得以“正偏离”为由偷换技术参数描述方式进行响应，否则自行承担被评标委员会视为技术参数负偏离的风险。 5.本国产品价格扣除涉及范围详见“附件-采购清单”。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可提供2024或2025年度经审计的财务报告扫描件(包含审计报告和审计报告中所涉及的财务报表和报表附注)；②也可提供2024或2025年度供应商内部的财务报表扫描件(至少包含资产负债表、利润表、现金流量表)；③也可提供截至响应文件递交截止日一年内银行出具的资信证明(复印件)；④供应商注册时间截至响应文件递交截止日不足一年的，也可提供在工商管理部门备案的公司章程。</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本项目允许分包</w:t>
            </w:r>
          </w:p>
        </w:tc>
        <w:tc>
          <w:tcPr>
            <w:tcW w:type="dxa" w:w="3322"/>
          </w:tcPr>
          <w:p>
            <w:pPr>
              <w:pStyle w:val="null3"/>
              <w:jc w:val="left"/>
            </w:pPr>
            <w:r>
              <w:rPr>
                <w:rFonts w:ascii="仿宋_GB2312" w:hAnsi="仿宋_GB2312" w:cs="仿宋_GB2312" w:eastAsia="仿宋_GB2312"/>
              </w:rPr>
              <w:t>1.本项目分包范围：设备设施的安装过程中涉及的工程安装部分（拆除、修复、找平、排水沟、升旗台）。针对工程安装部分（拆除、修复、找平、排水沟、升旗台），须具有有效期内的建筑工程施工总承包三级及以上资质和有效的安全生产许可证；如供应商具有以上资质证书的，须在响应文件中提供证书扫描件，如供应商不具备资质的，须承诺分包给具有资质的第三方公司进行履约（须在响应文件中单独提供承诺函，承诺函中须包含分包主体信息，其余格式自拟，未提供视为无效响应文件），且须提供第三方公司的建筑工程施工总承包三级及以上资质的证书及有效的安全生产许可证扫描件。工程安装部分（拆除、修复、找平、排水沟、升旗台）的费用占本项目总预算的比例≤20%。</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采购文件中没有要求供应商需要提供承诺函或证明资料进行响应的实质性条款，供应商根据系统给定的格式文件“投标（响应）函、实质性要求承诺、技术、服务、商务应答表”等默认响应即可。 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实质性要求承诺-适用于招标(1).docx,服务要求应答表.docx,商务要求应答表.docx,技术要求应答表.docx,投标（响应）函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符合采购文件3.2技术要求及3.3服务要求没有负偏离得33分;低于采购文件要求的(负偏离)按照以下原则扣分:“▲”项每有1条不满足(负偏离)的扣3分，一般参数（非“▲”、非“★”项）每有1条不满足(负偏离)的扣0.5分。扣完为止。 注:本项目技术要求中的非实质性要求项共36条，其中，标注“▲”项6条，非“▲”、非“★”项30条，标注“★”为实质性要求。</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根据投标人提供的本项目的项目实施方案进行评审,包括:①供货方案；②进度安排；③安全质量保障措施；④安装调试方案；⑤应急预案等内容； 以上方案完整无缺陷的得20分;方案中每缺少一项的扣4分;每项方案中每有一处存在缺陷的扣2分，直至本项分值扣完为止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根据投标人提供的本项目的售后服务方案进行评审,包括:①服务体系及流程；②售后服务承诺；③产品退换货处理方案； 以上方案完整无缺陷的得9分;方案中每缺少一项的扣3分;每项方案中每有一处存在缺陷的扣1.5分，直至本项分值扣完为止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在满足服务要求中基础人员要求的基础上，每额外具有1名持有《特种作业操作证（高压或低压电工作业）》证书的得1.5分，最多得1.5分；每额外具有1名持有《特种作业操作证（熔化焊接与热切作业）》证书的得1.5分，最多得1.5分；此项最多得3分； 注：以上人员要求提供人员身份证扫描件和证书扫描件，人员不重复得分。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自2023年1月1日至递交投标文件截止时间签署的类似业绩，每提供1个得2.5分，此项最多得5分；注：（1）类似业绩是指运动场设备销售类或运动场建设类业绩；（2）提供中标（成交）通知书或合同扫描件。</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1.满足招标文件要求且价格最低的有效报价为评审基准价，其供应商的报价分30分。2.其他供应商的报价分按以下公式计算：报价得分=（评审基准价／报价）×30。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节能环保产品响应证明材料.docx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详见附件：节能环保产品响应证明材料.docx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详见附件：实质性要求承诺-适用于招标(1).docx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