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版本号：N513226202600002620260414004</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金川县X062阿科里乡至毛日乡幸福美丽乡村路勘察设计服务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N5132262026000026</w:t>
      </w:r>
    </w:p>
    <w:p>
      <w:pPr>
        <w:pStyle w:val="null3"/>
        <w:jc w:val="center"/>
        <w:outlineLvl w:val="2"/>
      </w:pPr>
      <w:r>
        <w:rPr>
          <w:rFonts w:ascii="仿宋_GB2312" w:hAnsi="仿宋_GB2312" w:cs="仿宋_GB2312" w:eastAsia="仿宋_GB2312"/>
          <w:sz w:val="28"/>
          <w:b/>
        </w:rPr>
        <w:t>金川县交通运输局</w:t>
      </w:r>
    </w:p>
    <w:p>
      <w:pPr>
        <w:pStyle w:val="null3"/>
        <w:jc w:val="center"/>
        <w:outlineLvl w:val="2"/>
      </w:pPr>
      <w:r>
        <w:rPr>
          <w:rFonts w:ascii="仿宋_GB2312" w:hAnsi="仿宋_GB2312" w:cs="仿宋_GB2312" w:eastAsia="仿宋_GB2312"/>
          <w:sz w:val="28"/>
          <w:b/>
        </w:rPr>
        <w:t>四川宸屹建设工程有限公司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四川宸屹建设工程有限公司</w:t>
      </w:r>
      <w:r>
        <w:rPr>
          <w:rFonts w:ascii="仿宋_GB2312" w:hAnsi="仿宋_GB2312" w:cs="仿宋_GB2312" w:eastAsia="仿宋_GB2312"/>
        </w:rPr>
        <w:t xml:space="preserve"> （以下简称“代理机构”）受 </w:t>
      </w:r>
      <w:r>
        <w:rPr>
          <w:rFonts w:ascii="仿宋_GB2312" w:hAnsi="仿宋_GB2312" w:cs="仿宋_GB2312" w:eastAsia="仿宋_GB2312"/>
        </w:rPr>
        <w:t>金川县交通运输局</w:t>
      </w:r>
      <w:r>
        <w:rPr>
          <w:rFonts w:ascii="仿宋_GB2312" w:hAnsi="仿宋_GB2312" w:cs="仿宋_GB2312" w:eastAsia="仿宋_GB2312"/>
        </w:rPr>
        <w:t xml:space="preserve"> 委托，拟对 </w:t>
      </w:r>
      <w:r>
        <w:rPr>
          <w:rFonts w:ascii="仿宋_GB2312" w:hAnsi="仿宋_GB2312" w:cs="仿宋_GB2312" w:eastAsia="仿宋_GB2312"/>
        </w:rPr>
        <w:t>金川县X062阿科里乡至毛日乡幸福美丽乡村路勘察设计服务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阿坝藏族羌族自治州金川县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N5132262026000026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金川县X062阿科里乡至毛日乡幸福美丽乡村路勘察设计服务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项目位于金川县阿科里乡及毛日乡境内，路线全长约</w:t>
      </w:r>
      <w:r>
        <w:rPr>
          <w:rFonts w:ascii="仿宋_GB2312" w:hAnsi="仿宋_GB2312" w:cs="仿宋_GB2312" w:eastAsia="仿宋_GB2312"/>
        </w:rPr>
        <w:t>14.675</w:t>
      </w:r>
      <w:r>
        <w:rPr>
          <w:rFonts w:ascii="仿宋_GB2312" w:hAnsi="仿宋_GB2312" w:cs="仿宋_GB2312" w:eastAsia="仿宋_GB2312"/>
        </w:rPr>
        <w:t>公里。项目主要建设任务是对原有公路进行改扩建，同时对路基、路面、边坡等病害进行整治，项目总体采用路基宽度</w:t>
      </w:r>
      <w:r>
        <w:rPr>
          <w:rFonts w:ascii="仿宋_GB2312" w:hAnsi="仿宋_GB2312" w:cs="仿宋_GB2312" w:eastAsia="仿宋_GB2312"/>
        </w:rPr>
        <w:t>6.5m</w:t>
      </w:r>
      <w:r>
        <w:rPr>
          <w:rFonts w:ascii="仿宋_GB2312" w:hAnsi="仿宋_GB2312" w:cs="仿宋_GB2312" w:eastAsia="仿宋_GB2312"/>
        </w:rPr>
        <w:t>的四级公路（</w:t>
      </w:r>
      <w:r>
        <w:rPr>
          <w:rFonts w:ascii="仿宋_GB2312" w:hAnsi="仿宋_GB2312" w:cs="仿宋_GB2312" w:eastAsia="仿宋_GB2312"/>
        </w:rPr>
        <w:t>I</w:t>
      </w:r>
      <w:r>
        <w:rPr>
          <w:rFonts w:ascii="仿宋_GB2312" w:hAnsi="仿宋_GB2312" w:cs="仿宋_GB2312" w:eastAsia="仿宋_GB2312"/>
        </w:rPr>
        <w:t>类）技术标准建设，设计速度</w:t>
      </w:r>
      <w:r>
        <w:rPr>
          <w:rFonts w:ascii="仿宋_GB2312" w:hAnsi="仿宋_GB2312" w:cs="仿宋_GB2312" w:eastAsia="仿宋_GB2312"/>
        </w:rPr>
        <w:t>15</w:t>
      </w:r>
      <w:r>
        <w:rPr>
          <w:rFonts w:ascii="仿宋_GB2312" w:hAnsi="仿宋_GB2312" w:cs="仿宋_GB2312" w:eastAsia="仿宋_GB2312"/>
        </w:rPr>
        <w:t>公里</w:t>
      </w:r>
      <w:r>
        <w:rPr>
          <w:rFonts w:ascii="仿宋_GB2312" w:hAnsi="仿宋_GB2312" w:cs="仿宋_GB2312" w:eastAsia="仿宋_GB2312"/>
        </w:rPr>
        <w:t>/</w:t>
      </w:r>
      <w:r>
        <w:rPr>
          <w:rFonts w:ascii="仿宋_GB2312" w:hAnsi="仿宋_GB2312" w:cs="仿宋_GB2312" w:eastAsia="仿宋_GB2312"/>
        </w:rPr>
        <w:t>小时，局部困难路段降低平纵指标。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1、本项目供应商资质要求：（描述：1.供应商应具备行政主管部门颁发的工程设计公路行业（公路）专业丙级及以上设计资质； 2.供应 商具备行政主管部门颁发的工程勘察专业类（岩土工程、工程测量）丙级及以上勘察资质。【提供 有效的资质扫描件并加盖电子签章】）</w:t>
      </w:r>
    </w:p>
    <w:p>
      <w:pPr>
        <w:pStyle w:val="null3"/>
        <w:jc w:val="left"/>
      </w:pPr>
      <w:r>
        <w:rPr>
          <w:rFonts w:ascii="仿宋_GB2312" w:hAnsi="仿宋_GB2312" w:cs="仿宋_GB2312" w:eastAsia="仿宋_GB2312"/>
        </w:rPr>
        <w:t>2、本项目允许联合体参与投标：（描述：以联合体形式参加投标的，联合体各方均应当符合《中华人民共和国政府采购法》第二十二条第一 款规定的条件，并提交联合体协议，联合体家数不超过2家，载明联合体各方承担的工作和相应的责 任。 联合体牵头单位为设计单位。【电子投标文件编制要求：①联合体各方均须按要求填写《投标 （响应）函》，其中联合体牵头单位需在投标客户端中按要求在线填写《投标（响应）函》并进行 电子签章；联合体成员单位须按照第六章投标文件格式《投标（响应）函》线下填写并加盖公章， 盖章完成后扫描上传编制于第六章投标文件格式《投标人应提交的相关资格证明材料》。 ②因系统 原因，联合体协议需线下签订并加盖各方公章，签订完成后，扫描上传并编制于第六章投标文件格 式《供应商应提交的相关证明材料》】； ③联合体中有同类资质的供应商按照联合体分工承担相同 工作的，应当按照资质等级较低的供应商确定资质等级；④同一个包内联合体各方不得再单独参加 或者与其他供应商另外组成联合体参加同一合同项下的政府采购活动。）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金川县交通运输局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金川县勒乌镇二办公区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莫老师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0837-2522738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四川宸屹建设工程有限公司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成都市武侯区武侯大道铁佛段289号金履国际2栋7楼2-704号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028-89993927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采购包1：920,000.00元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代理服务费收费标准：参照《招标代理服务收费管理暂行办法》（计价格【2002】1980号）及发改办价格[2003]857号通知规定收取，由中标（成交）供应商在领取中标（成交）通知书时向采购代理机构一次性付清。</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金川县交通运输局</w:t>
      </w:r>
      <w:r>
        <w:rPr>
          <w:rFonts w:ascii="仿宋_GB2312" w:hAnsi="仿宋_GB2312" w:cs="仿宋_GB2312" w:eastAsia="仿宋_GB2312"/>
        </w:rPr>
        <w:t xml:space="preserve"> 和 </w:t>
      </w:r>
      <w:r>
        <w:rPr>
          <w:rFonts w:ascii="仿宋_GB2312" w:hAnsi="仿宋_GB2312" w:cs="仿宋_GB2312" w:eastAsia="仿宋_GB2312"/>
        </w:rPr>
        <w:t>四川宸屹建设工程有限公司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金川县交通运输局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四川宸屹建设工程有限公司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按照本项目磋商文件中“技术服务内容”及成交供应商响应文件进行验收；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应严格按照《财政部关于进一步加强政府采购需求和履约验收管理的指导意见》(财库〔2016〕205号)、《政府采购需求管理办法》（财库〔2021〕22号）文件的要求进行验收。符合国家相关规定，并按照相关技术要求进行开展，并完全满足采购需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金川县交通运输局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四川宸屹建设工程有限公司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四川宸屹建设工程有限公司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联系人：莫老师</w:t>
      </w:r>
    </w:p>
    <w:p>
      <w:pPr>
        <w:pStyle w:val="null3"/>
        <w:jc w:val="left"/>
      </w:pPr>
      <w:r>
        <w:rPr>
          <w:rFonts w:ascii="仿宋_GB2312" w:hAnsi="仿宋_GB2312" w:cs="仿宋_GB2312" w:eastAsia="仿宋_GB2312"/>
        </w:rPr>
        <w:t>联系电话：0837-2522738</w:t>
      </w:r>
    </w:p>
    <w:p>
      <w:pPr>
        <w:pStyle w:val="null3"/>
        <w:jc w:val="left"/>
      </w:pPr>
      <w:r>
        <w:rPr>
          <w:rFonts w:ascii="仿宋_GB2312" w:hAnsi="仿宋_GB2312" w:cs="仿宋_GB2312" w:eastAsia="仿宋_GB2312"/>
        </w:rPr>
        <w:t>地址：四川省阿坝藏族羌族⾃治州⾦川县勒乌镇⼆办公区</w:t>
      </w:r>
    </w:p>
    <w:p>
      <w:pPr>
        <w:pStyle w:val="null3"/>
        <w:jc w:val="left"/>
      </w:pPr>
      <w:r>
        <w:rPr>
          <w:rFonts w:ascii="仿宋_GB2312" w:hAnsi="仿宋_GB2312" w:cs="仿宋_GB2312" w:eastAsia="仿宋_GB2312"/>
        </w:rPr>
        <w:t>邮编：624100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联系电话：028-89993927</w:t>
      </w:r>
    </w:p>
    <w:p>
      <w:pPr>
        <w:pStyle w:val="null3"/>
        <w:jc w:val="left"/>
      </w:pPr>
      <w:r>
        <w:rPr>
          <w:rFonts w:ascii="仿宋_GB2312" w:hAnsi="仿宋_GB2312" w:cs="仿宋_GB2312" w:eastAsia="仿宋_GB2312"/>
        </w:rPr>
        <w:t>地址：成都市武侯区武侯大道铁佛段289号金履国际B座2栋7楼705号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920,000.00</w:t>
      </w:r>
    </w:p>
    <w:p>
      <w:pPr>
        <w:pStyle w:val="null3"/>
        <w:jc w:val="left"/>
      </w:pPr>
      <w:r>
        <w:rPr>
          <w:rFonts w:ascii="仿宋_GB2312" w:hAnsi="仿宋_GB2312" w:cs="仿宋_GB2312" w:eastAsia="仿宋_GB2312"/>
        </w:rPr>
        <w:t>采购包最高限价（元）: 920,000.00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C11020000 工程设计服务</w:t>
            </w:r>
          </w:p>
        </w:tc>
        <w:tc>
          <w:tcPr>
            <w:tcW w:type="dxa" w:w="821"/>
          </w:tcPr>
          <w:p>
            <w:pPr>
              <w:pStyle w:val="null3"/>
              <w:jc w:val="left"/>
            </w:pPr>
            <w:r>
              <w:rPr>
                <w:rFonts w:ascii="仿宋_GB2312" w:hAnsi="仿宋_GB2312" w:cs="仿宋_GB2312" w:eastAsia="仿宋_GB2312"/>
              </w:rPr>
              <w:t>金川县X062阿科里乡至毛日乡幸福美丽乡村路勘察设计服务采购</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金川县X062阿科里乡至毛日乡幸福美丽乡村路勘察设计服务采购</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标的名称：金川县X062阿科里乡至毛日乡幸福美丽乡村路勘察设计服务采购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、主要建设内容：</w:t>
            </w:r>
          </w:p>
          <w:p>
            <w:pPr>
              <w:pStyle w:val="null3"/>
              <w:jc w:val="left"/>
            </w:pPr>
            <w:r>
              <w:rPr>
                <w:rFonts w:ascii="仿宋_GB2312" w:hAnsi="仿宋_GB2312" w:cs="仿宋_GB2312" w:eastAsia="仿宋_GB2312"/>
                <w:sz w:val="24"/>
              </w:rPr>
              <w:t>项目概况：项目位于金川县阿科里乡及毛日乡境内，路线全长约</w:t>
            </w:r>
            <w:r>
              <w:rPr>
                <w:rFonts w:ascii="仿宋_GB2312" w:hAnsi="仿宋_GB2312" w:cs="仿宋_GB2312" w:eastAsia="仿宋_GB2312"/>
                <w:sz w:val="24"/>
              </w:rPr>
              <w:t>14.675</w:t>
            </w:r>
            <w:r>
              <w:rPr>
                <w:rFonts w:ascii="仿宋_GB2312" w:hAnsi="仿宋_GB2312" w:cs="仿宋_GB2312" w:eastAsia="仿宋_GB2312"/>
                <w:sz w:val="24"/>
              </w:rPr>
              <w:t>公里。项目主要建设任务是对原有公路进行改扩建，同时对路基、路面、边坡等病害进行整治，项目总体采用路基宽度</w:t>
            </w:r>
            <w:r>
              <w:rPr>
                <w:rFonts w:ascii="仿宋_GB2312" w:hAnsi="仿宋_GB2312" w:cs="仿宋_GB2312" w:eastAsia="仿宋_GB2312"/>
                <w:sz w:val="24"/>
              </w:rPr>
              <w:t>6.5m</w:t>
            </w:r>
            <w:r>
              <w:rPr>
                <w:rFonts w:ascii="仿宋_GB2312" w:hAnsi="仿宋_GB2312" w:cs="仿宋_GB2312" w:eastAsia="仿宋_GB2312"/>
                <w:sz w:val="24"/>
              </w:rPr>
              <w:t>的四级公路（</w:t>
            </w:r>
            <w:r>
              <w:rPr>
                <w:rFonts w:ascii="仿宋_GB2312" w:hAnsi="仿宋_GB2312" w:cs="仿宋_GB2312" w:eastAsia="仿宋_GB2312"/>
                <w:sz w:val="24"/>
              </w:rPr>
              <w:t>I</w:t>
            </w:r>
            <w:r>
              <w:rPr>
                <w:rFonts w:ascii="仿宋_GB2312" w:hAnsi="仿宋_GB2312" w:cs="仿宋_GB2312" w:eastAsia="仿宋_GB2312"/>
                <w:sz w:val="24"/>
              </w:rPr>
              <w:t>类）技术标准建设，设计速度</w:t>
            </w:r>
            <w:r>
              <w:rPr>
                <w:rFonts w:ascii="仿宋_GB2312" w:hAnsi="仿宋_GB2312" w:cs="仿宋_GB2312" w:eastAsia="仿宋_GB2312"/>
                <w:sz w:val="24"/>
              </w:rPr>
              <w:t>15</w:t>
            </w:r>
            <w:r>
              <w:rPr>
                <w:rFonts w:ascii="仿宋_GB2312" w:hAnsi="仿宋_GB2312" w:cs="仿宋_GB2312" w:eastAsia="仿宋_GB2312"/>
                <w:sz w:val="24"/>
              </w:rPr>
              <w:t>公里</w:t>
            </w:r>
            <w:r>
              <w:rPr>
                <w:rFonts w:ascii="仿宋_GB2312" w:hAnsi="仿宋_GB2312" w:cs="仿宋_GB2312" w:eastAsia="仿宋_GB2312"/>
                <w:sz w:val="24"/>
              </w:rPr>
              <w:t>/</w:t>
            </w:r>
            <w:r>
              <w:rPr>
                <w:rFonts w:ascii="仿宋_GB2312" w:hAnsi="仿宋_GB2312" w:cs="仿宋_GB2312" w:eastAsia="仿宋_GB2312"/>
                <w:sz w:val="24"/>
              </w:rPr>
              <w:t>小时，局部困难路段降低平纵指标。</w:t>
            </w:r>
          </w:p>
          <w:p>
            <w:pPr>
              <w:pStyle w:val="null3"/>
              <w:jc w:val="left"/>
            </w:pPr>
            <w:r>
              <w:rPr>
                <w:rFonts w:ascii="仿宋_GB2312" w:hAnsi="仿宋_GB2312" w:cs="仿宋_GB2312" w:eastAsia="仿宋_GB2312"/>
                <w:sz w:val="24"/>
              </w:rPr>
              <w:t>工作内容：完成金川县</w:t>
            </w:r>
            <w:r>
              <w:rPr>
                <w:rFonts w:ascii="仿宋_GB2312" w:hAnsi="仿宋_GB2312" w:cs="仿宋_GB2312" w:eastAsia="仿宋_GB2312"/>
                <w:sz w:val="24"/>
              </w:rPr>
              <w:t>X062</w:t>
            </w:r>
            <w:r>
              <w:rPr>
                <w:rFonts w:ascii="仿宋_GB2312" w:hAnsi="仿宋_GB2312" w:cs="仿宋_GB2312" w:eastAsia="仿宋_GB2312"/>
                <w:sz w:val="24"/>
              </w:rPr>
              <w:t>阿科里乡至毛日乡幸福美丽乡村路勘察设计项目初步设计、初勘初测、概算编制，施工图设计，详勘详测，预算编制等相关工作（不含开工专项要件）。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、技术要求：</w:t>
            </w:r>
          </w:p>
          <w:p>
            <w:pPr>
              <w:pStyle w:val="null3"/>
              <w:jc w:val="left"/>
            </w:pPr>
            <w:r>
              <w:rPr>
                <w:rFonts w:ascii="仿宋_GB2312" w:hAnsi="仿宋_GB2312" w:cs="仿宋_GB2312" w:eastAsia="仿宋_GB2312"/>
                <w:sz w:val="24"/>
              </w:rPr>
              <w:t>本项目的编制过程和成果必须符合国家有关工程建设标准强制性</w:t>
            </w:r>
            <w:r>
              <w:rPr>
                <w:rFonts w:ascii="仿宋_GB2312" w:hAnsi="仿宋_GB2312" w:cs="仿宋_GB2312" w:eastAsia="仿宋_GB2312"/>
                <w:sz w:val="24"/>
              </w:rPr>
              <w:t>条文、中华人民共和国国家标准和交通部及其他部委颁布的有关工程设计等方面现行的标准、规范、规程、定额、办法、示例，以及建设部、四川省建设厅、四川省交通运输厅下发的有关工程设计方面的文件和规定。根据公路工程相关规范的要求，完成金川县</w:t>
            </w:r>
            <w:r>
              <w:rPr>
                <w:rFonts w:ascii="仿宋_GB2312" w:hAnsi="仿宋_GB2312" w:cs="仿宋_GB2312" w:eastAsia="仿宋_GB2312"/>
                <w:sz w:val="24"/>
              </w:rPr>
              <w:t>X062</w:t>
            </w:r>
            <w:r>
              <w:rPr>
                <w:rFonts w:ascii="仿宋_GB2312" w:hAnsi="仿宋_GB2312" w:cs="仿宋_GB2312" w:eastAsia="仿宋_GB2312"/>
                <w:sz w:val="24"/>
              </w:rPr>
              <w:t>阿科里乡至毛日乡幸福美丽乡村路勘察设计项目初步设计、初勘初测、概算编制，施工图设计，详勘详测，预算编制等相关工作（不含开工专项要件）。达到相关规范合格质量要求，通过相关主管部门审批，并对其质量负全面责任。在编制过程中，如果国家或有关部委颁发了新的技术标准或规范，则供应商应采用新的标准或规范进行编制。</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、成交要求：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编制成果归采购人所有，成交供应商应对编制成果进行保密，未经采购人同意，不得对资料及文件擅自修改、复制或向第三人转让或用于本合同项目外的项目。如果发生以上情况，泄密方承担一切由此引起的后果并承担赔偿责任。</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2）最终向采购人提供本项目初步设计文件、概算文件、施工图设计文件和预算文件，并配合业主取得项目批复。</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服务范围</w:t>
            </w:r>
          </w:p>
        </w:tc>
        <w:tc>
          <w:tcPr>
            <w:tcW w:type="dxa" w:w="5814"/>
          </w:tcPr>
          <w:p>
            <w:pPr>
              <w:pStyle w:val="null3"/>
              <w:jc w:val="left"/>
            </w:pPr>
            <w:r>
              <w:rPr>
                <w:rFonts w:ascii="仿宋_GB2312" w:hAnsi="仿宋_GB2312" w:cs="仿宋_GB2312" w:eastAsia="仿宋_GB2312"/>
                <w:sz w:val="24"/>
              </w:rPr>
              <w:t>完成金川县</w:t>
            </w:r>
            <w:r>
              <w:rPr>
                <w:rFonts w:ascii="仿宋_GB2312" w:hAnsi="仿宋_GB2312" w:cs="仿宋_GB2312" w:eastAsia="仿宋_GB2312"/>
                <w:sz w:val="24"/>
              </w:rPr>
              <w:t>X062阿科里乡至毛日乡幸福美丽乡村路勘察设计项目初步设计、初勘初测、概算编制，施工图设计，详勘详测，预算编制等相关工作（不含开工专项要件）。</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1.验收标准：按照政府采购相关法律法规、采购文件的服务要求和技术质量指标、供应商的响应文件、承诺以及项目合同约定标准进行验收； 2.验收方法：按照《财政部关于进一步加强政府采购需求和履约验收管理的指导意见》(财库〔2016〕205号)、《政府采购需求管理办法》（财库〔2021〕22号）文件的通知及其他有关规定，按实际要求进行验收。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1、资金下达后，在初步设计获得主管部门批复后14日内，达到付款条件起14日内，据实结算说明为支付至合同总金额的40.00%</w:t>
            </w:r>
          </w:p>
          <w:p>
            <w:pPr>
              <w:pStyle w:val="null3"/>
              <w:jc w:val="left"/>
            </w:pPr>
            <w:r>
              <w:rPr>
                <w:rFonts w:ascii="仿宋_GB2312" w:hAnsi="仿宋_GB2312" w:cs="仿宋_GB2312" w:eastAsia="仿宋_GB2312"/>
              </w:rPr>
              <w:t>2、在施工图设计获得主管部门批复后，达到付款条件起14日内，据实结算说明为支付至合同总金额的85.00%</w:t>
            </w:r>
          </w:p>
          <w:p>
            <w:pPr>
              <w:pStyle w:val="null3"/>
              <w:jc w:val="left"/>
            </w:pPr>
            <w:r>
              <w:rPr>
                <w:rFonts w:ascii="仿宋_GB2312" w:hAnsi="仿宋_GB2312" w:cs="仿宋_GB2312" w:eastAsia="仿宋_GB2312"/>
              </w:rPr>
              <w:t>3、在项目获得交工验收证书后，达到付款条件起14日内，据实结算说明为支付至合同总金额的100.00%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1、违约责任：①采购人与成交供应商双方必须 遵守本项目并执行合同中的各项规定，保证本项目的合法正常履行。②如因成交供应商工 作人员在履行职务过程中的疏忽、失职、过错等故意或者过失原因给采购人造成损失或侵 害，包括但不限于采购人本身的财产损失、由此而导致的采购人对任何第三方的法律责任 等，成交供应商对此均应承担全部的赔偿责任。 2、争议管辖：①因服务的质量问题发生 争议，由采购人或其指定的第三方机构进行质量鉴定。服务符合标准的，鉴定费由采购人 承担；服务不符合质量标准的，鉴定费由供应商承担。②合同履行期间，若双方发生争 议，可协商或由有关部门调解解决，协商或调解不成的，向采购人所在地有管辖权的人民 法院提起诉讼。③人民法院所作裁判应为最终决定，并对双方具有约束力。④除另有裁决 外，诉讼费应由败诉方负担。⑥在诉讼期间，除正在进行诉讼部分外，合同其他部分继续执行。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安全责任：在履行合同过程中，由成交供应商自行负责和承担相关安全责任。成交供应商按有关规定采取严格的项目实施安全措施，承担由于自身安全措施不力造成的事故责任和因此发生的费用及后果，成交供应商投入本项目工作人员的人身安全由成交供应商负责。凡在项目实施过程中由成交供应商原因发生安全事故或其他责任事故，均由成交供应商承担。【供应商响应时须单独提供承诺函，格式自拟】 2、供应商履约要求 2.1供应商针对本项目提供的项目实施方案包含：①对该项目的理解；②对项目的服务范围和工作内容认识；③对项目的重点难点分析；④项目组织管理及岗位职责；⑤对项目进度的安排。供应商针对本项目提供的项目服务方案包含：①对项目的质量保障措施；②进度保障措施；③保密措施；④后期服务保障措施。 2.2供应商应为本项目的配备专业技术人员。 2.3.供应商应具有类似项目业绩。 3、其他未尽事宜由采购人和成交人在采购合同中另行协商约定。 注意：本章带“★”号条款为实质性要求，供应商若未满足的，将被视为无效响应(如涉及)。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 并进行电子签章。同时需要提供具有独立承担民事责任能力的证明材料：供应商若为企业法 人的，提供具有统一社会信用代码的营业执照；供应商若为事业法人的，提供具有统一社会 信用代码的法人登记证书；供应商若为其他组织的，提供对应主管部门颁发的准许执业证明 文件或营业执照；供应商若为自然人的，提供身份证明材料；供应商若为银行、保险、石油 石化、电力、电信等有行业特殊情况的企业，提供分支机构具有统一社会信用代码的营业执 照。供应商需在项目电子化交易系统中按要求上传相应证明文件并进行电子签章。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本项目供应商资质要求：</w:t>
            </w:r>
          </w:p>
        </w:tc>
        <w:tc>
          <w:tcPr>
            <w:tcW w:type="dxa" w:w="3322"/>
          </w:tcPr>
          <w:p>
            <w:pPr>
              <w:pStyle w:val="null3"/>
              <w:jc w:val="left"/>
            </w:pPr>
            <w:r>
              <w:rPr>
                <w:rFonts w:ascii="仿宋_GB2312" w:hAnsi="仿宋_GB2312" w:cs="仿宋_GB2312" w:eastAsia="仿宋_GB2312"/>
              </w:rPr>
              <w:t>1.供应商应具备行政主管部门颁发的工程设计公路行业（公路）专业丙级及以上设计资质； 2.供应 商具备行政主管部门颁发的工程勘察专业类（岩土工程、工程测量）丙级及以上勘察资质。【提供 有效的资质扫描件并加盖电子签章】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本项目允许联合体参与投标：</w:t>
            </w:r>
          </w:p>
        </w:tc>
        <w:tc>
          <w:tcPr>
            <w:tcW w:type="dxa" w:w="3322"/>
          </w:tcPr>
          <w:p>
            <w:pPr>
              <w:pStyle w:val="null3"/>
              <w:jc w:val="left"/>
            </w:pPr>
            <w:r>
              <w:rPr>
                <w:rFonts w:ascii="仿宋_GB2312" w:hAnsi="仿宋_GB2312" w:cs="仿宋_GB2312" w:eastAsia="仿宋_GB2312"/>
              </w:rPr>
              <w:t>以联合体形式参加投标的，联合体各方均应当符合《中华人民共和国政府采购法》第二十二条第一 款规定的条件，并提交联合体协议，联合体家数不超过2家，载明联合体各方承担的工作和相应的责 任。 联合体牵头单位为设计单位。【电子投标文件编制要求：①联合体各方均须按要求填写《投标 （响应）函》，其中联合体牵头单位需在投标客户端中按要求在线填写《投标（响应）函》并进行 电子签章；联合体成员单位须按照第六章投标文件格式《投标（响应）函》线下填写并加盖公章， 盖章完成后扫描上传编制于第六章投标文件格式《投标人应提交的相关资格证明材料》。 ②因系统 原因，联合体协议需线下签订并加盖各方公章，签订完成后，扫描上传并编制于第六章投标文件格 式《供应商应提交的相关证明材料》】； ③联合体中有同类资质的供应商按照联合体分工承担相同 工作的，应当按照资质等级较低的供应商确定资质等级；④同一个包内联合体各方不得再单独参加 或者与其他供应商另外组成联合体参加同一合同项下的政府采购活动。</w:t>
            </w:r>
          </w:p>
        </w:tc>
        <w:tc>
          <w:tcPr>
            <w:tcW w:type="dxa" w:w="1661"/>
          </w:tcPr>
          <w:p>
            <w:pPr>
              <w:pStyle w:val="null3"/>
              <w:jc w:val="left"/>
            </w:pPr>
            <w:r>
              <w:rPr>
                <w:rFonts w:ascii="仿宋_GB2312" w:hAnsi="仿宋_GB2312" w:cs="仿宋_GB2312" w:eastAsia="仿宋_GB2312"/>
              </w:rPr>
              <w:t>非联合体声明（若适用）.docx,投标（响应）函,联合体协议书(若涉及）.docx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实质性要求.docx,投标（响应）函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技术要求响应（实质性要求）</w:t>
            </w:r>
          </w:p>
        </w:tc>
        <w:tc>
          <w:tcPr>
            <w:tcW w:type="dxa" w:w="3322"/>
          </w:tcPr>
          <w:p>
            <w:pPr>
              <w:pStyle w:val="null3"/>
              <w:jc w:val="left"/>
            </w:pPr>
            <w:r>
              <w:rPr>
                <w:rFonts w:ascii="仿宋_GB2312" w:hAnsi="仿宋_GB2312" w:cs="仿宋_GB2312" w:eastAsia="仿宋_GB2312"/>
              </w:rPr>
              <w:t>在评审过程中，评审⼩组应按照采购⽂件第三章技术要求中的实质性要求，对供应商响应内容进⾏审查，未响应或未响应完全的，评审⼩组应当将其响应⽂件作为⽆效投标处理。</w:t>
            </w:r>
          </w:p>
        </w:tc>
        <w:tc>
          <w:tcPr>
            <w:tcW w:type="dxa" w:w="1661"/>
          </w:tcPr>
          <w:p>
            <w:pPr>
              <w:pStyle w:val="null3"/>
              <w:jc w:val="left"/>
            </w:pPr>
            <w:r>
              <w:rPr>
                <w:rFonts w:ascii="仿宋_GB2312" w:hAnsi="仿宋_GB2312" w:cs="仿宋_GB2312" w:eastAsia="仿宋_GB2312"/>
              </w:rPr>
              <w:t>技术要求响应表.docx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服务内容要求</w:t>
            </w:r>
          </w:p>
        </w:tc>
        <w:tc>
          <w:tcPr>
            <w:tcW w:type="dxa" w:w="3322"/>
          </w:tcPr>
          <w:p>
            <w:pPr>
              <w:pStyle w:val="null3"/>
              <w:jc w:val="left"/>
            </w:pPr>
            <w:r>
              <w:rPr>
                <w:rFonts w:ascii="仿宋_GB2312" w:hAnsi="仿宋_GB2312" w:cs="仿宋_GB2312" w:eastAsia="仿宋_GB2312"/>
              </w:rPr>
              <w:t>在评审过程中，评审⼩组应按照采购⽂件第三章服务内容要求中涉及到的实质性要求，对供应商响应内容进⾏审查，未响应或未响应完全的，评审⼩组应当将其响应⽂件作为⽆效投标处理。</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商务要求响应及其他要求</w:t>
            </w:r>
          </w:p>
        </w:tc>
        <w:tc>
          <w:tcPr>
            <w:tcW w:type="dxa" w:w="3322"/>
          </w:tcPr>
          <w:p>
            <w:pPr>
              <w:pStyle w:val="null3"/>
              <w:jc w:val="left"/>
            </w:pPr>
            <w:r>
              <w:rPr>
                <w:rFonts w:ascii="仿宋_GB2312" w:hAnsi="仿宋_GB2312" w:cs="仿宋_GB2312" w:eastAsia="仿宋_GB2312"/>
              </w:rPr>
              <w:t>在评审过程中，评审⼩组应按照采购⽂件第三章商务要求、其他要求中实质性要求，对供应商响应内容进⾏审查，未响应或未响应完全的，评审⼩组应当将其响应⽂件作为⽆效投标处理。 在评审过程中，评审⼩组应对投标供应商提供的按采购⽂件中的明确要求进⾏单独承诺或提供承诺函或要求提供扫描件的实质性要求的响应资料进⾏审查未响应或未响应完全的，评审⼩组应当将其响应⽂件作为⽆效投标处理。</w:t>
            </w:r>
          </w:p>
        </w:tc>
        <w:tc>
          <w:tcPr>
            <w:tcW w:type="dxa" w:w="1661"/>
          </w:tcPr>
          <w:p>
            <w:pPr>
              <w:pStyle w:val="null3"/>
              <w:jc w:val="left"/>
            </w:pPr>
            <w:r>
              <w:rPr>
                <w:rFonts w:ascii="仿宋_GB2312" w:hAnsi="仿宋_GB2312" w:cs="仿宋_GB2312" w:eastAsia="仿宋_GB2312"/>
              </w:rPr>
              <w:t>商务要求、其他要求应答表.docx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供应商针对本项目提供的项目实施方案包含：①对该项目的理解；②对项目的服务范围和工作内容认识；③对项目的重点难点分析；④项目组织管理及岗位职责； ⑤对项目进度的安排。以上5个方面，结合项目实际情况，对每个方面需用单独的文字和章节来表述，方案符合采购需求且无缺项或缺陷得50分，每有一项缺项扣10分；每有一项缺陷扣5分，每方面对应分值扣完为止，未提供方案不得分，本项最多得50分。 注：缺陷是指：内容与项目无关、内容表述错误、内容前后表述矛盾、项目信息错误、套用其他方案、缺少关键节点、涉及相关国家标准、行业标准、规范、专业术语或符号存在书写错误等任意一种情形。</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提供的项目服务方案包含：①对项目的质量保障措施；②进度保障措施；③保密措施；④后期服务保障措施。以上4个方面，结合项目实际情况，对每个方面需用单独的文字和章节来表述，方案符合采购需求且无缺项或缺陷得24分，每有一项缺项扣6分；每有一项缺陷扣3分，每方面对应分值扣完为止，未提供方案不得分，本项最多得24分。 注：缺陷是指：内容与项目无关、内容表述错误、内容前后表述矛盾、项目信息错误、套 用其他方案、缺少关键节点、涉及相关国家标准、行业标准、规范、专业术语或符号存在书写错误等任意一种情形。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服务团队配置</w:t>
            </w:r>
          </w:p>
        </w:tc>
        <w:tc>
          <w:tcPr>
            <w:tcW w:type="dxa" w:w="2575"/>
          </w:tcPr>
          <w:p>
            <w:pPr>
              <w:pStyle w:val="null3"/>
              <w:jc w:val="left"/>
            </w:pPr>
            <w:r>
              <w:rPr>
                <w:rFonts w:ascii="仿宋_GB2312" w:hAnsi="仿宋_GB2312" w:cs="仿宋_GB2312" w:eastAsia="仿宋_GB2312"/>
              </w:rPr>
              <w:t>1、项目负责人(1人):具有注册土木工程师 (道路工程)注册执业证书得2分；同时具有公路或道桥类相关专业中级及以上技术职称加1分；本项最高得3分。 2、设计负责人(1人):具有公路或道桥类相关专业中级及以上技术职称得2分；本项最高得2分。 3、勘察负责人(1人):具有注册土木工程师 (岩土)注册执业证书得2分，同时具有公路或道桥类相关专业中级及以上技术职称加1分；本项最高得3分。 4、造价负责人(1人)：具有全国一级造价工程师（交通运输）或交通运输部甲级造价证书得2分，具有公路或道桥类相关专业中级及以上职称证书加1分；本项最高得3分。 注：以上人员不重复计分，提供上述人员相关证书复印件加盖供应商公章。</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服务团队人员配置表.docx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供应商2023年1月1日以来至递交响应文件之日每具有1个类似项目经验得2.5分，本项最多得5分。 注：1、类似项目业绩指：与公路相关的勘察设计类。 2、供应商提供中标（成交）通知书或合同关键页复印件并加盖供应商公章，时间以签订合同时间为准。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非联合体声明（若适用）.docx,中小企业声明函,残疾人福利性单位声明函,供应商应提交的相关证明材料,报价表,监狱企业的证明文件,联合体协议书(若涉及）.docx</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详见附件：非联合体声明（若适用）.docx</w:t>
      </w:r>
    </w:p>
    <w:p>
      <w:pPr>
        <w:pStyle w:val="null3"/>
        <w:ind w:firstLine="960"/>
        <w:jc w:val="left"/>
      </w:pPr>
      <w:r>
        <w:rPr>
          <w:rFonts w:ascii="仿宋_GB2312" w:hAnsi="仿宋_GB2312" w:cs="仿宋_GB2312" w:eastAsia="仿宋_GB2312"/>
        </w:rPr>
        <w:t>详见附件：联合体协议书(若涉及）.docx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详见附件：履约经验一览表.docx</w:t>
      </w:r>
    </w:p>
    <w:p>
      <w:pPr>
        <w:pStyle w:val="null3"/>
        <w:ind w:firstLine="960"/>
        <w:jc w:val="left"/>
      </w:pPr>
      <w:r>
        <w:rPr>
          <w:rFonts w:ascii="仿宋_GB2312" w:hAnsi="仿宋_GB2312" w:cs="仿宋_GB2312" w:eastAsia="仿宋_GB2312"/>
        </w:rPr>
        <w:t>详见附件：服务团队人员配置表.docx</w:t>
      </w:r>
    </w:p>
    <w:p>
      <w:pPr>
        <w:pStyle w:val="null3"/>
        <w:ind w:firstLine="960"/>
        <w:jc w:val="left"/>
      </w:pPr>
      <w:r>
        <w:rPr>
          <w:rFonts w:ascii="仿宋_GB2312" w:hAnsi="仿宋_GB2312" w:cs="仿宋_GB2312" w:eastAsia="仿宋_GB2312"/>
        </w:rPr>
        <w:t>详见附件：技术要求响应表.docx</w:t>
      </w:r>
    </w:p>
    <w:p>
      <w:pPr>
        <w:pStyle w:val="null3"/>
        <w:ind w:firstLine="960"/>
        <w:jc w:val="left"/>
      </w:pPr>
      <w:r>
        <w:rPr>
          <w:rFonts w:ascii="仿宋_GB2312" w:hAnsi="仿宋_GB2312" w:cs="仿宋_GB2312" w:eastAsia="仿宋_GB2312"/>
        </w:rPr>
        <w:t>详见附件：商务要求、其他要求应答表.docx</w:t>
      </w:r>
    </w:p>
    <w:p>
      <w:pPr>
        <w:pStyle w:val="null3"/>
        <w:ind w:firstLine="960"/>
        <w:jc w:val="left"/>
      </w:pPr>
      <w:r>
        <w:rPr>
          <w:rFonts w:ascii="仿宋_GB2312" w:hAnsi="仿宋_GB2312" w:cs="仿宋_GB2312" w:eastAsia="仿宋_GB2312"/>
        </w:rPr>
        <w:t>详见附件：实质性要求.docx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