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36333">
      <w:pPr>
        <w:jc w:val="center"/>
        <w:outlineLvl w:val="1"/>
        <w:rPr>
          <w:rFonts w:hint="eastAsia" w:ascii="Calibri" w:hAnsi="Calibri" w:eastAsia="宋体" w:cs="Times New Roman"/>
          <w:lang w:val="en-US" w:eastAsia="zh-Hans"/>
        </w:rPr>
      </w:pPr>
      <w:r>
        <w:rPr>
          <w:rFonts w:hint="eastAsia" w:ascii="仿宋_GB2312" w:hAnsi="仿宋_GB2312" w:eastAsia="仿宋_GB2312" w:cs="仿宋_GB2312"/>
          <w:b/>
          <w:sz w:val="36"/>
          <w:lang w:val="en-US" w:eastAsia="zh-Hans"/>
        </w:rPr>
        <w:t>技术、服务及其他要求</w:t>
      </w:r>
    </w:p>
    <w:p w14:paraId="2F2D6CF0">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（注：本章的技术、服务及其他要求中，带“★”的要求为实质性要求。采购人、代理机构应当根据项目实际要求合理设定，并在第五章符合性审查中明确响应要求。）</w:t>
      </w:r>
    </w:p>
    <w:p w14:paraId="58B3CCD7">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3.1.采购内容</w:t>
      </w:r>
    </w:p>
    <w:p w14:paraId="71D987E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1223E64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采购包预算金额（元）: 1,346,000.00</w:t>
      </w:r>
    </w:p>
    <w:p w14:paraId="470F413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采购包最高限价（元）: 1,346,000.00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5"/>
        <w:gridCol w:w="1116"/>
        <w:gridCol w:w="713"/>
        <w:gridCol w:w="820"/>
        <w:gridCol w:w="1416"/>
        <w:gridCol w:w="713"/>
        <w:gridCol w:w="713"/>
        <w:gridCol w:w="713"/>
        <w:gridCol w:w="713"/>
        <w:gridCol w:w="580"/>
        <w:gridCol w:w="580"/>
      </w:tblGrid>
      <w:tr w14:paraId="7F220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F7376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821" w:type="dxa"/>
          </w:tcPr>
          <w:p w14:paraId="68887FF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821" w:type="dxa"/>
          </w:tcPr>
          <w:p w14:paraId="46C09E1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821" w:type="dxa"/>
          </w:tcPr>
          <w:p w14:paraId="4B337FA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w:t>
            </w:r>
            <w:r>
              <w:rPr>
                <w:rFonts w:hint="eastAsia" w:ascii="Calibri" w:hAnsi="Calibri" w:eastAsia="宋体" w:cs="Times New Roman"/>
                <w:lang w:val="en-US" w:eastAsia="zh-Hans"/>
              </w:rPr>
              <w:br w:type="textWrapping"/>
            </w:r>
            <w:r>
              <w:rPr>
                <w:rFonts w:hint="eastAsia" w:ascii="仿宋_GB2312" w:hAnsi="仿宋_GB2312" w:eastAsia="仿宋_GB2312" w:cs="仿宋_GB2312"/>
                <w:lang w:val="en-US" w:eastAsia="zh-Hans"/>
              </w:rPr>
              <w:t>(计量单位)</w:t>
            </w:r>
          </w:p>
        </w:tc>
        <w:tc>
          <w:tcPr>
            <w:tcW w:w="821" w:type="dxa"/>
          </w:tcPr>
          <w:p w14:paraId="1E5A341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标的金额 （元）</w:t>
            </w:r>
          </w:p>
        </w:tc>
        <w:tc>
          <w:tcPr>
            <w:tcW w:w="821" w:type="dxa"/>
          </w:tcPr>
          <w:p w14:paraId="568AD99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所属行业</w:t>
            </w:r>
          </w:p>
        </w:tc>
        <w:tc>
          <w:tcPr>
            <w:tcW w:w="821" w:type="dxa"/>
          </w:tcPr>
          <w:p w14:paraId="1813802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是否涉及核心产品</w:t>
            </w:r>
          </w:p>
        </w:tc>
        <w:tc>
          <w:tcPr>
            <w:tcW w:w="821" w:type="dxa"/>
          </w:tcPr>
          <w:p w14:paraId="5E6935C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是否涉及采购进口产品</w:t>
            </w:r>
          </w:p>
        </w:tc>
        <w:tc>
          <w:tcPr>
            <w:tcW w:w="821" w:type="dxa"/>
          </w:tcPr>
          <w:p w14:paraId="5784B9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是否涉及强制采购节能产品</w:t>
            </w:r>
          </w:p>
        </w:tc>
        <w:tc>
          <w:tcPr>
            <w:tcW w:w="639" w:type="dxa"/>
          </w:tcPr>
          <w:p w14:paraId="718C1DE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是否涉及优先采购节能产品</w:t>
            </w:r>
          </w:p>
        </w:tc>
        <w:tc>
          <w:tcPr>
            <w:tcW w:w="639" w:type="dxa"/>
          </w:tcPr>
          <w:p w14:paraId="39F674F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是否涉及优先采购环境标志产品</w:t>
            </w:r>
          </w:p>
        </w:tc>
      </w:tr>
      <w:tr w14:paraId="6930D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78C68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821" w:type="dxa"/>
          </w:tcPr>
          <w:p w14:paraId="1B4818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C23120500 医疗设备维修和保养服务</w:t>
            </w:r>
          </w:p>
        </w:tc>
        <w:tc>
          <w:tcPr>
            <w:tcW w:w="821" w:type="dxa"/>
          </w:tcPr>
          <w:p w14:paraId="4AB4763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医疗设备维修和保养</w:t>
            </w:r>
          </w:p>
        </w:tc>
        <w:tc>
          <w:tcPr>
            <w:tcW w:w="821" w:type="dxa"/>
          </w:tcPr>
          <w:p w14:paraId="3DAFEA16">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821" w:type="dxa"/>
          </w:tcPr>
          <w:p w14:paraId="70C48E59">
            <w:pPr>
              <w:jc w:val="righ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1,346,000.00</w:t>
            </w:r>
          </w:p>
        </w:tc>
        <w:tc>
          <w:tcPr>
            <w:tcW w:w="821" w:type="dxa"/>
          </w:tcPr>
          <w:p w14:paraId="599F096C">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其他未列明行业</w:t>
            </w:r>
          </w:p>
        </w:tc>
        <w:tc>
          <w:tcPr>
            <w:tcW w:w="821" w:type="dxa"/>
          </w:tcPr>
          <w:p w14:paraId="30FAE23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01FE13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821" w:type="dxa"/>
          </w:tcPr>
          <w:p w14:paraId="2E0F83AF">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02170D5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c>
          <w:tcPr>
            <w:tcW w:w="639" w:type="dxa"/>
          </w:tcPr>
          <w:p w14:paraId="400110B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否</w:t>
            </w:r>
          </w:p>
        </w:tc>
      </w:tr>
    </w:tbl>
    <w:p w14:paraId="3C7153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是否适用本国产品标准：</w:t>
      </w:r>
    </w:p>
    <w:p w14:paraId="778DDE4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采购包1：否</w:t>
      </w:r>
    </w:p>
    <w:p w14:paraId="77C1BD7D">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报价要求</w:t>
      </w:r>
    </w:p>
    <w:p w14:paraId="73EC319A">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14:paraId="2883C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B909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1707" w:type="dxa"/>
          </w:tcPr>
          <w:p w14:paraId="3CB24E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报价内容</w:t>
            </w:r>
          </w:p>
        </w:tc>
        <w:tc>
          <w:tcPr>
            <w:tcW w:w="1138" w:type="dxa"/>
          </w:tcPr>
          <w:p w14:paraId="266DD41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数量（计量单位）</w:t>
            </w:r>
          </w:p>
        </w:tc>
        <w:tc>
          <w:tcPr>
            <w:tcW w:w="1365" w:type="dxa"/>
          </w:tcPr>
          <w:p w14:paraId="7A1D721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最高限价</w:t>
            </w:r>
          </w:p>
        </w:tc>
        <w:tc>
          <w:tcPr>
            <w:tcW w:w="1138" w:type="dxa"/>
          </w:tcPr>
          <w:p w14:paraId="54B8CAB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价款形式</w:t>
            </w:r>
          </w:p>
        </w:tc>
        <w:tc>
          <w:tcPr>
            <w:tcW w:w="1934" w:type="dxa"/>
          </w:tcPr>
          <w:p w14:paraId="67525F2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报价说明</w:t>
            </w:r>
          </w:p>
        </w:tc>
      </w:tr>
      <w:tr w14:paraId="6CF9F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3950E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1707" w:type="dxa"/>
          </w:tcPr>
          <w:p w14:paraId="7540951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医疗设备维修和保养</w:t>
            </w:r>
          </w:p>
        </w:tc>
        <w:tc>
          <w:tcPr>
            <w:tcW w:w="1138" w:type="dxa"/>
          </w:tcPr>
          <w:p w14:paraId="2E2D39D7">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1.00（项）</w:t>
            </w:r>
          </w:p>
        </w:tc>
        <w:tc>
          <w:tcPr>
            <w:tcW w:w="1365" w:type="dxa"/>
          </w:tcPr>
          <w:p w14:paraId="03BB2EC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1,346,000.00</w:t>
            </w:r>
          </w:p>
        </w:tc>
        <w:tc>
          <w:tcPr>
            <w:tcW w:w="1138" w:type="dxa"/>
          </w:tcPr>
          <w:p w14:paraId="3694B6E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总价</w:t>
            </w:r>
          </w:p>
        </w:tc>
        <w:tc>
          <w:tcPr>
            <w:tcW w:w="1934" w:type="dxa"/>
          </w:tcPr>
          <w:p w14:paraId="3EE8DB1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无</w:t>
            </w:r>
          </w:p>
        </w:tc>
      </w:tr>
    </w:tbl>
    <w:p w14:paraId="7AA23B6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★注：采购包涉及采购货物的，投标人响应产品应当明确品牌和规格型号并指向唯一产品，不能指向唯一产品的，应通过报价表唯一产品说明栏补充说明。</w:t>
      </w:r>
    </w:p>
    <w:p w14:paraId="184FEEF1">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本项目涉及核心产品：</w:t>
      </w:r>
    </w:p>
    <w:p w14:paraId="556845C6">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0F7C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5EC69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2CAF111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4EC0FEA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5DCB9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70405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2254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0986E7A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注：涉及核心产品的，具体评审规定见第五章。</w:t>
      </w:r>
    </w:p>
    <w:p w14:paraId="3FA1C708">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本项目涉及采购进口产品：</w:t>
      </w:r>
    </w:p>
    <w:p w14:paraId="5EBF394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C092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185161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A994C6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FBD2C8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954DE7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3B0A0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E77D304">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5405A24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★注：不涉及采购进口产品时，投标人不得提供进口产品进行响应；涉及采购进口产品时，如国产产品满足采购需求，也可提供国产产品进行响应。</w:t>
      </w:r>
    </w:p>
    <w:p w14:paraId="6866EFCC">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本项目涉及强制采购节能产品：</w:t>
      </w:r>
    </w:p>
    <w:p w14:paraId="48F6244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781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DA3398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7E73684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6C51F7D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4A54015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D021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C5B5F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69D72C8">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4942693D">
      <w:pPr>
        <w:jc w:val="left"/>
        <w:rPr>
          <w:rFonts w:hint="eastAsia" w:ascii="Calibri" w:hAnsi="Calibri" w:eastAsia="宋体" w:cs="Times New Roman"/>
          <w:lang w:val="en-US" w:eastAsia="zh-Hans"/>
        </w:rPr>
      </w:pPr>
      <w:r>
        <w:rPr>
          <w:rFonts w:hint="eastAsia" w:ascii="仿宋_GB2312" w:hAnsi="仿宋_GB2312" w:eastAsia="仿宋_GB2312" w:cs="仿宋_GB2312"/>
          <w:b/>
          <w:lang w:val="en-US" w:eastAsia="zh-Hans"/>
        </w:rPr>
        <w:t>本项目涉及优先采购节能产品：</w:t>
      </w:r>
    </w:p>
    <w:p w14:paraId="384BBAC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DEAF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D66B2A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15B03E7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0389DE9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6254C7C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16D92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5504FF5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2AC64C47">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04506429">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本项目涉及优先采购环境标志产品：</w:t>
      </w:r>
    </w:p>
    <w:p w14:paraId="3F12E4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25C99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339E91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2492" w:type="dxa"/>
          </w:tcPr>
          <w:p w14:paraId="5D1AEE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采购品目名称</w:t>
            </w:r>
          </w:p>
        </w:tc>
        <w:tc>
          <w:tcPr>
            <w:tcW w:w="2492" w:type="dxa"/>
          </w:tcPr>
          <w:p w14:paraId="2D2A3DD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w:t>
            </w:r>
          </w:p>
        </w:tc>
        <w:tc>
          <w:tcPr>
            <w:tcW w:w="2492" w:type="dxa"/>
          </w:tcPr>
          <w:p w14:paraId="2C3E98C3">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产品名称</w:t>
            </w:r>
          </w:p>
        </w:tc>
      </w:tr>
      <w:tr w14:paraId="21DD6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758587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不涉及</w:t>
            </w:r>
          </w:p>
        </w:tc>
      </w:tr>
    </w:tbl>
    <w:p w14:paraId="436E3942">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63312D13">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3.2.技术要求</w:t>
      </w:r>
    </w:p>
    <w:p w14:paraId="55E11ED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417D4EE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标的名称：医疗设备维修和保养</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5480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10A28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65B4EF6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0712926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技术要求名称</w:t>
            </w:r>
          </w:p>
        </w:tc>
        <w:tc>
          <w:tcPr>
            <w:tcW w:w="5814" w:type="dxa"/>
          </w:tcPr>
          <w:p w14:paraId="0394F73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技术参数与性能指标</w:t>
            </w:r>
          </w:p>
        </w:tc>
      </w:tr>
      <w:tr w14:paraId="224C9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A751A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E7C4E14">
            <w:pPr>
              <w:rPr>
                <w:rFonts w:ascii="Calibri" w:hAnsi="Calibri" w:eastAsia="宋体" w:cs="Times New Roman"/>
              </w:rPr>
            </w:pPr>
          </w:p>
        </w:tc>
        <w:tc>
          <w:tcPr>
            <w:tcW w:w="1495" w:type="dxa"/>
          </w:tcPr>
          <w:p w14:paraId="361F8948">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技术要求</w:t>
            </w:r>
          </w:p>
        </w:tc>
        <w:tc>
          <w:tcPr>
            <w:tcW w:w="5814" w:type="dxa"/>
          </w:tcPr>
          <w:p w14:paraId="47B29DCC">
            <w:pPr>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★1、维保设备清单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8"/>
              <w:gridCol w:w="868"/>
              <w:gridCol w:w="1633"/>
              <w:gridCol w:w="1555"/>
              <w:gridCol w:w="769"/>
            </w:tblGrid>
            <w:tr w14:paraId="15CD41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B63FF3">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22"/>
                      <w:lang w:val="en-US" w:eastAsia="zh-Hans"/>
                    </w:rPr>
                    <w:t>序号</w:t>
                  </w:r>
                </w:p>
              </w:tc>
              <w:tc>
                <w:tcPr>
                  <w:tcW w:w="86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F2408D">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22"/>
                      <w:lang w:val="en-US" w:eastAsia="zh-Hans"/>
                    </w:rPr>
                    <w:t>设备名称</w:t>
                  </w:r>
                </w:p>
              </w:tc>
              <w:tc>
                <w:tcPr>
                  <w:tcW w:w="163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5C8517">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22"/>
                      <w:lang w:val="en-US" w:eastAsia="zh-Hans"/>
                    </w:rPr>
                    <w:t>型号</w:t>
                  </w:r>
                </w:p>
              </w:tc>
              <w:tc>
                <w:tcPr>
                  <w:tcW w:w="155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9B2C603">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22"/>
                      <w:lang w:val="en-US" w:eastAsia="zh-Hans"/>
                    </w:rPr>
                    <w:t>生产厂家</w:t>
                  </w:r>
                </w:p>
              </w:tc>
              <w:tc>
                <w:tcPr>
                  <w:tcW w:w="76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D2F797C">
                  <w:pPr>
                    <w:jc w:val="center"/>
                    <w:rPr>
                      <w:rFonts w:hint="eastAsia" w:ascii="Calibri" w:hAnsi="Calibri" w:eastAsia="宋体" w:cs="Times New Roman"/>
                      <w:lang w:val="en-US" w:eastAsia="zh-Hans"/>
                    </w:rPr>
                  </w:pPr>
                  <w:r>
                    <w:rPr>
                      <w:rFonts w:hint="eastAsia" w:ascii="仿宋_GB2312" w:hAnsi="仿宋_GB2312" w:eastAsia="仿宋_GB2312" w:cs="仿宋_GB2312"/>
                      <w:b/>
                      <w:color w:val="000000"/>
                      <w:sz w:val="22"/>
                      <w:lang w:val="en-US" w:eastAsia="zh-Hans"/>
                    </w:rPr>
                    <w:t>数量</w:t>
                  </w:r>
                </w:p>
              </w:tc>
            </w:tr>
            <w:tr w14:paraId="4D489D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D6BDC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4"/>
                      <w:lang w:val="en-US" w:eastAsia="zh-Hans"/>
                    </w:rPr>
                    <w:t>1</w:t>
                  </w:r>
                </w:p>
              </w:tc>
              <w:tc>
                <w:tcPr>
                  <w:tcW w:w="86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69C268">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9"/>
                      <w:lang w:val="en-US" w:eastAsia="zh-Hans"/>
                    </w:rPr>
                    <w:t>双源CT</w:t>
                  </w:r>
                </w:p>
              </w:tc>
              <w:tc>
                <w:tcPr>
                  <w:tcW w:w="163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32610C">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19"/>
                      <w:lang w:val="en-US" w:eastAsia="zh-Hans"/>
                    </w:rPr>
                    <w:t>SOMATOM Definition Flash</w:t>
                  </w:r>
                </w:p>
              </w:tc>
              <w:tc>
                <w:tcPr>
                  <w:tcW w:w="155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A5B8D6">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西门子</w:t>
                  </w:r>
                </w:p>
              </w:tc>
              <w:tc>
                <w:tcPr>
                  <w:tcW w:w="76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C682C1">
                  <w:pPr>
                    <w:jc w:val="center"/>
                    <w:rPr>
                      <w:rFonts w:hint="eastAsia" w:ascii="Calibri" w:hAnsi="Calibri" w:eastAsia="宋体" w:cs="Times New Roman"/>
                      <w:lang w:val="en-US" w:eastAsia="zh-Hans"/>
                    </w:rPr>
                  </w:pPr>
                  <w:r>
                    <w:rPr>
                      <w:rFonts w:hint="eastAsia" w:ascii="仿宋_GB2312" w:hAnsi="仿宋_GB2312" w:eastAsia="仿宋_GB2312" w:cs="仿宋_GB2312"/>
                      <w:color w:val="000000"/>
                      <w:sz w:val="22"/>
                      <w:lang w:val="en-US" w:eastAsia="zh-Hans"/>
                    </w:rPr>
                    <w:t>1台</w:t>
                  </w:r>
                </w:p>
              </w:tc>
            </w:tr>
          </w:tbl>
          <w:p w14:paraId="665A402C">
            <w:pPr>
              <w:jc w:val="both"/>
              <w:rPr>
                <w:rFonts w:hint="eastAsia" w:ascii="Calibri" w:hAnsi="Calibri" w:eastAsia="宋体" w:cs="Times New Roman"/>
                <w:lang w:val="en-US" w:eastAsia="zh-Hans"/>
              </w:rPr>
            </w:pPr>
            <w:r>
              <w:rPr>
                <w:rFonts w:hint="eastAsia" w:ascii="仿宋_GB2312" w:hAnsi="仿宋_GB2312" w:eastAsia="仿宋_GB2312" w:cs="仿宋_GB2312"/>
                <w:sz w:val="24"/>
                <w:lang w:val="en-US" w:eastAsia="zh-Hans"/>
              </w:rPr>
              <w:t>★2、保修范围：CT整机、零配件、耗材（至少包含球管、探测器、高压油箱、扫描床、机架、滑环、银刷）及配套工作站计算机软件系统；人工（至少包含故障维修、性能调校、设备保养）；保修期内，所进行的故障维修、性能调校、设备保养、安全升级及对参保设备进行维修、保养和更换配件所需的相关维修备件费、人工费及差旅费均包含在供应商投标报价中，采购人不再另行支付。</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3、备件要求：主机所有备件出现故障时需提供包装合格备件(含球管、高压油箱、探测器、扫描床、机架、滑环、银刷)，所提供的合格备件需经采购人认可且保证设备的正常使用。（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4、供应商需提供合法渠道采购的合格备件，备件的采购渠道合法合规。不接受维修球管、二手球管、翻新球管、走私球管或其他公司生产的替代球管，如有违反，采购方有权终止合同并追究中标人相关法律责任，所有损失由中标方负责。（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▲5、本项目标的服务设备零部件中包含的球管（属于国家II类医疗器械管理），服务供应商具备提供维保设备SOMATOM Definition Flash 匹配球管制造厂商全新配件的能力。（本条款所有要求供应商在投标时需提供承诺函响应，格式自拟）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6、安装球管时，球管经过球管制造厂商正式验证溯源为未使用过的全新球管方可安装，投标人需确保所更换的新球管标签所示序列号与设备系统内部显示序列号一致。（投标人对以上内容单独提供承诺函并加盖投标人公章，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▲7、备件供应及时性保障：服务供应商在国内设有的医疗器械备件仓库，备件库为独立备件库。</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8、安全检查要求：供应商安全检查要求至少包括:(1)制定检查计划;(2)机械安全检查;(3)电气安全检查;(4)记录检查结果。</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9、质量保证要求：确保设备质量需至少完成以下工作:(1)制定检查计划;(2)图象质量(效果)检查;(3)评判参数结果;(4)调整/校准至原厂技术标准;(5)记录系统质量报告。</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★10、预防性保养：每合同年度提供两次保养，间隔6个月，更换保养耗材，每年提供维修保养记录，维保记录满足《GB 17589-2011X射线计算机断层摄影装置质量保证检测规范》的保养记录。</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11、响应时间：中标人应设有24小时×365天响应的响应电话，采购人提出维修请求后,要求投标人电话响应时间为2小时以内，如2小时内无法通过电话的远程方式解决，则派具有设备维修的西门子放射类设备培训证书的专业维修工程师在24小时内赶到现场进行维修，不可抗力因素或特殊情况除外；（提供至少一名工程师具有西门子放射类设备的培训证书扫描件）</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▲12、投标人在维保维修过程中确定采购人需要更换零配件后，球管更换时间为7个日历日内，其他零配件更换时间为3个日历日内。（本条款所有要求供应商在投标时需提供承诺函响应，格式自拟）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★13、开机率要求：在保修年限内SOMATOM Definition Flash年开机率≥90%，按一年365日计算。由于第三方产品问题（包括第三方工作站、稳压电源）导致的停机时间供应商不需要承担责任。（本条款所有要求供应商在投标时需提供承诺函响应，格式自拟）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★14、维修工程师能操作全套原厂诊断软件。（本条款所有要求供应商在投标时需提供承诺函响应，格式自拟）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▲15、远程服务要求：具备远程服务，能够通过网络让采购人与投标人的专家对接，可享受在线故障诊断、升级、维修及应用支持。（提供远程故障诊断和应用支持截图和远程维修的工单或软件功能截图证明）</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▲16、能提供全套完整的标的双源CT SOMATOM Definition Flash系统安全性升级补丁，确保设备安全稳定。（提供维护设备（双源CT）2024年至今以来任意一次同类项目的升级工单）</w:t>
            </w:r>
            <w:r>
              <w:rPr>
                <w:rFonts w:hint="eastAsia" w:ascii="Calibri" w:hAnsi="Calibri" w:eastAsia="宋体" w:cs="Times New Roman"/>
                <w:lang w:val="en-US" w:eastAsia="zh-Hans"/>
              </w:rPr>
              <w:br w:type="textWrapping"/>
            </w:r>
            <w:r>
              <w:rPr>
                <w:rFonts w:hint="eastAsia" w:ascii="仿宋_GB2312" w:hAnsi="仿宋_GB2312" w:eastAsia="仿宋_GB2312" w:cs="仿宋_GB2312"/>
                <w:sz w:val="24"/>
                <w:lang w:val="en-US" w:eastAsia="zh-Hans"/>
              </w:rPr>
              <w:t xml:space="preserve"> 17、提供CT相关在线培训课程的服务，服务供应商需提供自有网页版以及手机端自助教育平台及在线培训平台，且平台上CT相关课程数量不低于10门。（需提供截图证明）</w:t>
            </w:r>
          </w:p>
          <w:p w14:paraId="7DB6B233">
            <w:pPr>
              <w:jc w:val="left"/>
              <w:rPr>
                <w:rFonts w:hint="eastAsia" w:ascii="Calibri" w:hAnsi="Calibri" w:eastAsia="宋体" w:cs="Times New Roman"/>
                <w:lang w:val="en-US" w:eastAsia="zh-Hans"/>
              </w:rPr>
            </w:pPr>
          </w:p>
        </w:tc>
      </w:tr>
    </w:tbl>
    <w:p w14:paraId="4906CA88">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3.3.服务要求</w:t>
      </w:r>
    </w:p>
    <w:p w14:paraId="2FC4CCD1">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3.3.1.服务内容要求</w:t>
      </w:r>
    </w:p>
    <w:p w14:paraId="611FED6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0DD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12A5B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序号</w:t>
            </w:r>
          </w:p>
        </w:tc>
        <w:tc>
          <w:tcPr>
            <w:tcW w:w="581" w:type="dxa"/>
          </w:tcPr>
          <w:p w14:paraId="0F3EA5F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符号标识</w:t>
            </w:r>
          </w:p>
        </w:tc>
        <w:tc>
          <w:tcPr>
            <w:tcW w:w="1495" w:type="dxa"/>
          </w:tcPr>
          <w:p w14:paraId="18FE796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服务要求名称</w:t>
            </w:r>
          </w:p>
        </w:tc>
        <w:tc>
          <w:tcPr>
            <w:tcW w:w="5814" w:type="dxa"/>
          </w:tcPr>
          <w:p w14:paraId="5F56C0E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 xml:space="preserve"> 服务要求内容</w:t>
            </w:r>
          </w:p>
        </w:tc>
      </w:tr>
      <w:tr w14:paraId="2AA5A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826EC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7C24F4DD">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6C5877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服务要求</w:t>
            </w:r>
          </w:p>
        </w:tc>
        <w:tc>
          <w:tcPr>
            <w:tcW w:w="5814" w:type="dxa"/>
          </w:tcPr>
          <w:p w14:paraId="06DB4B10">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1"/>
                <w:lang w:val="en-US" w:eastAsia="zh-Hans"/>
              </w:rPr>
              <w:t>1.服务过程中的配件备件涉及医疗器械时，产品须符合《医疗器械注册与备案管理办法》要求并提供产品的注册/备案证明材料。</w:t>
            </w:r>
            <w:r>
              <w:rPr>
                <w:rFonts w:hint="eastAsia" w:ascii="仿宋_GB2312" w:hAnsi="仿宋_GB2312" w:eastAsia="仿宋_GB2312" w:cs="仿宋_GB2312"/>
                <w:color w:val="000000"/>
                <w:sz w:val="20"/>
                <w:lang w:val="en-US" w:eastAsia="zh-Hans"/>
              </w:rPr>
              <w:t>（提供承诺函，格式自拟）</w:t>
            </w:r>
            <w:r>
              <w:rPr>
                <w:rFonts w:hint="eastAsia" w:ascii="Calibri" w:hAnsi="Calibri" w:eastAsia="宋体" w:cs="Times New Roman"/>
                <w:lang w:val="en-US" w:eastAsia="zh-Hans"/>
              </w:rPr>
              <w:br w:type="textWrapping"/>
            </w:r>
            <w:r>
              <w:rPr>
                <w:rFonts w:hint="eastAsia" w:ascii="仿宋_GB2312" w:hAnsi="仿宋_GB2312" w:eastAsia="仿宋_GB2312" w:cs="仿宋_GB2312"/>
                <w:color w:val="000000"/>
                <w:sz w:val="21"/>
                <w:lang w:val="en-US" w:eastAsia="zh-Hans"/>
              </w:rPr>
              <w:t>2.若服务过程中服务内容涉及中标人需要提供的配件为医疗器械时，投标人须符合《医疗器械监督管理条例》等政策法规要求并具有经营许可/经营备案证明材料。</w:t>
            </w:r>
            <w:r>
              <w:rPr>
                <w:rFonts w:hint="eastAsia" w:ascii="仿宋_GB2312" w:hAnsi="仿宋_GB2312" w:eastAsia="仿宋_GB2312" w:cs="仿宋_GB2312"/>
                <w:color w:val="000000"/>
                <w:sz w:val="20"/>
                <w:lang w:val="en-US" w:eastAsia="zh-Hans"/>
              </w:rPr>
              <w:t>（提供承诺函，格式自拟）</w:t>
            </w:r>
          </w:p>
          <w:p w14:paraId="30B96C9B">
            <w:pPr>
              <w:jc w:val="left"/>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3.供应商需符合《放射性同位素与射线装置安全许可管理办法》的相关规定。</w:t>
            </w:r>
          </w:p>
        </w:tc>
      </w:tr>
      <w:tr w14:paraId="3D95F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4EBEB8">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4E9B43AB">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7DB5872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考核要求</w:t>
            </w:r>
          </w:p>
        </w:tc>
        <w:tc>
          <w:tcPr>
            <w:tcW w:w="5814" w:type="dxa"/>
          </w:tcPr>
          <w:p w14:paraId="5692CD48">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每半年由采购人对中标供应商的维保服务进行考核，单次考核不合格（考核得分出现＜90分即视为当次考核不合格），采购人约谈中标人并整改，整改合格后按合同约定时间支付合同款项，两次考核不合格（两次考核得分出现＜90分），采购人有权终止合同并延迟3个月支付合同款。</w:t>
            </w:r>
          </w:p>
          <w:p w14:paraId="4A39FC1C">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成都市第一人民医院医疗设备维保考核表</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6"/>
              <w:gridCol w:w="469"/>
              <w:gridCol w:w="2731"/>
              <w:gridCol w:w="831"/>
              <w:gridCol w:w="736"/>
            </w:tblGrid>
            <w:tr w14:paraId="7B914B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9FEF03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项目名称</w:t>
                  </w:r>
                </w:p>
              </w:tc>
              <w:tc>
                <w:tcPr>
                  <w:tcW w:w="4101" w:type="dxa"/>
                  <w:gridSpan w:val="3"/>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4410FE05">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4C24ABDF">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57A7A5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2AA2E0E">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维保起止时间</w:t>
                  </w:r>
                </w:p>
              </w:tc>
              <w:tc>
                <w:tcPr>
                  <w:tcW w:w="4101"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40A0111">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6FB0124F">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7DCA18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DF15A4">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维保公司</w:t>
                  </w:r>
                </w:p>
              </w:tc>
              <w:tc>
                <w:tcPr>
                  <w:tcW w:w="4101" w:type="dxa"/>
                  <w:gridSpan w:val="3"/>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AB0E590">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03F80E16">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18A92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1097BD7">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考核项目</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83CB57">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分值</w:t>
                  </w:r>
                </w:p>
              </w:tc>
              <w:tc>
                <w:tcPr>
                  <w:tcW w:w="278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1D7537AC">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评分细则</w:t>
                  </w:r>
                </w:p>
              </w:tc>
              <w:tc>
                <w:tcPr>
                  <w:tcW w:w="84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09D70A1">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分数</w:t>
                  </w:r>
                </w:p>
              </w:tc>
              <w:tc>
                <w:tcPr>
                  <w:tcW w:w="748" w:type="dxa"/>
                  <w:tcBorders>
                    <w:top w:val="nil"/>
                    <w:left w:val="nil"/>
                    <w:bottom w:val="nil"/>
                    <w:right w:val="nil"/>
                  </w:tcBorders>
                </w:tcPr>
                <w:p w14:paraId="5D123259">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7D0F23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DB2914E">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维保档案</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44D88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10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A9B9680">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每次维修完成后，提供维修记录，就设备故障原因、维修方法、配件更换及注意事项等给出详细说明，并由院方签字认可。（记录完整得满分,每少提供1项（一次扣2分）)</w:t>
                  </w:r>
                </w:p>
                <w:p w14:paraId="20504661">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每年出具一次年度维保报告，包括每次保养结果报告和故障维修记录。（年度考核时提供，资料不全不得分）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B1EE6B0">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332E5A03">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0CEE7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3607EB9">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保养内容</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A73DD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20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28922A">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A.按维保计划完成全部保养内容（得满分）</w:t>
                  </w:r>
                </w:p>
                <w:p w14:paraId="420670E7">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B.未按维保计划完成保养内容（少一条扣2分）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308E56C">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2E7F5772">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68A666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6D7571C">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维修响应</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86720CB">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20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88ABA14">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A、按要求时间到达并及时处理完成(得满分)</w:t>
                  </w:r>
                </w:p>
                <w:p w14:paraId="26239054">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B、按要求时间到达但因供应商人为因素不能按要求时间内处理完成(一次扣3分)</w:t>
                  </w:r>
                </w:p>
                <w:p w14:paraId="43F20086">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C、超过要求时间2小时到达现场(一次扣5分)</w:t>
                  </w:r>
                </w:p>
                <w:p w14:paraId="5D8B46F2">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D、超过要求时间4小时到达现场（本项不得分)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215CA14">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3328CA4A">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0217A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BDCA1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备件材料</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94C0348">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10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F5A25E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A、备件充足、齐全且规格、品质为原装全新配件(得满分)</w:t>
                  </w:r>
                </w:p>
                <w:p w14:paraId="021C1216">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B、备件种类不齐全(扣5分)</w:t>
                  </w:r>
                </w:p>
                <w:p w14:paraId="01823706">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C、无备件（本项不得分)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C56E35F">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1B1F0E9E">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1B4E4F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C3C76CE">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维保效果</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A0C67DB">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20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261240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维修质量（包括维保质量及服务质量）       （优秀20分/良好10分/差0分)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ADF001B">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638814A9">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285A7F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6147E1F">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开机率</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0D03CDB">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20</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7244022">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设备实际开机率应不低于90%（维保技术要求中有不同开机率要求的，以维保技术要求开机率为准）设备实际开机率</w:t>
                  </w:r>
                  <w:r>
                    <w:rPr>
                      <w:rFonts w:hint="eastAsia" w:ascii="仿宋_GB2312" w:hAnsi="仿宋_GB2312" w:eastAsia="仿宋_GB2312" w:cs="仿宋_GB2312"/>
                      <w:sz w:val="21"/>
                      <w:u w:val="single"/>
                      <w:lang w:val="en-US" w:eastAsia="zh-Hans"/>
                    </w:rPr>
                    <w:t xml:space="preserve">     </w:t>
                  </w:r>
                  <w:r>
                    <w:rPr>
                      <w:rFonts w:hint="eastAsia" w:ascii="仿宋_GB2312" w:hAnsi="仿宋_GB2312" w:eastAsia="仿宋_GB2312" w:cs="仿宋_GB2312"/>
                      <w:color w:val="000000"/>
                      <w:sz w:val="20"/>
                      <w:u w:val="single"/>
                      <w:lang w:val="en-US" w:eastAsia="zh-Hans"/>
                    </w:rPr>
                    <w:t>90</w:t>
                  </w:r>
                  <w:r>
                    <w:rPr>
                      <w:rFonts w:hint="eastAsia" w:ascii="仿宋_GB2312" w:hAnsi="仿宋_GB2312" w:eastAsia="仿宋_GB2312" w:cs="仿宋_GB2312"/>
                      <w:sz w:val="21"/>
                      <w:u w:val="single"/>
                      <w:lang w:val="en-US" w:eastAsia="zh-Hans"/>
                    </w:rPr>
                    <w:t xml:space="preserve">  </w:t>
                  </w:r>
                  <w:r>
                    <w:rPr>
                      <w:rFonts w:hint="eastAsia" w:ascii="仿宋_GB2312" w:hAnsi="仿宋_GB2312" w:eastAsia="仿宋_GB2312" w:cs="仿宋_GB2312"/>
                      <w:color w:val="000000"/>
                      <w:sz w:val="20"/>
                      <w:lang w:val="en-US" w:eastAsia="zh-Hans"/>
                    </w:rPr>
                    <w:t>%（以一年365天计算，未达到要求每一天扣1分）</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94FA62">
                  <w:pPr>
                    <w:spacing w:after="165"/>
                    <w:jc w:val="both"/>
                    <w:rPr>
                      <w:rFonts w:hint="eastAsia" w:ascii="Calibri" w:hAnsi="Calibri" w:eastAsia="宋体" w:cs="Times New Roman"/>
                      <w:lang w:val="en-US" w:eastAsia="zh-Hans"/>
                    </w:rPr>
                  </w:pPr>
                </w:p>
              </w:tc>
              <w:tc>
                <w:tcPr>
                  <w:tcW w:w="748" w:type="dxa"/>
                  <w:tcBorders>
                    <w:top w:val="nil"/>
                    <w:left w:val="nil"/>
                    <w:bottom w:val="nil"/>
                    <w:right w:val="nil"/>
                  </w:tcBorders>
                </w:tcPr>
                <w:p w14:paraId="0A4B662F">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3A9467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C0E0840">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最高分100分</w:t>
                  </w:r>
                </w:p>
              </w:tc>
              <w:tc>
                <w:tcPr>
                  <w:tcW w:w="47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6FFEB90">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总分</w:t>
                  </w:r>
                </w:p>
              </w:tc>
              <w:tc>
                <w:tcPr>
                  <w:tcW w:w="2781"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E3727BA">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90分（不含90分）以下为不满意，90分及以上为满意。</w:t>
                  </w:r>
                </w:p>
              </w:tc>
              <w:tc>
                <w:tcPr>
                  <w:tcW w:w="845"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0C46D4C5">
                  <w:pPr>
                    <w:spacing w:after="165"/>
                    <w:jc w:val="both"/>
                    <w:rPr>
                      <w:rFonts w:hint="eastAsia" w:ascii="Calibri" w:hAnsi="Calibri" w:eastAsia="宋体" w:cs="Times New Roman"/>
                      <w:lang w:val="en-US" w:eastAsia="zh-Hans"/>
                    </w:rPr>
                  </w:pPr>
                </w:p>
              </w:tc>
              <w:tc>
                <w:tcPr>
                  <w:tcW w:w="748" w:type="dxa"/>
                  <w:tcBorders>
                    <w:top w:val="nil"/>
                    <w:left w:val="nil"/>
                    <w:bottom w:val="single" w:color="000000" w:sz="4" w:space="0"/>
                    <w:right w:val="nil"/>
                  </w:tcBorders>
                </w:tcPr>
                <w:p w14:paraId="2B6FF86C">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r>
            <w:tr w14:paraId="5CDD1F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46" w:type="dxa"/>
                </w:tcPr>
                <w:p w14:paraId="00E3C818">
                  <w:pPr>
                    <w:jc w:val="left"/>
                    <w:rPr>
                      <w:rFonts w:hint="eastAsia" w:ascii="Calibri" w:hAnsi="Calibri" w:eastAsia="宋体" w:cs="Times New Roman"/>
                      <w:lang w:val="en-US" w:eastAsia="zh-Hans"/>
                    </w:rPr>
                  </w:pPr>
                  <w:r>
                    <w:rPr>
                      <w:rFonts w:hint="eastAsia" w:ascii="仿宋_GB2312" w:hAnsi="仿宋_GB2312" w:eastAsia="仿宋_GB2312" w:cs="仿宋_GB2312"/>
                      <w:sz w:val="19"/>
                      <w:lang w:val="en-US" w:eastAsia="zh-Hans"/>
                    </w:rPr>
                    <w:t xml:space="preserve"> </w:t>
                  </w:r>
                </w:p>
              </w:tc>
              <w:tc>
                <w:tcPr>
                  <w:tcW w:w="4849" w:type="dxa"/>
                  <w:gridSpan w:val="4"/>
                  <w:tcBorders>
                    <w:top w:val="single" w:color="000000" w:sz="4" w:space="0"/>
                    <w:left w:val="nil"/>
                    <w:bottom w:val="nil"/>
                    <w:right w:val="nil"/>
                  </w:tcBorders>
                  <w:tcMar>
                    <w:top w:w="0" w:type="dxa"/>
                    <w:left w:w="105" w:type="dxa"/>
                    <w:bottom w:w="0" w:type="dxa"/>
                    <w:right w:w="105" w:type="dxa"/>
                  </w:tcMar>
                  <w:vAlign w:val="top"/>
                </w:tcPr>
                <w:p w14:paraId="76C7C8B3">
                  <w:pPr>
                    <w:spacing w:after="165"/>
                    <w:jc w:val="both"/>
                    <w:rPr>
                      <w:rFonts w:hint="eastAsia" w:ascii="Calibri" w:hAnsi="Calibri" w:eastAsia="宋体" w:cs="Times New Roman"/>
                      <w:lang w:val="en-US" w:eastAsia="zh-Hans"/>
                    </w:rPr>
                  </w:pPr>
                  <w:r>
                    <w:rPr>
                      <w:rFonts w:hint="eastAsia" w:ascii="仿宋_GB2312" w:hAnsi="仿宋_GB2312" w:eastAsia="仿宋_GB2312" w:cs="仿宋_GB2312"/>
                      <w:color w:val="000000"/>
                      <w:sz w:val="20"/>
                      <w:lang w:val="en-US" w:eastAsia="zh-Hans"/>
                    </w:rPr>
                    <w:t>使用科室签字：                        管理科室签字：</w:t>
                  </w:r>
                </w:p>
              </w:tc>
            </w:tr>
          </w:tbl>
          <w:p w14:paraId="150ED1F8">
            <w:pPr>
              <w:rPr>
                <w:rFonts w:ascii="Calibri" w:hAnsi="Calibri" w:eastAsia="宋体" w:cs="Times New Roman"/>
              </w:rPr>
            </w:pPr>
          </w:p>
        </w:tc>
      </w:tr>
    </w:tbl>
    <w:p w14:paraId="5DF4F2BA">
      <w:pPr>
        <w:jc w:val="left"/>
        <w:outlineLvl w:val="3"/>
        <w:rPr>
          <w:rFonts w:hint="eastAsia" w:ascii="Calibri" w:hAnsi="Calibri" w:eastAsia="宋体" w:cs="Times New Roman"/>
          <w:lang w:val="en-US" w:eastAsia="zh-Hans"/>
        </w:rPr>
      </w:pPr>
      <w:r>
        <w:rPr>
          <w:rFonts w:hint="eastAsia" w:ascii="仿宋_GB2312" w:hAnsi="仿宋_GB2312" w:eastAsia="仿宋_GB2312" w:cs="仿宋_GB2312"/>
          <w:b/>
          <w:sz w:val="24"/>
          <w:lang w:val="en-US" w:eastAsia="zh-Hans"/>
        </w:rPr>
        <w:t>3.3.2.商务要求</w:t>
      </w:r>
    </w:p>
    <w:p w14:paraId="5A1DE4D7">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8E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8963A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序号</w:t>
            </w:r>
          </w:p>
        </w:tc>
        <w:tc>
          <w:tcPr>
            <w:tcW w:w="581" w:type="dxa"/>
          </w:tcPr>
          <w:p w14:paraId="51D7FFF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符号标识</w:t>
            </w:r>
          </w:p>
        </w:tc>
        <w:tc>
          <w:tcPr>
            <w:tcW w:w="1495" w:type="dxa"/>
          </w:tcPr>
          <w:p w14:paraId="7DF2096F">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商务要求名称</w:t>
            </w:r>
          </w:p>
        </w:tc>
        <w:tc>
          <w:tcPr>
            <w:tcW w:w="5814" w:type="dxa"/>
          </w:tcPr>
          <w:p w14:paraId="42BD14A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商务要求内容</w:t>
            </w:r>
          </w:p>
        </w:tc>
      </w:tr>
      <w:tr w14:paraId="6CFA5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BC7EDE">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w:t>
            </w:r>
          </w:p>
        </w:tc>
        <w:tc>
          <w:tcPr>
            <w:tcW w:w="581" w:type="dxa"/>
          </w:tcPr>
          <w:p w14:paraId="1019A62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0DCD6A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服务期限</w:t>
            </w:r>
          </w:p>
        </w:tc>
        <w:tc>
          <w:tcPr>
            <w:tcW w:w="5814" w:type="dxa"/>
          </w:tcPr>
          <w:p w14:paraId="76E3478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本项目一采三年，合同一年一签，采购预算为134.6万元/年。</w:t>
            </w:r>
          </w:p>
        </w:tc>
      </w:tr>
      <w:tr w14:paraId="03ACD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8B40E0">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w:t>
            </w:r>
          </w:p>
        </w:tc>
        <w:tc>
          <w:tcPr>
            <w:tcW w:w="581" w:type="dxa"/>
          </w:tcPr>
          <w:p w14:paraId="28B651B2">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0ACBB10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服务地点</w:t>
            </w:r>
          </w:p>
        </w:tc>
        <w:tc>
          <w:tcPr>
            <w:tcW w:w="5814" w:type="dxa"/>
          </w:tcPr>
          <w:p w14:paraId="2DBAB3D5">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成都市中西医结合医院</w:t>
            </w:r>
          </w:p>
        </w:tc>
      </w:tr>
      <w:tr w14:paraId="56F3A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192F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3</w:t>
            </w:r>
          </w:p>
        </w:tc>
        <w:tc>
          <w:tcPr>
            <w:tcW w:w="581" w:type="dxa"/>
          </w:tcPr>
          <w:p w14:paraId="26B0B35C">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883D61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验收、交付标准和方法</w:t>
            </w:r>
          </w:p>
        </w:tc>
        <w:tc>
          <w:tcPr>
            <w:tcW w:w="5814" w:type="dxa"/>
          </w:tcPr>
          <w:p w14:paraId="06BD9370">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内容详见采购文件2.6.6履约验收方案（说明：供应商响应本条内容即视为响应2.6.6履约验收方案的内容）。</w:t>
            </w:r>
          </w:p>
        </w:tc>
      </w:tr>
      <w:tr w14:paraId="3A8D6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B8FA06">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4</w:t>
            </w:r>
          </w:p>
        </w:tc>
        <w:tc>
          <w:tcPr>
            <w:tcW w:w="581" w:type="dxa"/>
          </w:tcPr>
          <w:p w14:paraId="7E05538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22748A1D">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支付方式</w:t>
            </w:r>
          </w:p>
        </w:tc>
        <w:tc>
          <w:tcPr>
            <w:tcW w:w="5814" w:type="dxa"/>
          </w:tcPr>
          <w:p w14:paraId="0F258CBB">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分期付款</w:t>
            </w:r>
          </w:p>
        </w:tc>
      </w:tr>
      <w:tr w14:paraId="6ED13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B23115">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5</w:t>
            </w:r>
          </w:p>
        </w:tc>
        <w:tc>
          <w:tcPr>
            <w:tcW w:w="581" w:type="dxa"/>
          </w:tcPr>
          <w:p w14:paraId="44B78289">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B642F1E">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付款进度安排</w:t>
            </w:r>
          </w:p>
        </w:tc>
        <w:tc>
          <w:tcPr>
            <w:tcW w:w="5814" w:type="dxa"/>
          </w:tcPr>
          <w:p w14:paraId="79EEE8D3">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1、签订合同后半年，考核合格后并收到投标人合法有效票据及付款资料后，达到付款条件起10日内，支付合同总金额的50.00%</w:t>
            </w:r>
          </w:p>
          <w:p w14:paraId="2989CDC2">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2、服务期满且两次考核合格后并收到投标人合法有效票据及付款资料后，达到付款条件起10日内，支付合同总金额的50.00%</w:t>
            </w:r>
          </w:p>
        </w:tc>
      </w:tr>
      <w:tr w14:paraId="43A5A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907C01">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6</w:t>
            </w:r>
          </w:p>
        </w:tc>
        <w:tc>
          <w:tcPr>
            <w:tcW w:w="581" w:type="dxa"/>
          </w:tcPr>
          <w:p w14:paraId="722BEAFA">
            <w:pPr>
              <w:jc w:val="center"/>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w:t>
            </w:r>
          </w:p>
        </w:tc>
        <w:tc>
          <w:tcPr>
            <w:tcW w:w="1495" w:type="dxa"/>
          </w:tcPr>
          <w:p w14:paraId="480C6271">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违约责任与解决争议的方法</w:t>
            </w:r>
          </w:p>
        </w:tc>
        <w:tc>
          <w:tcPr>
            <w:tcW w:w="5814" w:type="dxa"/>
          </w:tcPr>
          <w:p w14:paraId="0E5E9094">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（以下内容中甲方指采购人，乙方指成交供应商） 一、违约责任： 1、乙方必须遵守本合同并执行合同中的各项规定，保证本合同的正常履行，非因不可抗力终止执行合同的，将赔偿因违约给甲方造成的经济损失，并向甲方支付合同总金额30%的违约金，并由甲方提请项目同级财政部门将其列入不良行为纪录。 2、除不可抗力因素外，若乙方更换球管时间超过7个日历日，向甲方支付合同总金额20%的违约金；其他零配件更换时间超过3个日历日，向甲方支付合同总金额10%的违约金。 3、若因乙方原因在合同规定期限内无法提供服务，甲方有权终止合同，乙方向甲方支付30%的违约金；或双方协商同意继续履行合同，甲方视情况未履行合同期间每天按合同总额 3‰的标准收取违约金。因不可抗拒力所导致的交货及付款延迟等按照《中华人民共和国民法典》有关条文处理。 4、乙方提供的服务质量不符合合同规定的，乙方应向甲方支付合同总价的5%的违约金，并须在 15 日内完善后续的服务工作，否则，视作乙方不能履约而违约。 5、如因乙方工作人员在履行职务过程中的疏忽、失职、过错等故意或者过失原因给甲方造成损失或侵害，包括但不限于甲方本身的财产损失、由此而导致的甲方对任何第三方的法律责任等，乙方对此均应承担全部的赔偿责任。 6、甲方由于不可抗力的原因不能履行合同时，应及时向乙方和见证方、项目同级财政部门通报不能履行或不能完全履行的理由；乙方由于不可抗力的原因不能履行合同时，应在服务期到期以前及时向甲方和见证方、项目同级财政部门通报不能履行或不能完全履行的理由；在取得有关主管机关证明以后，可以签订延期履行、部分履行补充合同或者不履行合同，并根据情况可部分或全部免予承担违约责任。 7、如乙方未按合同约定履行维修保养义务（如医院报修后，工程师未能24小时内到达医院或未按双方协商确定具体时间进行预防性保养维护），发生一次，按年维修保养费的10%向甲方支付违约金，且甲方有权终止本合同而不承担任何违约责任。 8、乙方确保设备每年开机时间为90%以上，按照一年按照365天计算，若所保设备未达到开机率保证，按照停机天数顺延维保期限。同时乙方按照每天该设备年度维保费的万分之五向甲方支付违约金。 9、乙方维修人员对在提供维修服务过程中接触到的甲方的技术资料、患者隐私信息等保密信息应当严格保密，不得泄露给第三方或用作其他任何用途，否则应承担相应的侵权责任。 10、因乙方更换的备件或材料在质保期内并在正常使用情况下出现质量问题导致甲方或第三方财产或人身损害的，由乙方承担赔偿责任。 11、在本合同维修服务验收后的使用中，有证据证明乙方提供的维修服务存在重大的设计、工艺或材料缺陷（包括潜在缺陷），乙方应当对由于上述缺陷造成的损失负责。未经甲方书面同意，乙方擅自把设备维修工作转托他人的，甲方有权解除合同，维修费用不再支付，造成的损失由乙方负责赔偿。 12、合同履行过程中，因乙方原因造成设备原有故障以外的故障的，乙方应当承担全部责任。 二、解决争议的方法：在执行本合同中发生的或与本合同有关的争端，双方应通过友好协商解决，经协商在60天内不能达成协议时，应提交甲方住所地有管辖权的人民法院诉讼解决。诉讼费、律师费、公证费、公告费等诉讼成本由败诉方承担。</w:t>
            </w:r>
          </w:p>
        </w:tc>
      </w:tr>
    </w:tbl>
    <w:p w14:paraId="752CC166">
      <w:pPr>
        <w:jc w:val="left"/>
        <w:outlineLvl w:val="2"/>
        <w:rPr>
          <w:rFonts w:hint="eastAsia" w:ascii="Calibri" w:hAnsi="Calibri" w:eastAsia="宋体" w:cs="Times New Roman"/>
          <w:lang w:val="en-US" w:eastAsia="zh-Hans"/>
        </w:rPr>
      </w:pPr>
      <w:r>
        <w:rPr>
          <w:rFonts w:hint="eastAsia" w:ascii="仿宋_GB2312" w:hAnsi="仿宋_GB2312" w:eastAsia="仿宋_GB2312" w:cs="仿宋_GB2312"/>
          <w:b/>
          <w:sz w:val="28"/>
          <w:lang w:val="en-US" w:eastAsia="zh-Hans"/>
        </w:rPr>
        <w:t>3.4.其他要求</w:t>
      </w:r>
    </w:p>
    <w:p w14:paraId="2804C921">
      <w:pPr>
        <w:ind w:firstLine="480"/>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采购包1：</w:t>
      </w:r>
    </w:p>
    <w:p w14:paraId="08D686F9">
      <w:pPr>
        <w:jc w:val="left"/>
        <w:rPr>
          <w:rFonts w:hint="eastAsia" w:ascii="Calibri" w:hAnsi="Calibri" w:eastAsia="宋体" w:cs="Times New Roman"/>
          <w:lang w:val="en-US" w:eastAsia="zh-Hans"/>
        </w:rPr>
      </w:pPr>
      <w:r>
        <w:rPr>
          <w:rFonts w:hint="eastAsia" w:ascii="仿宋_GB2312" w:hAnsi="仿宋_GB2312" w:eastAsia="仿宋_GB2312" w:cs="仿宋_GB2312"/>
          <w:lang w:val="en-US" w:eastAsia="zh-Hans"/>
        </w:rPr>
        <w:t>1.本项目项目实施方案包括: 1.1疑难故障问题解决方案：①详细的疑难故障问题分析内容；②常见疑难故障问题的常规解决方案的培训措施；③避免出现常规疑难故障问题的建议方案； 1.2维保方案：①维修、维护、定期检查的制定措施；②维修质量保障措施；③预防性的检查方案； 1.3备品备件替换方案：①备品备件配备情况；②备品备件保障方案。2.未载明或者载明的标的名称、数量、计量单位及其他政府采购合同实质性内容与采购文件要求不一致，且采购单位无法接受的，属于无效响应。</w:t>
      </w:r>
    </w:p>
    <w:p w14:paraId="47C803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2333D7"/>
    <w:rsid w:val="47233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2026-04-21T06:49:00Z</dcterms:created>
  <dc:creator>李秋湘</dc:creator>
  <cp:lastModifiedBy>李秋湘</cp:lastModifiedBy>
  <dcterms:modified xsi:type="dcterms:W3CDTF">2026-04-21T06:49:40Z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088C64DBD6124773A4715DDFD83F0712_11</vt:lpwstr>
  </property>
  <property fmtid="{D5CDD505-2E9C-101B-9397-08002B2CF9AE}" pid="4" name="KSOTemplateDocerSaveRecord">
    <vt:lpwstr>eyJoZGlkIjoiNGEwMGZlMTgyNzYxYmM5YzFhMmQ5ZGNmZTlkYWFlMDUiLCJ1c2VySWQiOiIzOTYyMzc0MDcifQ==</vt:lpwstr>
  </property>
</Properties>
</file>