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09E9">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4D536B1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34711D8E">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7228BBC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25F9E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203,500.00</w:t>
      </w:r>
    </w:p>
    <w:p w14:paraId="44BCE1A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123,500.00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0"/>
        <w:gridCol w:w="1116"/>
        <w:gridCol w:w="761"/>
        <w:gridCol w:w="820"/>
        <w:gridCol w:w="1116"/>
        <w:gridCol w:w="761"/>
        <w:gridCol w:w="761"/>
        <w:gridCol w:w="761"/>
        <w:gridCol w:w="762"/>
        <w:gridCol w:w="607"/>
        <w:gridCol w:w="607"/>
      </w:tblGrid>
      <w:tr w14:paraId="0811C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B163B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64C69EB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10D2469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7C86083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6DC47CA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0CE4C26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3366CF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39B154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411071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5B2BC7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27A1AE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1F7F8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FAC8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3871325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A02320800 物理治疗、康复及体育治疗仪器设备</w:t>
            </w:r>
          </w:p>
        </w:tc>
        <w:tc>
          <w:tcPr>
            <w:tcW w:w="821" w:type="dxa"/>
          </w:tcPr>
          <w:p w14:paraId="60E4D58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体外膈肌起搏器</w:t>
            </w:r>
          </w:p>
        </w:tc>
        <w:tc>
          <w:tcPr>
            <w:tcW w:w="821" w:type="dxa"/>
          </w:tcPr>
          <w:p w14:paraId="540E4F1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821" w:type="dxa"/>
          </w:tcPr>
          <w:p w14:paraId="3295A88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33,500.00</w:t>
            </w:r>
          </w:p>
        </w:tc>
        <w:tc>
          <w:tcPr>
            <w:tcW w:w="821" w:type="dxa"/>
          </w:tcPr>
          <w:p w14:paraId="46372B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02F5B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E11A1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05D378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6753A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FAB84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548B2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76BE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72B53F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A02320300 医用电子生理参数检测仪器设备</w:t>
            </w:r>
          </w:p>
        </w:tc>
        <w:tc>
          <w:tcPr>
            <w:tcW w:w="821" w:type="dxa"/>
          </w:tcPr>
          <w:p w14:paraId="45542B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数字化6分钟步行测试系统</w:t>
            </w:r>
          </w:p>
        </w:tc>
        <w:tc>
          <w:tcPr>
            <w:tcW w:w="821" w:type="dxa"/>
          </w:tcPr>
          <w:p w14:paraId="5EDB795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821" w:type="dxa"/>
          </w:tcPr>
          <w:p w14:paraId="0819E9F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90,000.00</w:t>
            </w:r>
          </w:p>
        </w:tc>
        <w:tc>
          <w:tcPr>
            <w:tcW w:w="821" w:type="dxa"/>
          </w:tcPr>
          <w:p w14:paraId="35BCF76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BB838E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1256C86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63DBC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9E9D1F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AAE49E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5959D7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p w14:paraId="098620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312,500.00</w:t>
      </w:r>
    </w:p>
    <w:p w14:paraId="59D1B85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212,500.00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0"/>
        <w:gridCol w:w="1116"/>
        <w:gridCol w:w="761"/>
        <w:gridCol w:w="820"/>
        <w:gridCol w:w="1116"/>
        <w:gridCol w:w="761"/>
        <w:gridCol w:w="761"/>
        <w:gridCol w:w="761"/>
        <w:gridCol w:w="762"/>
        <w:gridCol w:w="607"/>
        <w:gridCol w:w="607"/>
      </w:tblGrid>
      <w:tr w14:paraId="35AF3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4C25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1F8A80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0782E57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32E2B7A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7AA056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73DD05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772E708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7486F0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3C0C215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0B0266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4D5889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2B33E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E4685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35797B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A02321900 临床检验设备</w:t>
            </w:r>
          </w:p>
        </w:tc>
        <w:tc>
          <w:tcPr>
            <w:tcW w:w="821" w:type="dxa"/>
          </w:tcPr>
          <w:p w14:paraId="52458D7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化学发光免疫分析仪</w:t>
            </w:r>
          </w:p>
        </w:tc>
        <w:tc>
          <w:tcPr>
            <w:tcW w:w="821" w:type="dxa"/>
          </w:tcPr>
          <w:p w14:paraId="5E0E51E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821" w:type="dxa"/>
          </w:tcPr>
          <w:p w14:paraId="4ADF5FA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70,000.00</w:t>
            </w:r>
          </w:p>
        </w:tc>
        <w:tc>
          <w:tcPr>
            <w:tcW w:w="821" w:type="dxa"/>
          </w:tcPr>
          <w:p w14:paraId="1F16E1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2D85C51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0BC4DE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1663A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B7FE50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C15A1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0C79E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2117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6C1B9D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A02321900 临床检验设备</w:t>
            </w:r>
          </w:p>
        </w:tc>
        <w:tc>
          <w:tcPr>
            <w:tcW w:w="821" w:type="dxa"/>
          </w:tcPr>
          <w:p w14:paraId="5E18433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切片机</w:t>
            </w:r>
          </w:p>
        </w:tc>
        <w:tc>
          <w:tcPr>
            <w:tcW w:w="821" w:type="dxa"/>
          </w:tcPr>
          <w:p w14:paraId="6B2FD084">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821" w:type="dxa"/>
          </w:tcPr>
          <w:p w14:paraId="3654119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85,900.00</w:t>
            </w:r>
          </w:p>
        </w:tc>
        <w:tc>
          <w:tcPr>
            <w:tcW w:w="821" w:type="dxa"/>
          </w:tcPr>
          <w:p w14:paraId="15F73C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1AA2EA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75F9A6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69A0F8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8158AA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0FE16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701D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BE37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821" w:type="dxa"/>
          </w:tcPr>
          <w:p w14:paraId="7552EB0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A02321900 临床检验设备</w:t>
            </w:r>
          </w:p>
        </w:tc>
        <w:tc>
          <w:tcPr>
            <w:tcW w:w="821" w:type="dxa"/>
          </w:tcPr>
          <w:p w14:paraId="4B45B4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冷冻台</w:t>
            </w:r>
          </w:p>
        </w:tc>
        <w:tc>
          <w:tcPr>
            <w:tcW w:w="821" w:type="dxa"/>
          </w:tcPr>
          <w:p w14:paraId="79C3FE8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3.00（台）</w:t>
            </w:r>
          </w:p>
        </w:tc>
        <w:tc>
          <w:tcPr>
            <w:tcW w:w="821" w:type="dxa"/>
          </w:tcPr>
          <w:p w14:paraId="47DC8BB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42,000.00</w:t>
            </w:r>
          </w:p>
        </w:tc>
        <w:tc>
          <w:tcPr>
            <w:tcW w:w="821" w:type="dxa"/>
          </w:tcPr>
          <w:p w14:paraId="28CC0EA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4A3CE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5183E82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4A22F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4CC53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7999B0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07E31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0FB94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821" w:type="dxa"/>
          </w:tcPr>
          <w:p w14:paraId="502A86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A02321900 临床检验设备</w:t>
            </w:r>
          </w:p>
        </w:tc>
        <w:tc>
          <w:tcPr>
            <w:tcW w:w="821" w:type="dxa"/>
          </w:tcPr>
          <w:p w14:paraId="191482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飘烘仪</w:t>
            </w:r>
          </w:p>
        </w:tc>
        <w:tc>
          <w:tcPr>
            <w:tcW w:w="821" w:type="dxa"/>
          </w:tcPr>
          <w:p w14:paraId="65D32E2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2.00（台）</w:t>
            </w:r>
          </w:p>
        </w:tc>
        <w:tc>
          <w:tcPr>
            <w:tcW w:w="821" w:type="dxa"/>
          </w:tcPr>
          <w:p w14:paraId="2D33BC7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14,600.00</w:t>
            </w:r>
          </w:p>
        </w:tc>
        <w:tc>
          <w:tcPr>
            <w:tcW w:w="821" w:type="dxa"/>
          </w:tcPr>
          <w:p w14:paraId="1B7BA1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24B55E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AAFD5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8D2E6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F633C5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3972A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6814CAE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680040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62617E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采购包2：是</w:t>
      </w:r>
    </w:p>
    <w:p w14:paraId="3619332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3D25E4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3382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7919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450AB6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3369EE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5FBC5B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65239C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2F2860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25941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5A41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715E82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体外膈肌起搏器</w:t>
            </w:r>
          </w:p>
        </w:tc>
        <w:tc>
          <w:tcPr>
            <w:tcW w:w="1138" w:type="dxa"/>
          </w:tcPr>
          <w:p w14:paraId="37F796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1365" w:type="dxa"/>
          </w:tcPr>
          <w:p w14:paraId="2FB5A0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33,500.00</w:t>
            </w:r>
          </w:p>
        </w:tc>
        <w:tc>
          <w:tcPr>
            <w:tcW w:w="1138" w:type="dxa"/>
          </w:tcPr>
          <w:p w14:paraId="4E97618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52481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E796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95CD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07" w:type="dxa"/>
          </w:tcPr>
          <w:p w14:paraId="3B98CD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数字化6分钟步行测试系统</w:t>
            </w:r>
          </w:p>
        </w:tc>
        <w:tc>
          <w:tcPr>
            <w:tcW w:w="1138" w:type="dxa"/>
          </w:tcPr>
          <w:p w14:paraId="66102A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1365" w:type="dxa"/>
          </w:tcPr>
          <w:p w14:paraId="0A579A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90,000.00</w:t>
            </w:r>
          </w:p>
        </w:tc>
        <w:tc>
          <w:tcPr>
            <w:tcW w:w="1138" w:type="dxa"/>
          </w:tcPr>
          <w:p w14:paraId="002D73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6140C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52189A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551A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11DB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2DCADA4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55C0554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2D8675C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2E99B8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0F88AB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36CE1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63E13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1B6AAA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化学发光免疫分析仪</w:t>
            </w:r>
          </w:p>
        </w:tc>
        <w:tc>
          <w:tcPr>
            <w:tcW w:w="1138" w:type="dxa"/>
          </w:tcPr>
          <w:p w14:paraId="4A9883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1365" w:type="dxa"/>
          </w:tcPr>
          <w:p w14:paraId="535A6D4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70,000.00</w:t>
            </w:r>
          </w:p>
        </w:tc>
        <w:tc>
          <w:tcPr>
            <w:tcW w:w="1138" w:type="dxa"/>
          </w:tcPr>
          <w:p w14:paraId="42F3964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7A01FB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0BA9C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BFB19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07" w:type="dxa"/>
          </w:tcPr>
          <w:p w14:paraId="5A5B304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切片机</w:t>
            </w:r>
          </w:p>
        </w:tc>
        <w:tc>
          <w:tcPr>
            <w:tcW w:w="1138" w:type="dxa"/>
          </w:tcPr>
          <w:p w14:paraId="39C9A1C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1365" w:type="dxa"/>
          </w:tcPr>
          <w:p w14:paraId="473EF3E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85,900.00</w:t>
            </w:r>
          </w:p>
        </w:tc>
        <w:tc>
          <w:tcPr>
            <w:tcW w:w="1138" w:type="dxa"/>
          </w:tcPr>
          <w:p w14:paraId="1C575A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9BD361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6E2C3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9052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1707" w:type="dxa"/>
          </w:tcPr>
          <w:p w14:paraId="15765D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冷冻台</w:t>
            </w:r>
          </w:p>
        </w:tc>
        <w:tc>
          <w:tcPr>
            <w:tcW w:w="1138" w:type="dxa"/>
          </w:tcPr>
          <w:p w14:paraId="0A03FC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3.00（台）</w:t>
            </w:r>
          </w:p>
        </w:tc>
        <w:tc>
          <w:tcPr>
            <w:tcW w:w="1365" w:type="dxa"/>
          </w:tcPr>
          <w:p w14:paraId="7F581A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42,000.00</w:t>
            </w:r>
          </w:p>
        </w:tc>
        <w:tc>
          <w:tcPr>
            <w:tcW w:w="1138" w:type="dxa"/>
          </w:tcPr>
          <w:p w14:paraId="652782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EFB29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F4DF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A292E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1707" w:type="dxa"/>
          </w:tcPr>
          <w:p w14:paraId="1C33EE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飘烘仪</w:t>
            </w:r>
          </w:p>
        </w:tc>
        <w:tc>
          <w:tcPr>
            <w:tcW w:w="1138" w:type="dxa"/>
          </w:tcPr>
          <w:p w14:paraId="423F6D5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2.00（台）</w:t>
            </w:r>
          </w:p>
        </w:tc>
        <w:tc>
          <w:tcPr>
            <w:tcW w:w="1365" w:type="dxa"/>
          </w:tcPr>
          <w:p w14:paraId="7096DE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14,600.00</w:t>
            </w:r>
          </w:p>
        </w:tc>
        <w:tc>
          <w:tcPr>
            <w:tcW w:w="1138" w:type="dxa"/>
          </w:tcPr>
          <w:p w14:paraId="7BBD1D7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74800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018F6D4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6504F425">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44A24D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3AA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ED76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A1B3E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6432E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87BAA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5113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A41FA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62C6FB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A02320300 医用电子生理参数检测仪器设备</w:t>
            </w:r>
          </w:p>
        </w:tc>
        <w:tc>
          <w:tcPr>
            <w:tcW w:w="2492" w:type="dxa"/>
          </w:tcPr>
          <w:p w14:paraId="64B3F5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数字化6分钟步行测试系统</w:t>
            </w:r>
          </w:p>
        </w:tc>
        <w:tc>
          <w:tcPr>
            <w:tcW w:w="2492" w:type="dxa"/>
          </w:tcPr>
          <w:p w14:paraId="459EAC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数字化6分钟步行测试系统</w:t>
            </w:r>
          </w:p>
        </w:tc>
      </w:tr>
    </w:tbl>
    <w:p w14:paraId="71F0D3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50E9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2A845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1FC436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14E6B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31BA8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1CB6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C4CC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7299DC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A02321900 临床检验设备</w:t>
            </w:r>
          </w:p>
        </w:tc>
        <w:tc>
          <w:tcPr>
            <w:tcW w:w="2492" w:type="dxa"/>
          </w:tcPr>
          <w:p w14:paraId="3EFDAC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化学发光免疫分析仪</w:t>
            </w:r>
          </w:p>
        </w:tc>
        <w:tc>
          <w:tcPr>
            <w:tcW w:w="2492" w:type="dxa"/>
          </w:tcPr>
          <w:p w14:paraId="19DA05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化学发光免疫分析仪</w:t>
            </w:r>
          </w:p>
        </w:tc>
      </w:tr>
      <w:tr w14:paraId="6BBAF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FAB3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2492" w:type="dxa"/>
          </w:tcPr>
          <w:p w14:paraId="618C090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A02321900 临床检验设备</w:t>
            </w:r>
          </w:p>
        </w:tc>
        <w:tc>
          <w:tcPr>
            <w:tcW w:w="2492" w:type="dxa"/>
          </w:tcPr>
          <w:p w14:paraId="1008BF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切片机</w:t>
            </w:r>
          </w:p>
        </w:tc>
        <w:tc>
          <w:tcPr>
            <w:tcW w:w="2492" w:type="dxa"/>
          </w:tcPr>
          <w:p w14:paraId="4AC63D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切片机</w:t>
            </w:r>
          </w:p>
        </w:tc>
      </w:tr>
    </w:tbl>
    <w:p w14:paraId="021B061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58A646D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6B286D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B04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3E3B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24ED5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434D5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F61A51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6752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50E98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06B79A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0C1C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B2EB0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BE29E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03A76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53C46C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1C71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07E7FB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19696D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677D121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176763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22A4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B7E9F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46EDD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9E49B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01DC3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BC2A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DB7F49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79076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C73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1492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2CA73E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C5EB9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878375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EAA8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BBE8E8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0A2E19E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2A85DDE">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207B64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1C70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EF37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BDF64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908B3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6E5BF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2A8EA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6148D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ED537D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572D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EA08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5BF45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7646D22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5A7A22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0A63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D4776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401F8B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68CF357">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6EC379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318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08B7C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FBEE2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59AB4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9F11F2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2A2B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E6DCF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0ED2F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C8D7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BE457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16CC033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B3B299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966361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FDB4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ED54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D9770F9">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712FA69">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4AD3C5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796272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标的名称：体外膈肌起搏器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C99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3475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E7AC5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15C9BC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DC593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8EC0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6415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F1A4DA1">
            <w:pPr>
              <w:rPr>
                <w:rFonts w:ascii="Calibri" w:hAnsi="Calibri" w:eastAsia="宋体" w:cs="Times New Roman"/>
              </w:rPr>
            </w:pPr>
          </w:p>
        </w:tc>
        <w:tc>
          <w:tcPr>
            <w:tcW w:w="1495" w:type="dxa"/>
          </w:tcPr>
          <w:p w14:paraId="45A888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w:t>
            </w:r>
          </w:p>
        </w:tc>
        <w:tc>
          <w:tcPr>
            <w:tcW w:w="5814" w:type="dxa"/>
          </w:tcPr>
          <w:p w14:paraId="6434DE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▲1.脉冲频率：可调单频：30-50Hz，步进5Hz, 默认40Hz。</w:t>
            </w:r>
          </w:p>
          <w:p w14:paraId="5847D3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▲2.脉冲宽度≤200us。</w:t>
            </w:r>
          </w:p>
          <w:p w14:paraId="63CD58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3.起搏次数：5-15次/分钟可选择，默认9次/分钟。</w:t>
            </w:r>
          </w:p>
          <w:p w14:paraId="10F7BD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▲4.刺激强度：0-30单位（0-27V）可选择，默认0单位。</w:t>
            </w:r>
          </w:p>
          <w:p w14:paraId="3ADC11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5.吸气时间：1-3秒可调，默认标准状态为1.7秒。</w:t>
            </w:r>
          </w:p>
          <w:p w14:paraId="7A509DB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6.治疗时间：5-120min。</w:t>
            </w:r>
          </w:p>
          <w:p w14:paraId="2F3E423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7.开路测量，输出峰值电压不超过 500V。</w:t>
            </w:r>
          </w:p>
          <w:p w14:paraId="577B44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8.适配器：100-240V～50/60Hz,0.2A-0.18A;功率：20VA。</w:t>
            </w:r>
          </w:p>
          <w:p w14:paraId="6CEF36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9.电源要求：DC 3.8V±10%（专用锂电池）。</w:t>
            </w:r>
          </w:p>
          <w:p w14:paraId="608898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10.波形：双向对称波，可实现能量对冲，减少能量聚集导致的神经损伤风险。</w:t>
            </w:r>
          </w:p>
          <w:p w14:paraId="21B4D7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▲11.充满电时间≤4小时, 满电后可持续工作≥10小时，且不受限于网电插孔的数量和位置。</w:t>
            </w:r>
          </w:p>
          <w:p w14:paraId="78E1DA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12.具备电量提示功能。</w:t>
            </w:r>
          </w:p>
          <w:p w14:paraId="28C1F43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▲13.主机重量≤500g，尺寸≤（长）200mm×（宽）100mm×（高）25mm，。</w:t>
            </w:r>
          </w:p>
          <w:p w14:paraId="0101E1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14.理疗电极片的导电阻抗＜2000Ω。</w:t>
            </w:r>
          </w:p>
          <w:p w14:paraId="3C86DB3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15.工作时间有倒计时功能，每次波形开始输出后开始倒计时；结束治疗时有声音提示和图文提示。</w:t>
            </w:r>
          </w:p>
          <w:p w14:paraId="2200290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16.具有指导患者或其他操作人员进行贴片的功能。</w:t>
            </w:r>
          </w:p>
          <w:p w14:paraId="38C47F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17.开机时有蜂鸣器提醒功能，正常输出时具有LED闪光指示的功能。</w:t>
            </w:r>
          </w:p>
          <w:p w14:paraId="744E805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★18.体外膈肌起搏器为医疗器械，投标产品须符合《医疗器械注册与备案管理办法》要求。（提供产品的有效注册/备案证明材料）</w:t>
            </w:r>
          </w:p>
        </w:tc>
      </w:tr>
    </w:tbl>
    <w:p w14:paraId="77A299D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标的名称：数字化6分钟步行测试系统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089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0FA8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1A82E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9085E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D0C79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3DBFC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54DD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26F9628">
            <w:pPr>
              <w:rPr>
                <w:rFonts w:ascii="Calibri" w:hAnsi="Calibri" w:eastAsia="宋体" w:cs="Times New Roman"/>
              </w:rPr>
            </w:pPr>
          </w:p>
        </w:tc>
        <w:tc>
          <w:tcPr>
            <w:tcW w:w="1495" w:type="dxa"/>
          </w:tcPr>
          <w:p w14:paraId="0AF0BA5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w:t>
            </w:r>
          </w:p>
        </w:tc>
        <w:tc>
          <w:tcPr>
            <w:tcW w:w="5814" w:type="dxa"/>
          </w:tcPr>
          <w:p w14:paraId="49BF940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▲1.六分钟步行测试过程中，工作站界面实时显示心率、血氧、呼吸率、皮肤温度的生理数据，以及显示实时曲线并形成趋势图。同时显示心电记录仪、血压计、血氧饱和度仪的电量与连接状态;</w:t>
            </w:r>
          </w:p>
          <w:p w14:paraId="5159B7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系统支持报告打印，人工审核时可在线重新编辑保存报告，支持对测试准备阶段、测试阶段、恢复阶段最快最慢心率及心电图片段进行手动修改，基于全程心电手动择取片段予以替换。支持报告内容自主定制，可对报告中各内容章节，展示条目按需取舍;</w:t>
            </w:r>
          </w:p>
          <w:p w14:paraId="45ED3E4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3.系统覆盖6分钟步行测试全流程，能够实时引导，内容及流程符合六分钟步行试验指南要求。测试阶段提供一键加圈/减圈，支持加圈智能语音及图示提醒功能;</w:t>
            </w:r>
          </w:p>
          <w:p w14:paraId="2435D7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4.心率变异性分析功能，具体数据至少包括：</w:t>
            </w:r>
          </w:p>
          <w:p w14:paraId="605B9B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4.1 meanN、SDNN、RMSSD、SDSD、NN50、pNN50、TI、TINN时域指标分析;</w:t>
            </w:r>
          </w:p>
          <w:p w14:paraId="4B0477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4.2 TP、ULF、VLF、LF、HF、LF/HF、LF norm、HF norm频域指标分析;</w:t>
            </w:r>
          </w:p>
          <w:p w14:paraId="484E11A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4.3 SD1、SD2、SD1/SD2、CSI、CVI、ModifiedCSI、SampEn、DFA Alpha1、DFA Alpha2非线性域指标分析;</w:t>
            </w:r>
          </w:p>
          <w:p w14:paraId="7919C5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▲4.4提供至少包含：NN间期直方图、NN间期散点图、Lorenz散点图（庞加莱图）、二维功率谱密度分布图、DFA去趋势波动图可视化分析展示;</w:t>
            </w:r>
          </w:p>
          <w:p w14:paraId="324628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5.心率：显示范围40bpm～300bpm、分辨率不低于1bpm，精度±5%;</w:t>
            </w:r>
          </w:p>
          <w:p w14:paraId="119E005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6.血氧：测量范围：35%～100%；精度：70%-100%时，测量误差为±2%;</w:t>
            </w:r>
          </w:p>
          <w:p w14:paraId="454038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7.血压：测量范围0mmHg～300mmHg、分辨率不低于1mmHg，误差±3mmHg;</w:t>
            </w:r>
          </w:p>
          <w:p w14:paraId="2DE1121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8.试验过程中支持患者体力不支，呼吸困难等实时异常事件及其对应处理方式，点选或者自定义编辑记录，处理方式持续时间总时长记录；</w:t>
            </w:r>
          </w:p>
          <w:p w14:paraId="6233D6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9.系统自动出具六分钟步行测试报告，报告内容数据至少包括：</w:t>
            </w:r>
          </w:p>
          <w:p w14:paraId="21868D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9.1患者个人信息及吸烟戒烟情况;</w:t>
            </w:r>
          </w:p>
          <w:p w14:paraId="21D66A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▲9.2步行测试报告结论至少包含：实际步行距离、预测步行距离、实际距离与预测距离占比、平均速度、靶心率、心功能分级、METs值、试验结束后血氧饱和度恢复至90%以上所需时长;</w:t>
            </w:r>
          </w:p>
          <w:p w14:paraId="44F8959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9.3步行测试报告数据包含：测试过程中每分钟血氧心率呼吸率的平均值，静息和恢复阶段1分钟的平均值，测试过程中瞬时最大最小值;</w:t>
            </w:r>
          </w:p>
          <w:p w14:paraId="715A94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9.4步行测试前后提供Borg气促评分及Borg劳累评分;</w:t>
            </w:r>
          </w:p>
          <w:p w14:paraId="211709A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9.5步行测试前评估及安全筛查;</w:t>
            </w:r>
          </w:p>
          <w:p w14:paraId="603DC14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9.6步行测试趋势图中至少包含：心率、血氧、血压、呼吸率、皮肤温度、加圈、事件;</w:t>
            </w:r>
          </w:p>
          <w:p w14:paraId="7FCD13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9.7支持提前终止六分钟步行测试，记录终止原因，并自动生成报告;</w:t>
            </w:r>
          </w:p>
          <w:p w14:paraId="0AAD5B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9.8显示试验准备阶段、测试阶段、恢复阶段最快最慢心率及心电图;</w:t>
            </w:r>
          </w:p>
          <w:p w14:paraId="4EF3541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9.9具有METs-日常活动参照表;</w:t>
            </w:r>
          </w:p>
          <w:p w14:paraId="2B7059B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10.试验过程中支持血压随时测量及血压数值自动及手动填写记录;</w:t>
            </w:r>
          </w:p>
          <w:p w14:paraId="35FDA5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▲11.系统配套便携可穿戴无线生理信号采集设备，心电、血压、血氧无线采集及传输，心电采集器无导联线与心电电极贴相连;</w:t>
            </w:r>
          </w:p>
          <w:p w14:paraId="25FC06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12.系统提供六分钟测试前安全筛查与禁忌症排查、身体活动准备问卷(PAR-Q)、borg呼吸困难评分及劳累度PRE评分、辅助氧疗、助行设备、试验当日吸入剂及用药使用情况记录;</w:t>
            </w:r>
          </w:p>
          <w:p w14:paraId="1E8B182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系统支持血氧及心率开启报警功能，血氧及心率生理参数预警阈值上下限支持自定义，同时支持预警参数幅度偏置及时间迟滞个体化按需配置，确保生理参数稳定触发预警;（提供投标产品制造厂家公开发布的产品宣传彩页或系统工作站界面截图或产品说明书证明予以佐证）</w:t>
            </w:r>
          </w:p>
          <w:p w14:paraId="2897DF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14.系统至少提供20个评估问卷、量表，同时支持问卷量表自定义录入。系统支持按照病种灵活自定义配置评估任务模板，创建个体化评估任务。支持药品、指标、疾病的基础数据自定义录入;</w:t>
            </w:r>
          </w:p>
          <w:p w14:paraId="58DC1D4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15.系统提供数据权限管理，支持对数据定向共享，指定范围公开。支持创建MDT临时小组并邀请系统内指定人员加入，共同分析指定患者数据;</w:t>
            </w:r>
          </w:p>
          <w:p w14:paraId="6D1E94D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16.生理信号采集设备与执行端平板间支持多种通信方式：蓝牙直连、基于蓝牙网关中继WIFI/4G/5G三种模式，不受距离限制，设备数据持续在线。</w:t>
            </w:r>
          </w:p>
        </w:tc>
      </w:tr>
    </w:tbl>
    <w:p w14:paraId="7EAF36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p w14:paraId="785D863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标的名称：化学发光免疫分析仪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AE8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F0ED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DAC8F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1666B3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B0050D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3B78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E96BC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4003E8B">
            <w:pPr>
              <w:rPr>
                <w:rFonts w:ascii="Calibri" w:hAnsi="Calibri" w:eastAsia="宋体" w:cs="Times New Roman"/>
              </w:rPr>
            </w:pPr>
          </w:p>
        </w:tc>
        <w:tc>
          <w:tcPr>
            <w:tcW w:w="1495" w:type="dxa"/>
          </w:tcPr>
          <w:p w14:paraId="0A97046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c>
          <w:tcPr>
            <w:tcW w:w="5814" w:type="dxa"/>
          </w:tcPr>
          <w:p w14:paraId="68F147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1、检测速度：≥280测试/小时</w:t>
            </w:r>
          </w:p>
          <w:p w14:paraId="22C396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2、包被方式：微孔（板式）</w:t>
            </w:r>
          </w:p>
          <w:p w14:paraId="5A4A603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3、试剂位：≥32个（同时支持20种不同项目），可随时更换、添加</w:t>
            </w:r>
          </w:p>
          <w:p w14:paraId="5A07DF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4、样本位：不低于70个，可随时更换、添加</w:t>
            </w:r>
          </w:p>
          <w:p w14:paraId="70D6C0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5、反应杯：不少于320个，可随时添加</w:t>
            </w:r>
          </w:p>
          <w:p w14:paraId="559AF5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▲6、急诊功能：随时急诊检测</w:t>
            </w:r>
          </w:p>
          <w:p w14:paraId="7CD739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▲7、相关系数：线性相关系数（r）≥0.99</w:t>
            </w:r>
          </w:p>
          <w:p w14:paraId="011DAB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▲8、批内测量重复性：CV≤8%</w:t>
            </w:r>
          </w:p>
          <w:p w14:paraId="0C4A393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▲9、孵育室温控精度：37℃±0.5℃</w:t>
            </w:r>
          </w:p>
          <w:p w14:paraId="12FD61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▲10、加样精度：CV≤1%</w:t>
            </w:r>
          </w:p>
          <w:p w14:paraId="4807883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11、携带污染率：＜1.0ppm</w:t>
            </w:r>
          </w:p>
          <w:p w14:paraId="25D1798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▲12、支持肿瘤甲基化检测后对应验证试剂。</w:t>
            </w:r>
          </w:p>
          <w:p w14:paraId="3F4C6D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▲13、智能系统：液面检测、堵针报警、空吸报警，试剂余量实时监测、报警，废弃物固液分离，过载提示、报警，异常情况实时自诊断、自处理、自保护。</w:t>
            </w:r>
          </w:p>
          <w:p w14:paraId="385E84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14、一键保养功能，支持试剂保质期管理，孵育及洗涤方式，拟合曲线两点校正，可存储调用。</w:t>
            </w:r>
          </w:p>
          <w:p w14:paraId="330D6A5E">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15、软件系统：图形化全中文界面、触控屏操作，支持LIS系统双向数据传送，随机、批量、急诊至少三种操作模式，编辑，存储，查询，打印功能。</w:t>
            </w:r>
          </w:p>
          <w:p w14:paraId="102CCFF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★16.化学发光免疫分析仪为医疗器械，投标产品须符合《医疗器械注册与备案管理办法》要求。（提供产品的有效注册/备案证明材料）</w:t>
            </w:r>
          </w:p>
        </w:tc>
      </w:tr>
    </w:tbl>
    <w:p w14:paraId="7AB3CC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标的名称：切片机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46C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A662C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60C7C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EB673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66D44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7D0C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C16D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246F8E5">
            <w:pPr>
              <w:rPr>
                <w:rFonts w:ascii="Calibri" w:hAnsi="Calibri" w:eastAsia="宋体" w:cs="Times New Roman"/>
              </w:rPr>
            </w:pPr>
          </w:p>
        </w:tc>
        <w:tc>
          <w:tcPr>
            <w:tcW w:w="1495" w:type="dxa"/>
          </w:tcPr>
          <w:p w14:paraId="6EDE9F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c>
          <w:tcPr>
            <w:tcW w:w="5814" w:type="dxa"/>
          </w:tcPr>
          <w:p w14:paraId="740747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1.半自动操作，电动进样，手动切片。半刀和全手轮旋转</w:t>
            </w:r>
          </w:p>
          <w:p w14:paraId="3353213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▲2.切片厚度：0.5 - 100 µm可调</w:t>
            </w:r>
          </w:p>
          <w:p w14:paraId="3D9C4C6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0.5 - 5. µm 以 0.5 µm为增幅</w:t>
            </w:r>
          </w:p>
          <w:p w14:paraId="2638F1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5- 20µm 以 1µm为增幅</w:t>
            </w:r>
          </w:p>
          <w:p w14:paraId="5957CC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20 - 30 µm 以 2.µm为增幅</w:t>
            </w:r>
          </w:p>
          <w:p w14:paraId="3BAF735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30- 60 µm 以 5µm为增幅</w:t>
            </w:r>
          </w:p>
          <w:p w14:paraId="073E2A0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60- 100µm 以 10µm为增幅</w:t>
            </w:r>
          </w:p>
          <w:p w14:paraId="48F962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▲3.修块厚度：1 - 800 µm可调</w:t>
            </w:r>
          </w:p>
          <w:p w14:paraId="0972039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1- 10µm 以 1µm为增幅</w:t>
            </w:r>
          </w:p>
          <w:p w14:paraId="44D9D2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10- 20µm 以 2µm为增幅</w:t>
            </w:r>
          </w:p>
          <w:p w14:paraId="4F3178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20- 50µm 以 5µm为增幅</w:t>
            </w:r>
          </w:p>
          <w:p w14:paraId="5CB559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50- 100µm 以 10µm为增幅</w:t>
            </w:r>
          </w:p>
          <w:p w14:paraId="1862EF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100- 800µm 以 50µm为增幅</w:t>
            </w:r>
          </w:p>
          <w:p w14:paraId="4C5AAF8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▲4.样本回缩：0-250μm</w:t>
            </w:r>
          </w:p>
          <w:p w14:paraId="7F6BBA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▲5.水平行程：0-28mm</w:t>
            </w:r>
          </w:p>
          <w:p w14:paraId="6DAB2A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▲6.垂直行程：0-70mm</w:t>
            </w:r>
          </w:p>
          <w:p w14:paraId="5F938F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7.标准型样本夹的样本最大尺寸55×50×30mm</w:t>
            </w:r>
          </w:p>
          <w:p w14:paraId="702CD2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▲8.水平进样速度：单圈转距100-3000μm（100-1000档最大进样速度900μm/s，1000-2000档最大进样速度1200μm/s，2000-3000档最大进样速度1800μm/s）</w:t>
            </w:r>
          </w:p>
          <w:p w14:paraId="144DF3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▲9.具有指针刻度标识，除0刻度外，还有左右各8°的刻度指示。</w:t>
            </w:r>
          </w:p>
          <w:p w14:paraId="7F248F5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▲10.样本调向：X和Y轴：8度，Z轴：360度</w:t>
            </w:r>
          </w:p>
          <w:p w14:paraId="0D811B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11.不小于5英寸彩色容控触摸屏。</w:t>
            </w:r>
          </w:p>
          <w:p w14:paraId="120181F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▲12.侧面小手轮进样；触摸屏显示半刀模式，支持小行程修片功能。</w:t>
            </w:r>
          </w:p>
          <w:p w14:paraId="16D71FA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13.手轮双重锁定系统，手轮上有独立的安全锁，可快速锁定并转换样本夹。有任意位置锁。</w:t>
            </w:r>
          </w:p>
          <w:p w14:paraId="704E33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14.刀架具有护手装置，并配备退刀装置。</w:t>
            </w:r>
          </w:p>
          <w:p w14:paraId="4A541D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15.同一刀架可以同时适用于宽刀片和窄刀片，无需更换刀架。</w:t>
            </w:r>
          </w:p>
          <w:p w14:paraId="0246578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16.刀架可左右移动，具备三个位点锁定，也可选择任意位置锁定。</w:t>
            </w:r>
          </w:p>
          <w:p w14:paraId="28D6055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17.样本位置记忆功能，切换不同样本时，可实现一键复位。</w:t>
            </w:r>
          </w:p>
          <w:p w14:paraId="44B584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18.进样提醒功能，进样行程还剩最后1mm时，启动声/光警告，禁用向前快进。</w:t>
            </w:r>
          </w:p>
          <w:p w14:paraId="3B9AB3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19.具有历史记录系统，公用设备管理时方便进行信息追踪和回溯。</w:t>
            </w:r>
          </w:p>
          <w:p w14:paraId="51DAAED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20.废屑槽可拆卸，具有磁力吸附功能。抗静电，不粘蜡，可清洁石蜡废屑。</w:t>
            </w:r>
          </w:p>
          <w:p w14:paraId="4D2FDDC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21.样本夹可更换，单手即可操作。</w:t>
            </w:r>
          </w:p>
          <w:p w14:paraId="38F83F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▲22.无需拆机，即可实现平衡调节。</w:t>
            </w:r>
          </w:p>
          <w:p w14:paraId="6DC01D8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★23.切片机为医疗器械，投标产品须符合《医疗器械注册与备案管理办法》要求。（提供产品的有效注册/备案证明材料）</w:t>
            </w:r>
          </w:p>
        </w:tc>
      </w:tr>
    </w:tbl>
    <w:p w14:paraId="6E48A4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标的名称：冷冻台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D261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11D1E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6F0E9E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C294F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2A9C2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23CE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2069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91ACB5D">
            <w:pPr>
              <w:rPr>
                <w:rFonts w:ascii="Calibri" w:hAnsi="Calibri" w:eastAsia="宋体" w:cs="Times New Roman"/>
              </w:rPr>
            </w:pPr>
          </w:p>
        </w:tc>
        <w:tc>
          <w:tcPr>
            <w:tcW w:w="1495" w:type="dxa"/>
          </w:tcPr>
          <w:p w14:paraId="1493A5E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c>
          <w:tcPr>
            <w:tcW w:w="5814" w:type="dxa"/>
          </w:tcPr>
          <w:p w14:paraId="44FECD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1.中文菜单；定时开关机，单次和工作日循环模式任意设置；</w:t>
            </w:r>
          </w:p>
          <w:p w14:paraId="7DFF14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2.微电脑芯片控制</w:t>
            </w:r>
          </w:p>
          <w:p w14:paraId="39B938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3.冷台温度：0-35℃任意设置</w:t>
            </w:r>
          </w:p>
          <w:p w14:paraId="608254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4.定时开关机设定：一周内任意设定</w:t>
            </w:r>
          </w:p>
          <w:p w14:paraId="69B43AA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▲5.一次性可排放≥80个包埋盒</w:t>
            </w:r>
          </w:p>
          <w:p w14:paraId="4EAF520A">
            <w:pPr>
              <w:jc w:val="left"/>
              <w:rPr>
                <w:rFonts w:hint="eastAsia" w:ascii="Calibri" w:hAnsi="Calibri" w:eastAsia="宋体" w:cs="Times New Roman"/>
                <w:lang w:val="en-US" w:eastAsia="zh-Hans"/>
              </w:rPr>
            </w:pPr>
          </w:p>
        </w:tc>
      </w:tr>
    </w:tbl>
    <w:p w14:paraId="40CC29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标的名称：飘烘仪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504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81E5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F629D2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80619A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740AB5F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70711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F7FAB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4C32D93">
            <w:pPr>
              <w:rPr>
                <w:rFonts w:ascii="Calibri" w:hAnsi="Calibri" w:eastAsia="宋体" w:cs="Times New Roman"/>
              </w:rPr>
            </w:pPr>
          </w:p>
        </w:tc>
        <w:tc>
          <w:tcPr>
            <w:tcW w:w="1495" w:type="dxa"/>
          </w:tcPr>
          <w:p w14:paraId="024CB8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c>
          <w:tcPr>
            <w:tcW w:w="5814" w:type="dxa"/>
          </w:tcPr>
          <w:p w14:paraId="60996B40">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▲1.采用触摸式彩色显示屏，全中文执行菜单</w:t>
            </w:r>
          </w:p>
          <w:p w14:paraId="6E1BD537">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2.摊片、烘片、烤片三部件一体化设计，采用流线型外观，人体工学布局</w:t>
            </w:r>
          </w:p>
          <w:p w14:paraId="72959723">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▲3.烤片盒为百叶片式设计，表面有黑色特氟龙涂层处理</w:t>
            </w:r>
          </w:p>
          <w:p w14:paraId="52443F9B">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▲4.采用微型计算机控制系统</w:t>
            </w:r>
          </w:p>
          <w:p w14:paraId="62BC9689">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5.功率≤600W。</w:t>
            </w:r>
          </w:p>
          <w:p w14:paraId="428B1095">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▲6.摊片，烤片和烘片的温度调节，0~99℃任意预置，温度控制精度±1℃。</w:t>
            </w:r>
          </w:p>
          <w:p w14:paraId="78E86287">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7.在烘片槽中，对切片后的组织，平整，拉直和干燥。</w:t>
            </w:r>
          </w:p>
          <w:p w14:paraId="4D695DB9">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8.烘片数量≥90片，漂烘仪能放下三个标准染色架于烤片恒温箱中。</w:t>
            </w:r>
          </w:p>
          <w:p w14:paraId="1DEA8F8D">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9.恒温烤片箱独立温控密闭，烤片数量≥80片，可以预先设定烤片时间和温度。</w:t>
            </w:r>
          </w:p>
          <w:p w14:paraId="0467B340">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10.电源：AC220V±10%，50HZ±1HZ</w:t>
            </w:r>
          </w:p>
        </w:tc>
      </w:tr>
    </w:tbl>
    <w:p w14:paraId="1D8F5CAC">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3B7CF895">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3F5454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D9A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654D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1BAE7A4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78268C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05DA5D2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6CED3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C28B9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63455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16EF3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技术资料</w:t>
            </w:r>
          </w:p>
        </w:tc>
        <w:tc>
          <w:tcPr>
            <w:tcW w:w="5814" w:type="dxa"/>
          </w:tcPr>
          <w:p w14:paraId="7EBD9E53">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交货时应提供以下技术资料（如涉及）原产地证明书(由制造厂签发)、提供主机及配套设备的安装图纸及说明、提供主机及配套设备使用说明书、维护手册、备件手册、零件及易损件的图纸及相关资料、其它相关技术资料。</w:t>
            </w:r>
          </w:p>
        </w:tc>
      </w:tr>
      <w:tr w14:paraId="13487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B0B7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5E1CD1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E42BCD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现场开箱检验</w:t>
            </w:r>
          </w:p>
        </w:tc>
        <w:tc>
          <w:tcPr>
            <w:tcW w:w="5814" w:type="dxa"/>
          </w:tcPr>
          <w:p w14:paraId="18B07146">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设备开箱检验在采购人的安装地点进行。在货物抵达采购人指定地点3日内，供应商人员及技术人员应抵达采购人指定地点通知采购人进行开箱检验。双方依据供应商提供的货物资料，如有短缺、规格不符、资料不全等，由供应商在7日内给予更换、补齐，并承担由此产生的全部费用。在开箱检验合格后，经双方代表签字予以确认。开箱检验时采购人有权对供应商投标文件所提供的技术参数进行检查，若涉及进口产品采购人有权申请中国进出口商品检验局进行检测。</w:t>
            </w:r>
          </w:p>
        </w:tc>
      </w:tr>
      <w:tr w14:paraId="27FD9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FC1C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486057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B290F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安装调试验收</w:t>
            </w:r>
          </w:p>
        </w:tc>
        <w:tc>
          <w:tcPr>
            <w:tcW w:w="5814" w:type="dxa"/>
          </w:tcPr>
          <w:p w14:paraId="71FB105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货物到达现场后，供应商接到采购人通知后3日内到达现场组织安装、调试，达到正常运行要求，保证采购人正常使用。设备安装试运行后无问题，进行设备的验收。货物一经验收合格，双方即签署安装验收单，一式两份，双方各执一份。</w:t>
            </w:r>
          </w:p>
        </w:tc>
      </w:tr>
      <w:tr w14:paraId="3D09E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2AB5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504660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245C3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安装调试</w:t>
            </w:r>
          </w:p>
        </w:tc>
        <w:tc>
          <w:tcPr>
            <w:tcW w:w="5814" w:type="dxa"/>
          </w:tcPr>
          <w:p w14:paraId="3C895FB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供应商负责设备安装、调试。货物到达生产现场后，供应商接到采购人通知后3日内到达现场组织安装、调试，达到正常运行要求，保证采购人正常使用。所需的费用包括在投标总价格中。（2）供应商应就设备的安装、调试、操作、维修、保养等对采购人维修技术人员进行培训。设备安装调试完毕后，供应商应对采购人操作人员进行现场培训，直至采购人的技术人员能独立操作，同时能完成一般常见故障的维修工作。（3）供应商预留满足医院集成平台需要的数据接口，要求完成与医院HIS(东华)、LIS(北京智方)、影像中心(英飞达)、集成平台(医惠) 、数据中心(柯林布瑞)系统的对接及一系列的升级、维护工作，后期接入所需的费用(包括但不限于系统的对接及一系列的升级、维护所必须用的设备材料等)包括在投标总价格中。</w:t>
            </w:r>
          </w:p>
        </w:tc>
      </w:tr>
      <w:tr w14:paraId="0416A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AA833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0205B8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829BD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耗材</w:t>
            </w:r>
          </w:p>
        </w:tc>
        <w:tc>
          <w:tcPr>
            <w:tcW w:w="5814" w:type="dxa"/>
          </w:tcPr>
          <w:p w14:paraId="6116F2B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投设备若涉及专用耗材或封闭试剂需在投标文件中标明，并列出专用耗材或封闭试剂的项目及价格清单{若属于四川省医疗保险信息大数据一体化平台药品和医用耗材招采管理子系统的，需列出挂网产品流水号（或商品代码）和平台当月采购最低价格}；所投设备若不涉及专用耗材或封闭试剂需在投标文件中标明本次所投设备不涉及专用耗材或封闭式试剂。项目涉及专用耗材请注明。</w:t>
            </w:r>
          </w:p>
        </w:tc>
      </w:tr>
      <w:tr w14:paraId="64C91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B0A88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04AA7B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811A53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w:t>
            </w:r>
          </w:p>
        </w:tc>
        <w:tc>
          <w:tcPr>
            <w:tcW w:w="5814" w:type="dxa"/>
          </w:tcPr>
          <w:p w14:paraId="2AF1D74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（1）提供有关资料及售后服务承诺。</w:t>
            </w:r>
          </w:p>
          <w:p w14:paraId="0C9CCD2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（2）备件送达期限：在设备的使用寿命期内，供应商应保证国内不超过7天。</w:t>
            </w:r>
          </w:p>
          <w:p w14:paraId="13733FE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（3）终身零配件供应：供应商应保证设备停产后的备件供应保证10年，并以不高于市场价的价格提供该设备所需的维修零配件。</w:t>
            </w:r>
          </w:p>
          <w:p w14:paraId="213FE9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（4）供应商承诺在国内应有24小时电话维修系统，并在交货时列出工程师名单、联系电话、通讯地址及备件库地址和备件的详细目录。</w:t>
            </w:r>
          </w:p>
          <w:p w14:paraId="5FD55B4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（5）质保期后，供应商应向采购人提供技术服务和备品备件供应。</w:t>
            </w:r>
          </w:p>
        </w:tc>
      </w:tr>
      <w:tr w14:paraId="76533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C3D31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6B9F58D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7DEF6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175554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（由于系统固化原因，3.3.2.商务要求中付款进度安排不适用，以此处为准）</w:t>
            </w:r>
          </w:p>
          <w:p w14:paraId="53B10B22">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合同签订生效且收到中标人提供的等额有效票据，达到付款条件起 10 个工作日内，支付合同总金额的 30.00%，货到验收合格后且收到有效完整的增值税发票据 ，达到付款条件起 10 个工作日内，支付合同总金额的 70.00%。</w:t>
            </w:r>
          </w:p>
        </w:tc>
      </w:tr>
    </w:tbl>
    <w:p w14:paraId="0E06DC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4C1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3637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2C642BE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79ADD4C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705FA4D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1B9B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834C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3C823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CD64B2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技术资料</w:t>
            </w:r>
          </w:p>
        </w:tc>
        <w:tc>
          <w:tcPr>
            <w:tcW w:w="5814" w:type="dxa"/>
          </w:tcPr>
          <w:p w14:paraId="35D453F9">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交货时应提供以下技术资料（如涉及）原产地证明书(由制造厂签发)、提供主机及配套设备的安装图纸及说明、提供主机及配套设备使用说明书、维护手册、备件手册、零件及易损件的图纸及相关资料、其它相关技术资料。</w:t>
            </w:r>
          </w:p>
        </w:tc>
      </w:tr>
      <w:tr w14:paraId="3B17F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FAC75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7C56D0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C3E18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现场开箱检验</w:t>
            </w:r>
          </w:p>
        </w:tc>
        <w:tc>
          <w:tcPr>
            <w:tcW w:w="5814" w:type="dxa"/>
          </w:tcPr>
          <w:p w14:paraId="0D4FE7C1">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设备开箱检验在采购人的安装地点进行。在货物抵达采购人指定地点3日内，供应商人员及技术人员应抵达采购人指定地点通知采购人进行开箱检验。双方依据供应商提供的货物资料，如有短缺、规格不符、资料不全等，由供应商在7日内给予更换、补齐，并承担由此产生的全部费用。在开箱检验合格后，经双方代表签字予以确认。开箱检验时采购人有权对供应商投标文件所提供的技术参数进行检查，若涉及进口产品采购人有权申请中国进出口商品检验局进行检测。</w:t>
            </w:r>
          </w:p>
        </w:tc>
      </w:tr>
      <w:tr w14:paraId="47D2F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2519F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1E0891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D6507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安装调试验收</w:t>
            </w:r>
          </w:p>
        </w:tc>
        <w:tc>
          <w:tcPr>
            <w:tcW w:w="5814" w:type="dxa"/>
          </w:tcPr>
          <w:p w14:paraId="2DE11B5C">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货物到达现场后，供应商接到采购人通知后3日内到达现场组织安装、调试，达到正常运行要求，保证采购人正常使用。设备安装试运行后无问题，进行设备的验收。货物一经验收合格，双方即签署安装验收单，一式两份，双方各执一份。</w:t>
            </w:r>
          </w:p>
        </w:tc>
      </w:tr>
      <w:tr w14:paraId="464ED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FC7DF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389E3E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E487F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安装调试</w:t>
            </w:r>
          </w:p>
        </w:tc>
        <w:tc>
          <w:tcPr>
            <w:tcW w:w="5814" w:type="dxa"/>
          </w:tcPr>
          <w:p w14:paraId="29D5BA3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供应商负责设备安装、调试。货物到达生产现场后，供应商接到采购人通知后3日内到达现场组织安装、调试，达到正常运行要求，保证采购人正常使用。所需的费用包括在投标总价格中。（2）供应商应就设备的安装、调试、操作、维修、保养等对采购人维修技术人员进行培训。设备安装调试完毕后，供应商应对采购人操作人员进行现场培训，直至采购人的技术人员能独立操作，同时能完成一般常见故障的维修工作。（3）供应商预留满足医院集成平台需要的数据接口，要求完成与医院HIS(东华)、LIS(北京智方)、影像中心(英飞达)、集成平台(医惠) 、数据中心(柯林布瑞)系统的对接及一系列的升级、维护工作，后期接入所需的费用(包括但不限于系统的对接及一系列的升级、维护所必须用的设备材料等)包括在投标总价格中。</w:t>
            </w:r>
          </w:p>
        </w:tc>
      </w:tr>
      <w:tr w14:paraId="01B90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82CA4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2CF134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504684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耗材</w:t>
            </w:r>
          </w:p>
        </w:tc>
        <w:tc>
          <w:tcPr>
            <w:tcW w:w="5814" w:type="dxa"/>
          </w:tcPr>
          <w:p w14:paraId="0038F4E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投设备若涉及专用耗材或封闭试剂需在投标文件中标明，并列出专用耗材或封闭试剂的项目及价格清单{若属于四川省医疗保险信息大数据一体化平台药品和医用耗材招采管理子系统的，需列出挂网产品流水号（或商品代码）和平台当月采购价格}；所投设备若不涉及专用耗材或封闭试剂需在投标文件中标明本次所投设备不涉及专用耗材或封闭式试剂。项目涉及专用耗材请注明。</w:t>
            </w:r>
          </w:p>
        </w:tc>
      </w:tr>
      <w:tr w14:paraId="03198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C714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0112D98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DA15D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w:t>
            </w:r>
          </w:p>
        </w:tc>
        <w:tc>
          <w:tcPr>
            <w:tcW w:w="5814" w:type="dxa"/>
          </w:tcPr>
          <w:p w14:paraId="3001B6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（1）提供有关资料及售后服务承诺。</w:t>
            </w:r>
          </w:p>
          <w:p w14:paraId="41B454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（2）备件送达期限：在设备的使用寿命期内，供应商应保证国内不超过7天。</w:t>
            </w:r>
          </w:p>
          <w:p w14:paraId="63AAE4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（3）终身零配件供应：供应商应保证设备停产后的备件供应保证10年，并以不高于市场价的价格提供该设备所需的维修零配件。</w:t>
            </w:r>
          </w:p>
          <w:p w14:paraId="321A87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（4）供应商承诺在国内应有24小时电话维修系统，并在交货时列出工程师名单、联系电话、通讯地址及备件库地址和备件的详细目录。</w:t>
            </w:r>
          </w:p>
          <w:p w14:paraId="78265378">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（5）质保期后，供应商应向采购人提供技术服务和备品备件供应。</w:t>
            </w:r>
          </w:p>
        </w:tc>
      </w:tr>
      <w:tr w14:paraId="4B188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D6E9F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3C446C2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BEA9C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4CB3DC6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（由于系统固化原因，3.3.2.商务要求中付款进度安排不适用，以此处为准）</w:t>
            </w:r>
          </w:p>
          <w:p w14:paraId="1057A35B">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合同签订生效且收到中标人提供的等额有效票据，达到付款条件起 10 个工作日内，支付合同总金额的 30.00%，货到验收合格后且收到有效完整的增值税发票据 ，达到付款条件起 10 个工作日内，支付合同总金额的 70.00%。</w:t>
            </w:r>
          </w:p>
        </w:tc>
      </w:tr>
    </w:tbl>
    <w:p w14:paraId="13288227">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6AC847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F01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ECB7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2B446F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44D93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7A764C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27D1F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6DA3D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A1B3C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656BA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4CD5C4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自合同签订之日起30日</w:t>
            </w:r>
          </w:p>
        </w:tc>
      </w:tr>
      <w:tr w14:paraId="072EE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C3A1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33B6A7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A104C3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307BC7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成都市中西医结合医院</w:t>
            </w:r>
          </w:p>
        </w:tc>
      </w:tr>
      <w:tr w14:paraId="314C9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50DD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24BDEB2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1C3E3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2942C1E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40A22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03AA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74B7F0C2">
            <w:pPr>
              <w:rPr>
                <w:rFonts w:ascii="Calibri" w:hAnsi="Calibri" w:eastAsia="宋体" w:cs="Times New Roman"/>
              </w:rPr>
            </w:pPr>
          </w:p>
        </w:tc>
        <w:tc>
          <w:tcPr>
            <w:tcW w:w="1495" w:type="dxa"/>
          </w:tcPr>
          <w:p w14:paraId="1C3F12B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6748EC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1、合同签订生效且收到中标人提供的等额有效票据，达到付款条件起10日内，支付合同总金额的30.00%</w:t>
            </w:r>
          </w:p>
          <w:p w14:paraId="5C812D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2、货到验收合格后且收到有效完整的增值税发票据，达到付款条件起10日内，支付合同总金额的70.00%</w:t>
            </w:r>
          </w:p>
        </w:tc>
      </w:tr>
      <w:tr w14:paraId="77A19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674B4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1CFDBF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8BD2D4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371B8E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（由于系统固化原因，若有与2.6.6.履约验收方案冲突的，以此处为准） 验收组织方式：采购人自行验收 ；是否邀请本项目的其他供应商：否 ；是否邀请专家：否 ；是否邀请服务对象：否；是否邀请第三方检测机构：否；履约验收程序：一次性验收；履约验收时间：供应商提出验收申请之日起10日内组织验收；验收组织的其他事项：无；技术履约验收内容：采购数量是否符合要求、技术参数是否符合中标人的投标文件技术参数要求；商务履约验收内容：是否在规定时间内完成交货、是否按照交货期按时交货、质保期是否符合要求、售后服务是否达到要求标准；履约验收标准：由采购人组织，严格按照《财政部关于进一步加强政府采购需求和履约验收管理的指导意见》（财库〔2016〕205号）的要求进行验收；履约验收其他事项：无。 （注：以上采购人指采购人，供应商指中标人）</w:t>
            </w:r>
          </w:p>
        </w:tc>
      </w:tr>
      <w:tr w14:paraId="77812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D7B05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6BB4937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96BE1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2E89E5C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质保期为设备验收合格之日起3年。质保期内供应商应负责设备维修及抢修，产生的所有费用包含在投标总价中。</w:t>
            </w:r>
          </w:p>
        </w:tc>
      </w:tr>
      <w:tr w14:paraId="1298F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D382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5EA0325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7E5D1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2D825F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（注：以下甲方指采购人，乙方指中标人） 一、违约责任： （一）甲方违约责任 1.甲方无正当理由拒收货物的，甲方应偿付合同总价百分之十的违约金。 2.甲方无正当理由逾期支付货款的，应及时付足货款；逾期付款超过90个工作日的，乙方有权终止合同。 （二）乙方违约责任 1.乙方交付的货物质量不符合合同规定的，乙方应向甲方支付合同总价的10%的违约金，并在甲方发出整改通知的15日内更换合格的货物给甲方；否则，视作乙方不能交付货物而违约，甲方有权终止合同，并另行采购，并要求乙方承担合同价的10%的违约赔偿金。 2.乙方不能交付货物或逾期交付货物或不能按期安装、调试、验收而违约的，应及时交足货物外，每逾期一日，按照按合同总金额的万分之五每天作为违约金支付给甲方。逾期超过30天，甲方有权终止合同，乙方则应按合同总价的10%的款额向甲方偿付赔偿金，并须全额退还甲方已经付给乙方的货款及其利息。乙方自行取回设备，所涉费用由乙方承担且不得对甲方原有设备造成损害，负责按照甲方确定的金额赔偿。 3.乙方保证本合同货物的权利无瑕疵，包括货物所有权及知识产权等权利无瑕疵。如任何第三方经法院（或仲裁机构）裁决有权对上述货物主张权利或国家机关依法对货物进行没收查处的，乙方除应向甲方返回已收款项外，还应另按合同总价的10%向甲方支付违约金并赔偿因此给甲方造成的一切损失。乙方自行取回设备，所涉费用由乙方承担且不得对甲方原有设备造成损害，负责按照甲方确定的金额赔偿。 4.质保、维保期内未按照售后服务条款执行的，乙方须按照合同总价的10%向甲方支付违约金。如故障经乙方 3 次维修仍不能达到本合同约定的质量标准或无法正常使用的，甲方有权退货、退款并由乙方承担全额的赔偿责任；甲方不能正常使用设备达24小时，质保期按照不能正常使用时间的5倍顺延。故障时间累计达30日，甲方有权选择退货或者换货，乙方应在接到甲方通知后10日内完成退货或换货，如果要求退货的，同时退款及利息。 5.因乙方原因（包括但不限于设备质量问题、安装不当、操作培训不足等）造成设备使用期间的安全、质量事故的，对甲方或第三方造成人身损害、财产损失的，由乙方承担全部法律责任和赔偿责任。乙方还应向甲方支付合同总价款10%的金额作为违约金，甲方并有权解除合同并要求乙方返还已支付的全部货款。如因设备质量瑕疵或质量缺陷导致甲方无法正常使用或影响使用效果，由此与患者发生纠纷而导致甲方赔偿，乙方对此承担全部责任。6、乙方偿付的违约金不足以弥补甲方损失的，还应按甲方损失尚未弥补的部分，支付赔偿给甲方。 二、解决争议的方法：凡因本合同引起的或与本合同有关的任何争议，双方应通过友好协商解决。如果协商不能解决，任何一方都有权申请甲方所在地人民法院裁决，诉讼费、律师费、公证费、公告费及其他诉讼成本均由败诉方承担。</w:t>
            </w:r>
          </w:p>
        </w:tc>
      </w:tr>
      <w:tr w14:paraId="4E7AA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672C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22F696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05D05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0819B3A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794C6B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586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38EC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BFFC3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F6CAB9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2826AB8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23C8B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E8D3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1AD75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BFB1F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0CBFB9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自合同签订之日起30日</w:t>
            </w:r>
          </w:p>
        </w:tc>
      </w:tr>
      <w:tr w14:paraId="24EA3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3DB52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330D61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75866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5E211BD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成都市中西医结合医院</w:t>
            </w:r>
          </w:p>
        </w:tc>
      </w:tr>
      <w:tr w14:paraId="69D41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CB6A5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6BE7E6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06223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36D5C92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5303F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84C0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179E03AA">
            <w:pPr>
              <w:rPr>
                <w:rFonts w:ascii="Calibri" w:hAnsi="Calibri" w:eastAsia="宋体" w:cs="Times New Roman"/>
              </w:rPr>
            </w:pPr>
          </w:p>
        </w:tc>
        <w:tc>
          <w:tcPr>
            <w:tcW w:w="1495" w:type="dxa"/>
          </w:tcPr>
          <w:p w14:paraId="4ADA144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7CF8D43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1、合同签订生效且收到中标人提供的等额有效票据，达到付款条件起10日内，支付合同总金额的30.00%</w:t>
            </w:r>
          </w:p>
          <w:p w14:paraId="0DC2E8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2、货到验收合格后且收到有效完整的增值税发票据，达到付款条件起10日内，支付合同总金额的70.00%</w:t>
            </w:r>
          </w:p>
        </w:tc>
      </w:tr>
      <w:tr w14:paraId="40D25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87C6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2A03EB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C477F0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768316E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（由于系统固化原因，若有与2.6.6.履约验收方案冲突的，以此处为准） 验收组织方式：采购人自行验收 ；是否邀请本项目的其他供应商：否 ；是否邀请专家：否 ；是否邀请服务对象：否；是否邀请第三方检测机构：否；履约验收程序：一次性验收；履约验收时间：供应商提出验收申请之日起10日内组织验收；验收组织的其他事项：无；技术履约验收内容：采购数量是否符合要求、技术参数是否符合中标人的投标文件技术参数要求；商务履约验收内容：是否在规定时间内完成交货、是否按照交货期按时交货、质保期是否符合要求、售后服务是否达到要求标准；履约验收标准：由采购人组织，严格按照《财政部关于进一步加强政府采购需求和履约验收管理的指导意见》（财库〔2016〕205号）的要求进行验收；履约验收其他事项：无。 （注：以上采购人指采购人，供应商指中标人）</w:t>
            </w:r>
          </w:p>
        </w:tc>
      </w:tr>
      <w:tr w14:paraId="4D7CC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C5EB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33694A0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CEA85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2D593B0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质保期为设备验收合格之日起3年。质保期内供应商应负责设备维修及抢修，产生的所有费用包含在投标总价中。</w:t>
            </w:r>
          </w:p>
        </w:tc>
      </w:tr>
      <w:tr w14:paraId="24C3A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416F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4D42432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E49F1E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44B9731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（注：以下甲方指采购人，乙方指中标人） 一、违约责任： （一）甲方违约责任 1.甲方无正当理由拒收货物的，甲方应偿付合同总价百分之十的违约金。 2.甲方无正当理由逾期支付货款的，应及时付足货款；逾期付款超过90个工作日的，乙方有权终止合同。 （二）乙方违约责任 1.乙方交付的货物质量不符合合同规定的，乙方应向甲方支付合同总价的10%的违约金，并在甲方发出整改通知的15日内更换合格的货物给甲方；否则，视作乙方不能交付货物而违约，甲方有权终止合同，并另行采购，并要求乙方承担合同价的10%的违约赔偿金。 2.乙方不能交付货物或逾期交付货物或不能按期安装、调试、验收而违约的，应及时交足货物外，每逾期一日，按照按合同总金额的万分之五每天作为违约金支付给甲方。逾期超过30天，甲方有权终止合同，乙方则应按合同总价的10%的款额向甲方偿付赔偿金，并须全额退还甲方已经付给乙方的货款及其利息。乙方自行取回设备，所涉费用由乙方承担且不得对甲方原有设备造成损害，负责按照甲方确定的金额赔偿。 3.乙方保证本合同货物的权利无瑕疵，包括货物所有权及知识产权等权利无瑕疵。如任何第三方经法院（或仲裁机构）裁决有权对上述货物主张权利或国家机关依法对货物进行没收查处的，乙方除应向甲方返回已收款项外，还应另按合同总价的10%向甲方支付违约金并赔偿因此给甲方造成的一切损失。乙方自行取回设备，所涉费用由乙方承担且不得对甲方原有设备造成损害，负责按照甲方确定的金额赔偿。 4.质保、维保期内未按照售后服务条款执行的，乙方须按照合同总价的10%向甲方支付违约金。如故障经乙方 3 次维修仍不能达到本合同约定的质量标准或无法正常使用的，甲方有权退货、退款并由乙方承担全额的赔偿责任；甲方不能正常使用设备达24小时，质保期按照不能正常使用时间的5倍顺延。故障时间累计达30日，甲方有权选择退货或者换货，乙方应在接到甲方通知后10日内完成退货或换货，如果要求退货的，同时退款及利息。 5.因乙方原因（包括但不限于设备质量问题、安装不当、操作培训不足等）造成设备使用期间的安全、质量事故的，对甲方或第三方造成人身损害、财产损失的，由乙方承担全部法律责任和赔偿责任。乙方还应向甲方支付合同总价款10%的金额作为违约金，甲方并有权解除合同并要求乙方返还已支付的全部货款。如因设备质量瑕疵或质量缺陷导致甲方无法正常使用或影响使用效果，由此与患者发生纠纷而导致甲方赔偿，乙方对此承担全部责任。6、乙方偿付的违约金不足以弥补甲方损失的，还应按甲方损失尚未弥补的部分，支付赔偿给甲方。 二、解决争议的方法：凡因本合同引起的或与本合同有关的任何争议，双方应通过友好协商解决。如果协商不能解决，任何一方都有权申请甲方所在地人民法院裁决，诉讼费、律师费、公证费、公告费及其他诉讼成本均由败诉方承担。</w:t>
            </w:r>
          </w:p>
        </w:tc>
      </w:tr>
      <w:tr w14:paraId="78F5E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05D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42A084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CDBC4A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7F2A1C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768A3C32">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33214582">
      <w:r>
        <w:rPr>
          <w:rFonts w:hint="eastAsia" w:ascii="仿宋_GB2312" w:hAnsi="仿宋_GB2312" w:eastAsia="仿宋_GB2312" w:cs="仿宋_GB2312"/>
          <w:lang w:val="en-US" w:eastAsia="zh-Hans"/>
        </w:rPr>
        <w:t>1.未载明或者载明的标的名称、数量、计量单位及其他政府采购合同实质性内容与采购文件要求不一致，且采购单位无法接受的，属于无效响应。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C41DA"/>
    <w:rsid w:val="667C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2026-04-21T06:56:00Z</dcterms:created>
  <dc:creator>李秋湘</dc:creator>
  <cp:lastModifiedBy>李秋湘</cp:lastModifiedBy>
  <dcterms:modified xsi:type="dcterms:W3CDTF">2026-04-21T06:57:04Z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C2720558F4B94F998C83C1EDA8BC807A_11</vt:lpwstr>
  </property>
  <property fmtid="{D5CDD505-2E9C-101B-9397-08002B2CF9AE}" pid="4" name="KSOTemplateDocerSaveRecord">
    <vt:lpwstr>eyJoZGlkIjoiNGEwMGZlMTgyNzYxYmM5YzFhMmQ5ZGNmZTlkYWFlMDUiLCJ1c2VySWQiOiIzOTYyMzc0MDcifQ==</vt:lpwstr>
  </property>
</Properties>
</file>