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版本号：N513423202600001620260205001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盐源县龙塘水库、老沟水库灌区渠系续建配套项目前期工作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N5134232026000016</w:t>
      </w:r>
    </w:p>
    <w:p>
      <w:pPr>
        <w:pStyle w:val="null3"/>
        <w:jc w:val="left"/>
        <w:outlineLvl w:val="2"/>
      </w:pPr>
      <w:r>
        <w:rPr>
          <w:rFonts w:ascii="仿宋_GB2312" w:hAnsi="仿宋_GB2312" w:cs="仿宋_GB2312" w:eastAsia="仿宋_GB2312"/>
          <w:sz w:val="28"/>
          <w:b/>
        </w:rPr>
        <w:t>盐源县水利局</w:t>
      </w:r>
    </w:p>
    <w:p>
      <w:pPr>
        <w:pStyle w:val="null3"/>
        <w:jc w:val="center"/>
        <w:outlineLvl w:val="2"/>
      </w:pPr>
      <w:r>
        <w:rPr>
          <w:rFonts w:ascii="仿宋_GB2312" w:hAnsi="仿宋_GB2312" w:cs="仿宋_GB2312" w:eastAsia="仿宋_GB2312"/>
          <w:sz w:val="28"/>
          <w:b/>
        </w:rPr>
        <w:t>四川中璟博达工程咨询有限公司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四川中璟博达工程咨询有限公司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盐源县水利局</w:t>
      </w:r>
      <w:r>
        <w:rPr>
          <w:rFonts w:ascii="仿宋_GB2312" w:hAnsi="仿宋_GB2312" w:cs="仿宋_GB2312" w:eastAsia="仿宋_GB2312"/>
        </w:rPr>
        <w:t xml:space="preserve"> 委托，拟对 </w:t>
      </w:r>
      <w:r>
        <w:rPr>
          <w:rFonts w:ascii="仿宋_GB2312" w:hAnsi="仿宋_GB2312" w:cs="仿宋_GB2312" w:eastAsia="仿宋_GB2312"/>
        </w:rPr>
        <w:t>盐源县龙塘水库、老沟水库灌区渠系续建配套项目前期工作</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N5134232026000016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盐源县龙塘水库、老沟水库灌区渠系续建配套项目前期工作</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按水利水电工程可行性研究报告编制规程要求的内容和深度，开展盐源县龙塘水库、老沟水库灌区渠系续建配套项目前期工作勘察设计，完成项目建议书、可研报告及相关专题报告编制并通过可研评审，获得可研批复。相关专题专项报告是指在合同约定期限内可行性研究阶段审批所需的专题专项报告</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须具有国家行政主管部门颁发的工程设计水利行业甲级及以上资质和工程勘察专业类（岩土工程、工程测量）乙级及以上资质（描述：须具有国家行政主管部门颁发的工程设计水利行业甲级及以上资质和工程勘察专业类（岩土工程、工程测量）乙级及以上资质（提供相应证书复印件））</w:t>
      </w:r>
    </w:p>
    <w:p>
      <w:pPr>
        <w:pStyle w:val="null3"/>
        <w:jc w:val="left"/>
      </w:pPr>
      <w:r>
        <w:rPr>
          <w:rFonts w:ascii="仿宋_GB2312" w:hAnsi="仿宋_GB2312" w:cs="仿宋_GB2312" w:eastAsia="仿宋_GB2312"/>
        </w:rPr>
        <w:t>2、本项目接受联合体投标；（描述：1、若为联合体投标的，联合体牵头人应为设计单位，同时满足下列要求：（1）组成联合体的成员不得超过2家；(2)联合体各方应签订联合体协议书，明确联合体牵头人和各方权利义务，并由联合体各方向招标人承担连带责任；(3)组成联合体投标应符合相关法律法规对联合体投标的有关规定，联合体各方不得再以自己名义单独或参加其他联合体在同一工程项目中投标；（4）联合体牵头人负责本项目递交投标文件等相关事宜。（提供相关证明材料，格式自拟，加盖投标人鲜章） 2、不为联合体投标的，则不提供。）</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盐源县水利局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四川省盐源县政府街49号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0834-6362774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四川中璟博达工程咨询有限公司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四川省凉山彝族自治州西昌市春栖大道37号高枧家园61幢9层1号(用于办公）</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0834-6967077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代理服务费收费标准：招标代理服务费参照国家计委招标代理服务收费管理暂行办法(国家计委计价[2002]1980号)规定的收费标准计取。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盐源县水利局</w:t>
      </w:r>
      <w:r>
        <w:rPr>
          <w:rFonts w:ascii="仿宋_GB2312" w:hAnsi="仿宋_GB2312" w:cs="仿宋_GB2312" w:eastAsia="仿宋_GB2312"/>
        </w:rPr>
        <w:t xml:space="preserve"> 和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盐源县水利局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四川中璟博达工程咨询有限公司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供应商提出验收申请之日起15日内组织验收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项目实施完成后，由采购人组织专业人员按照国家相关规范标准、财库（2016）205号及采购文件的要求进行验收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按照招标文件的量要求和技术指标、供应商的投标文件及承诺与合同约定标准进行验收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22号)的要求及行业国家主管部门规定的标准、方法和内容进行验收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盐源县水利局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联系人：沈老师</w:t>
      </w:r>
    </w:p>
    <w:p>
      <w:pPr>
        <w:pStyle w:val="null3"/>
        <w:jc w:val="left"/>
      </w:pPr>
      <w:r>
        <w:rPr>
          <w:rFonts w:ascii="仿宋_GB2312" w:hAnsi="仿宋_GB2312" w:cs="仿宋_GB2312" w:eastAsia="仿宋_GB2312"/>
        </w:rPr>
        <w:t>联系电话：0834-6362774</w:t>
      </w:r>
    </w:p>
    <w:p>
      <w:pPr>
        <w:pStyle w:val="null3"/>
        <w:jc w:val="left"/>
      </w:pPr>
      <w:r>
        <w:rPr>
          <w:rFonts w:ascii="仿宋_GB2312" w:hAnsi="仿宋_GB2312" w:cs="仿宋_GB2312" w:eastAsia="仿宋_GB2312"/>
        </w:rPr>
        <w:t>地址：四川省盐源县政府街49号</w:t>
      </w:r>
    </w:p>
    <w:p>
      <w:pPr>
        <w:pStyle w:val="null3"/>
        <w:jc w:val="left"/>
      </w:pPr>
      <w:r>
        <w:rPr>
          <w:rFonts w:ascii="仿宋_GB2312" w:hAnsi="仿宋_GB2312" w:cs="仿宋_GB2312" w:eastAsia="仿宋_GB2312"/>
        </w:rPr>
        <w:t>邮编：615700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联系人：潘先生</w:t>
      </w:r>
    </w:p>
    <w:p>
      <w:pPr>
        <w:pStyle w:val="null3"/>
        <w:jc w:val="left"/>
      </w:pPr>
      <w:r>
        <w:rPr>
          <w:rFonts w:ascii="仿宋_GB2312" w:hAnsi="仿宋_GB2312" w:cs="仿宋_GB2312" w:eastAsia="仿宋_GB2312"/>
        </w:rPr>
        <w:t>联系电话：0834-6967077</w:t>
      </w:r>
    </w:p>
    <w:p>
      <w:pPr>
        <w:pStyle w:val="null3"/>
        <w:jc w:val="left"/>
      </w:pPr>
      <w:r>
        <w:rPr>
          <w:rFonts w:ascii="仿宋_GB2312" w:hAnsi="仿宋_GB2312" w:cs="仿宋_GB2312" w:eastAsia="仿宋_GB2312"/>
        </w:rPr>
        <w:t>地址：四川省凉山彝族自治州西昌市春栖大道37号高枧家园61幢9层1号(中国电建、中国华西九建1楼至电梯间到9楼1号）</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29,000,000.00</w:t>
      </w:r>
    </w:p>
    <w:p>
      <w:pPr>
        <w:pStyle w:val="null3"/>
        <w:jc w:val="left"/>
      </w:pPr>
      <w:r>
        <w:rPr>
          <w:rFonts w:ascii="仿宋_GB2312" w:hAnsi="仿宋_GB2312" w:cs="仿宋_GB2312" w:eastAsia="仿宋_GB2312"/>
        </w:rPr>
        <w:t>采购包最高限价（元）: 29,000,000.00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盐源县龙塘水库、老沟水库灌区渠系续建配套项目前期工作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盐源县龙塘水库、老沟水库灌区渠系续建配套项目前期工作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以中标供应商投标报价为含税合同价，本项目最高限价29000000.00元，投标报价不超过最高限价。本项目费用包括前期工作工程勘察设计费(包括项目建议书和可行性研究报告)和专题专项报告编制费、服务人员保险费用、评审审查费用及于本次活动相关的一切费用。除供应商报价外，采购人不再针对本项目支付任何其他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标的名称：盐源县龙塘水库、老沟水库灌区渠系续建配套项目前期工作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服务技术商务要求</w:t>
            </w:r>
          </w:p>
        </w:tc>
        <w:tc>
          <w:tcPr>
            <w:tcW w:type="dxa" w:w="5814"/>
          </w:tcPr>
          <w:p>
            <w:pPr>
              <w:pStyle w:val="null3"/>
              <w:jc w:val="left"/>
            </w:pPr>
            <w:r>
              <w:rPr>
                <w:rFonts w:ascii="仿宋_GB2312" w:hAnsi="仿宋_GB2312" w:cs="仿宋_GB2312" w:eastAsia="仿宋_GB2312"/>
                <w:sz w:val="28"/>
                <w:b/>
              </w:rPr>
              <w:t>1.服务内容</w:t>
            </w:r>
          </w:p>
          <w:p>
            <w:pPr>
              <w:pStyle w:val="null3"/>
              <w:ind w:firstLine="640"/>
              <w:jc w:val="left"/>
            </w:pPr>
            <w:r>
              <w:rPr>
                <w:rFonts w:ascii="仿宋_GB2312" w:hAnsi="仿宋_GB2312" w:cs="仿宋_GB2312" w:eastAsia="仿宋_GB2312"/>
                <w:sz w:val="32"/>
                <w:u w:val="single"/>
              </w:rPr>
              <w:t>按水利水电工程可行性研究报告编制规程要求的内容和深度，</w:t>
            </w:r>
            <w:r>
              <w:rPr>
                <w:rFonts w:ascii="仿宋_GB2312" w:hAnsi="仿宋_GB2312" w:cs="仿宋_GB2312" w:eastAsia="仿宋_GB2312"/>
                <w:sz w:val="32"/>
                <w:u w:val="single"/>
              </w:rPr>
              <w:t>开展</w:t>
            </w:r>
            <w:r>
              <w:rPr>
                <w:rFonts w:ascii="仿宋_GB2312" w:hAnsi="仿宋_GB2312" w:cs="仿宋_GB2312" w:eastAsia="仿宋_GB2312"/>
                <w:sz w:val="32"/>
                <w:u w:val="single"/>
              </w:rPr>
              <w:t>盐源县龙塘水库、老沟水库灌区渠系续建配套项目前期工作</w:t>
            </w:r>
            <w:r>
              <w:rPr>
                <w:rFonts w:ascii="仿宋_GB2312" w:hAnsi="仿宋_GB2312" w:cs="仿宋_GB2312" w:eastAsia="仿宋_GB2312"/>
                <w:sz w:val="32"/>
                <w:u w:val="single"/>
              </w:rPr>
              <w:t>勘察设计，完成项目建议书、</w:t>
            </w:r>
            <w:r>
              <w:rPr>
                <w:rFonts w:ascii="仿宋_GB2312" w:hAnsi="仿宋_GB2312" w:cs="仿宋_GB2312" w:eastAsia="仿宋_GB2312"/>
                <w:sz w:val="32"/>
                <w:u w:val="single"/>
              </w:rPr>
              <w:t>可研报告及相关专题报告编制并通过可研评审，</w:t>
            </w:r>
            <w:r>
              <w:rPr>
                <w:rFonts w:ascii="仿宋_GB2312" w:hAnsi="仿宋_GB2312" w:cs="仿宋_GB2312" w:eastAsia="仿宋_GB2312"/>
                <w:sz w:val="32"/>
                <w:u w:val="single"/>
              </w:rPr>
              <w:t>获得</w:t>
            </w:r>
            <w:r>
              <w:rPr>
                <w:rFonts w:ascii="仿宋_GB2312" w:hAnsi="仿宋_GB2312" w:cs="仿宋_GB2312" w:eastAsia="仿宋_GB2312"/>
                <w:sz w:val="32"/>
                <w:u w:val="single"/>
              </w:rPr>
              <w:t>可研批复。相关专题专项报告是指在合同约定期限内可行性研究阶段审批所需的专题专项报告。</w:t>
            </w:r>
          </w:p>
          <w:p>
            <w:pPr>
              <w:pStyle w:val="null3"/>
              <w:ind w:firstLine="640"/>
              <w:jc w:val="center"/>
            </w:pPr>
            <w:r>
              <w:rPr>
                <w:rFonts w:ascii="仿宋_GB2312" w:hAnsi="仿宋_GB2312" w:cs="仿宋_GB2312" w:eastAsia="仿宋_GB2312"/>
                <w:sz w:val="32"/>
                <w:u w:val="single"/>
              </w:rPr>
              <w:t>工作任务清单表</w:t>
            </w:r>
          </w:p>
          <w:tbl>
            <w:tblPr>
              <w:tblBorders>
                <w:top w:val="none" w:color="000000" w:sz="4"/>
                <w:left w:val="none" w:color="000000" w:sz="4"/>
                <w:bottom w:val="none" w:color="000000" w:sz="4"/>
                <w:right w:val="none" w:color="000000" w:sz="4"/>
                <w:insideH w:val="none"/>
                <w:insideV w:val="none"/>
              </w:tblBorders>
            </w:tblPr>
            <w:tblGrid>
              <w:gridCol w:w="825"/>
              <w:gridCol w:w="2819"/>
              <w:gridCol w:w="1194"/>
              <w:gridCol w:w="760"/>
            </w:tblGrid>
            <w:tr>
              <w:tc>
                <w:tcPr>
                  <w:tcW w:type="dxa" w:w="825"/>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序号</w:t>
                  </w:r>
                </w:p>
              </w:tc>
              <w:tc>
                <w:tcPr>
                  <w:tcW w:type="dxa" w:w="2819"/>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项目名称</w:t>
                  </w:r>
                </w:p>
              </w:tc>
              <w:tc>
                <w:tcPr>
                  <w:tcW w:type="dxa" w:w="1194"/>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类型</w:t>
                  </w:r>
                </w:p>
              </w:tc>
              <w:tc>
                <w:tcPr>
                  <w:tcW w:type="dxa" w:w="760"/>
                  <w:tcBorders>
                    <w:top w:val="singl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备注</w:t>
                  </w:r>
                </w:p>
              </w:tc>
            </w:tr>
            <w:tr>
              <w:tc>
                <w:tcPr>
                  <w:tcW w:type="dxa" w:w="825"/>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color w:val="000000"/>
                    </w:rPr>
                    <w:t>1</w:t>
                  </w:r>
                </w:p>
              </w:tc>
              <w:tc>
                <w:tcPr>
                  <w:tcW w:type="dxa" w:w="2819"/>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8"/>
                    </w:rPr>
                    <w:t>盐源县龙塘、老沟水库灌区续建配套项目项目建议书</w:t>
                  </w:r>
                </w:p>
              </w:tc>
              <w:tc>
                <w:tcPr>
                  <w:tcW w:type="dxa" w:w="1194"/>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项目建议书</w:t>
                  </w:r>
                </w:p>
              </w:tc>
              <w:tc>
                <w:tcPr>
                  <w:tcW w:type="dxa" w:w="760"/>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p>
              </w:tc>
            </w:tr>
            <w:tr>
              <w:tc>
                <w:tcPr>
                  <w:tcW w:type="dxa" w:w="825"/>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color w:val="000000"/>
                    </w:rPr>
                    <w:t>2</w:t>
                  </w:r>
                </w:p>
              </w:tc>
              <w:tc>
                <w:tcPr>
                  <w:tcW w:type="dxa" w:w="2819"/>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8"/>
                    </w:rPr>
                    <w:t>盐源县龙塘、老沟水库灌区续建配套项目项目可行性研究报告</w:t>
                  </w:r>
                </w:p>
              </w:tc>
              <w:tc>
                <w:tcPr>
                  <w:tcW w:type="dxa" w:w="1194"/>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可研报告</w:t>
                  </w:r>
                </w:p>
              </w:tc>
              <w:tc>
                <w:tcPr>
                  <w:tcW w:type="dxa" w:w="760"/>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p>
              </w:tc>
            </w:tr>
            <w:tr>
              <w:tc>
                <w:tcPr>
                  <w:tcW w:type="dxa" w:w="825"/>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color w:val="000000"/>
                    </w:rPr>
                    <w:t>3</w:t>
                  </w:r>
                </w:p>
              </w:tc>
              <w:tc>
                <w:tcPr>
                  <w:tcW w:type="dxa" w:w="2819"/>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both"/>
                  </w:pPr>
                  <w:r>
                    <w:rPr>
                      <w:rFonts w:ascii="仿宋_GB2312" w:hAnsi="仿宋_GB2312" w:cs="仿宋_GB2312" w:eastAsia="仿宋_GB2312"/>
                      <w:sz w:val="28"/>
                    </w:rPr>
                    <w:t>盐源县龙塘、老沟水库灌区续建配套项目</w:t>
                  </w:r>
                  <w:r>
                    <w:rPr>
                      <w:rFonts w:ascii="仿宋_GB2312" w:hAnsi="仿宋_GB2312" w:cs="仿宋_GB2312" w:eastAsia="仿宋_GB2312"/>
                      <w:sz w:val="28"/>
                    </w:rPr>
                    <w:t>所需的专题专项报告</w:t>
                  </w:r>
                </w:p>
              </w:tc>
              <w:tc>
                <w:tcPr>
                  <w:tcW w:type="dxa" w:w="1194"/>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r>
                    <w:rPr>
                      <w:rFonts w:ascii="仿宋_GB2312" w:hAnsi="仿宋_GB2312" w:cs="仿宋_GB2312" w:eastAsia="仿宋_GB2312"/>
                      <w:sz w:val="28"/>
                    </w:rPr>
                    <w:t>专题报告</w:t>
                  </w:r>
                </w:p>
              </w:tc>
              <w:tc>
                <w:tcPr>
                  <w:tcW w:type="dxa" w:w="760"/>
                  <w:tcBorders>
                    <w:top w:val="none" w:color="000000" w:sz="4"/>
                    <w:left w:val="single" w:color="000000" w:sz="4"/>
                    <w:bottom w:val="single" w:color="000000" w:sz="4"/>
                    <w:right w:val="single" w:color="000000" w:sz="4"/>
                  </w:tcBorders>
                  <w:tcMar>
                    <w:top w:type="dxa" w:w="210"/>
                    <w:left w:type="dxa" w:w="210"/>
                    <w:bottom w:type="dxa" w:w="210"/>
                    <w:right w:type="dxa" w:w="210"/>
                  </w:tcMar>
                  <w:vAlign w:val="top"/>
                </w:tcPr>
                <w:p>
                  <w:pPr>
                    <w:pStyle w:val="null3"/>
                    <w:jc w:val="center"/>
                  </w:pPr>
                </w:p>
              </w:tc>
            </w:tr>
          </w:tbl>
          <w:p>
            <w:pPr>
              <w:pStyle w:val="null3"/>
              <w:jc w:val="left"/>
            </w:pPr>
            <w:r>
              <w:rPr>
                <w:rFonts w:ascii="仿宋_GB2312" w:hAnsi="仿宋_GB2312" w:cs="仿宋_GB2312" w:eastAsia="仿宋_GB2312"/>
                <w:sz w:val="32"/>
                <w:u w:val="single"/>
              </w:rPr>
              <w:t>在编制过程中完成相关所需要的专题报告，且各类专题报告的评审费及其他所有费用由中标供应商承担。</w:t>
            </w:r>
          </w:p>
          <w:p>
            <w:pPr>
              <w:pStyle w:val="null3"/>
              <w:spacing w:after="120"/>
              <w:jc w:val="both"/>
            </w:pPr>
            <w:r>
              <w:rPr>
                <w:rFonts w:ascii="仿宋_GB2312" w:hAnsi="仿宋_GB2312" w:cs="仿宋_GB2312" w:eastAsia="仿宋_GB2312"/>
                <w:sz w:val="28"/>
                <w:b/>
              </w:rPr>
              <w:t>2.商务要求</w:t>
            </w:r>
          </w:p>
          <w:p>
            <w:pPr>
              <w:pStyle w:val="null3"/>
              <w:ind w:firstLine="640"/>
              <w:jc w:val="left"/>
            </w:pPr>
            <w:r>
              <w:rPr>
                <w:rFonts w:ascii="仿宋_GB2312" w:hAnsi="仿宋_GB2312" w:cs="仿宋_GB2312" w:eastAsia="仿宋_GB2312"/>
                <w:sz w:val="32"/>
                <w:u w:val="single"/>
              </w:rPr>
              <w:t>（</w:t>
            </w:r>
            <w:r>
              <w:rPr>
                <w:rFonts w:ascii="仿宋_GB2312" w:hAnsi="仿宋_GB2312" w:cs="仿宋_GB2312" w:eastAsia="仿宋_GB2312"/>
                <w:sz w:val="32"/>
                <w:u w:val="single"/>
              </w:rPr>
              <w:t>1</w:t>
            </w:r>
            <w:r>
              <w:rPr>
                <w:rFonts w:ascii="仿宋_GB2312" w:hAnsi="仿宋_GB2312" w:cs="仿宋_GB2312" w:eastAsia="仿宋_GB2312"/>
                <w:sz w:val="32"/>
                <w:u w:val="single"/>
              </w:rPr>
              <w:t>）</w:t>
            </w:r>
            <w:r>
              <w:rPr>
                <w:rFonts w:ascii="仿宋_GB2312" w:hAnsi="仿宋_GB2312" w:cs="仿宋_GB2312" w:eastAsia="仿宋_GB2312"/>
                <w:sz w:val="32"/>
                <w:u w:val="single"/>
              </w:rPr>
              <w:t>履行时间</w:t>
            </w:r>
            <w:r>
              <w:rPr>
                <w:rFonts w:ascii="仿宋_GB2312" w:hAnsi="仿宋_GB2312" w:cs="仿宋_GB2312" w:eastAsia="仿宋_GB2312"/>
                <w:sz w:val="32"/>
                <w:u w:val="single"/>
              </w:rPr>
              <w:t>:合同签订之日起730日历天，其中项目建议书报告自合同签订后160日历天按采购人要求进行提交(合同签订之日起算，具体时间双方另行协商)。</w:t>
            </w:r>
          </w:p>
          <w:p>
            <w:pPr>
              <w:pStyle w:val="null3"/>
              <w:ind w:firstLine="640"/>
              <w:jc w:val="left"/>
            </w:pPr>
            <w:r>
              <w:rPr>
                <w:rFonts w:ascii="仿宋_GB2312" w:hAnsi="仿宋_GB2312" w:cs="仿宋_GB2312" w:eastAsia="仿宋_GB2312"/>
                <w:sz w:val="32"/>
                <w:u w:val="single"/>
              </w:rPr>
              <w:t>（</w:t>
            </w:r>
            <w:r>
              <w:rPr>
                <w:rFonts w:ascii="仿宋_GB2312" w:hAnsi="仿宋_GB2312" w:cs="仿宋_GB2312" w:eastAsia="仿宋_GB2312"/>
                <w:sz w:val="32"/>
                <w:u w:val="single"/>
              </w:rPr>
              <w:t>2</w:t>
            </w:r>
            <w:r>
              <w:rPr>
                <w:rFonts w:ascii="仿宋_GB2312" w:hAnsi="仿宋_GB2312" w:cs="仿宋_GB2312" w:eastAsia="仿宋_GB2312"/>
                <w:sz w:val="32"/>
                <w:u w:val="single"/>
              </w:rPr>
              <w:t>）</w:t>
            </w:r>
            <w:r>
              <w:rPr>
                <w:rFonts w:ascii="仿宋_GB2312" w:hAnsi="仿宋_GB2312" w:cs="仿宋_GB2312" w:eastAsia="仿宋_GB2312"/>
                <w:sz w:val="32"/>
                <w:u w:val="single"/>
              </w:rPr>
              <w:t>履行地点：凉山州盐源县</w:t>
            </w:r>
          </w:p>
          <w:p>
            <w:pPr>
              <w:pStyle w:val="null3"/>
              <w:ind w:firstLine="640"/>
              <w:jc w:val="left"/>
            </w:pPr>
            <w:r>
              <w:rPr>
                <w:rFonts w:ascii="仿宋_GB2312" w:hAnsi="仿宋_GB2312" w:cs="仿宋_GB2312" w:eastAsia="仿宋_GB2312"/>
                <w:sz w:val="32"/>
                <w:u w:val="single"/>
              </w:rPr>
              <w:t>（</w:t>
            </w:r>
            <w:r>
              <w:rPr>
                <w:rFonts w:ascii="仿宋_GB2312" w:hAnsi="仿宋_GB2312" w:cs="仿宋_GB2312" w:eastAsia="仿宋_GB2312"/>
                <w:sz w:val="32"/>
                <w:u w:val="single"/>
              </w:rPr>
              <w:t>3</w:t>
            </w:r>
            <w:r>
              <w:rPr>
                <w:rFonts w:ascii="仿宋_GB2312" w:hAnsi="仿宋_GB2312" w:cs="仿宋_GB2312" w:eastAsia="仿宋_GB2312"/>
                <w:sz w:val="32"/>
                <w:u w:val="single"/>
              </w:rPr>
              <w:t>）</w:t>
            </w:r>
            <w:r>
              <w:rPr>
                <w:rFonts w:ascii="仿宋_GB2312" w:hAnsi="仿宋_GB2312" w:cs="仿宋_GB2312" w:eastAsia="仿宋_GB2312"/>
                <w:sz w:val="32"/>
                <w:u w:val="single"/>
              </w:rPr>
              <w:t>报价要求</w:t>
            </w:r>
            <w:r>
              <w:rPr>
                <w:rFonts w:ascii="仿宋_GB2312" w:hAnsi="仿宋_GB2312" w:cs="仿宋_GB2312" w:eastAsia="仿宋_GB2312"/>
                <w:sz w:val="32"/>
                <w:u w:val="single"/>
              </w:rPr>
              <w:t>:以中标供应商投标报价为含税合同价，本项目最高限价29000000.00元，投标报价不超过最高限价。本项目费用包括前期工作工程勘察设计费(包括项目建议书和可行性研究报告)和专题专项报告编制费、服务人员保险费用、评审审查费用及于本次活动相关的一切费用。除供应商报价外，采购人不再针对本项目支付任何其他费用。</w:t>
            </w:r>
          </w:p>
          <w:p>
            <w:pPr>
              <w:pStyle w:val="null3"/>
              <w:ind w:firstLine="640"/>
              <w:jc w:val="left"/>
            </w:pPr>
            <w:r>
              <w:rPr>
                <w:rFonts w:ascii="仿宋_GB2312" w:hAnsi="仿宋_GB2312" w:cs="仿宋_GB2312" w:eastAsia="仿宋_GB2312"/>
              </w:rPr>
              <w:t xml:space="preserve"> </w:t>
            </w:r>
          </w:p>
          <w:p>
            <w:pPr>
              <w:pStyle w:val="null3"/>
              <w:spacing w:after="120"/>
              <w:jc w:val="both"/>
            </w:pPr>
            <w:r>
              <w:rPr>
                <w:rFonts w:ascii="仿宋_GB2312" w:hAnsi="仿宋_GB2312" w:cs="仿宋_GB2312" w:eastAsia="仿宋_GB2312"/>
                <w:sz w:val="28"/>
                <w:b/>
              </w:rPr>
              <w:t>3.</w:t>
            </w:r>
            <w:r>
              <w:rPr>
                <w:rFonts w:ascii="仿宋_GB2312" w:hAnsi="仿宋_GB2312" w:cs="仿宋_GB2312" w:eastAsia="仿宋_GB2312"/>
                <w:sz w:val="28"/>
                <w:b/>
              </w:rPr>
              <w:t>安全要求</w:t>
            </w:r>
          </w:p>
          <w:p>
            <w:pPr>
              <w:pStyle w:val="null3"/>
              <w:jc w:val="left"/>
            </w:pPr>
            <w:r>
              <w:rPr>
                <w:rFonts w:ascii="仿宋_GB2312" w:hAnsi="仿宋_GB2312" w:cs="仿宋_GB2312" w:eastAsia="仿宋_GB2312"/>
                <w:sz w:val="28"/>
              </w:rPr>
              <w:t>针对本项目</w:t>
            </w:r>
            <w:r>
              <w:rPr>
                <w:rFonts w:ascii="仿宋_GB2312" w:hAnsi="仿宋_GB2312" w:cs="仿宋_GB2312" w:eastAsia="仿宋_GB2312"/>
                <w:sz w:val="28"/>
              </w:rPr>
              <w:t>现场勘察</w:t>
            </w:r>
            <w:r>
              <w:rPr>
                <w:rFonts w:ascii="仿宋_GB2312" w:hAnsi="仿宋_GB2312" w:cs="仿宋_GB2312" w:eastAsia="仿宋_GB2312"/>
                <w:sz w:val="28"/>
              </w:rPr>
              <w:t>过程中一切安全责任由</w:t>
            </w:r>
            <w:r>
              <w:rPr>
                <w:rFonts w:ascii="仿宋_GB2312" w:hAnsi="仿宋_GB2312" w:cs="仿宋_GB2312" w:eastAsia="仿宋_GB2312"/>
                <w:sz w:val="28"/>
              </w:rPr>
              <w:t>投标</w:t>
            </w:r>
            <w:r>
              <w:rPr>
                <w:rFonts w:ascii="仿宋_GB2312" w:hAnsi="仿宋_GB2312" w:cs="仿宋_GB2312" w:eastAsia="仿宋_GB2312"/>
                <w:sz w:val="28"/>
              </w:rPr>
              <w:t>供应商</w:t>
            </w:r>
            <w:r>
              <w:rPr>
                <w:rFonts w:ascii="仿宋_GB2312" w:hAnsi="仿宋_GB2312" w:cs="仿宋_GB2312" w:eastAsia="仿宋_GB2312"/>
                <w:sz w:val="28"/>
              </w:rPr>
              <w:t>自行承担。</w:t>
            </w:r>
          </w:p>
          <w:p>
            <w:pPr>
              <w:pStyle w:val="null3"/>
              <w:jc w:val="left"/>
            </w:pPr>
            <w:r>
              <w:rPr>
                <w:rFonts w:ascii="仿宋_GB2312" w:hAnsi="仿宋_GB2312" w:cs="仿宋_GB2312" w:eastAsia="仿宋_GB2312"/>
                <w:sz w:val="28"/>
                <w:b/>
              </w:rPr>
              <w:t>4.</w:t>
            </w:r>
            <w:r>
              <w:rPr>
                <w:rFonts w:ascii="仿宋_GB2312" w:hAnsi="仿宋_GB2312" w:cs="仿宋_GB2312" w:eastAsia="仿宋_GB2312"/>
                <w:sz w:val="28"/>
                <w:b/>
              </w:rPr>
              <w:t>质量要求：</w:t>
            </w:r>
          </w:p>
          <w:p>
            <w:pPr>
              <w:pStyle w:val="null3"/>
              <w:jc w:val="left"/>
            </w:pPr>
            <w:r>
              <w:rPr>
                <w:rFonts w:ascii="仿宋_GB2312" w:hAnsi="仿宋_GB2312" w:cs="仿宋_GB2312" w:eastAsia="仿宋_GB2312"/>
                <w:sz w:val="28"/>
              </w:rPr>
              <w:t>响应</w:t>
            </w:r>
            <w:r>
              <w:rPr>
                <w:rFonts w:ascii="仿宋_GB2312" w:hAnsi="仿宋_GB2312" w:cs="仿宋_GB2312" w:eastAsia="仿宋_GB2312"/>
                <w:sz w:val="28"/>
              </w:rPr>
              <w:t>文件及</w:t>
            </w:r>
            <w:r>
              <w:rPr>
                <w:rFonts w:ascii="仿宋_GB2312" w:hAnsi="仿宋_GB2312" w:cs="仿宋_GB2312" w:eastAsia="仿宋_GB2312"/>
                <w:sz w:val="28"/>
              </w:rPr>
              <w:t>投标</w:t>
            </w:r>
            <w:r>
              <w:rPr>
                <w:rFonts w:ascii="仿宋_GB2312" w:hAnsi="仿宋_GB2312" w:cs="仿宋_GB2312" w:eastAsia="仿宋_GB2312"/>
                <w:sz w:val="28"/>
              </w:rPr>
              <w:t>供应商</w:t>
            </w:r>
            <w:r>
              <w:rPr>
                <w:rFonts w:ascii="仿宋_GB2312" w:hAnsi="仿宋_GB2312" w:cs="仿宋_GB2312" w:eastAsia="仿宋_GB2312"/>
                <w:sz w:val="28"/>
              </w:rPr>
              <w:t>承诺的</w:t>
            </w:r>
            <w:r>
              <w:rPr>
                <w:rFonts w:ascii="仿宋_GB2312" w:hAnsi="仿宋_GB2312" w:cs="仿宋_GB2312" w:eastAsia="仿宋_GB2312"/>
                <w:sz w:val="28"/>
              </w:rPr>
              <w:t>服务</w:t>
            </w:r>
            <w:r>
              <w:rPr>
                <w:rFonts w:ascii="仿宋_GB2312" w:hAnsi="仿宋_GB2312" w:cs="仿宋_GB2312" w:eastAsia="仿宋_GB2312"/>
                <w:sz w:val="28"/>
              </w:rPr>
              <w:t>质量、技术和其他要求，符合国家</w:t>
            </w:r>
            <w:r>
              <w:rPr>
                <w:rFonts w:ascii="仿宋_GB2312" w:hAnsi="仿宋_GB2312" w:cs="仿宋_GB2312" w:eastAsia="仿宋_GB2312"/>
                <w:sz w:val="28"/>
              </w:rPr>
              <w:t>现行</w:t>
            </w:r>
            <w:r>
              <w:rPr>
                <w:rFonts w:ascii="仿宋_GB2312" w:hAnsi="仿宋_GB2312" w:cs="仿宋_GB2312" w:eastAsia="仿宋_GB2312"/>
                <w:sz w:val="28"/>
              </w:rPr>
              <w:t>相关</w:t>
            </w:r>
            <w:r>
              <w:rPr>
                <w:rFonts w:ascii="仿宋_GB2312" w:hAnsi="仿宋_GB2312" w:cs="仿宋_GB2312" w:eastAsia="仿宋_GB2312"/>
                <w:sz w:val="28"/>
              </w:rPr>
              <w:t>执行</w:t>
            </w:r>
            <w:r>
              <w:rPr>
                <w:rFonts w:ascii="仿宋_GB2312" w:hAnsi="仿宋_GB2312" w:cs="仿宋_GB2312" w:eastAsia="仿宋_GB2312"/>
                <w:sz w:val="28"/>
              </w:rPr>
              <w:t>标准</w:t>
            </w:r>
            <w:r>
              <w:rPr>
                <w:rFonts w:ascii="仿宋_GB2312" w:hAnsi="仿宋_GB2312" w:cs="仿宋_GB2312" w:eastAsia="仿宋_GB2312"/>
                <w:sz w:val="28"/>
              </w:rPr>
              <w:t>和规范</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b/>
              </w:rPr>
              <w:t>5.</w:t>
            </w:r>
            <w:r>
              <w:rPr>
                <w:rFonts w:ascii="仿宋_GB2312" w:hAnsi="仿宋_GB2312" w:cs="仿宋_GB2312" w:eastAsia="仿宋_GB2312"/>
                <w:sz w:val="28"/>
                <w:b/>
              </w:rPr>
              <w:t>验收方法和标准</w:t>
            </w:r>
          </w:p>
          <w:p>
            <w:pPr>
              <w:pStyle w:val="null3"/>
              <w:ind w:firstLine="280"/>
              <w:jc w:val="left"/>
            </w:pPr>
            <w:r>
              <w:rPr>
                <w:rFonts w:ascii="仿宋_GB2312" w:hAnsi="仿宋_GB2312" w:cs="仿宋_GB2312" w:eastAsia="仿宋_GB2312"/>
                <w:sz w:val="28"/>
              </w:rPr>
              <w:t>由采购人组织，按照关于印发《政府采购需求管理办法》的通知（财库〔</w:t>
            </w:r>
            <w:r>
              <w:rPr>
                <w:rFonts w:ascii="仿宋_GB2312" w:hAnsi="仿宋_GB2312" w:cs="仿宋_GB2312" w:eastAsia="仿宋_GB2312"/>
                <w:sz w:val="28"/>
              </w:rPr>
              <w:t>2021〕22号）和《财政部关于进一步加强政府采购需求和履约验收管理的指导意见》（财库〔2016〕205号）的要求以及采购文件、响应文件及现行国家和行业标准进行验收，以满足采购人的实际需求为准。</w:t>
            </w:r>
          </w:p>
          <w:p>
            <w:pPr>
              <w:pStyle w:val="null3"/>
              <w:jc w:val="left"/>
            </w:pPr>
            <w:r>
              <w:rPr>
                <w:rFonts w:ascii="仿宋_GB2312" w:hAnsi="仿宋_GB2312" w:cs="仿宋_GB2312" w:eastAsia="仿宋_GB2312"/>
                <w:sz w:val="28"/>
                <w:b/>
              </w:rPr>
              <w:t>6.</w:t>
            </w:r>
            <w:r>
              <w:rPr>
                <w:rFonts w:ascii="仿宋_GB2312" w:hAnsi="仿宋_GB2312" w:cs="仿宋_GB2312" w:eastAsia="仿宋_GB2312"/>
                <w:sz w:val="28"/>
                <w:b/>
              </w:rPr>
              <w:t>合同实质性条款</w:t>
            </w:r>
          </w:p>
          <w:p>
            <w:pPr>
              <w:pStyle w:val="null3"/>
              <w:ind w:firstLine="560"/>
              <w:jc w:val="left"/>
            </w:pPr>
            <w:r>
              <w:rPr>
                <w:rFonts w:ascii="仿宋_GB2312" w:hAnsi="仿宋_GB2312" w:cs="仿宋_GB2312" w:eastAsia="仿宋_GB2312"/>
                <w:sz w:val="28"/>
              </w:rPr>
              <w:t>甲乙双方应根据本采购项目的特点，在不违背采购文件要求、招标承诺的原则下，就具体条款进行修改和增减。</w:t>
            </w:r>
          </w:p>
          <w:p>
            <w:pPr>
              <w:pStyle w:val="null3"/>
              <w:jc w:val="both"/>
            </w:pPr>
            <w:r>
              <w:rPr>
                <w:rFonts w:ascii="仿宋_GB2312" w:hAnsi="仿宋_GB2312" w:cs="仿宋_GB2312" w:eastAsia="仿宋_GB2312"/>
                <w:sz w:val="28"/>
                <w:b/>
              </w:rPr>
              <w:t>7.知识产权归属和处理方法：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成交供应商应保证在本项目中使用的任何产品和服务（包括部分使用），不会产生因第三方提出侵犯其专利权、商标权或其它知识产权而引起的法律和经济纠纷，如因专利权、商标权或其它知识产权而引起法律和经济纠纷，由成交供应商承担所有相关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2）除非采购文件特别规定，采购人享有本项目实施过程中产生的知识成果及知识产权。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3）成交供应商将在采购项目实施过程中采用自有或者第三方知识成果的，应当在响应文件中载明，并提供相关知识产权证明文件。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4）如采用成交供应商所不拥有的知识产权，则在报价中必须包括合法获取该知识产权的相关费用。</w:t>
            </w:r>
          </w:p>
          <w:p>
            <w:pPr>
              <w:pStyle w:val="null3"/>
              <w:jc w:val="both"/>
            </w:pPr>
            <w:r>
              <w:rPr>
                <w:rFonts w:ascii="仿宋_GB2312" w:hAnsi="仿宋_GB2312" w:cs="仿宋_GB2312" w:eastAsia="仿宋_GB2312"/>
                <w:sz w:val="28"/>
                <w:b/>
              </w:rPr>
              <w:t>11</w:t>
            </w:r>
            <w:r>
              <w:rPr>
                <w:rFonts w:ascii="仿宋_GB2312" w:hAnsi="仿宋_GB2312" w:cs="仿宋_GB2312" w:eastAsia="仿宋_GB2312"/>
                <w:sz w:val="28"/>
                <w:b/>
              </w:rPr>
              <w:t>.</w:t>
            </w:r>
            <w:r>
              <w:rPr>
                <w:rFonts w:ascii="仿宋_GB2312" w:hAnsi="仿宋_GB2312" w:cs="仿宋_GB2312" w:eastAsia="仿宋_GB2312"/>
                <w:sz w:val="28"/>
                <w:b/>
              </w:rPr>
              <w:t>违约责任与解决争议的方法：</w:t>
            </w:r>
          </w:p>
          <w:p>
            <w:pPr>
              <w:pStyle w:val="null3"/>
              <w:ind w:firstLine="562"/>
              <w:jc w:val="both"/>
            </w:pPr>
            <w:r>
              <w:rPr>
                <w:rFonts w:ascii="仿宋_GB2312" w:hAnsi="仿宋_GB2312" w:cs="仿宋_GB2312" w:eastAsia="仿宋_GB2312"/>
                <w:sz w:val="28"/>
                <w:b/>
              </w:rPr>
              <w:t>违约：</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1）甲方违约责任</w:t>
            </w:r>
          </w:p>
          <w:p>
            <w:pPr>
              <w:pStyle w:val="null3"/>
              <w:ind w:firstLine="560"/>
              <w:jc w:val="both"/>
            </w:pPr>
            <w:r>
              <w:rPr>
                <w:rFonts w:ascii="仿宋_GB2312" w:hAnsi="仿宋_GB2312" w:cs="仿宋_GB2312" w:eastAsia="仿宋_GB2312"/>
                <w:sz w:val="28"/>
              </w:rPr>
              <w:t>1）甲方不履行本合同义务或者履行义务不符合本合同约定的，应承担违约责任。双方可在专用条件中约定违约金的计算及支付方法。</w:t>
            </w:r>
          </w:p>
          <w:p>
            <w:pPr>
              <w:pStyle w:val="null3"/>
              <w:ind w:firstLine="560"/>
              <w:jc w:val="both"/>
            </w:pPr>
            <w:r>
              <w:rPr>
                <w:rFonts w:ascii="仿宋_GB2312" w:hAnsi="仿宋_GB2312" w:cs="仿宋_GB2312" w:eastAsia="仿宋_GB2312"/>
                <w:sz w:val="28"/>
              </w:rPr>
              <w:t>2）甲方违反本合同约定造成乙方损失的，甲方应予以赔偿。双方可在专用条件中约定赔偿金额的确定及支付方法。</w:t>
            </w:r>
          </w:p>
          <w:p>
            <w:pPr>
              <w:pStyle w:val="null3"/>
              <w:ind w:firstLine="560"/>
              <w:jc w:val="both"/>
            </w:pPr>
            <w:r>
              <w:rPr>
                <w:rFonts w:ascii="仿宋_GB2312" w:hAnsi="仿宋_GB2312" w:cs="仿宋_GB2312" w:eastAsia="仿宋_GB2312"/>
                <w:sz w:val="28"/>
              </w:rPr>
              <w:t>3）甲方未能按期支付酬金超过14天，应按下列方法计算并支付逾期付款利息。逾期付款利息=当期应付款总额×中国人民银行发布的同期贷款基准利率×逾期支付天数（自逾期之日起计算）。双方也可在专用条件中另行约定逾期付款利息的计算及支付方法。</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2）乙方的违约责任</w:t>
            </w:r>
          </w:p>
          <w:p>
            <w:pPr>
              <w:pStyle w:val="null3"/>
              <w:ind w:firstLine="560"/>
              <w:jc w:val="both"/>
            </w:pPr>
            <w:r>
              <w:rPr>
                <w:rFonts w:ascii="仿宋_GB2312" w:hAnsi="仿宋_GB2312" w:cs="仿宋_GB2312" w:eastAsia="仿宋_GB2312"/>
                <w:sz w:val="28"/>
              </w:rPr>
              <w:t>1）乙方不履行本合同义务或者履行义务不符合本合同约定的，应承担违约责任。双方可在专用条件中约定违约金的计算及支付方法。</w:t>
            </w:r>
          </w:p>
          <w:p>
            <w:pPr>
              <w:pStyle w:val="null3"/>
              <w:ind w:firstLine="560"/>
              <w:jc w:val="both"/>
            </w:pPr>
            <w:r>
              <w:rPr>
                <w:rFonts w:ascii="仿宋_GB2312" w:hAnsi="仿宋_GB2312" w:cs="仿宋_GB2312" w:eastAsia="仿宋_GB2312"/>
                <w:sz w:val="28"/>
              </w:rPr>
              <w:t>2）因乙方违反本合同约定给甲方造成损失的，乙方应当赔偿甲方损失。双方可在专用条件中约定赔偿金额的确定及支付方法。</w:t>
            </w:r>
          </w:p>
          <w:p>
            <w:pPr>
              <w:pStyle w:val="null3"/>
              <w:ind w:firstLine="562"/>
              <w:jc w:val="both"/>
            </w:pPr>
            <w:r>
              <w:rPr>
                <w:rFonts w:ascii="仿宋_GB2312" w:hAnsi="仿宋_GB2312" w:cs="仿宋_GB2312" w:eastAsia="仿宋_GB2312"/>
                <w:sz w:val="28"/>
                <w:b/>
              </w:rPr>
              <w:t>争议：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1）协商：双方应本着诚实信用的原则协商解决本合同履行过程中发生的争议。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2）调解：如果双方不能在14日内或双方商定的其他时间内解决本合同争议，可以将其提交给专用条件约定的或事后达成协议的调解人进行调解。</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3）仲裁或诉讼：双方均有权不经调解直接向专用条件约定的仲裁机构申请仲裁或向有管辖权的人民法院提起诉讼。</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合同签订之日起730日历天，其中项目建议书报告自合同签订后160日历天按采购人要求进行提交(合同签订之日起算，具体时间双方另行协商)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凉山州盐源县</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响应文件及现行国家和行业标准进行验收，以满足采购人的实际需求为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1、第一次，合同签订后，达到付款条件起15日内，支付合同总金额的15.00%</w:t>
            </w:r>
          </w:p>
          <w:p>
            <w:pPr>
              <w:pStyle w:val="null3"/>
              <w:jc w:val="left"/>
            </w:pPr>
            <w:r>
              <w:rPr>
                <w:rFonts w:ascii="仿宋_GB2312" w:hAnsi="仿宋_GB2312" w:cs="仿宋_GB2312" w:eastAsia="仿宋_GB2312"/>
              </w:rPr>
              <w:t>2、第二次，取得相应项目的项目建议书报告专家咨询意见后，达到付款条件起15日内，支付合同总金额的30.00%</w:t>
            </w:r>
          </w:p>
          <w:p>
            <w:pPr>
              <w:pStyle w:val="null3"/>
              <w:jc w:val="left"/>
            </w:pPr>
            <w:r>
              <w:rPr>
                <w:rFonts w:ascii="仿宋_GB2312" w:hAnsi="仿宋_GB2312" w:cs="仿宋_GB2312" w:eastAsia="仿宋_GB2312"/>
              </w:rPr>
              <w:t>3、第三次，取得相应项目的可行性研究报告专家咨询意见后，达到付款条件起15日内，支付合同总金额的50.00%</w:t>
            </w:r>
          </w:p>
          <w:p>
            <w:pPr>
              <w:pStyle w:val="null3"/>
              <w:jc w:val="left"/>
            </w:pPr>
            <w:r>
              <w:rPr>
                <w:rFonts w:ascii="仿宋_GB2312" w:hAnsi="仿宋_GB2312" w:cs="仿宋_GB2312" w:eastAsia="仿宋_GB2312"/>
              </w:rPr>
              <w:t>4、第四次，取得相应项目的可行性研究报告批复文件后，达到付款条件起15日内，支付合同总金额的5.00%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 （1）甲方违约责任 1）甲方不履行本合同义务或者履行义务不符合本合同约定的，应承担违约责任。双方可在专用条件中约定违约金的计算及支付方法。 2）甲方违反本合同约定造成乙方损失的，甲方应予以赔偿。双方可在专用条件中约定赔偿金额的确定及支付方法。 3）甲方未能按期支付酬金超过14天，应按下列方法计算并支付逾期付款利息。逾期付款利息=当期应付款总额×中国人民银行发布的同期贷款基准利率×逾期支付天数（自逾期之日起计算）。双方也可在专用条件中另行约定逾期付款利息的计算及支付方法。 （2）乙方的违约责任 1）乙方不履行本合同义务或者履行义务不符合本合同约定的，应承担违约责任。双方可在专用条件中约定违约金的计算及支付方法。 2）因乙方违反本合同约定给甲方造成损失的，乙方应当赔偿甲方损失。双方可在专用条件中约定赔偿金额的确定及支付方法。 争议： （1）协商：双方应本着诚实信用的原则协商解决本合同履行过程中发生的争议。 （2）调解：如果双方不能在14日内或双方商定的其他时间内解决本合同争议，可以将其提交给专用条件约定的或事后达成协议的调解人进行调解。 （3）仲裁或诉讼：双方均有权不经调解直接向专用条件约定的仲裁机构申请仲裁或向有管辖权的人民法院提起诉讼。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供应商应结合自身条件，针对本项目提供勘测设计方案以及配置相应服务人员。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是法人的，提供《营业执照》（或《事业单位法人证书》，或其他能够证明其依法有效存在的书面材料），以及法定代表人的身份证明；供应商是其他组织的，提供能够证明其依法有效存在的书面材料，以及组织负责人的身份证明；供应商是自然人的，提供其身份证明； （2）供应商派出参加政府采购活动的代表不是法定代表人/单位负责人或组织负责人的，应提供派出代表的《授权委托书》及其身份证明。</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以下材料任选其一：①可提供2023或2024年度经审计的财务报告（包含审计报告和审计报告中所涉及的财务报表和报表附注）；②可提供2023或2024年度供应商完整的全套财务报表（应当包括资产负债表、利润表、现金流量表）；③可提供截至采购文件提交截止之日前一年内银行出具的资信证明；④供应商注册时间截至采购文件提交截止之日前不足一年的，也可提供在相关主管部门备案的公司章程等证明材料。供应商需在项目电子化交易系统中按要求上传相应证明文件并进行电子签章。（本条资 格审查要求以以上内容为准）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须具有国家行政主管部门颁发的工程设计水利行业甲级及以上资质和工程勘察专业类（岩土工程、工程测量）乙级及以上资质</w:t>
            </w:r>
          </w:p>
        </w:tc>
        <w:tc>
          <w:tcPr>
            <w:tcW w:type="dxa" w:w="3322"/>
          </w:tcPr>
          <w:p>
            <w:pPr>
              <w:pStyle w:val="null3"/>
              <w:jc w:val="left"/>
            </w:pPr>
            <w:r>
              <w:rPr>
                <w:rFonts w:ascii="仿宋_GB2312" w:hAnsi="仿宋_GB2312" w:cs="仿宋_GB2312" w:eastAsia="仿宋_GB2312"/>
              </w:rPr>
              <w:t>须具有国家行政主管部门颁发的工程设计水利行业甲级及以上资质和工程勘察专业类（岩土工程、工程测量）乙级及以上资质（提供相应证书复印件）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本项目接受联合体投标；</w:t>
            </w:r>
          </w:p>
        </w:tc>
        <w:tc>
          <w:tcPr>
            <w:tcW w:type="dxa" w:w="3322"/>
          </w:tcPr>
          <w:p>
            <w:pPr>
              <w:pStyle w:val="null3"/>
              <w:jc w:val="left"/>
            </w:pPr>
            <w:r>
              <w:rPr>
                <w:rFonts w:ascii="仿宋_GB2312" w:hAnsi="仿宋_GB2312" w:cs="仿宋_GB2312" w:eastAsia="仿宋_GB2312"/>
              </w:rPr>
              <w:t>1、若为联合体投标的，联合体牵头人应为设计单位，同时满足下列要求：（1）组成联合体的成员不得超过2家；(2)联合体各方应签订联合体协议书，明确联合体牵头人和各方权利义务，并由联合体各方向招标人承担连带责任；(3)组成联合体投标应符合相关法律法规对联合体投标的有关规定，联合体各方不得再以自己名义单独或参加其他联合体在同一工程项目中投标；（4）联合体牵头人负责本项目递交投标文件等相关事宜。（提供相关证明材料，格式自拟，加盖投标人鲜章） 2、不为联合体投标的，则不提供。</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投标人应提交的相关证明材料,报价明细表,报价表,服务应答表,投标（响应）函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勘测设计方案</w:t>
            </w:r>
          </w:p>
        </w:tc>
        <w:tc>
          <w:tcPr>
            <w:tcW w:type="dxa" w:w="2575"/>
          </w:tcPr>
          <w:p>
            <w:pPr>
              <w:pStyle w:val="null3"/>
              <w:jc w:val="left"/>
            </w:pPr>
            <w:r>
              <w:rPr>
                <w:rFonts w:ascii="仿宋_GB2312" w:hAnsi="仿宋_GB2312" w:cs="仿宋_GB2312" w:eastAsia="仿宋_GB2312"/>
              </w:rPr>
              <w:t>根据供应商提供的勘测设计方案中包含:①对项目的总体认识；②勘察设计重难点分析；③工程勘察测量基础资料收集；④勘察测量依据和勘察方法；⑤工程区工程现状分析（含地质条件分析、灌区水资源供需平衡分析等）;⑥工程建设的必要性；⑦勘察设计进度及保障措施；⑧项目组织及协调措施；⑨质量保证措施; 前述9项内容有针对性、把握重点、难点及关键点等得 45分，每有一项内容缺失扣5分，方案每出现一处存在缺陷的则扣2.5分，扣完为止。 注：每有一处有缺陷系指下列6点中的任意1点【1.项目名称、地点、涉及的规范、标准与本项目要求不一致；2.方案仅有框架无具体内容或照搬本项目的商务要求；3.方案内容相互矛盾、内容与本项目无关；4.照搬或照抄其他方案；5.内容前后不一致；6.方案中人员专业与项目岗位要求不匹配。】</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供应商根据本项目实际情况，拟投入本项目的服务团队人员： 1、设计负责人1人：具有水利水电相关专业中级职称得0.5分；具有水利水电相关专业高级及以上职称得1分；同时具有注册土木工程师（水利水电工程）水工结构专业执业资格证书加2分；本项满分3分。 2、勘察负责人1人：具有水利相关专业中级职称得0.5分；具有水利相关专业高级及以上职称得1分；同时具有注册土木工程师（岩土）执业资格证书加2分；本项满分3分。 3、水工专业负责人1人：具有水工结构相关专业中级职称得0.5分；具有水工结构相关专业高级及以上职称得1分；同时具有注册土木工程师（水利水电工程）水工结构专业执业资格证书加2分；本项满分3分。 4、水文规划专业负责人1人：具有水文水资源相关专业中级职称得0.5分；具有水文水资源相关专业高级及以上职称得1分；同时具有注册土木工程师（水利水电工程）水利水电工程规划专业执业资格证书加2分；本项满分3分。 5、环水保专业负责人1人：具有环境保护相关专业中级职称得0.5分；具有环境保护相关专业高级及以上职称得1分；同时具有注册土木工程师（水利水电工程）水利水电工程水土保持专业执业资格证书和环境影响评价工程师证书加2分；本项满分3分。 6、金属结构专业负责人1人：具有金属结构相关专业中级职称得1分；具有金属结构相关专业高级及以上职称得3分；本项满分3分。 7、移民专业负责人1人：具有水利水电工程相关专业中级职称得0.5分；具有水利水电工程相关专业高级及以上职称得1分；同时具有注册土木工程师（水利水电工程）水利水电工程移民专业执业资格证书和注册咨询工程师（投资）移民工程专业证书加2分；本项满分3分。 8、造价专业负责人1人：具有工程造价相关专业中级职称得0.5分；具有工程造价相关专业高级及以上职称得1分；同时具有一级注册造价工程师（土建、安装、水利）专业执业资格证书加2分；本项满分3分。 9、地质专业负责人1人：具有岩土工程相关专业中级职称得0.5分；具有岩土工程相关专业高级及以上职称得1分；同时具有注册土木工程师（水利水电工程）水利水电工程地质专业执业资格证书和注册土木工程师（岩土）注册证书加2分；本项满分3分。 10、测绘专业负责人1人：具有测绘工程相关专业中级职称得0.5分；具有测绘工程相关专业高级及以上职称得1分；同时具有注册测绘师和注册安全工程师证书加2分；本项满分3分。 11、其他技术人员5人：具有水工环（即水文地质、工程地质、环境地质）类相关专业、岩土工程类相关专业、测绘类相关专业、矿产普查及勘探类专业、安全类五个专业中级及以上职称或注册证书的，每提供1个得2分，五个专业不全不得分，本项最高10分。 注:①以上人员不重复得分，提供人员证书需在有效期内；②提供在职证明。(如为退休人员提供人员返聘合同或相关证明文件)</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