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77E84F">
      <w:pPr>
        <w:pStyle w:val="4"/>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政府采购合同</w:t>
      </w:r>
    </w:p>
    <w:p w14:paraId="13EDE608">
      <w:pPr>
        <w:keepNext w:val="0"/>
        <w:keepLines w:val="0"/>
        <w:pageBreakBefore w:val="0"/>
        <w:widowControl w:val="0"/>
        <w:numPr>
          <w:ilvl w:val="0"/>
          <w:numId w:val="0"/>
        </w:numPr>
        <w:kinsoku/>
        <w:overflowPunct/>
        <w:autoSpaceDE/>
        <w:autoSpaceDN/>
        <w:bidi w:val="0"/>
        <w:adjustRightInd/>
        <w:snapToGrid/>
        <w:spacing w:line="360" w:lineRule="auto"/>
        <w:textAlignment w:val="auto"/>
        <w:rPr>
          <w:rFonts w:hint="eastAsia" w:ascii="仿宋" w:hAnsi="仿宋" w:eastAsia="仿宋" w:cs="仿宋"/>
          <w:color w:val="auto"/>
          <w:sz w:val="24"/>
          <w:szCs w:val="24"/>
          <w:highlight w:val="none"/>
          <w:lang w:val="en-US" w:eastAsia="zh-CN"/>
        </w:rPr>
      </w:pPr>
    </w:p>
    <w:p w14:paraId="2F4256B2">
      <w:pPr>
        <w:keepNext w:val="0"/>
        <w:keepLines w:val="0"/>
        <w:pageBreakBefore w:val="0"/>
        <w:widowControl w:val="0"/>
        <w:numPr>
          <w:ilvl w:val="0"/>
          <w:numId w:val="0"/>
        </w:numPr>
        <w:kinsoku/>
        <w:overflowPunct/>
        <w:autoSpaceDE/>
        <w:autoSpaceDN/>
        <w:bidi w:val="0"/>
        <w:adjustRightInd/>
        <w:snapToGrid/>
        <w:spacing w:line="360" w:lineRule="auto"/>
        <w:textAlignment w:val="auto"/>
        <w:rPr>
          <w:rFonts w:hint="eastAsia" w:ascii="仿宋" w:hAnsi="仿宋" w:eastAsia="仿宋" w:cs="仿宋"/>
          <w:b w:val="0"/>
          <w:bCs/>
          <w:i w:val="0"/>
          <w:iCs w:val="0"/>
          <w:color w:val="auto"/>
          <w:kern w:val="2"/>
          <w:sz w:val="24"/>
          <w:szCs w:val="24"/>
          <w:highlight w:val="none"/>
          <w:lang w:val="en-US" w:eastAsia="zh-CN" w:bidi="ar"/>
        </w:rPr>
      </w:pPr>
      <w:r>
        <w:rPr>
          <w:rFonts w:hint="eastAsia" w:ascii="仿宋" w:hAnsi="仿宋" w:eastAsia="仿宋" w:cs="仿宋"/>
          <w:color w:val="auto"/>
          <w:sz w:val="24"/>
          <w:szCs w:val="24"/>
          <w:highlight w:val="none"/>
          <w:lang w:val="en-US" w:eastAsia="zh-CN"/>
        </w:rPr>
        <w:t>合</w:t>
      </w:r>
      <w:r>
        <w:rPr>
          <w:rFonts w:hint="eastAsia" w:ascii="仿宋" w:hAnsi="仿宋" w:eastAsia="仿宋" w:cs="仿宋"/>
          <w:b w:val="0"/>
          <w:bCs/>
          <w:i w:val="0"/>
          <w:iCs w:val="0"/>
          <w:color w:val="auto"/>
          <w:kern w:val="2"/>
          <w:sz w:val="24"/>
          <w:szCs w:val="24"/>
          <w:highlight w:val="none"/>
          <w:lang w:val="en-US" w:eastAsia="zh-CN" w:bidi="ar"/>
        </w:rPr>
        <w:t>同编号：XXX</w:t>
      </w:r>
    </w:p>
    <w:p w14:paraId="7DC2FAB2">
      <w:pPr>
        <w:keepNext w:val="0"/>
        <w:keepLines w:val="0"/>
        <w:pageBreakBefore w:val="0"/>
        <w:widowControl w:val="0"/>
        <w:numPr>
          <w:ilvl w:val="0"/>
          <w:numId w:val="0"/>
        </w:numPr>
        <w:kinsoku/>
        <w:overflowPunct/>
        <w:autoSpaceDE/>
        <w:autoSpaceDN/>
        <w:bidi w:val="0"/>
        <w:adjustRightInd/>
        <w:snapToGrid/>
        <w:spacing w:line="360" w:lineRule="auto"/>
        <w:textAlignment w:val="auto"/>
        <w:rPr>
          <w:rFonts w:hint="eastAsia" w:ascii="仿宋" w:hAnsi="仿宋" w:eastAsia="仿宋" w:cs="仿宋"/>
          <w:b w:val="0"/>
          <w:bCs/>
          <w:i w:val="0"/>
          <w:iCs w:val="0"/>
          <w:color w:val="auto"/>
          <w:kern w:val="2"/>
          <w:sz w:val="24"/>
          <w:szCs w:val="24"/>
          <w:highlight w:val="none"/>
          <w:lang w:val="en-US" w:eastAsia="zh-CN" w:bidi="ar"/>
        </w:rPr>
      </w:pPr>
      <w:r>
        <w:rPr>
          <w:rFonts w:hint="eastAsia" w:ascii="仿宋" w:hAnsi="仿宋" w:eastAsia="仿宋" w:cs="仿宋"/>
          <w:b w:val="0"/>
          <w:bCs/>
          <w:i w:val="0"/>
          <w:iCs w:val="0"/>
          <w:color w:val="auto"/>
          <w:kern w:val="2"/>
          <w:sz w:val="24"/>
          <w:szCs w:val="24"/>
          <w:highlight w:val="none"/>
          <w:lang w:val="en-US" w:eastAsia="zh-CN" w:bidi="ar"/>
        </w:rPr>
        <w:t>签订地点：XXX</w:t>
      </w:r>
    </w:p>
    <w:p w14:paraId="0A6CC56C">
      <w:pPr>
        <w:keepNext w:val="0"/>
        <w:keepLines w:val="0"/>
        <w:pageBreakBefore w:val="0"/>
        <w:widowControl w:val="0"/>
        <w:numPr>
          <w:ilvl w:val="0"/>
          <w:numId w:val="0"/>
        </w:numPr>
        <w:kinsoku/>
        <w:overflowPunct/>
        <w:autoSpaceDE/>
        <w:autoSpaceDN/>
        <w:bidi w:val="0"/>
        <w:adjustRightInd/>
        <w:snapToGrid/>
        <w:spacing w:line="360" w:lineRule="auto"/>
        <w:textAlignment w:val="auto"/>
        <w:rPr>
          <w:rFonts w:hint="eastAsia" w:ascii="仿宋" w:hAnsi="仿宋" w:eastAsia="仿宋" w:cs="仿宋"/>
          <w:b w:val="0"/>
          <w:bCs/>
          <w:i w:val="0"/>
          <w:iCs w:val="0"/>
          <w:color w:val="auto"/>
          <w:kern w:val="2"/>
          <w:sz w:val="24"/>
          <w:szCs w:val="24"/>
          <w:highlight w:val="none"/>
          <w:lang w:val="en-US" w:eastAsia="zh-CN" w:bidi="ar"/>
        </w:rPr>
      </w:pPr>
      <w:r>
        <w:rPr>
          <w:rFonts w:hint="eastAsia" w:ascii="仿宋" w:hAnsi="仿宋" w:eastAsia="仿宋" w:cs="仿宋"/>
          <w:b w:val="0"/>
          <w:bCs/>
          <w:i w:val="0"/>
          <w:iCs w:val="0"/>
          <w:color w:val="auto"/>
          <w:kern w:val="2"/>
          <w:sz w:val="24"/>
          <w:szCs w:val="24"/>
          <w:highlight w:val="none"/>
          <w:lang w:val="en-US" w:eastAsia="zh-CN" w:bidi="ar"/>
        </w:rPr>
        <w:t>采购人（甲方）：XXX</w:t>
      </w:r>
    </w:p>
    <w:p w14:paraId="7759BB42">
      <w:pPr>
        <w:keepNext w:val="0"/>
        <w:keepLines w:val="0"/>
        <w:pageBreakBefore w:val="0"/>
        <w:widowControl w:val="0"/>
        <w:kinsoku/>
        <w:overflowPunct/>
        <w:autoSpaceDE/>
        <w:autoSpaceDN/>
        <w:bidi w:val="0"/>
        <w:adjustRightInd/>
        <w:snapToGrid/>
        <w:spacing w:line="360" w:lineRule="auto"/>
        <w:jc w:val="both"/>
        <w:textAlignment w:val="auto"/>
        <w:rPr>
          <w:rFonts w:hint="eastAsia" w:ascii="仿宋" w:hAnsi="仿宋" w:eastAsia="仿宋" w:cs="仿宋"/>
          <w:b w:val="0"/>
          <w:bCs/>
          <w:i w:val="0"/>
          <w:iCs w:val="0"/>
          <w:color w:val="auto"/>
          <w:kern w:val="2"/>
          <w:sz w:val="24"/>
          <w:szCs w:val="24"/>
          <w:highlight w:val="none"/>
          <w:lang w:val="en-US" w:eastAsia="zh-CN" w:bidi="ar"/>
        </w:rPr>
      </w:pPr>
      <w:r>
        <w:rPr>
          <w:rFonts w:hint="eastAsia" w:ascii="仿宋" w:hAnsi="仿宋" w:eastAsia="仿宋" w:cs="仿宋"/>
          <w:b w:val="0"/>
          <w:bCs/>
          <w:i w:val="0"/>
          <w:iCs w:val="0"/>
          <w:color w:val="auto"/>
          <w:kern w:val="2"/>
          <w:sz w:val="24"/>
          <w:szCs w:val="24"/>
          <w:highlight w:val="none"/>
          <w:lang w:val="en-US" w:eastAsia="zh-CN" w:bidi="ar"/>
        </w:rPr>
        <w:t>供应商（乙方）：XXX</w:t>
      </w:r>
    </w:p>
    <w:p w14:paraId="64BFCB1F">
      <w:pPr>
        <w:keepNext w:val="0"/>
        <w:keepLines w:val="0"/>
        <w:pageBreakBefore w:val="0"/>
        <w:widowControl w:val="0"/>
        <w:kinsoku/>
        <w:overflowPunct/>
        <w:autoSpaceDE/>
        <w:autoSpaceDN/>
        <w:bidi w:val="0"/>
        <w:adjustRightInd/>
        <w:snapToGrid/>
        <w:spacing w:line="360" w:lineRule="auto"/>
        <w:textAlignment w:val="auto"/>
        <w:rPr>
          <w:rFonts w:hint="eastAsia" w:ascii="仿宋" w:hAnsi="仿宋" w:eastAsia="仿宋" w:cs="仿宋"/>
          <w:b w:val="0"/>
          <w:bCs/>
          <w:i w:val="0"/>
          <w:iCs w:val="0"/>
          <w:color w:val="auto"/>
          <w:kern w:val="2"/>
          <w:sz w:val="24"/>
          <w:szCs w:val="24"/>
          <w:highlight w:val="none"/>
          <w:lang w:val="en-US" w:eastAsia="zh-CN" w:bidi="ar"/>
        </w:rPr>
      </w:pPr>
      <w:r>
        <w:rPr>
          <w:rFonts w:hint="eastAsia" w:ascii="仿宋" w:hAnsi="仿宋" w:eastAsia="仿宋" w:cs="仿宋"/>
          <w:b w:val="0"/>
          <w:bCs/>
          <w:i w:val="0"/>
          <w:iCs w:val="0"/>
          <w:color w:val="auto"/>
          <w:kern w:val="2"/>
          <w:sz w:val="24"/>
          <w:szCs w:val="24"/>
          <w:highlight w:val="none"/>
          <w:lang w:val="en-US" w:eastAsia="zh-CN" w:bidi="ar"/>
        </w:rPr>
        <w:t xml:space="preserve">   </w:t>
      </w:r>
    </w:p>
    <w:p w14:paraId="16869412">
      <w:pPr>
        <w:keepNext w:val="0"/>
        <w:keepLines w:val="0"/>
        <w:pageBreakBefore w:val="0"/>
        <w:widowControl w:val="0"/>
        <w:kinsoku/>
        <w:wordWrap w:val="0"/>
        <w:overflowPunct/>
        <w:topLinePunct/>
        <w:autoSpaceDE w:val="0"/>
        <w:autoSpaceDN w:val="0"/>
        <w:bidi w:val="0"/>
        <w:adjustRightInd w:val="0"/>
        <w:snapToGrid/>
        <w:spacing w:after="0" w:line="360" w:lineRule="auto"/>
        <w:ind w:left="0" w:right="0" w:firstLine="480" w:firstLineChars="200"/>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根据《中华人民共和国政府采购法》《中华人民共和国民法典》及成都市新都区市场监督管理局2026-2028年特种设备安全监督抽查和评估服务采购项目（项目编号：N5101142026000035）的《磋商文件》、乙方的《响应文件》及《成交通知书》，甲、乙双方同意签订本合同。详细技术说明及其他有关合同项目的特定信息由合同附件予以说明，合同附件及本项目的磋商文件、响应文件、《成交通知书》等均为本合同不可分割的部分。双方同意共同遵守如下条款：</w:t>
      </w:r>
    </w:p>
    <w:p w14:paraId="17400AD4">
      <w:pPr>
        <w:keepNext w:val="0"/>
        <w:keepLines w:val="0"/>
        <w:pageBreakBefore w:val="0"/>
        <w:widowControl w:val="0"/>
        <w:kinsoku/>
        <w:wordWrap w:val="0"/>
        <w:overflowPunct/>
        <w:topLinePunct/>
        <w:autoSpaceDE/>
        <w:autoSpaceDN/>
        <w:bidi w:val="0"/>
        <w:adjustRightInd/>
        <w:snapToGrid/>
        <w:spacing w:line="360" w:lineRule="auto"/>
        <w:ind w:firstLine="482" w:firstLineChars="200"/>
        <w:jc w:val="left"/>
        <w:textAlignment w:val="auto"/>
        <w:outlineLvl w:val="9"/>
        <w:rPr>
          <w:rFonts w:hint="eastAsia" w:ascii="仿宋" w:hAnsi="仿宋" w:eastAsia="仿宋" w:cs="仿宋"/>
          <w:b/>
          <w:bCs/>
          <w:color w:val="auto"/>
          <w:kern w:val="0"/>
          <w:sz w:val="24"/>
          <w:szCs w:val="24"/>
          <w:highlight w:val="none"/>
          <w:lang w:val="en-US" w:eastAsia="zh-CN" w:bidi="ar-SA"/>
        </w:rPr>
      </w:pPr>
      <w:bookmarkStart w:id="0" w:name="_Toc282696226"/>
      <w:bookmarkStart w:id="1" w:name="_Toc283019214"/>
      <w:bookmarkStart w:id="2" w:name="_Toc237145406"/>
      <w:bookmarkStart w:id="3" w:name="_Toc225244852"/>
      <w:bookmarkStart w:id="4" w:name="_Toc211911348"/>
      <w:bookmarkStart w:id="5" w:name="_Toc238984975"/>
      <w:bookmarkStart w:id="6" w:name="_Toc232492928"/>
      <w:bookmarkStart w:id="7" w:name="_Toc251768862"/>
      <w:bookmarkStart w:id="8" w:name="_Toc247334841"/>
      <w:bookmarkStart w:id="9" w:name="_Toc241833903"/>
      <w:bookmarkStart w:id="10" w:name="_Toc239568418"/>
      <w:bookmarkStart w:id="11" w:name="_Toc225670751"/>
      <w:bookmarkStart w:id="12" w:name="_Toc286993786"/>
      <w:bookmarkStart w:id="13" w:name="_Toc212019594"/>
      <w:bookmarkStart w:id="14" w:name="_Toc225654644"/>
      <w:bookmarkStart w:id="15" w:name="_Toc239233914"/>
      <w:bookmarkStart w:id="16" w:name="_Toc185395249"/>
      <w:bookmarkStart w:id="17" w:name="_Toc211854449"/>
      <w:r>
        <w:rPr>
          <w:rFonts w:hint="eastAsia" w:ascii="仿宋" w:hAnsi="仿宋" w:eastAsia="仿宋" w:cs="仿宋"/>
          <w:b/>
          <w:bCs/>
          <w:color w:val="auto"/>
          <w:kern w:val="0"/>
          <w:sz w:val="24"/>
          <w:szCs w:val="24"/>
          <w:highlight w:val="none"/>
          <w:lang w:val="en-US" w:eastAsia="zh-CN" w:bidi="ar-SA"/>
        </w:rPr>
        <w:t>第一条  合同期限</w:t>
      </w:r>
    </w:p>
    <w:p w14:paraId="1406E8D6">
      <w:pPr>
        <w:keepNext w:val="0"/>
        <w:keepLines w:val="0"/>
        <w:pageBreakBefore w:val="0"/>
        <w:widowControl w:val="0"/>
        <w:kinsoku/>
        <w:wordWrap/>
        <w:overflowPunct/>
        <w:topLinePunct w:val="0"/>
        <w:autoSpaceDE/>
        <w:autoSpaceDN/>
        <w:bidi w:val="0"/>
        <w:adjustRightInd/>
        <w:snapToGrid/>
        <w:spacing w:line="360" w:lineRule="auto"/>
        <w:ind w:left="0" w:right="0" w:firstLine="466" w:firstLineChars="0"/>
        <w:textAlignment w:val="auto"/>
        <w:rPr>
          <w:rFonts w:hint="eastAsia" w:ascii="仿宋" w:hAnsi="仿宋" w:eastAsia="仿宋" w:cs="仿宋"/>
          <w:color w:val="auto"/>
          <w:sz w:val="24"/>
          <w:szCs w:val="24"/>
          <w:highlight w:val="none"/>
        </w:rPr>
      </w:pPr>
      <w:r>
        <w:rPr>
          <w:rFonts w:hint="eastAsia" w:ascii="仿宋" w:hAnsi="仿宋" w:eastAsia="仿宋" w:cs="仿宋"/>
          <w:sz w:val="24"/>
          <w:szCs w:val="24"/>
          <w:lang w:val="en-US" w:eastAsia="zh-CN"/>
        </w:rPr>
        <w:t>服务期限</w:t>
      </w:r>
      <w:r>
        <w:rPr>
          <w:rFonts w:hint="eastAsia" w:ascii="仿宋" w:hAnsi="仿宋" w:eastAsia="仿宋" w:cs="仿宋"/>
          <w:sz w:val="24"/>
          <w:szCs w:val="24"/>
        </w:rPr>
        <w:t>三年，合同一年一签，当年服务期限内无质量问题续签下一年合同。</w:t>
      </w:r>
      <w:r>
        <w:rPr>
          <w:rFonts w:hint="eastAsia" w:ascii="仿宋" w:hAnsi="仿宋" w:eastAsia="仿宋" w:cs="仿宋"/>
          <w:sz w:val="24"/>
          <w:szCs w:val="24"/>
          <w:lang w:eastAsia="zh-CN"/>
        </w:rPr>
        <w:t>乙方</w:t>
      </w:r>
      <w:r>
        <w:rPr>
          <w:rFonts w:hint="eastAsia" w:ascii="仿宋" w:hAnsi="仿宋" w:eastAsia="仿宋" w:cs="仿宋"/>
          <w:sz w:val="24"/>
          <w:szCs w:val="24"/>
        </w:rPr>
        <w:t>于每年11月30日以前完成所有服务工作，并编制整体服务报告，交付</w:t>
      </w:r>
      <w:r>
        <w:rPr>
          <w:rFonts w:hint="eastAsia" w:ascii="仿宋" w:hAnsi="仿宋" w:eastAsia="仿宋" w:cs="仿宋"/>
          <w:sz w:val="24"/>
          <w:szCs w:val="24"/>
          <w:lang w:eastAsia="zh-CN"/>
        </w:rPr>
        <w:t>甲方</w:t>
      </w:r>
      <w:r>
        <w:rPr>
          <w:rFonts w:hint="eastAsia" w:ascii="仿宋" w:hAnsi="仿宋" w:eastAsia="仿宋" w:cs="仿宋"/>
          <w:sz w:val="24"/>
          <w:szCs w:val="24"/>
        </w:rPr>
        <w:t>验收。</w:t>
      </w:r>
    </w:p>
    <w:p w14:paraId="56365806">
      <w:pPr>
        <w:pStyle w:val="8"/>
        <w:keepNext w:val="0"/>
        <w:keepLines w:val="0"/>
        <w:pageBreakBefore w:val="0"/>
        <w:kinsoku/>
        <w:overflowPunct/>
        <w:bidi w:val="0"/>
        <w:snapToGrid/>
        <w:spacing w:line="360" w:lineRule="auto"/>
        <w:ind w:firstLine="482"/>
        <w:jc w:val="both"/>
        <w:textAlignment w:val="auto"/>
        <w:rPr>
          <w:rFonts w:hint="eastAsia" w:ascii="仿宋" w:hAnsi="仿宋" w:eastAsia="仿宋" w:cs="仿宋"/>
          <w:sz w:val="24"/>
          <w:szCs w:val="24"/>
        </w:rPr>
      </w:pPr>
      <w:r>
        <w:rPr>
          <w:rFonts w:hint="eastAsia" w:ascii="仿宋" w:hAnsi="仿宋" w:eastAsia="仿宋" w:cs="仿宋"/>
          <w:b/>
          <w:bCs/>
          <w:color w:val="auto"/>
          <w:kern w:val="0"/>
          <w:sz w:val="24"/>
          <w:szCs w:val="24"/>
          <w:highlight w:val="none"/>
          <w:lang w:val="en-US" w:eastAsia="zh-CN" w:bidi="ar-SA"/>
        </w:rPr>
        <w:t xml:space="preserve">第二条  </w:t>
      </w:r>
      <w:r>
        <w:rPr>
          <w:rFonts w:hint="eastAsia" w:ascii="仿宋" w:hAnsi="仿宋" w:eastAsia="仿宋" w:cs="仿宋"/>
          <w:b/>
          <w:sz w:val="24"/>
          <w:szCs w:val="24"/>
        </w:rPr>
        <w:t>服务内容及要求</w:t>
      </w:r>
    </w:p>
    <w:p w14:paraId="3DE77080">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b/>
          <w:color w:val="000000"/>
          <w:sz w:val="24"/>
          <w:szCs w:val="24"/>
        </w:rPr>
        <w:t>（一）开展特种设备安全监督抽查和风险评估</w:t>
      </w:r>
    </w:p>
    <w:p w14:paraId="596B393D">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sz w:val="24"/>
          <w:szCs w:val="24"/>
        </w:rPr>
        <w:t>根据《中华人民共和国特种设备安全法》《特种设备使用管理规则》《特种设备使用单位落实使用安全主体责任监督管理规定》《特种设备生产单位落实质量安全主体责任监督管理规定》和各类特种设备的安全技术规范的要求，对新都区内的电梯、起重机械、叉车、锅炉、压力容器、压力管道、游乐设施（大型游乐设施以及目录外游乐设施）的使用单位和设备开展安全监督抽查或风险评估，使用单位和设备安全监督抽查或风险评估数量根据年度工作安排确定。</w:t>
      </w:r>
    </w:p>
    <w:p w14:paraId="7D44E16D">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sz w:val="24"/>
          <w:szCs w:val="24"/>
          <w:lang w:eastAsia="zh-CN"/>
        </w:rPr>
        <w:t>乙方</w:t>
      </w:r>
      <w:r>
        <w:rPr>
          <w:rFonts w:hint="eastAsia" w:ascii="仿宋" w:hAnsi="仿宋" w:eastAsia="仿宋" w:cs="仿宋"/>
          <w:sz w:val="24"/>
          <w:szCs w:val="24"/>
        </w:rPr>
        <w:t>需要按照安全技术规范制定抽查或风险评估方案，方案至少包括抽查或评估程序、人员组成、抽查或评估项目以及判定依据等内容，并经</w:t>
      </w:r>
      <w:r>
        <w:rPr>
          <w:rFonts w:hint="eastAsia" w:ascii="仿宋" w:hAnsi="仿宋" w:eastAsia="仿宋" w:cs="仿宋"/>
          <w:sz w:val="24"/>
          <w:szCs w:val="24"/>
          <w:lang w:eastAsia="zh-CN"/>
        </w:rPr>
        <w:t>甲方</w:t>
      </w:r>
      <w:r>
        <w:rPr>
          <w:rFonts w:hint="eastAsia" w:ascii="仿宋" w:hAnsi="仿宋" w:eastAsia="仿宋" w:cs="仿宋"/>
          <w:sz w:val="24"/>
          <w:szCs w:val="24"/>
        </w:rPr>
        <w:t>确认后实施。</w:t>
      </w:r>
    </w:p>
    <w:p w14:paraId="6D231BAE">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b/>
          <w:color w:val="000000"/>
          <w:sz w:val="24"/>
          <w:szCs w:val="24"/>
        </w:rPr>
        <w:t>（二）开展电梯维保质量监督抽查</w:t>
      </w:r>
    </w:p>
    <w:p w14:paraId="697CD990">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color w:val="000000"/>
          <w:sz w:val="24"/>
          <w:szCs w:val="24"/>
        </w:rPr>
        <w:t>对在新都区开展电梯维保业务的维保企业，实施电梯维保质量监督抽查，抽查结果以计分制形式体现</w:t>
      </w:r>
      <w:r>
        <w:rPr>
          <w:rFonts w:hint="eastAsia" w:ascii="仿宋" w:hAnsi="仿宋" w:eastAsia="仿宋" w:cs="仿宋"/>
          <w:sz w:val="24"/>
          <w:szCs w:val="24"/>
        </w:rPr>
        <w:t>（</w:t>
      </w:r>
      <w:r>
        <w:rPr>
          <w:rFonts w:hint="eastAsia" w:ascii="仿宋" w:hAnsi="仿宋" w:eastAsia="仿宋" w:cs="仿宋"/>
          <w:sz w:val="24"/>
          <w:szCs w:val="24"/>
          <w:lang w:eastAsia="zh-CN"/>
        </w:rPr>
        <w:t>乙方</w:t>
      </w:r>
      <w:r>
        <w:rPr>
          <w:rFonts w:hint="eastAsia" w:ascii="仿宋" w:hAnsi="仿宋" w:eastAsia="仿宋" w:cs="仿宋"/>
          <w:sz w:val="24"/>
          <w:szCs w:val="24"/>
        </w:rPr>
        <w:t>提供抽查方案，方案中抽查内容条目化，并明确每条内容分值）</w:t>
      </w:r>
      <w:r>
        <w:rPr>
          <w:rFonts w:hint="eastAsia" w:ascii="仿宋" w:hAnsi="仿宋" w:eastAsia="仿宋" w:cs="仿宋"/>
          <w:color w:val="000000"/>
          <w:sz w:val="24"/>
          <w:szCs w:val="24"/>
        </w:rPr>
        <w:t>，每年抽查数量根据年度工作安排确定。</w:t>
      </w:r>
    </w:p>
    <w:p w14:paraId="57A6375B">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color w:val="000000"/>
          <w:sz w:val="24"/>
          <w:szCs w:val="24"/>
          <w:lang w:eastAsia="zh-CN"/>
        </w:rPr>
        <w:t>乙方</w:t>
      </w:r>
      <w:r>
        <w:rPr>
          <w:rFonts w:hint="eastAsia" w:ascii="仿宋" w:hAnsi="仿宋" w:eastAsia="仿宋" w:cs="仿宋"/>
          <w:color w:val="000000"/>
          <w:sz w:val="24"/>
          <w:szCs w:val="24"/>
        </w:rPr>
        <w:t>应依据电梯维保相关法规制定维保质量抽查方案，方案至少包括抽查程序、人员组成、抽查项目和评分标准，并经</w:t>
      </w:r>
      <w:r>
        <w:rPr>
          <w:rFonts w:hint="eastAsia" w:ascii="仿宋" w:hAnsi="仿宋" w:eastAsia="仿宋" w:cs="仿宋"/>
          <w:color w:val="000000"/>
          <w:sz w:val="24"/>
          <w:szCs w:val="24"/>
          <w:lang w:eastAsia="zh-CN"/>
        </w:rPr>
        <w:t>甲方</w:t>
      </w:r>
      <w:r>
        <w:rPr>
          <w:rFonts w:hint="eastAsia" w:ascii="仿宋" w:hAnsi="仿宋" w:eastAsia="仿宋" w:cs="仿宋"/>
          <w:color w:val="000000"/>
          <w:sz w:val="24"/>
          <w:szCs w:val="24"/>
        </w:rPr>
        <w:t>确认后实施。</w:t>
      </w:r>
    </w:p>
    <w:p w14:paraId="402B6831">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b/>
          <w:color w:val="000000"/>
          <w:sz w:val="24"/>
          <w:szCs w:val="24"/>
        </w:rPr>
        <w:t>（三）开展特种设备检验检测质量监督抽查</w:t>
      </w:r>
    </w:p>
    <w:p w14:paraId="3E08405C">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color w:val="000000"/>
          <w:sz w:val="24"/>
          <w:szCs w:val="24"/>
        </w:rPr>
        <w:t>对在新都区开展特种设备检验检测的机构（包括电梯检测机构、承压类设备检验机构、安全阀校验机构等）开展检验检测质量监督抽查，抽查结果以计分制形式体现</w:t>
      </w:r>
      <w:r>
        <w:rPr>
          <w:rFonts w:hint="eastAsia" w:ascii="仿宋" w:hAnsi="仿宋" w:eastAsia="仿宋" w:cs="仿宋"/>
          <w:sz w:val="24"/>
          <w:szCs w:val="24"/>
        </w:rPr>
        <w:t>（</w:t>
      </w:r>
      <w:r>
        <w:rPr>
          <w:rFonts w:hint="eastAsia" w:ascii="仿宋" w:hAnsi="仿宋" w:eastAsia="仿宋" w:cs="仿宋"/>
          <w:sz w:val="24"/>
          <w:szCs w:val="24"/>
          <w:lang w:eastAsia="zh-CN"/>
        </w:rPr>
        <w:t>乙方</w:t>
      </w:r>
      <w:r>
        <w:rPr>
          <w:rFonts w:hint="eastAsia" w:ascii="仿宋" w:hAnsi="仿宋" w:eastAsia="仿宋" w:cs="仿宋"/>
          <w:sz w:val="24"/>
          <w:szCs w:val="24"/>
        </w:rPr>
        <w:t>提供抽查方案，方案中在抽查内容条目化，并明确每条内容分值）</w:t>
      </w:r>
      <w:r>
        <w:rPr>
          <w:rFonts w:hint="eastAsia" w:ascii="仿宋" w:hAnsi="仿宋" w:eastAsia="仿宋" w:cs="仿宋"/>
          <w:color w:val="000000"/>
          <w:sz w:val="24"/>
          <w:szCs w:val="24"/>
        </w:rPr>
        <w:t>，每年抽查数量根据年度工作安排确定。</w:t>
      </w:r>
    </w:p>
    <w:p w14:paraId="78EE7AD3">
      <w:pPr>
        <w:pStyle w:val="8"/>
        <w:keepNext w:val="0"/>
        <w:keepLines w:val="0"/>
        <w:pageBreakBefore w:val="0"/>
        <w:kinsoku/>
        <w:overflowPunct/>
        <w:bidi w:val="0"/>
        <w:snapToGrid/>
        <w:spacing w:line="360" w:lineRule="auto"/>
        <w:jc w:val="both"/>
        <w:textAlignment w:val="auto"/>
        <w:rPr>
          <w:rFonts w:hint="eastAsia" w:ascii="仿宋" w:hAnsi="仿宋" w:eastAsia="仿宋" w:cs="仿宋"/>
          <w:sz w:val="24"/>
          <w:szCs w:val="24"/>
        </w:rPr>
      </w:pPr>
      <w:r>
        <w:rPr>
          <w:rFonts w:hint="eastAsia" w:ascii="仿宋" w:hAnsi="仿宋" w:eastAsia="仿宋" w:cs="仿宋"/>
          <w:color w:val="000000"/>
          <w:sz w:val="24"/>
          <w:szCs w:val="24"/>
        </w:rPr>
        <w:t xml:space="preserve">   </w:t>
      </w:r>
      <w:r>
        <w:rPr>
          <w:rFonts w:hint="eastAsia" w:ascii="仿宋" w:hAnsi="仿宋" w:eastAsia="仿宋" w:cs="仿宋"/>
          <w:color w:val="000000"/>
          <w:sz w:val="24"/>
          <w:szCs w:val="24"/>
          <w:lang w:eastAsia="zh-CN"/>
        </w:rPr>
        <w:t>乙方</w:t>
      </w:r>
      <w:r>
        <w:rPr>
          <w:rFonts w:hint="eastAsia" w:ascii="仿宋" w:hAnsi="仿宋" w:eastAsia="仿宋" w:cs="仿宋"/>
          <w:color w:val="000000"/>
          <w:sz w:val="24"/>
          <w:szCs w:val="24"/>
        </w:rPr>
        <w:t>应依据特种设备检验检测相关法规制定检验检测质量抽查方案，方案至少包括抽查程序、人员组成、抽查项目和评分标准，并经</w:t>
      </w:r>
      <w:r>
        <w:rPr>
          <w:rFonts w:hint="eastAsia" w:ascii="仿宋" w:hAnsi="仿宋" w:eastAsia="仿宋" w:cs="仿宋"/>
          <w:color w:val="000000"/>
          <w:sz w:val="24"/>
          <w:szCs w:val="24"/>
          <w:lang w:eastAsia="zh-CN"/>
        </w:rPr>
        <w:t>甲方</w:t>
      </w:r>
      <w:r>
        <w:rPr>
          <w:rFonts w:hint="eastAsia" w:ascii="仿宋" w:hAnsi="仿宋" w:eastAsia="仿宋" w:cs="仿宋"/>
          <w:color w:val="000000"/>
          <w:sz w:val="24"/>
          <w:szCs w:val="24"/>
        </w:rPr>
        <w:t>确认后实施。</w:t>
      </w:r>
    </w:p>
    <w:p w14:paraId="2B71116C">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b/>
          <w:sz w:val="24"/>
          <w:szCs w:val="24"/>
        </w:rPr>
        <w:t>（四）形成年度特种设备安全综合分析报告</w:t>
      </w:r>
    </w:p>
    <w:p w14:paraId="6A9A95D0">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sz w:val="24"/>
          <w:szCs w:val="24"/>
        </w:rPr>
        <w:t>根据</w:t>
      </w:r>
      <w:r>
        <w:rPr>
          <w:rFonts w:hint="eastAsia" w:ascii="仿宋" w:hAnsi="仿宋" w:eastAsia="仿宋" w:cs="仿宋"/>
          <w:color w:val="000000"/>
          <w:sz w:val="24"/>
          <w:szCs w:val="24"/>
        </w:rPr>
        <w:t>特种设备安全监督抽查和风险评估、电梯维保质量监督抽查、特种设备检验检测质量监督抽查的结果，形成年度特种设备安全综合分析报告。</w:t>
      </w:r>
    </w:p>
    <w:p w14:paraId="1951B489">
      <w:pPr>
        <w:pStyle w:val="8"/>
        <w:keepNext w:val="0"/>
        <w:keepLines w:val="0"/>
        <w:pageBreakBefore w:val="0"/>
        <w:kinsoku/>
        <w:overflowPunct/>
        <w:bidi w:val="0"/>
        <w:snapToGrid/>
        <w:spacing w:line="360" w:lineRule="auto"/>
        <w:ind w:firstLine="482"/>
        <w:jc w:val="both"/>
        <w:textAlignment w:val="auto"/>
        <w:rPr>
          <w:rFonts w:hint="eastAsia" w:ascii="仿宋" w:hAnsi="仿宋" w:eastAsia="仿宋" w:cs="仿宋"/>
          <w:sz w:val="24"/>
          <w:szCs w:val="24"/>
        </w:rPr>
      </w:pPr>
      <w:r>
        <w:rPr>
          <w:rFonts w:hint="eastAsia" w:ascii="仿宋" w:hAnsi="仿宋" w:eastAsia="仿宋" w:cs="仿宋"/>
          <w:b/>
          <w:color w:val="000000"/>
          <w:sz w:val="24"/>
          <w:szCs w:val="24"/>
        </w:rPr>
        <w:t>（五）依据的法律法规、技术标准</w:t>
      </w:r>
    </w:p>
    <w:p w14:paraId="27B4F988">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sz w:val="24"/>
          <w:szCs w:val="24"/>
        </w:rPr>
        <w:t>1.《中华人民共和国特种设备安全法》</w:t>
      </w:r>
    </w:p>
    <w:p w14:paraId="1898C2AE">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sz w:val="24"/>
          <w:szCs w:val="24"/>
        </w:rPr>
        <w:t>2.《特种设备安全监察条例》</w:t>
      </w:r>
    </w:p>
    <w:p w14:paraId="79D2AAE7">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sz w:val="24"/>
          <w:szCs w:val="24"/>
        </w:rPr>
        <w:t>3.《特种设备安全监督检查办法》</w:t>
      </w:r>
    </w:p>
    <w:p w14:paraId="7B66AD97">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sz w:val="24"/>
          <w:szCs w:val="24"/>
        </w:rPr>
        <w:t>4.《特种设备使用管理规则》</w:t>
      </w:r>
    </w:p>
    <w:p w14:paraId="472BE004">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sz w:val="24"/>
          <w:szCs w:val="24"/>
        </w:rPr>
        <w:t>5.《特种设备生产单位落实质量安全主体责任监督管理规定》</w:t>
      </w:r>
    </w:p>
    <w:p w14:paraId="57D6CF7A">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sz w:val="24"/>
          <w:szCs w:val="24"/>
        </w:rPr>
        <w:t>6.《特种设备使用单位落实使用安全主体责任监督管理规定》</w:t>
      </w:r>
    </w:p>
    <w:p w14:paraId="07965C0B">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sz w:val="24"/>
          <w:szCs w:val="24"/>
        </w:rPr>
        <w:t>7.《电梯维护保养规则》</w:t>
      </w:r>
    </w:p>
    <w:p w14:paraId="56696225">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sz w:val="24"/>
          <w:szCs w:val="24"/>
        </w:rPr>
        <w:t>8.锅炉、压力容器（含气瓶）、压力管道、电梯、起重机械、叉车、大型游乐设施的相关特种设备安全技术规范等。</w:t>
      </w:r>
    </w:p>
    <w:p w14:paraId="1FA1E198">
      <w:pPr>
        <w:pStyle w:val="8"/>
        <w:keepNext w:val="0"/>
        <w:keepLines w:val="0"/>
        <w:pageBreakBefore w:val="0"/>
        <w:kinsoku/>
        <w:overflowPunct/>
        <w:bidi w:val="0"/>
        <w:snapToGrid/>
        <w:spacing w:line="360" w:lineRule="auto"/>
        <w:ind w:firstLine="468"/>
        <w:jc w:val="both"/>
        <w:textAlignment w:val="auto"/>
        <w:rPr>
          <w:rFonts w:hint="eastAsia" w:ascii="仿宋" w:hAnsi="仿宋" w:eastAsia="仿宋" w:cs="仿宋"/>
          <w:sz w:val="24"/>
          <w:szCs w:val="24"/>
        </w:rPr>
      </w:pPr>
      <w:r>
        <w:rPr>
          <w:rFonts w:hint="eastAsia" w:ascii="仿宋" w:hAnsi="仿宋" w:eastAsia="仿宋" w:cs="仿宋"/>
          <w:sz w:val="24"/>
          <w:szCs w:val="24"/>
        </w:rPr>
        <w:t>9.特种设备生产和充装单位许可规则、特种设备检验检测机构核准规则等。</w:t>
      </w:r>
    </w:p>
    <w:p w14:paraId="0D870404">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sz w:val="24"/>
          <w:szCs w:val="24"/>
        </w:rPr>
        <w:t>10.其他与特种设备安全有关的法规、标准等。</w:t>
      </w:r>
    </w:p>
    <w:p w14:paraId="4AE1B577">
      <w:pPr>
        <w:pStyle w:val="8"/>
        <w:keepNext w:val="0"/>
        <w:keepLines w:val="0"/>
        <w:pageBreakBefore w:val="0"/>
        <w:kinsoku/>
        <w:overflowPunct/>
        <w:bidi w:val="0"/>
        <w:snapToGrid/>
        <w:spacing w:line="360" w:lineRule="auto"/>
        <w:ind w:firstLine="482"/>
        <w:jc w:val="both"/>
        <w:textAlignment w:val="auto"/>
        <w:rPr>
          <w:rFonts w:hint="eastAsia" w:ascii="仿宋" w:hAnsi="仿宋" w:eastAsia="仿宋" w:cs="仿宋"/>
          <w:sz w:val="24"/>
          <w:szCs w:val="24"/>
        </w:rPr>
      </w:pPr>
      <w:r>
        <w:rPr>
          <w:rFonts w:hint="eastAsia" w:ascii="仿宋" w:hAnsi="仿宋" w:eastAsia="仿宋" w:cs="仿宋"/>
          <w:b/>
          <w:sz w:val="24"/>
          <w:szCs w:val="24"/>
          <w:lang w:val="en-US" w:eastAsia="zh-CN"/>
        </w:rPr>
        <w:t xml:space="preserve">第三条  </w:t>
      </w:r>
      <w:r>
        <w:rPr>
          <w:rFonts w:hint="eastAsia" w:ascii="仿宋" w:hAnsi="仿宋" w:eastAsia="仿宋" w:cs="仿宋"/>
          <w:b/>
          <w:sz w:val="24"/>
          <w:szCs w:val="24"/>
        </w:rPr>
        <w:t>质量要求</w:t>
      </w:r>
    </w:p>
    <w:p w14:paraId="0AA37344">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sz w:val="24"/>
          <w:szCs w:val="24"/>
        </w:rPr>
        <w:t>1.对设备的监督抽查或风险评估，单台设备的报告正确率不低于99%。报告正确率是指单台设备报告参照各类设备监督检验或定期检验检测报告格式、审签和批准要求，不得出具虚假报告。</w:t>
      </w:r>
    </w:p>
    <w:p w14:paraId="481FA2A1">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sz w:val="24"/>
          <w:szCs w:val="24"/>
        </w:rPr>
        <w:t>2.对设备的监督抽查或风险评估程序合规率不低于95%。监督抽查或风险评估的程序包括</w:t>
      </w:r>
      <w:r>
        <w:rPr>
          <w:rFonts w:hint="eastAsia" w:ascii="仿宋" w:hAnsi="仿宋" w:eastAsia="仿宋" w:cs="仿宋"/>
          <w:sz w:val="24"/>
          <w:szCs w:val="24"/>
          <w:lang w:eastAsia="zh-CN"/>
        </w:rPr>
        <w:t>甲方</w:t>
      </w:r>
      <w:r>
        <w:rPr>
          <w:rFonts w:hint="eastAsia" w:ascii="仿宋" w:hAnsi="仿宋" w:eastAsia="仿宋" w:cs="仿宋"/>
          <w:sz w:val="24"/>
          <w:szCs w:val="24"/>
        </w:rPr>
        <w:t>出具年度开展技术服务通知、确定开展抽查或评估的具体名单、对年度综合分析报告进行确认；</w:t>
      </w:r>
      <w:r>
        <w:rPr>
          <w:rFonts w:hint="eastAsia" w:ascii="仿宋" w:hAnsi="仿宋" w:eastAsia="仿宋" w:cs="仿宋"/>
          <w:sz w:val="24"/>
          <w:szCs w:val="24"/>
          <w:lang w:eastAsia="zh-CN"/>
        </w:rPr>
        <w:t>乙方</w:t>
      </w:r>
      <w:r>
        <w:rPr>
          <w:rFonts w:hint="eastAsia" w:ascii="仿宋" w:hAnsi="仿宋" w:eastAsia="仿宋" w:cs="仿宋"/>
          <w:sz w:val="24"/>
          <w:szCs w:val="24"/>
        </w:rPr>
        <w:t>根据</w:t>
      </w:r>
      <w:r>
        <w:rPr>
          <w:rFonts w:hint="eastAsia" w:ascii="仿宋" w:hAnsi="仿宋" w:eastAsia="仿宋" w:cs="仿宋"/>
          <w:sz w:val="24"/>
          <w:szCs w:val="24"/>
          <w:lang w:eastAsia="zh-CN"/>
        </w:rPr>
        <w:t>甲方</w:t>
      </w:r>
      <w:r>
        <w:rPr>
          <w:rFonts w:hint="eastAsia" w:ascii="仿宋" w:hAnsi="仿宋" w:eastAsia="仿宋" w:cs="仿宋"/>
          <w:sz w:val="24"/>
          <w:szCs w:val="24"/>
        </w:rPr>
        <w:t>通知和确定的具体名单开展抽查或评估，开展抽查或评估时应提前通知相对单位（提前通知时间不得多于三天），现场开展抽查或评估时具有相应设备检验资质的人员至少1人，对抽查或评估发现的问题要限期相关单位进行整改，并对整改情况进行确认，参照设备定期检验检测程序出具报告。在年度合同截止时间前出具年度安全综合分析报告和单台设备报告。</w:t>
      </w:r>
    </w:p>
    <w:p w14:paraId="2C50174C">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sz w:val="24"/>
          <w:szCs w:val="24"/>
        </w:rPr>
        <w:t>3.对电梯维保单位、电梯检测机构和承压类设备定期检验机构、安全阀校验机构的维保质量和检验检测质量抽查按每家企业出具抽查报告，抽查报告至少包含被抽查单位基本情况、人员配备情况、质量管控体系情况、各类维保检验检测记录情况、所维保以及检验检测设备本体情况，所抽查单位的最终得分情况等。</w:t>
      </w:r>
    </w:p>
    <w:p w14:paraId="27662495">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sz w:val="24"/>
          <w:szCs w:val="24"/>
        </w:rPr>
        <w:t>4.监督抽查或评估中使用的检验检测仪器设备检定或校准率100%。</w:t>
      </w:r>
    </w:p>
    <w:p w14:paraId="5E33ECF4">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sz w:val="24"/>
          <w:szCs w:val="24"/>
        </w:rPr>
        <w:t>5.监督抽查或评估过程中不得因抽查或评估发生安全责任事故，如发生安全责任事故，</w:t>
      </w:r>
      <w:r>
        <w:rPr>
          <w:rFonts w:hint="eastAsia" w:ascii="仿宋" w:hAnsi="仿宋" w:eastAsia="仿宋" w:cs="仿宋"/>
          <w:sz w:val="24"/>
          <w:szCs w:val="24"/>
          <w:lang w:eastAsia="zh-CN"/>
        </w:rPr>
        <w:t>乙方</w:t>
      </w:r>
      <w:r>
        <w:rPr>
          <w:rFonts w:hint="eastAsia" w:ascii="仿宋" w:hAnsi="仿宋" w:eastAsia="仿宋" w:cs="仿宋"/>
          <w:sz w:val="24"/>
          <w:szCs w:val="24"/>
        </w:rPr>
        <w:t>将依法承担相应法律责任。</w:t>
      </w:r>
    </w:p>
    <w:p w14:paraId="0EC1C663">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sz w:val="24"/>
          <w:szCs w:val="24"/>
        </w:rPr>
        <w:t>6.新都区年度特种设备安全综合分析报告应先征求</w:t>
      </w:r>
      <w:r>
        <w:rPr>
          <w:rFonts w:hint="eastAsia" w:ascii="仿宋" w:hAnsi="仿宋" w:eastAsia="仿宋" w:cs="仿宋"/>
          <w:sz w:val="24"/>
          <w:szCs w:val="24"/>
          <w:lang w:eastAsia="zh-CN"/>
        </w:rPr>
        <w:t>甲方</w:t>
      </w:r>
      <w:r>
        <w:rPr>
          <w:rFonts w:hint="eastAsia" w:ascii="仿宋" w:hAnsi="仿宋" w:eastAsia="仿宋" w:cs="仿宋"/>
          <w:sz w:val="24"/>
          <w:szCs w:val="24"/>
        </w:rPr>
        <w:t>意见，待</w:t>
      </w:r>
      <w:r>
        <w:rPr>
          <w:rFonts w:hint="eastAsia" w:ascii="仿宋" w:hAnsi="仿宋" w:eastAsia="仿宋" w:cs="仿宋"/>
          <w:sz w:val="24"/>
          <w:szCs w:val="24"/>
          <w:lang w:eastAsia="zh-CN"/>
        </w:rPr>
        <w:t>甲方</w:t>
      </w:r>
      <w:r>
        <w:rPr>
          <w:rFonts w:hint="eastAsia" w:ascii="仿宋" w:hAnsi="仿宋" w:eastAsia="仿宋" w:cs="仿宋"/>
          <w:sz w:val="24"/>
          <w:szCs w:val="24"/>
        </w:rPr>
        <w:t>审核后出具正式报告，报告内容至少包括年度抽查或评估基本情况、抽查或评估数量、抽查或评估发现的问题数量以及整改情况、存在的主要安全风险以及工作建议等。</w:t>
      </w:r>
    </w:p>
    <w:p w14:paraId="411E311D">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sz w:val="24"/>
          <w:szCs w:val="24"/>
        </w:rPr>
        <w:t>7.</w:t>
      </w:r>
      <w:r>
        <w:rPr>
          <w:rFonts w:hint="eastAsia" w:ascii="仿宋" w:hAnsi="仿宋" w:eastAsia="仿宋" w:cs="仿宋"/>
          <w:sz w:val="24"/>
          <w:szCs w:val="24"/>
          <w:lang w:eastAsia="zh-CN"/>
        </w:rPr>
        <w:t>乙方</w:t>
      </w:r>
      <w:r>
        <w:rPr>
          <w:rFonts w:hint="eastAsia" w:ascii="仿宋" w:hAnsi="仿宋" w:eastAsia="仿宋" w:cs="仿宋"/>
          <w:sz w:val="24"/>
          <w:szCs w:val="24"/>
        </w:rPr>
        <w:t>针对本项目履约需配备不少于20名检验人员，检验人员需具有中华人民共和国特种设备检验检测人员证，批准项目需对应本项目服务内容。</w:t>
      </w:r>
    </w:p>
    <w:p w14:paraId="6C0F53C9">
      <w:pPr>
        <w:pStyle w:val="8"/>
        <w:keepNext w:val="0"/>
        <w:keepLines w:val="0"/>
        <w:pageBreakBefore w:val="0"/>
        <w:kinsoku/>
        <w:overflowPunct/>
        <w:bidi w:val="0"/>
        <w:snapToGrid/>
        <w:spacing w:line="360" w:lineRule="auto"/>
        <w:ind w:firstLine="482"/>
        <w:jc w:val="both"/>
        <w:textAlignment w:val="auto"/>
        <w:rPr>
          <w:rFonts w:hint="eastAsia" w:ascii="仿宋" w:hAnsi="仿宋" w:eastAsia="仿宋" w:cs="仿宋"/>
          <w:sz w:val="24"/>
          <w:szCs w:val="24"/>
        </w:rPr>
      </w:pPr>
      <w:r>
        <w:rPr>
          <w:rFonts w:hint="eastAsia" w:ascii="仿宋" w:hAnsi="仿宋" w:eastAsia="仿宋" w:cs="仿宋"/>
          <w:b/>
          <w:sz w:val="24"/>
          <w:szCs w:val="24"/>
          <w:lang w:val="en-US" w:eastAsia="zh-CN"/>
        </w:rPr>
        <w:t xml:space="preserve">第四条  </w:t>
      </w:r>
      <w:r>
        <w:rPr>
          <w:rFonts w:hint="eastAsia" w:ascii="仿宋" w:hAnsi="仿宋" w:eastAsia="仿宋" w:cs="仿宋"/>
          <w:b/>
          <w:sz w:val="24"/>
          <w:szCs w:val="24"/>
        </w:rPr>
        <w:t>责任义务</w:t>
      </w:r>
    </w:p>
    <w:p w14:paraId="073966FB">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sz w:val="24"/>
          <w:szCs w:val="24"/>
        </w:rPr>
        <w:t>1.项目交通、住宿问题由</w:t>
      </w:r>
      <w:r>
        <w:rPr>
          <w:rFonts w:hint="eastAsia" w:ascii="仿宋" w:hAnsi="仿宋" w:eastAsia="仿宋" w:cs="仿宋"/>
          <w:sz w:val="24"/>
          <w:szCs w:val="24"/>
          <w:lang w:eastAsia="zh-CN"/>
        </w:rPr>
        <w:t>乙方</w:t>
      </w:r>
      <w:r>
        <w:rPr>
          <w:rFonts w:hint="eastAsia" w:ascii="仿宋" w:hAnsi="仿宋" w:eastAsia="仿宋" w:cs="仿宋"/>
          <w:sz w:val="24"/>
          <w:szCs w:val="24"/>
        </w:rPr>
        <w:t>自行解决。</w:t>
      </w:r>
    </w:p>
    <w:p w14:paraId="27523DFF">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sz w:val="24"/>
          <w:szCs w:val="24"/>
        </w:rPr>
        <w:t>2.需要特种设备使用管理单位、电梯维保单位和检验检测机构协作配合的，应友好协商，不得胁迫，如不能正常开展工作应书面如实报</w:t>
      </w:r>
      <w:r>
        <w:rPr>
          <w:rFonts w:hint="eastAsia" w:ascii="仿宋" w:hAnsi="仿宋" w:eastAsia="仿宋" w:cs="仿宋"/>
          <w:sz w:val="24"/>
          <w:szCs w:val="24"/>
          <w:lang w:eastAsia="zh-CN"/>
        </w:rPr>
        <w:t>甲方</w:t>
      </w:r>
      <w:r>
        <w:rPr>
          <w:rFonts w:hint="eastAsia" w:ascii="仿宋" w:hAnsi="仿宋" w:eastAsia="仿宋" w:cs="仿宋"/>
          <w:sz w:val="24"/>
          <w:szCs w:val="24"/>
        </w:rPr>
        <w:t>。不得向特种设备使用管理单位、电梯维保单位和检验检测机构等收取任务费用，也不得向其推销商品或服务。</w:t>
      </w:r>
    </w:p>
    <w:p w14:paraId="406C108E">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sz w:val="24"/>
          <w:szCs w:val="24"/>
        </w:rPr>
        <w:t>3.所需要的检验检测仪器设备等由</w:t>
      </w:r>
      <w:r>
        <w:rPr>
          <w:rFonts w:hint="eastAsia" w:ascii="仿宋" w:hAnsi="仿宋" w:eastAsia="仿宋" w:cs="仿宋"/>
          <w:sz w:val="24"/>
          <w:szCs w:val="24"/>
          <w:lang w:eastAsia="zh-CN"/>
        </w:rPr>
        <w:t>乙方</w:t>
      </w:r>
      <w:r>
        <w:rPr>
          <w:rFonts w:hint="eastAsia" w:ascii="仿宋" w:hAnsi="仿宋" w:eastAsia="仿宋" w:cs="仿宋"/>
          <w:sz w:val="24"/>
          <w:szCs w:val="24"/>
        </w:rPr>
        <w:t>自行配备。</w:t>
      </w:r>
    </w:p>
    <w:p w14:paraId="634DC6CD">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sz w:val="24"/>
          <w:szCs w:val="24"/>
        </w:rPr>
        <w:t>4.不得擅自对外公布工作信息，不得泄露被抽查单位的商业秘密。</w:t>
      </w:r>
    </w:p>
    <w:p w14:paraId="0F75F0E3">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sz w:val="24"/>
          <w:szCs w:val="24"/>
        </w:rPr>
        <w:t>5.不得将工作任务全部或部分委托其他单位完成。</w:t>
      </w:r>
    </w:p>
    <w:p w14:paraId="482C76CF">
      <w:pPr>
        <w:pStyle w:val="8"/>
        <w:keepNext w:val="0"/>
        <w:keepLines w:val="0"/>
        <w:pageBreakBefore w:val="0"/>
        <w:kinsoku/>
        <w:overflowPunct/>
        <w:bidi w:val="0"/>
        <w:snapToGrid/>
        <w:spacing w:line="360" w:lineRule="auto"/>
        <w:ind w:firstLine="466"/>
        <w:jc w:val="both"/>
        <w:textAlignment w:val="auto"/>
        <w:rPr>
          <w:rFonts w:hint="eastAsia" w:ascii="仿宋" w:hAnsi="仿宋" w:eastAsia="仿宋" w:cs="仿宋"/>
          <w:b w:val="0"/>
          <w:bCs/>
          <w:color w:val="auto"/>
          <w:kern w:val="0"/>
          <w:sz w:val="24"/>
          <w:szCs w:val="24"/>
          <w:highlight w:val="none"/>
          <w:lang w:val="en-US" w:eastAsia="zh-CN" w:bidi="ar-SA"/>
        </w:rPr>
      </w:pPr>
      <w:r>
        <w:rPr>
          <w:rFonts w:hint="eastAsia" w:ascii="仿宋" w:hAnsi="仿宋" w:eastAsia="仿宋" w:cs="仿宋"/>
          <w:sz w:val="24"/>
          <w:szCs w:val="24"/>
        </w:rPr>
        <w:t>6.出现严重违约行为的，</w:t>
      </w:r>
      <w:r>
        <w:rPr>
          <w:rFonts w:hint="eastAsia" w:ascii="仿宋" w:hAnsi="仿宋" w:eastAsia="仿宋" w:cs="仿宋"/>
          <w:sz w:val="24"/>
          <w:szCs w:val="24"/>
          <w:lang w:eastAsia="zh-CN"/>
        </w:rPr>
        <w:t>甲方</w:t>
      </w:r>
      <w:r>
        <w:rPr>
          <w:rFonts w:hint="eastAsia" w:ascii="仿宋" w:hAnsi="仿宋" w:eastAsia="仿宋" w:cs="仿宋"/>
          <w:sz w:val="24"/>
          <w:szCs w:val="24"/>
        </w:rPr>
        <w:t>可单方面中止采购；出现违法违规行为的，依法追究</w:t>
      </w:r>
      <w:r>
        <w:rPr>
          <w:rFonts w:hint="eastAsia" w:ascii="仿宋" w:hAnsi="仿宋" w:eastAsia="仿宋" w:cs="仿宋"/>
          <w:sz w:val="24"/>
          <w:szCs w:val="24"/>
          <w:lang w:eastAsia="zh-CN"/>
        </w:rPr>
        <w:t>乙方</w:t>
      </w:r>
      <w:r>
        <w:rPr>
          <w:rFonts w:hint="eastAsia" w:ascii="仿宋" w:hAnsi="仿宋" w:eastAsia="仿宋" w:cs="仿宋"/>
          <w:sz w:val="24"/>
          <w:szCs w:val="24"/>
        </w:rPr>
        <w:t>和相关责任人的法律责任。</w:t>
      </w:r>
    </w:p>
    <w:p w14:paraId="0908CA7C">
      <w:pPr>
        <w:keepNext w:val="0"/>
        <w:keepLines w:val="0"/>
        <w:pageBreakBefore w:val="0"/>
        <w:widowControl w:val="0"/>
        <w:kinsoku/>
        <w:wordWrap w:val="0"/>
        <w:overflowPunct/>
        <w:topLinePunct/>
        <w:autoSpaceDE/>
        <w:autoSpaceDN/>
        <w:bidi w:val="0"/>
        <w:adjustRightInd/>
        <w:snapToGrid/>
        <w:spacing w:line="360" w:lineRule="auto"/>
        <w:ind w:right="0" w:rightChars="0" w:firstLine="482" w:firstLineChars="200"/>
        <w:jc w:val="left"/>
        <w:textAlignment w:val="auto"/>
        <w:outlineLvl w:val="9"/>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第五条  服务费用、服务地点、支付方式及验收</w:t>
      </w:r>
    </w:p>
    <w:p w14:paraId="3C3727B8">
      <w:pPr>
        <w:keepNext w:val="0"/>
        <w:keepLines w:val="0"/>
        <w:pageBreakBefore w:val="0"/>
        <w:widowControl/>
        <w:kinsoku/>
        <w:wordWrap/>
        <w:overflowPunct/>
        <w:topLinePunct w:val="0"/>
        <w:autoSpaceDE/>
        <w:autoSpaceDN/>
        <w:bidi w:val="0"/>
        <w:snapToGrid/>
        <w:spacing w:line="360" w:lineRule="auto"/>
        <w:ind w:left="0" w:leftChars="0" w:right="0" w:firstLine="480" w:firstLineChars="200"/>
        <w:jc w:val="left"/>
        <w:textAlignment w:val="auto"/>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1.成交折扣：</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%。结算单价=单价最高限价×成交折扣。</w:t>
      </w:r>
      <w:r>
        <w:rPr>
          <w:rFonts w:hint="eastAsia" w:ascii="仿宋" w:hAnsi="仿宋" w:eastAsia="仿宋" w:cs="仿宋"/>
          <w:sz w:val="24"/>
          <w:szCs w:val="24"/>
          <w:lang w:eastAsia="zh-CN"/>
        </w:rPr>
        <w:t>甲方</w:t>
      </w:r>
      <w:r>
        <w:rPr>
          <w:rFonts w:hint="eastAsia" w:ascii="仿宋" w:hAnsi="仿宋" w:eastAsia="仿宋" w:cs="仿宋"/>
          <w:sz w:val="24"/>
          <w:szCs w:val="24"/>
        </w:rPr>
        <w:t>在预算范围内据实结算，单年最终结算金额不超过54.5万元。</w:t>
      </w:r>
    </w:p>
    <w:p w14:paraId="16166CCC">
      <w:pPr>
        <w:pStyle w:val="8"/>
        <w:keepNext w:val="0"/>
        <w:keepLines w:val="0"/>
        <w:pageBreakBefore w:val="0"/>
        <w:kinsoku/>
        <w:overflowPunct/>
        <w:bidi w:val="0"/>
        <w:snapToGrid/>
        <w:spacing w:line="360" w:lineRule="auto"/>
        <w:ind w:firstLine="480"/>
        <w:jc w:val="both"/>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2.结算单价：</w:t>
      </w:r>
    </w:p>
    <w:tbl>
      <w:tblPr>
        <w:tblStyle w:val="5"/>
        <w:tblW w:w="9388" w:type="dxa"/>
        <w:tblInd w:w="-448"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148"/>
        <w:gridCol w:w="2377"/>
        <w:gridCol w:w="1588"/>
        <w:gridCol w:w="1187"/>
        <w:gridCol w:w="1239"/>
        <w:gridCol w:w="1849"/>
      </w:tblGrid>
      <w:tr w14:paraId="3D1A986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4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51FC88F1">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b/>
                <w:sz w:val="24"/>
                <w:szCs w:val="24"/>
              </w:rPr>
              <w:t>服务内容</w:t>
            </w:r>
          </w:p>
        </w:tc>
        <w:tc>
          <w:tcPr>
            <w:tcW w:w="237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12F3A7A4">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b/>
                <w:sz w:val="24"/>
                <w:szCs w:val="24"/>
              </w:rPr>
              <w:t>类别</w:t>
            </w:r>
          </w:p>
        </w:tc>
        <w:tc>
          <w:tcPr>
            <w:tcW w:w="158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5CD8D998">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b/>
                <w:sz w:val="24"/>
                <w:szCs w:val="24"/>
              </w:rPr>
              <w:t>单价最高限价（元）</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FA34DDF">
            <w:pPr>
              <w:pStyle w:val="8"/>
              <w:keepNext w:val="0"/>
              <w:keepLines w:val="0"/>
              <w:pageBreakBefore w:val="0"/>
              <w:kinsoku/>
              <w:overflowPunct/>
              <w:bidi w:val="0"/>
              <w:snapToGrid/>
              <w:spacing w:line="360" w:lineRule="auto"/>
              <w:jc w:val="center"/>
              <w:textAlignment w:val="auto"/>
              <w:rPr>
                <w:rFonts w:hint="default" w:ascii="仿宋" w:hAnsi="仿宋" w:eastAsia="仿宋" w:cs="仿宋"/>
                <w:b/>
                <w:sz w:val="24"/>
                <w:szCs w:val="24"/>
                <w:lang w:val="en-US" w:eastAsia="zh-CN"/>
              </w:rPr>
            </w:pPr>
            <w:r>
              <w:rPr>
                <w:rFonts w:hint="eastAsia" w:ascii="仿宋" w:hAnsi="仿宋" w:eastAsia="仿宋" w:cs="仿宋"/>
                <w:b/>
                <w:sz w:val="24"/>
                <w:szCs w:val="24"/>
                <w:lang w:val="en-US" w:eastAsia="zh-CN"/>
              </w:rPr>
              <w:t>结算单价（元）</w:t>
            </w:r>
          </w:p>
        </w:tc>
        <w:tc>
          <w:tcPr>
            <w:tcW w:w="123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C522C65">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b/>
                <w:sz w:val="24"/>
                <w:szCs w:val="24"/>
              </w:rPr>
              <w:t>单位</w:t>
            </w:r>
          </w:p>
        </w:tc>
        <w:tc>
          <w:tcPr>
            <w:tcW w:w="184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1BDC3C7">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b/>
                <w:sz w:val="24"/>
                <w:szCs w:val="24"/>
              </w:rPr>
              <w:t>备注</w:t>
            </w:r>
          </w:p>
        </w:tc>
      </w:tr>
      <w:tr w14:paraId="461A944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48"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5287C8E1">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设备安全监督抽查或风险评估</w:t>
            </w:r>
          </w:p>
        </w:tc>
        <w:tc>
          <w:tcPr>
            <w:tcW w:w="237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38ECF0B5">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锅炉</w:t>
            </w:r>
          </w:p>
        </w:tc>
        <w:tc>
          <w:tcPr>
            <w:tcW w:w="158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DC51AE8">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1100.00</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38F19924">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p>
        </w:tc>
        <w:tc>
          <w:tcPr>
            <w:tcW w:w="123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DA63C2D">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单台</w:t>
            </w:r>
          </w:p>
        </w:tc>
        <w:tc>
          <w:tcPr>
            <w:tcW w:w="184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6755076E">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r>
      <w:tr w14:paraId="348B0B0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48" w:type="dxa"/>
            <w:vMerge w:val="continue"/>
            <w:tcBorders>
              <w:top w:val="single" w:color="000000" w:sz="4" w:space="0"/>
              <w:left w:val="single" w:color="000000" w:sz="4" w:space="0"/>
              <w:bottom w:val="single" w:color="000000" w:sz="4" w:space="0"/>
              <w:right w:val="single" w:color="000000" w:sz="4" w:space="0"/>
            </w:tcBorders>
            <w:vAlign w:val="center"/>
          </w:tcPr>
          <w:p w14:paraId="0F4476EC">
            <w:pPr>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p>
        </w:tc>
        <w:tc>
          <w:tcPr>
            <w:tcW w:w="237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58511C38">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压力容器</w:t>
            </w:r>
          </w:p>
        </w:tc>
        <w:tc>
          <w:tcPr>
            <w:tcW w:w="158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96D794B">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1100.00</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C916622">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p>
        </w:tc>
        <w:tc>
          <w:tcPr>
            <w:tcW w:w="123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0D3F4CA">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单台</w:t>
            </w:r>
          </w:p>
        </w:tc>
        <w:tc>
          <w:tcPr>
            <w:tcW w:w="184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3D881D9F">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r>
      <w:tr w14:paraId="4E1BCB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48" w:type="dxa"/>
            <w:vMerge w:val="continue"/>
            <w:tcBorders>
              <w:top w:val="single" w:color="000000" w:sz="4" w:space="0"/>
              <w:left w:val="single" w:color="000000" w:sz="4" w:space="0"/>
              <w:bottom w:val="single" w:color="000000" w:sz="4" w:space="0"/>
              <w:right w:val="single" w:color="000000" w:sz="4" w:space="0"/>
            </w:tcBorders>
            <w:vAlign w:val="center"/>
          </w:tcPr>
          <w:p w14:paraId="7CA2151F">
            <w:pPr>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p>
        </w:tc>
        <w:tc>
          <w:tcPr>
            <w:tcW w:w="237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1FE1FC2">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压力管道</w:t>
            </w:r>
          </w:p>
        </w:tc>
        <w:tc>
          <w:tcPr>
            <w:tcW w:w="158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1207E114">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2200.00</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8FD8B6E">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p>
        </w:tc>
        <w:tc>
          <w:tcPr>
            <w:tcW w:w="123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D9964E2">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千米</w:t>
            </w:r>
          </w:p>
        </w:tc>
        <w:tc>
          <w:tcPr>
            <w:tcW w:w="184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B8A43DF">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r>
      <w:tr w14:paraId="39C3F9A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48" w:type="dxa"/>
            <w:vMerge w:val="continue"/>
            <w:tcBorders>
              <w:top w:val="single" w:color="000000" w:sz="4" w:space="0"/>
              <w:left w:val="single" w:color="000000" w:sz="4" w:space="0"/>
              <w:bottom w:val="single" w:color="000000" w:sz="4" w:space="0"/>
              <w:right w:val="single" w:color="000000" w:sz="4" w:space="0"/>
            </w:tcBorders>
            <w:vAlign w:val="center"/>
          </w:tcPr>
          <w:p w14:paraId="213D3BA8">
            <w:pPr>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p>
        </w:tc>
        <w:tc>
          <w:tcPr>
            <w:tcW w:w="237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0BAAB94">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电梯</w:t>
            </w:r>
          </w:p>
        </w:tc>
        <w:tc>
          <w:tcPr>
            <w:tcW w:w="158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ACF93E9">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1320.00</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179E803">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p>
        </w:tc>
        <w:tc>
          <w:tcPr>
            <w:tcW w:w="123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FC5D54E">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单台</w:t>
            </w:r>
          </w:p>
        </w:tc>
        <w:tc>
          <w:tcPr>
            <w:tcW w:w="184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9FE8CA0">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r>
      <w:tr w14:paraId="06A70AD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48" w:type="dxa"/>
            <w:vMerge w:val="continue"/>
            <w:tcBorders>
              <w:top w:val="single" w:color="000000" w:sz="4" w:space="0"/>
              <w:left w:val="single" w:color="000000" w:sz="4" w:space="0"/>
              <w:bottom w:val="single" w:color="000000" w:sz="4" w:space="0"/>
              <w:right w:val="single" w:color="000000" w:sz="4" w:space="0"/>
            </w:tcBorders>
            <w:vAlign w:val="center"/>
          </w:tcPr>
          <w:p w14:paraId="42A4E913">
            <w:pPr>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p>
        </w:tc>
        <w:tc>
          <w:tcPr>
            <w:tcW w:w="237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1D0897C3">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起重机械</w:t>
            </w:r>
          </w:p>
        </w:tc>
        <w:tc>
          <w:tcPr>
            <w:tcW w:w="158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36A5323F">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1100.00</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1052DAFD">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p>
        </w:tc>
        <w:tc>
          <w:tcPr>
            <w:tcW w:w="123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5796368E">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单台</w:t>
            </w:r>
          </w:p>
        </w:tc>
        <w:tc>
          <w:tcPr>
            <w:tcW w:w="184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6B7CD12B">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r>
      <w:tr w14:paraId="4259613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48" w:type="dxa"/>
            <w:vMerge w:val="continue"/>
            <w:tcBorders>
              <w:top w:val="single" w:color="000000" w:sz="4" w:space="0"/>
              <w:left w:val="single" w:color="000000" w:sz="4" w:space="0"/>
              <w:bottom w:val="single" w:color="000000" w:sz="4" w:space="0"/>
              <w:right w:val="single" w:color="000000" w:sz="4" w:space="0"/>
            </w:tcBorders>
            <w:vAlign w:val="center"/>
          </w:tcPr>
          <w:p w14:paraId="7AAB958A">
            <w:pPr>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p>
        </w:tc>
        <w:tc>
          <w:tcPr>
            <w:tcW w:w="237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66B9052F">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叉车</w:t>
            </w:r>
          </w:p>
        </w:tc>
        <w:tc>
          <w:tcPr>
            <w:tcW w:w="158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EB9C68D">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220.00</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95D39A6">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p>
        </w:tc>
        <w:tc>
          <w:tcPr>
            <w:tcW w:w="123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E9E7C8A">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单台</w:t>
            </w:r>
          </w:p>
        </w:tc>
        <w:tc>
          <w:tcPr>
            <w:tcW w:w="184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AE1BA47">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r>
      <w:tr w14:paraId="200708E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48" w:type="dxa"/>
            <w:vMerge w:val="continue"/>
            <w:tcBorders>
              <w:top w:val="single" w:color="000000" w:sz="4" w:space="0"/>
              <w:left w:val="single" w:color="000000" w:sz="4" w:space="0"/>
              <w:bottom w:val="single" w:color="000000" w:sz="4" w:space="0"/>
              <w:right w:val="single" w:color="000000" w:sz="4" w:space="0"/>
            </w:tcBorders>
            <w:vAlign w:val="center"/>
          </w:tcPr>
          <w:p w14:paraId="0EE5C880">
            <w:pPr>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p>
        </w:tc>
        <w:tc>
          <w:tcPr>
            <w:tcW w:w="237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5CB7E82">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游乐设施（含目录外游乐设施）</w:t>
            </w:r>
          </w:p>
        </w:tc>
        <w:tc>
          <w:tcPr>
            <w:tcW w:w="158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7982067">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1100.00</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C12642B">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p>
        </w:tc>
        <w:tc>
          <w:tcPr>
            <w:tcW w:w="123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37BC4434">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单台</w:t>
            </w:r>
          </w:p>
        </w:tc>
        <w:tc>
          <w:tcPr>
            <w:tcW w:w="184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E964AB5">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w:t>
            </w:r>
          </w:p>
        </w:tc>
      </w:tr>
      <w:tr w14:paraId="4514244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4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326027CE">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电梯维保质量监督抽查</w:t>
            </w:r>
          </w:p>
        </w:tc>
        <w:tc>
          <w:tcPr>
            <w:tcW w:w="237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36121475">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维保单位</w:t>
            </w:r>
          </w:p>
        </w:tc>
        <w:tc>
          <w:tcPr>
            <w:tcW w:w="158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07516DA">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5500.00</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543D38C">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p>
        </w:tc>
        <w:tc>
          <w:tcPr>
            <w:tcW w:w="123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333C30FC">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家</w:t>
            </w:r>
          </w:p>
        </w:tc>
        <w:tc>
          <w:tcPr>
            <w:tcW w:w="184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63C28B1">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从企业资质、人员配备、维保记录和抽查所维保电梯实物等方面判定维保质量。</w:t>
            </w:r>
          </w:p>
        </w:tc>
      </w:tr>
      <w:tr w14:paraId="3D13515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48" w:type="dxa"/>
            <w:vMerge w:val="restar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6B70A32B">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特种设备检验检测质量监督抽查</w:t>
            </w:r>
          </w:p>
        </w:tc>
        <w:tc>
          <w:tcPr>
            <w:tcW w:w="237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3BDDBA9D">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电梯检测质量抽查</w:t>
            </w:r>
          </w:p>
        </w:tc>
        <w:tc>
          <w:tcPr>
            <w:tcW w:w="158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1DB5D1DA">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5500.00</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6796235F">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p>
        </w:tc>
        <w:tc>
          <w:tcPr>
            <w:tcW w:w="123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3253DE01">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家</w:t>
            </w:r>
          </w:p>
        </w:tc>
        <w:tc>
          <w:tcPr>
            <w:tcW w:w="184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68D92968">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从企业资质、人员配备、检测记录和抽查所检测电梯实物等方面判定检测质量。</w:t>
            </w:r>
          </w:p>
        </w:tc>
      </w:tr>
      <w:tr w14:paraId="4F672C7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48" w:type="dxa"/>
            <w:vMerge w:val="continue"/>
            <w:tcBorders>
              <w:top w:val="single" w:color="000000" w:sz="4" w:space="0"/>
              <w:left w:val="single" w:color="000000" w:sz="4" w:space="0"/>
              <w:bottom w:val="single" w:color="000000" w:sz="4" w:space="0"/>
              <w:right w:val="single" w:color="000000" w:sz="4" w:space="0"/>
            </w:tcBorders>
            <w:vAlign w:val="center"/>
          </w:tcPr>
          <w:p w14:paraId="6F474857">
            <w:pPr>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p>
        </w:tc>
        <w:tc>
          <w:tcPr>
            <w:tcW w:w="237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B5FFB24">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承压类设备定期检验机构检验质量抽查</w:t>
            </w:r>
          </w:p>
        </w:tc>
        <w:tc>
          <w:tcPr>
            <w:tcW w:w="158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4CB4C1D7">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5500.00</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32AC0AA1">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p>
        </w:tc>
        <w:tc>
          <w:tcPr>
            <w:tcW w:w="123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2417258">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家</w:t>
            </w:r>
          </w:p>
        </w:tc>
        <w:tc>
          <w:tcPr>
            <w:tcW w:w="184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6176B9B">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从企业资质、人员配备、检验记录和抽查所检验设备实物等方面判定检验质量。</w:t>
            </w:r>
          </w:p>
        </w:tc>
      </w:tr>
      <w:tr w14:paraId="0B4C040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148" w:type="dxa"/>
            <w:vMerge w:val="continue"/>
            <w:tcBorders>
              <w:top w:val="single" w:color="000000" w:sz="4" w:space="0"/>
              <w:left w:val="single" w:color="000000" w:sz="4" w:space="0"/>
              <w:bottom w:val="single" w:color="000000" w:sz="4" w:space="0"/>
              <w:right w:val="single" w:color="000000" w:sz="4" w:space="0"/>
            </w:tcBorders>
            <w:vAlign w:val="center"/>
          </w:tcPr>
          <w:p w14:paraId="6C65097E">
            <w:pPr>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p>
        </w:tc>
        <w:tc>
          <w:tcPr>
            <w:tcW w:w="237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149726C">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安全阀校验机构质量抽查</w:t>
            </w:r>
          </w:p>
        </w:tc>
        <w:tc>
          <w:tcPr>
            <w:tcW w:w="1588"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7AA6FE02">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5500.00</w:t>
            </w:r>
          </w:p>
        </w:tc>
        <w:tc>
          <w:tcPr>
            <w:tcW w:w="118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246D0D1D">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p>
        </w:tc>
        <w:tc>
          <w:tcPr>
            <w:tcW w:w="123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0D6A4678">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家</w:t>
            </w:r>
          </w:p>
        </w:tc>
        <w:tc>
          <w:tcPr>
            <w:tcW w:w="1849"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center"/>
          </w:tcPr>
          <w:p w14:paraId="5C815340">
            <w:pPr>
              <w:pStyle w:val="8"/>
              <w:keepNext w:val="0"/>
              <w:keepLines w:val="0"/>
              <w:pageBreakBefore w:val="0"/>
              <w:kinsoku/>
              <w:overflowPunct/>
              <w:bidi w:val="0"/>
              <w:snapToGrid/>
              <w:spacing w:line="360" w:lineRule="auto"/>
              <w:jc w:val="center"/>
              <w:textAlignment w:val="auto"/>
              <w:rPr>
                <w:rFonts w:hint="eastAsia" w:ascii="仿宋" w:hAnsi="仿宋" w:eastAsia="仿宋" w:cs="仿宋"/>
                <w:sz w:val="24"/>
                <w:szCs w:val="24"/>
              </w:rPr>
            </w:pPr>
            <w:r>
              <w:rPr>
                <w:rFonts w:hint="eastAsia" w:ascii="仿宋" w:hAnsi="仿宋" w:eastAsia="仿宋" w:cs="仿宋"/>
                <w:sz w:val="24"/>
                <w:szCs w:val="24"/>
              </w:rPr>
              <w:t>从企业资质、人员配备、校验记录和抽查所校验安全阀实物等方面判定校验质量。</w:t>
            </w:r>
          </w:p>
        </w:tc>
      </w:tr>
    </w:tbl>
    <w:p w14:paraId="47DA792E">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.服务地点：成都市新都区</w:t>
      </w:r>
      <w:r>
        <w:rPr>
          <w:rFonts w:hint="eastAsia" w:ascii="仿宋" w:hAnsi="仿宋" w:eastAsia="仿宋" w:cs="仿宋"/>
          <w:sz w:val="24"/>
          <w:szCs w:val="24"/>
          <w:lang w:eastAsia="zh-CN"/>
        </w:rPr>
        <w:t>甲方</w:t>
      </w:r>
      <w:r>
        <w:rPr>
          <w:rFonts w:hint="eastAsia" w:ascii="仿宋" w:hAnsi="仿宋" w:eastAsia="仿宋" w:cs="仿宋"/>
          <w:sz w:val="24"/>
          <w:szCs w:val="24"/>
        </w:rPr>
        <w:t>指定地点。</w:t>
      </w:r>
    </w:p>
    <w:p w14:paraId="53C322B5">
      <w:pPr>
        <w:pStyle w:val="8"/>
        <w:keepNext w:val="0"/>
        <w:keepLines w:val="0"/>
        <w:pageBreakBefore w:val="0"/>
        <w:kinsoku/>
        <w:overflowPunct/>
        <w:bidi w:val="0"/>
        <w:snapToGrid/>
        <w:spacing w:line="360" w:lineRule="auto"/>
        <w:ind w:firstLine="48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.付款方式及付款时间：分两次结算服务费用，签订服务合同后，</w:t>
      </w:r>
      <w:r>
        <w:rPr>
          <w:rFonts w:hint="eastAsia" w:ascii="仿宋" w:hAnsi="仿宋" w:eastAsia="仿宋" w:cs="仿宋"/>
          <w:sz w:val="24"/>
          <w:szCs w:val="24"/>
          <w:lang w:eastAsia="zh-CN"/>
        </w:rPr>
        <w:t>甲方</w:t>
      </w:r>
      <w:r>
        <w:rPr>
          <w:rFonts w:hint="eastAsia" w:ascii="仿宋" w:hAnsi="仿宋" w:eastAsia="仿宋" w:cs="仿宋"/>
          <w:sz w:val="24"/>
          <w:szCs w:val="24"/>
        </w:rPr>
        <w:t>向</w:t>
      </w:r>
      <w:r>
        <w:rPr>
          <w:rFonts w:hint="eastAsia" w:ascii="仿宋" w:hAnsi="仿宋" w:eastAsia="仿宋" w:cs="仿宋"/>
          <w:sz w:val="24"/>
          <w:szCs w:val="24"/>
          <w:lang w:eastAsia="zh-CN"/>
        </w:rPr>
        <w:t>乙方</w:t>
      </w:r>
      <w:r>
        <w:rPr>
          <w:rFonts w:hint="eastAsia" w:ascii="仿宋" w:hAnsi="仿宋" w:eastAsia="仿宋" w:cs="仿宋"/>
          <w:sz w:val="24"/>
          <w:szCs w:val="24"/>
        </w:rPr>
        <w:t>支付预算金额的40%，所有服务工作完成并经</w:t>
      </w:r>
      <w:r>
        <w:rPr>
          <w:rFonts w:hint="eastAsia" w:ascii="仿宋" w:hAnsi="仿宋" w:eastAsia="仿宋" w:cs="仿宋"/>
          <w:sz w:val="24"/>
          <w:szCs w:val="24"/>
          <w:lang w:eastAsia="zh-CN"/>
        </w:rPr>
        <w:t>甲方</w:t>
      </w:r>
      <w:r>
        <w:rPr>
          <w:rFonts w:hint="eastAsia" w:ascii="仿宋" w:hAnsi="仿宋" w:eastAsia="仿宋" w:cs="仿宋"/>
          <w:sz w:val="24"/>
          <w:szCs w:val="24"/>
        </w:rPr>
        <w:t>验收合格后据实支付，结算金额不超过采购预算。如遇特殊情况需要延迟支付，双方协商解决；</w:t>
      </w:r>
      <w:r>
        <w:rPr>
          <w:rFonts w:hint="eastAsia" w:ascii="仿宋" w:hAnsi="仿宋" w:eastAsia="仿宋" w:cs="仿宋"/>
          <w:sz w:val="24"/>
          <w:szCs w:val="24"/>
          <w:lang w:eastAsia="zh-CN"/>
        </w:rPr>
        <w:t>甲方</w:t>
      </w:r>
      <w:r>
        <w:rPr>
          <w:rFonts w:hint="eastAsia" w:ascii="仿宋" w:hAnsi="仿宋" w:eastAsia="仿宋" w:cs="仿宋"/>
          <w:sz w:val="24"/>
          <w:szCs w:val="24"/>
        </w:rPr>
        <w:t>每次付款前，</w:t>
      </w:r>
      <w:r>
        <w:rPr>
          <w:rFonts w:hint="eastAsia" w:ascii="仿宋" w:hAnsi="仿宋" w:eastAsia="仿宋" w:cs="仿宋"/>
          <w:sz w:val="24"/>
          <w:szCs w:val="24"/>
          <w:lang w:eastAsia="zh-CN"/>
        </w:rPr>
        <w:t>乙方</w:t>
      </w:r>
      <w:r>
        <w:rPr>
          <w:rFonts w:hint="eastAsia" w:ascii="仿宋" w:hAnsi="仿宋" w:eastAsia="仿宋" w:cs="仿宋"/>
          <w:sz w:val="24"/>
          <w:szCs w:val="24"/>
        </w:rPr>
        <w:t>须向</w:t>
      </w:r>
      <w:r>
        <w:rPr>
          <w:rFonts w:hint="eastAsia" w:ascii="仿宋" w:hAnsi="仿宋" w:eastAsia="仿宋" w:cs="仿宋"/>
          <w:sz w:val="24"/>
          <w:szCs w:val="24"/>
          <w:lang w:eastAsia="zh-CN"/>
        </w:rPr>
        <w:t>甲方</w:t>
      </w:r>
      <w:r>
        <w:rPr>
          <w:rFonts w:hint="eastAsia" w:ascii="仿宋" w:hAnsi="仿宋" w:eastAsia="仿宋" w:cs="仿宋"/>
          <w:sz w:val="24"/>
          <w:szCs w:val="24"/>
        </w:rPr>
        <w:t>出具合法有效完整的完税发票及凭证资料进行支付结算，</w:t>
      </w:r>
      <w:r>
        <w:rPr>
          <w:rFonts w:hint="eastAsia" w:ascii="仿宋" w:hAnsi="仿宋" w:eastAsia="仿宋" w:cs="仿宋"/>
          <w:sz w:val="24"/>
          <w:szCs w:val="24"/>
          <w:lang w:eastAsia="zh-CN"/>
        </w:rPr>
        <w:t>甲方</w:t>
      </w:r>
      <w:r>
        <w:rPr>
          <w:rFonts w:hint="eastAsia" w:ascii="仿宋" w:hAnsi="仿宋" w:eastAsia="仿宋" w:cs="仿宋"/>
          <w:sz w:val="24"/>
          <w:szCs w:val="24"/>
        </w:rPr>
        <w:t>在收到</w:t>
      </w:r>
      <w:r>
        <w:rPr>
          <w:rFonts w:hint="eastAsia" w:ascii="仿宋" w:hAnsi="仿宋" w:eastAsia="仿宋" w:cs="仿宋"/>
          <w:sz w:val="24"/>
          <w:szCs w:val="24"/>
          <w:lang w:eastAsia="zh-CN"/>
        </w:rPr>
        <w:t>乙方</w:t>
      </w:r>
      <w:r>
        <w:rPr>
          <w:rFonts w:hint="eastAsia" w:ascii="仿宋" w:hAnsi="仿宋" w:eastAsia="仿宋" w:cs="仿宋"/>
          <w:sz w:val="24"/>
          <w:szCs w:val="24"/>
        </w:rPr>
        <w:t>发票后10个工作日内支付</w:t>
      </w:r>
      <w:r>
        <w:rPr>
          <w:rFonts w:hint="eastAsia" w:ascii="仿宋" w:hAnsi="仿宋" w:eastAsia="仿宋" w:cs="仿宋"/>
          <w:sz w:val="24"/>
          <w:szCs w:val="24"/>
          <w:lang w:eastAsia="zh-CN"/>
        </w:rPr>
        <w:t>乙方</w:t>
      </w:r>
      <w:r>
        <w:rPr>
          <w:rFonts w:hint="eastAsia" w:ascii="仿宋" w:hAnsi="仿宋" w:eastAsia="仿宋" w:cs="仿宋"/>
          <w:sz w:val="24"/>
          <w:szCs w:val="24"/>
        </w:rPr>
        <w:t>相关服务费用。</w:t>
      </w:r>
    </w:p>
    <w:p w14:paraId="21DAEB65">
      <w:pPr>
        <w:pStyle w:val="8"/>
        <w:keepNext w:val="0"/>
        <w:keepLines w:val="0"/>
        <w:pageBreakBefore w:val="0"/>
        <w:kinsoku/>
        <w:overflowPunct/>
        <w:bidi w:val="0"/>
        <w:snapToGrid/>
        <w:spacing w:line="360" w:lineRule="auto"/>
        <w:ind w:firstLine="466"/>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.验收：</w:t>
      </w:r>
    </w:p>
    <w:p w14:paraId="30671779">
      <w:pPr>
        <w:pStyle w:val="8"/>
        <w:keepNext w:val="0"/>
        <w:keepLines w:val="0"/>
        <w:pageBreakBefore w:val="0"/>
        <w:kinsoku/>
        <w:overflowPunct/>
        <w:bidi w:val="0"/>
        <w:snapToGrid/>
        <w:spacing w:line="360" w:lineRule="auto"/>
        <w:ind w:firstLine="466"/>
        <w:jc w:val="both"/>
        <w:textAlignment w:val="auto"/>
        <w:rPr>
          <w:rFonts w:hint="eastAsia" w:ascii="仿宋" w:hAnsi="仿宋" w:eastAsia="仿宋" w:cs="仿宋"/>
          <w:sz w:val="24"/>
          <w:szCs w:val="24"/>
        </w:rPr>
      </w:pPr>
      <w:r>
        <w:rPr>
          <w:rFonts w:hint="eastAsia" w:ascii="仿宋" w:hAnsi="仿宋" w:eastAsia="仿宋" w:cs="仿宋"/>
          <w:sz w:val="24"/>
          <w:szCs w:val="24"/>
        </w:rPr>
        <w:t>（1）验收办法：</w:t>
      </w:r>
      <w:r>
        <w:rPr>
          <w:rFonts w:hint="eastAsia" w:ascii="仿宋" w:hAnsi="仿宋" w:eastAsia="仿宋" w:cs="仿宋"/>
          <w:sz w:val="24"/>
          <w:szCs w:val="24"/>
          <w:lang w:eastAsia="zh-CN"/>
        </w:rPr>
        <w:t>乙方</w:t>
      </w:r>
      <w:r>
        <w:rPr>
          <w:rFonts w:hint="eastAsia" w:ascii="仿宋" w:hAnsi="仿宋" w:eastAsia="仿宋" w:cs="仿宋"/>
          <w:sz w:val="24"/>
          <w:szCs w:val="24"/>
        </w:rPr>
        <w:t>与</w:t>
      </w:r>
      <w:r>
        <w:rPr>
          <w:rFonts w:hint="eastAsia" w:ascii="仿宋" w:hAnsi="仿宋" w:eastAsia="仿宋" w:cs="仿宋"/>
          <w:sz w:val="24"/>
          <w:szCs w:val="24"/>
          <w:lang w:eastAsia="zh-CN"/>
        </w:rPr>
        <w:t>甲方</w:t>
      </w:r>
      <w:r>
        <w:rPr>
          <w:rFonts w:hint="eastAsia" w:ascii="仿宋" w:hAnsi="仿宋" w:eastAsia="仿宋" w:cs="仿宋"/>
          <w:sz w:val="24"/>
          <w:szCs w:val="24"/>
        </w:rPr>
        <w:t>按照《财政部关于进一步加强政府采购需求和履约验收管理的指导意见》（财库〔2016〕205号）等相关要求进行验收。</w:t>
      </w:r>
    </w:p>
    <w:p w14:paraId="16AFF89A">
      <w:pPr>
        <w:pStyle w:val="8"/>
        <w:keepNext w:val="0"/>
        <w:keepLines w:val="0"/>
        <w:pageBreakBefore w:val="0"/>
        <w:kinsoku/>
        <w:wordWrap/>
        <w:overflowPunct/>
        <w:topLinePunct w:val="0"/>
        <w:autoSpaceDE/>
        <w:autoSpaceDN/>
        <w:bidi w:val="0"/>
        <w:snapToGrid/>
        <w:spacing w:line="360" w:lineRule="auto"/>
        <w:ind w:firstLine="48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（2）验收标准：按磋商文件的服务内容及要求、</w:t>
      </w:r>
      <w:r>
        <w:rPr>
          <w:rFonts w:hint="eastAsia" w:ascii="仿宋" w:hAnsi="仿宋" w:eastAsia="仿宋" w:cs="仿宋"/>
          <w:sz w:val="24"/>
          <w:szCs w:val="24"/>
          <w:lang w:eastAsia="zh-CN"/>
        </w:rPr>
        <w:t>乙方</w:t>
      </w:r>
      <w:r>
        <w:rPr>
          <w:rFonts w:hint="eastAsia" w:ascii="仿宋" w:hAnsi="仿宋" w:eastAsia="仿宋" w:cs="仿宋"/>
          <w:sz w:val="24"/>
          <w:szCs w:val="24"/>
        </w:rPr>
        <w:t>的响应文件及承诺以及合同约定标准进行验收。</w:t>
      </w:r>
    </w:p>
    <w:p w14:paraId="56F864E6">
      <w:pPr>
        <w:keepNext w:val="0"/>
        <w:keepLines w:val="0"/>
        <w:pageBreakBefore w:val="0"/>
        <w:widowControl/>
        <w:kinsoku/>
        <w:wordWrap/>
        <w:overflowPunct/>
        <w:topLinePunct w:val="0"/>
        <w:autoSpaceDE/>
        <w:autoSpaceDN/>
        <w:bidi w:val="0"/>
        <w:snapToGrid/>
        <w:spacing w:line="360" w:lineRule="auto"/>
        <w:ind w:left="0" w:leftChars="0" w:right="0" w:firstLine="480" w:firstLineChars="200"/>
        <w:jc w:val="left"/>
        <w:textAlignment w:val="auto"/>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6.验收由甲方组织，乙方配合进行：</w:t>
      </w:r>
    </w:p>
    <w:p w14:paraId="1CB76F8B">
      <w:pPr>
        <w:keepNext w:val="0"/>
        <w:keepLines w:val="0"/>
        <w:pageBreakBefore w:val="0"/>
        <w:widowControl w:val="0"/>
        <w:kinsoku/>
        <w:wordWrap/>
        <w:overflowPunct/>
        <w:topLinePunct w:val="0"/>
        <w:autoSpaceDE/>
        <w:autoSpaceDN/>
        <w:bidi w:val="0"/>
        <w:adjustRightInd w:val="0"/>
        <w:snapToGrid/>
        <w:spacing w:line="360" w:lineRule="auto"/>
        <w:ind w:left="0" w:firstLine="480" w:firstLineChars="200"/>
        <w:jc w:val="both"/>
        <w:textAlignment w:val="auto"/>
        <w:outlineLvl w:val="9"/>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（1）乙方履约完成后</w:t>
      </w:r>
      <w:r>
        <w:rPr>
          <w:rFonts w:hint="eastAsia" w:ascii="仿宋" w:hAnsi="仿宋" w:eastAsia="仿宋" w:cs="仿宋"/>
          <w:color w:val="auto"/>
          <w:kern w:val="2"/>
          <w:sz w:val="24"/>
          <w:szCs w:val="24"/>
          <w:highlight w:val="none"/>
          <w:u w:val="single"/>
          <w:lang w:val="en-US" w:eastAsia="zh-CN" w:bidi="ar-SA"/>
        </w:rPr>
        <w:t xml:space="preserve">  7  </w:t>
      </w:r>
      <w:r>
        <w:rPr>
          <w:rFonts w:hint="eastAsia" w:ascii="仿宋" w:hAnsi="仿宋" w:eastAsia="仿宋" w:cs="仿宋"/>
          <w:color w:val="auto"/>
          <w:kern w:val="2"/>
          <w:sz w:val="24"/>
          <w:szCs w:val="24"/>
          <w:highlight w:val="none"/>
          <w:lang w:val="en-US" w:eastAsia="zh-CN" w:bidi="ar-SA"/>
        </w:rPr>
        <w:t>日内验收。</w:t>
      </w:r>
    </w:p>
    <w:p w14:paraId="2BED18C5">
      <w:pPr>
        <w:keepNext w:val="0"/>
        <w:keepLines w:val="0"/>
        <w:pageBreakBefore w:val="0"/>
        <w:widowControl w:val="0"/>
        <w:kinsoku/>
        <w:wordWrap/>
        <w:overflowPunct/>
        <w:topLinePunct w:val="0"/>
        <w:autoSpaceDE/>
        <w:autoSpaceDN/>
        <w:bidi w:val="0"/>
        <w:adjustRightInd w:val="0"/>
        <w:snapToGrid/>
        <w:spacing w:line="360" w:lineRule="auto"/>
        <w:ind w:left="0" w:firstLine="480" w:firstLineChars="200"/>
        <w:jc w:val="both"/>
        <w:textAlignment w:val="auto"/>
        <w:outlineLvl w:val="9"/>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（2）验收程序：</w:t>
      </w:r>
    </w:p>
    <w:p w14:paraId="07C73B3C">
      <w:pPr>
        <w:keepNext w:val="0"/>
        <w:keepLines w:val="0"/>
        <w:pageBreakBefore w:val="0"/>
        <w:widowControl w:val="0"/>
        <w:kinsoku/>
        <w:wordWrap/>
        <w:overflowPunct/>
        <w:topLinePunct w:val="0"/>
        <w:autoSpaceDE/>
        <w:autoSpaceDN/>
        <w:bidi w:val="0"/>
        <w:adjustRightInd w:val="0"/>
        <w:snapToGrid/>
        <w:spacing w:line="360" w:lineRule="auto"/>
        <w:ind w:left="0" w:firstLine="480" w:firstLineChars="200"/>
        <w:jc w:val="both"/>
        <w:textAlignment w:val="auto"/>
        <w:outlineLvl w:val="9"/>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成立验收小组。甲方（下称验收方）成立验收小组，指定负责验收小组工作的直接负责人。验收小组应当由熟悉掌握政府采购项目采购需求、技术需要的人员单数组成。验收小组代表验收方履行验收工作职责。</w:t>
      </w:r>
    </w:p>
    <w:p w14:paraId="2C244FF9">
      <w:pPr>
        <w:keepNext w:val="0"/>
        <w:keepLines w:val="0"/>
        <w:pageBreakBefore w:val="0"/>
        <w:widowControl w:val="0"/>
        <w:kinsoku/>
        <w:wordWrap/>
        <w:overflowPunct/>
        <w:topLinePunct w:val="0"/>
        <w:autoSpaceDE/>
        <w:autoSpaceDN/>
        <w:bidi w:val="0"/>
        <w:adjustRightInd w:val="0"/>
        <w:snapToGrid/>
        <w:spacing w:line="360" w:lineRule="auto"/>
        <w:ind w:left="0" w:firstLine="480" w:firstLineChars="200"/>
        <w:jc w:val="both"/>
        <w:textAlignment w:val="auto"/>
        <w:outlineLvl w:val="9"/>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制定验收方案。验收小组根据政府采购项目的具体情况，制定具体详细的采购项目验收工作方案。验收小组成员应当在实施验收前掌握采购项目采购需求、验收清单和标准、政府采购合同约定的权利义务，并完成其他准备工作。</w:t>
      </w:r>
    </w:p>
    <w:p w14:paraId="0102E0B7">
      <w:pPr>
        <w:keepNext w:val="0"/>
        <w:keepLines w:val="0"/>
        <w:pageBreakBefore w:val="0"/>
        <w:widowControl w:val="0"/>
        <w:kinsoku/>
        <w:wordWrap/>
        <w:overflowPunct/>
        <w:topLinePunct w:val="0"/>
        <w:autoSpaceDE/>
        <w:autoSpaceDN/>
        <w:bidi w:val="0"/>
        <w:adjustRightInd w:val="0"/>
        <w:snapToGrid/>
        <w:spacing w:line="360" w:lineRule="auto"/>
        <w:ind w:left="0" w:firstLine="480" w:firstLineChars="200"/>
        <w:jc w:val="both"/>
        <w:textAlignment w:val="auto"/>
        <w:outlineLvl w:val="9"/>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出具验收报告。验收小组完成验收后，应当出具验收报告。验收报告的内容应包括：实施验收过程基本情况陈述，乙方每一项技术、服务、安全标准等履约情况，与政府采购合同约定的权利义务比较情况，验收结论性意见。验收小组成员的个人验收记录和个人验收意见应作为验收报告附件。</w:t>
      </w:r>
    </w:p>
    <w:p w14:paraId="6EC512E7">
      <w:pPr>
        <w:keepNext w:val="0"/>
        <w:keepLines w:val="0"/>
        <w:pageBreakBefore w:val="0"/>
        <w:widowControl w:val="0"/>
        <w:kinsoku/>
        <w:wordWrap w:val="0"/>
        <w:overflowPunct/>
        <w:topLinePunct/>
        <w:autoSpaceDE/>
        <w:autoSpaceDN/>
        <w:bidi w:val="0"/>
        <w:adjustRightInd/>
        <w:snapToGrid/>
        <w:spacing w:line="360" w:lineRule="auto"/>
        <w:ind w:right="0" w:rightChars="0" w:firstLine="482" w:firstLineChars="200"/>
        <w:jc w:val="left"/>
        <w:textAlignment w:val="auto"/>
        <w:outlineLvl w:val="9"/>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第六条  知识产权</w:t>
      </w:r>
    </w:p>
    <w:p w14:paraId="7399D583">
      <w:pPr>
        <w:keepNext w:val="0"/>
        <w:keepLines w:val="0"/>
        <w:pageBreakBefore w:val="0"/>
        <w:widowControl w:val="0"/>
        <w:kinsoku/>
        <w:wordWrap w:val="0"/>
        <w:overflowPunct/>
        <w:topLinePunct/>
        <w:autoSpaceDE/>
        <w:autoSpaceDN/>
        <w:bidi w:val="0"/>
        <w:adjustRightInd/>
        <w:snapToGrid/>
        <w:spacing w:line="360" w:lineRule="auto"/>
        <w:ind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乙方应保证所提供的服务或其任何一部分均不会侵犯任何第三方的专利权、商标权或著作权。否则由此导致的一切责任由乙方自行承担，若因此造成甲方损失的，甲方有权向乙方追偿。</w:t>
      </w:r>
    </w:p>
    <w:p w14:paraId="601E7B36">
      <w:pPr>
        <w:keepNext w:val="0"/>
        <w:keepLines w:val="0"/>
        <w:pageBreakBefore w:val="0"/>
        <w:widowControl w:val="0"/>
        <w:kinsoku/>
        <w:wordWrap w:val="0"/>
        <w:overflowPunct/>
        <w:topLinePunct/>
        <w:autoSpaceDE/>
        <w:autoSpaceDN/>
        <w:bidi w:val="0"/>
        <w:adjustRightInd/>
        <w:snapToGrid/>
        <w:spacing w:line="360" w:lineRule="auto"/>
        <w:ind w:right="0" w:rightChars="0" w:firstLine="482" w:firstLineChars="200"/>
        <w:jc w:val="left"/>
        <w:textAlignment w:val="auto"/>
        <w:outlineLvl w:val="9"/>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第七条  无产权瑕疵条款</w:t>
      </w:r>
    </w:p>
    <w:p w14:paraId="35109922">
      <w:pPr>
        <w:keepNext w:val="0"/>
        <w:keepLines w:val="0"/>
        <w:pageBreakBefore w:val="0"/>
        <w:widowControl w:val="0"/>
        <w:kinsoku/>
        <w:wordWrap w:val="0"/>
        <w:overflowPunct/>
        <w:topLinePunct/>
        <w:autoSpaceDE/>
        <w:autoSpaceDN/>
        <w:bidi w:val="0"/>
        <w:adjustRightInd/>
        <w:snapToGrid/>
        <w:spacing w:line="360" w:lineRule="auto"/>
        <w:ind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乙方保证所提供的服务的所有权完全属于乙方且无任何抵押、查封等产权瑕疵。如有产权瑕疵的，视为乙方违约。乙方应负担由此而产生的一切损失。</w:t>
      </w:r>
    </w:p>
    <w:p w14:paraId="50C405A3">
      <w:pPr>
        <w:keepNext w:val="0"/>
        <w:keepLines w:val="0"/>
        <w:pageBreakBefore w:val="0"/>
        <w:widowControl w:val="0"/>
        <w:kinsoku/>
        <w:wordWrap w:val="0"/>
        <w:overflowPunct/>
        <w:topLinePunct/>
        <w:autoSpaceDE/>
        <w:autoSpaceDN/>
        <w:bidi w:val="0"/>
        <w:adjustRightInd/>
        <w:snapToGrid/>
        <w:spacing w:line="360" w:lineRule="auto"/>
        <w:ind w:right="0" w:rightChars="0" w:firstLine="482" w:firstLineChars="200"/>
        <w:jc w:val="left"/>
        <w:textAlignment w:val="auto"/>
        <w:outlineLvl w:val="9"/>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第八条  甲方的权利和义务</w:t>
      </w:r>
    </w:p>
    <w:p w14:paraId="19866952">
      <w:pPr>
        <w:keepNext w:val="0"/>
        <w:keepLines w:val="0"/>
        <w:pageBreakBefore w:val="0"/>
        <w:widowControl w:val="0"/>
        <w:kinsoku/>
        <w:wordWrap w:val="0"/>
        <w:overflowPunct/>
        <w:topLinePunct/>
        <w:autoSpaceDE/>
        <w:autoSpaceDN/>
        <w:bidi w:val="0"/>
        <w:adjustRightInd/>
        <w:snapToGrid/>
        <w:spacing w:line="360" w:lineRule="auto"/>
        <w:ind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1.甲方有权对合同约定范围内乙方的服务行为进行监督和检查，拥有监管权。对甲方认为不合理的部分有权下达限期整改通知书，并要求乙方限期整改。</w:t>
      </w:r>
    </w:p>
    <w:p w14:paraId="23DF33BD">
      <w:pPr>
        <w:keepNext w:val="0"/>
        <w:keepLines w:val="0"/>
        <w:pageBreakBefore w:val="0"/>
        <w:widowControl w:val="0"/>
        <w:kinsoku/>
        <w:wordWrap w:val="0"/>
        <w:overflowPunct/>
        <w:topLinePunct/>
        <w:autoSpaceDE/>
        <w:autoSpaceDN/>
        <w:bidi w:val="0"/>
        <w:adjustRightInd/>
        <w:snapToGrid/>
        <w:spacing w:line="360" w:lineRule="auto"/>
        <w:ind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2.负责检查监督乙方管理工作的实施及制度的执行情况。</w:t>
      </w:r>
    </w:p>
    <w:p w14:paraId="6591BFFE">
      <w:pPr>
        <w:keepNext w:val="0"/>
        <w:keepLines w:val="0"/>
        <w:pageBreakBefore w:val="0"/>
        <w:widowControl w:val="0"/>
        <w:kinsoku/>
        <w:wordWrap w:val="0"/>
        <w:overflowPunct/>
        <w:topLinePunct/>
        <w:autoSpaceDE/>
        <w:autoSpaceDN/>
        <w:bidi w:val="0"/>
        <w:adjustRightInd/>
        <w:snapToGrid/>
        <w:spacing w:line="360" w:lineRule="auto"/>
        <w:ind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3.根据本合同约定，按时向乙方支付应付服务费用。</w:t>
      </w:r>
    </w:p>
    <w:p w14:paraId="02F6601F">
      <w:pPr>
        <w:keepNext w:val="0"/>
        <w:keepLines w:val="0"/>
        <w:pageBreakBefore w:val="0"/>
        <w:widowControl w:val="0"/>
        <w:kinsoku/>
        <w:wordWrap w:val="0"/>
        <w:overflowPunct/>
        <w:topLinePunct/>
        <w:autoSpaceDE/>
        <w:autoSpaceDN/>
        <w:bidi w:val="0"/>
        <w:adjustRightInd/>
        <w:snapToGrid/>
        <w:spacing w:line="360" w:lineRule="auto"/>
        <w:ind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4.国家法律、法规所规定由甲方承担的其他责任。</w:t>
      </w:r>
    </w:p>
    <w:p w14:paraId="6EA77B57">
      <w:pPr>
        <w:keepNext w:val="0"/>
        <w:keepLines w:val="0"/>
        <w:pageBreakBefore w:val="0"/>
        <w:widowControl w:val="0"/>
        <w:kinsoku/>
        <w:wordWrap w:val="0"/>
        <w:overflowPunct/>
        <w:topLinePunct/>
        <w:autoSpaceDE/>
        <w:autoSpaceDN/>
        <w:bidi w:val="0"/>
        <w:adjustRightInd/>
        <w:snapToGrid/>
        <w:spacing w:line="360" w:lineRule="auto"/>
        <w:ind w:right="0" w:rightChars="0" w:firstLine="482" w:firstLineChars="200"/>
        <w:jc w:val="left"/>
        <w:textAlignment w:val="auto"/>
        <w:outlineLvl w:val="9"/>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第九条  乙方的权利和义务</w:t>
      </w:r>
    </w:p>
    <w:p w14:paraId="1D3D1CEE">
      <w:pPr>
        <w:keepNext w:val="0"/>
        <w:keepLines w:val="0"/>
        <w:pageBreakBefore w:val="0"/>
        <w:widowControl w:val="0"/>
        <w:kinsoku/>
        <w:wordWrap w:val="0"/>
        <w:overflowPunct/>
        <w:topLinePunct/>
        <w:autoSpaceDE/>
        <w:autoSpaceDN/>
        <w:bidi w:val="0"/>
        <w:adjustRightInd/>
        <w:snapToGrid/>
        <w:spacing w:line="360" w:lineRule="auto"/>
        <w:ind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1.对本合同约定的委托服务范围内的项目享有管理权及服务义务。按照服务内容和质量标准按时保质完成服务。</w:t>
      </w:r>
    </w:p>
    <w:p w14:paraId="390F5203">
      <w:pPr>
        <w:keepNext w:val="0"/>
        <w:keepLines w:val="0"/>
        <w:pageBreakBefore w:val="0"/>
        <w:widowControl w:val="0"/>
        <w:kinsoku/>
        <w:wordWrap w:val="0"/>
        <w:overflowPunct/>
        <w:topLinePunct/>
        <w:autoSpaceDE/>
        <w:autoSpaceDN/>
        <w:bidi w:val="0"/>
        <w:adjustRightInd/>
        <w:snapToGrid/>
        <w:spacing w:line="360" w:lineRule="auto"/>
        <w:ind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2.根据本合同的约定向甲方收取相关服务费用，并有权在本项目管理范围内管理及合理使用。</w:t>
      </w:r>
    </w:p>
    <w:p w14:paraId="57E36113">
      <w:pPr>
        <w:keepNext w:val="0"/>
        <w:keepLines w:val="0"/>
        <w:pageBreakBefore w:val="0"/>
        <w:widowControl w:val="0"/>
        <w:kinsoku/>
        <w:wordWrap w:val="0"/>
        <w:overflowPunct/>
        <w:topLinePunct/>
        <w:autoSpaceDE/>
        <w:autoSpaceDN/>
        <w:bidi w:val="0"/>
        <w:adjustRightInd/>
        <w:snapToGrid/>
        <w:spacing w:line="360" w:lineRule="auto"/>
        <w:ind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3.及时向甲方通知本项目服务范围内有关服务的重大事项，及时配合处理投诉。</w:t>
      </w:r>
    </w:p>
    <w:p w14:paraId="6EB84DD1">
      <w:pPr>
        <w:keepNext w:val="0"/>
        <w:keepLines w:val="0"/>
        <w:pageBreakBefore w:val="0"/>
        <w:widowControl w:val="0"/>
        <w:kinsoku/>
        <w:wordWrap w:val="0"/>
        <w:overflowPunct/>
        <w:topLinePunct/>
        <w:autoSpaceDE/>
        <w:autoSpaceDN/>
        <w:bidi w:val="0"/>
        <w:adjustRightInd/>
        <w:snapToGrid/>
        <w:spacing w:line="360" w:lineRule="auto"/>
        <w:ind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4.接受项目行业管理部门及政府有关部门的指导，接受甲方的监督。未经甲方书面同意，不得将本项目的部分或全部权利与义务转包或分包给第三方，否则甲方有权单方解除本合同并追究乙方的违约责任。</w:t>
      </w:r>
    </w:p>
    <w:p w14:paraId="3F2BCC2F">
      <w:pPr>
        <w:keepNext w:val="0"/>
        <w:keepLines w:val="0"/>
        <w:pageBreakBefore w:val="0"/>
        <w:widowControl w:val="0"/>
        <w:kinsoku/>
        <w:wordWrap w:val="0"/>
        <w:overflowPunct/>
        <w:topLinePunct/>
        <w:autoSpaceDE/>
        <w:autoSpaceDN/>
        <w:bidi w:val="0"/>
        <w:adjustRightInd/>
        <w:snapToGrid/>
        <w:spacing w:line="360" w:lineRule="auto"/>
        <w:ind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5.国家法律、法规所规定由乙方承担的其他责任。</w:t>
      </w:r>
    </w:p>
    <w:p w14:paraId="73D5E15A">
      <w:pPr>
        <w:keepNext w:val="0"/>
        <w:keepLines w:val="0"/>
        <w:pageBreakBefore w:val="0"/>
        <w:widowControl w:val="0"/>
        <w:kinsoku/>
        <w:wordWrap w:val="0"/>
        <w:overflowPunct/>
        <w:topLinePunct/>
        <w:autoSpaceDE/>
        <w:autoSpaceDN/>
        <w:bidi w:val="0"/>
        <w:adjustRightInd/>
        <w:snapToGrid/>
        <w:spacing w:line="360" w:lineRule="auto"/>
        <w:ind w:right="0" w:rightChars="0" w:firstLine="482" w:firstLineChars="200"/>
        <w:jc w:val="left"/>
        <w:textAlignment w:val="auto"/>
        <w:outlineLvl w:val="9"/>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第十条  违约责任</w:t>
      </w:r>
    </w:p>
    <w:p w14:paraId="7D5D5C5E">
      <w:pPr>
        <w:keepNext w:val="0"/>
        <w:keepLines w:val="0"/>
        <w:pageBreakBefore w:val="0"/>
        <w:widowControl w:val="0"/>
        <w:kinsoku/>
        <w:wordWrap w:val="0"/>
        <w:overflowPunct/>
        <w:topLinePunct/>
        <w:autoSpaceDE/>
        <w:autoSpaceDN/>
        <w:bidi w:val="0"/>
        <w:adjustRightInd/>
        <w:snapToGrid/>
        <w:spacing w:line="360" w:lineRule="auto"/>
        <w:ind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甲乙双方必须遵守本合同并执行合同中的各项规定，保证本合同的正常履行。除本合同另有具体约定外，若一方违约，应向对方支付本合同总金额的10%的违约金，违约金不足以弥补对方损失的，守约方有权继续追偿。</w:t>
      </w:r>
    </w:p>
    <w:p w14:paraId="7FF502AF">
      <w:pPr>
        <w:keepNext w:val="0"/>
        <w:keepLines w:val="0"/>
        <w:pageBreakBefore w:val="0"/>
        <w:widowControl w:val="0"/>
        <w:kinsoku/>
        <w:wordWrap w:val="0"/>
        <w:overflowPunct/>
        <w:topLinePunct/>
        <w:autoSpaceDE/>
        <w:autoSpaceDN/>
        <w:bidi w:val="0"/>
        <w:adjustRightInd/>
        <w:snapToGrid/>
        <w:spacing w:line="360" w:lineRule="auto"/>
        <w:ind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0273F96D">
      <w:pPr>
        <w:keepNext w:val="0"/>
        <w:keepLines w:val="0"/>
        <w:pageBreakBefore w:val="0"/>
        <w:widowControl w:val="0"/>
        <w:kinsoku/>
        <w:wordWrap w:val="0"/>
        <w:overflowPunct/>
        <w:topLinePunct/>
        <w:autoSpaceDE/>
        <w:autoSpaceDN/>
        <w:bidi w:val="0"/>
        <w:adjustRightInd/>
        <w:snapToGrid/>
        <w:spacing w:line="360" w:lineRule="auto"/>
        <w:ind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3.服务期内，乙方若未按本合同约定履行相应服务的，甲方有权向第三方采购相同或类似服务，由此产生的费用甲方有权在未付乙方的款项中予以直接扣除。</w:t>
      </w:r>
    </w:p>
    <w:p w14:paraId="1250A491">
      <w:pPr>
        <w:keepNext w:val="0"/>
        <w:keepLines w:val="0"/>
        <w:pageBreakBefore w:val="0"/>
        <w:widowControl w:val="0"/>
        <w:kinsoku/>
        <w:wordWrap w:val="0"/>
        <w:overflowPunct/>
        <w:topLinePunct/>
        <w:autoSpaceDE/>
        <w:autoSpaceDN/>
        <w:bidi w:val="0"/>
        <w:adjustRightInd/>
        <w:snapToGrid/>
        <w:spacing w:line="360" w:lineRule="auto"/>
        <w:ind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甲方下达限期整改通知书要求乙方限期整改，而乙方拒不整改或经两次整改仍达不到甲方要求或本合同约定标准的，甲方有权单方解除本合同，并要求乙方支付本合同总金额10%的违约金，给甲方造成损失的，乙方还应全部赔偿。</w:t>
      </w:r>
    </w:p>
    <w:p w14:paraId="5BF353E7">
      <w:pPr>
        <w:keepNext w:val="0"/>
        <w:keepLines w:val="0"/>
        <w:pageBreakBefore w:val="0"/>
        <w:widowControl w:val="0"/>
        <w:kinsoku/>
        <w:wordWrap w:val="0"/>
        <w:overflowPunct/>
        <w:topLinePunct/>
        <w:autoSpaceDE/>
        <w:autoSpaceDN/>
        <w:bidi w:val="0"/>
        <w:adjustRightInd/>
        <w:snapToGrid/>
        <w:spacing w:line="360" w:lineRule="auto"/>
        <w:ind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5.违约方应赔偿守约方的损失包括但不限于守约方直接损失、对第三方的赔偿责任及因合理维权所产生的诉讼费、仲裁费、律师费、鉴定费、公证费、保全费、执行费等全部费用。乙方违约所产生的违约金，甲方有权在未付款中予以直接扣除。</w:t>
      </w:r>
    </w:p>
    <w:p w14:paraId="0FC748A9">
      <w:pPr>
        <w:keepNext w:val="0"/>
        <w:keepLines w:val="0"/>
        <w:pageBreakBefore w:val="0"/>
        <w:widowControl w:val="0"/>
        <w:kinsoku/>
        <w:wordWrap w:val="0"/>
        <w:overflowPunct/>
        <w:topLinePunct/>
        <w:autoSpaceDE/>
        <w:autoSpaceDN/>
        <w:bidi w:val="0"/>
        <w:adjustRightInd/>
        <w:snapToGrid/>
        <w:spacing w:line="360" w:lineRule="auto"/>
        <w:ind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6.甲方无正当理由逾期付款的，每逾期1日，须按应付而未付金额的万分之三向乙方支付违约金，但累计违约金总额不超过应付而未付金额的10％。若因财政年终决算关账或财政资金未下达等客观原因导致甲方未按合同约定支付相应款项的，不视为甲方违约，甲方不承担任何违约责任。同时，乙方不得以甲方未支付资金为由拒绝或延迟履行合同义务。</w:t>
      </w:r>
    </w:p>
    <w:p w14:paraId="097E3437">
      <w:pPr>
        <w:keepNext w:val="0"/>
        <w:keepLines w:val="0"/>
        <w:pageBreakBefore w:val="0"/>
        <w:widowControl w:val="0"/>
        <w:kinsoku/>
        <w:wordWrap w:val="0"/>
        <w:overflowPunct/>
        <w:topLinePunct/>
        <w:autoSpaceDE/>
        <w:autoSpaceDN/>
        <w:bidi w:val="0"/>
        <w:adjustRightInd/>
        <w:snapToGrid/>
        <w:spacing w:line="360" w:lineRule="auto"/>
        <w:ind w:right="0" w:rightChars="0" w:firstLine="482" w:firstLineChars="200"/>
        <w:jc w:val="left"/>
        <w:textAlignment w:val="auto"/>
        <w:outlineLvl w:val="9"/>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第十一条  不可抗力事件处理</w:t>
      </w:r>
    </w:p>
    <w:p w14:paraId="56AC96A4">
      <w:pPr>
        <w:keepNext w:val="0"/>
        <w:keepLines w:val="0"/>
        <w:pageBreakBefore w:val="0"/>
        <w:widowControl w:val="0"/>
        <w:kinsoku/>
        <w:wordWrap w:val="0"/>
        <w:overflowPunct/>
        <w:topLinePunct/>
        <w:autoSpaceDE/>
        <w:autoSpaceDN/>
        <w:bidi w:val="0"/>
        <w:adjustRightInd/>
        <w:snapToGrid/>
        <w:spacing w:line="360" w:lineRule="auto"/>
        <w:ind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1.在合同有效期内，任何一方因不可抗力事件导致不能履行合同，则合同履行期可延长，其延长期与不可抗力影响期相同。</w:t>
      </w:r>
    </w:p>
    <w:p w14:paraId="31294D12">
      <w:pPr>
        <w:keepNext w:val="0"/>
        <w:keepLines w:val="0"/>
        <w:pageBreakBefore w:val="0"/>
        <w:widowControl w:val="0"/>
        <w:kinsoku/>
        <w:wordWrap w:val="0"/>
        <w:overflowPunct/>
        <w:topLinePunct/>
        <w:autoSpaceDE/>
        <w:autoSpaceDN/>
        <w:bidi w:val="0"/>
        <w:adjustRightInd/>
        <w:snapToGrid/>
        <w:spacing w:line="360" w:lineRule="auto"/>
        <w:ind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2.不可抗力事件发生后，应立即通知对方，并寄送有关权威机构出具的证明。</w:t>
      </w:r>
    </w:p>
    <w:p w14:paraId="38E6C58A">
      <w:pPr>
        <w:keepNext w:val="0"/>
        <w:keepLines w:val="0"/>
        <w:pageBreakBefore w:val="0"/>
        <w:widowControl w:val="0"/>
        <w:kinsoku/>
        <w:wordWrap w:val="0"/>
        <w:overflowPunct/>
        <w:topLinePunct/>
        <w:autoSpaceDE/>
        <w:autoSpaceDN/>
        <w:bidi w:val="0"/>
        <w:adjustRightInd/>
        <w:snapToGrid/>
        <w:spacing w:line="360" w:lineRule="auto"/>
        <w:ind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3.不可抗力事件延续30天以上，双方应通过友好协商，确定是否继续履行合同。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2FBBF7C">
      <w:pPr>
        <w:keepNext w:val="0"/>
        <w:keepLines w:val="0"/>
        <w:pageBreakBefore w:val="0"/>
        <w:widowControl w:val="0"/>
        <w:kinsoku/>
        <w:wordWrap w:val="0"/>
        <w:overflowPunct/>
        <w:topLinePunct/>
        <w:autoSpaceDE/>
        <w:autoSpaceDN/>
        <w:bidi w:val="0"/>
        <w:adjustRightInd/>
        <w:snapToGrid/>
        <w:spacing w:line="360" w:lineRule="auto"/>
        <w:ind w:right="0" w:rightChars="0" w:firstLine="482" w:firstLineChars="200"/>
        <w:jc w:val="left"/>
        <w:textAlignment w:val="auto"/>
        <w:outlineLvl w:val="9"/>
        <w:rPr>
          <w:rFonts w:hint="eastAsia" w:ascii="仿宋" w:hAnsi="仿宋" w:eastAsia="仿宋" w:cs="仿宋"/>
          <w:b/>
          <w:bCs/>
          <w:color w:val="auto"/>
          <w:kern w:val="0"/>
          <w:sz w:val="24"/>
          <w:szCs w:val="24"/>
          <w:highlight w:val="none"/>
          <w:lang w:val="en-US" w:eastAsia="zh-CN" w:bidi="ar-SA"/>
        </w:rPr>
      </w:pPr>
      <w:bookmarkStart w:id="18" w:name="_Toc225670756"/>
      <w:bookmarkStart w:id="19" w:name="_Toc225654649"/>
      <w:bookmarkStart w:id="20" w:name="_Toc241833908"/>
      <w:bookmarkStart w:id="21" w:name="_Toc247334846"/>
      <w:bookmarkStart w:id="22" w:name="_Toc212019599"/>
      <w:bookmarkStart w:id="23" w:name="_Toc237145411"/>
      <w:bookmarkStart w:id="24" w:name="_Toc185395254"/>
      <w:bookmarkStart w:id="25" w:name="_Toc211911353"/>
      <w:bookmarkStart w:id="26" w:name="_Toc239568423"/>
      <w:bookmarkStart w:id="27" w:name="_Toc239233919"/>
      <w:bookmarkStart w:id="28" w:name="_Toc211854454"/>
      <w:bookmarkStart w:id="29" w:name="_Toc232492933"/>
      <w:bookmarkStart w:id="30" w:name="_Toc286993792"/>
      <w:bookmarkStart w:id="31" w:name="_Toc225244857"/>
      <w:bookmarkStart w:id="32" w:name="_Toc238984980"/>
      <w:bookmarkStart w:id="33" w:name="_Toc251768867"/>
      <w:r>
        <w:rPr>
          <w:rFonts w:hint="eastAsia" w:ascii="仿宋" w:hAnsi="仿宋" w:eastAsia="仿宋" w:cs="仿宋"/>
          <w:b/>
          <w:bCs/>
          <w:color w:val="auto"/>
          <w:kern w:val="0"/>
          <w:sz w:val="24"/>
          <w:szCs w:val="24"/>
          <w:highlight w:val="none"/>
          <w:lang w:val="en-US" w:eastAsia="zh-CN" w:bidi="ar-SA"/>
        </w:rPr>
        <w:t>第十二条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6B24898">
      <w:pPr>
        <w:keepNext w:val="0"/>
        <w:keepLines w:val="0"/>
        <w:pageBreakBefore w:val="0"/>
        <w:widowControl w:val="0"/>
        <w:kinsoku/>
        <w:wordWrap w:val="0"/>
        <w:overflowPunct/>
        <w:topLinePunct/>
        <w:autoSpaceDE/>
        <w:autoSpaceDN/>
        <w:bidi w:val="0"/>
        <w:adjustRightInd/>
        <w:snapToGrid/>
        <w:spacing w:line="360" w:lineRule="auto"/>
        <w:ind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1.在执行本合同中发生的或与本合同有关的争端，双方应通过友好协商解决，经协商不能达成协议时，</w:t>
      </w:r>
      <w:r>
        <w:rPr>
          <w:rFonts w:hint="eastAsia" w:ascii="仿宋" w:hAnsi="仿宋" w:eastAsia="仿宋" w:cs="仿宋"/>
          <w:b w:val="0"/>
          <w:bCs w:val="0"/>
          <w:color w:val="auto"/>
          <w:kern w:val="0"/>
          <w:sz w:val="24"/>
          <w:szCs w:val="24"/>
          <w:highlight w:val="none"/>
          <w:lang w:val="en-US" w:eastAsia="zh-CN" w:bidi="ar-SA"/>
        </w:rPr>
        <w:t>双方均同意将该争议向新都区人民法院提起诉讼。</w:t>
      </w:r>
    </w:p>
    <w:p w14:paraId="2457842E">
      <w:pPr>
        <w:keepNext w:val="0"/>
        <w:keepLines w:val="0"/>
        <w:pageBreakBefore w:val="0"/>
        <w:widowControl w:val="0"/>
        <w:kinsoku/>
        <w:wordWrap w:val="0"/>
        <w:overflowPunct/>
        <w:topLinePunct/>
        <w:autoSpaceDE/>
        <w:autoSpaceDN/>
        <w:bidi w:val="0"/>
        <w:adjustRightInd/>
        <w:snapToGrid/>
        <w:spacing w:line="360" w:lineRule="auto"/>
        <w:ind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2.仲裁裁决应为最终决定，并对双方具有约束力。</w:t>
      </w:r>
    </w:p>
    <w:p w14:paraId="281CF4A4">
      <w:pPr>
        <w:keepNext w:val="0"/>
        <w:keepLines w:val="0"/>
        <w:pageBreakBefore w:val="0"/>
        <w:widowControl w:val="0"/>
        <w:kinsoku/>
        <w:wordWrap w:val="0"/>
        <w:overflowPunct/>
        <w:topLinePunct/>
        <w:autoSpaceDE/>
        <w:autoSpaceDN/>
        <w:bidi w:val="0"/>
        <w:adjustRightInd/>
        <w:snapToGrid/>
        <w:spacing w:line="360" w:lineRule="auto"/>
        <w:ind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3.除另有裁决外，仲裁费应由败诉方负担。</w:t>
      </w:r>
    </w:p>
    <w:p w14:paraId="59C9134B">
      <w:pPr>
        <w:keepNext w:val="0"/>
        <w:keepLines w:val="0"/>
        <w:pageBreakBefore w:val="0"/>
        <w:widowControl w:val="0"/>
        <w:kinsoku/>
        <w:wordWrap w:val="0"/>
        <w:overflowPunct/>
        <w:topLinePunct/>
        <w:autoSpaceDE/>
        <w:autoSpaceDN/>
        <w:bidi w:val="0"/>
        <w:adjustRightInd/>
        <w:snapToGrid/>
        <w:spacing w:line="360" w:lineRule="auto"/>
        <w:ind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4.在仲裁期间，除正在进行仲裁部分外，合同其他部分继续执行。</w:t>
      </w:r>
    </w:p>
    <w:p w14:paraId="04BA5650">
      <w:pPr>
        <w:keepNext w:val="0"/>
        <w:keepLines w:val="0"/>
        <w:pageBreakBefore w:val="0"/>
        <w:widowControl w:val="0"/>
        <w:kinsoku/>
        <w:wordWrap w:val="0"/>
        <w:overflowPunct/>
        <w:topLinePunct/>
        <w:autoSpaceDE/>
        <w:autoSpaceDN/>
        <w:bidi w:val="0"/>
        <w:adjustRightInd/>
        <w:snapToGrid/>
        <w:spacing w:line="360" w:lineRule="auto"/>
        <w:ind w:right="0" w:rightChars="0" w:firstLine="482" w:firstLineChars="200"/>
        <w:jc w:val="left"/>
        <w:textAlignment w:val="auto"/>
        <w:outlineLvl w:val="9"/>
        <w:rPr>
          <w:rFonts w:hint="eastAsia" w:ascii="仿宋" w:hAnsi="仿宋" w:eastAsia="仿宋" w:cs="仿宋"/>
          <w:b/>
          <w:bCs/>
          <w:color w:val="auto"/>
          <w:kern w:val="0"/>
          <w:sz w:val="24"/>
          <w:szCs w:val="24"/>
          <w:highlight w:val="none"/>
          <w:lang w:val="en-US" w:eastAsia="zh-CN" w:bidi="ar-SA"/>
        </w:rPr>
      </w:pPr>
      <w:bookmarkStart w:id="34" w:name="_Toc237145412"/>
      <w:bookmarkStart w:id="35" w:name="_Toc238984981"/>
      <w:bookmarkStart w:id="36" w:name="_Toc211854455"/>
      <w:bookmarkStart w:id="37" w:name="_Toc282696231"/>
      <w:bookmarkStart w:id="38" w:name="_Toc241833909"/>
      <w:bookmarkStart w:id="39" w:name="_Toc225654650"/>
      <w:bookmarkStart w:id="40" w:name="_Toc212019600"/>
      <w:bookmarkStart w:id="41" w:name="_Toc239233920"/>
      <w:bookmarkStart w:id="42" w:name="_Toc286993793"/>
      <w:bookmarkStart w:id="43" w:name="_Toc283019219"/>
      <w:bookmarkStart w:id="44" w:name="_Toc251768868"/>
      <w:bookmarkStart w:id="45" w:name="_Toc232492934"/>
      <w:bookmarkStart w:id="46" w:name="_Toc247334847"/>
      <w:bookmarkStart w:id="47" w:name="_Toc225244858"/>
      <w:bookmarkStart w:id="48" w:name="_Toc211911354"/>
      <w:bookmarkStart w:id="49" w:name="_Toc239568424"/>
      <w:bookmarkStart w:id="50" w:name="_Toc185395255"/>
      <w:bookmarkStart w:id="51" w:name="_Toc225670757"/>
      <w:r>
        <w:rPr>
          <w:rFonts w:hint="eastAsia" w:ascii="仿宋" w:hAnsi="仿宋" w:eastAsia="仿宋" w:cs="仿宋"/>
          <w:b/>
          <w:bCs/>
          <w:color w:val="auto"/>
          <w:kern w:val="0"/>
          <w:sz w:val="24"/>
          <w:szCs w:val="24"/>
          <w:highlight w:val="none"/>
          <w:lang w:val="en-US" w:eastAsia="zh-CN" w:bidi="ar-SA"/>
        </w:rPr>
        <w:t>第十三条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
          <w:bCs/>
          <w:color w:val="auto"/>
          <w:kern w:val="0"/>
          <w:sz w:val="24"/>
          <w:szCs w:val="24"/>
          <w:highlight w:val="none"/>
          <w:lang w:val="en-US" w:eastAsia="zh-CN" w:bidi="ar-SA"/>
        </w:rPr>
        <w:t>生效及其他</w:t>
      </w:r>
    </w:p>
    <w:p w14:paraId="11A1B39D">
      <w:pPr>
        <w:keepNext w:val="0"/>
        <w:keepLines w:val="0"/>
        <w:pageBreakBefore w:val="0"/>
        <w:widowControl w:val="0"/>
        <w:kinsoku/>
        <w:wordWrap w:val="0"/>
        <w:overflowPunct/>
        <w:topLinePunct/>
        <w:autoSpaceDE/>
        <w:autoSpaceDN/>
        <w:bidi w:val="0"/>
        <w:adjustRightInd/>
        <w:snapToGrid/>
        <w:spacing w:line="360" w:lineRule="auto"/>
        <w:ind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1.合同经双方法定代表人或授权代表签字并加盖单位公章后生效。</w:t>
      </w:r>
    </w:p>
    <w:p w14:paraId="2440592A">
      <w:pPr>
        <w:keepNext w:val="0"/>
        <w:keepLines w:val="0"/>
        <w:pageBreakBefore w:val="0"/>
        <w:widowControl w:val="0"/>
        <w:kinsoku/>
        <w:wordWrap w:val="0"/>
        <w:overflowPunct/>
        <w:topLinePunct/>
        <w:autoSpaceDE/>
        <w:autoSpaceDN/>
        <w:bidi w:val="0"/>
        <w:adjustRightInd/>
        <w:snapToGrid/>
        <w:spacing w:line="360" w:lineRule="auto"/>
        <w:ind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2.合同执行中涉及采购资金和采购内容修改或补充的，须经监管部门审批，并签书面补充协议报监督管理部门备案，方可作为主合同不可分割的一部分。</w:t>
      </w:r>
    </w:p>
    <w:p w14:paraId="1713F899">
      <w:pPr>
        <w:keepNext w:val="0"/>
        <w:keepLines w:val="0"/>
        <w:pageBreakBefore w:val="0"/>
        <w:widowControl w:val="0"/>
        <w:kinsoku/>
        <w:wordWrap/>
        <w:overflowPunct/>
        <w:topLinePunct w:val="0"/>
        <w:autoSpaceDE/>
        <w:autoSpaceDN/>
        <w:bidi w:val="0"/>
        <w:snapToGrid/>
        <w:spacing w:line="360" w:lineRule="auto"/>
        <w:ind w:leftChars="0" w:right="0" w:rightChars="0" w:firstLine="480" w:firstLineChars="200"/>
        <w:jc w:val="both"/>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3.</w:t>
      </w:r>
      <w:r>
        <w:rPr>
          <w:rFonts w:hint="eastAsia" w:ascii="仿宋" w:hAnsi="仿宋" w:eastAsia="仿宋" w:cs="仿宋"/>
          <w:color w:val="auto"/>
          <w:kern w:val="2"/>
          <w:sz w:val="24"/>
          <w:szCs w:val="24"/>
          <w:highlight w:val="none"/>
          <w:lang w:val="en-US" w:eastAsia="zh-CN" w:bidi="ar-SA"/>
        </w:rPr>
        <w:t>本合同一式陆份，甲方持有叁份、乙方持有贰份、采购代理机构壹份，</w:t>
      </w:r>
      <w:r>
        <w:rPr>
          <w:rFonts w:hint="eastAsia" w:ascii="仿宋" w:hAnsi="仿宋" w:eastAsia="仿宋" w:cs="仿宋"/>
          <w:color w:val="auto"/>
          <w:kern w:val="0"/>
          <w:sz w:val="24"/>
          <w:szCs w:val="24"/>
          <w:highlight w:val="none"/>
          <w:lang w:val="en-US" w:eastAsia="zh-CN" w:bidi="ar-SA"/>
        </w:rPr>
        <w:t>具有同等法律效力。</w:t>
      </w:r>
    </w:p>
    <w:p w14:paraId="10EEEE98">
      <w:pPr>
        <w:keepNext w:val="0"/>
        <w:keepLines w:val="0"/>
        <w:pageBreakBefore w:val="0"/>
        <w:widowControl w:val="0"/>
        <w:kinsoku/>
        <w:wordWrap w:val="0"/>
        <w:overflowPunct/>
        <w:topLinePunct/>
        <w:autoSpaceDE/>
        <w:autoSpaceDN/>
        <w:bidi w:val="0"/>
        <w:adjustRightInd/>
        <w:snapToGrid/>
        <w:spacing w:line="360" w:lineRule="auto"/>
        <w:ind w:right="0" w:rightChars="0" w:firstLine="482" w:firstLineChars="200"/>
        <w:jc w:val="left"/>
        <w:textAlignment w:val="auto"/>
        <w:outlineLvl w:val="9"/>
        <w:rPr>
          <w:rFonts w:hint="eastAsia" w:ascii="仿宋" w:hAnsi="仿宋" w:eastAsia="仿宋" w:cs="仿宋"/>
          <w:b/>
          <w:bCs/>
          <w:color w:val="auto"/>
          <w:kern w:val="0"/>
          <w:sz w:val="24"/>
          <w:szCs w:val="24"/>
          <w:highlight w:val="none"/>
          <w:lang w:val="en-US" w:eastAsia="zh-CN" w:bidi="ar-SA"/>
        </w:rPr>
      </w:pPr>
      <w:r>
        <w:rPr>
          <w:rFonts w:hint="eastAsia" w:ascii="仿宋" w:hAnsi="仿宋" w:eastAsia="仿宋" w:cs="仿宋"/>
          <w:b/>
          <w:bCs/>
          <w:color w:val="auto"/>
          <w:kern w:val="0"/>
          <w:sz w:val="24"/>
          <w:szCs w:val="24"/>
          <w:highlight w:val="none"/>
          <w:lang w:val="en-US" w:eastAsia="zh-CN" w:bidi="ar-SA"/>
        </w:rPr>
        <w:t>第十四</w:t>
      </w:r>
      <w:bookmarkStart w:id="52" w:name="_GoBack"/>
      <w:bookmarkEnd w:id="52"/>
      <w:r>
        <w:rPr>
          <w:rFonts w:hint="eastAsia" w:ascii="仿宋" w:hAnsi="仿宋" w:eastAsia="仿宋" w:cs="仿宋"/>
          <w:b/>
          <w:bCs/>
          <w:color w:val="auto"/>
          <w:kern w:val="0"/>
          <w:sz w:val="24"/>
          <w:szCs w:val="24"/>
          <w:highlight w:val="none"/>
          <w:lang w:val="en-US" w:eastAsia="zh-CN" w:bidi="ar-SA"/>
        </w:rPr>
        <w:t xml:space="preserve">条  附件  </w:t>
      </w:r>
    </w:p>
    <w:p w14:paraId="668C389F">
      <w:pPr>
        <w:keepNext w:val="0"/>
        <w:keepLines w:val="0"/>
        <w:pageBreakBefore w:val="0"/>
        <w:widowControl w:val="0"/>
        <w:kinsoku/>
        <w:wordWrap/>
        <w:overflowPunct/>
        <w:topLinePunct/>
        <w:autoSpaceDE/>
        <w:autoSpaceDN/>
        <w:bidi w:val="0"/>
        <w:snapToGrid/>
        <w:spacing w:line="360" w:lineRule="auto"/>
        <w:ind w:firstLine="480" w:firstLineChars="200"/>
        <w:jc w:val="both"/>
        <w:textAlignment w:val="auto"/>
        <w:outlineLvl w:val="9"/>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成交通知书</w:t>
      </w:r>
    </w:p>
    <w:p w14:paraId="05C69B32">
      <w:pPr>
        <w:keepNext w:val="0"/>
        <w:keepLines w:val="0"/>
        <w:pageBreakBefore w:val="0"/>
        <w:widowControl w:val="0"/>
        <w:kinsoku/>
        <w:wordWrap/>
        <w:overflowPunct/>
        <w:topLinePunct/>
        <w:autoSpaceDE/>
        <w:autoSpaceDN/>
        <w:bidi w:val="0"/>
        <w:snapToGrid/>
        <w:spacing w:line="360" w:lineRule="auto"/>
        <w:ind w:firstLine="480" w:firstLineChars="200"/>
        <w:jc w:val="both"/>
        <w:textAlignment w:val="auto"/>
        <w:outlineLvl w:val="9"/>
        <w:rPr>
          <w:rFonts w:hint="eastAsia" w:ascii="仿宋" w:hAnsi="仿宋" w:eastAsia="仿宋" w:cs="仿宋"/>
          <w:color w:val="auto"/>
          <w:kern w:val="2"/>
          <w:sz w:val="24"/>
          <w:szCs w:val="24"/>
          <w:highlight w:val="none"/>
          <w:lang w:val="en-US" w:eastAsia="zh-CN" w:bidi="ar-SA"/>
        </w:rPr>
      </w:pPr>
    </w:p>
    <w:p w14:paraId="3146E11D">
      <w:pPr>
        <w:keepNext w:val="0"/>
        <w:keepLines w:val="0"/>
        <w:pageBreakBefore w:val="0"/>
        <w:widowControl w:val="0"/>
        <w:kinsoku/>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甲方：（盖章）</w:t>
      </w:r>
      <w:r>
        <w:rPr>
          <w:rFonts w:hint="eastAsia" w:ascii="仿宋" w:hAnsi="仿宋" w:eastAsia="仿宋" w:cs="仿宋"/>
          <w:color w:val="auto"/>
          <w:kern w:val="0"/>
          <w:sz w:val="24"/>
          <w:szCs w:val="24"/>
          <w:highlight w:val="none"/>
          <w:lang w:val="en-US" w:eastAsia="zh-CN" w:bidi="ar-SA"/>
        </w:rPr>
        <w:tab/>
      </w:r>
      <w:r>
        <w:rPr>
          <w:rFonts w:hint="eastAsia" w:ascii="仿宋" w:hAnsi="仿宋" w:eastAsia="仿宋" w:cs="仿宋"/>
          <w:color w:val="auto"/>
          <w:kern w:val="0"/>
          <w:sz w:val="24"/>
          <w:szCs w:val="24"/>
          <w:highlight w:val="none"/>
          <w:lang w:val="en-US" w:eastAsia="zh-CN" w:bidi="ar-SA"/>
        </w:rPr>
        <w:tab/>
      </w:r>
      <w:r>
        <w:rPr>
          <w:rFonts w:hint="eastAsia" w:ascii="仿宋" w:hAnsi="仿宋" w:eastAsia="仿宋" w:cs="仿宋"/>
          <w:color w:val="auto"/>
          <w:kern w:val="0"/>
          <w:sz w:val="24"/>
          <w:szCs w:val="24"/>
          <w:highlight w:val="none"/>
          <w:lang w:val="en-US" w:eastAsia="zh-CN" w:bidi="ar-SA"/>
        </w:rPr>
        <w:tab/>
      </w:r>
      <w:r>
        <w:rPr>
          <w:rFonts w:hint="eastAsia" w:ascii="仿宋" w:hAnsi="仿宋" w:eastAsia="仿宋" w:cs="仿宋"/>
          <w:color w:val="auto"/>
          <w:kern w:val="0"/>
          <w:sz w:val="24"/>
          <w:szCs w:val="24"/>
          <w:highlight w:val="none"/>
          <w:lang w:val="en-US" w:eastAsia="zh-CN" w:bidi="ar-SA"/>
        </w:rPr>
        <w:tab/>
      </w:r>
      <w:r>
        <w:rPr>
          <w:rFonts w:hint="eastAsia" w:ascii="仿宋" w:hAnsi="仿宋" w:eastAsia="仿宋" w:cs="仿宋"/>
          <w:color w:val="auto"/>
          <w:kern w:val="0"/>
          <w:sz w:val="24"/>
          <w:szCs w:val="24"/>
          <w:highlight w:val="none"/>
          <w:lang w:val="en-US" w:eastAsia="zh-CN" w:bidi="ar-SA"/>
        </w:rPr>
        <w:t xml:space="preserve">    乙方：（盖章）</w:t>
      </w:r>
    </w:p>
    <w:p w14:paraId="4B71A944">
      <w:pPr>
        <w:keepNext w:val="0"/>
        <w:keepLines w:val="0"/>
        <w:pageBreakBefore w:val="0"/>
        <w:widowControl w:val="0"/>
        <w:kinsoku/>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法定代表人（授权代表）：       法定代表人（授权代表）：</w:t>
      </w:r>
    </w:p>
    <w:p w14:paraId="552E2259">
      <w:pPr>
        <w:keepNext w:val="0"/>
        <w:keepLines w:val="0"/>
        <w:pageBreakBefore w:val="0"/>
        <w:widowControl w:val="0"/>
        <w:kinsoku/>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 xml:space="preserve">地址：                     </w:t>
      </w:r>
      <w:r>
        <w:rPr>
          <w:rFonts w:hint="eastAsia" w:ascii="仿宋" w:hAnsi="仿宋" w:eastAsia="仿宋" w:cs="仿宋"/>
          <w:color w:val="auto"/>
          <w:kern w:val="0"/>
          <w:sz w:val="24"/>
          <w:szCs w:val="24"/>
          <w:highlight w:val="none"/>
          <w:lang w:val="en-US" w:eastAsia="zh-CN" w:bidi="ar-SA"/>
        </w:rPr>
        <w:tab/>
      </w:r>
      <w:r>
        <w:rPr>
          <w:rFonts w:hint="eastAsia" w:ascii="仿宋" w:hAnsi="仿宋" w:eastAsia="仿宋" w:cs="仿宋"/>
          <w:color w:val="auto"/>
          <w:kern w:val="0"/>
          <w:sz w:val="24"/>
          <w:szCs w:val="24"/>
          <w:highlight w:val="none"/>
          <w:lang w:val="en-US" w:eastAsia="zh-CN" w:bidi="ar-SA"/>
        </w:rPr>
        <w:tab/>
      </w:r>
      <w:r>
        <w:rPr>
          <w:rFonts w:hint="eastAsia" w:ascii="仿宋" w:hAnsi="仿宋" w:eastAsia="仿宋" w:cs="仿宋"/>
          <w:color w:val="auto"/>
          <w:kern w:val="0"/>
          <w:sz w:val="24"/>
          <w:szCs w:val="24"/>
          <w:highlight w:val="none"/>
          <w:lang w:val="en-US" w:eastAsia="zh-CN" w:bidi="ar-SA"/>
        </w:rPr>
        <w:t>地址：</w:t>
      </w:r>
    </w:p>
    <w:p w14:paraId="0FE75128">
      <w:pPr>
        <w:keepNext w:val="0"/>
        <w:keepLines w:val="0"/>
        <w:pageBreakBefore w:val="0"/>
        <w:widowControl w:val="0"/>
        <w:kinsoku/>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 xml:space="preserve">开户银行：                   </w:t>
      </w:r>
      <w:r>
        <w:rPr>
          <w:rFonts w:hint="eastAsia" w:ascii="仿宋" w:hAnsi="仿宋" w:eastAsia="仿宋" w:cs="仿宋"/>
          <w:color w:val="auto"/>
          <w:kern w:val="0"/>
          <w:sz w:val="24"/>
          <w:szCs w:val="24"/>
          <w:highlight w:val="none"/>
          <w:lang w:val="en-US" w:eastAsia="zh-CN" w:bidi="ar-SA"/>
        </w:rPr>
        <w:tab/>
      </w:r>
      <w:r>
        <w:rPr>
          <w:rFonts w:hint="eastAsia" w:ascii="仿宋" w:hAnsi="仿宋" w:eastAsia="仿宋" w:cs="仿宋"/>
          <w:color w:val="auto"/>
          <w:kern w:val="0"/>
          <w:sz w:val="24"/>
          <w:szCs w:val="24"/>
          <w:highlight w:val="none"/>
          <w:lang w:val="en-US" w:eastAsia="zh-CN" w:bidi="ar-SA"/>
        </w:rPr>
        <w:t>开户银行：</w:t>
      </w:r>
    </w:p>
    <w:p w14:paraId="30E6E604">
      <w:pPr>
        <w:keepNext w:val="0"/>
        <w:keepLines w:val="0"/>
        <w:pageBreakBefore w:val="0"/>
        <w:widowControl w:val="0"/>
        <w:kinsoku/>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 xml:space="preserve">账号：                    </w:t>
      </w:r>
      <w:r>
        <w:rPr>
          <w:rFonts w:hint="eastAsia" w:ascii="仿宋" w:hAnsi="仿宋" w:eastAsia="仿宋" w:cs="仿宋"/>
          <w:color w:val="auto"/>
          <w:kern w:val="0"/>
          <w:sz w:val="24"/>
          <w:szCs w:val="24"/>
          <w:highlight w:val="none"/>
          <w:lang w:val="en-US" w:eastAsia="zh-CN" w:bidi="ar-SA"/>
        </w:rPr>
        <w:tab/>
      </w:r>
      <w:r>
        <w:rPr>
          <w:rFonts w:hint="eastAsia" w:ascii="仿宋" w:hAnsi="仿宋" w:eastAsia="仿宋" w:cs="仿宋"/>
          <w:color w:val="auto"/>
          <w:kern w:val="0"/>
          <w:sz w:val="24"/>
          <w:szCs w:val="24"/>
          <w:highlight w:val="none"/>
          <w:lang w:val="en-US" w:eastAsia="zh-CN" w:bidi="ar-SA"/>
        </w:rPr>
        <w:tab/>
      </w:r>
      <w:r>
        <w:rPr>
          <w:rFonts w:hint="eastAsia" w:ascii="仿宋" w:hAnsi="仿宋" w:eastAsia="仿宋" w:cs="仿宋"/>
          <w:color w:val="auto"/>
          <w:kern w:val="0"/>
          <w:sz w:val="24"/>
          <w:szCs w:val="24"/>
          <w:highlight w:val="none"/>
          <w:lang w:val="en-US" w:eastAsia="zh-CN" w:bidi="ar-SA"/>
        </w:rPr>
        <w:t>账号：</w:t>
      </w:r>
    </w:p>
    <w:p w14:paraId="37C820B8">
      <w:pPr>
        <w:keepNext w:val="0"/>
        <w:keepLines w:val="0"/>
        <w:pageBreakBefore w:val="0"/>
        <w:widowControl w:val="0"/>
        <w:kinsoku/>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 xml:space="preserve">电话：                     </w:t>
      </w:r>
      <w:r>
        <w:rPr>
          <w:rFonts w:hint="eastAsia" w:ascii="仿宋" w:hAnsi="仿宋" w:eastAsia="仿宋" w:cs="仿宋"/>
          <w:color w:val="auto"/>
          <w:kern w:val="0"/>
          <w:sz w:val="24"/>
          <w:szCs w:val="24"/>
          <w:highlight w:val="none"/>
          <w:lang w:val="en-US" w:eastAsia="zh-CN" w:bidi="ar-SA"/>
        </w:rPr>
        <w:tab/>
      </w:r>
      <w:r>
        <w:rPr>
          <w:rFonts w:hint="eastAsia" w:ascii="仿宋" w:hAnsi="仿宋" w:eastAsia="仿宋" w:cs="仿宋"/>
          <w:color w:val="auto"/>
          <w:kern w:val="0"/>
          <w:sz w:val="24"/>
          <w:szCs w:val="24"/>
          <w:highlight w:val="none"/>
          <w:lang w:val="en-US" w:eastAsia="zh-CN" w:bidi="ar-SA"/>
        </w:rPr>
        <w:tab/>
      </w:r>
      <w:r>
        <w:rPr>
          <w:rFonts w:hint="eastAsia" w:ascii="仿宋" w:hAnsi="仿宋" w:eastAsia="仿宋" w:cs="仿宋"/>
          <w:color w:val="auto"/>
          <w:kern w:val="0"/>
          <w:sz w:val="24"/>
          <w:szCs w:val="24"/>
          <w:highlight w:val="none"/>
          <w:lang w:val="en-US" w:eastAsia="zh-CN" w:bidi="ar-SA"/>
        </w:rPr>
        <w:t>电话：</w:t>
      </w:r>
    </w:p>
    <w:p w14:paraId="713E543F">
      <w:pPr>
        <w:keepNext w:val="0"/>
        <w:keepLines w:val="0"/>
        <w:pageBreakBefore w:val="0"/>
        <w:widowControl w:val="0"/>
        <w:kinsoku/>
        <w:overflowPunct/>
        <w:topLinePunct w:val="0"/>
        <w:autoSpaceDE/>
        <w:autoSpaceDN/>
        <w:bidi w:val="0"/>
        <w:adjustRightInd/>
        <w:snapToGrid/>
        <w:spacing w:line="360" w:lineRule="auto"/>
        <w:ind w:left="0" w:leftChars="0" w:right="0" w:rightChars="0" w:firstLine="480" w:firstLineChars="200"/>
        <w:jc w:val="left"/>
        <w:textAlignment w:val="auto"/>
        <w:outlineLvl w:val="9"/>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 xml:space="preserve">传真：                      </w:t>
      </w:r>
      <w:r>
        <w:rPr>
          <w:rFonts w:hint="eastAsia" w:ascii="仿宋" w:hAnsi="仿宋" w:eastAsia="仿宋" w:cs="仿宋"/>
          <w:color w:val="auto"/>
          <w:kern w:val="0"/>
          <w:sz w:val="24"/>
          <w:szCs w:val="24"/>
          <w:highlight w:val="none"/>
          <w:lang w:val="en-US" w:eastAsia="zh-CN" w:bidi="ar-SA"/>
        </w:rPr>
        <w:tab/>
      </w:r>
      <w:r>
        <w:rPr>
          <w:rFonts w:hint="eastAsia" w:ascii="仿宋" w:hAnsi="仿宋" w:eastAsia="仿宋" w:cs="仿宋"/>
          <w:color w:val="auto"/>
          <w:kern w:val="0"/>
          <w:sz w:val="24"/>
          <w:szCs w:val="24"/>
          <w:highlight w:val="none"/>
          <w:lang w:val="en-US" w:eastAsia="zh-CN" w:bidi="ar-SA"/>
        </w:rPr>
        <w:t>传真：</w:t>
      </w:r>
    </w:p>
    <w:p w14:paraId="3D721D5F">
      <w:pPr>
        <w:keepNext w:val="0"/>
        <w:keepLines w:val="0"/>
        <w:pageBreakBefore w:val="0"/>
        <w:kinsoku/>
        <w:overflowPunct/>
        <w:bidi w:val="0"/>
        <w:snapToGrid/>
        <w:spacing w:line="360" w:lineRule="auto"/>
        <w:ind w:firstLine="480" w:firstLineChars="200"/>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rPr>
        <w:t>签约日期：</w:t>
      </w:r>
      <w:r>
        <w:rPr>
          <w:rFonts w:hint="eastAsia" w:ascii="仿宋" w:hAnsi="仿宋" w:eastAsia="仿宋" w:cs="仿宋"/>
          <w:color w:val="auto"/>
          <w:sz w:val="24"/>
          <w:szCs w:val="24"/>
          <w:highlight w:val="none"/>
          <w:lang w:val="en-US" w:eastAsia="zh-CN"/>
        </w:rPr>
        <w:t>XX</w:t>
      </w:r>
      <w:r>
        <w:rPr>
          <w:rFonts w:hint="eastAsia" w:ascii="仿宋" w:hAnsi="仿宋" w:eastAsia="仿宋" w:cs="仿宋"/>
          <w:color w:val="auto"/>
          <w:sz w:val="24"/>
          <w:szCs w:val="24"/>
          <w:highlight w:val="none"/>
        </w:rPr>
        <w:t>年XX月XX日</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签约日期：</w:t>
      </w:r>
      <w:r>
        <w:rPr>
          <w:rFonts w:hint="eastAsia" w:ascii="仿宋" w:hAnsi="仿宋" w:eastAsia="仿宋" w:cs="仿宋"/>
          <w:color w:val="auto"/>
          <w:sz w:val="24"/>
          <w:szCs w:val="24"/>
          <w:highlight w:val="none"/>
          <w:lang w:val="en-US" w:eastAsia="zh-CN"/>
        </w:rPr>
        <w:t>XX</w:t>
      </w:r>
      <w:r>
        <w:rPr>
          <w:rFonts w:hint="eastAsia" w:ascii="仿宋" w:hAnsi="仿宋" w:eastAsia="仿宋" w:cs="仿宋"/>
          <w:color w:val="auto"/>
          <w:sz w:val="24"/>
          <w:szCs w:val="24"/>
          <w:highlight w:val="none"/>
        </w:rPr>
        <w:t>年XX月XX日</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
    <w:altName w:val="仿宋"/>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281314"/>
    <w:multiLevelType w:val="multilevel"/>
    <w:tmpl w:val="34281314"/>
    <w:lvl w:ilvl="0" w:tentative="0">
      <w:start w:val="1"/>
      <w:numFmt w:val="decimal"/>
      <w:lvlText w:val="%1"/>
      <w:lvlJc w:val="left"/>
      <w:pPr>
        <w:ind w:left="432" w:hanging="432"/>
      </w:pPr>
    </w:lvl>
    <w:lvl w:ilvl="1" w:tentative="0">
      <w:start w:val="1"/>
      <w:numFmt w:val="decimal"/>
      <w:lvlText w:val="%1.%2"/>
      <w:lvlJc w:val="left"/>
      <w:pPr>
        <w:ind w:left="576" w:hanging="576"/>
      </w:pPr>
    </w:lvl>
    <w:lvl w:ilvl="2" w:tentative="0">
      <w:start w:val="1"/>
      <w:numFmt w:val="decimal"/>
      <w:pStyle w:val="2"/>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201B5B"/>
    <w:rsid w:val="2B2C51D2"/>
    <w:rsid w:val="2F2E3AE1"/>
    <w:rsid w:val="3AA30586"/>
    <w:rsid w:val="416702DC"/>
    <w:rsid w:val="4B201B5B"/>
    <w:rsid w:val="5DEB4E51"/>
    <w:rsid w:val="63A42106"/>
    <w:rsid w:val="73037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 w:cs="Times New Roman"/>
      <w:kern w:val="2"/>
      <w:sz w:val="32"/>
      <w:szCs w:val="24"/>
      <w:lang w:val="en-US" w:eastAsia="zh-CN" w:bidi="ar-SA"/>
    </w:rPr>
  </w:style>
  <w:style w:type="paragraph" w:styleId="2">
    <w:name w:val="heading 3"/>
    <w:basedOn w:val="1"/>
    <w:next w:val="1"/>
    <w:qFormat/>
    <w:uiPriority w:val="0"/>
    <w:pPr>
      <w:keepNext/>
      <w:keepLines/>
      <w:numPr>
        <w:ilvl w:val="2"/>
        <w:numId w:val="1"/>
      </w:numPr>
      <w:spacing w:before="260" w:after="260" w:line="416" w:lineRule="auto"/>
      <w:outlineLvl w:val="2"/>
    </w:pPr>
    <w:rPr>
      <w:b/>
      <w:bCs/>
      <w:sz w:val="32"/>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qFormat/>
    <w:uiPriority w:val="0"/>
    <w:rPr>
      <w:rFonts w:eastAsia="宋体"/>
      <w:sz w:val="18"/>
    </w:rPr>
  </w:style>
  <w:style w:type="table" w:styleId="6">
    <w:name w:val="Table Grid"/>
    <w:basedOn w:val="5"/>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5069</Words>
  <Characters>5254</Characters>
  <Lines>0</Lines>
  <Paragraphs>0</Paragraphs>
  <TotalTime>1</TotalTime>
  <ScaleCrop>false</ScaleCrop>
  <LinksUpToDate>false</LinksUpToDate>
  <CharactersWithSpaces>5433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2026-02-03T02:22:00Z</dcterms:created>
  <dc:creator>Administrator</dc:creator>
  <cp:lastModifiedBy>Administrator</cp:lastModifiedBy>
  <dcterms:modified xsi:type="dcterms:W3CDTF">2026-02-13T05:34:50Z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1629EF87D09D4F9494B42050F06B1210_13</vt:lpwstr>
  </property>
  <property fmtid="{D5CDD505-2E9C-101B-9397-08002B2CF9AE}" pid="4" name="KSOTemplateDocerSaveRecord">
    <vt:lpwstr>eyJoZGlkIjoiODNmNDA3MmU1NTY1NGM2NWU0ZmUzZDA5M2ZjNTNjNDYiLCJ1c2VySWQiOiI3MDM2MTk0NTQifQ==</vt:lpwstr>
  </property>
</Properties>
</file>