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版本号：N510114202600003520260202001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2026-2028年特种设备安全监督抽查和评估服务采购项目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N5101142026000035</w:t>
      </w:r>
    </w:p>
    <w:p>
      <w:pPr>
        <w:pStyle w:val="null3"/>
        <w:jc w:val="center"/>
        <w:outlineLvl w:val="2"/>
      </w:pPr>
      <w:r>
        <w:rPr>
          <w:rFonts w:ascii="仿宋_GB2312" w:hAnsi="仿宋_GB2312" w:cs="仿宋_GB2312" w:eastAsia="仿宋_GB2312"/>
          <w:sz w:val="28"/>
          <w:b/>
        </w:rPr>
        <w:t>成都市新都区市场监督管理局</w:t>
      </w:r>
    </w:p>
    <w:p>
      <w:pPr>
        <w:pStyle w:val="null3"/>
        <w:jc w:val="center"/>
        <w:outlineLvl w:val="2"/>
      </w:pPr>
      <w:r>
        <w:rPr>
          <w:rFonts w:ascii="仿宋_GB2312" w:hAnsi="仿宋_GB2312" w:cs="仿宋_GB2312" w:eastAsia="仿宋_GB2312"/>
          <w:sz w:val="28"/>
          <w:b/>
        </w:rPr>
        <w:t>四川德鑫建设工程咨询有限公司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四川德鑫建设工程咨询有限公司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成都市新都区市场监督管理局</w:t>
      </w:r>
      <w:r>
        <w:rPr>
          <w:rFonts w:ascii="仿宋_GB2312" w:hAnsi="仿宋_GB2312" w:cs="仿宋_GB2312" w:eastAsia="仿宋_GB2312"/>
        </w:rPr>
        <w:t xml:space="preserve"> 委托，拟对 </w:t>
      </w:r>
      <w:r>
        <w:rPr>
          <w:rFonts w:ascii="仿宋_GB2312" w:hAnsi="仿宋_GB2312" w:cs="仿宋_GB2312" w:eastAsia="仿宋_GB2312"/>
        </w:rPr>
        <w:t>2026-2028年特种设备安全监督抽查和评估服务采购项目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成都市新都区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N5101142026000035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2026-2028年特种设备安全监督抽查和评估服务采购项目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1"/>
        </w:rPr>
        <w:t>新都区特种设备截至</w:t>
      </w:r>
      <w:r>
        <w:rPr>
          <w:rFonts w:ascii="仿宋_GB2312" w:hAnsi="仿宋_GB2312" w:cs="仿宋_GB2312" w:eastAsia="仿宋_GB2312"/>
          <w:sz w:val="21"/>
        </w:rPr>
        <w:t>2026年1月1日登记在用的</w:t>
      </w:r>
      <w:r>
        <w:rPr>
          <w:rFonts w:ascii="仿宋_GB2312" w:hAnsi="仿宋_GB2312" w:cs="仿宋_GB2312" w:eastAsia="仿宋_GB2312"/>
          <w:sz w:val="21"/>
        </w:rPr>
        <w:t>约</w:t>
      </w:r>
      <w:r>
        <w:rPr>
          <w:rFonts w:ascii="仿宋_GB2312" w:hAnsi="仿宋_GB2312" w:cs="仿宋_GB2312" w:eastAsia="仿宋_GB2312"/>
          <w:sz w:val="21"/>
        </w:rPr>
        <w:t>27610台（套），还有17家气瓶充装单位，65家特种设备生产企业，8家检验检测机构，同时有178家电梯维保单位在新都开展电梯维保业务，70余家检验检测机构在新都开展特种设备检验检测业务。近年来发生多起特种设备安全事故或事件，并且随着使用年限增加，老旧电梯增多，广大市民对电梯安全投诉逐年增加，2025年有关电梯</w:t>
      </w:r>
      <w:r>
        <w:rPr>
          <w:rFonts w:ascii="仿宋_GB2312" w:hAnsi="仿宋_GB2312" w:cs="仿宋_GB2312" w:eastAsia="仿宋_GB2312"/>
          <w:sz w:val="21"/>
        </w:rPr>
        <w:t>安全问题</w:t>
      </w:r>
      <w:r>
        <w:rPr>
          <w:rFonts w:ascii="仿宋_GB2312" w:hAnsi="仿宋_GB2312" w:cs="仿宋_GB2312" w:eastAsia="仿宋_GB2312"/>
          <w:sz w:val="21"/>
        </w:rPr>
        <w:t>投诉已达</w:t>
      </w:r>
      <w:r>
        <w:rPr>
          <w:rFonts w:ascii="仿宋_GB2312" w:hAnsi="仿宋_GB2312" w:cs="仿宋_GB2312" w:eastAsia="仿宋_GB2312"/>
          <w:sz w:val="21"/>
        </w:rPr>
        <w:t>1200余起。为加强对特种设备安全监管，防止和减少特种设备事故的发生，保障人民生命和财产的安全，根据《中华人民共和国特种设备安全法》《四川省人民政府办公厅关于进一步加强特种设备安全工作的通知》等相关法规文件要求，成都市新都区市场监督管理局拟采用竞争性磋商的方式选择一家供应商提供2026-2028年特种设备安全监督抽查和评估服务，服务期限三年，合同一年一签。本次政府采购项目共一个包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有效的《中华人民共和国特种设备检验检测机构核准证》（综合检验机构甲类）或《中华人民共和国特种设备检验检测机构核准证》（甲类检验机构）（描述：供应商提供有效的《中华人民共和国特种设备检验检测机构核准证》（综合检验机构甲类）或《中华人民共和国特种设备检验检测机构核准证》（甲类检验机构）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根据《四川省财政厅关于推进四川省政府采购供应商信用融资工作的通知》（川财采〔2018〕123号）、成都市财政局 中国人民银行成都分行营业管理部关于印发《成都市中小企业政府采购信用融资暂行办法》和《成都市级支持中小企业政府采购信用融资实施方案》的通知（成财采〔2019〕17号）、《成都市新都区财政局关于公布新都区开展政府采购信用融资业务金融机构名单的通知》（新都财采〔2021〕160号）文件要求，为助力解决政府采购中标、成交供应商资金不足、融资难、融资贵的困难，促进供应商依法诚信参加政府采购活动，有融资需求的供应商可根据四川政府采购网公示的银行及其“政采贷”产品，自行选择符合自身情况的“政采贷”银行及其产品，凭中标（成交）通知书向银行提出贷款意向申请，并按照相关规定要求和贷款流程申请信用融资贷款。</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成都市新都区市场监督管理局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成都市新都区东环路五巷7号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028-83961109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四川德鑫建设工程咨询有限公司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成都市新都区新都街道兴乐北路88号1幢16层2号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王先生、吴女士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028-83977836、028-83995998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采购包1：545,000.00元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政府采购代理机构管理暂行办法》（财库〔2018〕2号）的规定，本项目代理服务费由成交供应商向代理机构支付，约定收费金额26,080.00元。成交供应商在采购结果公告发布3个工作日内办理代理服务费，可使用银行转账、电汇或采购代理机构认可的方式支付。本项目代理服务费交至以下指定账户： 收款单位：四川德鑫建设工程咨询有限公司 开户行：中国银行新都支行 银行账号：130 662 649 813 财务咨询电话：028-61626823</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成都市新都区市场监督管理局</w:t>
      </w:r>
      <w:r>
        <w:rPr>
          <w:rFonts w:ascii="仿宋_GB2312" w:hAnsi="仿宋_GB2312" w:cs="仿宋_GB2312" w:eastAsia="仿宋_GB2312"/>
        </w:rPr>
        <w:t xml:space="preserve"> 和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成都市新都区市场监督管理局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四川德鑫建设工程咨询有限公司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成交供应商履约完成后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本项目特种设备安全监督抽查/评估的服务量不定，验收金额暂不确定，由于一体化平台格式问题，本项目验收金额以实际发生金额为准。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按磋商文件的服务内容及要求、成交供应商的响应文件及承诺以及合同约定标准进行验收。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成都市新都区市场监督管理局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联系人：庞女士</w:t>
      </w:r>
    </w:p>
    <w:p>
      <w:pPr>
        <w:pStyle w:val="null3"/>
        <w:jc w:val="left"/>
      </w:pPr>
      <w:r>
        <w:rPr>
          <w:rFonts w:ascii="仿宋_GB2312" w:hAnsi="仿宋_GB2312" w:cs="仿宋_GB2312" w:eastAsia="仿宋_GB2312"/>
        </w:rPr>
        <w:t>联系电话：028-83977895</w:t>
      </w:r>
    </w:p>
    <w:p>
      <w:pPr>
        <w:pStyle w:val="null3"/>
        <w:jc w:val="left"/>
      </w:pPr>
      <w:r>
        <w:rPr>
          <w:rFonts w:ascii="仿宋_GB2312" w:hAnsi="仿宋_GB2312" w:cs="仿宋_GB2312" w:eastAsia="仿宋_GB2312"/>
        </w:rPr>
        <w:t>地址：成都市新都区新都街道兴乐北路88号1幢16层2号</w:t>
      </w:r>
    </w:p>
    <w:p>
      <w:pPr>
        <w:pStyle w:val="null3"/>
        <w:jc w:val="left"/>
      </w:pPr>
      <w:r>
        <w:rPr>
          <w:rFonts w:ascii="仿宋_GB2312" w:hAnsi="仿宋_GB2312" w:cs="仿宋_GB2312" w:eastAsia="仿宋_GB2312"/>
        </w:rPr>
        <w:t>邮编：610500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联系人：孙老师</w:t>
      </w:r>
    </w:p>
    <w:p>
      <w:pPr>
        <w:pStyle w:val="null3"/>
        <w:jc w:val="left"/>
      </w:pPr>
      <w:r>
        <w:rPr>
          <w:rFonts w:ascii="仿宋_GB2312" w:hAnsi="仿宋_GB2312" w:cs="仿宋_GB2312" w:eastAsia="仿宋_GB2312"/>
        </w:rPr>
        <w:t>联系电话：028-83961109</w:t>
      </w:r>
    </w:p>
    <w:p>
      <w:pPr>
        <w:pStyle w:val="null3"/>
        <w:jc w:val="left"/>
      </w:pPr>
      <w:r>
        <w:rPr>
          <w:rFonts w:ascii="仿宋_GB2312" w:hAnsi="仿宋_GB2312" w:cs="仿宋_GB2312" w:eastAsia="仿宋_GB2312"/>
        </w:rPr>
        <w:t>地址：成都市新都区东环路五巷7号</w:t>
      </w:r>
    </w:p>
    <w:p>
      <w:pPr>
        <w:pStyle w:val="null3"/>
        <w:jc w:val="left"/>
      </w:pPr>
      <w:r>
        <w:rPr>
          <w:rFonts w:ascii="仿宋_GB2312" w:hAnsi="仿宋_GB2312" w:cs="仿宋_GB2312" w:eastAsia="仿宋_GB2312"/>
        </w:rPr>
        <w:t>邮编：610500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545,000.00</w:t>
      </w:r>
    </w:p>
    <w:p>
      <w:pPr>
        <w:pStyle w:val="null3"/>
        <w:jc w:val="left"/>
      </w:pPr>
      <w:r>
        <w:rPr>
          <w:rFonts w:ascii="仿宋_GB2312" w:hAnsi="仿宋_GB2312" w:cs="仿宋_GB2312" w:eastAsia="仿宋_GB2312"/>
        </w:rPr>
        <w:t>采购包最高限价（元）: 545,000.00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2026-2028年特种设备安全监督抽查和评估服务采购项目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545,000.00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2026-2028年特种设备安全监督抽查和评估服务采购项目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折扣</w:t>
            </w:r>
          </w:p>
        </w:tc>
        <w:tc>
          <w:tcPr>
            <w:tcW w:type="dxa" w:w="1466"/>
          </w:tcPr>
          <w:p>
            <w:pPr>
              <w:pStyle w:val="null3"/>
              <w:jc w:val="left"/>
            </w:pPr>
            <w:r>
              <w:rPr>
                <w:rFonts w:ascii="仿宋_GB2312" w:hAnsi="仿宋_GB2312" w:cs="仿宋_GB2312" w:eastAsia="仿宋_GB2312"/>
              </w:rPr>
              <w:t>本项目要求供应商在服务内容单价最高限价基础上填报统一折扣（单价最高限价详见3.2技术要求），折扣=（结算价格÷单价最高限价）×100%，供应商报价折扣不得超过100%，否则作无效响应文件处理。如供应商报价折扣为95%，即所有服务内容单价最终结算价格均按单价最高限价×95%进行结算。</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标的名称：2026-2028年特种设备安全监督抽查和评估服务采购项目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2026-2028年特种设备安全监督抽查和评估服务采购项目</w:t>
            </w:r>
          </w:p>
        </w:tc>
        <w:tc>
          <w:tcPr>
            <w:tcW w:type="dxa" w:w="5814"/>
          </w:tcPr>
          <w:p>
            <w:pPr>
              <w:pStyle w:val="null3"/>
              <w:ind w:firstLine="482"/>
              <w:jc w:val="both"/>
            </w:pPr>
            <w:r>
              <w:rPr>
                <w:rFonts w:ascii="仿宋_GB2312" w:hAnsi="仿宋_GB2312" w:cs="仿宋_GB2312" w:eastAsia="仿宋_GB2312"/>
                <w:sz w:val="24"/>
                <w:b/>
              </w:rPr>
              <w:t>一、采购项目概况</w:t>
            </w:r>
          </w:p>
          <w:p>
            <w:pPr>
              <w:pStyle w:val="null3"/>
              <w:ind w:firstLine="480"/>
              <w:jc w:val="both"/>
            </w:pPr>
            <w:r>
              <w:rPr>
                <w:rFonts w:ascii="仿宋_GB2312" w:hAnsi="仿宋_GB2312" w:cs="仿宋_GB2312" w:eastAsia="仿宋_GB2312"/>
                <w:sz w:val="24"/>
              </w:rPr>
              <w:t>新都区特种设备截至</w:t>
            </w:r>
            <w:r>
              <w:rPr>
                <w:rFonts w:ascii="仿宋_GB2312" w:hAnsi="仿宋_GB2312" w:cs="仿宋_GB2312" w:eastAsia="仿宋_GB2312"/>
                <w:sz w:val="24"/>
              </w:rPr>
              <w:t>2026年1月1日登记在用的约27610台（套），还有17家气瓶充装单位，65家特种设备生产企业，8家检验检测机构，同时有178家电梯维保单位在新都开展电梯维保业务，70余家检验检测机构在新都开展特种设备检验检测业务。近年来发生多起特种设备安全事故或事件，并且随着使用年限增加，老旧电梯增多，广大市民对电梯安全投诉逐年增加，2025年有关电梯安全问题投诉已达1200余起。为加强对特种设备安全监管，防止和减少特种设备事故的发生，保障人民生命和财产的安全，根据《中华人民共和国特种设备安全法》《四川省人民政府办公厅关于进一步加强特种设备安全工作的通知》等相关法规文件要求，成都市新都区市场监督管理局拟采用竞争性磋商的方式选择一家供应商提供2026-2028年特种设备安全监督抽查和评估服务，服务期限三年，合同一年一签。本次政府采购项目共一个包件。</w:t>
            </w:r>
          </w:p>
          <w:p>
            <w:pPr>
              <w:pStyle w:val="null3"/>
              <w:ind w:firstLine="482"/>
              <w:jc w:val="both"/>
            </w:pPr>
            <w:r>
              <w:rPr>
                <w:rFonts w:ascii="仿宋_GB2312" w:hAnsi="仿宋_GB2312" w:cs="仿宋_GB2312" w:eastAsia="仿宋_GB2312"/>
                <w:sz w:val="24"/>
                <w:b/>
              </w:rPr>
              <w:t>★二、服务内容及要求</w:t>
            </w:r>
          </w:p>
          <w:p>
            <w:pPr>
              <w:pStyle w:val="null3"/>
              <w:ind w:firstLine="480"/>
              <w:jc w:val="both"/>
            </w:pPr>
            <w:r>
              <w:rPr>
                <w:rFonts w:ascii="仿宋_GB2312" w:hAnsi="仿宋_GB2312" w:cs="仿宋_GB2312" w:eastAsia="仿宋_GB2312"/>
                <w:sz w:val="24"/>
                <w:b/>
                <w:color w:val="000000"/>
              </w:rPr>
              <w:t>（一）开展特种设备安全监督抽查和风险评估</w:t>
            </w:r>
          </w:p>
          <w:p>
            <w:pPr>
              <w:pStyle w:val="null3"/>
              <w:ind w:firstLine="480"/>
              <w:jc w:val="both"/>
            </w:pPr>
            <w:r>
              <w:rPr>
                <w:rFonts w:ascii="仿宋_GB2312" w:hAnsi="仿宋_GB2312" w:cs="仿宋_GB2312" w:eastAsia="仿宋_GB2312"/>
                <w:sz w:val="24"/>
              </w:rPr>
              <w:t>根据《中华人民共和国特种设备安全法》《特种设备使用管理规则》《特种设备使用单位落实使用安全主体责任监督管理规定》《特种设备生产单位落实质量安全主体责任监督管理规定》和各类特种设备的安全技术规范的要求，对新都区内的电梯、起重机械、叉车、锅炉、压力容器、压力管道、游乐设施（大型游乐设施以及目录外游乐设施）的使用单位和设备开展安全监督抽查或风险评估，使用单位和设备安全监督抽查或风险评估数量根据年度工作安排确定。</w:t>
            </w:r>
          </w:p>
          <w:p>
            <w:pPr>
              <w:pStyle w:val="null3"/>
              <w:ind w:firstLine="480"/>
              <w:jc w:val="both"/>
            </w:pPr>
            <w:r>
              <w:rPr>
                <w:rFonts w:ascii="仿宋_GB2312" w:hAnsi="仿宋_GB2312" w:cs="仿宋_GB2312" w:eastAsia="仿宋_GB2312"/>
                <w:sz w:val="24"/>
              </w:rPr>
              <w:t>供应商需要按照安全技术规范制定抽查或风险评估方案，方案至少包括抽查或评估程序、人员组成、抽查或评估项目以及判定依据等内容，并经采购人确认后实施。</w:t>
            </w:r>
          </w:p>
          <w:p>
            <w:pPr>
              <w:pStyle w:val="null3"/>
              <w:ind w:firstLine="480"/>
              <w:jc w:val="both"/>
            </w:pPr>
            <w:r>
              <w:rPr>
                <w:rFonts w:ascii="仿宋_GB2312" w:hAnsi="仿宋_GB2312" w:cs="仿宋_GB2312" w:eastAsia="仿宋_GB2312"/>
                <w:sz w:val="24"/>
                <w:b/>
                <w:color w:val="000000"/>
              </w:rPr>
              <w:t>（二）开展电梯维保质量监督抽查</w:t>
            </w:r>
          </w:p>
          <w:p>
            <w:pPr>
              <w:pStyle w:val="null3"/>
              <w:ind w:firstLine="480"/>
              <w:jc w:val="both"/>
            </w:pPr>
            <w:r>
              <w:rPr>
                <w:rFonts w:ascii="仿宋_GB2312" w:hAnsi="仿宋_GB2312" w:cs="仿宋_GB2312" w:eastAsia="仿宋_GB2312"/>
                <w:sz w:val="24"/>
                <w:color w:val="000000"/>
              </w:rPr>
              <w:t>对在新都区开展电梯维保业务的维保企业，实施电梯维保质量监督抽查，抽查结果以计分制形式体现</w:t>
            </w:r>
            <w:r>
              <w:rPr>
                <w:rFonts w:ascii="仿宋_GB2312" w:hAnsi="仿宋_GB2312" w:cs="仿宋_GB2312" w:eastAsia="仿宋_GB2312"/>
                <w:sz w:val="24"/>
              </w:rPr>
              <w:t>（供应商提供抽查方案，方案中抽查内容条目化，并明确每条内容分值）</w:t>
            </w:r>
            <w:r>
              <w:rPr>
                <w:rFonts w:ascii="仿宋_GB2312" w:hAnsi="仿宋_GB2312" w:cs="仿宋_GB2312" w:eastAsia="仿宋_GB2312"/>
                <w:sz w:val="24"/>
                <w:color w:val="000000"/>
              </w:rPr>
              <w:t>，每年抽查数量根据年度工作安排确定。</w:t>
            </w:r>
          </w:p>
          <w:p>
            <w:pPr>
              <w:pStyle w:val="null3"/>
              <w:ind w:firstLine="480"/>
              <w:jc w:val="both"/>
            </w:pPr>
            <w:r>
              <w:rPr>
                <w:rFonts w:ascii="仿宋_GB2312" w:hAnsi="仿宋_GB2312" w:cs="仿宋_GB2312" w:eastAsia="仿宋_GB2312"/>
                <w:sz w:val="24"/>
                <w:color w:val="000000"/>
              </w:rPr>
              <w:t>供应商应依据电梯维保相关法规制定维保质量抽查方案，方案至少包括抽查程序、人员组成、抽查项目和评分标准，并经采购人确认后实施。</w:t>
            </w:r>
          </w:p>
          <w:p>
            <w:pPr>
              <w:pStyle w:val="null3"/>
              <w:ind w:firstLine="480"/>
              <w:jc w:val="both"/>
            </w:pPr>
            <w:r>
              <w:rPr>
                <w:rFonts w:ascii="仿宋_GB2312" w:hAnsi="仿宋_GB2312" w:cs="仿宋_GB2312" w:eastAsia="仿宋_GB2312"/>
                <w:sz w:val="24"/>
                <w:b/>
                <w:color w:val="000000"/>
              </w:rPr>
              <w:t>（三）开展特种设备检验检测质量监督抽查</w:t>
            </w:r>
          </w:p>
          <w:p>
            <w:pPr>
              <w:pStyle w:val="null3"/>
              <w:ind w:firstLine="480"/>
              <w:jc w:val="both"/>
            </w:pPr>
            <w:r>
              <w:rPr>
                <w:rFonts w:ascii="仿宋_GB2312" w:hAnsi="仿宋_GB2312" w:cs="仿宋_GB2312" w:eastAsia="仿宋_GB2312"/>
                <w:sz w:val="24"/>
                <w:color w:val="000000"/>
              </w:rPr>
              <w:t>对在新都区开展特种设备检验检测的机构（包括电梯检测机构、承压类设备检验机构、安全阀校验机构等）开展检验检测质量监督抽查，抽查结果以计分制形式体现</w:t>
            </w:r>
            <w:r>
              <w:rPr>
                <w:rFonts w:ascii="仿宋_GB2312" w:hAnsi="仿宋_GB2312" w:cs="仿宋_GB2312" w:eastAsia="仿宋_GB2312"/>
                <w:sz w:val="24"/>
              </w:rPr>
              <w:t>（供应商提供抽查方案，方案中在抽查内容条目化，并明确每条内容分值）</w:t>
            </w:r>
            <w:r>
              <w:rPr>
                <w:rFonts w:ascii="仿宋_GB2312" w:hAnsi="仿宋_GB2312" w:cs="仿宋_GB2312" w:eastAsia="仿宋_GB2312"/>
                <w:sz w:val="24"/>
                <w:color w:val="000000"/>
              </w:rPr>
              <w:t>，每年抽查数量根据年度工作安排确定。</w:t>
            </w:r>
          </w:p>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供应商应依据特种设备检验检测相关法规制定检验检测质量抽查方案，方案至少包括抽查程序、人员组成、抽查项目和评分标准，并经采购人确认后实施。</w:t>
            </w:r>
          </w:p>
          <w:p>
            <w:pPr>
              <w:pStyle w:val="null3"/>
              <w:ind w:firstLine="480"/>
              <w:jc w:val="both"/>
            </w:pPr>
            <w:r>
              <w:rPr>
                <w:rFonts w:ascii="仿宋_GB2312" w:hAnsi="仿宋_GB2312" w:cs="仿宋_GB2312" w:eastAsia="仿宋_GB2312"/>
                <w:sz w:val="24"/>
                <w:b/>
              </w:rPr>
              <w:t>（四）形成年度特种设备安全综合分析报告</w:t>
            </w:r>
          </w:p>
          <w:p>
            <w:pPr>
              <w:pStyle w:val="null3"/>
              <w:ind w:firstLine="480"/>
              <w:jc w:val="both"/>
            </w:pPr>
            <w:r>
              <w:rPr>
                <w:rFonts w:ascii="仿宋_GB2312" w:hAnsi="仿宋_GB2312" w:cs="仿宋_GB2312" w:eastAsia="仿宋_GB2312"/>
                <w:sz w:val="24"/>
              </w:rPr>
              <w:t>根据</w:t>
            </w:r>
            <w:r>
              <w:rPr>
                <w:rFonts w:ascii="仿宋_GB2312" w:hAnsi="仿宋_GB2312" w:cs="仿宋_GB2312" w:eastAsia="仿宋_GB2312"/>
                <w:sz w:val="24"/>
                <w:color w:val="000000"/>
              </w:rPr>
              <w:t>特种设备安全监督抽查和风险评估、电梯维保质量监督抽查、特种设备检验检测质量监督抽查的结果，形成年度特种设备安全综合分析报告。</w:t>
            </w:r>
          </w:p>
          <w:p>
            <w:pPr>
              <w:pStyle w:val="null3"/>
              <w:ind w:firstLine="482"/>
              <w:jc w:val="both"/>
            </w:pPr>
            <w:r>
              <w:rPr>
                <w:rFonts w:ascii="仿宋_GB2312" w:hAnsi="仿宋_GB2312" w:cs="仿宋_GB2312" w:eastAsia="仿宋_GB2312"/>
                <w:sz w:val="24"/>
                <w:b/>
                <w:color w:val="000000"/>
              </w:rPr>
              <w:t>（五）依据的法律法规、技术标准</w:t>
            </w:r>
          </w:p>
          <w:p>
            <w:pPr>
              <w:pStyle w:val="null3"/>
              <w:ind w:firstLine="480"/>
              <w:jc w:val="both"/>
            </w:pPr>
            <w:r>
              <w:rPr>
                <w:rFonts w:ascii="仿宋_GB2312" w:hAnsi="仿宋_GB2312" w:cs="仿宋_GB2312" w:eastAsia="仿宋_GB2312"/>
                <w:sz w:val="24"/>
              </w:rPr>
              <w:t>1.《中华人民共和国特种设备安全法》</w:t>
            </w:r>
          </w:p>
          <w:p>
            <w:pPr>
              <w:pStyle w:val="null3"/>
              <w:ind w:firstLine="480"/>
              <w:jc w:val="both"/>
            </w:pPr>
            <w:r>
              <w:rPr>
                <w:rFonts w:ascii="仿宋_GB2312" w:hAnsi="仿宋_GB2312" w:cs="仿宋_GB2312" w:eastAsia="仿宋_GB2312"/>
                <w:sz w:val="24"/>
              </w:rPr>
              <w:t>2.《特种设备安全监察条例》</w:t>
            </w:r>
          </w:p>
          <w:p>
            <w:pPr>
              <w:pStyle w:val="null3"/>
              <w:ind w:firstLine="480"/>
              <w:jc w:val="both"/>
            </w:pPr>
            <w:r>
              <w:rPr>
                <w:rFonts w:ascii="仿宋_GB2312" w:hAnsi="仿宋_GB2312" w:cs="仿宋_GB2312" w:eastAsia="仿宋_GB2312"/>
                <w:sz w:val="24"/>
              </w:rPr>
              <w:t>3.《特种设备安全监督检查办法》</w:t>
            </w:r>
          </w:p>
          <w:p>
            <w:pPr>
              <w:pStyle w:val="null3"/>
              <w:ind w:firstLine="480"/>
              <w:jc w:val="both"/>
            </w:pPr>
            <w:r>
              <w:rPr>
                <w:rFonts w:ascii="仿宋_GB2312" w:hAnsi="仿宋_GB2312" w:cs="仿宋_GB2312" w:eastAsia="仿宋_GB2312"/>
                <w:sz w:val="24"/>
              </w:rPr>
              <w:t>4.《特种设备使用管理规则》</w:t>
            </w:r>
          </w:p>
          <w:p>
            <w:pPr>
              <w:pStyle w:val="null3"/>
              <w:ind w:firstLine="480"/>
              <w:jc w:val="both"/>
            </w:pPr>
            <w:r>
              <w:rPr>
                <w:rFonts w:ascii="仿宋_GB2312" w:hAnsi="仿宋_GB2312" w:cs="仿宋_GB2312" w:eastAsia="仿宋_GB2312"/>
                <w:sz w:val="24"/>
              </w:rPr>
              <w:t>5.《特种设备生产单位落实质量安全主体责任监督管理规定》</w:t>
            </w:r>
          </w:p>
          <w:p>
            <w:pPr>
              <w:pStyle w:val="null3"/>
              <w:ind w:firstLine="480"/>
              <w:jc w:val="both"/>
            </w:pPr>
            <w:r>
              <w:rPr>
                <w:rFonts w:ascii="仿宋_GB2312" w:hAnsi="仿宋_GB2312" w:cs="仿宋_GB2312" w:eastAsia="仿宋_GB2312"/>
                <w:sz w:val="24"/>
              </w:rPr>
              <w:t>6.《特种设备使用单位落实使用安全主体责任监督管理规定》</w:t>
            </w:r>
          </w:p>
          <w:p>
            <w:pPr>
              <w:pStyle w:val="null3"/>
              <w:ind w:firstLine="480"/>
              <w:jc w:val="both"/>
            </w:pPr>
            <w:r>
              <w:rPr>
                <w:rFonts w:ascii="仿宋_GB2312" w:hAnsi="仿宋_GB2312" w:cs="仿宋_GB2312" w:eastAsia="仿宋_GB2312"/>
                <w:sz w:val="24"/>
              </w:rPr>
              <w:t>7.《电梯维护保养规则》</w:t>
            </w:r>
          </w:p>
          <w:p>
            <w:pPr>
              <w:pStyle w:val="null3"/>
              <w:ind w:firstLine="480"/>
              <w:jc w:val="both"/>
            </w:pPr>
            <w:r>
              <w:rPr>
                <w:rFonts w:ascii="仿宋_GB2312" w:hAnsi="仿宋_GB2312" w:cs="仿宋_GB2312" w:eastAsia="仿宋_GB2312"/>
                <w:sz w:val="24"/>
              </w:rPr>
              <w:t>8.锅炉、压力容器（含气瓶）、压力管道、电梯、起重机械、叉车、大型游乐设施的相关特种设备安全技术规范等。</w:t>
            </w:r>
          </w:p>
          <w:p>
            <w:pPr>
              <w:pStyle w:val="null3"/>
              <w:ind w:firstLine="468"/>
              <w:jc w:val="both"/>
            </w:pPr>
            <w:r>
              <w:rPr>
                <w:rFonts w:ascii="仿宋_GB2312" w:hAnsi="仿宋_GB2312" w:cs="仿宋_GB2312" w:eastAsia="仿宋_GB2312"/>
                <w:sz w:val="24"/>
              </w:rPr>
              <w:t>9.特种设备生产和充装单位许可规则、特种设备检验检测机构核准规则等。</w:t>
            </w:r>
          </w:p>
          <w:p>
            <w:pPr>
              <w:pStyle w:val="null3"/>
              <w:ind w:firstLine="480"/>
              <w:jc w:val="both"/>
            </w:pPr>
            <w:r>
              <w:rPr>
                <w:rFonts w:ascii="仿宋_GB2312" w:hAnsi="仿宋_GB2312" w:cs="仿宋_GB2312" w:eastAsia="仿宋_GB2312"/>
                <w:sz w:val="24"/>
              </w:rPr>
              <w:t>10.其他与特种设备安全有关的法规、标准等。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、质量要求</w:t>
            </w:r>
          </w:p>
          <w:p>
            <w:pPr>
              <w:pStyle w:val="null3"/>
              <w:ind w:firstLine="480"/>
              <w:jc w:val="both"/>
            </w:pPr>
            <w:r>
              <w:rPr>
                <w:rFonts w:ascii="仿宋_GB2312" w:hAnsi="仿宋_GB2312" w:cs="仿宋_GB2312" w:eastAsia="仿宋_GB2312"/>
                <w:sz w:val="24"/>
              </w:rPr>
              <w:t>1.对设备的监督抽查或风险评估，单台设备的报告正确率不低于99%。报告正确率是指单台设备报告参照各类设备监督检验或定期检验检测报告格式、审签和批准要求，不得出具虚假报告。</w:t>
            </w:r>
          </w:p>
          <w:p>
            <w:pPr>
              <w:pStyle w:val="null3"/>
              <w:ind w:firstLine="480"/>
              <w:jc w:val="both"/>
            </w:pPr>
            <w:r>
              <w:rPr>
                <w:rFonts w:ascii="仿宋_GB2312" w:hAnsi="仿宋_GB2312" w:cs="仿宋_GB2312" w:eastAsia="仿宋_GB2312"/>
                <w:sz w:val="24"/>
              </w:rPr>
              <w:t>2.对设备的监督抽查或风险评估程序合规率不低于95%。监督抽查或风险评估的程序包括采购人出具年度开展技术服务通知、确定开展抽查或评估的具体名单、对年度综合分析报告进行确认；供应商根据采购人通知和确定的具体名单开展抽查或评估，开展抽查或评估时应提前通知相对单位（提前通知时间不得多于三天），现场开展抽查或评估时具有相应设备检验资质的人员至少1人，对抽查或评估发现的问题要限期相关单位进行整改，并对整改情况进行确认，参照设备定期检验检测程序出具报告。在年度合同截止时间前出具年度安全综合分析报告和单台设备报告。</w:t>
            </w:r>
          </w:p>
          <w:p>
            <w:pPr>
              <w:pStyle w:val="null3"/>
              <w:ind w:firstLine="480"/>
              <w:jc w:val="both"/>
            </w:pPr>
            <w:r>
              <w:rPr>
                <w:rFonts w:ascii="仿宋_GB2312" w:hAnsi="仿宋_GB2312" w:cs="仿宋_GB2312" w:eastAsia="仿宋_GB2312"/>
                <w:sz w:val="24"/>
              </w:rPr>
              <w:t>3.对电梯维保单位、电梯检测机构和承压类设备定期检验机构、安全阀校验机构的维保质量和检验检测质量抽查按每家企业出具抽查报告，抽查报告至少包含被抽查单位基本情况、人员配备情况、质量管控体系情况、各类维保检验检测记录情况、所维保以及检验检测设备本体情况，所抽查单位的最终得分情况等。</w:t>
            </w:r>
          </w:p>
          <w:p>
            <w:pPr>
              <w:pStyle w:val="null3"/>
              <w:ind w:firstLine="480"/>
              <w:jc w:val="both"/>
            </w:pPr>
            <w:r>
              <w:rPr>
                <w:rFonts w:ascii="仿宋_GB2312" w:hAnsi="仿宋_GB2312" w:cs="仿宋_GB2312" w:eastAsia="仿宋_GB2312"/>
                <w:sz w:val="24"/>
              </w:rPr>
              <w:t>4.监督抽查或评估中使用的检验检测仪器设备检定或校准率100%。</w:t>
            </w:r>
          </w:p>
          <w:p>
            <w:pPr>
              <w:pStyle w:val="null3"/>
              <w:ind w:firstLine="480"/>
              <w:jc w:val="both"/>
            </w:pPr>
            <w:r>
              <w:rPr>
                <w:rFonts w:ascii="仿宋_GB2312" w:hAnsi="仿宋_GB2312" w:cs="仿宋_GB2312" w:eastAsia="仿宋_GB2312"/>
                <w:sz w:val="24"/>
              </w:rPr>
              <w:t>5.监督抽查或评估过程中不得因抽查或评估发生安全责任事故，如发生安全责任事故，供应商将依法承担相应法律责任。</w:t>
            </w:r>
          </w:p>
          <w:p>
            <w:pPr>
              <w:pStyle w:val="null3"/>
              <w:ind w:firstLine="480"/>
              <w:jc w:val="both"/>
            </w:pPr>
            <w:r>
              <w:rPr>
                <w:rFonts w:ascii="仿宋_GB2312" w:hAnsi="仿宋_GB2312" w:cs="仿宋_GB2312" w:eastAsia="仿宋_GB2312"/>
                <w:sz w:val="24"/>
              </w:rPr>
              <w:t>6.新都区年度特种设备安全综合分析报告应先征求采购人意见，待采购人审核后出具正式报告，报告内容至少包括年度抽查或评估基本情况、抽查或评估数量、抽查或评估发现的问题数量以及整改情况、存在的主要安全风险以及工作建议等。</w:t>
            </w:r>
          </w:p>
          <w:p>
            <w:pPr>
              <w:pStyle w:val="null3"/>
              <w:ind w:firstLine="480"/>
              <w:jc w:val="both"/>
            </w:pPr>
            <w:r>
              <w:rPr>
                <w:rFonts w:ascii="仿宋_GB2312" w:hAnsi="仿宋_GB2312" w:cs="仿宋_GB2312" w:eastAsia="仿宋_GB2312"/>
                <w:sz w:val="24"/>
              </w:rPr>
              <w:t>7.供应商针对本项目履约需配备不少于20名检验人员，检验人员需具有中华人民共和国特种设备检验检测人员证，批准项目需对应本项目服务内容。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、服务内容单价最</w:t>
            </w:r>
            <w:r>
              <w:rPr>
                <w:rFonts w:ascii="仿宋_GB2312" w:hAnsi="仿宋_GB2312" w:cs="仿宋_GB2312" w:eastAsia="仿宋_GB2312"/>
                <w:sz w:val="24"/>
                <w:b/>
                <w:color w:val="000000"/>
              </w:rPr>
              <w:t>高限价及报价要求</w:t>
            </w:r>
          </w:p>
          <w:p>
            <w:pPr>
              <w:pStyle w:val="null3"/>
              <w:ind w:firstLine="480"/>
              <w:jc w:val="both"/>
            </w:pPr>
            <w:r>
              <w:rPr>
                <w:rFonts w:ascii="仿宋_GB2312" w:hAnsi="仿宋_GB2312" w:cs="仿宋_GB2312" w:eastAsia="仿宋_GB2312"/>
                <w:sz w:val="24"/>
              </w:rPr>
              <w:t>1.本项目要求供应商在服务内容单价最高限价基础上填报统一折扣，折扣=（结算价格÷单价最高限价）×100%，供应商报价折扣不得超过100%，否则作无效响应文件处理。</w:t>
            </w:r>
          </w:p>
          <w:tbl>
            <w:tblPr>
              <w:tblBorders>
                <w:top w:val="none" w:color="000000" w:sz="4"/>
                <w:left w:val="none" w:color="000000" w:sz="4"/>
                <w:bottom w:val="none" w:color="000000" w:sz="4"/>
                <w:right w:val="none" w:color="000000" w:sz="4"/>
                <w:insideH w:val="none"/>
                <w:insideV w:val="none"/>
              </w:tblBorders>
            </w:tblPr>
            <w:tblGrid>
              <w:gridCol w:w="700"/>
              <w:gridCol w:w="844"/>
              <w:gridCol w:w="720"/>
              <w:gridCol w:w="1667"/>
              <w:gridCol w:w="1667"/>
            </w:tblGrid>
            <w:tr>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单价最高限价（元）</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设备安全监督抽查或风险评估</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锅炉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单台</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700"/>
                  <w:vMerge/>
                  <w:tcBorders>
                    <w:top w:val="none" w:color="000000" w:sz="4"/>
                    <w:left w:val="single" w:color="000000" w:sz="4"/>
                    <w:bottom w:val="single" w:color="000000" w:sz="4"/>
                    <w:right w:val="single" w:color="000000" w:sz="4"/>
                  </w:tcBorders>
                </w:tc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压力容器</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单台</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700"/>
                  <w:vMerge/>
                  <w:tcBorders>
                    <w:top w:val="none" w:color="000000" w:sz="4"/>
                    <w:left w:val="single" w:color="000000" w:sz="4"/>
                    <w:bottom w:val="single" w:color="000000" w:sz="4"/>
                    <w:right w:val="single" w:color="000000" w:sz="4"/>
                  </w:tcBorders>
                </w:tc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压力管道</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千米</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700"/>
                  <w:vMerge/>
                  <w:tcBorders>
                    <w:top w:val="none" w:color="000000" w:sz="4"/>
                    <w:left w:val="single" w:color="000000" w:sz="4"/>
                    <w:bottom w:val="single" w:color="000000" w:sz="4"/>
                    <w:right w:val="single" w:color="000000" w:sz="4"/>
                  </w:tcBorders>
                </w:tc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单台</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700"/>
                  <w:vMerge/>
                  <w:tcBorders>
                    <w:top w:val="none" w:color="000000" w:sz="4"/>
                    <w:left w:val="single" w:color="000000" w:sz="4"/>
                    <w:bottom w:val="single" w:color="000000" w:sz="4"/>
                    <w:right w:val="single" w:color="000000" w:sz="4"/>
                  </w:tcBorders>
                </w:tc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起重机械</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单台</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700"/>
                  <w:vMerge/>
                  <w:tcBorders>
                    <w:top w:val="none" w:color="000000" w:sz="4"/>
                    <w:left w:val="single" w:color="000000" w:sz="4"/>
                    <w:bottom w:val="single" w:color="000000" w:sz="4"/>
                    <w:right w:val="single" w:color="000000" w:sz="4"/>
                  </w:tcBorders>
                </w:tc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叉车</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单台</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700"/>
                  <w:vMerge/>
                  <w:tcBorders>
                    <w:top w:val="none" w:color="000000" w:sz="4"/>
                    <w:left w:val="single" w:color="000000" w:sz="4"/>
                    <w:bottom w:val="single" w:color="000000" w:sz="4"/>
                    <w:right w:val="single" w:color="000000" w:sz="4"/>
                  </w:tcBorders>
                </w:tc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游乐设施（含目录外游乐设施）</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单台</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电梯维保质量监督抽查</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维保单位</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家</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从企业资质、人员配备、维保记录和抽查所维保电梯实物等方面判定维保质量。</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特种设备检验检测质量监督抽查</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电梯检测质量抽查</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家</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从企业资质、人员配备、检测记录和抽查所检测电梯实物等方面判定检测质量。</w:t>
                  </w:r>
                </w:p>
              </w:tc>
            </w:tr>
            <w:tr>
              <w:tc>
                <w:tcPr>
                  <w:tcW w:type="dxa" w:w="700"/>
                  <w:vMerge/>
                  <w:tcBorders>
                    <w:top w:val="none" w:color="000000" w:sz="4"/>
                    <w:left w:val="single" w:color="000000" w:sz="4"/>
                    <w:bottom w:val="single" w:color="000000" w:sz="4"/>
                    <w:right w:val="single" w:color="000000" w:sz="4"/>
                  </w:tcBorders>
                </w:tc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承压类设备定期检验机构检验质量抽查</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家</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从企业资质、人员配备、检验记录和抽查所检验设备实物等方面判定检验质量。</w:t>
                  </w:r>
                </w:p>
              </w:tc>
            </w:tr>
            <w:tr>
              <w:tc>
                <w:tcPr>
                  <w:tcW w:type="dxa" w:w="700"/>
                  <w:vMerge/>
                  <w:tcBorders>
                    <w:top w:val="none" w:color="000000" w:sz="4"/>
                    <w:left w:val="single" w:color="000000" w:sz="4"/>
                    <w:bottom w:val="single" w:color="000000" w:sz="4"/>
                    <w:right w:val="single" w:color="000000" w:sz="4"/>
                  </w:tcBorders>
                </w:tc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安全阀校验机构质量抽查</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家</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从企业资质、人员配备、校验记录和抽查所校验安全阀实物等方面判定校验质量。</w:t>
                  </w:r>
                </w:p>
              </w:tc>
            </w:tr>
          </w:tbl>
          <w:p>
            <w:pPr>
              <w:pStyle w:val="null3"/>
              <w:ind w:firstLine="480"/>
              <w:jc w:val="both"/>
            </w:pPr>
            <w:r>
              <w:rPr>
                <w:rFonts w:ascii="仿宋_GB2312" w:hAnsi="仿宋_GB2312" w:cs="仿宋_GB2312" w:eastAsia="仿宋_GB2312"/>
                <w:sz w:val="24"/>
              </w:rPr>
              <w:t>2.合同价款的结算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1）采购人在预算范围内据实结算，</w:t>
            </w:r>
            <w:r>
              <w:rPr>
                <w:rFonts w:ascii="仿宋_GB2312" w:hAnsi="仿宋_GB2312" w:cs="仿宋_GB2312" w:eastAsia="仿宋_GB2312"/>
                <w:sz w:val="24"/>
              </w:rPr>
              <w:t>单年</w:t>
            </w:r>
            <w:r>
              <w:rPr>
                <w:rFonts w:ascii="仿宋_GB2312" w:hAnsi="仿宋_GB2312" w:cs="仿宋_GB2312" w:eastAsia="仿宋_GB2312"/>
                <w:sz w:val="24"/>
              </w:rPr>
              <w:t>最终结算金额不超过</w:t>
            </w:r>
            <w:r>
              <w:rPr>
                <w:rFonts w:ascii="仿宋_GB2312" w:hAnsi="仿宋_GB2312" w:cs="仿宋_GB2312" w:eastAsia="仿宋_GB2312"/>
                <w:sz w:val="24"/>
              </w:rPr>
              <w:t>54.5万元。</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2）供应商按上述限价表中限价统一折扣报价，如供应商报价折扣为95%，即所有服务内容单价最终结算价格均按单价最高限价×95%进行结算。</w:t>
            </w:r>
          </w:p>
          <w:p>
            <w:pPr>
              <w:pStyle w:val="null3"/>
              <w:ind w:firstLine="482"/>
              <w:jc w:val="both"/>
            </w:pPr>
            <w:r>
              <w:rPr>
                <w:rFonts w:ascii="仿宋_GB2312" w:hAnsi="仿宋_GB2312" w:cs="仿宋_GB2312" w:eastAsia="仿宋_GB2312"/>
                <w:sz w:val="24"/>
                <w:b/>
              </w:rPr>
              <w:t>★五、责任义务</w:t>
            </w:r>
          </w:p>
          <w:p>
            <w:pPr>
              <w:pStyle w:val="null3"/>
              <w:ind w:firstLine="480"/>
              <w:jc w:val="both"/>
            </w:pPr>
            <w:r>
              <w:rPr>
                <w:rFonts w:ascii="仿宋_GB2312" w:hAnsi="仿宋_GB2312" w:cs="仿宋_GB2312" w:eastAsia="仿宋_GB2312"/>
                <w:sz w:val="24"/>
              </w:rPr>
              <w:t>1.项目交通、住宿问题由成交供应商自行解决。</w:t>
            </w:r>
          </w:p>
          <w:p>
            <w:pPr>
              <w:pStyle w:val="null3"/>
              <w:ind w:firstLine="480"/>
              <w:jc w:val="both"/>
            </w:pPr>
            <w:r>
              <w:rPr>
                <w:rFonts w:ascii="仿宋_GB2312" w:hAnsi="仿宋_GB2312" w:cs="仿宋_GB2312" w:eastAsia="仿宋_GB2312"/>
                <w:sz w:val="24"/>
              </w:rPr>
              <w:t>2.需要特种设备使用管理单位、电梯维保单位和检验检测机构协作配合的，应友好协商，不得胁迫，如不能正常开展工作应书面如实报采购人。不得向特种设备使用管理单位、电梯维保单位和检验检测机构等收取任务费用，也不得向其推销商品或服务。</w:t>
            </w:r>
          </w:p>
          <w:p>
            <w:pPr>
              <w:pStyle w:val="null3"/>
              <w:ind w:firstLine="480"/>
              <w:jc w:val="both"/>
            </w:pPr>
            <w:r>
              <w:rPr>
                <w:rFonts w:ascii="仿宋_GB2312" w:hAnsi="仿宋_GB2312" w:cs="仿宋_GB2312" w:eastAsia="仿宋_GB2312"/>
                <w:sz w:val="24"/>
              </w:rPr>
              <w:t>3.所需要的检验检测仪器设备等由成交供应商自行配备。</w:t>
            </w:r>
          </w:p>
          <w:p>
            <w:pPr>
              <w:pStyle w:val="null3"/>
              <w:ind w:firstLine="480"/>
              <w:jc w:val="both"/>
            </w:pPr>
            <w:r>
              <w:rPr>
                <w:rFonts w:ascii="仿宋_GB2312" w:hAnsi="仿宋_GB2312" w:cs="仿宋_GB2312" w:eastAsia="仿宋_GB2312"/>
                <w:sz w:val="24"/>
              </w:rPr>
              <w:t>4.不得擅自对外公布工作信息，不得泄露被抽查单位的商业秘密。</w:t>
            </w:r>
          </w:p>
          <w:p>
            <w:pPr>
              <w:pStyle w:val="null3"/>
              <w:ind w:firstLine="480"/>
              <w:jc w:val="both"/>
            </w:pPr>
            <w:r>
              <w:rPr>
                <w:rFonts w:ascii="仿宋_GB2312" w:hAnsi="仿宋_GB2312" w:cs="仿宋_GB2312" w:eastAsia="仿宋_GB2312"/>
                <w:sz w:val="24"/>
              </w:rPr>
              <w:t>5.不得将工作任务全部或部分委托其他单位完成。</w:t>
            </w:r>
          </w:p>
          <w:p>
            <w:pPr>
              <w:pStyle w:val="null3"/>
              <w:ind w:firstLine="466"/>
              <w:jc w:val="both"/>
            </w:pPr>
            <w:r>
              <w:rPr>
                <w:rFonts w:ascii="仿宋_GB2312" w:hAnsi="仿宋_GB2312" w:cs="仿宋_GB2312" w:eastAsia="仿宋_GB2312"/>
                <w:sz w:val="24"/>
              </w:rPr>
              <w:t>6.出现严重违约行为的，采购人可单方面中止采购；出现违法违规行为的，依法追究成交供应商和相关责任人的法律责任。</w:t>
            </w:r>
          </w:p>
          <w:p>
            <w:pPr>
              <w:pStyle w:val="null3"/>
              <w:ind w:firstLine="482"/>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color w:val="000000"/>
              </w:rPr>
              <w:t>1.供应商针对本项目提供</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需求分析，内容包括：</w:t>
            </w:r>
            <w:r>
              <w:rPr>
                <w:rFonts w:ascii="仿宋_GB2312" w:hAnsi="仿宋_GB2312" w:cs="仿宋_GB2312" w:eastAsia="仿宋_GB2312"/>
                <w:sz w:val="24"/>
                <w:color w:val="000000"/>
              </w:rPr>
              <w:t>①项目背景；②项目重点、难点及关键点分析；③</w:t>
            </w:r>
            <w:r>
              <w:rPr>
                <w:rFonts w:ascii="仿宋_GB2312" w:hAnsi="仿宋_GB2312" w:cs="仿宋_GB2312" w:eastAsia="仿宋_GB2312"/>
                <w:sz w:val="24"/>
                <w:color w:val="000000"/>
              </w:rPr>
              <w:t>项目重点、难点及关键点工作的应对措施</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2.供应商针对本项目提供实施方案，内容包括：①抽查流程安排；②各类设备抽查方案；③保密措施；④技术保障措施。</w:t>
            </w:r>
          </w:p>
          <w:p>
            <w:pPr>
              <w:pStyle w:val="null3"/>
              <w:ind w:firstLine="480"/>
              <w:jc w:val="both"/>
            </w:pPr>
            <w:r>
              <w:rPr>
                <w:rFonts w:ascii="仿宋_GB2312" w:hAnsi="仿宋_GB2312" w:cs="仿宋_GB2312" w:eastAsia="仿宋_GB2312"/>
                <w:sz w:val="24"/>
                <w:color w:val="000000"/>
              </w:rPr>
              <w:t>3.供应商针对本项目提供进度计划与质量保障措施，内容包括：①项目的管理流程；②进度保证措施；③抽查过程质量保障措施；④抽查成果质量保障措施。</w:t>
            </w:r>
          </w:p>
          <w:p>
            <w:pPr>
              <w:pStyle w:val="null3"/>
              <w:ind w:firstLine="480"/>
              <w:jc w:val="both"/>
            </w:pPr>
            <w:r>
              <w:rPr>
                <w:rFonts w:ascii="仿宋_GB2312" w:hAnsi="仿宋_GB2312" w:cs="仿宋_GB2312" w:eastAsia="仿宋_GB2312"/>
                <w:sz w:val="24"/>
                <w:color w:val="000000"/>
              </w:rPr>
              <w:t>4.供应商针对本项目提供应急处理方案，内容包括：①应急响应方案；②应急处理流程；③现场应急处理措施；④应急善后处理方案。</w:t>
            </w:r>
          </w:p>
          <w:p>
            <w:pPr>
              <w:pStyle w:val="null3"/>
              <w:ind w:firstLine="480"/>
              <w:jc w:val="both"/>
            </w:pPr>
            <w:r>
              <w:rPr>
                <w:rFonts w:ascii="仿宋_GB2312" w:hAnsi="仿宋_GB2312" w:cs="仿宋_GB2312" w:eastAsia="仿宋_GB2312"/>
                <w:sz w:val="24"/>
                <w:color w:val="000000"/>
              </w:rPr>
              <w:t>5.供应商自2023年1月1日（含）以来需具有特种设备安全监督抽查或评估</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业绩。</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rPr>
              <w:t>供应商需为本项目配备相关专业技术人员</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rPr>
              <w:t>★七、商务要求</w:t>
            </w:r>
          </w:p>
          <w:p>
            <w:pPr>
              <w:pStyle w:val="null3"/>
              <w:ind w:firstLine="480"/>
              <w:jc w:val="both"/>
            </w:pPr>
            <w:r>
              <w:rPr>
                <w:rFonts w:ascii="仿宋_GB2312" w:hAnsi="仿宋_GB2312" w:cs="仿宋_GB2312" w:eastAsia="仿宋_GB2312"/>
                <w:sz w:val="24"/>
              </w:rPr>
              <w:t>1.服务期限：三年，合同一年一签，当年服务期限内无质量问题续签下一年合同。成交供应商于每年11月30日以前完成所有服务工作，并编制整体服务报告，交付采购人验收。</w:t>
            </w:r>
          </w:p>
          <w:p>
            <w:pPr>
              <w:pStyle w:val="null3"/>
              <w:ind w:firstLine="480"/>
              <w:jc w:val="both"/>
            </w:pPr>
            <w:r>
              <w:rPr>
                <w:rFonts w:ascii="仿宋_GB2312" w:hAnsi="仿宋_GB2312" w:cs="仿宋_GB2312" w:eastAsia="仿宋_GB2312"/>
                <w:sz w:val="24"/>
              </w:rPr>
              <w:t>2.服务地点：成都市新都区采购人指定地点。</w:t>
            </w:r>
          </w:p>
          <w:p>
            <w:pPr>
              <w:pStyle w:val="null3"/>
              <w:ind w:firstLine="480"/>
              <w:jc w:val="both"/>
            </w:pPr>
            <w:r>
              <w:rPr>
                <w:rFonts w:ascii="仿宋_GB2312" w:hAnsi="仿宋_GB2312" w:cs="仿宋_GB2312" w:eastAsia="仿宋_GB2312"/>
                <w:sz w:val="24"/>
              </w:rPr>
              <w:t>3.付款方式及付款时间</w:t>
            </w:r>
            <w:r>
              <w:rPr>
                <w:rFonts w:ascii="仿宋_GB2312" w:hAnsi="仿宋_GB2312" w:cs="仿宋_GB2312" w:eastAsia="仿宋_GB2312"/>
                <w:sz w:val="24"/>
                <w:b/>
              </w:rPr>
              <w:t>（以此为准）</w:t>
            </w:r>
            <w:r>
              <w:rPr>
                <w:rFonts w:ascii="仿宋_GB2312" w:hAnsi="仿宋_GB2312" w:cs="仿宋_GB2312" w:eastAsia="仿宋_GB2312"/>
                <w:sz w:val="24"/>
              </w:rPr>
              <w:t>：分两次结算服务费用，签订服务合同后，采购人向成交供应商支付预算金额的</w:t>
            </w:r>
            <w:r>
              <w:rPr>
                <w:rFonts w:ascii="仿宋_GB2312" w:hAnsi="仿宋_GB2312" w:cs="仿宋_GB2312" w:eastAsia="仿宋_GB2312"/>
                <w:sz w:val="24"/>
              </w:rPr>
              <w:t>40%，所有服务工作完成并经采购人验收合格后据实支付，结算金额不超过采购预算。如遇特殊情况需要延迟支付，双方协商解决；采购人每次付款前，成交供应商须向采购人出具合法有效完整的完税发票及凭证资料进行支付结算，采购人在收到成交供应商发票后10个工作日内支付成交供应商相关服务费用。</w:t>
            </w:r>
          </w:p>
          <w:p>
            <w:pPr>
              <w:pStyle w:val="null3"/>
              <w:ind w:firstLine="466"/>
              <w:jc w:val="both"/>
            </w:pPr>
            <w:r>
              <w:rPr>
                <w:rFonts w:ascii="仿宋_GB2312" w:hAnsi="仿宋_GB2312" w:cs="仿宋_GB2312" w:eastAsia="仿宋_GB2312"/>
                <w:sz w:val="24"/>
              </w:rPr>
              <w:t>4.验收：</w:t>
            </w:r>
          </w:p>
          <w:p>
            <w:pPr>
              <w:pStyle w:val="null3"/>
              <w:ind w:firstLine="466"/>
              <w:jc w:val="both"/>
            </w:pPr>
            <w:r>
              <w:rPr>
                <w:rFonts w:ascii="仿宋_GB2312" w:hAnsi="仿宋_GB2312" w:cs="仿宋_GB2312" w:eastAsia="仿宋_GB2312"/>
                <w:sz w:val="24"/>
              </w:rPr>
              <w:t>（</w:t>
            </w:r>
            <w:r>
              <w:rPr>
                <w:rFonts w:ascii="仿宋_GB2312" w:hAnsi="仿宋_GB2312" w:cs="仿宋_GB2312" w:eastAsia="仿宋_GB2312"/>
                <w:sz w:val="24"/>
              </w:rPr>
              <w:t>1）验收办法：成交供应商与采购人按照《财政部关于进一步加强政府采购需求和履约验收管理的指导意见》（财库〔2016〕205号）等相关要求进行验收。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2）验收标准：按磋商文件的服务内容及要求、成交供应商的响应文件及承诺以及合同约定标准进行验收。</w:t>
            </w:r>
          </w:p>
          <w:p>
            <w:pPr>
              <w:pStyle w:val="null3"/>
              <w:ind w:firstLine="482"/>
              <w:jc w:val="both"/>
            </w:pPr>
            <w:r>
              <w:rPr>
                <w:rFonts w:ascii="仿宋_GB2312" w:hAnsi="仿宋_GB2312" w:cs="仿宋_GB2312" w:eastAsia="仿宋_GB2312"/>
                <w:sz w:val="24"/>
                <w:b/>
              </w:rPr>
              <w:t>注：</w:t>
            </w:r>
            <w:r>
              <w:rPr>
                <w:rFonts w:ascii="仿宋_GB2312" w:hAnsi="仿宋_GB2312" w:cs="仿宋_GB2312" w:eastAsia="仿宋_GB2312"/>
                <w:sz w:val="24"/>
                <w:b/>
              </w:rPr>
              <w:t>“★”条款为本项目实质性要求，不允许负偏离，否则作无效响应文件处理；服务内容及要求、质量要求、责任义务响应以供应商服务需求偏离表的响应情况为准；服务内容单价最</w:t>
            </w:r>
            <w:r>
              <w:rPr>
                <w:rFonts w:ascii="仿宋_GB2312" w:hAnsi="仿宋_GB2312" w:cs="仿宋_GB2312" w:eastAsia="仿宋_GB2312"/>
                <w:sz w:val="24"/>
                <w:b/>
                <w:color w:val="000000"/>
              </w:rPr>
              <w:t>高限价</w:t>
            </w:r>
            <w:r>
              <w:rPr>
                <w:rFonts w:ascii="仿宋_GB2312" w:hAnsi="仿宋_GB2312" w:cs="仿宋_GB2312" w:eastAsia="仿宋_GB2312"/>
                <w:sz w:val="24"/>
                <w:b/>
                <w:color w:val="000000"/>
              </w:rPr>
              <w:t>及报价要求</w:t>
            </w:r>
            <w:r>
              <w:rPr>
                <w:rFonts w:ascii="仿宋_GB2312" w:hAnsi="仿宋_GB2312" w:cs="仿宋_GB2312" w:eastAsia="仿宋_GB2312"/>
                <w:sz w:val="24"/>
                <w:b/>
                <w:color w:val="000000"/>
              </w:rPr>
              <w:t>响应以供应商报价表的响应情况为准；</w:t>
            </w:r>
            <w:r>
              <w:rPr>
                <w:rFonts w:ascii="仿宋_GB2312" w:hAnsi="仿宋_GB2312" w:cs="仿宋_GB2312" w:eastAsia="仿宋_GB2312"/>
                <w:sz w:val="24"/>
                <w:b/>
              </w:rPr>
              <w:t>商务要求响应以供应商商务偏离表的响应情况为准。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服务内容要求</w:t>
            </w:r>
          </w:p>
        </w:tc>
        <w:tc>
          <w:tcPr>
            <w:tcW w:type="dxa" w:w="5814"/>
          </w:tcPr>
          <w:p>
            <w:pPr>
              <w:pStyle w:val="null3"/>
              <w:jc w:val="left"/>
            </w:pPr>
            <w:r>
              <w:rPr>
                <w:rFonts w:ascii="仿宋_GB2312" w:hAnsi="仿宋_GB2312" w:cs="仿宋_GB2312" w:eastAsia="仿宋_GB2312"/>
                <w:sz w:val="21"/>
              </w:rPr>
              <w:t>详见</w:t>
            </w:r>
            <w:r>
              <w:rPr>
                <w:rFonts w:ascii="仿宋_GB2312" w:hAnsi="仿宋_GB2312" w:cs="仿宋_GB2312" w:eastAsia="仿宋_GB2312"/>
                <w:sz w:val="21"/>
              </w:rPr>
              <w:t>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三年，合同一年一签，当年服务期限内无质量问题续签下一年合同。成交供应商于每年11月30日以前完成所有服务工作，并编制整体服务报告，交付采购人验收。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成都市新都区采购人指定地点。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1、验收办法：成交供应商与采购人按照《财政部关于进一步加强政府采购需求和履约验收管理的指导意见》（财库〔2016〕205号）等相关要求进行验收。 2、验收标准：按磋商文件的服务内容及要求、成交供应商的响应文件及承诺以及合同约定标准进行验收。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1、预付款，签订服务合同后，达到付款条件起10日内，据实结算说明为签订服务合同后，采购人向成交供应商支付预算金额的40%；</w:t>
            </w:r>
          </w:p>
          <w:p>
            <w:pPr>
              <w:pStyle w:val="null3"/>
              <w:jc w:val="left"/>
            </w:pPr>
            <w:r>
              <w:rPr>
                <w:rFonts w:ascii="仿宋_GB2312" w:hAnsi="仿宋_GB2312" w:cs="仿宋_GB2312" w:eastAsia="仿宋_GB2312"/>
              </w:rPr>
              <w:t>2、尾款，所有服务工作完成并经采购人验收合格后，达到付款条件起10日内，据实结算说明为所有服务工作完成并经采购人验收合格后据实支付，结算金额不超过采购预算。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详见采购合同文本</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投诉受理单位：成都市新都区财政局 联系人：代老师 联系电话：028-89396280-4 地址：成都市新都区马超东路289号金融服务中心7楼714室 注：（1）根据《中华人民共和国政府采购法》及其他有关等规定，供应商投诉事项不得超出已质疑事项的范围，基于质疑答复内容提出的投诉事项除外。（2）投诉书范本详见附件。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详见</w:t>
      </w:r>
      <w:r>
        <w:rPr>
          <w:rFonts w:ascii="仿宋_GB2312" w:hAnsi="仿宋_GB2312" w:cs="仿宋_GB2312" w:eastAsia="仿宋_GB2312"/>
          <w:sz w:val="21"/>
        </w:rPr>
        <w:t>“3.2.技术要求”和“3.3.服务要求”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详见采购合同文本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供应商提供有效的营业执照或法人证书或执业许可证明材料扫描件。</w:t>
            </w:r>
          </w:p>
        </w:tc>
        <w:tc>
          <w:tcPr>
            <w:tcW w:type="dxa" w:w="1661"/>
          </w:tcPr>
          <w:p>
            <w:pPr>
              <w:pStyle w:val="null3"/>
              <w:jc w:val="left"/>
            </w:pPr>
            <w:r>
              <w:rPr>
                <w:rFonts w:ascii="仿宋_GB2312" w:hAnsi="仿宋_GB2312" w:cs="仿宋_GB2312" w:eastAsia="仿宋_GB2312"/>
              </w:rPr>
              <w:t>供应商应当提供的资格、资质性及其他类似效力要求的相关证明材料.docx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供应商须具有有效的《中华人民共和国特种设备检验检测机构核准证》（综合检验机构甲类）或《中华人民共和国特种设备检验检测机构核准证》（甲类检验机构）</w:t>
            </w:r>
          </w:p>
        </w:tc>
        <w:tc>
          <w:tcPr>
            <w:tcW w:type="dxa" w:w="3322"/>
          </w:tcPr>
          <w:p>
            <w:pPr>
              <w:pStyle w:val="null3"/>
              <w:jc w:val="left"/>
            </w:pPr>
            <w:r>
              <w:rPr>
                <w:rFonts w:ascii="仿宋_GB2312" w:hAnsi="仿宋_GB2312" w:cs="仿宋_GB2312" w:eastAsia="仿宋_GB2312"/>
              </w:rPr>
              <w:t>供应商提供有效的《中华人民共和国特种设备检验检测机构核准证》（综合检验机构甲类）或《中华人民共和国特种设备检验检测机构核准证》（甲类检验机构）扫描件并进行电子签章</w:t>
            </w:r>
          </w:p>
        </w:tc>
        <w:tc>
          <w:tcPr>
            <w:tcW w:type="dxa" w:w="1661"/>
          </w:tcPr>
          <w:p>
            <w:pPr>
              <w:pStyle w:val="null3"/>
              <w:jc w:val="left"/>
            </w:pPr>
            <w:r>
              <w:rPr>
                <w:rFonts w:ascii="仿宋_GB2312" w:hAnsi="仿宋_GB2312" w:cs="仿宋_GB2312" w:eastAsia="仿宋_GB2312"/>
              </w:rPr>
              <w:t>供应商应当提供的资格、资质性及其他类似效力要求的相关证明材料.docx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其他实质性要求响应</w:t>
            </w:r>
          </w:p>
        </w:tc>
        <w:tc>
          <w:tcPr>
            <w:tcW w:type="dxa" w:w="3322"/>
          </w:tcPr>
          <w:p>
            <w:pPr>
              <w:pStyle w:val="null3"/>
              <w:jc w:val="left"/>
            </w:pPr>
            <w:r>
              <w:rPr>
                <w:rFonts w:ascii="仿宋_GB2312" w:hAnsi="仿宋_GB2312" w:cs="仿宋_GB2312" w:eastAsia="仿宋_GB2312"/>
              </w:rPr>
              <w:t>按磋商文件实质性要求进行响应。</w:t>
            </w:r>
          </w:p>
        </w:tc>
        <w:tc>
          <w:tcPr>
            <w:tcW w:type="dxa" w:w="1661"/>
          </w:tcPr>
          <w:p>
            <w:pPr>
              <w:pStyle w:val="null3"/>
              <w:jc w:val="left"/>
            </w:pPr>
            <w:r>
              <w:rPr>
                <w:rFonts w:ascii="仿宋_GB2312" w:hAnsi="仿宋_GB2312" w:cs="仿宋_GB2312" w:eastAsia="仿宋_GB2312"/>
              </w:rPr>
              <w:t>响应文件封面,服务需求偏离表.docx,报价表,投标（响应）函,商务偏离表.docx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项目需求分析、实施方案、进度计划与质量保障措施、应急处理方案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项目需求分析</w:t>
            </w:r>
          </w:p>
        </w:tc>
        <w:tc>
          <w:tcPr>
            <w:tcW w:type="dxa" w:w="2575"/>
          </w:tcPr>
          <w:p>
            <w:pPr>
              <w:pStyle w:val="null3"/>
              <w:jc w:val="left"/>
            </w:pPr>
            <w:r>
              <w:rPr>
                <w:rFonts w:ascii="仿宋_GB2312" w:hAnsi="仿宋_GB2312" w:cs="仿宋_GB2312" w:eastAsia="仿宋_GB2312"/>
              </w:rPr>
              <w:t>根据供应商针对本项目提供的项目需求分析进行评审，包括：①项目背景；②项目重点、难点及关键点分析；③项目重点、难点及关键点工作的应对措施。上述内容齐全且无缺陷得9分；每缺一项内容扣3分，每有一项存在缺陷扣1.5分，单项分值扣完为止。 说明：缺陷指方案存在项目名称错误、地点区域错误、内容与本项目需求无关、方案内容矛盾、内容不利于项目实施、仅有框架或标题、适用的标准（方法）错误、明显复制其他项目内容、方案内容仅照搬项目需求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实施方案进行评审，包括：①抽查流程安排；②各类设备抽查方案；③保密措施；④技术保障措施。上述内容齐全且无缺陷得16分；每缺一项内容扣4分，每有一项存在缺陷扣2分，单项分值扣完为止。 说明：缺陷指方案存在项目名称错误、地点区域错误、内容与本项目需求无关、方案内容矛盾、内容不利于项目实施、仅有框架或标题、适用的标准（方法）错误、明显复制其他项目内容、方案内容仅照搬项目需求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进度计划与质量保障措施</w:t>
            </w:r>
          </w:p>
        </w:tc>
        <w:tc>
          <w:tcPr>
            <w:tcW w:type="dxa" w:w="2575"/>
          </w:tcPr>
          <w:p>
            <w:pPr>
              <w:pStyle w:val="null3"/>
              <w:jc w:val="left"/>
            </w:pPr>
            <w:r>
              <w:rPr>
                <w:rFonts w:ascii="仿宋_GB2312" w:hAnsi="仿宋_GB2312" w:cs="仿宋_GB2312" w:eastAsia="仿宋_GB2312"/>
              </w:rPr>
              <w:t>根据供应商针对本项目提供的进度计划与质量保障措施进行评审，包括：①项目的管理流程；②进度保证措施；③抽查过程质量保障措施；④抽查成果质量保障措施。上述内容齐全且无缺陷得16分；每缺一项内容扣4分，每有一项存在缺陷扣2分，单项分值扣完为止。 说明：缺陷指方案存在项目名称错误、地点区域错误、内容与本项目需求无关、方案内容矛盾、内容不利于项目实施、仅有框架或标题、适用的标准（方法）错误、明显复制其他项目内容、方案内容仅照搬项目需求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575"/>
          </w:tcPr>
          <w:p>
            <w:pPr>
              <w:pStyle w:val="null3"/>
              <w:jc w:val="left"/>
            </w:pPr>
            <w:r>
              <w:rPr>
                <w:rFonts w:ascii="仿宋_GB2312" w:hAnsi="仿宋_GB2312" w:cs="仿宋_GB2312" w:eastAsia="仿宋_GB2312"/>
              </w:rPr>
              <w:t>根据供应商针对本项目提供的应急处理方案进行评审，包括：①应急响应方案；②应急处理流程；③现场应急处理措施；④应急善后处理方案。上述内容齐全且无缺陷得14分；每缺一项内容扣3.5分，每有一项存在缺陷扣1.75分，单项分值扣完为止。 说明：缺陷指方案存在项目名称错误、地点区域错误、内容与本项目需求无关、方案内容矛盾、内容不利于项目实施、仅有框架或标题、适用的标准（方法）错误、明显复制其他项目内容、方案内容仅照搬项目需求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供应商自2023年1月1日（含）以来每提供1个特种设备安全监督抽查或评估项目业绩的得3分，最多得15分。 说明：提供合同或中标（成交）通知书扫描件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供应商拟派本项目的人员中： 每有一名人员具有特种设备检验专业高级及以上职称得4分，每有一名人员具有特种设备检验专业中级职称得2分，本项最多得20分。 说明：提供职称证书和在职证明扫描件</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供应商认为需要提供的其他材料.docx</w:t>
            </w:r>
          </w:p>
          <w:p>
            <w:pPr>
              <w:pStyle w:val="null3"/>
              <w:jc w:val="left"/>
            </w:pPr>
            <w:r>
              <w:rPr>
                <w:rFonts w:ascii="仿宋_GB2312" w:hAnsi="仿宋_GB2312" w:cs="仿宋_GB2312" w:eastAsia="仿宋_GB2312"/>
              </w:rPr>
              <w:t>人员情况表.docx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以满足磋商文件要求且最后报价最低的磋商报价为评审基准价，其价格分为满分。其他供应商的价格分统一按照下列公式计算：磋商报价得分=（评审基准价／磋商报价）×分值。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对供应商为小型和微型企业（含监狱企业、残疾人福利性单位）的磋商报价给予20%的扣除，用扣除后的价格参与评审。</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详见附件：供应商认为需要提供的其他材料.docx</w:t>
      </w:r>
    </w:p>
    <w:p>
      <w:pPr>
        <w:pStyle w:val="null3"/>
        <w:ind w:firstLine="960"/>
        <w:jc w:val="left"/>
      </w:pPr>
      <w:r>
        <w:rPr>
          <w:rFonts w:ascii="仿宋_GB2312" w:hAnsi="仿宋_GB2312" w:cs="仿宋_GB2312" w:eastAsia="仿宋_GB2312"/>
        </w:rPr>
        <w:t>详见附件：供应商应当提供的资格、资质性及其他类似效力要求的相关证明材料.docx</w:t>
      </w:r>
    </w:p>
    <w:p>
      <w:pPr>
        <w:pStyle w:val="null3"/>
        <w:ind w:firstLine="960"/>
        <w:jc w:val="left"/>
      </w:pPr>
      <w:r>
        <w:rPr>
          <w:rFonts w:ascii="仿宋_GB2312" w:hAnsi="仿宋_GB2312" w:cs="仿宋_GB2312" w:eastAsia="仿宋_GB2312"/>
        </w:rPr>
        <w:t>详见附件：商务偏离表.docx</w:t>
      </w:r>
    </w:p>
    <w:p>
      <w:pPr>
        <w:pStyle w:val="null3"/>
        <w:ind w:firstLine="960"/>
        <w:jc w:val="left"/>
      </w:pPr>
      <w:r>
        <w:rPr>
          <w:rFonts w:ascii="仿宋_GB2312" w:hAnsi="仿宋_GB2312" w:cs="仿宋_GB2312" w:eastAsia="仿宋_GB2312"/>
        </w:rPr>
        <w:t>详见附件：服务需求偏离表.docx</w:t>
      </w:r>
    </w:p>
    <w:p>
      <w:pPr>
        <w:pStyle w:val="null3"/>
        <w:ind w:firstLine="960"/>
        <w:jc w:val="left"/>
      </w:pPr>
      <w:r>
        <w:rPr>
          <w:rFonts w:ascii="仿宋_GB2312" w:hAnsi="仿宋_GB2312" w:cs="仿宋_GB2312" w:eastAsia="仿宋_GB2312"/>
        </w:rPr>
        <w:t>详见附件：项目方案.docx</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