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版本号：N510623202600001920260225001</w:t>
      </w:r>
    </w:p>
    <w:p>
      <w:pPr>
        <w:pStyle w:val="null3"/>
        <w:jc w:val="left"/>
        <w:outlineLvl w:val="0"/>
      </w:pPr>
      <w:r>
        <w:rPr>
          <w:rFonts w:ascii="仿宋_GB2312" w:hAnsi="仿宋_GB2312" w:cs="仿宋_GB2312" w:eastAsia="仿宋_GB2312"/>
          <w:sz w:val="48"/>
          <w:b/>
        </w:rPr>
        <w:t>单一来源采购文件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2025年丘陵山区创新攻关农机装备熟化与推广项目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N5106232026000019</w:t>
      </w:r>
    </w:p>
    <w:p>
      <w:pPr>
        <w:pStyle w:val="null3"/>
        <w:jc w:val="left"/>
        <w:outlineLvl w:val="2"/>
      </w:pPr>
      <w:r>
        <w:rPr>
          <w:rFonts w:ascii="仿宋_GB2312" w:hAnsi="仿宋_GB2312" w:cs="仿宋_GB2312" w:eastAsia="仿宋_GB2312"/>
          <w:sz w:val="28"/>
          <w:b/>
        </w:rPr>
        <w:t>中江县农业农村局</w:t>
      </w:r>
    </w:p>
    <w:p>
      <w:pPr>
        <w:pStyle w:val="null3"/>
        <w:jc w:val="center"/>
        <w:outlineLvl w:val="2"/>
      </w:pPr>
      <w:r>
        <w:rPr>
          <w:rFonts w:ascii="仿宋_GB2312" w:hAnsi="仿宋_GB2312" w:cs="仿宋_GB2312" w:eastAsia="仿宋_GB2312"/>
          <w:sz w:val="28"/>
          <w:b/>
        </w:rPr>
        <w:t>四川宏祥景工程项目管理有限公司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2026年02月25日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ind w:firstLine="480"/>
        <w:jc w:val="left"/>
      </w:pPr>
      <w:r>
        <w:rPr>
          <w:rFonts w:ascii="仿宋_GB2312" w:hAnsi="仿宋_GB2312" w:cs="仿宋_GB2312" w:eastAsia="仿宋_GB2312"/>
        </w:rPr>
        <w:t>四川宏祥景工程项目管理有限公司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中江县农业农村局</w:t>
      </w:r>
      <w:r>
        <w:rPr>
          <w:rFonts w:ascii="仿宋_GB2312" w:hAnsi="仿宋_GB2312" w:cs="仿宋_GB2312" w:eastAsia="仿宋_GB2312"/>
        </w:rPr>
        <w:t xml:space="preserve"> 委托，拟对 </w:t>
      </w:r>
      <w:r>
        <w:rPr>
          <w:rFonts w:ascii="仿宋_GB2312" w:hAnsi="仿宋_GB2312" w:cs="仿宋_GB2312" w:eastAsia="仿宋_GB2312"/>
        </w:rPr>
        <w:t>2025年丘陵山区创新攻关农机装备熟化与推广项目</w:t>
      </w:r>
      <w:r>
        <w:rPr>
          <w:rFonts w:ascii="仿宋_GB2312" w:hAnsi="仿宋_GB2312" w:cs="仿宋_GB2312" w:eastAsia="仿宋_GB2312"/>
        </w:rPr>
        <w:t xml:space="preserve"> 采用单一来源采购方式进行采购，兹邀请你单位参加该项目的单一来源协商。本项目为四川省</w:t>
      </w:r>
      <w:r>
        <w:rPr>
          <w:rFonts w:ascii="仿宋_GB2312" w:hAnsi="仿宋_GB2312" w:cs="仿宋_GB2312" w:eastAsia="仿宋_GB2312"/>
        </w:rPr>
        <w:t>德阳市中江县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N5106232026000019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2025年丘陵山区创新攻关农机装备熟化与推广项目</w:t>
      </w:r>
    </w:p>
    <w:p>
      <w:pPr>
        <w:pStyle w:val="null3"/>
        <w:jc w:val="left"/>
        <w:outlineLvl w:val="2"/>
      </w:pPr>
      <w:r>
        <w:rPr>
          <w:rFonts w:ascii="仿宋_GB2312" w:hAnsi="仿宋_GB2312" w:cs="仿宋_GB2312" w:eastAsia="仿宋_GB2312"/>
          <w:sz w:val="28"/>
          <w:b/>
        </w:rPr>
        <w:t>1.3.协商项目简介</w:t>
      </w:r>
    </w:p>
    <w:p>
      <w:pPr>
        <w:pStyle w:val="null3"/>
        <w:ind w:firstLine="480"/>
        <w:jc w:val="left"/>
      </w:pPr>
      <w:r>
        <w:rPr>
          <w:rFonts w:ascii="仿宋_GB2312" w:hAnsi="仿宋_GB2312" w:cs="仿宋_GB2312" w:eastAsia="仿宋_GB2312"/>
        </w:rPr>
        <w:t>中江县丘陵山区创新攻关农机装备熟化与推广项目。第一包：大豆玉米旋耕播种机：第二包：智能插秧系统。</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以书面形式邀请唯一供应商参与单一来源协商。</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采购包2：专门面向中小企业采购。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采购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1.7.单一来源采购文件获取时间、方式及地址：</w:t>
      </w:r>
    </w:p>
    <w:p>
      <w:pPr>
        <w:pStyle w:val="null3"/>
        <w:ind w:firstLine="480"/>
        <w:jc w:val="left"/>
      </w:pPr>
      <w:r>
        <w:rPr>
          <w:rFonts w:ascii="仿宋_GB2312" w:hAnsi="仿宋_GB2312" w:cs="仿宋_GB2312" w:eastAsia="仿宋_GB2312"/>
        </w:rPr>
        <w:t>一、单一来源采购文件获取时间：详见邀请书。</w:t>
      </w:r>
    </w:p>
    <w:p>
      <w:pPr>
        <w:pStyle w:val="null3"/>
        <w:ind w:firstLine="480"/>
        <w:jc w:val="left"/>
      </w:pPr>
      <w:r>
        <w:rPr>
          <w:rFonts w:ascii="仿宋_GB2312" w:hAnsi="仿宋_GB2312" w:cs="仿宋_GB2312" w:eastAsia="仿宋_GB2312"/>
        </w:rPr>
        <w:t>二、采购人或者代理机构应当在单一来源采购文件获取时间开始前，将本项目电子单一来源采购文件上传至交易系统，向供应商免费提供，供应商通过交易系统获取单一来源采购文件。供应商成功获取单一来源采购文件后，将收到已获取单一来源采购文件的回执单。未按规定获取单一来源采购文件的供应商，不得参与本次采购活动，不得对单一来源采购文件提起质疑。</w:t>
      </w:r>
    </w:p>
    <w:p>
      <w:pPr>
        <w:pStyle w:val="null3"/>
        <w:ind w:firstLine="480"/>
        <w:jc w:val="left"/>
      </w:pPr>
      <w:r>
        <w:rPr>
          <w:rFonts w:ascii="仿宋_GB2312" w:hAnsi="仿宋_GB2312" w:cs="仿宋_GB2312" w:eastAsia="仿宋_GB2312"/>
        </w:rPr>
        <w:t>注：获取的采购文件由正文和附件组成，正文部分包括pdf、word两种格式版本，如内容有不一致的，以pdf格式内容为准。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一、提交响应文件截止时间及开启时间：详见邀请书。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中江县农业农村局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中江县凯江镇一环路中段618号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刘李逵</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0838-7133673</w:t>
      </w:r>
    </w:p>
    <w:p>
      <w:pPr>
        <w:pStyle w:val="null3"/>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四川宏祥景工程项目管理有限公司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成都市成华区建设路55号华联·东环广场 13楼8号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蒋雪姣</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13408461554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0"/>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0"/>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0"/>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采购包1：144,000.00元</w:t>
            </w:r>
          </w:p>
          <w:p>
            <w:pPr>
              <w:pStyle w:val="null3"/>
              <w:jc w:val="left"/>
            </w:pPr>
            <w:r>
              <w:rPr>
                <w:rFonts w:ascii="仿宋_GB2312" w:hAnsi="仿宋_GB2312" w:cs="仿宋_GB2312" w:eastAsia="仿宋_GB2312"/>
              </w:rPr>
              <w:t>采购包2：156,000.00元</w:t>
            </w:r>
          </w:p>
          <w:p>
            <w:pPr>
              <w:pStyle w:val="null3"/>
              <w:jc w:val="left"/>
            </w:pPr>
            <w:r>
              <w:rPr>
                <w:rFonts w:ascii="仿宋_GB2312" w:hAnsi="仿宋_GB2312" w:cs="仿宋_GB2312" w:eastAsia="仿宋_GB2312"/>
              </w:rPr>
              <w:t xml:space="preserve"> 供应商报价不得超过采购文件中规定的预算金额，采购人可以在采购预算内合理设定最高限价，供应商报价不得超过最高限价，最高限价详见第三章。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是否接受联合体★</w:t>
            </w:r>
          </w:p>
        </w:tc>
        <w:tc>
          <w:tcPr>
            <w:tcW w:type="dxa" w:w="0"/>
          </w:tcPr>
          <w:p>
            <w:pPr>
              <w:pStyle w:val="null3"/>
              <w:jc w:val="left"/>
            </w:pPr>
            <w:r>
              <w:rPr>
                <w:rFonts w:ascii="仿宋_GB2312" w:hAnsi="仿宋_GB2312" w:cs="仿宋_GB2312" w:eastAsia="仿宋_GB2312"/>
              </w:rPr>
              <w:t>本项目不接受联合体</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投标（响应）保证金★</w:t>
            </w:r>
          </w:p>
        </w:tc>
        <w:tc>
          <w:tcPr>
            <w:tcW w:type="dxa" w:w="0"/>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履约保证金★</w:t>
            </w:r>
          </w:p>
        </w:tc>
        <w:tc>
          <w:tcPr>
            <w:tcW w:type="dxa" w:w="0"/>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响应有效期★</w:t>
            </w:r>
          </w:p>
        </w:tc>
        <w:tc>
          <w:tcPr>
            <w:tcW w:type="dxa" w:w="0"/>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代理服务费★</w:t>
            </w:r>
          </w:p>
        </w:tc>
        <w:tc>
          <w:tcPr>
            <w:tcW w:type="dxa" w:w="0"/>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代理服务费收费标准：参照“计价【 2002 】1980 号”文件规定收取招标代理服务费</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采购结果公告</w:t>
            </w:r>
          </w:p>
        </w:tc>
        <w:tc>
          <w:tcPr>
            <w:tcW w:type="dxa" w:w="0"/>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是否组织潜在供应商现场考察</w:t>
            </w:r>
          </w:p>
        </w:tc>
        <w:tc>
          <w:tcPr>
            <w:tcW w:type="dxa" w:w="0"/>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是否召开采购前答疑会</w:t>
            </w:r>
          </w:p>
        </w:tc>
        <w:tc>
          <w:tcPr>
            <w:tcW w:type="dxa" w:w="0"/>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特殊情况</w:t>
            </w:r>
          </w:p>
        </w:tc>
        <w:tc>
          <w:tcPr>
            <w:tcW w:type="dxa" w:w="0"/>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协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报价/分值精确度</w:t>
            </w:r>
          </w:p>
        </w:tc>
        <w:tc>
          <w:tcPr>
            <w:tcW w:type="dxa" w:w="0"/>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实质性要求</w:t>
            </w:r>
          </w:p>
        </w:tc>
        <w:tc>
          <w:tcPr>
            <w:tcW w:type="dxa" w:w="0"/>
          </w:tcPr>
          <w:p>
            <w:pPr>
              <w:pStyle w:val="null3"/>
              <w:jc w:val="left"/>
            </w:pPr>
            <w:r>
              <w:rPr>
                <w:rFonts w:ascii="仿宋_GB2312" w:hAnsi="仿宋_GB2312" w:cs="仿宋_GB2312" w:eastAsia="仿宋_GB2312"/>
              </w:rPr>
              <w:t>本采购文件中“★”要求为实质性要求。供应商应当按照第五章评审程序中的符合性审查规定，在响应文件中进行实质性响应，否则作无效响应处理。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其他说明</w:t>
            </w:r>
          </w:p>
        </w:tc>
        <w:tc>
          <w:tcPr>
            <w:tcW w:type="dxa" w:w="0"/>
          </w:tcPr>
          <w:p>
            <w:pPr>
              <w:pStyle w:val="null3"/>
              <w:jc w:val="left"/>
            </w:pPr>
            <w:r>
              <w:rPr>
                <w:rFonts w:ascii="仿宋_GB2312" w:hAnsi="仿宋_GB2312" w:cs="仿宋_GB2312" w:eastAsia="仿宋_GB2312"/>
              </w:rPr>
              <w:t>本采购文件所称的“以上”、“以下”、“内”、“以内”、“不少于”包括本数；所称的“不足”、“低于”、“超过”不包括本数。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一、本采购文件仅适用于本次单一来源采购项目。</w:t>
      </w:r>
    </w:p>
    <w:p>
      <w:pPr>
        <w:pStyle w:val="null3"/>
        <w:ind w:firstLine="480"/>
        <w:jc w:val="left"/>
      </w:pPr>
      <w:r>
        <w:rPr>
          <w:rFonts w:ascii="仿宋_GB2312" w:hAnsi="仿宋_GB2312" w:cs="仿宋_GB2312" w:eastAsia="仿宋_GB2312"/>
        </w:rPr>
        <w:t xml:space="preserve">二、本采购文件由 </w:t>
      </w:r>
      <w:r>
        <w:rPr>
          <w:rFonts w:ascii="仿宋_GB2312" w:hAnsi="仿宋_GB2312" w:cs="仿宋_GB2312" w:eastAsia="仿宋_GB2312"/>
        </w:rPr>
        <w:t>中江县农业农村局</w:t>
      </w:r>
      <w:r>
        <w:rPr>
          <w:rFonts w:ascii="仿宋_GB2312" w:hAnsi="仿宋_GB2312" w:cs="仿宋_GB2312" w:eastAsia="仿宋_GB2312"/>
        </w:rPr>
        <w:t xml:space="preserve"> 和 </w:t>
      </w:r>
      <w:r>
        <w:rPr>
          <w:rFonts w:ascii="仿宋_GB2312" w:hAnsi="仿宋_GB2312" w:cs="仿宋_GB2312" w:eastAsia="仿宋_GB2312"/>
        </w:rPr>
        <w:t>四川宏祥景工程项目管理有限公司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一、“采购人”是指依法进行政府采购的国家机关、事业单位、团体组织。本次协商的采购人是 </w:t>
      </w:r>
      <w:r>
        <w:rPr>
          <w:rFonts w:ascii="仿宋_GB2312" w:hAnsi="仿宋_GB2312" w:cs="仿宋_GB2312" w:eastAsia="仿宋_GB2312"/>
        </w:rPr>
        <w:t>中江县农业农村局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二、“供应商”是指按照采购邀请书规定获取采购文件，参加采购活动的法人、其他组织或者自然人。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四川宏祥景工程项目管理有限公司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五、“电子评审”是指协商小组开展资格审查、符合性审查、协商、确定供应商成交、出具协商情况记录等活动。</w:t>
      </w:r>
    </w:p>
    <w:p>
      <w:pPr>
        <w:pStyle w:val="null3"/>
        <w:jc w:val="left"/>
        <w:outlineLvl w:val="2"/>
      </w:pPr>
      <w:r>
        <w:rPr>
          <w:rFonts w:ascii="仿宋_GB2312" w:hAnsi="仿宋_GB2312" w:cs="仿宋_GB2312" w:eastAsia="仿宋_GB2312"/>
          <w:sz w:val="28"/>
          <w:b/>
        </w:rPr>
        <w:t>2.3.采购文件</w:t>
      </w:r>
    </w:p>
    <w:p>
      <w:pPr>
        <w:pStyle w:val="null3"/>
        <w:jc w:val="left"/>
        <w:outlineLvl w:val="3"/>
      </w:pPr>
      <w:r>
        <w:rPr>
          <w:rFonts w:ascii="仿宋_GB2312" w:hAnsi="仿宋_GB2312" w:cs="仿宋_GB2312" w:eastAsia="仿宋_GB2312"/>
          <w:sz w:val="24"/>
          <w:b/>
        </w:rPr>
        <w:t>2.3.1.采购文件的构成</w:t>
      </w:r>
    </w:p>
    <w:p>
      <w:pPr>
        <w:pStyle w:val="null3"/>
        <w:ind w:firstLine="480"/>
        <w:jc w:val="left"/>
      </w:pPr>
      <w:r>
        <w:rPr>
          <w:rFonts w:ascii="仿宋_GB2312" w:hAnsi="仿宋_GB2312" w:cs="仿宋_GB2312" w:eastAsia="仿宋_GB2312"/>
        </w:rPr>
        <w:t>采购文件由采购人、代理机构通过交易系统编制、确认，是项目采购活动开展的基本依据，主要包括以下内容：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一、协商邀请；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四、协商过程中可实质性变动的内容；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2.3.2.采购文件的澄清或者修改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一、提交首次响应文件截止之日前，采购人或者代理机构可以对已发出的采购文件进行必要的澄清或者修改。</w:t>
      </w:r>
    </w:p>
    <w:p>
      <w:pPr>
        <w:pStyle w:val="null3"/>
        <w:ind w:firstLine="480"/>
        <w:jc w:val="left"/>
      </w:pPr>
      <w:r>
        <w:rPr>
          <w:rFonts w:ascii="仿宋_GB2312" w:hAnsi="仿宋_GB2312" w:cs="仿宋_GB2312" w:eastAsia="仿宋_GB2312"/>
        </w:rPr>
        <w:t>二、澄清或者修改的内容为采购文件的组成部分，采购人或者代理机构将更正后的采购文件上传至交易系统，通过交易系统向已获取采购文件的供应商发送更正通知。更正内容可能影响响应文件编制的，采购人或者代理机构应当在提交首次响应文件截止之日3个工作日前，通过交易系统向已获取采购文件的供应商发送更正信息，不足3个工作日的，应当顺延提交首次响应文件截止之日。</w:t>
      </w:r>
    </w:p>
    <w:p>
      <w:pPr>
        <w:pStyle w:val="null3"/>
        <w:ind w:firstLine="480"/>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三、采购人或者代理机构通过交易系统发出更正通知的同时，即为送达供应商。供应商应当及时查看更正信息，并根据更正信息要求，获取更正后的采购文件，进行响应文件编制。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协商小组在协商过程中的所有来往书面文件原则上使用中文。响应文件中如附有外文资料，要对应翻译成中文并附在相关外文资料后面，未翻译的外文资料，协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除采购文件中另有规定外，本项目均采用国家法定的计量单位。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按照采购文件第五章评审办法规定进行价格修正的，修正后的报价经供应商加盖电子印章确认后产生约束力。未在规定时间内确认的，视同供应商不确认，作无效响应处理。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一、供应商应当按照采购文件规定编制响应文件，采购文件第六章对响应文件格式有要求的，按照格式要求编制响应文件，没有格式要求的，由供应商自行编写。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未按采购文件和采购平台操作规范编制、确认、加密、盖章和提交的响应文件，将被拒绝接收。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 ★</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2.5.开启、评审和确定供应商成交</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提交响应文件截止时间后，成功提交响应文件的供应商符合采购文件规定数量的，代理机构将启动响应文件解密程序，解密时间为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详见采购文件第五章。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一、协商小组确认供应商成交后，代理机构在四川政府采购网发布成交结果公告、通过交易系统发出成交通知书，成交供应商通过交易系统获取成交通知书。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二、采购人和成交供应商签订的书面合同不得对采购文件确定的事项以及成交供应商的响应文件作实质性修改，采购人不得向成交供应商提出任何不合理的要求作为签订合同的条件。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ind w:firstLine="480"/>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完成安装调试后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安全调试完成</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采购人将严格按照政府采购相关法律法规以及《财政部关于进一步加强政府采购需求和履约验收管理的指导意见》（财库[2016]205号）的要求进行验收。验收结果合格的，成交人凭验收报告办理相关手续；验收结果不合格的,将不予支付采购资金，同时报告本项目同级财政部门按照政府采购法律法规和《财政部关于在政府采购活动中查询及使用信用记录有关问题的通知》（财库〔2016〕125号）等有关规定给予行政处罚或者以失信行为记入诚信档案。</w:t>
      </w:r>
    </w:p>
    <w:p>
      <w:pPr>
        <w:pStyle w:val="null3"/>
        <w:jc w:val="left"/>
      </w:pPr>
      <w:r>
        <w:rPr>
          <w:rFonts w:ascii="仿宋_GB2312" w:hAnsi="仿宋_GB2312" w:cs="仿宋_GB2312" w:eastAsia="仿宋_GB2312"/>
        </w:rPr>
        <w:t>采购包2：</w:t>
      </w:r>
      <w:r>
        <w:rPr>
          <w:rFonts w:ascii="仿宋_GB2312" w:hAnsi="仿宋_GB2312" w:cs="仿宋_GB2312" w:eastAsia="仿宋_GB2312"/>
        </w:rPr>
        <w:t>本项目采购人将严格按照政府采购相关法律法规以及《财政部关于进一步加强政府采购需求和履约验收管理的指导意见》（财库[2016]205号）的要求进行验收。验收结果合格的，成交人凭验收报告办理相关手续；验收结果不合格的,将不予支付采购资金，同时报告本项目同级财政部门按照政府采购法律法规和《财政部关于在政府采购活动中查询及使用信用记录有关问题的通知》（财库〔2016〕125号）等有关规定给予行政处罚或者以失信行为记入诚信档案。</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采购人将严格按照政府采购相关法律法规以及《财政部关于进一步加强政府采购需求和履约验收管理的指导意见》（财库[2016]205号）的要求进行验收。验收结果合格的，成交人凭验收报告办理相关手续；验收结果不合格的,将不予支付采购资金，同时报告本项目同级财政部门按照政府采购法律法规和《财政部关于在政府采购活动中查询及使用信用记录有关问题的通知》（财库〔2016〕125号）等有关规定给予行政处罚或者以失信行为记入诚信档案。</w:t>
      </w:r>
    </w:p>
    <w:p>
      <w:pPr>
        <w:pStyle w:val="null3"/>
        <w:jc w:val="left"/>
      </w:pPr>
      <w:r>
        <w:rPr>
          <w:rFonts w:ascii="仿宋_GB2312" w:hAnsi="仿宋_GB2312" w:cs="仿宋_GB2312" w:eastAsia="仿宋_GB2312"/>
        </w:rPr>
        <w:t>采购包2：</w:t>
      </w:r>
      <w:r>
        <w:rPr>
          <w:rFonts w:ascii="仿宋_GB2312" w:hAnsi="仿宋_GB2312" w:cs="仿宋_GB2312" w:eastAsia="仿宋_GB2312"/>
        </w:rPr>
        <w:t>本项目采购人将严格按照政府采购相关法律法规以及《财政部关于进一步加强政府采购需求和履约验收管理的指导意见》（财库[2016]205号）的要求进行验收。验收结果合格的，成交人凭验收报告办理相关手续；验收结果不合格的,将不予支付采购资金，同时报告本项目同级财政部门按照政府采购法律法规和《财政部关于在政府采购活动中查询及使用信用记录有关问题的通知》（财库〔2016〕125号）等有关规定给予行政处罚或者以失信行为记入诚信档案。</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采购人将严格按照政府采购相关法律法规以及《财政部关于进一步加强政府采购需求和履约验收管理的指导意见》（财库[2016]205号）的要求进行验收。验收结果合格的，成交人凭验收报告办理相关手续；验收结果不合格的,将不予支付采购资金，同时报告本项目同级财政部门按照政府采购法律法规和《财政部关于在政府采购活动中查询及使用信用记录有关问题的通知》（财库〔2016〕125号）等有关规定给予行政处罚或者以失信行为记入诚信档案。</w:t>
      </w:r>
    </w:p>
    <w:p>
      <w:pPr>
        <w:pStyle w:val="null3"/>
        <w:jc w:val="left"/>
      </w:pPr>
      <w:r>
        <w:rPr>
          <w:rFonts w:ascii="仿宋_GB2312" w:hAnsi="仿宋_GB2312" w:cs="仿宋_GB2312" w:eastAsia="仿宋_GB2312"/>
        </w:rPr>
        <w:t>采购包2：</w:t>
      </w:r>
      <w:r>
        <w:rPr>
          <w:rFonts w:ascii="仿宋_GB2312" w:hAnsi="仿宋_GB2312" w:cs="仿宋_GB2312" w:eastAsia="仿宋_GB2312"/>
        </w:rPr>
        <w:t>本项目采购人将严格按照政府采购相关法律法规以及《财政部关于进一步加强政府采购需求和履约验收管理的指导意见》（财库[2016]205号）的要求进行验收。验收结果合格的，成交人凭验收报告办理相关手续；验收结果不合格的,将不予支付采购资金，同时报告本项目同级财政部门按照政府采购法律法规和《财政部关于在政府采购活动中查询及使用信用记录有关问题的通知》（财库〔2016〕125号）等有关规定给予行政处罚或者以失信行为记入诚信档案。</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供应商参加协商不得有下列情形：</w:t>
      </w:r>
    </w:p>
    <w:p>
      <w:pPr>
        <w:pStyle w:val="null3"/>
        <w:ind w:firstLine="480"/>
        <w:jc w:val="left"/>
      </w:pPr>
      <w:r>
        <w:rPr>
          <w:rFonts w:ascii="仿宋_GB2312" w:hAnsi="仿宋_GB2312" w:cs="仿宋_GB2312" w:eastAsia="仿宋_GB2312"/>
        </w:rPr>
        <w:t>一、提供虚假材料谋取成交；</w:t>
      </w:r>
    </w:p>
    <w:p>
      <w:pPr>
        <w:pStyle w:val="null3"/>
        <w:ind w:firstLine="480"/>
        <w:jc w:val="left"/>
      </w:pPr>
      <w:r>
        <w:rPr>
          <w:rFonts w:ascii="仿宋_GB2312" w:hAnsi="仿宋_GB2312" w:cs="仿宋_GB2312" w:eastAsia="仿宋_GB2312"/>
        </w:rPr>
        <w:t>二、与采购人或者代理机构恶意串通；</w:t>
      </w:r>
    </w:p>
    <w:p>
      <w:pPr>
        <w:pStyle w:val="null3"/>
        <w:ind w:firstLine="480"/>
        <w:jc w:val="left"/>
      </w:pPr>
      <w:r>
        <w:rPr>
          <w:rFonts w:ascii="仿宋_GB2312" w:hAnsi="仿宋_GB2312" w:cs="仿宋_GB2312" w:eastAsia="仿宋_GB2312"/>
        </w:rPr>
        <w:t>三、向采购人或者代理机构、协商小组成员行贿或者提供其他不正当利益；</w:t>
      </w:r>
    </w:p>
    <w:p>
      <w:pPr>
        <w:pStyle w:val="null3"/>
        <w:ind w:firstLine="480"/>
        <w:jc w:val="left"/>
      </w:pPr>
      <w:r>
        <w:rPr>
          <w:rFonts w:ascii="仿宋_GB2312" w:hAnsi="仿宋_GB2312" w:cs="仿宋_GB2312" w:eastAsia="仿宋_GB2312"/>
        </w:rPr>
        <w:t>四、成交后无正当理由拒不与采购人签订政府采购合同；</w:t>
      </w:r>
    </w:p>
    <w:p>
      <w:pPr>
        <w:pStyle w:val="null3"/>
        <w:ind w:firstLine="480"/>
        <w:jc w:val="left"/>
      </w:pPr>
      <w:r>
        <w:rPr>
          <w:rFonts w:ascii="仿宋_GB2312" w:hAnsi="仿宋_GB2312" w:cs="仿宋_GB2312" w:eastAsia="仿宋_GB2312"/>
        </w:rPr>
        <w:t>五、未按照采购文件确定的事项签订政府采购合同；</w:t>
      </w:r>
    </w:p>
    <w:p>
      <w:pPr>
        <w:pStyle w:val="null3"/>
        <w:ind w:firstLine="480"/>
        <w:jc w:val="left"/>
      </w:pPr>
      <w:r>
        <w:rPr>
          <w:rFonts w:ascii="仿宋_GB2312" w:hAnsi="仿宋_GB2312" w:cs="仿宋_GB2312" w:eastAsia="仿宋_GB2312"/>
        </w:rPr>
        <w:t>六、将政府采购合同转包或者违规分包；</w:t>
      </w:r>
    </w:p>
    <w:p>
      <w:pPr>
        <w:pStyle w:val="null3"/>
        <w:ind w:firstLine="480"/>
        <w:jc w:val="left"/>
      </w:pPr>
      <w:r>
        <w:rPr>
          <w:rFonts w:ascii="仿宋_GB2312" w:hAnsi="仿宋_GB2312" w:cs="仿宋_GB2312" w:eastAsia="仿宋_GB2312"/>
        </w:rPr>
        <w:t>七、提供假冒伪劣产品；</w:t>
      </w:r>
    </w:p>
    <w:p>
      <w:pPr>
        <w:pStyle w:val="null3"/>
        <w:ind w:firstLine="480"/>
        <w:jc w:val="left"/>
      </w:pPr>
      <w:r>
        <w:rPr>
          <w:rFonts w:ascii="仿宋_GB2312" w:hAnsi="仿宋_GB2312" w:cs="仿宋_GB2312" w:eastAsia="仿宋_GB2312"/>
        </w:rPr>
        <w:t>八、擅自变更、中止或者终止政府采购合同；</w:t>
      </w:r>
    </w:p>
    <w:p>
      <w:pPr>
        <w:pStyle w:val="null3"/>
        <w:ind w:firstLine="480"/>
        <w:jc w:val="left"/>
      </w:pPr>
      <w:r>
        <w:rPr>
          <w:rFonts w:ascii="仿宋_GB2312" w:hAnsi="仿宋_GB2312" w:cs="仿宋_GB2312" w:eastAsia="仿宋_GB2312"/>
        </w:rPr>
        <w:t>九、拒绝有关部门的监督检查或者向监督检查部门提供虚假情况；</w:t>
      </w:r>
    </w:p>
    <w:p>
      <w:pPr>
        <w:pStyle w:val="null3"/>
        <w:ind w:firstLine="480"/>
        <w:jc w:val="left"/>
      </w:pPr>
      <w:r>
        <w:rPr>
          <w:rFonts w:ascii="仿宋_GB2312" w:hAnsi="仿宋_GB2312" w:cs="仿宋_GB2312" w:eastAsia="仿宋_GB2312"/>
        </w:rPr>
        <w:t>十、法律法规规定的其他禁止情形。</w:t>
      </w:r>
    </w:p>
    <w:p>
      <w:pPr>
        <w:pStyle w:val="null3"/>
        <w:ind w:firstLine="480"/>
        <w:jc w:val="left"/>
      </w:pPr>
      <w:r>
        <w:rPr>
          <w:rFonts w:ascii="仿宋_GB2312" w:hAnsi="仿宋_GB2312" w:cs="仿宋_GB2312" w:eastAsia="仿宋_GB2312"/>
        </w:rPr>
        <w:t>供应商有前述一至三条情形之一的，作无效响应处理。成交供应商有前述一至三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根据委托代理协议约定，供应商对采购文件中采购需求的询问、质疑由 </w:t>
      </w:r>
      <w:r>
        <w:rPr>
          <w:rFonts w:ascii="仿宋_GB2312" w:hAnsi="仿宋_GB2312" w:cs="仿宋_GB2312" w:eastAsia="仿宋_GB2312"/>
        </w:rPr>
        <w:t>中江县农业农村局</w:t>
      </w:r>
      <w:r>
        <w:rPr>
          <w:rFonts w:ascii="仿宋_GB2312" w:hAnsi="仿宋_GB2312" w:cs="仿宋_GB2312" w:eastAsia="仿宋_GB2312"/>
        </w:rPr>
        <w:t xml:space="preserve"> 负责答复；供应商对除采购需求外的采购文件的询问、质疑由 </w:t>
      </w:r>
      <w:r>
        <w:rPr>
          <w:rFonts w:ascii="仿宋_GB2312" w:hAnsi="仿宋_GB2312" w:cs="仿宋_GB2312" w:eastAsia="仿宋_GB2312"/>
        </w:rPr>
        <w:t>四川宏祥景工程项目管理有限公司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四川宏祥景工程项目管理有限公司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联系人：林老师</w:t>
      </w:r>
    </w:p>
    <w:p>
      <w:pPr>
        <w:pStyle w:val="null3"/>
        <w:jc w:val="left"/>
      </w:pPr>
      <w:r>
        <w:rPr>
          <w:rFonts w:ascii="仿宋_GB2312" w:hAnsi="仿宋_GB2312" w:cs="仿宋_GB2312" w:eastAsia="仿宋_GB2312"/>
        </w:rPr>
        <w:t>联系电话：0838-7133673</w:t>
      </w:r>
    </w:p>
    <w:p>
      <w:pPr>
        <w:pStyle w:val="null3"/>
        <w:jc w:val="left"/>
      </w:pPr>
      <w:r>
        <w:rPr>
          <w:rFonts w:ascii="仿宋_GB2312" w:hAnsi="仿宋_GB2312" w:cs="仿宋_GB2312" w:eastAsia="仿宋_GB2312"/>
        </w:rPr>
        <w:t>地址：中江县凯江镇一环路中段618号</w:t>
      </w:r>
    </w:p>
    <w:p>
      <w:pPr>
        <w:pStyle w:val="null3"/>
        <w:jc w:val="left"/>
      </w:pPr>
      <w:r>
        <w:rPr>
          <w:rFonts w:ascii="仿宋_GB2312" w:hAnsi="仿宋_GB2312" w:cs="仿宋_GB2312" w:eastAsia="仿宋_GB2312"/>
        </w:rPr>
        <w:t>邮编：618100</w:t>
      </w:r>
    </w:p>
    <w:p>
      <w:pPr>
        <w:pStyle w:val="null3"/>
        <w:ind w:firstLine="480"/>
        <w:jc w:val="left"/>
      </w:pPr>
      <w:r>
        <w:rPr>
          <w:rFonts w:ascii="仿宋_GB2312" w:hAnsi="仿宋_GB2312" w:cs="仿宋_GB2312" w:eastAsia="仿宋_GB2312"/>
        </w:rPr>
        <w:t>三、供应商提出询问，应当明确询问事项，如以书面形式提出的，应由供应商签字并加盖公章。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采购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采购文件提出质疑的，为获取采购文件之日。对更正后的采购文件提出质疑的，如质疑内容为更正内容，为发出采购文件更正通知之日；如质疑内容为原采购文件内容，为获取原采购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（五）针对质疑事项必要的证明材料（针对采购文件提出的质疑，需提交从交易系统获取的采购文件回执单）。</w:t>
      </w:r>
    </w:p>
    <w:p>
      <w:pPr>
        <w:pStyle w:val="null3"/>
        <w:ind w:firstLine="480"/>
        <w:jc w:val="left"/>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协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对经核实排查认定不属于平台系统故障的，采购人、代理机构、供应商、协商小组应按政府采购法律制度和平台操作要求开展后续操作。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协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采购人或者代理机构应当在采购文件中明确线下样品评审规则和方式，不得对供应商实行差别待遇或者歧视性待遇。样品评审应当全过程录音录像，形成书面评审记录上传至交易系统。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144,000.00</w:t>
      </w:r>
    </w:p>
    <w:p>
      <w:pPr>
        <w:pStyle w:val="null3"/>
        <w:jc w:val="left"/>
      </w:pPr>
      <w:r>
        <w:rPr>
          <w:rFonts w:ascii="仿宋_GB2312" w:hAnsi="仿宋_GB2312" w:cs="仿宋_GB2312" w:eastAsia="仿宋_GB2312"/>
        </w:rPr>
        <w:t>采购包最高限价（元）: 144,000.00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A02220300 种植施肥机械</w:t>
            </w:r>
          </w:p>
        </w:tc>
        <w:tc>
          <w:tcPr>
            <w:tcW w:type="dxa" w:w="821"/>
          </w:tcPr>
          <w:p>
            <w:pPr>
              <w:pStyle w:val="null3"/>
              <w:jc w:val="left"/>
            </w:pPr>
            <w:r>
              <w:rPr>
                <w:rFonts w:ascii="仿宋_GB2312" w:hAnsi="仿宋_GB2312" w:cs="仿宋_GB2312" w:eastAsia="仿宋_GB2312"/>
              </w:rPr>
              <w:t>大豆玉米旋耕播种机</w:t>
            </w:r>
          </w:p>
        </w:tc>
        <w:tc>
          <w:tcPr>
            <w:tcW w:type="dxa" w:w="821"/>
          </w:tcPr>
          <w:p>
            <w:pPr>
              <w:pStyle w:val="null3"/>
              <w:jc w:val="right"/>
            </w:pPr>
            <w:r>
              <w:rPr>
                <w:rFonts w:ascii="仿宋_GB2312" w:hAnsi="仿宋_GB2312" w:cs="仿宋_GB2312" w:eastAsia="仿宋_GB2312"/>
              </w:rPr>
              <w:t>6.00（台）</w:t>
            </w:r>
          </w:p>
        </w:tc>
        <w:tc>
          <w:tcPr>
            <w:tcW w:type="dxa" w:w="821"/>
          </w:tcPr>
          <w:p>
            <w:pPr>
              <w:pStyle w:val="null3"/>
              <w:jc w:val="right"/>
            </w:pPr>
            <w:r>
              <w:rPr>
                <w:rFonts w:ascii="仿宋_GB2312" w:hAnsi="仿宋_GB2312" w:cs="仿宋_GB2312" w:eastAsia="仿宋_GB2312"/>
              </w:rPr>
              <w:t>144,000.00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156,000.00</w:t>
      </w:r>
    </w:p>
    <w:p>
      <w:pPr>
        <w:pStyle w:val="null3"/>
        <w:jc w:val="left"/>
      </w:pPr>
      <w:r>
        <w:rPr>
          <w:rFonts w:ascii="仿宋_GB2312" w:hAnsi="仿宋_GB2312" w:cs="仿宋_GB2312" w:eastAsia="仿宋_GB2312"/>
        </w:rPr>
        <w:t>采购包最高限价（元）: 156,000.00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A02229900 其他农业和林业机械</w:t>
            </w:r>
          </w:p>
        </w:tc>
        <w:tc>
          <w:tcPr>
            <w:tcW w:type="dxa" w:w="821"/>
          </w:tcPr>
          <w:p>
            <w:pPr>
              <w:pStyle w:val="null3"/>
              <w:jc w:val="left"/>
            </w:pPr>
            <w:r>
              <w:rPr>
                <w:rFonts w:ascii="仿宋_GB2312" w:hAnsi="仿宋_GB2312" w:cs="仿宋_GB2312" w:eastAsia="仿宋_GB2312"/>
              </w:rPr>
              <w:t>智能插秧系统</w:t>
            </w:r>
          </w:p>
        </w:tc>
        <w:tc>
          <w:tcPr>
            <w:tcW w:type="dxa" w:w="821"/>
          </w:tcPr>
          <w:p>
            <w:pPr>
              <w:pStyle w:val="null3"/>
              <w:jc w:val="right"/>
            </w:pPr>
            <w:r>
              <w:rPr>
                <w:rFonts w:ascii="仿宋_GB2312" w:hAnsi="仿宋_GB2312" w:cs="仿宋_GB2312" w:eastAsia="仿宋_GB2312"/>
              </w:rPr>
              <w:t>6.00（台）</w:t>
            </w:r>
          </w:p>
        </w:tc>
        <w:tc>
          <w:tcPr>
            <w:tcW w:type="dxa" w:w="821"/>
          </w:tcPr>
          <w:p>
            <w:pPr>
              <w:pStyle w:val="null3"/>
              <w:jc w:val="right"/>
            </w:pPr>
            <w:r>
              <w:rPr>
                <w:rFonts w:ascii="仿宋_GB2312" w:hAnsi="仿宋_GB2312" w:cs="仿宋_GB2312" w:eastAsia="仿宋_GB2312"/>
              </w:rPr>
              <w:t>156,000.00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大豆玉米旋耕播种机</w:t>
            </w:r>
          </w:p>
        </w:tc>
        <w:tc>
          <w:tcPr>
            <w:tcW w:type="dxa" w:w="1138"/>
          </w:tcPr>
          <w:p>
            <w:pPr>
              <w:pStyle w:val="null3"/>
              <w:jc w:val="center"/>
            </w:pPr>
            <w:r>
              <w:rPr>
                <w:rFonts w:ascii="仿宋_GB2312" w:hAnsi="仿宋_GB2312" w:cs="仿宋_GB2312" w:eastAsia="仿宋_GB2312"/>
              </w:rPr>
              <w:t>6.00（台）</w:t>
            </w:r>
          </w:p>
        </w:tc>
        <w:tc>
          <w:tcPr>
            <w:tcW w:type="dxa" w:w="1365"/>
          </w:tcPr>
          <w:p>
            <w:pPr>
              <w:pStyle w:val="null3"/>
              <w:jc w:val="center"/>
            </w:pPr>
            <w:r>
              <w:rPr>
                <w:rFonts w:ascii="仿宋_GB2312" w:hAnsi="仿宋_GB2312" w:cs="仿宋_GB2312" w:eastAsia="仿宋_GB2312"/>
              </w:rPr>
              <w:t>144,000.00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智能插秧系统</w:t>
            </w:r>
          </w:p>
        </w:tc>
        <w:tc>
          <w:tcPr>
            <w:tcW w:type="dxa" w:w="1138"/>
          </w:tcPr>
          <w:p>
            <w:pPr>
              <w:pStyle w:val="null3"/>
              <w:jc w:val="center"/>
            </w:pPr>
            <w:r>
              <w:rPr>
                <w:rFonts w:ascii="仿宋_GB2312" w:hAnsi="仿宋_GB2312" w:cs="仿宋_GB2312" w:eastAsia="仿宋_GB2312"/>
              </w:rPr>
              <w:t>6.00（台）</w:t>
            </w:r>
          </w:p>
        </w:tc>
        <w:tc>
          <w:tcPr>
            <w:tcW w:type="dxa" w:w="1365"/>
          </w:tcPr>
          <w:p>
            <w:pPr>
              <w:pStyle w:val="null3"/>
              <w:jc w:val="center"/>
            </w:pPr>
            <w:r>
              <w:rPr>
                <w:rFonts w:ascii="仿宋_GB2312" w:hAnsi="仿宋_GB2312" w:cs="仿宋_GB2312" w:eastAsia="仿宋_GB2312"/>
              </w:rPr>
              <w:t>156,000.00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A02220300 种植施肥机械</w:t>
            </w:r>
          </w:p>
        </w:tc>
        <w:tc>
          <w:tcPr>
            <w:tcW w:type="dxa" w:w="2492"/>
          </w:tcPr>
          <w:p>
            <w:pPr>
              <w:pStyle w:val="null3"/>
              <w:jc w:val="left"/>
            </w:pPr>
            <w:r>
              <w:rPr>
                <w:rFonts w:ascii="仿宋_GB2312" w:hAnsi="仿宋_GB2312" w:cs="仿宋_GB2312" w:eastAsia="仿宋_GB2312"/>
              </w:rPr>
              <w:t>大豆玉米旋耕播种机</w:t>
            </w:r>
          </w:p>
        </w:tc>
        <w:tc>
          <w:tcPr>
            <w:tcW w:type="dxa" w:w="2492"/>
          </w:tcPr>
          <w:p>
            <w:pPr>
              <w:pStyle w:val="null3"/>
              <w:jc w:val="left"/>
            </w:pPr>
            <w:r>
              <w:rPr>
                <w:rFonts w:ascii="仿宋_GB2312" w:hAnsi="仿宋_GB2312" w:cs="仿宋_GB2312" w:eastAsia="仿宋_GB2312"/>
              </w:rPr>
              <w:t>大豆玉米旋耕播种机</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A02229900 其他农业和林业机械</w:t>
            </w:r>
          </w:p>
        </w:tc>
        <w:tc>
          <w:tcPr>
            <w:tcW w:type="dxa" w:w="2492"/>
          </w:tcPr>
          <w:p>
            <w:pPr>
              <w:pStyle w:val="null3"/>
              <w:jc w:val="left"/>
            </w:pPr>
            <w:r>
              <w:rPr>
                <w:rFonts w:ascii="仿宋_GB2312" w:hAnsi="仿宋_GB2312" w:cs="仿宋_GB2312" w:eastAsia="仿宋_GB2312"/>
              </w:rPr>
              <w:t>智能插秧系统</w:t>
            </w:r>
          </w:p>
        </w:tc>
        <w:tc>
          <w:tcPr>
            <w:tcW w:type="dxa" w:w="2492"/>
          </w:tcPr>
          <w:p>
            <w:pPr>
              <w:pStyle w:val="null3"/>
              <w:jc w:val="left"/>
            </w:pPr>
            <w:r>
              <w:rPr>
                <w:rFonts w:ascii="仿宋_GB2312" w:hAnsi="仿宋_GB2312" w:cs="仿宋_GB2312" w:eastAsia="仿宋_GB2312"/>
              </w:rPr>
              <w:t>智能插秧系统</w:t>
            </w:r>
          </w:p>
        </w:tc>
      </w:tr>
    </w:tbl>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标的名称：大豆玉米旋耕播种机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技术参数及要求</w:t>
            </w:r>
          </w:p>
        </w:tc>
        <w:tc>
          <w:tcPr>
            <w:tcW w:type="dxa" w:w="5814"/>
          </w:tcPr>
          <w:p>
            <w:pPr>
              <w:pStyle w:val="null3"/>
              <w:jc w:val="both"/>
            </w:pPr>
            <w:r>
              <w:rPr>
                <w:rFonts w:ascii="仿宋_GB2312" w:hAnsi="仿宋_GB2312" w:cs="仿宋_GB2312" w:eastAsia="仿宋_GB2312"/>
                <w:sz w:val="21"/>
              </w:rPr>
              <w:t>（一）产品型号：</w:t>
            </w:r>
            <w:r>
              <w:rPr>
                <w:rFonts w:ascii="仿宋_GB2312" w:hAnsi="仿宋_GB2312" w:cs="仿宋_GB2312" w:eastAsia="仿宋_GB2312"/>
                <w:sz w:val="21"/>
              </w:rPr>
              <w:t>2BYSX-4</w:t>
            </w:r>
          </w:p>
          <w:p>
            <w:pPr>
              <w:pStyle w:val="null3"/>
              <w:jc w:val="both"/>
            </w:pPr>
            <w:r>
              <w:rPr>
                <w:rFonts w:ascii="仿宋_GB2312" w:hAnsi="仿宋_GB2312" w:cs="仿宋_GB2312" w:eastAsia="仿宋_GB2312"/>
                <w:sz w:val="21"/>
              </w:rPr>
              <w:t>（二）成果特点：该机采用指夹式精量排种器，播种</w:t>
            </w:r>
            <w:r>
              <w:rPr>
                <w:rFonts w:ascii="仿宋_GB2312" w:hAnsi="仿宋_GB2312" w:cs="仿宋_GB2312" w:eastAsia="仿宋_GB2312"/>
                <w:sz w:val="21"/>
              </w:rPr>
              <w:t>4</w:t>
            </w:r>
            <w:r>
              <w:rPr>
                <w:rFonts w:ascii="仿宋_GB2312" w:hAnsi="仿宋_GB2312" w:cs="仿宋_GB2312" w:eastAsia="仿宋_GB2312"/>
                <w:sz w:val="21"/>
              </w:rPr>
              <w:t>行玉米</w:t>
            </w:r>
            <w:r>
              <w:rPr>
                <w:rFonts w:ascii="仿宋_GB2312" w:hAnsi="仿宋_GB2312" w:cs="仿宋_GB2312" w:eastAsia="仿宋_GB2312"/>
                <w:sz w:val="21"/>
              </w:rPr>
              <w:t>/</w:t>
            </w:r>
            <w:r>
              <w:rPr>
                <w:rFonts w:ascii="仿宋_GB2312" w:hAnsi="仿宋_GB2312" w:cs="仿宋_GB2312" w:eastAsia="仿宋_GB2312"/>
                <w:sz w:val="21"/>
              </w:rPr>
              <w:t>大豆，主要由播种装置、开沟装置、施肥装置、限深镇压装置等构成，结构紧凑。采用北斗智能播种施肥控制器调控施肥播种量，只需在控制器中输入施肥量、播种量（株距）等参数，可实现田间作业过程全自动调控；播种施肥装置由带转速传感器的行星直流减速电机驱动，实现播种株距无级调整，确保播种株距和施肥量更精准。</w:t>
            </w:r>
          </w:p>
          <w:p>
            <w:pPr>
              <w:pStyle w:val="null3"/>
              <w:jc w:val="both"/>
            </w:pPr>
            <w:r>
              <w:rPr>
                <w:rFonts w:ascii="仿宋_GB2312" w:hAnsi="仿宋_GB2312" w:cs="仿宋_GB2312" w:eastAsia="仿宋_GB2312"/>
                <w:sz w:val="21"/>
              </w:rPr>
              <w:t>（三）技术参数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配套动力：</w:t>
            </w:r>
            <w:r>
              <w:rPr>
                <w:rFonts w:ascii="仿宋_GB2312" w:hAnsi="仿宋_GB2312" w:cs="仿宋_GB2312" w:eastAsia="仿宋_GB2312"/>
                <w:sz w:val="21"/>
              </w:rPr>
              <w:t>90-120</w:t>
            </w:r>
            <w:r>
              <w:rPr>
                <w:rFonts w:ascii="仿宋_GB2312" w:hAnsi="仿宋_GB2312" w:cs="仿宋_GB2312" w:eastAsia="仿宋_GB2312"/>
                <w:sz w:val="21"/>
              </w:rPr>
              <w:t>马力</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结构型式：悬挂式</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工作幅宽：</w:t>
            </w:r>
            <w:r>
              <w:rPr>
                <w:rFonts w:ascii="仿宋_GB2312" w:hAnsi="仿宋_GB2312" w:cs="仿宋_GB2312" w:eastAsia="仿宋_GB2312"/>
                <w:sz w:val="21"/>
              </w:rPr>
              <w:t>2.4m</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作业速度：≤</w:t>
            </w:r>
            <w:r>
              <w:rPr>
                <w:rFonts w:ascii="仿宋_GB2312" w:hAnsi="仿宋_GB2312" w:cs="仿宋_GB2312" w:eastAsia="仿宋_GB2312"/>
                <w:sz w:val="21"/>
              </w:rPr>
              <w:t>5km/h</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行距：</w:t>
            </w:r>
            <w:r>
              <w:rPr>
                <w:rFonts w:ascii="仿宋_GB2312" w:hAnsi="仿宋_GB2312" w:cs="仿宋_GB2312" w:eastAsia="仿宋_GB2312"/>
                <w:sz w:val="21"/>
              </w:rPr>
              <w:t>300-600mm</w:t>
            </w:r>
            <w:r>
              <w:rPr>
                <w:rFonts w:ascii="仿宋_GB2312" w:hAnsi="仿宋_GB2312" w:cs="仿宋_GB2312" w:eastAsia="仿宋_GB2312"/>
                <w:sz w:val="21"/>
              </w:rPr>
              <w:t>（可调）</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播深：</w:t>
            </w:r>
            <w:r>
              <w:rPr>
                <w:rFonts w:ascii="仿宋_GB2312" w:hAnsi="仿宋_GB2312" w:cs="仿宋_GB2312" w:eastAsia="仿宋_GB2312"/>
                <w:sz w:val="21"/>
              </w:rPr>
              <w:t>40-70mm</w:t>
            </w:r>
            <w:r>
              <w:rPr>
                <w:rFonts w:ascii="仿宋_GB2312" w:hAnsi="仿宋_GB2312" w:cs="仿宋_GB2312" w:eastAsia="仿宋_GB2312"/>
                <w:sz w:val="21"/>
              </w:rPr>
              <w:t>（可调）</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株距：</w:t>
            </w:r>
            <w:r>
              <w:rPr>
                <w:rFonts w:ascii="仿宋_GB2312" w:hAnsi="仿宋_GB2312" w:cs="仿宋_GB2312" w:eastAsia="仿宋_GB2312"/>
                <w:sz w:val="21"/>
              </w:rPr>
              <w:t>150-300mm</w:t>
            </w:r>
            <w:r>
              <w:rPr>
                <w:rFonts w:ascii="仿宋_GB2312" w:hAnsi="仿宋_GB2312" w:cs="仿宋_GB2312" w:eastAsia="仿宋_GB2312"/>
                <w:sz w:val="21"/>
              </w:rPr>
              <w:t>（可调）</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行数：</w:t>
            </w:r>
            <w:r>
              <w:rPr>
                <w:rFonts w:ascii="仿宋_GB2312" w:hAnsi="仿宋_GB2312" w:cs="仿宋_GB2312" w:eastAsia="仿宋_GB2312"/>
                <w:sz w:val="21"/>
              </w:rPr>
              <w:t>4</w:t>
            </w:r>
            <w:r>
              <w:rPr>
                <w:rFonts w:ascii="仿宋_GB2312" w:hAnsi="仿宋_GB2312" w:cs="仿宋_GB2312" w:eastAsia="仿宋_GB2312"/>
                <w:sz w:val="21"/>
              </w:rPr>
              <w:t>行</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施肥量：</w:t>
            </w:r>
            <w:r>
              <w:rPr>
                <w:rFonts w:ascii="仿宋_GB2312" w:hAnsi="仿宋_GB2312" w:cs="仿宋_GB2312" w:eastAsia="仿宋_GB2312"/>
                <w:sz w:val="21"/>
              </w:rPr>
              <w:t>40-100kg/</w:t>
            </w:r>
            <w:r>
              <w:rPr>
                <w:rFonts w:ascii="仿宋_GB2312" w:hAnsi="仿宋_GB2312" w:cs="仿宋_GB2312" w:eastAsia="仿宋_GB2312"/>
                <w:sz w:val="21"/>
              </w:rPr>
              <w:t>亩</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漏播率≤</w:t>
            </w:r>
            <w:r>
              <w:rPr>
                <w:rFonts w:ascii="仿宋_GB2312" w:hAnsi="仿宋_GB2312" w:cs="仿宋_GB2312" w:eastAsia="仿宋_GB2312"/>
                <w:sz w:val="21"/>
              </w:rPr>
              <w:t>8%</w:t>
            </w:r>
            <w:r>
              <w:rPr>
                <w:rFonts w:ascii="仿宋_GB2312" w:hAnsi="仿宋_GB2312" w:cs="仿宋_GB2312" w:eastAsia="仿宋_GB2312"/>
                <w:sz w:val="21"/>
              </w:rPr>
              <w:t>，重播率≤</w:t>
            </w:r>
            <w:r>
              <w:rPr>
                <w:rFonts w:ascii="仿宋_GB2312" w:hAnsi="仿宋_GB2312" w:cs="仿宋_GB2312" w:eastAsia="仿宋_GB2312"/>
                <w:sz w:val="21"/>
              </w:rPr>
              <w:t>10%</w:t>
            </w:r>
            <w:r>
              <w:rPr>
                <w:rFonts w:ascii="仿宋_GB2312" w:hAnsi="仿宋_GB2312" w:cs="仿宋_GB2312" w:eastAsia="仿宋_GB2312"/>
                <w:sz w:val="21"/>
              </w:rPr>
              <w:t>，粒距合格率≥</w:t>
            </w:r>
            <w:r>
              <w:rPr>
                <w:rFonts w:ascii="仿宋_GB2312" w:hAnsi="仿宋_GB2312" w:cs="仿宋_GB2312" w:eastAsia="仿宋_GB2312"/>
                <w:sz w:val="21"/>
              </w:rPr>
              <w:t>85%</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标的名称：智能插秧系统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技术参数及要求</w:t>
            </w:r>
          </w:p>
        </w:tc>
        <w:tc>
          <w:tcPr>
            <w:tcW w:type="dxa" w:w="5814"/>
          </w:tcPr>
          <w:p>
            <w:pPr>
              <w:pStyle w:val="null3"/>
              <w:jc w:val="both"/>
            </w:pPr>
            <w:r>
              <w:rPr>
                <w:rFonts w:ascii="仿宋_GB2312" w:hAnsi="仿宋_GB2312" w:cs="仿宋_GB2312" w:eastAsia="仿宋_GB2312"/>
                <w:sz w:val="21"/>
              </w:rPr>
              <w:t>一、系统性能</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任意不规则形状秧田自动插秧覆盖率≥</w:t>
            </w:r>
            <w:r>
              <w:rPr>
                <w:rFonts w:ascii="仿宋_GB2312" w:hAnsi="仿宋_GB2312" w:cs="仿宋_GB2312" w:eastAsia="仿宋_GB2312"/>
                <w:sz w:val="21"/>
              </w:rPr>
              <w:t>95%</w:t>
            </w:r>
            <w:r>
              <w:rPr>
                <w:rFonts w:ascii="仿宋_GB2312" w:hAnsi="仿宋_GB2312" w:cs="仿宋_GB2312" w:eastAsia="仿宋_GB2312"/>
                <w:sz w:val="21"/>
              </w:rPr>
              <w:t>（例如三角形地块、多边形地块、曲边地块、凹凸形地块）</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任意不规则形状秧田插秧过程人工接管率≤</w:t>
            </w:r>
            <w:r>
              <w:rPr>
                <w:rFonts w:ascii="仿宋_GB2312" w:hAnsi="仿宋_GB2312" w:cs="仿宋_GB2312" w:eastAsia="仿宋_GB2312"/>
                <w:sz w:val="21"/>
              </w:rPr>
              <w:t>1%</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插秧机每组秧爪启停可独立自动控制，动态自适应任意形状地块，全地形全覆盖</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作业速度≥</w:t>
            </w:r>
            <w:r>
              <w:rPr>
                <w:rFonts w:ascii="仿宋_GB2312" w:hAnsi="仿宋_GB2312" w:cs="仿宋_GB2312" w:eastAsia="仿宋_GB2312"/>
                <w:sz w:val="21"/>
              </w:rPr>
              <w:t>3.5km/h</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插秧效率≥</w:t>
            </w:r>
            <w:r>
              <w:rPr>
                <w:rFonts w:ascii="仿宋_GB2312" w:hAnsi="仿宋_GB2312" w:cs="仿宋_GB2312" w:eastAsia="仿宋_GB2312"/>
                <w:sz w:val="21"/>
              </w:rPr>
              <w:t>5</w:t>
            </w:r>
            <w:r>
              <w:rPr>
                <w:rFonts w:ascii="仿宋_GB2312" w:hAnsi="仿宋_GB2312" w:cs="仿宋_GB2312" w:eastAsia="仿宋_GB2312"/>
                <w:sz w:val="21"/>
              </w:rPr>
              <w:t>亩</w:t>
            </w:r>
            <w:r>
              <w:rPr>
                <w:rFonts w:ascii="仿宋_GB2312" w:hAnsi="仿宋_GB2312" w:cs="仿宋_GB2312" w:eastAsia="仿宋_GB2312"/>
                <w:sz w:val="21"/>
              </w:rPr>
              <w:t>/</w:t>
            </w:r>
            <w:r>
              <w:rPr>
                <w:rFonts w:ascii="仿宋_GB2312" w:hAnsi="仿宋_GB2312" w:cs="仿宋_GB2312" w:eastAsia="仿宋_GB2312"/>
                <w:sz w:val="21"/>
              </w:rPr>
              <w:t>小时</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自动</w:t>
            </w:r>
            <w:r>
              <w:rPr>
                <w:rFonts w:ascii="仿宋_GB2312" w:hAnsi="仿宋_GB2312" w:cs="仿宋_GB2312" w:eastAsia="仿宋_GB2312"/>
                <w:sz w:val="21"/>
              </w:rPr>
              <w:t>2</w:t>
            </w:r>
            <w:r>
              <w:rPr>
                <w:rFonts w:ascii="仿宋_GB2312" w:hAnsi="仿宋_GB2312" w:cs="仿宋_GB2312" w:eastAsia="仿宋_GB2312"/>
                <w:sz w:val="21"/>
              </w:rPr>
              <w:t>圈收边作业、地块边界</w:t>
            </w:r>
            <w:r>
              <w:rPr>
                <w:rFonts w:ascii="仿宋_GB2312" w:hAnsi="仿宋_GB2312" w:cs="仿宋_GB2312" w:eastAsia="仿宋_GB2312"/>
                <w:sz w:val="21"/>
              </w:rPr>
              <w:t>U</w:t>
            </w:r>
            <w:r>
              <w:rPr>
                <w:rFonts w:ascii="仿宋_GB2312" w:hAnsi="仿宋_GB2312" w:cs="仿宋_GB2312" w:eastAsia="仿宋_GB2312"/>
                <w:sz w:val="21"/>
              </w:rPr>
              <w:t>形自动掉头、秧盘自动升降控制</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水田内直线驾驶精度≤</w:t>
            </w:r>
            <w:r>
              <w:rPr>
                <w:rFonts w:ascii="仿宋_GB2312" w:hAnsi="仿宋_GB2312" w:cs="仿宋_GB2312" w:eastAsia="仿宋_GB2312"/>
                <w:sz w:val="21"/>
              </w:rPr>
              <w:t>2.5cm</w:t>
            </w:r>
            <w:r>
              <w:rPr>
                <w:rFonts w:ascii="仿宋_GB2312" w:hAnsi="仿宋_GB2312" w:cs="仿宋_GB2312" w:eastAsia="仿宋_GB2312"/>
                <w:sz w:val="21"/>
              </w:rPr>
              <w:t>，交接精度≤</w:t>
            </w:r>
            <w:r>
              <w:rPr>
                <w:rFonts w:ascii="仿宋_GB2312" w:hAnsi="仿宋_GB2312" w:cs="仿宋_GB2312" w:eastAsia="仿宋_GB2312"/>
                <w:sz w:val="21"/>
              </w:rPr>
              <w:t>2.5cm</w:t>
            </w:r>
          </w:p>
          <w:p>
            <w:pPr>
              <w:pStyle w:val="null3"/>
              <w:jc w:val="both"/>
            </w:pPr>
            <w:r>
              <w:rPr>
                <w:rFonts w:ascii="仿宋_GB2312" w:hAnsi="仿宋_GB2312" w:cs="仿宋_GB2312" w:eastAsia="仿宋_GB2312"/>
                <w:sz w:val="21"/>
              </w:rPr>
              <w:t>二、组件技术参数</w:t>
            </w:r>
          </w:p>
          <w:p>
            <w:pPr>
              <w:pStyle w:val="null3"/>
              <w:jc w:val="both"/>
            </w:pPr>
            <w:r>
              <w:rPr>
                <w:rFonts w:ascii="仿宋_GB2312" w:hAnsi="仿宋_GB2312" w:cs="仿宋_GB2312" w:eastAsia="仿宋_GB2312"/>
                <w:sz w:val="21"/>
              </w:rPr>
              <w:t>（一）一体机规格</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GNSS</w:t>
            </w:r>
            <w:r>
              <w:rPr>
                <w:rFonts w:ascii="仿宋_GB2312" w:hAnsi="仿宋_GB2312" w:cs="仿宋_GB2312" w:eastAsia="仿宋_GB2312"/>
                <w:sz w:val="21"/>
              </w:rPr>
              <w:t>信号：支持全星座全频点，有效提高定位服务稳定度；动态精度：水平：±</w:t>
            </w:r>
            <w:r>
              <w:rPr>
                <w:rFonts w:ascii="仿宋_GB2312" w:hAnsi="仿宋_GB2312" w:cs="仿宋_GB2312" w:eastAsia="仿宋_GB2312"/>
                <w:sz w:val="21"/>
              </w:rPr>
              <w:t>8mm+1ppm</w:t>
            </w:r>
            <w:r>
              <w:rPr>
                <w:rFonts w:ascii="仿宋_GB2312" w:hAnsi="仿宋_GB2312" w:cs="仿宋_GB2312" w:eastAsia="仿宋_GB2312"/>
                <w:sz w:val="21"/>
              </w:rPr>
              <w:t>、垂直：±</w:t>
            </w:r>
            <w:r>
              <w:rPr>
                <w:rFonts w:ascii="仿宋_GB2312" w:hAnsi="仿宋_GB2312" w:cs="仿宋_GB2312" w:eastAsia="仿宋_GB2312"/>
                <w:sz w:val="21"/>
              </w:rPr>
              <w:t>15mm+1ppm</w:t>
            </w:r>
            <w:r>
              <w:rPr>
                <w:rFonts w:ascii="仿宋_GB2312" w:hAnsi="仿宋_GB2312" w:cs="仿宋_GB2312" w:eastAsia="仿宋_GB2312"/>
                <w:sz w:val="21"/>
              </w:rPr>
              <w:t>；高压线、变电站、大型作业机械附近，可正常作业、保障精度</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IMU</w:t>
            </w:r>
            <w:r>
              <w:rPr>
                <w:rFonts w:ascii="仿宋_GB2312" w:hAnsi="仿宋_GB2312" w:cs="仿宋_GB2312" w:eastAsia="仿宋_GB2312"/>
                <w:sz w:val="21"/>
              </w:rPr>
              <w:t>精度：</w:t>
            </w:r>
            <w:r>
              <w:rPr>
                <w:rFonts w:ascii="仿宋_GB2312" w:hAnsi="仿宋_GB2312" w:cs="仿宋_GB2312" w:eastAsia="仿宋_GB2312"/>
                <w:sz w:val="21"/>
              </w:rPr>
              <w:t>3</w:t>
            </w:r>
            <w:r>
              <w:rPr>
                <w:rFonts w:ascii="仿宋_GB2312" w:hAnsi="仿宋_GB2312" w:cs="仿宋_GB2312" w:eastAsia="仿宋_GB2312"/>
                <w:sz w:val="21"/>
              </w:rPr>
              <w:t>轴陀螺，</w:t>
            </w:r>
            <w:r>
              <w:rPr>
                <w:rFonts w:ascii="仿宋_GB2312" w:hAnsi="仿宋_GB2312" w:cs="仿宋_GB2312" w:eastAsia="仿宋_GB2312"/>
                <w:sz w:val="21"/>
              </w:rPr>
              <w:t>3</w:t>
            </w:r>
            <w:r>
              <w:rPr>
                <w:rFonts w:ascii="仿宋_GB2312" w:hAnsi="仿宋_GB2312" w:cs="仿宋_GB2312" w:eastAsia="仿宋_GB2312"/>
                <w:sz w:val="21"/>
              </w:rPr>
              <w:t>轴加速度计；横滚精度</w:t>
            </w:r>
            <w:r>
              <w:rPr>
                <w:rFonts w:ascii="仿宋_GB2312" w:hAnsi="仿宋_GB2312" w:cs="仿宋_GB2312" w:eastAsia="仿宋_GB2312"/>
                <w:sz w:val="21"/>
              </w:rPr>
              <w:t>0.2</w:t>
            </w:r>
            <w:r>
              <w:rPr>
                <w:rFonts w:ascii="仿宋_GB2312" w:hAnsi="仿宋_GB2312" w:cs="仿宋_GB2312" w:eastAsia="仿宋_GB2312"/>
                <w:sz w:val="21"/>
              </w:rPr>
              <w:t>°</w:t>
            </w:r>
            <w:r>
              <w:rPr>
                <w:rFonts w:ascii="仿宋_GB2312" w:hAnsi="仿宋_GB2312" w:cs="仿宋_GB2312" w:eastAsia="仿宋_GB2312"/>
                <w:sz w:val="21"/>
              </w:rPr>
              <w:t>(RMS)</w:t>
            </w:r>
            <w:r>
              <w:rPr>
                <w:rFonts w:ascii="仿宋_GB2312" w:hAnsi="仿宋_GB2312" w:cs="仿宋_GB2312" w:eastAsia="仿宋_GB2312"/>
                <w:sz w:val="21"/>
              </w:rPr>
              <w:t>；航向精度</w:t>
            </w:r>
            <w:r>
              <w:rPr>
                <w:rFonts w:ascii="仿宋_GB2312" w:hAnsi="仿宋_GB2312" w:cs="仿宋_GB2312" w:eastAsia="仿宋_GB2312"/>
                <w:sz w:val="21"/>
              </w:rPr>
              <w:t>0.2</w:t>
            </w:r>
            <w:r>
              <w:rPr>
                <w:rFonts w:ascii="仿宋_GB2312" w:hAnsi="仿宋_GB2312" w:cs="仿宋_GB2312" w:eastAsia="仿宋_GB2312"/>
                <w:sz w:val="21"/>
              </w:rPr>
              <w:t>°</w:t>
            </w:r>
            <w:r>
              <w:rPr>
                <w:rFonts w:ascii="仿宋_GB2312" w:hAnsi="仿宋_GB2312" w:cs="仿宋_GB2312" w:eastAsia="仿宋_GB2312"/>
                <w:sz w:val="21"/>
              </w:rPr>
              <w:t>(RMS)</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电气性能：工作电压：</w:t>
            </w:r>
            <w:r>
              <w:rPr>
                <w:rFonts w:ascii="仿宋_GB2312" w:hAnsi="仿宋_GB2312" w:cs="仿宋_GB2312" w:eastAsia="仿宋_GB2312"/>
                <w:sz w:val="21"/>
              </w:rPr>
              <w:t>9~ 36V DC</w:t>
            </w:r>
            <w:r>
              <w:rPr>
                <w:rFonts w:ascii="仿宋_GB2312" w:hAnsi="仿宋_GB2312" w:cs="仿宋_GB2312" w:eastAsia="仿宋_GB2312"/>
                <w:sz w:val="21"/>
              </w:rPr>
              <w:t>，抗电源反接，抗电涌冲击</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工作温度：</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~70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存储温度：</w:t>
            </w:r>
            <w:r>
              <w:rPr>
                <w:rFonts w:ascii="仿宋_GB2312" w:hAnsi="仿宋_GB2312" w:cs="仿宋_GB2312" w:eastAsia="仿宋_GB2312"/>
                <w:sz w:val="21"/>
              </w:rPr>
              <w:t>-40</w:t>
            </w:r>
            <w:r>
              <w:rPr>
                <w:rFonts w:ascii="仿宋_GB2312" w:hAnsi="仿宋_GB2312" w:cs="仿宋_GB2312" w:eastAsia="仿宋_GB2312"/>
                <w:sz w:val="21"/>
              </w:rPr>
              <w:t>℃</w:t>
            </w:r>
            <w:r>
              <w:rPr>
                <w:rFonts w:ascii="仿宋_GB2312" w:hAnsi="仿宋_GB2312" w:cs="仿宋_GB2312" w:eastAsia="仿宋_GB2312"/>
                <w:sz w:val="21"/>
              </w:rPr>
              <w:t>~80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机械冲击：</w:t>
            </w:r>
            <w:r>
              <w:rPr>
                <w:rFonts w:ascii="仿宋_GB2312" w:hAnsi="仿宋_GB2312" w:cs="仿宋_GB2312" w:eastAsia="仿宋_GB2312"/>
                <w:sz w:val="21"/>
              </w:rPr>
              <w:t>EP455 Section 5.14.1</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振    动：</w:t>
            </w:r>
            <w:r>
              <w:rPr>
                <w:rFonts w:ascii="仿宋_GB2312" w:hAnsi="仿宋_GB2312" w:cs="仿宋_GB2312" w:eastAsia="仿宋_GB2312"/>
                <w:sz w:val="21"/>
              </w:rPr>
              <w:t>EP455 Section 5.15.1</w:t>
            </w:r>
            <w:r>
              <w:rPr>
                <w:rFonts w:ascii="仿宋_GB2312" w:hAnsi="仿宋_GB2312" w:cs="仿宋_GB2312" w:eastAsia="仿宋_GB2312"/>
                <w:sz w:val="21"/>
              </w:rPr>
              <w:t>随机</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防护等级：</w:t>
            </w:r>
            <w:r>
              <w:rPr>
                <w:rFonts w:ascii="仿宋_GB2312" w:hAnsi="仿宋_GB2312" w:cs="仿宋_GB2312" w:eastAsia="仿宋_GB2312"/>
                <w:sz w:val="21"/>
              </w:rPr>
              <w:t>IP67</w:t>
            </w:r>
          </w:p>
          <w:p>
            <w:pPr>
              <w:pStyle w:val="null3"/>
              <w:jc w:val="both"/>
            </w:pPr>
            <w:r>
              <w:rPr>
                <w:rFonts w:ascii="仿宋_GB2312" w:hAnsi="仿宋_GB2312" w:cs="仿宋_GB2312" w:eastAsia="仿宋_GB2312"/>
                <w:sz w:val="21"/>
              </w:rPr>
              <w:t>（二）电动方向盘规格</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编码器：内置增量式编码器</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通讯：标准</w:t>
            </w:r>
            <w:r>
              <w:rPr>
                <w:rFonts w:ascii="仿宋_GB2312" w:hAnsi="仿宋_GB2312" w:cs="仿宋_GB2312" w:eastAsia="仿宋_GB2312"/>
                <w:sz w:val="21"/>
              </w:rPr>
              <w:t>CAN</w:t>
            </w:r>
            <w:r>
              <w:rPr>
                <w:rFonts w:ascii="仿宋_GB2312" w:hAnsi="仿宋_GB2312" w:cs="仿宋_GB2312" w:eastAsia="仿宋_GB2312"/>
                <w:sz w:val="21"/>
              </w:rPr>
              <w:t>协议</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防护等级：</w:t>
            </w:r>
            <w:r>
              <w:rPr>
                <w:rFonts w:ascii="仿宋_GB2312" w:hAnsi="仿宋_GB2312" w:cs="仿宋_GB2312" w:eastAsia="仿宋_GB2312"/>
                <w:sz w:val="21"/>
              </w:rPr>
              <w:t>IP65</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响应速度：</w:t>
            </w:r>
            <w:r>
              <w:rPr>
                <w:rFonts w:ascii="仿宋_GB2312" w:hAnsi="仿宋_GB2312" w:cs="仿宋_GB2312" w:eastAsia="仿宋_GB2312"/>
                <w:sz w:val="21"/>
              </w:rPr>
              <w:t>&lt;0.4</w:t>
            </w:r>
            <w:r>
              <w:rPr>
                <w:rFonts w:ascii="仿宋_GB2312" w:hAnsi="仿宋_GB2312" w:cs="仿宋_GB2312" w:eastAsia="仿宋_GB2312"/>
                <w:sz w:val="21"/>
              </w:rPr>
              <w:t>秒</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额定力矩：</w:t>
            </w:r>
            <w:r>
              <w:rPr>
                <w:rFonts w:ascii="仿宋_GB2312" w:hAnsi="仿宋_GB2312" w:cs="仿宋_GB2312" w:eastAsia="仿宋_GB2312"/>
                <w:sz w:val="21"/>
              </w:rPr>
              <w:t>6.5N.m</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最大力矩：</w:t>
            </w:r>
            <w:r>
              <w:rPr>
                <w:rFonts w:ascii="仿宋_GB2312" w:hAnsi="仿宋_GB2312" w:cs="仿宋_GB2312" w:eastAsia="仿宋_GB2312"/>
                <w:sz w:val="21"/>
              </w:rPr>
              <w:t>10N.m</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额定转速：</w:t>
            </w:r>
            <w:r>
              <w:rPr>
                <w:rFonts w:ascii="仿宋_GB2312" w:hAnsi="仿宋_GB2312" w:cs="仿宋_GB2312" w:eastAsia="仿宋_GB2312"/>
                <w:sz w:val="21"/>
              </w:rPr>
              <w:t>100rpm</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最大转速：</w:t>
            </w:r>
            <w:r>
              <w:rPr>
                <w:rFonts w:ascii="仿宋_GB2312" w:hAnsi="仿宋_GB2312" w:cs="仿宋_GB2312" w:eastAsia="仿宋_GB2312"/>
                <w:sz w:val="21"/>
              </w:rPr>
              <w:t>130rpm</w:t>
            </w:r>
          </w:p>
          <w:p>
            <w:pPr>
              <w:pStyle w:val="null3"/>
              <w:jc w:val="both"/>
            </w:pPr>
            <w:r>
              <w:rPr>
                <w:rFonts w:ascii="仿宋_GB2312" w:hAnsi="仿宋_GB2312" w:cs="仿宋_GB2312" w:eastAsia="仿宋_GB2312"/>
                <w:sz w:val="21"/>
              </w:rPr>
              <w:t>（三）车载显示器规格</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处理器：</w:t>
            </w:r>
            <w:r>
              <w:rPr>
                <w:rFonts w:ascii="仿宋_GB2312" w:hAnsi="仿宋_GB2312" w:cs="仿宋_GB2312" w:eastAsia="仿宋_GB2312"/>
                <w:sz w:val="21"/>
              </w:rPr>
              <w:t>8</w:t>
            </w:r>
            <w:r>
              <w:rPr>
                <w:rFonts w:ascii="仿宋_GB2312" w:hAnsi="仿宋_GB2312" w:cs="仿宋_GB2312" w:eastAsia="仿宋_GB2312"/>
                <w:sz w:val="21"/>
              </w:rPr>
              <w:t xml:space="preserve">核 </w:t>
            </w:r>
            <w:r>
              <w:rPr>
                <w:rFonts w:ascii="仿宋_GB2312" w:hAnsi="仿宋_GB2312" w:cs="仿宋_GB2312" w:eastAsia="仿宋_GB2312"/>
                <w:sz w:val="21"/>
              </w:rPr>
              <w:t>2.0GHz</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操作系统：</w:t>
            </w:r>
            <w:r>
              <w:rPr>
                <w:rFonts w:ascii="仿宋_GB2312" w:hAnsi="仿宋_GB2312" w:cs="仿宋_GB2312" w:eastAsia="仿宋_GB2312"/>
                <w:sz w:val="21"/>
              </w:rPr>
              <w:t>Android 11</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存储：</w:t>
            </w:r>
            <w:r>
              <w:rPr>
                <w:rFonts w:ascii="仿宋_GB2312" w:hAnsi="仿宋_GB2312" w:cs="仿宋_GB2312" w:eastAsia="仿宋_GB2312"/>
                <w:sz w:val="21"/>
              </w:rPr>
              <w:t>3G</w:t>
            </w:r>
            <w:r>
              <w:rPr>
                <w:rFonts w:ascii="仿宋_GB2312" w:hAnsi="仿宋_GB2312" w:cs="仿宋_GB2312" w:eastAsia="仿宋_GB2312"/>
                <w:sz w:val="21"/>
              </w:rPr>
              <w:t>（</w:t>
            </w:r>
            <w:r>
              <w:rPr>
                <w:rFonts w:ascii="仿宋_GB2312" w:hAnsi="仿宋_GB2312" w:cs="仿宋_GB2312" w:eastAsia="仿宋_GB2312"/>
                <w:sz w:val="21"/>
              </w:rPr>
              <w:t>RAM</w:t>
            </w:r>
            <w:r>
              <w:rPr>
                <w:rFonts w:ascii="仿宋_GB2312" w:hAnsi="仿宋_GB2312" w:cs="仿宋_GB2312" w:eastAsia="仿宋_GB2312"/>
                <w:sz w:val="21"/>
              </w:rPr>
              <w:t>）</w:t>
            </w:r>
            <w:r>
              <w:rPr>
                <w:rFonts w:ascii="仿宋_GB2312" w:hAnsi="仿宋_GB2312" w:cs="仿宋_GB2312" w:eastAsia="仿宋_GB2312"/>
                <w:sz w:val="21"/>
              </w:rPr>
              <w:t>+32G</w:t>
            </w:r>
            <w:r>
              <w:rPr>
                <w:rFonts w:ascii="仿宋_GB2312" w:hAnsi="仿宋_GB2312" w:cs="仿宋_GB2312" w:eastAsia="仿宋_GB2312"/>
                <w:sz w:val="21"/>
              </w:rPr>
              <w:t>（</w:t>
            </w:r>
            <w:r>
              <w:rPr>
                <w:rFonts w:ascii="仿宋_GB2312" w:hAnsi="仿宋_GB2312" w:cs="仿宋_GB2312" w:eastAsia="仿宋_GB2312"/>
                <w:sz w:val="21"/>
              </w:rPr>
              <w:t>ROM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屏幕尺寸：</w:t>
            </w:r>
            <w:r>
              <w:rPr>
                <w:rFonts w:ascii="仿宋_GB2312" w:hAnsi="仿宋_GB2312" w:cs="仿宋_GB2312" w:eastAsia="仿宋_GB2312"/>
                <w:sz w:val="21"/>
              </w:rPr>
              <w:t>10.1</w:t>
            </w:r>
            <w:r>
              <w:rPr>
                <w:rFonts w:ascii="仿宋_GB2312" w:hAnsi="仿宋_GB2312" w:cs="仿宋_GB2312" w:eastAsia="仿宋_GB2312"/>
                <w:sz w:val="21"/>
              </w:rPr>
              <w:t>寸，</w:t>
            </w:r>
            <w:r>
              <w:rPr>
                <w:rFonts w:ascii="仿宋_GB2312" w:hAnsi="仿宋_GB2312" w:cs="仿宋_GB2312" w:eastAsia="仿宋_GB2312"/>
                <w:sz w:val="21"/>
              </w:rPr>
              <w:t>1280*800</w:t>
            </w:r>
            <w:r>
              <w:rPr>
                <w:rFonts w:ascii="仿宋_GB2312" w:hAnsi="仿宋_GB2312" w:cs="仿宋_GB2312" w:eastAsia="仿宋_GB2312"/>
                <w:sz w:val="21"/>
              </w:rPr>
              <w:t>分辨率</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亮度：</w:t>
            </w:r>
            <w:r>
              <w:rPr>
                <w:rFonts w:ascii="仿宋_GB2312" w:hAnsi="仿宋_GB2312" w:cs="仿宋_GB2312" w:eastAsia="仿宋_GB2312"/>
                <w:sz w:val="21"/>
              </w:rPr>
              <w:t>700nit</w:t>
            </w:r>
          </w:p>
          <w:p>
            <w:pPr>
              <w:pStyle w:val="null3"/>
              <w:jc w:val="both"/>
            </w:pPr>
            <w:r>
              <w:rPr>
                <w:rFonts w:ascii="仿宋_GB2312" w:hAnsi="仿宋_GB2312" w:cs="仿宋_GB2312" w:eastAsia="仿宋_GB2312"/>
                <w:sz w:val="21"/>
              </w:rPr>
              <w:t>5.WIFI/</w:t>
            </w:r>
            <w:r>
              <w:rPr>
                <w:rFonts w:ascii="仿宋_GB2312" w:hAnsi="仿宋_GB2312" w:cs="仿宋_GB2312" w:eastAsia="仿宋_GB2312"/>
                <w:sz w:val="21"/>
              </w:rPr>
              <w:t xml:space="preserve">蓝牙： </w:t>
            </w:r>
            <w:r>
              <w:rPr>
                <w:rFonts w:ascii="仿宋_GB2312" w:hAnsi="仿宋_GB2312" w:cs="仿宋_GB2312" w:eastAsia="仿宋_GB2312"/>
                <w:sz w:val="21"/>
              </w:rPr>
              <w:t>IEEE802.11 a/b/g/n/ac 2.4/5G</w:t>
            </w:r>
            <w:r>
              <w:rPr>
                <w:rFonts w:ascii="仿宋_GB2312" w:hAnsi="仿宋_GB2312" w:cs="仿宋_GB2312" w:eastAsia="仿宋_GB2312"/>
                <w:sz w:val="21"/>
              </w:rPr>
              <w:t>双频、</w:t>
            </w:r>
            <w:r>
              <w:rPr>
                <w:rFonts w:ascii="仿宋_GB2312" w:hAnsi="仿宋_GB2312" w:cs="仿宋_GB2312" w:eastAsia="仿宋_GB2312"/>
                <w:sz w:val="21"/>
              </w:rPr>
              <w:t>BT5.0 BLE</w:t>
            </w:r>
          </w:p>
          <w:p>
            <w:pPr>
              <w:pStyle w:val="null3"/>
              <w:jc w:val="left"/>
            </w:pPr>
            <w:r>
              <w:rPr>
                <w:rFonts w:ascii="仿宋_GB2312" w:hAnsi="仿宋_GB2312" w:cs="仿宋_GB2312" w:eastAsia="仿宋_GB2312"/>
                <w:sz w:val="21"/>
              </w:rPr>
              <w:t>6.SIM</w:t>
            </w:r>
            <w:r>
              <w:rPr>
                <w:rFonts w:ascii="仿宋_GB2312" w:hAnsi="仿宋_GB2312" w:cs="仿宋_GB2312" w:eastAsia="仿宋_GB2312"/>
                <w:sz w:val="21"/>
              </w:rPr>
              <w:t>卡：支持双卡</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合同签订后，10日之内完成供货</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1、货物安装并验收合格后，达到付款条件起30日内，支付合同总金额的100.00%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本项目采购人将严格按照政府采购相关法律法规以及《财政部关于进一步加强政府采购需求和履约验收管理的指导意见》（财库[2016]205号）的要求进行验收。验收结果合格的，成交人凭验收报告办理相关手续；验收结果不合格的,将不予支付采购资金，同时报告本项目同级财政部门按照政府采购法律法规和《财政部关于在政府采购活动中查询及使用信用记录有关问题的通知》（财库〔2016〕125号）等有关规定给予行政处罚或者以失信行为记入诚信档案。</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产品质保期为1年(质保期自验收合格之日起开始计算)，国家或生产商标准规定的质保期超过1年的，以国家或生产商规定的标准为准。（2）电话响应:采购人遇到使用及技术问题，中标供应商应为采购人提供技术支持电话，解答采购人在使用中遇到的问题，60分钟内为采购人提出解决问题的办法。（3）现场响应:采购人遇到使用及技术问题，电话响应不能解决的，中标供应商应在24小时内派出专业人员进行技术支持并解决问题。</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1、因货物的质量问题发生争议，由质量技术监督部门或其指定的质量鉴定机构进行质量鉴定。货物符合标准的，鉴定费由甲方承担；货物不符合质量标准的，鉴定费由乙方承担。 2、合同履行期间,若双方发生争议，可协商或由有关部门调解解决，协商或调解不成的，由当事人依法维护其合法权益。</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合同签订后，10日之内完成供货</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1、货物安装调试并验收完成，达到付款条件起30日内，支付合同总金额的100.00%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本项目采购人将严格按照政府采购相关法律法规以及《财政部关于进一步加强政府采购需求和履约验收管理的指导意见》（财库[2016]205号）的要求进行验收。验收结果合格的，成交人凭验收报告办理相关手续；验收结果不合格的,将不予支付采购资金，同时报告本项目同级财政部门按照政府采购法律法规和《财政部关于在政府采购活动中查询及使用信用记录有关问题的通知》（财库〔2016〕125号）等有关规定给予行政处罚或者以失信行为记入诚信档案。</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产品质保期为1年(质保期自验收合格之日起开始计算)，国家或生产商标准规定的质保期超过1年的，以国家或生产商规定的标准为准。（2）电话响应:采购人遇到使用及技术问题，中标供应商应为采购人提供技术支持电话，解答采购人在使用中遇到的问题，60分钟内为采购人提出解决问题的办法。（3）现场响应:采购人遇到使用及技术问题，电话响应不能解决的，中标供应商应在24小时内派出专业人员进行技术支持并解决问题。</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1、因货物的质量问题发生争议，由质量技术监督部门或其指定的质量鉴定机构进行质量鉴定。货物符合标准的，鉴定费由甲方承担；货物不符合质量标准的，鉴定费由乙方承担。 2、合同履行期间,若双方发生争议，可协商或由有关部门调解解决，协商或调解不成的，由当事人依法维护其合法权益。</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协商过程中可实质性变动的内容</w:t>
      </w:r>
    </w:p>
    <w:p>
      <w:pPr>
        <w:pStyle w:val="null3"/>
        <w:ind w:firstLine="480"/>
        <w:jc w:val="left"/>
      </w:pPr>
      <w:r>
        <w:rPr>
          <w:rFonts w:ascii="仿宋_GB2312" w:hAnsi="仿宋_GB2312" w:cs="仿宋_GB2312" w:eastAsia="仿宋_GB2312"/>
        </w:rPr>
        <w:t>协商小组可以根据采购文件和协商情况实质性变动以下内容：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除以上内容外，协商小组不得变动采购文件中的其他内容。</w:t>
      </w:r>
    </w:p>
    <w:p>
      <w:pPr>
        <w:pStyle w:val="null3"/>
        <w:ind w:firstLine="480"/>
        <w:jc w:val="left"/>
      </w:pPr>
      <w:r>
        <w:rPr>
          <w:rFonts w:ascii="仿宋_GB2312" w:hAnsi="仿宋_GB2312" w:cs="仿宋_GB2312" w:eastAsia="仿宋_GB2312"/>
        </w:rPr>
        <w:t>在协商过程中，协商小组根据项目实际需要制定协商内容，在获得采购人代表确认的前提下，可以根据协商情况实质性变动相关内容。协商小组对采购文件作出的实质性变动是采购文件的有效组成部分，协商小组应及时以书面形式通知所有参加协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单一来源采购评审办法。</w:t>
      </w:r>
    </w:p>
    <w:p>
      <w:pPr>
        <w:pStyle w:val="null3"/>
        <w:ind w:firstLine="480"/>
        <w:jc w:val="left"/>
      </w:pPr>
      <w:r>
        <w:rPr>
          <w:rFonts w:ascii="仿宋_GB2312" w:hAnsi="仿宋_GB2312" w:cs="仿宋_GB2312" w:eastAsia="仿宋_GB2312"/>
        </w:rPr>
        <w:t>二、协商工作由代理机构组织，具体评审事务由依法组建的协商小组负责。协商小组由采购人代表和评审专家组成。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三、评审工作应遵循客观、公正、审慎的原则，根据单一来源采购文件规定的评审程序、评审方法和评审标准进行独立评审。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四、本项目采取电子评审，通过交易系统完成评审工作。协商小组成员和供应商应当按照本采购文件规定和交易系统操作要求开展或者参加评审活动。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协商报告为准。评审过程中需要供应商电子签章的，供应商应按规定加盖电子印章。协商小组成员在签署协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5.2.协商小组</w:t>
      </w:r>
    </w:p>
    <w:p>
      <w:pPr>
        <w:pStyle w:val="null3"/>
        <w:ind w:firstLine="480"/>
        <w:jc w:val="left"/>
      </w:pPr>
      <w:r>
        <w:rPr>
          <w:rFonts w:ascii="仿宋_GB2312" w:hAnsi="仿宋_GB2312" w:cs="仿宋_GB2312" w:eastAsia="仿宋_GB2312"/>
        </w:rPr>
        <w:t>一、按《中华人民共和国政府采购法》的规定组建协商小组，协商小组由采购人的代表和具有相关经验的专业人员组成。本项目协商小组成员人数由采购人或者代理机构自行确定，其中专业人员不得少于成员总数的三分之二。</w:t>
      </w:r>
    </w:p>
    <w:p>
      <w:pPr>
        <w:pStyle w:val="null3"/>
        <w:ind w:firstLine="480"/>
        <w:jc w:val="left"/>
      </w:pPr>
      <w:r>
        <w:rPr>
          <w:rFonts w:ascii="仿宋_GB2312" w:hAnsi="仿宋_GB2312" w:cs="仿宋_GB2312" w:eastAsia="仿宋_GB2312"/>
        </w:rPr>
        <w:t>二、协商小组成员应当满足并适应电子化采购评审的工作需要，登录交易系统进入项目评审功能模块确认身份、签到、推荐协商小组组长。采购人代表可以使用采购人代表专用签章确认评审意见。</w:t>
      </w:r>
    </w:p>
    <w:p>
      <w:pPr>
        <w:pStyle w:val="null3"/>
        <w:ind w:firstLine="480"/>
        <w:jc w:val="left"/>
      </w:pPr>
      <w:r>
        <w:rPr>
          <w:rFonts w:ascii="仿宋_GB2312" w:hAnsi="仿宋_GB2312" w:cs="仿宋_GB2312" w:eastAsia="仿宋_GB2312"/>
        </w:rPr>
        <w:t>三、协商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协商小组，解封响应文件后，开展评审活动。</w:t>
      </w:r>
    </w:p>
    <w:p>
      <w:pPr>
        <w:pStyle w:val="null3"/>
        <w:ind w:firstLine="480"/>
        <w:jc w:val="left"/>
      </w:pPr>
      <w:r>
        <w:rPr>
          <w:rFonts w:ascii="仿宋_GB2312" w:hAnsi="仿宋_GB2312" w:cs="仿宋_GB2312" w:eastAsia="仿宋_GB2312"/>
        </w:rPr>
        <w:t>四、协商小组应当履行下列职责：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（二）审查、评价供应商响应文件等是否满足单一来源采购文件要求；</w:t>
      </w:r>
    </w:p>
    <w:p>
      <w:pPr>
        <w:pStyle w:val="null3"/>
        <w:ind w:firstLine="480"/>
        <w:jc w:val="left"/>
      </w:pPr>
      <w:r>
        <w:rPr>
          <w:rFonts w:ascii="仿宋_GB2312" w:hAnsi="仿宋_GB2312" w:cs="仿宋_GB2312" w:eastAsia="仿宋_GB2312"/>
        </w:rPr>
        <w:t>（三）根据需要要求采购人、代理机构对单一来源采购文件作出解释；根据需要要求供应商对响应文件有关事项作出澄清、说明或者更正；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（四）受采购人委托确定供应商成交；</w:t>
      </w:r>
    </w:p>
    <w:p>
      <w:pPr>
        <w:pStyle w:val="null3"/>
        <w:ind w:firstLine="480"/>
        <w:jc w:val="left"/>
      </w:pPr>
      <w:r>
        <w:rPr>
          <w:rFonts w:ascii="仿宋_GB2312" w:hAnsi="仿宋_GB2312" w:cs="仿宋_GB2312" w:eastAsia="仿宋_GB2312"/>
        </w:rPr>
        <w:t>（五）起草资格审查报告、协商情况记录并进行签署；</w:t>
      </w:r>
    </w:p>
    <w:p>
      <w:pPr>
        <w:pStyle w:val="null3"/>
        <w:ind w:firstLine="480"/>
        <w:jc w:val="left"/>
      </w:pPr>
      <w:r>
        <w:rPr>
          <w:rFonts w:ascii="仿宋_GB2312" w:hAnsi="仿宋_GB2312" w:cs="仿宋_GB2312" w:eastAsia="仿宋_GB2312"/>
        </w:rPr>
        <w:t>（六）向采购人、代理机构或者有关部门报告协商中发现的违法行为；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5.3.1.熟悉和理解采购文件</w:t>
      </w:r>
    </w:p>
    <w:p>
      <w:pPr>
        <w:pStyle w:val="null3"/>
        <w:ind w:firstLine="480"/>
        <w:jc w:val="left"/>
      </w:pPr>
      <w:r>
        <w:rPr>
          <w:rFonts w:ascii="仿宋_GB2312" w:hAnsi="仿宋_GB2312" w:cs="仿宋_GB2312" w:eastAsia="仿宋_GB2312"/>
        </w:rPr>
        <w:t>协商小组正式协商前，应当对采购文件进行熟悉和理解，内容主要包括采购文件中供应商资格条件要求、采购项目技术、服务和商务要求、评审办法和标准以及政府采购合同的内容等。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一、采购文件的规定存在歧义、重大缺陷，导致评审工作无法进行的；</w:t>
      </w:r>
    </w:p>
    <w:p>
      <w:pPr>
        <w:pStyle w:val="null3"/>
        <w:ind w:firstLine="480"/>
        <w:jc w:val="left"/>
      </w:pPr>
      <w:r>
        <w:rPr>
          <w:rFonts w:ascii="仿宋_GB2312" w:hAnsi="仿宋_GB2312" w:cs="仿宋_GB2312" w:eastAsia="仿宋_GB2312"/>
        </w:rPr>
        <w:t>二、采购项目属于国家规定的优先、强制采购范围，但是采购文件未依法体现优先、强制采购相关规定的；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三、采购项目属于政府采购促进中小企业发展的范围，但是采购文件未依法体现促进中小企业发展相关规定的；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四、采购文件载明的成交原则不合法的；</w:t>
      </w:r>
    </w:p>
    <w:p>
      <w:pPr>
        <w:pStyle w:val="null3"/>
        <w:ind w:firstLine="480"/>
        <w:jc w:val="left"/>
      </w:pPr>
      <w:r>
        <w:rPr>
          <w:rFonts w:ascii="仿宋_GB2312" w:hAnsi="仿宋_GB2312" w:cs="仿宋_GB2312" w:eastAsia="仿宋_GB2312"/>
        </w:rPr>
        <w:t>五、采购文件有违反国家其他有关强制性规定的情形。</w:t>
      </w:r>
    </w:p>
    <w:p>
      <w:pPr>
        <w:pStyle w:val="null3"/>
        <w:ind w:firstLine="480"/>
        <w:jc w:val="left"/>
      </w:pPr>
      <w:r>
        <w:rPr>
          <w:rFonts w:ascii="仿宋_GB2312" w:hAnsi="仿宋_GB2312" w:cs="仿宋_GB2312" w:eastAsia="仿宋_GB2312"/>
        </w:rPr>
        <w:t>出现上述应当停止评审情形的，协商小组应当通过交易系统向采购人、代理机构提交相关说明材料，说明停止评审的情形和具体理由。除上述情形外，协商小组不得以任何方式和理由停止评审。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协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网上开启完成后，由协商小组依据法律法规和采购文件的规定，对成功解密的响应文件中供应商资格证明等进行审查并出具资格审查报告。资格审查标准及要求如下：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协商小组依据采购文件的符合性审查要求，对符合资格要求供应商的响应文件进行符合性审查。</w:t>
      </w:r>
    </w:p>
    <w:p>
      <w:pPr>
        <w:pStyle w:val="null3"/>
        <w:ind w:firstLine="480"/>
        <w:jc w:val="left"/>
      </w:pPr>
      <w:r>
        <w:rPr>
          <w:rFonts w:ascii="仿宋_GB2312" w:hAnsi="仿宋_GB2312" w:cs="仿宋_GB2312" w:eastAsia="仿宋_GB2312"/>
        </w:rPr>
        <w:t>在符合性审查过程中，如果出现协商小组成员意见不一致的情况，按照少数服从多数的原则确定，但不得违反政府采购基本原则和采购文件规定。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符合采购文件要求的所有实质性要求</w:t>
            </w:r>
          </w:p>
        </w:tc>
        <w:tc>
          <w:tcPr>
            <w:tcW w:type="dxa" w:w="3322"/>
          </w:tcPr>
          <w:p>
            <w:pPr>
              <w:pStyle w:val="null3"/>
              <w:jc w:val="left"/>
            </w:pPr>
            <w:r>
              <w:rPr>
                <w:rFonts w:ascii="仿宋_GB2312" w:hAnsi="仿宋_GB2312" w:cs="仿宋_GB2312" w:eastAsia="仿宋_GB2312"/>
              </w:rPr>
              <w:t>供应商按照采购文件要求上传的证明材料等。</w:t>
            </w:r>
          </w:p>
        </w:tc>
        <w:tc>
          <w:tcPr>
            <w:tcW w:type="dxa" w:w="1661"/>
          </w:tcPr>
          <w:p>
            <w:pPr>
              <w:pStyle w:val="null3"/>
              <w:jc w:val="left"/>
            </w:pPr>
            <w:r>
              <w:rPr>
                <w:rFonts w:ascii="仿宋_GB2312" w:hAnsi="仿宋_GB2312" w:cs="仿宋_GB2312" w:eastAsia="仿宋_GB2312"/>
              </w:rPr>
              <w:t>产品技术参数响应表,商务要求应答表.docx,供应商应提交的相关证明材料,服务应答表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 xml:space="preserve"> 符合采购文件要求的所有实质性要求</w:t>
            </w:r>
          </w:p>
        </w:tc>
        <w:tc>
          <w:tcPr>
            <w:tcW w:type="dxa" w:w="3322"/>
          </w:tcPr>
          <w:p>
            <w:pPr>
              <w:pStyle w:val="null3"/>
              <w:jc w:val="left"/>
            </w:pPr>
            <w:r>
              <w:rPr>
                <w:rFonts w:ascii="仿宋_GB2312" w:hAnsi="仿宋_GB2312" w:cs="仿宋_GB2312" w:eastAsia="仿宋_GB2312"/>
              </w:rPr>
              <w:t>供应商按照采购文件要求上传的证明材料等。</w:t>
            </w:r>
          </w:p>
        </w:tc>
        <w:tc>
          <w:tcPr>
            <w:tcW w:type="dxa" w:w="1661"/>
          </w:tcPr>
          <w:p>
            <w:pPr>
              <w:pStyle w:val="null3"/>
              <w:jc w:val="left"/>
            </w:pPr>
            <w:r>
              <w:rPr>
                <w:rFonts w:ascii="仿宋_GB2312" w:hAnsi="仿宋_GB2312" w:cs="仿宋_GB2312" w:eastAsia="仿宋_GB2312"/>
              </w:rPr>
              <w:t>产品技术参数响应表,商务要求应答表.docx,供应商应提交的相关证明材料,服务应答表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协商小组发现供应商还存在未响应采购文件实质性要求的，则按无效响应处理，并在协商情况记录中载明未通过符合性审查的具体原因。</w:t>
      </w:r>
    </w:p>
    <w:p>
      <w:pPr>
        <w:pStyle w:val="null3"/>
        <w:jc w:val="left"/>
        <w:outlineLvl w:val="3"/>
      </w:pPr>
      <w:r>
        <w:rPr>
          <w:rFonts w:ascii="仿宋_GB2312" w:hAnsi="仿宋_GB2312" w:cs="仿宋_GB2312" w:eastAsia="仿宋_GB2312"/>
          <w:sz w:val="24"/>
          <w:b/>
        </w:rPr>
        <w:t>5.3.5.协商</w:t>
      </w:r>
    </w:p>
    <w:p>
      <w:pPr>
        <w:pStyle w:val="null3"/>
        <w:ind w:firstLine="480"/>
        <w:jc w:val="left"/>
      </w:pPr>
      <w:r>
        <w:rPr>
          <w:rFonts w:ascii="仿宋_GB2312" w:hAnsi="仿宋_GB2312" w:cs="仿宋_GB2312" w:eastAsia="仿宋_GB2312"/>
        </w:rPr>
        <w:t>一、协商小组按照采购文件的规定与邀请参加协商的供应商进行协商， 供应商应随时关注交易系统信息，及时参与在线协商。供应商登录交易系统进入等候大厅（找到对应项目），与协商小组进行在线协商、提交供应商响应表，供应商响应表应加盖供应商（法定名称）电子印章。协商结束前，供应商应随时关注系统提示，及时通过交易系统在线响应协商小组发出的协商邀请，签章并确认提交成功。未在规定时间内回复将不能提交，视为供应商自行放弃该轮协商，其损失由供应商承担。</w:t>
      </w:r>
    </w:p>
    <w:p>
      <w:pPr>
        <w:pStyle w:val="null3"/>
        <w:ind w:firstLine="480"/>
        <w:jc w:val="left"/>
      </w:pPr>
      <w:r>
        <w:rPr>
          <w:rFonts w:ascii="仿宋_GB2312" w:hAnsi="仿宋_GB2312" w:cs="仿宋_GB2312" w:eastAsia="仿宋_GB2312"/>
        </w:rPr>
        <w:t>二、协商小组负责与供应商（邀请参加单一来源采购的供应商为资格条件符合采购人要求的合格供应商）就第四章规定的可实质性变动的内容进行协商确定成交价格。</w:t>
      </w:r>
    </w:p>
    <w:p>
      <w:pPr>
        <w:pStyle w:val="null3"/>
        <w:ind w:firstLine="480"/>
        <w:jc w:val="left"/>
      </w:pPr>
      <w:r>
        <w:rPr>
          <w:rFonts w:ascii="仿宋_GB2312" w:hAnsi="仿宋_GB2312" w:cs="仿宋_GB2312" w:eastAsia="仿宋_GB2312"/>
        </w:rPr>
        <w:t>三、协商过程中，供应商可以根据协商情况变更其响应文件，并将变更内容以澄清函形式在线提交协商小组。澄清函作为响应文件的一部分，应加盖供应商（法定名称）电子印章，否则无效。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四、提交供应商响应表、协商过程中的书面材料往来均通过交易系统传递，协商小组成员和供应商加盖电子印章后生效。协商小组成员出现无法在线签章的特殊情况，可以线下签署报告，由代理机构对原件扫描后以附件形式上传。</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一、协商结束后，协商小组可以根据协商情况要求供应商在规定时间内进行最后报价。协商小组开启报价后，供应商应随时关注交易系统信息，登录交易系统，通过“等候大厅”进行报价并签章后提交。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二、供应商在未提高响应文件中承诺的标准情况下，其最后报价不得高于对该项目之前的报价，否则，协商小组将对其响应文件作无效处理，并通过交易系统告知供应商，说明理由。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三、供应商未按协商小组要求在规定时间内提交报价的，视为无效响应，由供应商自行承担不利后果。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（三）供应商的最后报价符合采购文件的要求。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六、最后报价出现下列情况的，除采购文件另有规定外，按以下原则处理：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七、评审过程中出现下列情形之一的，协商小组应当启动异常低价响应审查程序：</w:t>
      </w:r>
    </w:p>
    <w:p>
      <w:pPr>
        <w:pStyle w:val="null3"/>
        <w:ind w:firstLine="480"/>
        <w:jc w:val="left"/>
      </w:pPr>
      <w:r>
        <w:rPr>
          <w:rFonts w:ascii="仿宋_GB2312" w:hAnsi="仿宋_GB2312" w:cs="仿宋_GB2312" w:eastAsia="仿宋_GB2312"/>
        </w:rPr>
        <w:t xml:space="preserve">1.响应报价低于采购项目（采购包）最高限价 </w:t>
      </w:r>
      <w:r>
        <w:rPr>
          <w:rFonts w:ascii="仿宋_GB2312" w:hAnsi="仿宋_GB2312" w:cs="仿宋_GB2312" w:eastAsia="仿宋_GB2312"/>
        </w:rPr>
        <w:t>50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2.协商小组基于专业判断，认为供应商报价过低，有可能影响产品质量或者不能诚信履约的其他情形。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协商小组启动异常低价响应审查后，属于前述第1项和第2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1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协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协商小组应当将其作为无效响应处理。</w:t>
      </w:r>
    </w:p>
    <w:p>
      <w:pPr>
        <w:pStyle w:val="null3"/>
        <w:ind w:firstLine="480"/>
        <w:jc w:val="left"/>
      </w:pPr>
      <w:r>
        <w:rPr>
          <w:rFonts w:ascii="仿宋_GB2312" w:hAnsi="仿宋_GB2312" w:cs="仿宋_GB2312" w:eastAsia="仿宋_GB2312"/>
        </w:rPr>
        <w:t>八、供应商最后报价无效的，本次采购活动终止，并发布终止公告。</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一、评审过程中，协商小组认为采购文件有关事项表述不明确或需要说明的，可以要求采购人或者代理机构书面解释。采购人或者代理机构的解释不得改变采购文件的原义或者影响公平、公正。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协商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协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三、代理机构宣布评审结束之前，供应商应通过交易系统随时关注消息提示，及时响应协商小组发出的澄清、说明或者更正要求。供应商未能及时响应的，自行承担不利后果。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四、协商小组应当积极履行澄清、说明或者更正的职责，不得滥用权力。供应商的响应文件可以要求澄清、说明或者更正的，不得未经澄清、说明或者更正而直接作无效响应处理。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5.3.8.代理机构现场复核评审结果</w:t>
      </w:r>
    </w:p>
    <w:p>
      <w:pPr>
        <w:pStyle w:val="null3"/>
        <w:ind w:firstLine="480"/>
        <w:jc w:val="left"/>
      </w:pPr>
      <w:r>
        <w:rPr>
          <w:rFonts w:ascii="仿宋_GB2312" w:hAnsi="仿宋_GB2312" w:cs="仿宋_GB2312" w:eastAsia="仿宋_GB2312"/>
        </w:rPr>
        <w:t>一、供应商最后报价结束后，协商小组拟出具协商报告前，代理机构应当组织2名以上的本单位工作人员，在采购现场监督人员的监督之下，依据有关的法律制度和采购文件对评审结果进行复核，出具复核报告。存在资格审查认定错误的，代理机构应当根据情况书面建议协商小组现场修改评审结果或者重新评审，由协商小组自主决定是否采纳代理机构的书面建议，并承担独立评审责任。</w:t>
      </w:r>
    </w:p>
    <w:p>
      <w:pPr>
        <w:pStyle w:val="null3"/>
        <w:ind w:firstLine="480"/>
        <w:jc w:val="left"/>
      </w:pPr>
      <w:r>
        <w:rPr>
          <w:rFonts w:ascii="仿宋_GB2312" w:hAnsi="仿宋_GB2312" w:cs="仿宋_GB2312" w:eastAsia="仿宋_GB2312"/>
        </w:rPr>
        <w:t>二、协商小组采纳代理机构书面建议的，应当按照规定现场通过交易系统修改评审结果或者重新评审，并在协商情况记录中详细记载有关事宜；不采纳代理机构书面建议的，应当书面说明理由。代理机构书面建议未被协商小组采纳的，应当按照规定程序要求继续组织实施采购活动，不得擅自中止采购活动。代理机构认为协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三、代理机构复核过程中，协商小组成员不得离开评审现场。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协商小组未按照采购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5.3.9.出具协商情况记录</w:t>
      </w:r>
    </w:p>
    <w:p>
      <w:pPr>
        <w:pStyle w:val="null3"/>
        <w:ind w:firstLine="480"/>
        <w:jc w:val="left"/>
      </w:pPr>
      <w:r>
        <w:rPr>
          <w:rFonts w:ascii="仿宋_GB2312" w:hAnsi="仿宋_GB2312" w:cs="仿宋_GB2312" w:eastAsia="仿宋_GB2312"/>
        </w:rPr>
        <w:t>协商小组在交易系统中编制评审情况，出具协商情况记录。</w:t>
      </w:r>
    </w:p>
    <w:p>
      <w:pPr>
        <w:pStyle w:val="null3"/>
        <w:ind w:firstLine="480"/>
        <w:jc w:val="left"/>
      </w:pPr>
      <w:r>
        <w:rPr>
          <w:rFonts w:ascii="仿宋_GB2312" w:hAnsi="仿宋_GB2312" w:cs="仿宋_GB2312" w:eastAsia="仿宋_GB2312"/>
        </w:rPr>
        <w:t>协商情况记录是协商小组根据全体成员签署的原始协商记录和协商结果编写的报告。主要内容包括：</w:t>
      </w:r>
    </w:p>
    <w:p>
      <w:pPr>
        <w:pStyle w:val="null3"/>
        <w:ind w:firstLine="480"/>
        <w:jc w:val="left"/>
      </w:pPr>
      <w:r>
        <w:rPr>
          <w:rFonts w:ascii="仿宋_GB2312" w:hAnsi="仿宋_GB2312" w:cs="仿宋_GB2312" w:eastAsia="仿宋_GB2312"/>
        </w:rPr>
        <w:t>一、单一来源公示情况说明（属于《政府采购非招标采购方式管理办法》第三十八条规定情形的，必须包含公示情况说明）；</w:t>
      </w:r>
    </w:p>
    <w:p>
      <w:pPr>
        <w:pStyle w:val="null3"/>
        <w:ind w:firstLine="480"/>
        <w:jc w:val="left"/>
      </w:pPr>
      <w:r>
        <w:rPr>
          <w:rFonts w:ascii="仿宋_GB2312" w:hAnsi="仿宋_GB2312" w:cs="仿宋_GB2312" w:eastAsia="仿宋_GB2312"/>
        </w:rPr>
        <w:t>二、协商日期和地点，协商小组成员名单；</w:t>
      </w:r>
    </w:p>
    <w:p>
      <w:pPr>
        <w:pStyle w:val="null3"/>
        <w:ind w:firstLine="480"/>
        <w:jc w:val="left"/>
      </w:pPr>
      <w:r>
        <w:rPr>
          <w:rFonts w:ascii="仿宋_GB2312" w:hAnsi="仿宋_GB2312" w:cs="仿宋_GB2312" w:eastAsia="仿宋_GB2312"/>
        </w:rPr>
        <w:t>三、供应商提供的采购标的成本、同类项目合同价格以及相关专利、专有技术等情况说明；</w:t>
      </w:r>
    </w:p>
    <w:p>
      <w:pPr>
        <w:pStyle w:val="null3"/>
        <w:ind w:firstLine="480"/>
        <w:jc w:val="left"/>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评审结果经代理机构核对无误后，协商小组成员应当在协商报告中签字或加盖电子印章确认。协商报告签署前，协商小组成员可以对已评环节的评审意见进行修改调整，并在协商报告中进行记录。协商报告签署后，评审意见生效，除符合政府采购法律制度规定情形外，任何单位和个人不得擅自改变评审结果。协商小组成员签字但未写明不同意见或者未说明理由的，视同无意见；拒不签字或加盖电子印章又未另行说明其不同意见和理由的，视同同意评审结果。</w:t>
      </w:r>
    </w:p>
    <w:p>
      <w:pPr>
        <w:pStyle w:val="null3"/>
        <w:ind w:firstLine="480"/>
        <w:jc w:val="left"/>
      </w:pPr>
      <w:r>
        <w:rPr>
          <w:rFonts w:ascii="仿宋_GB2312" w:hAnsi="仿宋_GB2312" w:cs="仿宋_GB2312" w:eastAsia="仿宋_GB2312"/>
        </w:rPr>
        <w:t>协商小组成员复核、确认各自评审意见，汇总形成评审结果，采购人或者代理机构按规定进行核对。复核、核对发现存在财政部规定应当修改评审结果的情形，协商小组、采购人、代理机构应当依法进行处理；复核、核对无误后，协商小组按规定编写、签署协商情况记录。</w:t>
      </w:r>
    </w:p>
    <w:p>
      <w:pPr>
        <w:pStyle w:val="null3"/>
        <w:jc w:val="left"/>
        <w:outlineLvl w:val="3"/>
      </w:pPr>
      <w:r>
        <w:rPr>
          <w:rFonts w:ascii="仿宋_GB2312" w:hAnsi="仿宋_GB2312" w:cs="仿宋_GB2312" w:eastAsia="仿宋_GB2312"/>
          <w:sz w:val="24"/>
          <w:b/>
        </w:rPr>
        <w:t>5.3.10.争议处理规则</w:t>
      </w:r>
    </w:p>
    <w:p>
      <w:pPr>
        <w:pStyle w:val="null3"/>
        <w:ind w:firstLine="480"/>
        <w:jc w:val="left"/>
      </w:pPr>
      <w:r>
        <w:rPr>
          <w:rFonts w:ascii="仿宋_GB2312" w:hAnsi="仿宋_GB2312" w:cs="仿宋_GB2312" w:eastAsia="仿宋_GB2312"/>
        </w:rPr>
        <w:t>协商小组在协商过程中应当以少数服从多数的原则作出结论，但不得违反法律法规和采购文件规定。持不同意见的协商小组成员应当在协商报告上明确不同意见及理由，否则视同无意见。持不同意见的协商小组成员认为认定过程和结果不符合法律法规或者采购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5.4.评审细则及标准</w:t>
      </w:r>
    </w:p>
    <w:p>
      <w:pPr>
        <w:pStyle w:val="null3"/>
        <w:jc w:val="left"/>
        <w:outlineLvl w:val="3"/>
      </w:pPr>
      <w:r>
        <w:rPr>
          <w:rFonts w:ascii="仿宋_GB2312" w:hAnsi="仿宋_GB2312" w:cs="仿宋_GB2312" w:eastAsia="仿宋_GB2312"/>
          <w:sz w:val="24"/>
          <w:b/>
        </w:rPr>
        <w:t>价格评审细则</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w:t>
            </w:r>
          </w:p>
        </w:tc>
        <w:tc>
          <w:tcPr>
            <w:tcW w:type="dxa" w:w="2123"/>
          </w:tcPr>
          <w:p>
            <w:pPr>
              <w:pStyle w:val="null3"/>
              <w:jc w:val="left"/>
            </w:pPr>
            <w:r>
              <w:rPr>
                <w:rFonts w:ascii="仿宋_GB2312" w:hAnsi="仿宋_GB2312" w:cs="仿宋_GB2312" w:eastAsia="仿宋_GB2312"/>
              </w:rPr>
              <w:t>报价明细表,报价表</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w:t>
            </w:r>
          </w:p>
        </w:tc>
        <w:tc>
          <w:tcPr>
            <w:tcW w:type="dxa" w:w="2123"/>
          </w:tcPr>
          <w:p>
            <w:pPr>
              <w:pStyle w:val="null3"/>
              <w:jc w:val="left"/>
            </w:pPr>
            <w:r>
              <w:rPr>
                <w:rFonts w:ascii="仿宋_GB2312" w:hAnsi="仿宋_GB2312" w:cs="仿宋_GB2312" w:eastAsia="仿宋_GB2312"/>
              </w:rPr>
              <w:t>报价明细表,报价表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5.5.终止采购活动情形</w:t>
      </w:r>
    </w:p>
    <w:p>
      <w:pPr>
        <w:pStyle w:val="null3"/>
        <w:ind w:firstLine="480"/>
        <w:jc w:val="left"/>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一、因情况变化，不再符合规定的单一来源采购方式使用情形的；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三、报价超过采购预算的；</w:t>
      </w:r>
    </w:p>
    <w:p>
      <w:pPr>
        <w:pStyle w:val="null3"/>
        <w:ind w:firstLine="480"/>
        <w:jc w:val="left"/>
      </w:pPr>
      <w:r>
        <w:rPr>
          <w:rFonts w:ascii="仿宋_GB2312" w:hAnsi="仿宋_GB2312" w:cs="仿宋_GB2312" w:eastAsia="仿宋_GB2312"/>
        </w:rPr>
        <w:t>四、无法商定合理的成交价格或者无法保证采购项目质量。</w:t>
      </w:r>
    </w:p>
    <w:p>
      <w:pPr>
        <w:pStyle w:val="null3"/>
        <w:jc w:val="left"/>
        <w:outlineLvl w:val="2"/>
      </w:pPr>
      <w:r>
        <w:rPr>
          <w:rFonts w:ascii="仿宋_GB2312" w:hAnsi="仿宋_GB2312" w:cs="仿宋_GB2312" w:eastAsia="仿宋_GB2312"/>
          <w:sz w:val="28"/>
          <w:b/>
        </w:rPr>
        <w:t>5.6.确定供应商成交</w:t>
      </w:r>
    </w:p>
    <w:p>
      <w:pPr>
        <w:pStyle w:val="null3"/>
        <w:jc w:val="left"/>
      </w:pPr>
      <w:r>
        <w:rPr>
          <w:rFonts w:ascii="仿宋_GB2312" w:hAnsi="仿宋_GB2312" w:cs="仿宋_GB2312" w:eastAsia="仿宋_GB2312"/>
        </w:rPr>
        <w:t xml:space="preserve"> 本项目授权协商小组直接确定供应商成交，采购人或者代理机构应当自确定之日起2个工作日内在四川政府采购网发布成交结果公告，采购文件应当随成交结果同时公告。</w:t>
      </w:r>
    </w:p>
    <w:p>
      <w:pPr>
        <w:pStyle w:val="null3"/>
        <w:jc w:val="left"/>
        <w:outlineLvl w:val="2"/>
      </w:pPr>
      <w:r>
        <w:rPr>
          <w:rFonts w:ascii="仿宋_GB2312" w:hAnsi="仿宋_GB2312" w:cs="仿宋_GB2312" w:eastAsia="仿宋_GB2312"/>
          <w:sz w:val="28"/>
          <w:b/>
        </w:rPr>
        <w:t>5.7.协商小组义务</w:t>
      </w:r>
    </w:p>
    <w:p>
      <w:pPr>
        <w:pStyle w:val="null3"/>
        <w:ind w:firstLine="480"/>
        <w:jc w:val="left"/>
      </w:pPr>
      <w:r>
        <w:rPr>
          <w:rFonts w:ascii="仿宋_GB2312" w:hAnsi="仿宋_GB2312" w:cs="仿宋_GB2312" w:eastAsia="仿宋_GB2312"/>
        </w:rPr>
        <w:t>协商小组在政府采购活动中应当履行下列义务：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四、及时向监督管理部门报告评审过程中的违法违规情况，包括采购人、代理机构向专业人员作出倾向性、误导性的解释或者说明情况，供应商行贿、提供虚假材料或者串通情况，其他非法干预评审情况等；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五、发现采购文件内容违反国家有关强制性规定或者存在歧义、重大缺陷导致评审工作无法进行时，停止评审并通过交易系统向代理机构书面说明情况，说明停止评审的情形和具体理由；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5.8.协商小组成员工作纪律</w:t>
      </w:r>
    </w:p>
    <w:p>
      <w:pPr>
        <w:pStyle w:val="null3"/>
        <w:ind w:firstLine="480"/>
        <w:jc w:val="left"/>
      </w:pPr>
      <w:r>
        <w:rPr>
          <w:rFonts w:ascii="仿宋_GB2312" w:hAnsi="仿宋_GB2312" w:cs="仿宋_GB2312" w:eastAsia="仿宋_GB2312"/>
        </w:rPr>
        <w:t>协商小组成员在政府采购活动中应当遵守以下工作纪律：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一、严格遵守政府采购法律制度关于协商小组成员回避的规定。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详见附件：商务要求应答表.docx</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详见附件：商务要求应答表.docx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