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版本号：N510001202500419820260212002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轨道交通智能检测工程中心（第一期）(二次)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N5100012025004198</w:t>
      </w:r>
    </w:p>
    <w:p>
      <w:pPr>
        <w:pStyle w:val="null3"/>
        <w:jc w:val="left"/>
        <w:outlineLvl w:val="2"/>
      </w:pPr>
      <w:r>
        <w:rPr>
          <w:rFonts w:ascii="仿宋_GB2312" w:hAnsi="仿宋_GB2312" w:cs="仿宋_GB2312" w:eastAsia="仿宋_GB2312"/>
          <w:sz w:val="28"/>
          <w:b/>
        </w:rPr>
        <w:t>四川铁道职业学院</w:t>
      </w:r>
    </w:p>
    <w:p>
      <w:pPr>
        <w:pStyle w:val="null3"/>
        <w:jc w:val="center"/>
        <w:outlineLvl w:val="2"/>
      </w:pPr>
      <w:r>
        <w:rPr>
          <w:rFonts w:ascii="仿宋_GB2312" w:hAnsi="仿宋_GB2312" w:cs="仿宋_GB2312" w:eastAsia="仿宋_GB2312"/>
          <w:sz w:val="28"/>
          <w:b/>
        </w:rPr>
        <w:t>四川中泽盛世项目管理有限公司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四川中泽盛世项目管理有限公司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四川铁道职业学院</w:t>
      </w:r>
      <w:r>
        <w:rPr>
          <w:rFonts w:ascii="仿宋_GB2312" w:hAnsi="仿宋_GB2312" w:cs="仿宋_GB2312" w:eastAsia="仿宋_GB2312"/>
        </w:rPr>
        <w:t xml:space="preserve"> 委托，拟对 </w:t>
      </w:r>
      <w:r>
        <w:rPr>
          <w:rFonts w:ascii="仿宋_GB2312" w:hAnsi="仿宋_GB2312" w:cs="仿宋_GB2312" w:eastAsia="仿宋_GB2312"/>
        </w:rPr>
        <w:t>轨道交通智能检测工程中心（第一期）(二次)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N5100012025004198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轨道交通智能检测工程中心（第一期）(二次)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标的设备能够自行行走于轨道，也可以通过手持设备遥控控制，能够检测接触网拉出值导高数据，能检测定位器坡度、定位器水平受力，判断是否为吊弦点、是否为定位点，吊弦点吊弦是否弯曲、定位器水平受力是否超限等功能。采购标的设备相机模组需满足在正对太阳的条件下能够正常检测输出检测数据的要求。能够扫描铁路沿线生成云图，用配套软件并进一步处理成仿真图像。</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四川铁道职业学院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四川省成都市郫都区安德街道彭温路399号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611732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陆老师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028-68939875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四川中泽盛世项目管理有限公司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成都金牛高新技术产业园区蜀西路46号1栋1单元3楼301号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028-87789977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收款单位：四川铁道职业学院  </w:t>
              <w:br/>
              <w:t xml:space="preserve">开 户 行：建设银行郫都支行 </w:t>
              <w:br/>
              <w:t xml:space="preserve">银行账号：51001597208051513002 </w:t>
              <w:br/>
              <w:t>交款时间：签订合同前；</w:t>
              <w:br/>
              <w:t>全部货物安装调试完毕并验收合格，中标方承诺的质保期满后，达到退还履约保证金条件起 7 日内 ，无息退还履约保证金至原账户。</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金额作为计算基数，按照《招标代理服务收费管理暂行办法》（计价格［2002］1980号）和《关于招标代理服务收费有关问题的通知》（发改办价格[2003]857号）文件规定下浮40%收取，由中标人向采购代理机构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四川铁道职业学院</w:t>
      </w:r>
      <w:r>
        <w:rPr>
          <w:rFonts w:ascii="仿宋_GB2312" w:hAnsi="仿宋_GB2312" w:cs="仿宋_GB2312" w:eastAsia="仿宋_GB2312"/>
        </w:rPr>
        <w:t xml:space="preserve"> 和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四川铁道职业学院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四川中泽盛世项目管理有限公司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到货组装完成，中标方完成合同约定的师资培训后 ，达到验收条件起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详见验收方案。</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采购文件的技术和商务要求、响应文件的响应和承诺、合同约定内容。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采购文件的技术和商务要求、响应文件的响应和承诺、合同约定内容。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 》（财库〔2016〕205号）等政府采购相关法律法规的要求、本项目招标文件及中标人的投标文件进行验收。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履约验收各条款间有不一致时，按较高标准进行。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四川铁道职业学院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联系人：薛老师</w:t>
      </w:r>
    </w:p>
    <w:p>
      <w:pPr>
        <w:pStyle w:val="null3"/>
        <w:jc w:val="left"/>
      </w:pPr>
      <w:r>
        <w:rPr>
          <w:rFonts w:ascii="仿宋_GB2312" w:hAnsi="仿宋_GB2312" w:cs="仿宋_GB2312" w:eastAsia="仿宋_GB2312"/>
        </w:rPr>
        <w:t>联系电话：028-87789977</w:t>
      </w:r>
    </w:p>
    <w:p>
      <w:pPr>
        <w:pStyle w:val="null3"/>
        <w:jc w:val="left"/>
      </w:pPr>
      <w:r>
        <w:rPr>
          <w:rFonts w:ascii="仿宋_GB2312" w:hAnsi="仿宋_GB2312" w:cs="仿宋_GB2312" w:eastAsia="仿宋_GB2312"/>
        </w:rPr>
        <w:t>地址：成都金牛高新技术产业园区蜀西路46号1栋1单元3楼301号</w:t>
      </w:r>
    </w:p>
    <w:p>
      <w:pPr>
        <w:pStyle w:val="null3"/>
        <w:jc w:val="left"/>
      </w:pPr>
      <w:r>
        <w:rPr>
          <w:rFonts w:ascii="仿宋_GB2312" w:hAnsi="仿宋_GB2312" w:cs="仿宋_GB2312" w:eastAsia="仿宋_GB2312"/>
        </w:rPr>
        <w:t>邮编：610036</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联系人：陆老师</w:t>
      </w:r>
    </w:p>
    <w:p>
      <w:pPr>
        <w:pStyle w:val="null3"/>
        <w:jc w:val="left"/>
      </w:pPr>
      <w:r>
        <w:rPr>
          <w:rFonts w:ascii="仿宋_GB2312" w:hAnsi="仿宋_GB2312" w:cs="仿宋_GB2312" w:eastAsia="仿宋_GB2312"/>
        </w:rPr>
        <w:t>联系电话：028-68939875</w:t>
      </w:r>
    </w:p>
    <w:p>
      <w:pPr>
        <w:pStyle w:val="null3"/>
        <w:jc w:val="left"/>
      </w:pPr>
      <w:r>
        <w:rPr>
          <w:rFonts w:ascii="仿宋_GB2312" w:hAnsi="仿宋_GB2312" w:cs="仿宋_GB2312" w:eastAsia="仿宋_GB2312"/>
        </w:rPr>
        <w:t>地址：四川省成都市郫都区安德街道彭温路399号</w:t>
      </w:r>
    </w:p>
    <w:p>
      <w:pPr>
        <w:pStyle w:val="null3"/>
        <w:jc w:val="left"/>
      </w:pPr>
      <w:r>
        <w:rPr>
          <w:rFonts w:ascii="仿宋_GB2312" w:hAnsi="仿宋_GB2312" w:cs="仿宋_GB2312" w:eastAsia="仿宋_GB2312"/>
        </w:rPr>
        <w:t>邮编：611732</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接触网智能三维检测小车机器人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接触网智能三维检测小车机器人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接触网智能三维检测小车机器人</w:t>
            </w:r>
          </w:p>
        </w:tc>
        <w:tc>
          <w:tcPr>
            <w:tcW w:type="dxa" w:w="2492"/>
          </w:tcPr>
          <w:p>
            <w:pPr>
              <w:pStyle w:val="null3"/>
              <w:jc w:val="left"/>
            </w:pPr>
            <w:r>
              <w:rPr>
                <w:rFonts w:ascii="仿宋_GB2312" w:hAnsi="仿宋_GB2312" w:cs="仿宋_GB2312" w:eastAsia="仿宋_GB2312"/>
              </w:rPr>
              <w:t>接触网智能三维检测小车机器人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标的名称：接触网智能三维检测小车机器人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4"/>
                <w:color w:val="000000"/>
              </w:rPr>
              <w:t>1.质量、安全、技术规格、物理特性等要求</w:t>
            </w:r>
          </w:p>
          <w:p>
            <w:pPr>
              <w:pStyle w:val="null3"/>
              <w:jc w:val="left"/>
            </w:pPr>
            <w:r>
              <w:rPr>
                <w:rFonts w:ascii="仿宋_GB2312" w:hAnsi="仿宋_GB2312" w:cs="仿宋_GB2312" w:eastAsia="仿宋_GB2312"/>
                <w:sz w:val="24"/>
                <w:color w:val="000000"/>
              </w:rPr>
              <w:t>1.1整体特性：</w:t>
            </w:r>
          </w:p>
          <w:p>
            <w:pPr>
              <w:pStyle w:val="null3"/>
              <w:jc w:val="left"/>
            </w:pPr>
            <w:r>
              <w:rPr>
                <w:rFonts w:ascii="仿宋_GB2312" w:hAnsi="仿宋_GB2312" w:cs="仿宋_GB2312" w:eastAsia="仿宋_GB2312"/>
                <w:sz w:val="24"/>
                <w:color w:val="000000"/>
              </w:rPr>
              <w:t>★接触网智能三维检测小车机器人是适配真实轨道作业场景，利用自身轮对，在线路未被占用且满足检测条件时，通过自身动力遥控或自动运行，在铁路钢轨上行驶，并对接触网进行三维检测的装置。</w:t>
            </w:r>
          </w:p>
          <w:p>
            <w:pPr>
              <w:pStyle w:val="null3"/>
              <w:jc w:val="left"/>
            </w:pPr>
            <w:r>
              <w:rPr>
                <w:rFonts w:ascii="仿宋_GB2312" w:hAnsi="仿宋_GB2312" w:cs="仿宋_GB2312" w:eastAsia="仿宋_GB2312"/>
                <w:sz w:val="24"/>
                <w:color w:val="000000"/>
              </w:rPr>
              <w:t>1.1.1整体检测小车机器人质量≤50Kg。</w:t>
            </w:r>
          </w:p>
          <w:p>
            <w:pPr>
              <w:pStyle w:val="null3"/>
              <w:jc w:val="left"/>
            </w:pPr>
            <w:r>
              <w:rPr>
                <w:rFonts w:ascii="仿宋_GB2312" w:hAnsi="仿宋_GB2312" w:cs="仿宋_GB2312" w:eastAsia="仿宋_GB2312"/>
                <w:sz w:val="24"/>
                <w:color w:val="000000"/>
              </w:rPr>
              <w:t>1.1.2搬运时尺寸长度＜1.5米，宽度＜0.8米。</w:t>
            </w:r>
          </w:p>
          <w:p>
            <w:pPr>
              <w:pStyle w:val="null3"/>
              <w:jc w:val="left"/>
            </w:pPr>
            <w:r>
              <w:rPr>
                <w:rFonts w:ascii="仿宋_GB2312" w:hAnsi="仿宋_GB2312" w:cs="仿宋_GB2312" w:eastAsia="仿宋_GB2312"/>
                <w:sz w:val="24"/>
                <w:color w:val="000000"/>
              </w:rPr>
              <w:t>1.1.3工作温度-20℃- +50℃。</w:t>
            </w:r>
          </w:p>
          <w:p>
            <w:pPr>
              <w:pStyle w:val="null3"/>
              <w:jc w:val="left"/>
            </w:pPr>
            <w:r>
              <w:rPr>
                <w:rFonts w:ascii="仿宋_GB2312" w:hAnsi="仿宋_GB2312" w:cs="仿宋_GB2312" w:eastAsia="仿宋_GB2312"/>
                <w:sz w:val="24"/>
                <w:color w:val="000000"/>
              </w:rPr>
              <w:t>1.1.4防护等级&gt;IP54。</w:t>
            </w:r>
          </w:p>
          <w:p>
            <w:pPr>
              <w:pStyle w:val="null3"/>
              <w:jc w:val="left"/>
            </w:pPr>
            <w:r>
              <w:rPr>
                <w:rFonts w:ascii="仿宋_GB2312" w:hAnsi="仿宋_GB2312" w:cs="仿宋_GB2312" w:eastAsia="仿宋_GB2312"/>
                <w:sz w:val="24"/>
                <w:color w:val="000000"/>
              </w:rPr>
              <w:t>1.1.5电池续航时间≥4h；满足2小时连续工作的时长。</w:t>
            </w:r>
          </w:p>
          <w:p>
            <w:pPr>
              <w:pStyle w:val="null3"/>
              <w:jc w:val="left"/>
            </w:pPr>
            <w:r>
              <w:rPr>
                <w:rFonts w:ascii="仿宋_GB2312" w:hAnsi="仿宋_GB2312" w:cs="仿宋_GB2312" w:eastAsia="仿宋_GB2312"/>
                <w:sz w:val="24"/>
                <w:color w:val="000000"/>
              </w:rPr>
              <w:t>1.1.6铁路走行及检测速度≥2km/h。</w:t>
            </w:r>
          </w:p>
          <w:p>
            <w:pPr>
              <w:pStyle w:val="null3"/>
              <w:jc w:val="left"/>
            </w:pPr>
            <w:r>
              <w:rPr>
                <w:rFonts w:ascii="仿宋_GB2312" w:hAnsi="仿宋_GB2312" w:cs="仿宋_GB2312" w:eastAsia="仿宋_GB2312"/>
                <w:sz w:val="24"/>
                <w:color w:val="000000"/>
              </w:rPr>
              <w:t>1.2相机模块：</w:t>
            </w:r>
          </w:p>
          <w:p>
            <w:pPr>
              <w:pStyle w:val="null3"/>
              <w:jc w:val="left"/>
            </w:pPr>
            <w:r>
              <w:rPr>
                <w:rFonts w:ascii="仿宋_GB2312" w:hAnsi="仿宋_GB2312" w:cs="仿宋_GB2312" w:eastAsia="仿宋_GB2312"/>
                <w:sz w:val="24"/>
                <w:color w:val="000000"/>
              </w:rPr>
              <w:t>1.2.1激光光源波长：500-1500nm。</w:t>
            </w:r>
          </w:p>
          <w:p>
            <w:pPr>
              <w:pStyle w:val="null3"/>
              <w:jc w:val="left"/>
            </w:pPr>
            <w:r>
              <w:rPr>
                <w:rFonts w:ascii="仿宋_GB2312" w:hAnsi="仿宋_GB2312" w:cs="仿宋_GB2312" w:eastAsia="仿宋_GB2312"/>
                <w:sz w:val="24"/>
                <w:color w:val="000000"/>
              </w:rPr>
              <w:t>1.2.2景深范围：4000mm～8000mm。</w:t>
            </w:r>
          </w:p>
          <w:p>
            <w:pPr>
              <w:pStyle w:val="null3"/>
              <w:jc w:val="left"/>
            </w:pPr>
            <w:r>
              <w:rPr>
                <w:rFonts w:ascii="仿宋_GB2312" w:hAnsi="仿宋_GB2312" w:cs="仿宋_GB2312" w:eastAsia="仿宋_GB2312"/>
                <w:sz w:val="24"/>
                <w:color w:val="000000"/>
              </w:rPr>
              <w:t>1.2.3相机分辨率&gt;4000*N</w:t>
            </w:r>
          </w:p>
          <w:p>
            <w:pPr>
              <w:pStyle w:val="null3"/>
              <w:jc w:val="left"/>
            </w:pPr>
            <w:r>
              <w:rPr>
                <w:rFonts w:ascii="仿宋_GB2312" w:hAnsi="仿宋_GB2312" w:cs="仿宋_GB2312" w:eastAsia="仿宋_GB2312"/>
                <w:sz w:val="24"/>
                <w:color w:val="000000"/>
              </w:rPr>
              <w:t>1.2.4横向 X 轴分辨率&gt;0.5mm</w:t>
            </w:r>
            <w:r>
              <w:rPr>
                <w:rFonts w:ascii="仿宋_GB2312" w:hAnsi="仿宋_GB2312" w:cs="仿宋_GB2312" w:eastAsia="仿宋_GB2312"/>
                <w:sz w:val="24"/>
                <w:color w:val="000000"/>
              </w:rPr>
              <w:t>。</w:t>
            </w:r>
            <w:r>
              <w:rPr>
                <w:rFonts w:ascii="仿宋_GB2312" w:hAnsi="仿宋_GB2312" w:cs="仿宋_GB2312" w:eastAsia="仿宋_GB2312"/>
                <w:sz w:val="24"/>
                <w:color w:val="000000"/>
              </w:rPr>
              <w:t>纵向 Y 轴分辨率&gt;2mm。</w:t>
            </w:r>
          </w:p>
          <w:p>
            <w:pPr>
              <w:pStyle w:val="null3"/>
              <w:jc w:val="left"/>
            </w:pPr>
            <w:r>
              <w:rPr>
                <w:rFonts w:ascii="仿宋_GB2312" w:hAnsi="仿宋_GB2312" w:cs="仿宋_GB2312" w:eastAsia="仿宋_GB2312"/>
                <w:sz w:val="24"/>
                <w:color w:val="000000"/>
              </w:rPr>
              <w:t>1.2.5</w:t>
            </w:r>
            <w:r>
              <w:rPr>
                <w:rFonts w:ascii="仿宋_GB2312" w:hAnsi="仿宋_GB2312" w:cs="仿宋_GB2312" w:eastAsia="仿宋_GB2312"/>
                <w:sz w:val="24"/>
                <w:color w:val="000000"/>
              </w:rPr>
              <w:t>深度 Z 轴平均精度：&lt;10mm</w:t>
            </w:r>
          </w:p>
          <w:p>
            <w:pPr>
              <w:pStyle w:val="null3"/>
              <w:jc w:val="left"/>
            </w:pPr>
            <w:r>
              <w:rPr>
                <w:rFonts w:ascii="仿宋_GB2312" w:hAnsi="仿宋_GB2312" w:cs="仿宋_GB2312" w:eastAsia="仿宋_GB2312"/>
                <w:sz w:val="24"/>
                <w:color w:val="000000"/>
              </w:rPr>
              <w:t>1.3存储模块</w:t>
            </w:r>
          </w:p>
          <w:p>
            <w:pPr>
              <w:pStyle w:val="null3"/>
              <w:jc w:val="left"/>
            </w:pPr>
            <w:r>
              <w:rPr>
                <w:rFonts w:ascii="仿宋_GB2312" w:hAnsi="仿宋_GB2312" w:cs="仿宋_GB2312" w:eastAsia="仿宋_GB2312"/>
                <w:sz w:val="24"/>
                <w:color w:val="000000"/>
              </w:rPr>
              <w:t>1.3.1巡视检测时自动检测。</w:t>
            </w:r>
          </w:p>
          <w:p>
            <w:pPr>
              <w:pStyle w:val="null3"/>
              <w:jc w:val="left"/>
            </w:pPr>
            <w:r>
              <w:rPr>
                <w:rFonts w:ascii="仿宋_GB2312" w:hAnsi="仿宋_GB2312" w:cs="仿宋_GB2312" w:eastAsia="仿宋_GB2312"/>
                <w:sz w:val="24"/>
                <w:color w:val="000000"/>
              </w:rPr>
              <w:t>1.3.2数字存储为不低于128G的可插拔TF卡。</w:t>
            </w:r>
          </w:p>
          <w:p>
            <w:pPr>
              <w:pStyle w:val="null3"/>
              <w:jc w:val="left"/>
            </w:pPr>
            <w:r>
              <w:rPr>
                <w:rFonts w:ascii="仿宋_GB2312" w:hAnsi="仿宋_GB2312" w:cs="仿宋_GB2312" w:eastAsia="仿宋_GB2312"/>
                <w:sz w:val="24"/>
                <w:color w:val="000000"/>
              </w:rPr>
              <w:t>1.3.3回放功能支持检测波形图及三维点云回放。</w:t>
            </w:r>
          </w:p>
          <w:p>
            <w:pPr>
              <w:pStyle w:val="null3"/>
              <w:jc w:val="left"/>
            </w:pPr>
            <w:r>
              <w:rPr>
                <w:rFonts w:ascii="仿宋_GB2312" w:hAnsi="仿宋_GB2312" w:cs="仿宋_GB2312" w:eastAsia="仿宋_GB2312"/>
                <w:sz w:val="24"/>
                <w:color w:val="000000"/>
              </w:rPr>
              <w:t>1.4数据传输模块</w:t>
            </w:r>
          </w:p>
          <w:p>
            <w:pPr>
              <w:pStyle w:val="null3"/>
              <w:jc w:val="left"/>
            </w:pPr>
            <w:r>
              <w:rPr>
                <w:rFonts w:ascii="仿宋_GB2312" w:hAnsi="仿宋_GB2312" w:cs="仿宋_GB2312" w:eastAsia="仿宋_GB2312"/>
                <w:sz w:val="24"/>
                <w:color w:val="000000"/>
              </w:rPr>
              <w:t>1.4.1检测数据可实时传输显示。</w:t>
            </w:r>
          </w:p>
          <w:p>
            <w:pPr>
              <w:pStyle w:val="null3"/>
              <w:jc w:val="left"/>
            </w:pPr>
            <w:r>
              <w:rPr>
                <w:rFonts w:ascii="仿宋_GB2312" w:hAnsi="仿宋_GB2312" w:cs="仿宋_GB2312" w:eastAsia="仿宋_GB2312"/>
                <w:sz w:val="24"/>
                <w:color w:val="000000"/>
              </w:rPr>
              <w:t>1.4.2能清晰显示三维点云图、检测波形图、超限报警信息。</w:t>
            </w:r>
          </w:p>
          <w:p>
            <w:pPr>
              <w:pStyle w:val="null3"/>
              <w:jc w:val="left"/>
            </w:pPr>
            <w:r>
              <w:rPr>
                <w:rFonts w:ascii="仿宋_GB2312" w:hAnsi="仿宋_GB2312" w:cs="仿宋_GB2312" w:eastAsia="仿宋_GB2312"/>
                <w:sz w:val="24"/>
                <w:color w:val="000000"/>
              </w:rPr>
              <w:t>1.4.3屏幕在强光照环境下能够清晰显示，不反光，不模糊，不重影。</w:t>
            </w:r>
          </w:p>
          <w:p>
            <w:pPr>
              <w:pStyle w:val="null3"/>
              <w:jc w:val="left"/>
            </w:pPr>
            <w:r>
              <w:rPr>
                <w:rFonts w:ascii="仿宋_GB2312" w:hAnsi="仿宋_GB2312" w:cs="仿宋_GB2312" w:eastAsia="仿宋_GB2312"/>
                <w:sz w:val="24"/>
                <w:color w:val="000000"/>
              </w:rPr>
              <w:t>1.5检测精度</w:t>
            </w:r>
          </w:p>
          <w:p>
            <w:pPr>
              <w:pStyle w:val="null3"/>
              <w:jc w:val="left"/>
            </w:pPr>
            <w:r>
              <w:rPr>
                <w:rFonts w:ascii="仿宋_GB2312" w:hAnsi="仿宋_GB2312" w:cs="仿宋_GB2312" w:eastAsia="仿宋_GB2312"/>
                <w:sz w:val="24"/>
                <w:color w:val="000000"/>
              </w:rPr>
              <w:t>1.5.1▲接触线高度</w:t>
            </w:r>
            <w:r>
              <w:rPr>
                <w:rFonts w:ascii="仿宋_GB2312" w:hAnsi="仿宋_GB2312" w:cs="仿宋_GB2312" w:eastAsia="仿宋_GB2312"/>
                <w:sz w:val="24"/>
                <w:color w:val="000000"/>
              </w:rPr>
              <w:t>检测误差</w:t>
            </w:r>
            <w:r>
              <w:rPr>
                <w:rFonts w:ascii="仿宋_GB2312" w:hAnsi="仿宋_GB2312" w:cs="仿宋_GB2312" w:eastAsia="仿宋_GB2312"/>
                <w:sz w:val="24"/>
                <w:color w:val="000000"/>
              </w:rPr>
              <w:t>±5mm</w:t>
            </w:r>
            <w:r>
              <w:rPr>
                <w:rFonts w:ascii="仿宋_GB2312" w:hAnsi="仿宋_GB2312" w:cs="仿宋_GB2312" w:eastAsia="仿宋_GB2312"/>
                <w:sz w:val="24"/>
                <w:color w:val="000000"/>
              </w:rPr>
              <w:t>以内</w:t>
            </w:r>
            <w:r>
              <w:rPr>
                <w:rFonts w:ascii="仿宋_GB2312" w:hAnsi="仿宋_GB2312" w:cs="仿宋_GB2312" w:eastAsia="仿宋_GB2312"/>
                <w:sz w:val="24"/>
                <w:color w:val="000000"/>
              </w:rPr>
              <w:t>（提供国家认可的第三方检测机构出具的检测报告复印件加盖公章）。</w:t>
            </w:r>
          </w:p>
          <w:p>
            <w:pPr>
              <w:pStyle w:val="null3"/>
              <w:jc w:val="left"/>
            </w:pPr>
            <w:r>
              <w:rPr>
                <w:rFonts w:ascii="仿宋_GB2312" w:hAnsi="仿宋_GB2312" w:cs="仿宋_GB2312" w:eastAsia="仿宋_GB2312"/>
                <w:sz w:val="24"/>
                <w:color w:val="000000"/>
              </w:rPr>
              <w:t>1.5.2</w:t>
            </w:r>
            <w:r>
              <w:rPr>
                <w:rFonts w:ascii="仿宋_GB2312" w:hAnsi="仿宋_GB2312" w:cs="仿宋_GB2312" w:eastAsia="仿宋_GB2312"/>
                <w:sz w:val="24"/>
                <w:color w:val="000000"/>
              </w:rPr>
              <w:t>▲</w:t>
            </w:r>
            <w:r>
              <w:rPr>
                <w:rFonts w:ascii="仿宋_GB2312" w:hAnsi="仿宋_GB2312" w:cs="仿宋_GB2312" w:eastAsia="仿宋_GB2312"/>
                <w:sz w:val="24"/>
                <w:color w:val="000000"/>
              </w:rPr>
              <w:t>接触线拉出值</w:t>
            </w:r>
            <w:r>
              <w:rPr>
                <w:rFonts w:ascii="仿宋_GB2312" w:hAnsi="仿宋_GB2312" w:cs="仿宋_GB2312" w:eastAsia="仿宋_GB2312"/>
                <w:sz w:val="24"/>
                <w:color w:val="000000"/>
              </w:rPr>
              <w:t>检测误差</w:t>
            </w:r>
            <w:r>
              <w:rPr>
                <w:rFonts w:ascii="仿宋_GB2312" w:hAnsi="仿宋_GB2312" w:cs="仿宋_GB2312" w:eastAsia="仿宋_GB2312"/>
                <w:sz w:val="24"/>
                <w:color w:val="000000"/>
              </w:rPr>
              <w:t>±3mm</w:t>
            </w:r>
            <w:r>
              <w:rPr>
                <w:rFonts w:ascii="仿宋_GB2312" w:hAnsi="仿宋_GB2312" w:cs="仿宋_GB2312" w:eastAsia="仿宋_GB2312"/>
                <w:sz w:val="24"/>
                <w:color w:val="000000"/>
              </w:rPr>
              <w:t>以内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1.5.3▲接触线坡度</w:t>
            </w:r>
            <w:r>
              <w:rPr>
                <w:rFonts w:ascii="仿宋_GB2312" w:hAnsi="仿宋_GB2312" w:cs="仿宋_GB2312" w:eastAsia="仿宋_GB2312"/>
                <w:sz w:val="24"/>
                <w:color w:val="000000"/>
              </w:rPr>
              <w:t>检测误差</w:t>
            </w:r>
            <w:r>
              <w:rPr>
                <w:rFonts w:ascii="仿宋_GB2312" w:hAnsi="仿宋_GB2312" w:cs="仿宋_GB2312" w:eastAsia="仿宋_GB2312"/>
                <w:sz w:val="24"/>
                <w:color w:val="000000"/>
              </w:rPr>
              <w:t>±1‰</w:t>
            </w:r>
            <w:r>
              <w:rPr>
                <w:rFonts w:ascii="仿宋_GB2312" w:hAnsi="仿宋_GB2312" w:cs="仿宋_GB2312" w:eastAsia="仿宋_GB2312"/>
                <w:sz w:val="24"/>
                <w:color w:val="000000"/>
              </w:rPr>
              <w:t>以内</w:t>
            </w:r>
            <w:r>
              <w:rPr>
                <w:rFonts w:ascii="仿宋_GB2312" w:hAnsi="仿宋_GB2312" w:cs="仿宋_GB2312" w:eastAsia="仿宋_GB2312"/>
                <w:sz w:val="24"/>
                <w:color w:val="000000"/>
              </w:rPr>
              <w:t>（提供国家认可的第三方检测机构出具的检测报告复印件加盖公章）。</w:t>
            </w:r>
          </w:p>
          <w:p>
            <w:pPr>
              <w:pStyle w:val="null3"/>
              <w:jc w:val="left"/>
            </w:pPr>
            <w:r>
              <w:rPr>
                <w:rFonts w:ascii="仿宋_GB2312" w:hAnsi="仿宋_GB2312" w:cs="仿宋_GB2312" w:eastAsia="仿宋_GB2312"/>
                <w:sz w:val="24"/>
                <w:color w:val="000000"/>
              </w:rPr>
              <w:t>1.5.4跨中偏移值</w:t>
            </w:r>
            <w:r>
              <w:rPr>
                <w:rFonts w:ascii="仿宋_GB2312" w:hAnsi="仿宋_GB2312" w:cs="仿宋_GB2312" w:eastAsia="仿宋_GB2312"/>
                <w:sz w:val="24"/>
                <w:color w:val="000000"/>
              </w:rPr>
              <w:t>检测误差</w:t>
            </w:r>
            <w:r>
              <w:rPr>
                <w:rFonts w:ascii="仿宋_GB2312" w:hAnsi="仿宋_GB2312" w:cs="仿宋_GB2312" w:eastAsia="仿宋_GB2312"/>
                <w:sz w:val="24"/>
                <w:color w:val="000000"/>
              </w:rPr>
              <w:t>±3mm</w:t>
            </w:r>
            <w:r>
              <w:rPr>
                <w:rFonts w:ascii="仿宋_GB2312" w:hAnsi="仿宋_GB2312" w:cs="仿宋_GB2312" w:eastAsia="仿宋_GB2312"/>
                <w:sz w:val="24"/>
                <w:color w:val="000000"/>
              </w:rPr>
              <w:t>以内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1.5.5▲两支接触线水平距离</w:t>
            </w:r>
            <w:r>
              <w:rPr>
                <w:rFonts w:ascii="仿宋_GB2312" w:hAnsi="仿宋_GB2312" w:cs="仿宋_GB2312" w:eastAsia="仿宋_GB2312"/>
                <w:sz w:val="24"/>
                <w:color w:val="000000"/>
              </w:rPr>
              <w:t>检测误差</w:t>
            </w:r>
            <w:r>
              <w:rPr>
                <w:rFonts w:ascii="仿宋_GB2312" w:hAnsi="仿宋_GB2312" w:cs="仿宋_GB2312" w:eastAsia="仿宋_GB2312"/>
                <w:sz w:val="24"/>
                <w:color w:val="000000"/>
              </w:rPr>
              <w:t>±5mm</w:t>
            </w:r>
            <w:r>
              <w:rPr>
                <w:rFonts w:ascii="仿宋_GB2312" w:hAnsi="仿宋_GB2312" w:cs="仿宋_GB2312" w:eastAsia="仿宋_GB2312"/>
                <w:sz w:val="24"/>
                <w:color w:val="000000"/>
              </w:rPr>
              <w:t>以内</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（提供国家认可的第三方检测机构出具的检测报告复印件加盖公章）。</w:t>
            </w:r>
          </w:p>
          <w:p>
            <w:pPr>
              <w:pStyle w:val="null3"/>
              <w:jc w:val="left"/>
            </w:pPr>
            <w:r>
              <w:rPr>
                <w:rFonts w:ascii="仿宋_GB2312" w:hAnsi="仿宋_GB2312" w:cs="仿宋_GB2312" w:eastAsia="仿宋_GB2312"/>
                <w:sz w:val="24"/>
                <w:color w:val="000000"/>
              </w:rPr>
              <w:t>1.5.6▲两支接触线垂直距离</w:t>
            </w:r>
            <w:r>
              <w:rPr>
                <w:rFonts w:ascii="仿宋_GB2312" w:hAnsi="仿宋_GB2312" w:cs="仿宋_GB2312" w:eastAsia="仿宋_GB2312"/>
                <w:sz w:val="24"/>
                <w:color w:val="000000"/>
              </w:rPr>
              <w:t>检测误差</w:t>
            </w:r>
            <w:r>
              <w:rPr>
                <w:rFonts w:ascii="仿宋_GB2312" w:hAnsi="仿宋_GB2312" w:cs="仿宋_GB2312" w:eastAsia="仿宋_GB2312"/>
                <w:sz w:val="24"/>
                <w:color w:val="000000"/>
              </w:rPr>
              <w:t>±5mm</w:t>
            </w:r>
            <w:r>
              <w:rPr>
                <w:rFonts w:ascii="仿宋_GB2312" w:hAnsi="仿宋_GB2312" w:cs="仿宋_GB2312" w:eastAsia="仿宋_GB2312"/>
                <w:sz w:val="24"/>
                <w:color w:val="000000"/>
              </w:rPr>
              <w:t>以内</w:t>
            </w:r>
            <w:r>
              <w:rPr>
                <w:rFonts w:ascii="仿宋_GB2312" w:hAnsi="仿宋_GB2312" w:cs="仿宋_GB2312" w:eastAsia="仿宋_GB2312"/>
                <w:sz w:val="24"/>
                <w:color w:val="000000"/>
              </w:rPr>
              <w:t>（提供国家认可的第三方检测机构出具的检测报告复印件加盖公章）。</w:t>
            </w:r>
          </w:p>
          <w:p>
            <w:pPr>
              <w:pStyle w:val="null3"/>
              <w:jc w:val="left"/>
            </w:pPr>
            <w:r>
              <w:rPr>
                <w:rFonts w:ascii="仿宋_GB2312" w:hAnsi="仿宋_GB2312" w:cs="仿宋_GB2312" w:eastAsia="仿宋_GB2312"/>
                <w:sz w:val="24"/>
                <w:color w:val="000000"/>
              </w:rPr>
              <w:t>1.5.7▲接触线水平转角</w:t>
            </w:r>
            <w:r>
              <w:rPr>
                <w:rFonts w:ascii="仿宋_GB2312" w:hAnsi="仿宋_GB2312" w:cs="仿宋_GB2312" w:eastAsia="仿宋_GB2312"/>
                <w:sz w:val="24"/>
                <w:color w:val="000000"/>
              </w:rPr>
              <w:t>检测误差</w:t>
            </w:r>
            <w:r>
              <w:rPr>
                <w:rFonts w:ascii="仿宋_GB2312" w:hAnsi="仿宋_GB2312" w:cs="仿宋_GB2312" w:eastAsia="仿宋_GB2312"/>
                <w:sz w:val="24"/>
                <w:color w:val="000000"/>
              </w:rPr>
              <w:t>±0.5°</w:t>
            </w:r>
            <w:r>
              <w:rPr>
                <w:rFonts w:ascii="仿宋_GB2312" w:hAnsi="仿宋_GB2312" w:cs="仿宋_GB2312" w:eastAsia="仿宋_GB2312"/>
                <w:sz w:val="24"/>
                <w:color w:val="000000"/>
              </w:rPr>
              <w:t>以内</w:t>
            </w:r>
            <w:r>
              <w:rPr>
                <w:rFonts w:ascii="仿宋_GB2312" w:hAnsi="仿宋_GB2312" w:cs="仿宋_GB2312" w:eastAsia="仿宋_GB2312"/>
                <w:sz w:val="24"/>
                <w:color w:val="000000"/>
              </w:rPr>
              <w:t>（提供国家认可的第三方检测机构出具的检测报告复印件加盖公章）。</w:t>
            </w:r>
          </w:p>
          <w:p>
            <w:pPr>
              <w:pStyle w:val="null3"/>
              <w:jc w:val="left"/>
            </w:pPr>
            <w:r>
              <w:rPr>
                <w:rFonts w:ascii="仿宋_GB2312" w:hAnsi="仿宋_GB2312" w:cs="仿宋_GB2312" w:eastAsia="仿宋_GB2312"/>
                <w:sz w:val="24"/>
                <w:color w:val="000000"/>
              </w:rPr>
              <w:t>1.5.8能够自动识别判断吊弦及定位点，吊弦是否弯曲。</w:t>
            </w:r>
          </w:p>
          <w:p>
            <w:pPr>
              <w:pStyle w:val="null3"/>
              <w:jc w:val="left"/>
            </w:pPr>
            <w:r>
              <w:rPr>
                <w:rFonts w:ascii="仿宋_GB2312" w:hAnsi="仿宋_GB2312" w:cs="仿宋_GB2312" w:eastAsia="仿宋_GB2312"/>
                <w:sz w:val="24"/>
                <w:color w:val="000000"/>
              </w:rPr>
              <w:t>1.5.9▲能够自动识别定位器水平受力是否超限。识别精度定位器水平受力</w:t>
            </w:r>
            <w:r>
              <w:rPr>
                <w:rFonts w:ascii="仿宋_GB2312" w:hAnsi="仿宋_GB2312" w:cs="仿宋_GB2312" w:eastAsia="仿宋_GB2312"/>
                <w:sz w:val="24"/>
                <w:color w:val="000000"/>
              </w:rPr>
              <w:t>±10N</w:t>
            </w:r>
            <w:r>
              <w:rPr>
                <w:rFonts w:ascii="仿宋_GB2312" w:hAnsi="仿宋_GB2312" w:cs="仿宋_GB2312" w:eastAsia="仿宋_GB2312"/>
                <w:sz w:val="24"/>
                <w:color w:val="000000"/>
              </w:rPr>
              <w:t>以内</w:t>
            </w:r>
            <w:r>
              <w:rPr>
                <w:rFonts w:ascii="仿宋_GB2312" w:hAnsi="仿宋_GB2312" w:cs="仿宋_GB2312" w:eastAsia="仿宋_GB2312"/>
                <w:sz w:val="24"/>
                <w:color w:val="000000"/>
              </w:rPr>
              <w:t>（提供国家认可的第三方检测机构出具的检测报告复印件加盖公章）。</w:t>
            </w:r>
          </w:p>
          <w:p>
            <w:pPr>
              <w:pStyle w:val="null3"/>
              <w:jc w:val="left"/>
            </w:pPr>
            <w:r>
              <w:rPr>
                <w:rFonts w:ascii="仿宋_GB2312" w:hAnsi="仿宋_GB2312" w:cs="仿宋_GB2312" w:eastAsia="仿宋_GB2312"/>
                <w:sz w:val="24"/>
                <w:color w:val="000000"/>
              </w:rPr>
              <w:t>1.5.10▲吊弦状态分析报警准确率≥70％（提供国家认可的第三方检测机构出具的检测报告复印件加盖公章）。</w:t>
            </w:r>
          </w:p>
          <w:p>
            <w:pPr>
              <w:pStyle w:val="null3"/>
              <w:jc w:val="left"/>
            </w:pPr>
            <w:r>
              <w:rPr>
                <w:rFonts w:ascii="仿宋_GB2312" w:hAnsi="仿宋_GB2312" w:cs="仿宋_GB2312" w:eastAsia="仿宋_GB2312"/>
                <w:sz w:val="24"/>
                <w:color w:val="000000"/>
              </w:rPr>
              <w:t>1.6设备系统</w:t>
            </w:r>
          </w:p>
          <w:p>
            <w:pPr>
              <w:pStyle w:val="null3"/>
              <w:jc w:val="left"/>
            </w:pPr>
            <w:r>
              <w:rPr>
                <w:rFonts w:ascii="仿宋_GB2312" w:hAnsi="仿宋_GB2312" w:cs="仿宋_GB2312" w:eastAsia="仿宋_GB2312"/>
                <w:sz w:val="24"/>
                <w:color w:val="000000"/>
              </w:rPr>
              <w:t>1.6.1在同一界面按</w:t>
            </w:r>
            <w:r>
              <w:rPr>
                <w:rFonts w:ascii="仿宋_GB2312" w:hAnsi="仿宋_GB2312" w:cs="仿宋_GB2312" w:eastAsia="仿宋_GB2312"/>
                <w:sz w:val="24"/>
                <w:color w:val="000000"/>
              </w:rPr>
              <w:t>横坐标</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里程数</w:t>
            </w:r>
            <w:r>
              <w:rPr>
                <w:rFonts w:ascii="仿宋_GB2312" w:hAnsi="仿宋_GB2312" w:cs="仿宋_GB2312" w:eastAsia="仿宋_GB2312"/>
                <w:sz w:val="24"/>
                <w:color w:val="000000"/>
              </w:rPr>
              <w:t>，</w:t>
            </w:r>
            <w:r>
              <w:rPr>
                <w:rFonts w:ascii="仿宋_GB2312" w:hAnsi="仿宋_GB2312" w:cs="仿宋_GB2312" w:eastAsia="仿宋_GB2312"/>
                <w:sz w:val="24"/>
                <w:color w:val="000000"/>
              </w:rPr>
              <w:t>在</w:t>
            </w:r>
            <w:r>
              <w:rPr>
                <w:rFonts w:ascii="仿宋_GB2312" w:hAnsi="仿宋_GB2312" w:cs="仿宋_GB2312" w:eastAsia="仿宋_GB2312"/>
                <w:sz w:val="24"/>
                <w:color w:val="000000"/>
              </w:rPr>
              <w:t>不同</w:t>
            </w:r>
            <w:r>
              <w:rPr>
                <w:rFonts w:ascii="仿宋_GB2312" w:hAnsi="仿宋_GB2312" w:cs="仿宋_GB2312" w:eastAsia="仿宋_GB2312"/>
                <w:sz w:val="24"/>
                <w:color w:val="000000"/>
              </w:rPr>
              <w:t>通道</w:t>
            </w:r>
            <w:r>
              <w:rPr>
                <w:rFonts w:ascii="仿宋_GB2312" w:hAnsi="仿宋_GB2312" w:cs="仿宋_GB2312" w:eastAsia="仿宋_GB2312"/>
                <w:sz w:val="24"/>
                <w:color w:val="000000"/>
              </w:rPr>
              <w:t>内</w:t>
            </w:r>
            <w:r>
              <w:rPr>
                <w:rFonts w:ascii="仿宋_GB2312" w:hAnsi="仿宋_GB2312" w:cs="仿宋_GB2312" w:eastAsia="仿宋_GB2312"/>
                <w:sz w:val="24"/>
                <w:color w:val="000000"/>
              </w:rPr>
              <w:t>对应</w:t>
            </w:r>
            <w:r>
              <w:rPr>
                <w:rFonts w:ascii="仿宋_GB2312" w:hAnsi="仿宋_GB2312" w:cs="仿宋_GB2312" w:eastAsia="仿宋_GB2312"/>
                <w:sz w:val="24"/>
                <w:color w:val="000000"/>
              </w:rPr>
              <w:t>里程数</w:t>
            </w:r>
            <w:r>
              <w:rPr>
                <w:rFonts w:ascii="仿宋_GB2312" w:hAnsi="仿宋_GB2312" w:cs="仿宋_GB2312" w:eastAsia="仿宋_GB2312"/>
                <w:sz w:val="24"/>
                <w:color w:val="000000"/>
              </w:rPr>
              <w:t>显示所测量的</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，如</w:t>
            </w:r>
            <w:r>
              <w:rPr>
                <w:rFonts w:ascii="仿宋_GB2312" w:hAnsi="仿宋_GB2312" w:cs="仿宋_GB2312" w:eastAsia="仿宋_GB2312"/>
                <w:sz w:val="24"/>
                <w:color w:val="000000"/>
              </w:rPr>
              <w:t>拉出值、导高</w:t>
            </w:r>
            <w:r>
              <w:rPr>
                <w:rFonts w:ascii="仿宋_GB2312" w:hAnsi="仿宋_GB2312" w:cs="仿宋_GB2312" w:eastAsia="仿宋_GB2312"/>
                <w:sz w:val="24"/>
                <w:color w:val="000000"/>
              </w:rPr>
              <w:t>、定位器坡度</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参数。每种参数的显示颜色可以单独设置。</w:t>
            </w:r>
            <w:r>
              <w:rPr>
                <w:rFonts w:ascii="仿宋_GB2312" w:hAnsi="仿宋_GB2312" w:cs="仿宋_GB2312" w:eastAsia="仿宋_GB2312"/>
                <w:sz w:val="24"/>
              </w:rPr>
              <w:t>各通道之间根据通道幅值展示上下界，根据用户需求选择所需要展示的通道数量及通道顺序，</w:t>
            </w:r>
            <w:r>
              <w:rPr>
                <w:rFonts w:ascii="仿宋_GB2312" w:hAnsi="仿宋_GB2312" w:cs="仿宋_GB2312" w:eastAsia="仿宋_GB2312"/>
                <w:sz w:val="24"/>
                <w:color w:val="000000"/>
              </w:rPr>
              <w:t>该界面支持放大缩小</w:t>
            </w:r>
            <w:r>
              <w:rPr>
                <w:rFonts w:ascii="仿宋_GB2312" w:hAnsi="仿宋_GB2312" w:cs="仿宋_GB2312" w:eastAsia="仿宋_GB2312"/>
                <w:sz w:val="24"/>
              </w:rPr>
              <w:t>（投标人需提供各项检测数据在设备系统中的详细展示截图）。</w:t>
            </w:r>
          </w:p>
          <w:p>
            <w:pPr>
              <w:pStyle w:val="null3"/>
              <w:jc w:val="left"/>
            </w:pPr>
            <w:r>
              <w:rPr>
                <w:rFonts w:ascii="仿宋_GB2312" w:hAnsi="仿宋_GB2312" w:cs="仿宋_GB2312" w:eastAsia="仿宋_GB2312"/>
                <w:sz w:val="24"/>
                <w:color w:val="000000"/>
              </w:rPr>
              <w:t>1.6.2界面能够选择是否显示吊弦、支柱、超限</w:t>
            </w:r>
            <w:r>
              <w:rPr>
                <w:rFonts w:ascii="仿宋_GB2312" w:hAnsi="仿宋_GB2312" w:cs="仿宋_GB2312" w:eastAsia="仿宋_GB2312"/>
                <w:sz w:val="24"/>
                <w:color w:val="000000"/>
              </w:rPr>
              <w:t>。</w:t>
            </w:r>
            <w:r>
              <w:rPr>
                <w:rFonts w:ascii="仿宋_GB2312" w:hAnsi="仿宋_GB2312" w:cs="仿宋_GB2312" w:eastAsia="仿宋_GB2312"/>
                <w:sz w:val="24"/>
                <w:color w:val="000000"/>
              </w:rPr>
              <w:t>实时</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超限</w:t>
            </w:r>
            <w:r>
              <w:rPr>
                <w:rFonts w:ascii="仿宋_GB2312" w:hAnsi="仿宋_GB2312" w:cs="仿宋_GB2312" w:eastAsia="仿宋_GB2312"/>
                <w:sz w:val="24"/>
                <w:color w:val="000000"/>
              </w:rPr>
              <w:t>判断</w:t>
            </w:r>
            <w:r>
              <w:rPr>
                <w:rFonts w:ascii="仿宋_GB2312" w:hAnsi="仿宋_GB2312" w:cs="仿宋_GB2312" w:eastAsia="仿宋_GB2312"/>
                <w:sz w:val="24"/>
                <w:color w:val="000000"/>
              </w:rPr>
              <w:t>，</w:t>
            </w:r>
            <w:r>
              <w:rPr>
                <w:rFonts w:ascii="仿宋_GB2312" w:hAnsi="仿宋_GB2312" w:cs="仿宋_GB2312" w:eastAsia="仿宋_GB2312"/>
                <w:sz w:val="24"/>
                <w:color w:val="000000"/>
              </w:rPr>
              <w:t>超限值能够通过自定义编辑。波形界面能够点</w:t>
            </w:r>
            <w:r>
              <w:rPr>
                <w:rFonts w:ascii="仿宋_GB2312" w:hAnsi="仿宋_GB2312" w:cs="仿宋_GB2312" w:eastAsia="仿宋_GB2312"/>
                <w:sz w:val="24"/>
                <w:color w:val="000000"/>
              </w:rPr>
              <w:t>与</w:t>
            </w:r>
            <w:r>
              <w:rPr>
                <w:rFonts w:ascii="仿宋_GB2312" w:hAnsi="仿宋_GB2312" w:cs="仿宋_GB2312" w:eastAsia="仿宋_GB2312"/>
                <w:sz w:val="24"/>
                <w:color w:val="000000"/>
              </w:rPr>
              <w:t>点之间进行测量、缩放、实时数据查看</w:t>
            </w:r>
            <w:r>
              <w:rPr>
                <w:rFonts w:ascii="仿宋_GB2312" w:hAnsi="仿宋_GB2312" w:cs="仿宋_GB2312" w:eastAsia="仿宋_GB2312"/>
                <w:sz w:val="24"/>
                <w:color w:val="000000"/>
              </w:rPr>
              <w:t>。</w:t>
            </w:r>
            <w:r>
              <w:rPr>
                <w:rFonts w:ascii="仿宋_GB2312" w:hAnsi="仿宋_GB2312" w:cs="仿宋_GB2312" w:eastAsia="仿宋_GB2312"/>
                <w:sz w:val="24"/>
                <w:color w:val="000000"/>
              </w:rPr>
              <w:t>（投标人需提供</w:t>
            </w:r>
            <w:r>
              <w:rPr>
                <w:rFonts w:ascii="仿宋_GB2312" w:hAnsi="仿宋_GB2312" w:cs="仿宋_GB2312" w:eastAsia="仿宋_GB2312"/>
                <w:sz w:val="24"/>
                <w:color w:val="000000"/>
              </w:rPr>
              <w:t>检测数据误识别处理</w:t>
            </w:r>
            <w:r>
              <w:rPr>
                <w:rFonts w:ascii="仿宋_GB2312" w:hAnsi="仿宋_GB2312" w:cs="仿宋_GB2312" w:eastAsia="仿宋_GB2312"/>
                <w:sz w:val="24"/>
                <w:color w:val="000000"/>
              </w:rPr>
              <w:t>的详细截图）</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1.6.3能够导出所检测的所有参数，格式为TXT或</w:t>
            </w:r>
            <w:r>
              <w:rPr>
                <w:rFonts w:ascii="仿宋_GB2312" w:hAnsi="仿宋_GB2312" w:cs="仿宋_GB2312" w:eastAsia="仿宋_GB2312"/>
                <w:sz w:val="24"/>
                <w:color w:val="000000"/>
              </w:rPr>
              <w:t>PDF</w:t>
            </w:r>
            <w:r>
              <w:rPr>
                <w:rFonts w:ascii="仿宋_GB2312" w:hAnsi="仿宋_GB2312" w:cs="仿宋_GB2312" w:eastAsia="仿宋_GB2312"/>
                <w:sz w:val="24"/>
                <w:color w:val="000000"/>
              </w:rPr>
              <w:t>或</w:t>
            </w:r>
            <w:r>
              <w:rPr>
                <w:rFonts w:ascii="仿宋_GB2312" w:hAnsi="仿宋_GB2312" w:cs="仿宋_GB2312" w:eastAsia="仿宋_GB2312"/>
                <w:sz w:val="24"/>
                <w:color w:val="000000"/>
              </w:rPr>
              <w:t>Excel或CSV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1.6.4能够整体及局部显示所检测的三维图像。</w:t>
            </w:r>
            <w:r>
              <w:rPr>
                <w:rFonts w:ascii="仿宋_GB2312" w:hAnsi="仿宋_GB2312" w:cs="仿宋_GB2312" w:eastAsia="仿宋_GB2312"/>
                <w:sz w:val="24"/>
                <w:color w:val="000000"/>
              </w:rPr>
              <w:t>（投标人需提供</w:t>
            </w:r>
            <w:r>
              <w:rPr>
                <w:rFonts w:ascii="仿宋_GB2312" w:hAnsi="仿宋_GB2312" w:cs="仿宋_GB2312" w:eastAsia="仿宋_GB2312"/>
                <w:sz w:val="24"/>
                <w:color w:val="000000"/>
              </w:rPr>
              <w:t>所检测出的三维图像</w:t>
            </w:r>
            <w:r>
              <w:rPr>
                <w:rFonts w:ascii="仿宋_GB2312" w:hAnsi="仿宋_GB2312" w:cs="仿宋_GB2312" w:eastAsia="仿宋_GB2312"/>
                <w:sz w:val="24"/>
                <w:color w:val="000000"/>
              </w:rPr>
              <w:t>详细截图）</w:t>
            </w:r>
          </w:p>
          <w:p>
            <w:pPr>
              <w:pStyle w:val="null3"/>
              <w:jc w:val="left"/>
            </w:pPr>
            <w:r>
              <w:rPr>
                <w:rFonts w:ascii="仿宋_GB2312" w:hAnsi="仿宋_GB2312" w:cs="仿宋_GB2312" w:eastAsia="仿宋_GB2312"/>
                <w:sz w:val="24"/>
                <w:color w:val="000000"/>
              </w:rPr>
              <w:t>1.6.5</w:t>
            </w:r>
            <w:r>
              <w:rPr>
                <w:rFonts w:ascii="仿宋_GB2312" w:hAnsi="仿宋_GB2312" w:cs="仿宋_GB2312" w:eastAsia="仿宋_GB2312"/>
                <w:sz w:val="24"/>
                <w:color w:val="000000"/>
              </w:rPr>
              <w:t>设备在阳光直射下能够正常检测各项参数</w:t>
            </w:r>
            <w:r>
              <w:rPr>
                <w:rFonts w:ascii="仿宋_GB2312" w:hAnsi="仿宋_GB2312" w:cs="仿宋_GB2312" w:eastAsia="仿宋_GB2312"/>
                <w:sz w:val="24"/>
                <w:color w:val="000000"/>
              </w:rPr>
              <w:t>。</w:t>
            </w:r>
            <w:r>
              <w:rPr>
                <w:rFonts w:ascii="仿宋_GB2312" w:hAnsi="仿宋_GB2312" w:cs="仿宋_GB2312" w:eastAsia="仿宋_GB2312"/>
                <w:sz w:val="24"/>
                <w:color w:val="000000"/>
              </w:rPr>
              <w:t>在逆光情况下能够正常检测。</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6</w:t>
            </w:r>
            <w:r>
              <w:rPr>
                <w:rFonts w:ascii="仿宋_GB2312" w:hAnsi="仿宋_GB2312" w:cs="仿宋_GB2312" w:eastAsia="仿宋_GB2312"/>
                <w:sz w:val="24"/>
                <w:color w:val="000000"/>
              </w:rPr>
              <w:t>能够通过线下处理对误识别或漏识别出进行添加和删除处理。在静态时能够模拟采集当前状态数据。</w:t>
            </w:r>
            <w:r>
              <w:rPr>
                <w:rFonts w:ascii="仿宋_GB2312" w:hAnsi="仿宋_GB2312" w:cs="仿宋_GB2312" w:eastAsia="仿宋_GB2312"/>
                <w:sz w:val="24"/>
                <w:color w:val="000000"/>
              </w:rPr>
              <w:t>（投标人需提供</w:t>
            </w:r>
            <w:r>
              <w:rPr>
                <w:rFonts w:ascii="仿宋_GB2312" w:hAnsi="仿宋_GB2312" w:cs="仿宋_GB2312" w:eastAsia="仿宋_GB2312"/>
                <w:sz w:val="24"/>
                <w:color w:val="000000"/>
              </w:rPr>
              <w:t>检测数据误识别处理</w:t>
            </w:r>
            <w:r>
              <w:rPr>
                <w:rFonts w:ascii="仿宋_GB2312" w:hAnsi="仿宋_GB2312" w:cs="仿宋_GB2312" w:eastAsia="仿宋_GB2312"/>
                <w:sz w:val="24"/>
                <w:color w:val="000000"/>
              </w:rPr>
              <w:t>的详细截图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6.7</w:t>
            </w:r>
            <w:r>
              <w:rPr>
                <w:rFonts w:ascii="仿宋_GB2312" w:hAnsi="仿宋_GB2312" w:cs="仿宋_GB2312" w:eastAsia="仿宋_GB2312"/>
                <w:sz w:val="24"/>
                <w:color w:val="000000"/>
              </w:rPr>
              <w:t>使用3D线结构光扫描、激光三角法计算、生成点云数据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★1.7配置要求：除本套产品全部零部件之外，额外配置行走轮一套，遥控器一个。</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 xml:space="preserve"> 其他要求</w:t>
            </w:r>
          </w:p>
        </w:tc>
        <w:tc>
          <w:tcPr>
            <w:tcW w:type="dxa" w:w="5814"/>
          </w:tcPr>
          <w:p>
            <w:pPr>
              <w:pStyle w:val="null3"/>
              <w:jc w:val="left"/>
            </w:pPr>
            <w:r>
              <w:rPr>
                <w:rFonts w:ascii="仿宋_GB2312" w:hAnsi="仿宋_GB2312" w:cs="仿宋_GB2312" w:eastAsia="仿宋_GB2312"/>
                <w:sz w:val="24"/>
                <w:shd w:fill="FFFFFF" w:val="clear"/>
              </w:rPr>
              <w:t>1.项目实施方案包括：</w:t>
            </w:r>
            <w:r>
              <w:rPr>
                <w:rFonts w:ascii="仿宋_GB2312" w:hAnsi="仿宋_GB2312" w:cs="仿宋_GB2312" w:eastAsia="仿宋_GB2312"/>
                <w:sz w:val="24"/>
                <w:shd w:fill="FFFFFF" w:val="clear"/>
              </w:rPr>
              <w:t>（1）项目实施计划</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项目实施进度、团队配置、专业技术支持措施)</w:t>
            </w:r>
            <w:r>
              <w:rPr>
                <w:rFonts w:ascii="仿宋_GB2312" w:hAnsi="仿宋_GB2312" w:cs="仿宋_GB2312" w:eastAsia="仿宋_GB2312"/>
                <w:sz w:val="24"/>
                <w:shd w:fill="FFFFFF" w:val="clear"/>
              </w:rPr>
              <w:t>、（2）项目保障方案</w:t>
            </w:r>
            <w:r>
              <w:rPr>
                <w:rFonts w:ascii="仿宋_GB2312" w:hAnsi="仿宋_GB2312" w:cs="仿宋_GB2312" w:eastAsia="仿宋_GB2312"/>
                <w:sz w:val="24"/>
                <w:shd w:fill="FFFFFF" w:val="clear"/>
              </w:rPr>
              <w:t>及</w:t>
            </w:r>
            <w:r>
              <w:rPr>
                <w:rFonts w:ascii="仿宋_GB2312" w:hAnsi="仿宋_GB2312" w:cs="仿宋_GB2312" w:eastAsia="仿宋_GB2312"/>
                <w:sz w:val="24"/>
                <w:shd w:fill="FFFFFF" w:val="clear"/>
              </w:rPr>
              <w:t>售后服务流程</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售后服务响应时效</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售后人员列表及分工</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应急保障措施</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、（3）师资培训计划</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具备轨道交通使用场景的培训能力与经验，提供过往项目培训照片</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2.投标人提供自2023年1月1日以来</w:t>
            </w:r>
            <w:r>
              <w:rPr>
                <w:rFonts w:ascii="仿宋_GB2312" w:hAnsi="仿宋_GB2312" w:cs="仿宋_GB2312" w:eastAsia="仿宋_GB2312"/>
                <w:sz w:val="24"/>
                <w:shd w:fill="FFFFFF" w:val="clear"/>
              </w:rPr>
              <w:t>轨道交通</w:t>
            </w:r>
            <w:r>
              <w:rPr>
                <w:rFonts w:ascii="仿宋_GB2312" w:hAnsi="仿宋_GB2312" w:cs="仿宋_GB2312" w:eastAsia="仿宋_GB2312"/>
                <w:sz w:val="24"/>
                <w:shd w:fill="FFFFFF" w:val="clear"/>
              </w:rPr>
              <w:t>业绩案例。</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rPr>
              <w:t>本项目报价包括：货物本身的费用、运输、装卸、保险、税费等与本项目相关的一切费用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合同签订后90日内交货（投标人应保证在要求时间内完成全部货物的供货、安装、调试和培训工作，符合国家标准、行业规范和合同等相关文件的要求）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四川铁道学院指定地点。如对交货期限有变更要求，采购人应提前7天通知投标人，以便双方协商确定新的交货地点。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 合同签订，收到投标人有效票据凭证资料后 ，达到付款条件起7日内，支付合同总金额的40.00%</w:t>
            </w:r>
          </w:p>
          <w:p>
            <w:pPr>
              <w:pStyle w:val="null3"/>
              <w:jc w:val="left"/>
            </w:pPr>
            <w:r>
              <w:rPr>
                <w:rFonts w:ascii="仿宋_GB2312" w:hAnsi="仿宋_GB2312" w:cs="仿宋_GB2312" w:eastAsia="仿宋_GB2312"/>
              </w:rPr>
              <w:t>2、尾款，全部货物安装调试完毕并验收合格 ，达到付款条件起7日内，支付合同总金额的60.00%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1.由采购人组织验收： （1）货物到达现场后，投标人应在采购人使用部门人员在场的情况下当面开箱，共同清点、检查外观，作出开箱记录，双方签字确认；货物在投标人安装调试完毕并向采购人提出验收申请后（如由于采购人的原因造成延迟验收的，时间顺延），完成合同约定的师资培训后，达到验收条件起7日内，验收合同总金额的100%。检验不合格或不符合质量要求，投标人除无条件退货、返工外，还应承担采购人的一切损失。 （2）验收标准：按国家有关规定以及本项目招标文件的质量要求和技术指标、中标人的投标文件及承诺与采购合同约定标准进行验收；采供双方如对质量要求和技术指标的约定标准有相互抵触或异议的事项，由采购人在招标与投标文件中按质量要求和技术指标比较优胜的原则确定该项的约定标准进行验收。 （3）验收时如发现所交付的货物有短装、次品、损坏或其它不符合标准及采购合同规定之情形者，采购人应做出详尽的现场记录，或由采供双方签署备忘录，此现场记录或备忘录可用作补充、缺失和更换损坏部件的有效证据，由此产生的时间延误与有关费用由供应商承担，验收期限相应顺延。 （4）如质量验收合格，双方签署质量验收报告。 2.投标人应将所提供货物的装箱清单、配件、随机工具、用户使用手册、原厂保修卡等资料交付给采购人；投标人不能完整交付货物及本款规定的单证和工具的，必须负责补齐，否则视为未按合同约定交货。 3.如货物经投标人3次维修仍不能达到合同约定的质量标准，采购人有权退货，并视作投标人不能交付货物而须支付违约赔偿金给采购人，采购人还可依法追究投标人的违约责任。 4.其他未尽事宜应严格按照财政部《关于进一步加强政府采购需求和履约验收管理的指导意见》（财库〔2016〕205号）和《政府采购需求管理办法》（财库〔2021〕22号）的要求进行。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本项目质保期为货到验收合格之日开始计算2年。在质保期内如出现非采购人人为造成的质量问题，投标人负责维修、更换或退货，并承担维修、更换或退货的费用。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（1）采购人无正当理由逾期支付货款的，除应及时付足货款外，应向投标人偿付欠款总额万分之三/天的违约金。 （1）采购人无正当理由拒收货物的，采购人应偿付合同总金额百分之一的违约金； （2）采购人逾期支付货款的，除应及时付足货款外，应向投标人偿付欠款总额万分之一/天的违约金；逾期付款超过30天的，投标人有权解除合同； （3）采购人偿付的违约金不足以弥补投标人损失的，还应按投标人损失尚未弥补的部分，支付赔偿金给投标人。 2.投标人违约责任 （1）投标人交付的货物质量不符合合同规定的，投标人应向采购人支付合同总金额百分之五的违约金，并须在合同规定的交货时间内更换合格的货物给采购人，否则，视作投标人不能交付货物而违约，按本条本款下述第“（2）”项规定由投标人偿付违约赔偿金给采购人。 （2）投标人不能交付货物或逾期交付货物而违约的，除应及时交足货物外，应向采购人偿付逾期交货部分货款总额万分之五/天的违约金；逾期交货超过15天，采购人有权解除合同，投标人则应按合同总金额百分之五的款额向采购人偿付赔偿金，并须全额退还采购人已经付给投标人的货款及其利息。 （3）因货物的质量问题发生争议，投标人货物经采购人送交具有法定资格条件的质量技术监督机构检测后，如检测结果认定货物质量不符合本合同规定标准的，则视为投标人没有按时交货而违约，投标人须在7天内无条件更换合格的货物，如逾期不能更换合格的货物，采购人有权解除合同，投标人应另付合同总金额百分之一的赔偿金给采购人，并须全额退还采购人已经付给投标人的货款及其利息。 （4）投标人保证本合同货物及提供的服务的权利无瑕疵，包括所有权及知识产权等权利无瑕疵。如任何第三方经法院（或仲裁机构）裁决有权对上述货物及服务主张权利或国家机关依法对货物进行没收查处的，投标人除应向采购人返还已收款项及其利息外，还应另按合同总金额百分之五向采购人支付违约金并赔偿因此给采购人造成的一切损失。 （5）本合同解除的，采购人未支付投标人的费用不再支付。 （6）投标人偿付的违约金不足以弥补采购人损失的，还应按采购人损失尚未弥补的部分，支付赔偿金给采购人。 解决争议的方法 1.因货物的质量问题发生争议，由质量技术监督部门或其指定的质量鉴定机构进行质量鉴定。货物符合质量标准的，鉴定费由采购人承担；货物不符合质量标准的，鉴定费由投标人承担。 2.合同履行期间，若双方发生争议，可协商或由有关部门调解解决，协商或调解不成的，由当事人向采购人所在地人民法院提出诉讼。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中标人应负责将所供设备严密包装，防止潮气、锈蚀、淋雨和震动。包装应牢固可靠，应考虑到运输过程中，可能受到的最大加速度所产生的冲击，产品不松动、不损坏、不变形。对贵重设备和仪器应考虑与一般设备分开，采用特殊包装，并在箱上注明“小心轻放”等标志</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因系统固化原因，本项目确定中标人名单按此执行：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优先选择少数民族地区的投标人。评审得分且投标报价且提供的经评审认定有效的优先采购产品认证证书数量相同且均为少数民族地区投标人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投标人为企业法人的，提供具有统一社会信用代码的“营业执照”复印件，未换证的提供“营业执照、税务登记证、组织机构代码证”复印件；②若投标人为事业法人的，提供具有统一社会信用代码的“法人登记证书”复印件；未换证的提交“事业法人登记证书、组织机构代码证”复印件；③若投标人为其他组织的，提供对应主管部门颁发的准许执业的证明文件或营业执照复印件；④若投标人为自然人的，提供相关“身份证明材料”。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投标截止时间前三年内任意一年经审计的财务报告复印件（包含审计报告和审计报告中所涉及的财务报表和报表附注）；②也可提供投标截止时间前三年内任意一年投标人内部的年度财务报表复印件（至少包含资产负债表和利润表）；③也可提供投标截止时间前一年内银行出具的有效资信证明；④投标人注册时间距投标截止时间不足一年的，也可提供在工商备案的公司章程复印件。⑤投标人为事业单位或其他组织（不具备法人条件的组织，如合伙组织、个体工商户、农村承包经营户等）或自然人时，可只提供承诺函；（注：具备健全的财务会计制度的证明材料中第①-⑤项具有同等效力，投标人可根据自身实际情况选择提供其中任意一项）。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符合招标文件的商务要求</w:t>
            </w:r>
          </w:p>
        </w:tc>
        <w:tc>
          <w:tcPr>
            <w:tcW w:type="dxa" w:w="3322"/>
          </w:tcPr>
          <w:p>
            <w:pPr>
              <w:pStyle w:val="null3"/>
              <w:jc w:val="left"/>
            </w:pPr>
            <w:r>
              <w:rPr>
                <w:rFonts w:ascii="仿宋_GB2312" w:hAnsi="仿宋_GB2312" w:cs="仿宋_GB2312" w:eastAsia="仿宋_GB2312"/>
              </w:rPr>
              <w:t>投标人按照招标文件的商务要求进行响应</w:t>
            </w:r>
          </w:p>
        </w:tc>
        <w:tc>
          <w:tcPr>
            <w:tcW w:type="dxa" w:w="1661"/>
          </w:tcPr>
          <w:p>
            <w:pPr>
              <w:pStyle w:val="null3"/>
              <w:jc w:val="left"/>
            </w:pPr>
            <w:r>
              <w:rPr>
                <w:rFonts w:ascii="仿宋_GB2312" w:hAnsi="仿宋_GB2312" w:cs="仿宋_GB2312" w:eastAsia="仿宋_GB2312"/>
              </w:rPr>
              <w:t>投标人认为需要提交的资料（格式自拟）,商务要求应答表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招标文件的技术、服务要求或其他要求</w:t>
            </w:r>
          </w:p>
        </w:tc>
        <w:tc>
          <w:tcPr>
            <w:tcW w:type="dxa" w:w="3322"/>
          </w:tcPr>
          <w:p>
            <w:pPr>
              <w:pStyle w:val="null3"/>
              <w:jc w:val="left"/>
            </w:pPr>
            <w:r>
              <w:rPr>
                <w:rFonts w:ascii="仿宋_GB2312" w:hAnsi="仿宋_GB2312" w:cs="仿宋_GB2312" w:eastAsia="仿宋_GB2312"/>
              </w:rPr>
              <w:t>投标人按照招标文件的技术、服务要求或其他要求进行响应</w:t>
            </w:r>
          </w:p>
        </w:tc>
        <w:tc>
          <w:tcPr>
            <w:tcW w:type="dxa" w:w="1661"/>
          </w:tcPr>
          <w:p>
            <w:pPr>
              <w:pStyle w:val="null3"/>
              <w:jc w:val="left"/>
            </w:pPr>
            <w:r>
              <w:rPr>
                <w:rFonts w:ascii="仿宋_GB2312" w:hAnsi="仿宋_GB2312" w:cs="仿宋_GB2312" w:eastAsia="仿宋_GB2312"/>
              </w:rPr>
              <w:t>技术、服务及其他要求应答表,投标人认为需要提交的资料（格式自拟）,服务应答表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需要投标人提供证明材料的实质性要求</w:t>
            </w:r>
          </w:p>
        </w:tc>
        <w:tc>
          <w:tcPr>
            <w:tcW w:type="dxa" w:w="3322"/>
          </w:tcPr>
          <w:p>
            <w:pPr>
              <w:pStyle w:val="null3"/>
              <w:jc w:val="left"/>
            </w:pPr>
            <w:r>
              <w:rPr>
                <w:rFonts w:ascii="仿宋_GB2312" w:hAnsi="仿宋_GB2312" w:cs="仿宋_GB2312" w:eastAsia="仿宋_GB2312"/>
              </w:rPr>
              <w:t>投标人需按照招标文件的要求提供证明材料</w:t>
            </w:r>
          </w:p>
        </w:tc>
        <w:tc>
          <w:tcPr>
            <w:tcW w:type="dxa" w:w="1661"/>
          </w:tcPr>
          <w:p>
            <w:pPr>
              <w:pStyle w:val="null3"/>
              <w:jc w:val="left"/>
            </w:pPr>
            <w:r>
              <w:rPr>
                <w:rFonts w:ascii="仿宋_GB2312" w:hAnsi="仿宋_GB2312" w:cs="仿宋_GB2312" w:eastAsia="仿宋_GB2312"/>
              </w:rPr>
              <w:t>投标人认为需要提交的资料（格式自拟）</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投标人履约保障实力</w:t>
            </w:r>
          </w:p>
        </w:tc>
        <w:tc>
          <w:tcPr>
            <w:tcW w:type="dxa" w:w="2575"/>
          </w:tcPr>
          <w:p>
            <w:pPr>
              <w:pStyle w:val="null3"/>
              <w:jc w:val="left"/>
            </w:pPr>
            <w:r>
              <w:rPr>
                <w:rFonts w:ascii="仿宋_GB2312" w:hAnsi="仿宋_GB2312" w:cs="仿宋_GB2312" w:eastAsia="仿宋_GB2312"/>
              </w:rPr>
              <w:t>投标人所投产品具有自主知识产权，每提供一项得1分，本小项最多得3分。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投标人完全符合招标文件技术服务要求，没有负偏离得42分。 带“▲”的条款（共8条），提供国家认可的第三方检测机构出具的检测报告，每条得2分，本小项最多得16分； 不带符号（非“★”、非“▲”）标注的普通参数（共26条），普通参数得分=满足普通参数要求数量÷普通参数总数量×26分，扣完为止。（所有参数应按照招标文件要求提供相关证明材料，若招标文件未明确要求提供证明材料的，在应答表中响应即可。未按照招标文件要求提供证明材料的将视为负偏离。） 注： 1.实质性要求（标注“★”号的参数）不参与评分，不得有负偏离，否则视为无效响应。 2.得分四舍五入保留两位小数。</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实施方案，包括：（1）项目实施计划（项目实施进度、团队配置、专业技术支持措施)、（2）项目保障方案及售后服务流程（包含售后服务响应时效、售后人员列表及分工、应急保障措施）、（3）师资培训计划（针对师生提供不同的培训方案）。三个方面进行综合评分：完全包括以上3个方面的得9分，每缺一项扣3分；每项内容中有一处缺陷的扣1分，扣完为止。 缺陷是指：缺少要求的佐证材料，缺少要求的内容，内容描述不清晰；凭空编造；阐述存在逻辑错误；涉及内容无重点，不能体现出本项目的特点；语言错误或存在歧义；与本项目实际需求不相符。</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项目团队组成</w:t>
            </w:r>
          </w:p>
        </w:tc>
        <w:tc>
          <w:tcPr>
            <w:tcW w:type="dxa" w:w="2575"/>
          </w:tcPr>
          <w:p>
            <w:pPr>
              <w:pStyle w:val="null3"/>
              <w:jc w:val="left"/>
            </w:pPr>
            <w:r>
              <w:rPr>
                <w:rFonts w:ascii="仿宋_GB2312" w:hAnsi="仿宋_GB2312" w:cs="仿宋_GB2312" w:eastAsia="仿宋_GB2312"/>
              </w:rPr>
              <w:t>针对本项目拟派的技术负责人具有本科及以上学历，且专业为电气类或机电类或自动化类或计算机类，自2023年1月1日（含）以来，每有一项轨道交通项目业绩得2分，最高得6分。 注：（1）投标人业绩需提供合同复印件，时间以合同签订日期为准，提供合同复印件并加盖投标人公章。（2）人员业绩认定可提供合同中包含人员信息的复印件或竣工验收资料或技术文件签署材料作为佐证。（3）需提供学历证明材料复印件加盖公章。（4）技术负责人提供的业绩也可于项目类似业绩处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项目类似业绩</w:t>
            </w:r>
          </w:p>
        </w:tc>
        <w:tc>
          <w:tcPr>
            <w:tcW w:type="dxa" w:w="2575"/>
          </w:tcPr>
          <w:p>
            <w:pPr>
              <w:pStyle w:val="null3"/>
              <w:jc w:val="left"/>
            </w:pPr>
            <w:r>
              <w:rPr>
                <w:rFonts w:ascii="仿宋_GB2312" w:hAnsi="仿宋_GB2312" w:cs="仿宋_GB2312" w:eastAsia="仿宋_GB2312"/>
              </w:rPr>
              <w:t>1.投标人提供自2023年1月1日以来，提供轨道交通类业绩案例（以合同签订时间为准，同个项目不同批次的，算1个类似案例。），每提供1个合同案例得2分，不提供不得分,满分为10分。 2.注：需提供合同关键页、中标通知书和项目验收报告的复印件并加盖公章，不提供不得分。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投标人认为需要提交的资料（格式自拟）</w:t>
            </w:r>
          </w:p>
          <w:p>
            <w:pPr>
              <w:pStyle w:val="null3"/>
              <w:jc w:val="left"/>
            </w:pPr>
            <w:r>
              <w:rPr>
                <w:rFonts w:ascii="仿宋_GB2312" w:hAnsi="仿宋_GB2312" w:cs="仿宋_GB2312" w:eastAsia="仿宋_GB2312"/>
              </w:rPr>
              <w:t>投标人类似项目业绩一览表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详见附件：投标人认为需要提交的资料（格式自拟）</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详见附件：技术、服务及其他要求应答表</w:t>
      </w:r>
    </w:p>
    <w:p>
      <w:pPr>
        <w:pStyle w:val="null3"/>
        <w:ind w:firstLine="960"/>
        <w:jc w:val="left"/>
      </w:pPr>
      <w:r>
        <w:rPr>
          <w:rFonts w:ascii="仿宋_GB2312" w:hAnsi="仿宋_GB2312" w:cs="仿宋_GB2312" w:eastAsia="仿宋_GB2312"/>
        </w:rPr>
        <w:t>详见附件：商务要求应答表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详见附件：合同草案 轨道交通智能检测工程中心（第一期）.docx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