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版本号：N510001202600030820260330001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四川省低空运行管理服务项目（不间断电源、服务器、基础软件）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N5100012026000308</w:t>
      </w:r>
    </w:p>
    <w:p>
      <w:pPr>
        <w:pStyle w:val="null3"/>
        <w:jc w:val="left"/>
        <w:outlineLvl w:val="2"/>
      </w:pPr>
      <w:r>
        <w:rPr>
          <w:rFonts w:ascii="仿宋_GB2312" w:hAnsi="仿宋_GB2312" w:cs="仿宋_GB2312" w:eastAsia="仿宋_GB2312"/>
          <w:sz w:val="28"/>
          <w:b/>
        </w:rPr>
        <w:t>四川省低空空域运行服务中心</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四川省低空空域运行服务中心</w:t>
      </w:r>
      <w:r>
        <w:rPr>
          <w:rFonts w:ascii="仿宋_GB2312" w:hAnsi="仿宋_GB2312" w:cs="仿宋_GB2312" w:eastAsia="仿宋_GB2312"/>
        </w:rPr>
        <w:t xml:space="preserve"> 委托，拟对 </w:t>
      </w:r>
      <w:r>
        <w:rPr>
          <w:rFonts w:ascii="仿宋_GB2312" w:hAnsi="仿宋_GB2312" w:cs="仿宋_GB2312" w:eastAsia="仿宋_GB2312"/>
        </w:rPr>
        <w:t>四川省低空运行管理服务项目（不间断电源、服务器、基础软件）</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N5100012026000308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四川省低空运行管理服务项目（不间断电源、服务器、基础软件）</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不间断电源（UPS）是保障系统、数据中心等关键设施电力持续供应的核心设备，当市电中断时零延迟切换，为负载提供稳定、纯净的电源，避免数据丢失或设备损坏。服务器是承载系统、数据存储、业务计算的核心算力设备。需支持国产芯片架构与信创生态适配，具备高可靠性、高扩展性、高安全性，满足 7×24 小时不间断运行需求。基础软件是指国产数据库，支持国产操作系统，配置1节点软件授权，支持集群工作，支持数据库备份功能。</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四川省低空空域运行服务中心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成都市天府新区兴隆街道湖畔路北段269号天府新经济产业园B区2-6号楼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610213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028-85668156</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文件编制：028-61323016；开、评标：028-61323020（15）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采购包1：2,098,000.00元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四川省低空空域运行服务中心</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四川省低空空域运行服务中心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中标人完成交货及安装、调试后，中标人提出验收申请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45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由采购人组织相关单位进行验收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严格按照政府采购相关法律法规以及《财政部关于进一步加强政府采购需求和履约验收管理的指导意见》（财库〔2016〕205号）文件的要求、采购文件规定的要求和中标人的投标文件及合同约定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验收要求：1.货物到达现场后，中标人应在采购人在场情况下当面开包，共同清点、检查外观，作出验货记录，双方签字确认后开始安装调试。 2.中标人应保证货物到达采购人所在地完好无损，如有缺漏、损坏，由中标人负责调换、补齐或赔偿。3.中标人应提供完备的装箱清单、配件、随机工具、用户使用手册、原厂保修卡和生产厂商提供的原厂正品出货证明材料（非装箱清单组成材料）等，并派遣专业技术人员进行现场部署调试。验收合格条件如下：a.产品技术参数与投标文件一致，性能指标达到规定的标准；b.产品技术资料、装箱单等资料齐全；c.在产品（系统）试运行期间所出现的问题得到解决，并运行正常；d.在规定时间内完成交货并验收，并经采购人确认。4.产品在部署调试并试运行符合要求后，才作为最终验收。5.采购人对中标人交付的产品（包括质量、技术参数等）进行确认，并出具书面验收意见。</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四川省低空空域运行服务中心</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联系电话：028-85668156</w:t>
      </w:r>
    </w:p>
    <w:p>
      <w:pPr>
        <w:pStyle w:val="null3"/>
        <w:jc w:val="left"/>
      </w:pPr>
      <w:r>
        <w:rPr>
          <w:rFonts w:ascii="仿宋_GB2312" w:hAnsi="仿宋_GB2312" w:cs="仿宋_GB2312" w:eastAsia="仿宋_GB2312"/>
        </w:rPr>
        <w:t>地址：成都市天府新区兴隆街道湖畔路北段269号天府新经济产业园B区2-6号楼</w:t>
      </w:r>
    </w:p>
    <w:p>
      <w:pPr>
        <w:pStyle w:val="null3"/>
        <w:jc w:val="left"/>
      </w:pPr>
      <w:r>
        <w:rPr>
          <w:rFonts w:ascii="仿宋_GB2312" w:hAnsi="仿宋_GB2312" w:cs="仿宋_GB2312" w:eastAsia="仿宋_GB2312"/>
        </w:rPr>
        <w:t>邮编：610213</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邮编：610031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2,098,000.00</w:t>
      </w:r>
    </w:p>
    <w:p>
      <w:pPr>
        <w:pStyle w:val="null3"/>
        <w:jc w:val="left"/>
      </w:pPr>
      <w:r>
        <w:rPr>
          <w:rFonts w:ascii="仿宋_GB2312" w:hAnsi="仿宋_GB2312" w:cs="仿宋_GB2312" w:eastAsia="仿宋_GB2312"/>
        </w:rPr>
        <w:t>采购包最高限价（元）: 2,098,000.00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A02010104 服务器</w:t>
            </w:r>
          </w:p>
        </w:tc>
        <w:tc>
          <w:tcPr>
            <w:tcW w:type="dxa" w:w="821"/>
          </w:tcPr>
          <w:p>
            <w:pPr>
              <w:pStyle w:val="null3"/>
              <w:jc w:val="left"/>
            </w:pPr>
            <w:r>
              <w:rPr>
                <w:rFonts w:ascii="仿宋_GB2312" w:hAnsi="仿宋_GB2312" w:cs="仿宋_GB2312" w:eastAsia="仿宋_GB2312"/>
              </w:rPr>
              <w:t>应用服务器</w:t>
            </w:r>
          </w:p>
        </w:tc>
        <w:tc>
          <w:tcPr>
            <w:tcW w:type="dxa" w:w="821"/>
          </w:tcPr>
          <w:p>
            <w:pPr>
              <w:pStyle w:val="null3"/>
              <w:jc w:val="right"/>
            </w:pPr>
            <w:r>
              <w:rPr>
                <w:rFonts w:ascii="仿宋_GB2312" w:hAnsi="仿宋_GB2312" w:cs="仿宋_GB2312" w:eastAsia="仿宋_GB2312"/>
              </w:rPr>
              <w:t>8.00（台）</w:t>
            </w:r>
          </w:p>
        </w:tc>
        <w:tc>
          <w:tcPr>
            <w:tcW w:type="dxa" w:w="821"/>
          </w:tcPr>
          <w:p>
            <w:pPr>
              <w:pStyle w:val="null3"/>
              <w:jc w:val="right"/>
            </w:pPr>
            <w:r>
              <w:rPr>
                <w:rFonts w:ascii="仿宋_GB2312" w:hAnsi="仿宋_GB2312" w:cs="仿宋_GB2312" w:eastAsia="仿宋_GB2312"/>
              </w:rPr>
              <w:t>800,000.00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A02061504 不间断电源</w:t>
            </w:r>
          </w:p>
        </w:tc>
        <w:tc>
          <w:tcPr>
            <w:tcW w:type="dxa" w:w="821"/>
          </w:tcPr>
          <w:p>
            <w:pPr>
              <w:pStyle w:val="null3"/>
              <w:jc w:val="left"/>
            </w:pPr>
            <w:r>
              <w:rPr>
                <w:rFonts w:ascii="仿宋_GB2312" w:hAnsi="仿宋_GB2312" w:cs="仿宋_GB2312" w:eastAsia="仿宋_GB2312"/>
              </w:rPr>
              <w:t>外场基站UPS主机</w:t>
            </w:r>
          </w:p>
        </w:tc>
        <w:tc>
          <w:tcPr>
            <w:tcW w:type="dxa" w:w="821"/>
          </w:tcPr>
          <w:p>
            <w:pPr>
              <w:pStyle w:val="null3"/>
              <w:jc w:val="right"/>
            </w:pPr>
            <w:r>
              <w:rPr>
                <w:rFonts w:ascii="仿宋_GB2312" w:hAnsi="仿宋_GB2312" w:cs="仿宋_GB2312" w:eastAsia="仿宋_GB2312"/>
              </w:rPr>
              <w:t>40.00（台）</w:t>
            </w:r>
          </w:p>
        </w:tc>
        <w:tc>
          <w:tcPr>
            <w:tcW w:type="dxa" w:w="821"/>
          </w:tcPr>
          <w:p>
            <w:pPr>
              <w:pStyle w:val="null3"/>
              <w:jc w:val="right"/>
            </w:pPr>
            <w:r>
              <w:rPr>
                <w:rFonts w:ascii="仿宋_GB2312" w:hAnsi="仿宋_GB2312" w:cs="仿宋_GB2312" w:eastAsia="仿宋_GB2312"/>
              </w:rPr>
              <w:t>144,000.00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A08060301 基础软件</w:t>
            </w:r>
          </w:p>
        </w:tc>
        <w:tc>
          <w:tcPr>
            <w:tcW w:type="dxa" w:w="821"/>
          </w:tcPr>
          <w:p>
            <w:pPr>
              <w:pStyle w:val="null3"/>
              <w:jc w:val="left"/>
            </w:pPr>
            <w:r>
              <w:rPr>
                <w:rFonts w:ascii="仿宋_GB2312" w:hAnsi="仿宋_GB2312" w:cs="仿宋_GB2312" w:eastAsia="仿宋_GB2312"/>
              </w:rPr>
              <w:t>数据库及数据库主备集群软件</w:t>
            </w:r>
          </w:p>
        </w:tc>
        <w:tc>
          <w:tcPr>
            <w:tcW w:type="dxa" w:w="821"/>
          </w:tcPr>
          <w:p>
            <w:pPr>
              <w:pStyle w:val="null3"/>
              <w:jc w:val="right"/>
            </w:pPr>
            <w:r>
              <w:rPr>
                <w:rFonts w:ascii="仿宋_GB2312" w:hAnsi="仿宋_GB2312" w:cs="仿宋_GB2312" w:eastAsia="仿宋_GB2312"/>
              </w:rPr>
              <w:t>8.00（套）</w:t>
            </w:r>
          </w:p>
        </w:tc>
        <w:tc>
          <w:tcPr>
            <w:tcW w:type="dxa" w:w="821"/>
          </w:tcPr>
          <w:p>
            <w:pPr>
              <w:pStyle w:val="null3"/>
              <w:jc w:val="right"/>
            </w:pPr>
            <w:r>
              <w:rPr>
                <w:rFonts w:ascii="仿宋_GB2312" w:hAnsi="仿宋_GB2312" w:cs="仿宋_GB2312" w:eastAsia="仿宋_GB2312"/>
              </w:rPr>
              <w:t>480,000.00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A02010104 服务器</w:t>
            </w:r>
          </w:p>
        </w:tc>
        <w:tc>
          <w:tcPr>
            <w:tcW w:type="dxa" w:w="821"/>
          </w:tcPr>
          <w:p>
            <w:pPr>
              <w:pStyle w:val="null3"/>
              <w:jc w:val="left"/>
            </w:pPr>
            <w:r>
              <w:rPr>
                <w:rFonts w:ascii="仿宋_GB2312" w:hAnsi="仿宋_GB2312" w:cs="仿宋_GB2312" w:eastAsia="仿宋_GB2312"/>
              </w:rPr>
              <w:t>渲染服务器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A02061504 不间断电源</w:t>
            </w:r>
          </w:p>
        </w:tc>
        <w:tc>
          <w:tcPr>
            <w:tcW w:type="dxa" w:w="821"/>
          </w:tcPr>
          <w:p>
            <w:pPr>
              <w:pStyle w:val="null3"/>
              <w:jc w:val="left"/>
            </w:pPr>
            <w:r>
              <w:rPr>
                <w:rFonts w:ascii="仿宋_GB2312" w:hAnsi="仿宋_GB2312" w:cs="仿宋_GB2312" w:eastAsia="仿宋_GB2312"/>
              </w:rPr>
              <w:t>本地机房UPS主机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A08060301 基础软件</w:t>
            </w:r>
          </w:p>
        </w:tc>
        <w:tc>
          <w:tcPr>
            <w:tcW w:type="dxa" w:w="821"/>
          </w:tcPr>
          <w:p>
            <w:pPr>
              <w:pStyle w:val="null3"/>
              <w:jc w:val="left"/>
            </w:pPr>
            <w:r>
              <w:rPr>
                <w:rFonts w:ascii="仿宋_GB2312" w:hAnsi="仿宋_GB2312" w:cs="仿宋_GB2312" w:eastAsia="仿宋_GB2312"/>
              </w:rPr>
              <w:t>数据库同步软件</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180,000.00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应用服务器</w:t>
            </w:r>
          </w:p>
        </w:tc>
        <w:tc>
          <w:tcPr>
            <w:tcW w:type="dxa" w:w="1138"/>
          </w:tcPr>
          <w:p>
            <w:pPr>
              <w:pStyle w:val="null3"/>
              <w:jc w:val="center"/>
            </w:pPr>
            <w:r>
              <w:rPr>
                <w:rFonts w:ascii="仿宋_GB2312" w:hAnsi="仿宋_GB2312" w:cs="仿宋_GB2312" w:eastAsia="仿宋_GB2312"/>
              </w:rPr>
              <w:t>8.00（台）</w:t>
            </w:r>
          </w:p>
        </w:tc>
        <w:tc>
          <w:tcPr>
            <w:tcW w:type="dxa" w:w="1365"/>
          </w:tcPr>
          <w:p>
            <w:pPr>
              <w:pStyle w:val="null3"/>
              <w:jc w:val="center"/>
            </w:pPr>
            <w:r>
              <w:rPr>
                <w:rFonts w:ascii="仿宋_GB2312" w:hAnsi="仿宋_GB2312" w:cs="仿宋_GB2312" w:eastAsia="仿宋_GB2312"/>
              </w:rPr>
              <w:t>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外场基站UPS主机</w:t>
            </w:r>
          </w:p>
        </w:tc>
        <w:tc>
          <w:tcPr>
            <w:tcW w:type="dxa" w:w="1138"/>
          </w:tcPr>
          <w:p>
            <w:pPr>
              <w:pStyle w:val="null3"/>
              <w:jc w:val="center"/>
            </w:pPr>
            <w:r>
              <w:rPr>
                <w:rFonts w:ascii="仿宋_GB2312" w:hAnsi="仿宋_GB2312" w:cs="仿宋_GB2312" w:eastAsia="仿宋_GB2312"/>
              </w:rPr>
              <w:t>40.00（台）</w:t>
            </w:r>
          </w:p>
        </w:tc>
        <w:tc>
          <w:tcPr>
            <w:tcW w:type="dxa" w:w="1365"/>
          </w:tcPr>
          <w:p>
            <w:pPr>
              <w:pStyle w:val="null3"/>
              <w:jc w:val="center"/>
            </w:pPr>
            <w:r>
              <w:rPr>
                <w:rFonts w:ascii="仿宋_GB2312" w:hAnsi="仿宋_GB2312" w:cs="仿宋_GB2312" w:eastAsia="仿宋_GB2312"/>
              </w:rPr>
              <w:t>144,000.00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数据库及数据库主备集群软件</w:t>
            </w:r>
          </w:p>
        </w:tc>
        <w:tc>
          <w:tcPr>
            <w:tcW w:type="dxa" w:w="1138"/>
          </w:tcPr>
          <w:p>
            <w:pPr>
              <w:pStyle w:val="null3"/>
              <w:jc w:val="center"/>
            </w:pPr>
            <w:r>
              <w:rPr>
                <w:rFonts w:ascii="仿宋_GB2312" w:hAnsi="仿宋_GB2312" w:cs="仿宋_GB2312" w:eastAsia="仿宋_GB2312"/>
              </w:rPr>
              <w:t>8.00（套）</w:t>
            </w:r>
          </w:p>
        </w:tc>
        <w:tc>
          <w:tcPr>
            <w:tcW w:type="dxa" w:w="1365"/>
          </w:tcPr>
          <w:p>
            <w:pPr>
              <w:pStyle w:val="null3"/>
              <w:jc w:val="center"/>
            </w:pPr>
            <w:r>
              <w:rPr>
                <w:rFonts w:ascii="仿宋_GB2312" w:hAnsi="仿宋_GB2312" w:cs="仿宋_GB2312" w:eastAsia="仿宋_GB2312"/>
              </w:rPr>
              <w:t>480,000.00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渲染服务器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本地机房UPS主机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数据库同步软件</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应用服务器</w:t>
            </w:r>
          </w:p>
        </w:tc>
        <w:tc>
          <w:tcPr>
            <w:tcW w:type="dxa" w:w="2492"/>
          </w:tcPr>
          <w:p>
            <w:pPr>
              <w:pStyle w:val="null3"/>
              <w:jc w:val="left"/>
            </w:pPr>
            <w:r>
              <w:rPr>
                <w:rFonts w:ascii="仿宋_GB2312" w:hAnsi="仿宋_GB2312" w:cs="仿宋_GB2312" w:eastAsia="仿宋_GB2312"/>
              </w:rPr>
              <w:t>应用服务器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渲染服务器</w:t>
            </w:r>
          </w:p>
        </w:tc>
        <w:tc>
          <w:tcPr>
            <w:tcW w:type="dxa" w:w="2492"/>
          </w:tcPr>
          <w:p>
            <w:pPr>
              <w:pStyle w:val="null3"/>
              <w:jc w:val="left"/>
            </w:pPr>
            <w:r>
              <w:rPr>
                <w:rFonts w:ascii="仿宋_GB2312" w:hAnsi="仿宋_GB2312" w:cs="仿宋_GB2312" w:eastAsia="仿宋_GB2312"/>
              </w:rPr>
              <w:t>渲染服务器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应用服务器</w:t>
            </w:r>
          </w:p>
        </w:tc>
        <w:tc>
          <w:tcPr>
            <w:tcW w:type="dxa" w:w="2492"/>
          </w:tcPr>
          <w:p>
            <w:pPr>
              <w:pStyle w:val="null3"/>
              <w:jc w:val="left"/>
            </w:pPr>
            <w:r>
              <w:rPr>
                <w:rFonts w:ascii="仿宋_GB2312" w:hAnsi="仿宋_GB2312" w:cs="仿宋_GB2312" w:eastAsia="仿宋_GB2312"/>
              </w:rPr>
              <w:t>应用服务器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渲染服务器</w:t>
            </w:r>
          </w:p>
        </w:tc>
        <w:tc>
          <w:tcPr>
            <w:tcW w:type="dxa" w:w="2492"/>
          </w:tcPr>
          <w:p>
            <w:pPr>
              <w:pStyle w:val="null3"/>
              <w:jc w:val="left"/>
            </w:pPr>
            <w:r>
              <w:rPr>
                <w:rFonts w:ascii="仿宋_GB2312" w:hAnsi="仿宋_GB2312" w:cs="仿宋_GB2312" w:eastAsia="仿宋_GB2312"/>
              </w:rPr>
              <w:t>渲染服务器</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标的名称：应用服务器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w:t>
            </w:r>
          </w:p>
        </w:tc>
        <w:tc>
          <w:tcPr>
            <w:tcW w:type="dxa" w:w="5814"/>
          </w:tcPr>
          <w:p>
            <w:pPr>
              <w:pStyle w:val="null3"/>
              <w:jc w:val="left"/>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1120"/>
              <w:gridCol w:w="1120"/>
              <w:gridCol w:w="1120"/>
              <w:gridCol w:w="1120"/>
              <w:gridCol w:w="1120"/>
            </w:tblGrid>
            <w:tr>
              <w:tc>
                <w:tcPr>
                  <w:tcW w:type="dxa" w:w="1120"/>
                </w:tcPr>
                <w:p>
                  <w:pPr>
                    <w:pStyle w:val="null3"/>
                    <w:jc w:val="left"/>
                  </w:pPr>
                  <w:r>
                    <w:rPr>
                      <w:rFonts w:ascii="仿宋_GB2312" w:hAnsi="仿宋_GB2312" w:cs="仿宋_GB2312" w:eastAsia="仿宋_GB2312"/>
                    </w:rPr>
                    <w:t>序号</w:t>
                  </w:r>
                </w:p>
              </w:tc>
              <w:tc>
                <w:tcPr>
                  <w:tcW w:type="dxa" w:w="1120"/>
                </w:tcPr>
                <w:p>
                  <w:pPr>
                    <w:pStyle w:val="null3"/>
                    <w:jc w:val="left"/>
                  </w:pPr>
                  <w:r>
                    <w:rPr>
                      <w:rFonts w:ascii="仿宋_GB2312" w:hAnsi="仿宋_GB2312" w:cs="仿宋_GB2312" w:eastAsia="仿宋_GB2312"/>
                      <w:sz w:val="15"/>
                      <w:b/>
                      <w:color w:val="000000"/>
                    </w:rPr>
                    <w:t>项目名称</w:t>
                  </w:r>
                </w:p>
              </w:tc>
              <w:tc>
                <w:tcPr>
                  <w:tcW w:type="dxa" w:w="1120"/>
                </w:tcPr>
                <w:p>
                  <w:pPr>
                    <w:pStyle w:val="null3"/>
                    <w:jc w:val="left"/>
                  </w:pPr>
                  <w:r>
                    <w:rPr>
                      <w:rFonts w:ascii="仿宋_GB2312" w:hAnsi="仿宋_GB2312" w:cs="仿宋_GB2312" w:eastAsia="仿宋_GB2312"/>
                      <w:sz w:val="15"/>
                      <w:b/>
                      <w:color w:val="000000"/>
                    </w:rPr>
                    <w:t>相关要求</w:t>
                  </w:r>
                </w:p>
              </w:tc>
              <w:tc>
                <w:tcPr>
                  <w:tcW w:type="dxa" w:w="1120"/>
                </w:tcPr>
                <w:p>
                  <w:pPr>
                    <w:pStyle w:val="null3"/>
                    <w:jc w:val="left"/>
                  </w:pPr>
                  <w:r>
                    <w:rPr>
                      <w:rFonts w:ascii="仿宋_GB2312" w:hAnsi="仿宋_GB2312" w:cs="仿宋_GB2312" w:eastAsia="仿宋_GB2312"/>
                      <w:sz w:val="15"/>
                      <w:b/>
                      <w:color w:val="000000"/>
                    </w:rPr>
                    <w:t>单位</w:t>
                  </w:r>
                </w:p>
              </w:tc>
              <w:tc>
                <w:tcPr>
                  <w:tcW w:type="dxa" w:w="1120"/>
                </w:tcPr>
                <w:p>
                  <w:pPr>
                    <w:pStyle w:val="null3"/>
                    <w:jc w:val="left"/>
                  </w:pPr>
                  <w:r>
                    <w:rPr>
                      <w:rFonts w:ascii="仿宋_GB2312" w:hAnsi="仿宋_GB2312" w:cs="仿宋_GB2312" w:eastAsia="仿宋_GB2312"/>
                    </w:rPr>
                    <w:t>数量</w:t>
                  </w:r>
                </w:p>
              </w:tc>
            </w:tr>
            <w:tr>
              <w:tc>
                <w:tcPr>
                  <w:tcW w:type="dxa" w:w="1120"/>
                </w:tcPr>
                <w:p>
                  <w:pPr>
                    <w:pStyle w:val="null3"/>
                    <w:jc w:val="left"/>
                  </w:pPr>
                  <w:r>
                    <w:rPr>
                      <w:rFonts w:ascii="仿宋_GB2312" w:hAnsi="仿宋_GB2312" w:cs="仿宋_GB2312" w:eastAsia="仿宋_GB2312"/>
                    </w:rPr>
                    <w:t>1</w:t>
                  </w:r>
                </w:p>
              </w:tc>
              <w:tc>
                <w:tcPr>
                  <w:tcW w:type="dxa" w:w="1120"/>
                </w:tcPr>
                <w:p>
                  <w:pPr>
                    <w:pStyle w:val="null3"/>
                    <w:jc w:val="left"/>
                  </w:pPr>
                  <w:r>
                    <w:rPr>
                      <w:rFonts w:ascii="仿宋_GB2312" w:hAnsi="仿宋_GB2312" w:cs="仿宋_GB2312" w:eastAsia="仿宋_GB2312"/>
                      <w:sz w:val="18"/>
                      <w:color w:val="000000"/>
                    </w:rPr>
                    <w:t>应用服务器</w:t>
                  </w:r>
                </w:p>
              </w:tc>
              <w:tc>
                <w:tcPr>
                  <w:tcW w:type="dxa" w:w="1120"/>
                </w:tcPr>
                <w:p>
                  <w:pPr>
                    <w:pStyle w:val="null3"/>
                    <w:jc w:val="left"/>
                  </w:pPr>
                  <w:r>
                    <w:rPr>
                      <w:rFonts w:ascii="仿宋_GB2312" w:hAnsi="仿宋_GB2312" w:cs="仿宋_GB2312" w:eastAsia="仿宋_GB2312"/>
                      <w:sz w:val="21"/>
                      <w:color w:val="000000"/>
                    </w:rPr>
                    <w:t>1、所投CPU应当符合安全可靠测评要求，要求安全可靠等级≥Ⅰ级，</w:t>
                  </w:r>
                  <w:r>
                    <w:rPr>
                      <w:rFonts w:ascii="仿宋_GB2312" w:hAnsi="仿宋_GB2312" w:cs="仿宋_GB2312" w:eastAsia="仿宋_GB2312"/>
                      <w:sz w:val="21"/>
                      <w:b/>
                      <w:color w:val="000000"/>
                    </w:rPr>
                    <w:t>【供应商在投标时提供承诺函】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2、所投产品需为标准机架式服务器，高度≥2U，风冷散热；配置冗余风扇模块；配置安装组件、导轨</w:t>
                  </w:r>
                  <w:r>
                    <w:br/>
                  </w:r>
                  <w:r>
                    <w:rPr>
                      <w:rFonts w:ascii="仿宋_GB2312" w:hAnsi="仿宋_GB2312" w:cs="仿宋_GB2312" w:eastAsia="仿宋_GB2312"/>
                      <w:sz w:val="21"/>
                      <w:color w:val="000000"/>
                    </w:rPr>
                    <w:t>3、CPU规格：实配≥2颗处理器，单颗CPU物理核心数≥32核，主频≥2.7GHz，末级缓存≥64MB，线程数≥64线程；</w:t>
                  </w:r>
                  <w:r>
                    <w:br/>
                  </w:r>
                  <w:r>
                    <w:rPr>
                      <w:rFonts w:ascii="仿宋_GB2312" w:hAnsi="仿宋_GB2312" w:cs="仿宋_GB2312" w:eastAsia="仿宋_GB2312"/>
                      <w:sz w:val="21"/>
                      <w:color w:val="000000"/>
                    </w:rPr>
                    <w:t>4、内存规格：配置≥2根DDR4内存，要求单根内存容量≥32G，整机最大支持≥32根内存插槽；</w:t>
                  </w:r>
                  <w:r>
                    <w:br/>
                  </w:r>
                  <w:r>
                    <w:rPr>
                      <w:rFonts w:ascii="仿宋_GB2312" w:hAnsi="仿宋_GB2312" w:cs="仿宋_GB2312" w:eastAsia="仿宋_GB2312"/>
                      <w:sz w:val="21"/>
                      <w:color w:val="000000"/>
                    </w:rPr>
                    <w:t>5、存储规格：配置≥2块480G SATA SSD，配置≥2块1.92T SATA SSD；</w:t>
                  </w:r>
                  <w:r>
                    <w:br/>
                  </w:r>
                  <w:r>
                    <w:rPr>
                      <w:rFonts w:ascii="仿宋_GB2312" w:hAnsi="仿宋_GB2312" w:cs="仿宋_GB2312" w:eastAsia="仿宋_GB2312"/>
                      <w:sz w:val="21"/>
                      <w:color w:val="000000"/>
                    </w:rPr>
                    <w:t>6、RAID卡规格：实配≥2GB 缓存RAID卡，要求RAID卡支持的接口数量≥8，支持RAID 0/1/10/5/50/6/60；</w:t>
                  </w:r>
                  <w:r>
                    <w:br/>
                  </w:r>
                  <w:r>
                    <w:rPr>
                      <w:rFonts w:ascii="仿宋_GB2312" w:hAnsi="仿宋_GB2312" w:cs="仿宋_GB2312" w:eastAsia="仿宋_GB2312"/>
                      <w:sz w:val="21"/>
                      <w:color w:val="000000"/>
                    </w:rPr>
                    <w:t>7、网络规格：实配≥1张双口万兆网卡（含万兆多模光模块），≥2个16G FC口（含多模16G FC光模块），≥1张四口千兆网卡；</w:t>
                  </w:r>
                  <w:r>
                    <w:br/>
                  </w:r>
                  <w:r>
                    <w:rPr>
                      <w:rFonts w:ascii="仿宋_GB2312" w:hAnsi="仿宋_GB2312" w:cs="仿宋_GB2312" w:eastAsia="仿宋_GB2312"/>
                      <w:sz w:val="21"/>
                      <w:color w:val="000000"/>
                    </w:rPr>
                    <w:t>8、主板规格：支持≥5个PCIe4.0标准接口，支持≥4个USB 2.0接口，支持≥1张OCP 3.0网卡，支持≥1种显示接口如VGA、DP、HDMI 等；</w:t>
                  </w:r>
                  <w:r>
                    <w:br/>
                  </w:r>
                  <w:r>
                    <w:rPr>
                      <w:rFonts w:ascii="仿宋_GB2312" w:hAnsi="仿宋_GB2312" w:cs="仿宋_GB2312" w:eastAsia="仿宋_GB2312"/>
                      <w:sz w:val="21"/>
                      <w:color w:val="000000"/>
                    </w:rPr>
                    <w:t>9、电源规格：配置≥2个1300W交流电源模块，整机电源模块支持1+1冗余，支持热插拔及过流、短路保护的功能；</w:t>
                  </w:r>
                  <w:r>
                    <w:br/>
                  </w:r>
                  <w:r>
                    <w:rPr>
                      <w:rFonts w:ascii="仿宋_GB2312" w:hAnsi="仿宋_GB2312" w:cs="仿宋_GB2312" w:eastAsia="仿宋_GB2312"/>
                      <w:sz w:val="21"/>
                      <w:color w:val="000000"/>
                    </w:rPr>
                    <w:t>10、管理系统功能：支持BMC、BIOS固件基础管理功能，支持服务器远程关机和重新启动功能，支持操作系统及驱动升级功能，支持中文信息处理功能，支持内存、硬盘等关键部件的故障检测功能；配置≥1个独立的远程管理控制端口，支持IPMI，虚拟KVM、虚拟媒体和远程控制等；</w:t>
                  </w:r>
                  <w:r>
                    <w:br/>
                  </w:r>
                  <w:r>
                    <w:rPr>
                      <w:rFonts w:ascii="仿宋_GB2312" w:hAnsi="仿宋_GB2312" w:cs="仿宋_GB2312" w:eastAsia="仿宋_GB2312"/>
                      <w:sz w:val="21"/>
                      <w:color w:val="000000"/>
                    </w:rPr>
                    <w:t>11、支持国产主流操作系统、支持主流虚拟化，包括但不限于云宏、H3C、深信服、华为、Ucloud、QingCloud等</w:t>
                  </w:r>
                  <w:r>
                    <w:br/>
                  </w:r>
                  <w:r>
                    <w:rPr>
                      <w:rFonts w:ascii="仿宋_GB2312" w:hAnsi="仿宋_GB2312" w:cs="仿宋_GB2312" w:eastAsia="仿宋_GB2312"/>
                      <w:sz w:val="21"/>
                      <w:color w:val="000000"/>
                    </w:rPr>
                    <w:t>12、售后服务：提供3年原厂维保服务，</w:t>
                  </w:r>
                  <w:r>
                    <w:rPr>
                      <w:rFonts w:ascii="仿宋_GB2312" w:hAnsi="仿宋_GB2312" w:cs="仿宋_GB2312" w:eastAsia="仿宋_GB2312"/>
                      <w:sz w:val="21"/>
                      <w:b/>
                      <w:color w:val="000000"/>
                    </w:rPr>
                    <w:t>【供应商在投标时提供承诺函】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13、除上述参数外，投标产品还需符合财政部、工业和信息化部关于印发《通用服务器政府采购需求标准(2023年版)》通知中“通用服务器政府采购需求标准”其他带“*”指标的要求。关键部件安全要求-CPU和操作系统等关键部件应当符合安全可靠测评要求。</w:t>
                  </w:r>
                  <w:r>
                    <w:rPr>
                      <w:rFonts w:ascii="仿宋_GB2312" w:hAnsi="仿宋_GB2312" w:cs="仿宋_GB2312" w:eastAsia="仿宋_GB2312"/>
                      <w:sz w:val="21"/>
                      <w:b/>
                      <w:color w:val="000000"/>
                    </w:rPr>
                    <w:t>【供应商在投标时提供承诺函】</w:t>
                  </w:r>
                  <w:r>
                    <w:rPr>
                      <w:rFonts w:ascii="仿宋_GB2312" w:hAnsi="仿宋_GB2312" w:cs="仿宋_GB2312" w:eastAsia="仿宋_GB2312"/>
                      <w:sz w:val="21"/>
                      <w:color w:val="000000"/>
                    </w:rPr>
                    <w:t>。</w:t>
                  </w:r>
                </w:p>
              </w:tc>
              <w:tc>
                <w:tcPr>
                  <w:tcW w:type="dxa" w:w="1120"/>
                </w:tcPr>
                <w:p>
                  <w:pPr>
                    <w:pStyle w:val="null3"/>
                    <w:jc w:val="left"/>
                  </w:pPr>
                  <w:r>
                    <w:rPr>
                      <w:rFonts w:ascii="仿宋_GB2312" w:hAnsi="仿宋_GB2312" w:cs="仿宋_GB2312" w:eastAsia="仿宋_GB2312"/>
                    </w:rPr>
                    <w:t>台</w:t>
                  </w:r>
                </w:p>
              </w:tc>
              <w:tc>
                <w:tcPr>
                  <w:tcW w:type="dxa" w:w="1120"/>
                </w:tcPr>
                <w:p>
                  <w:pPr>
                    <w:pStyle w:val="null3"/>
                    <w:jc w:val="left"/>
                  </w:pPr>
                  <w:r>
                    <w:rPr>
                      <w:rFonts w:ascii="仿宋_GB2312" w:hAnsi="仿宋_GB2312" w:cs="仿宋_GB2312" w:eastAsia="仿宋_GB2312"/>
                    </w:rPr>
                    <w:t>8</w:t>
                  </w:r>
                </w:p>
              </w:tc>
            </w:tr>
          </w:tbl>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left"/>
            </w:pPr>
            <w:r>
              <w:rPr>
                <w:rFonts w:ascii="仿宋_GB2312" w:hAnsi="仿宋_GB2312" w:cs="仿宋_GB2312" w:eastAsia="仿宋_GB2312"/>
                <w:sz w:val="21"/>
              </w:rPr>
              <w:t>1.质量要求：投标人为采购人提供的产品必须是正规厂家生产，投标人必须保证提供的货物（包括零部件）是全新的、未使用过的，具有稳定性、可靠性、安全性，并完全符合国家、行业规定的质量、规格和性能要求等技术标准。如在产品验收的过程，或使用过程中，发现产品质量问题，中标人应负责更换至合格的产品并承担一切相关费用，以及由此产生的违约责任。</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技术参数中所有涉及的国家法规、标准、规定等描述与国家最新要求不一致时以国家最新要求为准，若出现国家相关标准已废止的以国家最新现行要求为准，若履约过程中出现国家最新要求时以国家最新现行要求为准。</w:t>
            </w:r>
          </w:p>
          <w:p>
            <w:pPr>
              <w:pStyle w:val="null3"/>
              <w:ind w:firstLine="482"/>
              <w:jc w:val="left"/>
            </w:pPr>
            <w:r>
              <w:rPr>
                <w:rFonts w:ascii="仿宋_GB2312" w:hAnsi="仿宋_GB2312" w:cs="仿宋_GB2312" w:eastAsia="仿宋_GB2312"/>
                <w:sz w:val="21"/>
              </w:rPr>
              <w:t>3.其他服务要求：供应商为本项目提供的所有产品、辅材中属于《国家强制性产品认证目录》范围内产品的，均应通过国家强制性产品认证并取得认证证书或经过强制性认证产品符合性自我声明。供应商为本项目提供的所有产品、辅材应符合现行的强制性国家相关标准、行业标准。</w:t>
            </w:r>
          </w:p>
        </w:tc>
      </w:tr>
    </w:tbl>
    <w:p>
      <w:pPr>
        <w:pStyle w:val="null3"/>
        <w:jc w:val="left"/>
      </w:pPr>
      <w:r>
        <w:rPr>
          <w:rFonts w:ascii="仿宋_GB2312" w:hAnsi="仿宋_GB2312" w:cs="仿宋_GB2312" w:eastAsia="仿宋_GB2312"/>
        </w:rPr>
        <w:t>标的名称：外场基站UPS主机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w:t>
            </w:r>
          </w:p>
        </w:tc>
        <w:tc>
          <w:tcPr>
            <w:tcW w:type="dxa" w:w="5814"/>
          </w:tcPr>
          <w:tbl>
            <w:tblPr>
              <w:tblBorders>
                <w:top w:val="single"/>
                <w:left w:val="single"/>
                <w:bottom w:val="single"/>
                <w:right w:val="single"/>
                <w:insideH w:val="single"/>
                <w:insideV w:val="single"/>
              </w:tblBorders>
            </w:tblPr>
            <w:tblGrid>
              <w:gridCol w:w="336"/>
              <w:gridCol w:w="941"/>
              <w:gridCol w:w="3393"/>
              <w:gridCol w:w="405"/>
              <w:gridCol w:w="508"/>
            </w:tblGrid>
            <w:tr>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94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项目名称</w:t>
                  </w:r>
                </w:p>
              </w:tc>
              <w:tc>
                <w:tcPr>
                  <w:tcW w:type="dxa" w:w="3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相关要求</w:t>
                  </w:r>
                </w:p>
              </w:tc>
              <w:tc>
                <w:tcPr>
                  <w:tcW w:type="dxa" w:w="40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50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33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外场基站UPS主机</w:t>
                  </w:r>
                </w:p>
              </w:tc>
              <w:tc>
                <w:tcPr>
                  <w:tcW w:type="dxa" w:w="339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1、塔式UPS，容量：2KVA/1600W，提供不低于30分钟断电保障；</w:t>
                  </w:r>
                  <w:r>
                    <w:br/>
                  </w:r>
                  <w:r>
                    <w:rPr>
                      <w:rFonts w:ascii="仿宋_GB2312" w:hAnsi="仿宋_GB2312" w:cs="仿宋_GB2312" w:eastAsia="仿宋_GB2312"/>
                      <w:sz w:val="22"/>
                      <w:color w:val="000000"/>
                    </w:rPr>
                    <w:t xml:space="preserve"> 2、UPS电源要求采用LED指示灯操作面板，能够同时提供图形显示和数字显示，适合使用者查看状态、数据和进行操作控制。</w:t>
                  </w:r>
                  <w:r>
                    <w:br/>
                  </w:r>
                  <w:r>
                    <w:rPr>
                      <w:rFonts w:ascii="仿宋_GB2312" w:hAnsi="仿宋_GB2312" w:cs="仿宋_GB2312" w:eastAsia="仿宋_GB2312"/>
                      <w:sz w:val="22"/>
                      <w:color w:val="000000"/>
                    </w:rPr>
                    <w:t xml:space="preserve"> 3、转换时间必须为0中断：UPS在电池转市电之间的切换必须是完全没有中断时间。</w:t>
                  </w:r>
                  <w:r>
                    <w:br/>
                  </w:r>
                  <w:r>
                    <w:rPr>
                      <w:rFonts w:ascii="仿宋_GB2312" w:hAnsi="仿宋_GB2312" w:cs="仿宋_GB2312" w:eastAsia="仿宋_GB2312"/>
                      <w:sz w:val="22"/>
                      <w:color w:val="000000"/>
                    </w:rPr>
                    <w:t xml:space="preserve"> 4、UPS应具备自动旁路功能：即当UPS设备本身发生故障或异常时，能够自动切换至旁路电源输出，以确保在有市电的情况下，可以通过旁路输出继续给负载设备供电。</w:t>
                  </w:r>
                  <w:r>
                    <w:br/>
                  </w:r>
                  <w:r>
                    <w:rPr>
                      <w:rFonts w:ascii="仿宋_GB2312" w:hAnsi="仿宋_GB2312" w:cs="仿宋_GB2312" w:eastAsia="仿宋_GB2312"/>
                      <w:sz w:val="22"/>
                      <w:color w:val="000000"/>
                    </w:rPr>
                    <w:t xml:space="preserve"> 5、UPS应具备DSP数字控制技术：为了提高UPS设备中控制系统的精密度、准确度与稳定度，要求UPS是采用DSP中央控制器结合CPU的控制系统。利用DSP高效能的运算能力，进行信号处理，再提供给CPU做为系统控制，达到让UPS设备的机器性能、保护性能、可靠度与工作稳定度都更加完备目的。</w:t>
                  </w:r>
                  <w:r>
                    <w:br/>
                  </w:r>
                  <w:r>
                    <w:rPr>
                      <w:rFonts w:ascii="仿宋_GB2312" w:hAnsi="仿宋_GB2312" w:cs="仿宋_GB2312" w:eastAsia="仿宋_GB2312"/>
                      <w:sz w:val="22"/>
                      <w:color w:val="000000"/>
                    </w:rPr>
                    <w:t xml:space="preserve"> 6、2KVA输入功因＞0.98；满足绿色节能的需要，UPS需具备高效率的UPS系统，UPS主机市电输入电压能对逆变模块输出电压进行补偿，减少UPS系统在经过两次变换后的能量损失，提升UPS效率。</w:t>
                  </w:r>
                  <w:r>
                    <w:br/>
                  </w:r>
                  <w:r>
                    <w:rPr>
                      <w:rFonts w:ascii="仿宋_GB2312" w:hAnsi="仿宋_GB2312" w:cs="仿宋_GB2312" w:eastAsia="仿宋_GB2312"/>
                      <w:sz w:val="22"/>
                      <w:color w:val="000000"/>
                    </w:rPr>
                    <w:t xml:space="preserve"> 7、2KVA输入电流谐波＜7%非线性载（根据信息产业部对UPS该指标的界定：满足此指标的属于一等品UPS），减少了UPS对电网的污染。若无法满足此指标的， 必须额外配置“有源滤波器”设备，并纳入设备配置及价格清单中。</w:t>
                  </w:r>
                  <w:r>
                    <w:br/>
                  </w:r>
                  <w:r>
                    <w:rPr>
                      <w:rFonts w:ascii="仿宋_GB2312" w:hAnsi="仿宋_GB2312" w:cs="仿宋_GB2312" w:eastAsia="仿宋_GB2312"/>
                      <w:sz w:val="22"/>
                      <w:color w:val="000000"/>
                    </w:rPr>
                    <w:t xml:space="preserve"> 8、整机效率最高可达90%。</w:t>
                  </w:r>
                  <w:r>
                    <w:br/>
                  </w:r>
                  <w:r>
                    <w:rPr>
                      <w:rFonts w:ascii="仿宋_GB2312" w:hAnsi="仿宋_GB2312" w:cs="仿宋_GB2312" w:eastAsia="仿宋_GB2312"/>
                      <w:sz w:val="22"/>
                      <w:color w:val="000000"/>
                    </w:rPr>
                    <w:t xml:space="preserve"> 9、具备超宽输入电压范围：115-300V,以便能轻松应对较为常见的市电电压过高或过低的异常市电环境，避免UPS轻易因电压不稳定而转旁路运行的风险。</w:t>
                  </w:r>
                  <w:r>
                    <w:br/>
                  </w:r>
                  <w:r>
                    <w:rPr>
                      <w:rFonts w:ascii="仿宋_GB2312" w:hAnsi="仿宋_GB2312" w:cs="仿宋_GB2312" w:eastAsia="仿宋_GB2312"/>
                      <w:sz w:val="22"/>
                      <w:color w:val="000000"/>
                    </w:rPr>
                    <w:t xml:space="preserve"> 10、具备超宽输入频率范围：40-70HZ，能轻松应对频率过高或过低的异常市电环境。</w:t>
                  </w:r>
                  <w:r>
                    <w:br/>
                  </w:r>
                  <w:r>
                    <w:rPr>
                      <w:rFonts w:ascii="仿宋_GB2312" w:hAnsi="仿宋_GB2312" w:cs="仿宋_GB2312" w:eastAsia="仿宋_GB2312"/>
                      <w:sz w:val="22"/>
                      <w:color w:val="000000"/>
                    </w:rPr>
                    <w:t xml:space="preserve"> 11、输出电压稳定精度≤±2%。12、旁路逆变切换时间4ms：输入电压为额定值时，UPS由正常工作方式转旁路，或旁路转正常工作方式的相互切换时间为4ms。</w:t>
                  </w:r>
                  <w:r>
                    <w:br/>
                  </w:r>
                  <w:r>
                    <w:rPr>
                      <w:rFonts w:ascii="仿宋_GB2312" w:hAnsi="仿宋_GB2312" w:cs="仿宋_GB2312" w:eastAsia="仿宋_GB2312"/>
                      <w:sz w:val="22"/>
                      <w:color w:val="000000"/>
                    </w:rPr>
                    <w:t xml:space="preserve"> 13、过载能力强 ：105%~150%的负载可以过载47s-25s；150%~200%的负载可以过载25s-300ms；大于200%的负载可以过载200ms。</w:t>
                  </w:r>
                  <w:r>
                    <w:br/>
                  </w:r>
                  <w:r>
                    <w:rPr>
                      <w:rFonts w:ascii="仿宋_GB2312" w:hAnsi="仿宋_GB2312" w:cs="仿宋_GB2312" w:eastAsia="仿宋_GB2312"/>
                      <w:sz w:val="22"/>
                      <w:color w:val="000000"/>
                    </w:rPr>
                    <w:t xml:space="preserve"> 14、具有EPO功能（选配），可在遇到紧急状态下，远程关断UPS，以满足消防安全的需要。</w:t>
                  </w:r>
                  <w:r>
                    <w:br/>
                  </w:r>
                  <w:r>
                    <w:rPr>
                      <w:rFonts w:ascii="仿宋_GB2312" w:hAnsi="仿宋_GB2312" w:cs="仿宋_GB2312" w:eastAsia="仿宋_GB2312"/>
                      <w:sz w:val="22"/>
                      <w:color w:val="000000"/>
                    </w:rPr>
                    <w:t xml:space="preserve"> 15、要求风扇为自动温控风扇：风扇可以根据带载量的高低、UPS机内温度的高低，自动调节风扇的转速。</w:t>
                  </w:r>
                  <w:r>
                    <w:br/>
                  </w:r>
                  <w:r>
                    <w:rPr>
                      <w:rFonts w:ascii="仿宋_GB2312" w:hAnsi="仿宋_GB2312" w:cs="仿宋_GB2312" w:eastAsia="仿宋_GB2312"/>
                      <w:sz w:val="22"/>
                      <w:color w:val="000000"/>
                    </w:rPr>
                    <w:t xml:space="preserve"> 16、UPS主机需具备内置的静态旁路，以满足当UPS发生故障后，能自动转换由UPS内部的旁路供电。</w:t>
                  </w:r>
                  <w:r>
                    <w:br/>
                  </w:r>
                  <w:r>
                    <w:rPr>
                      <w:rFonts w:ascii="仿宋_GB2312" w:hAnsi="仿宋_GB2312" w:cs="仿宋_GB2312" w:eastAsia="仿宋_GB2312"/>
                      <w:sz w:val="22"/>
                      <w:color w:val="000000"/>
                    </w:rPr>
                    <w:t xml:space="preserve"> 17、直流开机：UPS在没有市电时，可通过所连接的蓄电池组实现直流开机启动。18、交流开机：UPS在没有连接蓄电池组 或蓄电池发生故障损坏时，UPS仍可以通过市电实现交流开机。</w:t>
                  </w:r>
                  <w:r>
                    <w:br/>
                  </w:r>
                  <w:r>
                    <w:rPr>
                      <w:rFonts w:ascii="仿宋_GB2312" w:hAnsi="仿宋_GB2312" w:cs="仿宋_GB2312" w:eastAsia="仿宋_GB2312"/>
                      <w:sz w:val="22"/>
                      <w:color w:val="000000"/>
                    </w:rPr>
                    <w:t xml:space="preserve"> 19、要求UPS的充电方式为：两段式充电方法，兼顾快速充电与延长电池使用寿命的目标。</w:t>
                  </w:r>
                  <w:r>
                    <w:br/>
                  </w:r>
                  <w:r>
                    <w:rPr>
                      <w:rFonts w:ascii="仿宋_GB2312" w:hAnsi="仿宋_GB2312" w:cs="仿宋_GB2312" w:eastAsia="仿宋_GB2312"/>
                      <w:sz w:val="22"/>
                      <w:color w:val="000000"/>
                    </w:rPr>
                    <w:t xml:space="preserve"> 20、UPS具有电池耗尽自动关机功能，并且在市电恢复后，UPS能够自动开机（自启动）。</w:t>
                  </w:r>
                  <w:r>
                    <w:br/>
                  </w:r>
                  <w:r>
                    <w:rPr>
                      <w:rFonts w:ascii="仿宋_GB2312" w:hAnsi="仿宋_GB2312" w:cs="仿宋_GB2312" w:eastAsia="仿宋_GB2312"/>
                      <w:sz w:val="22"/>
                      <w:color w:val="000000"/>
                    </w:rPr>
                    <w:t xml:space="preserve"> 21、考虑到UPS设备的安全性、以及对短路保护的需要，要求UPS具备输出短路保护功能；</w:t>
                  </w:r>
                  <w:r>
                    <w:br/>
                  </w:r>
                  <w:r>
                    <w:rPr>
                      <w:rFonts w:ascii="仿宋_GB2312" w:hAnsi="仿宋_GB2312" w:cs="仿宋_GB2312" w:eastAsia="仿宋_GB2312"/>
                      <w:sz w:val="22"/>
                      <w:color w:val="000000"/>
                    </w:rPr>
                    <w:t xml:space="preserve"> 22、UPS需具备电池检控管理功能，可以通过LED显示面版查看蓄电池的剩余电量（百分率） 等信息；可以更加直观和精确的掌握蓄电池的延时时间及剩余时间。</w:t>
                  </w:r>
                  <w:r>
                    <w:br/>
                  </w:r>
                  <w:r>
                    <w:rPr>
                      <w:rFonts w:ascii="仿宋_GB2312" w:hAnsi="仿宋_GB2312" w:cs="仿宋_GB2312" w:eastAsia="仿宋_GB2312"/>
                      <w:sz w:val="22"/>
                      <w:color w:val="000000"/>
                    </w:rPr>
                    <w:t xml:space="preserve"> 23、UPS需采用先进的逆变技术，高效节能，具有先进的逆变电路及电源系统，采用UPS直接将输入交流对外输出,利用母线输出能量对输入电压进行互补输出稳定的交流电压,使得部分交流经过双转换,降低了能量损失﹑提高了转换效率,整流部分不需要全功运转</w:t>
                  </w:r>
                  <w:r>
                    <w:br/>
                  </w:r>
                  <w:r>
                    <w:rPr>
                      <w:rFonts w:ascii="仿宋_GB2312" w:hAnsi="仿宋_GB2312" w:cs="仿宋_GB2312" w:eastAsia="仿宋_GB2312"/>
                      <w:sz w:val="22"/>
                      <w:color w:val="000000"/>
                    </w:rPr>
                    <w:t xml:space="preserve"> 24、UPS主机需标配智能卡槽，应具备优异的智能扩展功能, 所具备的智能插槽能实现连接和安装：NMC网卡（远程监控及管理）、CMC卡、USB卡、AS400卡</w:t>
                  </w:r>
                </w:p>
                <w:p>
                  <w:pPr>
                    <w:pStyle w:val="null3"/>
                    <w:jc w:val="left"/>
                  </w:pPr>
                  <w:r>
                    <w:rPr>
                      <w:rFonts w:ascii="仿宋_GB2312" w:hAnsi="仿宋_GB2312" w:cs="仿宋_GB2312" w:eastAsia="仿宋_GB2312"/>
                    </w:rPr>
                    <w:t xml:space="preserve"> </w:t>
                  </w:r>
                </w:p>
              </w:tc>
              <w:tc>
                <w:tcPr>
                  <w:tcW w:type="dxa" w:w="4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50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left"/>
            </w:pPr>
            <w:r>
              <w:rPr>
                <w:rFonts w:ascii="仿宋_GB2312" w:hAnsi="仿宋_GB2312" w:cs="仿宋_GB2312" w:eastAsia="仿宋_GB2312"/>
                <w:sz w:val="21"/>
              </w:rPr>
              <w:t>1</w:t>
            </w:r>
            <w:r>
              <w:rPr>
                <w:rFonts w:ascii="仿宋_GB2312" w:hAnsi="仿宋_GB2312" w:cs="仿宋_GB2312" w:eastAsia="仿宋_GB2312"/>
                <w:sz w:val="21"/>
              </w:rPr>
              <w:t>.质量要求：投标人为采购人提供的产品必须是正规厂家生产，投标人必须保证提供的货物（包括零部件）是全新的、未使用过的，具有稳定性、可靠性、安全性，并完全符合国家、行业规定的质量、规格和性能要求等技术标准。如在产品验收的过程，或使用过程中，发现产品质量问题，中标人应负责更换至合格的产品并承担一切相关费用，以及由此产生的违约责任。</w:t>
            </w:r>
          </w:p>
          <w:p>
            <w:pPr>
              <w:pStyle w:val="null3"/>
              <w:ind w:firstLine="482"/>
              <w:jc w:val="left"/>
            </w:pPr>
            <w:r>
              <w:rPr>
                <w:rFonts w:ascii="仿宋_GB2312" w:hAnsi="仿宋_GB2312" w:cs="仿宋_GB2312" w:eastAsia="仿宋_GB2312"/>
                <w:sz w:val="21"/>
              </w:rPr>
              <w:t>2.技术参数中所有涉及的国家法规、标准、规定等描述与国家最新要求不一致时以国家最新要求为准，若出现国家相关标准已废止的以国家最新现行要求为准，若履约过程中出现国家最新要求时以国家最新现行要求为准。</w:t>
            </w:r>
          </w:p>
          <w:p>
            <w:pPr>
              <w:pStyle w:val="null3"/>
              <w:ind w:firstLine="482"/>
              <w:jc w:val="left"/>
            </w:pPr>
            <w:r>
              <w:rPr>
                <w:rFonts w:ascii="仿宋_GB2312" w:hAnsi="仿宋_GB2312" w:cs="仿宋_GB2312" w:eastAsia="仿宋_GB2312"/>
                <w:sz w:val="21"/>
              </w:rPr>
              <w:t>3.其他服务要求：供应商为本项目提供的所有产品、辅材中属于《国家强制性产品认证目录》范围内产品的，均应通过国家强制性产品认证并取得认证证书或经过强制性认证产品符合性自我声明。供应商为本项目提供的所有产品、辅材应符合现行的强制性国家相关标准、行业标准。</w:t>
            </w:r>
          </w:p>
        </w:tc>
      </w:tr>
    </w:tbl>
    <w:p>
      <w:pPr>
        <w:pStyle w:val="null3"/>
        <w:jc w:val="left"/>
      </w:pPr>
      <w:r>
        <w:rPr>
          <w:rFonts w:ascii="仿宋_GB2312" w:hAnsi="仿宋_GB2312" w:cs="仿宋_GB2312" w:eastAsia="仿宋_GB2312"/>
        </w:rPr>
        <w:t>标的名称：数据库及数据库主备集群软件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w:t>
            </w:r>
          </w:p>
        </w:tc>
        <w:tc>
          <w:tcPr>
            <w:tcW w:type="dxa" w:w="5814"/>
          </w:tcPr>
          <w:tbl>
            <w:tblPr>
              <w:tblBorders>
                <w:top w:val="single"/>
                <w:left w:val="single"/>
                <w:bottom w:val="single"/>
                <w:right w:val="single"/>
                <w:insideH w:val="single"/>
                <w:insideV w:val="single"/>
              </w:tblBorders>
            </w:tblPr>
            <w:tblGrid>
              <w:gridCol w:w="336"/>
              <w:gridCol w:w="941"/>
              <w:gridCol w:w="3393"/>
              <w:gridCol w:w="405"/>
              <w:gridCol w:w="508"/>
            </w:tblGrid>
            <w:tr>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94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项目名称</w:t>
                  </w:r>
                </w:p>
              </w:tc>
              <w:tc>
                <w:tcPr>
                  <w:tcW w:type="dxa" w:w="3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相关要求</w:t>
                  </w:r>
                </w:p>
              </w:tc>
              <w:tc>
                <w:tcPr>
                  <w:tcW w:type="dxa" w:w="40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50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33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数据库及数据库主备集群软件</w:t>
                  </w:r>
                </w:p>
              </w:tc>
              <w:tc>
                <w:tcPr>
                  <w:tcW w:type="dxa" w:w="339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1、单机单表支持不低于140TB数据的存储，支持万亿行记录数据的增、删、改、查操作。</w:t>
                  </w:r>
                  <w:r>
                    <w:br/>
                  </w:r>
                  <w:r>
                    <w:rPr>
                      <w:rFonts w:ascii="仿宋_GB2312" w:hAnsi="仿宋_GB2312" w:cs="仿宋_GB2312" w:eastAsia="仿宋_GB2312"/>
                      <w:sz w:val="21"/>
                      <w:color w:val="000000"/>
                    </w:rPr>
                    <w:t>2、支持中、英文分词全文检索，支持AND、OR、AND NOT等逻辑操作符；支持全文索引完全填充、增量填充、手动填充、自动填充。</w:t>
                  </w:r>
                  <w:r>
                    <w:br/>
                  </w:r>
                  <w:r>
                    <w:rPr>
                      <w:rFonts w:ascii="仿宋_GB2312" w:hAnsi="仿宋_GB2312" w:cs="仿宋_GB2312" w:eastAsia="仿宋_GB2312"/>
                      <w:sz w:val="21"/>
                      <w:color w:val="000000"/>
                    </w:rPr>
                    <w:t>3、支持创建事务级临时表，可在临时表上创建函数索引</w:t>
                  </w:r>
                  <w:r>
                    <w:rPr>
                      <w:rFonts w:ascii="仿宋_GB2312" w:hAnsi="仿宋_GB2312" w:cs="仿宋_GB2312" w:eastAsia="仿宋_GB2312"/>
                      <w:sz w:val="21"/>
                      <w:color w:val="000000"/>
                    </w:rPr>
                    <w:t>。</w:t>
                  </w:r>
                  <w:r>
                    <w:rPr>
                      <w:rFonts w:ascii="仿宋_GB2312" w:hAnsi="仿宋_GB2312" w:cs="仿宋_GB2312" w:eastAsia="仿宋_GB2312"/>
                      <w:sz w:val="21"/>
                      <w:b/>
                      <w:color w:val="000000"/>
                    </w:rPr>
                    <w:t>【供应商在投标时提供承诺函】</w:t>
                  </w:r>
                  <w:r>
                    <w:br/>
                  </w:r>
                  <w:r>
                    <w:rPr>
                      <w:rFonts w:ascii="仿宋_GB2312" w:hAnsi="仿宋_GB2312" w:cs="仿宋_GB2312" w:eastAsia="仿宋_GB2312"/>
                      <w:sz w:val="21"/>
                      <w:color w:val="000000"/>
                    </w:rPr>
                    <w:t>4、支持DBMS_PROFILER包，可用于分析PL/SQL代码的执行瓶颈与覆盖率，包内提供的方法包括START_PROFILER、PAUSE_PROFILER、RESUME_PROFILER、STOP_PROFILER、FLUSH_DATA等。</w:t>
                  </w:r>
                  <w:r>
                    <w:rPr>
                      <w:rFonts w:ascii="仿宋_GB2312" w:hAnsi="仿宋_GB2312" w:cs="仿宋_GB2312" w:eastAsia="仿宋_GB2312"/>
                      <w:sz w:val="21"/>
                      <w:b/>
                      <w:color w:val="000000"/>
                    </w:rPr>
                    <w:t>【供应商在投标时提供承诺函】</w:t>
                  </w:r>
                  <w:r>
                    <w:br/>
                  </w:r>
                  <w:r>
                    <w:rPr>
                      <w:rFonts w:ascii="仿宋_GB2312" w:hAnsi="仿宋_GB2312" w:cs="仿宋_GB2312" w:eastAsia="仿宋_GB2312"/>
                      <w:sz w:val="21"/>
                      <w:color w:val="000000"/>
                    </w:rPr>
                    <w:t>5、具备触发器重命名功能，可通过类似ALTER TRIGGER..RENAME TO的语法实现。</w:t>
                  </w:r>
                  <w:r>
                    <w:br/>
                  </w:r>
                  <w:r>
                    <w:rPr>
                      <w:rFonts w:ascii="仿宋_GB2312" w:hAnsi="仿宋_GB2312" w:cs="仿宋_GB2312" w:eastAsia="仿宋_GB2312"/>
                      <w:sz w:val="21"/>
                      <w:color w:val="000000"/>
                    </w:rPr>
                    <w:t>6、支持使用主MODEL（模型）、PARTITION（分区）、DIMENSION（维度）、MEASURES（度量）、RULES（规则）的MODEL基础语法能力，实现对查询结果集数据进行修改后返回。</w:t>
                  </w:r>
                  <w:r>
                    <w:rPr>
                      <w:rFonts w:ascii="仿宋_GB2312" w:hAnsi="仿宋_GB2312" w:cs="仿宋_GB2312" w:eastAsia="仿宋_GB2312"/>
                      <w:sz w:val="21"/>
                      <w:b/>
                      <w:color w:val="000000"/>
                    </w:rPr>
                    <w:t>【供应商在投标时提供承诺函】</w:t>
                  </w:r>
                  <w:r>
                    <w:br/>
                  </w:r>
                  <w:r>
                    <w:rPr>
                      <w:rFonts w:ascii="仿宋_GB2312" w:hAnsi="仿宋_GB2312" w:cs="仿宋_GB2312" w:eastAsia="仿宋_GB2312"/>
                      <w:sz w:val="21"/>
                      <w:color w:val="000000"/>
                    </w:rPr>
                    <w:t>7、兼容Oracle WITH AS查询，支持SEARCH DEPTH FIRST（深度优先策略）和SEARCH BREADTH FIRST（广度优先策略）语法。</w:t>
                  </w:r>
                  <w:r>
                    <w:br/>
                  </w:r>
                  <w:r>
                    <w:rPr>
                      <w:rFonts w:ascii="仿宋_GB2312" w:hAnsi="仿宋_GB2312" w:cs="仿宋_GB2312" w:eastAsia="仿宋_GB2312"/>
                      <w:sz w:val="21"/>
                      <w:color w:val="000000"/>
                    </w:rPr>
                    <w:t>8、兼容Oracle数据库管理和优化语法功能，包括支持SHOW PARAMETER命令（用于查看数据库参数配置）、支持MTTR功能（调整数据库故障恢复时间）。</w:t>
                  </w:r>
                  <w:r>
                    <w:rPr>
                      <w:rFonts w:ascii="仿宋_GB2312" w:hAnsi="仿宋_GB2312" w:cs="仿宋_GB2312" w:eastAsia="仿宋_GB2312"/>
                      <w:sz w:val="21"/>
                      <w:b/>
                      <w:color w:val="000000"/>
                    </w:rPr>
                    <w:t>【供应商在投标时提供承诺函】</w:t>
                  </w:r>
                  <w:r>
                    <w:br/>
                  </w:r>
                  <w:r>
                    <w:rPr>
                      <w:rFonts w:ascii="仿宋_GB2312" w:hAnsi="仿宋_GB2312" w:cs="仿宋_GB2312" w:eastAsia="仿宋_GB2312"/>
                      <w:sz w:val="21"/>
                      <w:color w:val="000000"/>
                    </w:rPr>
                    <w:t>9、支持集中式备份的远程物理备份和恢复功能，以及兼容Oracle中的image copy镜像备份功能。</w:t>
                  </w:r>
                  <w:r>
                    <w:br/>
                  </w:r>
                  <w:r>
                    <w:rPr>
                      <w:rFonts w:ascii="仿宋_GB2312" w:hAnsi="仿宋_GB2312" w:cs="仿宋_GB2312" w:eastAsia="仿宋_GB2312"/>
                      <w:sz w:val="21"/>
                      <w:color w:val="000000"/>
                    </w:rPr>
                    <w:t>10、兼容Oracle的浮点数数据类型，包括BINARY_DOUBLE、BINARY_FLOAT类型，及直接量BINARY_DOUBLE_INFINITY、BINARY_FLOAT_INFINITY、BINARY_DOUBLE_NAN、BINARY_FLOAT_NAN，和这4个直接量之间的比较、四则运算、类型转换。</w:t>
                  </w:r>
                  <w:r>
                    <w:rPr>
                      <w:rFonts w:ascii="仿宋_GB2312" w:hAnsi="仿宋_GB2312" w:cs="仿宋_GB2312" w:eastAsia="仿宋_GB2312"/>
                      <w:sz w:val="21"/>
                      <w:b/>
                      <w:color w:val="000000"/>
                    </w:rPr>
                    <w:t>【供应商在投标时提供承诺函】</w:t>
                  </w:r>
                  <w:r>
                    <w:br/>
                  </w:r>
                  <w:r>
                    <w:rPr>
                      <w:rFonts w:ascii="仿宋_GB2312" w:hAnsi="仿宋_GB2312" w:cs="仿宋_GB2312" w:eastAsia="仿宋_GB2312"/>
                      <w:sz w:val="21"/>
                      <w:color w:val="000000"/>
                    </w:rPr>
                    <w:t>11、支持全库加密，可以在数据库初始化时配置加密选项，类型包括：DES_ECB、DES_CBC等；支持多种身份鉴别，支持基于主机操作系统、口令等身份鉴别方式。</w:t>
                  </w:r>
                  <w:r>
                    <w:br/>
                  </w:r>
                  <w:r>
                    <w:rPr>
                      <w:rFonts w:ascii="仿宋_GB2312" w:hAnsi="仿宋_GB2312" w:cs="仿宋_GB2312" w:eastAsia="仿宋_GB2312"/>
                      <w:sz w:val="21"/>
                      <w:color w:val="000000"/>
                    </w:rPr>
                    <w:t>12、支持双密码认证机制，可为同一用户配置主密码和辅助密码，任一密码均可用于登录认证。</w:t>
                  </w:r>
                  <w:r>
                    <w:rPr>
                      <w:rFonts w:ascii="仿宋_GB2312" w:hAnsi="仿宋_GB2312" w:cs="仿宋_GB2312" w:eastAsia="仿宋_GB2312"/>
                      <w:sz w:val="21"/>
                      <w:b/>
                      <w:color w:val="000000"/>
                    </w:rPr>
                    <w:t>【供应商在投标时提供承诺函】</w:t>
                  </w:r>
                  <w:r>
                    <w:br/>
                  </w:r>
                  <w:r>
                    <w:rPr>
                      <w:rFonts w:ascii="仿宋_GB2312" w:hAnsi="仿宋_GB2312" w:cs="仿宋_GB2312" w:eastAsia="仿宋_GB2312"/>
                      <w:sz w:val="21"/>
                      <w:color w:val="000000"/>
                    </w:rPr>
                    <w:t>13、支持通过系统视图判断归档连续性，提供线程绑核功能以集中CPU主要压力，并支持通过多实例监视器查看集群监控信息。</w:t>
                  </w:r>
                  <w:r>
                    <w:br/>
                  </w:r>
                  <w:r>
                    <w:rPr>
                      <w:rFonts w:ascii="仿宋_GB2312" w:hAnsi="仿宋_GB2312" w:cs="仿宋_GB2312" w:eastAsia="仿宋_GB2312"/>
                      <w:sz w:val="21"/>
                      <w:color w:val="000000"/>
                    </w:rPr>
                    <w:t>14、提供一种集成化的高可用、高性能数据库主备集群解决方案，可作为数据库本地部署及异地容灾场景下的优选方案。在硬件故障、地震、火灾等极端情况下，能够快速恢复数据库服务，实现零数据丢失与秒级切换，满足用户对数据库服务持续可用的要求。用户还可根据实际硬件条件与系统需求，灵活选用多种数据同步方式。</w:t>
                  </w:r>
                  <w:r>
                    <w:br/>
                  </w:r>
                  <w:r>
                    <w:rPr>
                      <w:rFonts w:ascii="仿宋_GB2312" w:hAnsi="仿宋_GB2312" w:cs="仿宋_GB2312" w:eastAsia="仿宋_GB2312"/>
                      <w:sz w:val="21"/>
                      <w:color w:val="000000"/>
                    </w:rPr>
                    <w:t>15、提供完整功能的主库服务和真正意义上的热备库，在实现异地容灾的同时，用户可以只读访问备库，执行报表生成、数据备份等功能，减轻主库的系统负载，提高资源利用率。</w:t>
                  </w:r>
                  <w:r>
                    <w:br/>
                  </w:r>
                  <w:r>
                    <w:rPr>
                      <w:rFonts w:ascii="仿宋_GB2312" w:hAnsi="仿宋_GB2312" w:cs="仿宋_GB2312" w:eastAsia="仿宋_GB2312"/>
                      <w:sz w:val="21"/>
                      <w:color w:val="000000"/>
                    </w:rPr>
                    <w:t>16、支持通过配置和使用连接服务名访问数据库，接口可在主备库切换后自动迁移到新主库；主库故障时，会自动进行主备库切换；故障备库恢复后，能自动同步历史数据，无需用户干预，并在同步完成后自动恢复为可切换备库。</w:t>
                  </w:r>
                  <w:r>
                    <w:rPr>
                      <w:rFonts w:ascii="仿宋_GB2312" w:hAnsi="仿宋_GB2312" w:cs="仿宋_GB2312" w:eastAsia="仿宋_GB2312"/>
                      <w:sz w:val="21"/>
                      <w:b/>
                      <w:color w:val="000000"/>
                    </w:rPr>
                    <w:t>【供应商在投标时提供承诺函】</w:t>
                  </w:r>
                  <w:r>
                    <w:br/>
                  </w:r>
                  <w:r>
                    <w:rPr>
                      <w:rFonts w:ascii="仿宋_GB2312" w:hAnsi="仿宋_GB2312" w:cs="仿宋_GB2312" w:eastAsia="仿宋_GB2312"/>
                      <w:sz w:val="21"/>
                      <w:color w:val="000000"/>
                    </w:rPr>
                    <w:t>17、投标产品需满足《数据库政府采购需求标准(2023年版)》中的《集中式数据库政府采购需求标准》，</w:t>
                  </w:r>
                  <w:r>
                    <w:rPr>
                      <w:rFonts w:ascii="仿宋_GB2312" w:hAnsi="仿宋_GB2312" w:cs="仿宋_GB2312" w:eastAsia="仿宋_GB2312"/>
                      <w:sz w:val="21"/>
                      <w:b/>
                      <w:color w:val="000000"/>
                    </w:rPr>
                    <w:t>【供应商在投标时提供承诺函】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c>
                <w:tcPr>
                  <w:tcW w:type="dxa" w:w="4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50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left"/>
            </w:pPr>
            <w:r>
              <w:rPr>
                <w:rFonts w:ascii="仿宋_GB2312" w:hAnsi="仿宋_GB2312" w:cs="仿宋_GB2312" w:eastAsia="仿宋_GB2312"/>
                <w:sz w:val="21"/>
              </w:rPr>
              <w:t>1.质量要求：投标人为采购人提供的产品必须是正规厂家生产，投标人必须保证提供的货物（包括零部件）是全新的、未使用过的，具有稳定性、可靠性、安全性，并完全符合国家、行业规定的质量、规格和性能要求等技术标准。如在产品验收的过程，或使用过程中，发现产品质量问题，中标人应负责更换至合格的产品并承担一切相关费用，以及由此产生的违约责任。</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技术参数中所有涉及的国家法规、标准、规定等描述与国家最新要求不一致时以国家最新要求为准，若出现国家相关标准已废止的以国家最新现行要求为准，若履约过程中出现国家最新要求时以国家最新现行要求为准。</w:t>
            </w:r>
          </w:p>
          <w:p>
            <w:pPr>
              <w:pStyle w:val="null3"/>
              <w:ind w:firstLine="482"/>
              <w:jc w:val="left"/>
            </w:pPr>
            <w:r>
              <w:rPr>
                <w:rFonts w:ascii="仿宋_GB2312" w:hAnsi="仿宋_GB2312" w:cs="仿宋_GB2312" w:eastAsia="仿宋_GB2312"/>
                <w:sz w:val="21"/>
              </w:rPr>
              <w:t>3.其他服务要求：供应商为本项目提供的所有产品、辅材中属于《国家强制性产品认证目录》范围内产品的，均应通过国家强制性产品认证并取得认证证书或经过强制性认证产品符合性自我声明。供应商为本项目提供的所有产品、辅材应符合现行的强制性国家相关标准、行业标准。</w:t>
            </w:r>
          </w:p>
        </w:tc>
      </w:tr>
    </w:tbl>
    <w:p>
      <w:pPr>
        <w:pStyle w:val="null3"/>
        <w:jc w:val="left"/>
      </w:pPr>
      <w:r>
        <w:rPr>
          <w:rFonts w:ascii="仿宋_GB2312" w:hAnsi="仿宋_GB2312" w:cs="仿宋_GB2312" w:eastAsia="仿宋_GB2312"/>
        </w:rPr>
        <w:t>标的名称：渲染服务器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w:t>
            </w:r>
          </w:p>
        </w:tc>
        <w:tc>
          <w:tcPr>
            <w:tcW w:type="dxa" w:w="5814"/>
          </w:tcPr>
          <w:tbl>
            <w:tblPr>
              <w:tblBorders>
                <w:top w:val="single"/>
                <w:left w:val="single"/>
                <w:bottom w:val="single"/>
                <w:right w:val="single"/>
                <w:insideH w:val="single"/>
                <w:insideV w:val="single"/>
              </w:tblBorders>
            </w:tblPr>
            <w:tblGrid>
              <w:gridCol w:w="336"/>
              <w:gridCol w:w="941"/>
              <w:gridCol w:w="3393"/>
              <w:gridCol w:w="405"/>
              <w:gridCol w:w="508"/>
            </w:tblGrid>
            <w:tr>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94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项目名称</w:t>
                  </w:r>
                </w:p>
              </w:tc>
              <w:tc>
                <w:tcPr>
                  <w:tcW w:type="dxa" w:w="3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相关要求</w:t>
                  </w:r>
                </w:p>
              </w:tc>
              <w:tc>
                <w:tcPr>
                  <w:tcW w:type="dxa" w:w="40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50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33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渲染服务器</w:t>
                  </w:r>
                </w:p>
              </w:tc>
              <w:tc>
                <w:tcPr>
                  <w:tcW w:type="dxa" w:w="339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1、所投CPU应当符合安全可靠测评要求，要求安全可靠等级≥Ⅰ级，</w:t>
                  </w:r>
                  <w:r>
                    <w:rPr>
                      <w:rFonts w:ascii="仿宋_GB2312" w:hAnsi="仿宋_GB2312" w:cs="仿宋_GB2312" w:eastAsia="仿宋_GB2312"/>
                      <w:sz w:val="21"/>
                      <w:b/>
                      <w:color w:val="000000"/>
                    </w:rPr>
                    <w:t>【供应商在投标时提供承诺函】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2、所投产品需为标准机架式服务器，高度≥4U，风冷散热；配置冗余风扇模块；配置安装组件、导轨</w:t>
                  </w:r>
                  <w:r>
                    <w:br/>
                  </w:r>
                  <w:r>
                    <w:rPr>
                      <w:rFonts w:ascii="仿宋_GB2312" w:hAnsi="仿宋_GB2312" w:cs="仿宋_GB2312" w:eastAsia="仿宋_GB2312"/>
                      <w:sz w:val="21"/>
                      <w:color w:val="000000"/>
                    </w:rPr>
                    <w:t>3、CPU规格：实配≥2颗处理器，单颗CPU物理核心数≥32核，主频≥2.2GHz，末级缓存≥64MB，线程数≥64线程；</w:t>
                  </w:r>
                  <w:r>
                    <w:br/>
                  </w:r>
                  <w:r>
                    <w:rPr>
                      <w:rFonts w:ascii="仿宋_GB2312" w:hAnsi="仿宋_GB2312" w:cs="仿宋_GB2312" w:eastAsia="仿宋_GB2312"/>
                      <w:sz w:val="21"/>
                      <w:color w:val="000000"/>
                    </w:rPr>
                    <w:t>4、内存规格：配置≥2根DDR4内存，要求单根内存容量≥32G，整机最大支持≥32根内存插槽；</w:t>
                  </w:r>
                  <w:r>
                    <w:br/>
                  </w:r>
                  <w:r>
                    <w:rPr>
                      <w:rFonts w:ascii="仿宋_GB2312" w:hAnsi="仿宋_GB2312" w:cs="仿宋_GB2312" w:eastAsia="仿宋_GB2312"/>
                      <w:sz w:val="21"/>
                      <w:color w:val="000000"/>
                    </w:rPr>
                    <w:t>5、存储规格：配置≥2块480G SATA SSD，配置≥2块1.92T SATA SSD；</w:t>
                  </w:r>
                  <w:r>
                    <w:br/>
                  </w:r>
                  <w:r>
                    <w:rPr>
                      <w:rFonts w:ascii="仿宋_GB2312" w:hAnsi="仿宋_GB2312" w:cs="仿宋_GB2312" w:eastAsia="仿宋_GB2312"/>
                      <w:sz w:val="21"/>
                      <w:color w:val="000000"/>
                    </w:rPr>
                    <w:t>6、RAID卡规格：实配≥2GB 缓存RAID卡，要求RAID卡支持的接口数量≥8，支持RAID 0/1/10/5/50/6/60；</w:t>
                  </w:r>
                  <w:r>
                    <w:br/>
                  </w:r>
                  <w:r>
                    <w:rPr>
                      <w:rFonts w:ascii="仿宋_GB2312" w:hAnsi="仿宋_GB2312" w:cs="仿宋_GB2312" w:eastAsia="仿宋_GB2312"/>
                      <w:sz w:val="21"/>
                      <w:color w:val="000000"/>
                    </w:rPr>
                    <w:t>7、网络规格：实配≥1张双口万兆网卡（含万兆多模光模块），≥2个16G FC口（含多模16G FC光模块），≥1张四口千兆网卡；</w:t>
                  </w:r>
                  <w:r>
                    <w:br/>
                  </w:r>
                  <w:r>
                    <w:rPr>
                      <w:rFonts w:ascii="仿宋_GB2312" w:hAnsi="仿宋_GB2312" w:cs="仿宋_GB2312" w:eastAsia="仿宋_GB2312"/>
                      <w:sz w:val="21"/>
                      <w:color w:val="000000"/>
                    </w:rPr>
                    <w:t>8、AI 计算单元规格：配置≥4张国产GPU渲染卡，单卡显存≥32GB，GPU核心频率≥1.9GHz，FP32≥15.5 TFlops；</w:t>
                  </w:r>
                  <w:r>
                    <w:br/>
                  </w:r>
                  <w:r>
                    <w:rPr>
                      <w:rFonts w:ascii="仿宋_GB2312" w:hAnsi="仿宋_GB2312" w:cs="仿宋_GB2312" w:eastAsia="仿宋_GB2312"/>
                      <w:sz w:val="21"/>
                      <w:color w:val="000000"/>
                    </w:rPr>
                    <w:t>9、主板规格：支持≥5个PCIe4.0标准接口，支持≥4个USB 2.0接口，支持≥1张OCP 3.0网卡，支持≥1种显示接口如VGA、DP、HDMI 等；</w:t>
                  </w:r>
                  <w:r>
                    <w:br/>
                  </w:r>
                  <w:r>
                    <w:rPr>
                      <w:rFonts w:ascii="仿宋_GB2312" w:hAnsi="仿宋_GB2312" w:cs="仿宋_GB2312" w:eastAsia="仿宋_GB2312"/>
                      <w:sz w:val="21"/>
                      <w:color w:val="000000"/>
                    </w:rPr>
                    <w:t>10、电源规格：配置≥4个电源模块，整机电源模块支持N+N冗余，支持热插拔及过流、短路保护的功能；</w:t>
                  </w:r>
                  <w:r>
                    <w:br/>
                  </w:r>
                  <w:r>
                    <w:rPr>
                      <w:rFonts w:ascii="仿宋_GB2312" w:hAnsi="仿宋_GB2312" w:cs="仿宋_GB2312" w:eastAsia="仿宋_GB2312"/>
                      <w:sz w:val="21"/>
                      <w:color w:val="000000"/>
                    </w:rPr>
                    <w:t>11、管理系统功能：支持BMC、BIOS固件基础管理功能，支持服务器远程关机和重新启动功能，支持操作系统及驱动升级功能，支持中文信息处理功能，支持内存、硬盘等关键部件的故障检测功能；配置≥1个独立的远程管理控制端口，支持IPMI，虚拟KVM、虚拟媒体和远程控制等；</w:t>
                  </w:r>
                  <w:r>
                    <w:br/>
                  </w:r>
                  <w:r>
                    <w:rPr>
                      <w:rFonts w:ascii="仿宋_GB2312" w:hAnsi="仿宋_GB2312" w:cs="仿宋_GB2312" w:eastAsia="仿宋_GB2312"/>
                      <w:sz w:val="21"/>
                      <w:color w:val="000000"/>
                    </w:rPr>
                    <w:t>12、支持国产主流操作系统、支持主流虚拟化，包括但不限于云宏、H3C、深信服、华为、Ucloud、QingCloud等；</w:t>
                  </w:r>
                  <w:r>
                    <w:br/>
                  </w:r>
                  <w:r>
                    <w:rPr>
                      <w:rFonts w:ascii="仿宋_GB2312" w:hAnsi="仿宋_GB2312" w:cs="仿宋_GB2312" w:eastAsia="仿宋_GB2312"/>
                      <w:sz w:val="21"/>
                      <w:color w:val="000000"/>
                    </w:rPr>
                    <w:t>13、售后服务：提供3年原厂维保服务，</w:t>
                  </w:r>
                  <w:r>
                    <w:rPr>
                      <w:rFonts w:ascii="仿宋_GB2312" w:hAnsi="仿宋_GB2312" w:cs="仿宋_GB2312" w:eastAsia="仿宋_GB2312"/>
                      <w:sz w:val="21"/>
                      <w:b/>
                      <w:color w:val="000000"/>
                    </w:rPr>
                    <w:t>【供应商在投标时提供承诺函】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14、除上述参数外，投标产品还需符合财政部、工业和信息化部关于印发《通用服务器政府采购需求标准(2023年版)》通知中“通用服务器政府采购需求标准”其他带“*”指标的要求。关键部件安全要求-CPU和操作系统等关键部件应当符合安全可靠测评要求。</w:t>
                  </w:r>
                  <w:r>
                    <w:rPr>
                      <w:rFonts w:ascii="仿宋_GB2312" w:hAnsi="仿宋_GB2312" w:cs="仿宋_GB2312" w:eastAsia="仿宋_GB2312"/>
                      <w:sz w:val="21"/>
                      <w:b/>
                      <w:color w:val="000000"/>
                    </w:rPr>
                    <w:t>【供应商在投标时提供承诺函】</w:t>
                  </w:r>
                  <w:r>
                    <w:rPr>
                      <w:rFonts w:ascii="仿宋_GB2312" w:hAnsi="仿宋_GB2312" w:cs="仿宋_GB2312" w:eastAsia="仿宋_GB2312"/>
                      <w:sz w:val="21"/>
                      <w:color w:val="000000"/>
                    </w:rPr>
                    <w:t>。</w:t>
                  </w:r>
                </w:p>
              </w:tc>
              <w:tc>
                <w:tcPr>
                  <w:tcW w:type="dxa" w:w="4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50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left"/>
            </w:pPr>
            <w:r>
              <w:rPr>
                <w:rFonts w:ascii="仿宋_GB2312" w:hAnsi="仿宋_GB2312" w:cs="仿宋_GB2312" w:eastAsia="仿宋_GB2312"/>
                <w:sz w:val="21"/>
              </w:rPr>
              <w:t>1.质量要求：投标人为采购人提供的产品必须是正规厂家生产，投标人必须保证提供的货物（包括零部件）是全新的、未使用过的，具有稳定性、可靠性、安全性，并完全符合国家、行业规定的质量、规格和性能要求等技术标准。如在产品验收的过程，或使用过程中，发现产品质量问题，中标人应负责更换至合格的产品并承担一切相关费用，以及由此产生的违约责任。</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技术参数中所有涉及的国家法规、标准、规定等描述与国家最新要求不一致时以国家最新要求为准，若出现国家相关标准已废止的以国家最新现行要求为准，若履约过程中出现国家最新要求时以国家最新现行要求为准。</w:t>
            </w:r>
          </w:p>
          <w:p>
            <w:pPr>
              <w:pStyle w:val="null3"/>
              <w:ind w:firstLine="482"/>
              <w:jc w:val="left"/>
            </w:pPr>
            <w:r>
              <w:rPr>
                <w:rFonts w:ascii="仿宋_GB2312" w:hAnsi="仿宋_GB2312" w:cs="仿宋_GB2312" w:eastAsia="仿宋_GB2312"/>
                <w:sz w:val="21"/>
              </w:rPr>
              <w:t>3.其他服务要求：供应商为本项目提供的所有产品、辅材中属于《国家强制性产品认证目录》范围内产品的，均应通过国家强制性产品认证并取得认证证书或经过强制性认证产品符合性自我声明。供应商为本项目提供的所有产品、辅材应符合现行的强制性国家相关标准、行业标准。</w:t>
            </w:r>
          </w:p>
        </w:tc>
      </w:tr>
    </w:tbl>
    <w:p>
      <w:pPr>
        <w:pStyle w:val="null3"/>
        <w:jc w:val="left"/>
      </w:pPr>
      <w:r>
        <w:rPr>
          <w:rFonts w:ascii="仿宋_GB2312" w:hAnsi="仿宋_GB2312" w:cs="仿宋_GB2312" w:eastAsia="仿宋_GB2312"/>
        </w:rPr>
        <w:t>标的名称：本地机房UPS主机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w:t>
            </w:r>
          </w:p>
        </w:tc>
        <w:tc>
          <w:tcPr>
            <w:tcW w:type="dxa" w:w="5814"/>
          </w:tcPr>
          <w:p>
            <w:pPr>
              <w:pStyle w:val="null3"/>
              <w:jc w:val="left"/>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336"/>
              <w:gridCol w:w="941"/>
              <w:gridCol w:w="3393"/>
              <w:gridCol w:w="405"/>
              <w:gridCol w:w="508"/>
            </w:tblGrid>
            <w:tr>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94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项目名称</w:t>
                  </w:r>
                </w:p>
              </w:tc>
              <w:tc>
                <w:tcPr>
                  <w:tcW w:type="dxa" w:w="3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相关要求</w:t>
                  </w:r>
                </w:p>
              </w:tc>
              <w:tc>
                <w:tcPr>
                  <w:tcW w:type="dxa" w:w="40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50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33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本地机房UPS主机</w:t>
                  </w:r>
                </w:p>
              </w:tc>
              <w:tc>
                <w:tcPr>
                  <w:tcW w:type="dxa" w:w="339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1、采用在线式双变换高频型UPS，三进三出，容量不低于100kVA/100kW。额定输出功率因数为1，</w:t>
                  </w:r>
                  <w:r>
                    <w:rPr>
                      <w:rFonts w:ascii="仿宋_GB2312" w:hAnsi="仿宋_GB2312" w:cs="仿宋_GB2312" w:eastAsia="仿宋_GB2312"/>
                      <w:sz w:val="21"/>
                      <w:b/>
                      <w:color w:val="000000"/>
                    </w:rPr>
                    <w:t>【供应商投标时提供国家认可的第三方检测机构出具的检测报告】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2、UPS主机需采用先进的DSP数字控制技术，可在较为恶劣的用电环境下能够确保持续稳定的运行。</w:t>
                  </w:r>
                  <w:r>
                    <w:br/>
                  </w:r>
                  <w:r>
                    <w:rPr>
                      <w:rFonts w:ascii="仿宋_GB2312" w:hAnsi="仿宋_GB2312" w:cs="仿宋_GB2312" w:eastAsia="仿宋_GB2312"/>
                      <w:sz w:val="21"/>
                      <w:color w:val="000000"/>
                    </w:rPr>
                    <w:t>3、输出为额定阻性负载时，输入电压范围应不小于：304~456VAC。</w:t>
                  </w:r>
                  <w:r>
                    <w:br/>
                  </w:r>
                  <w:r>
                    <w:rPr>
                      <w:rFonts w:ascii="仿宋_GB2312" w:hAnsi="仿宋_GB2312" w:cs="仿宋_GB2312" w:eastAsia="仿宋_GB2312"/>
                      <w:sz w:val="21"/>
                      <w:color w:val="000000"/>
                    </w:rPr>
                    <w:t>4.输入功率因数＞0.99（100%非线性负载），输入功率因数＞0.985（50%非线性负载），输入功率因数＞0.973（30%非线性负载），</w:t>
                  </w:r>
                  <w:r>
                    <w:rPr>
                      <w:rFonts w:ascii="仿宋_GB2312" w:hAnsi="仿宋_GB2312" w:cs="仿宋_GB2312" w:eastAsia="仿宋_GB2312"/>
                      <w:sz w:val="21"/>
                      <w:b/>
                      <w:color w:val="000000"/>
                    </w:rPr>
                    <w:t>【供应商投标时提供国家认可的第三方检测机构出具的检测报告】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5.输入电流总谐波成份：100％额定非线性负载≤5.3%，50％额定非线性负载≤8.8%，30％额定非线性负载≤15.7%，</w:t>
                  </w:r>
                  <w:r>
                    <w:rPr>
                      <w:rFonts w:ascii="仿宋_GB2312" w:hAnsi="仿宋_GB2312" w:cs="仿宋_GB2312" w:eastAsia="仿宋_GB2312"/>
                      <w:sz w:val="21"/>
                      <w:b/>
                      <w:color w:val="000000"/>
                    </w:rPr>
                    <w:t>【供应商投标时提供国家认可的第三方检测机构出具的检测报告】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6.输出为空载和额定阻性负载，调节输入电压为UPS上、下限值时，其稳压精度绝对值应≤0.36%，</w:t>
                  </w:r>
                  <w:r>
                    <w:rPr>
                      <w:rFonts w:ascii="仿宋_GB2312" w:hAnsi="仿宋_GB2312" w:cs="仿宋_GB2312" w:eastAsia="仿宋_GB2312"/>
                      <w:sz w:val="21"/>
                      <w:b/>
                      <w:color w:val="000000"/>
                    </w:rPr>
                    <w:t>【供应商投标时提供国家认可的第三方检测机构出具的检测报告】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7.输出波形失真度：市电阻性负载：≤0.7%；市电非线性负载：≤2.4%，</w:t>
                  </w:r>
                  <w:r>
                    <w:rPr>
                      <w:rFonts w:ascii="仿宋_GB2312" w:hAnsi="仿宋_GB2312" w:cs="仿宋_GB2312" w:eastAsia="仿宋_GB2312"/>
                      <w:sz w:val="21"/>
                      <w:b/>
                      <w:color w:val="000000"/>
                    </w:rPr>
                    <w:t>【供应商投标时提供国家认可的第三方检测机构出具的检测报告】</w:t>
                  </w:r>
                  <w:r>
                    <w:rPr>
                      <w:rFonts w:ascii="仿宋_GB2312" w:hAnsi="仿宋_GB2312" w:cs="仿宋_GB2312" w:eastAsia="仿宋_GB2312"/>
                      <w:sz w:val="21"/>
                      <w:b/>
                      <w:color w:val="000000"/>
                    </w:rPr>
                    <w:t>。</w:t>
                  </w:r>
                  <w:r>
                    <w:br/>
                  </w:r>
                  <w:r>
                    <w:rPr>
                      <w:rFonts w:ascii="仿宋_GB2312" w:hAnsi="仿宋_GB2312" w:cs="仿宋_GB2312" w:eastAsia="仿宋_GB2312"/>
                      <w:sz w:val="21"/>
                      <w:color w:val="000000"/>
                    </w:rPr>
                    <w:t>8.系统效率：100%阻性负载时≥94.3%，50%阻性负载时≥94.7%，30%阻性负载时≥94.6%，</w:t>
                  </w:r>
                  <w:r>
                    <w:rPr>
                      <w:rFonts w:ascii="仿宋_GB2312" w:hAnsi="仿宋_GB2312" w:cs="仿宋_GB2312" w:eastAsia="仿宋_GB2312"/>
                      <w:sz w:val="21"/>
                      <w:b/>
                      <w:color w:val="000000"/>
                    </w:rPr>
                    <w:t>【供应商投标时提供国家认可的第三方检测机构出具的检测报告】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9、外接电池组电压可调：若未来遭遇个别电池故障，需要维护、更换时，可现场灵活调节电池组的只数；在配置12V电池的情况下，可根据现场电池节数从32-40节调整（偶数可调），无须整组更换。</w:t>
                  </w:r>
                  <w:r>
                    <w:br/>
                  </w:r>
                  <w:r>
                    <w:rPr>
                      <w:rFonts w:ascii="仿宋_GB2312" w:hAnsi="仿宋_GB2312" w:cs="仿宋_GB2312" w:eastAsia="仿宋_GB2312"/>
                      <w:sz w:val="21"/>
                      <w:color w:val="000000"/>
                    </w:rPr>
                    <w:t>10、UPS主机需具备先进的智能化充电管理系统，充电方式可通过CPU进行智能控制，主机充电器能够依据不同环境条件进行修正充电参数。应具备并机功能，支持不少于4台并机运行。</w:t>
                  </w:r>
                  <w:r>
                    <w:br/>
                  </w:r>
                  <w:r>
                    <w:rPr>
                      <w:rFonts w:ascii="仿宋_GB2312" w:hAnsi="仿宋_GB2312" w:cs="仿宋_GB2312" w:eastAsia="仿宋_GB2312"/>
                      <w:sz w:val="21"/>
                      <w:color w:val="000000"/>
                    </w:rPr>
                    <w:t>11、UPS主机人机界面应配置LCD显示屏，同时应配置LED故障、状态显示灯，方便现场运维。UPS主机具备各种保护与报警功能，包括：输出短路保护、输出过载保护、电池电压低保护、输出过欠压保护、风扇故障告警等。</w:t>
                  </w:r>
                  <w:r>
                    <w:br/>
                  </w:r>
                  <w:r>
                    <w:rPr>
                      <w:rFonts w:ascii="仿宋_GB2312" w:hAnsi="仿宋_GB2312" w:cs="仿宋_GB2312" w:eastAsia="仿宋_GB2312"/>
                      <w:sz w:val="21"/>
                      <w:color w:val="000000"/>
                    </w:rPr>
                    <w:t>12、UPS主机须标配RS232端口，可选配SNMP卡</w:t>
                  </w:r>
                  <w:r>
                    <w:br/>
                  </w:r>
                  <w:r>
                    <w:rPr>
                      <w:rFonts w:ascii="仿宋_GB2312" w:hAnsi="仿宋_GB2312" w:cs="仿宋_GB2312" w:eastAsia="仿宋_GB2312"/>
                      <w:sz w:val="21"/>
                      <w:color w:val="000000"/>
                    </w:rPr>
                    <w:t>13、UPS主机满足YD/T1095-2018《通信用交流不间断电源（UPS）》标准要求。</w:t>
                  </w:r>
                </w:p>
              </w:tc>
              <w:tc>
                <w:tcPr>
                  <w:tcW w:type="dxa" w:w="4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50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left"/>
            </w:pPr>
            <w:r>
              <w:rPr>
                <w:rFonts w:ascii="仿宋_GB2312" w:hAnsi="仿宋_GB2312" w:cs="仿宋_GB2312" w:eastAsia="仿宋_GB2312"/>
                <w:sz w:val="21"/>
              </w:rPr>
              <w:t>1.质量要求：投标人为采购人提供的产品必须是正规厂家生产，投标人必须保证提供的货物（包括零部件）是全新的、未使用过的，具有稳定性、可靠性、安全性，并完全符合国家、行业规定的质量、规格和性能要求等技术标准。如在产品验收的过程，或使用过程中，发现产品质量问题，中标人应负责更换至合格的产品并承担一切相关费用，以及由此产生的违约责任。</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技术参数中所有涉及的国家法规、标准、规定等描述与国家最新要求不一致时以国家最新要求为准，若出现国家相关标准已废止的以国家最新现行要求为准，若履约过程中出现国家最新要求时以国家最新现行要求为准。</w:t>
            </w:r>
          </w:p>
          <w:p>
            <w:pPr>
              <w:pStyle w:val="null3"/>
              <w:ind w:firstLine="482"/>
              <w:jc w:val="left"/>
            </w:pPr>
            <w:r>
              <w:rPr>
                <w:rFonts w:ascii="仿宋_GB2312" w:hAnsi="仿宋_GB2312" w:cs="仿宋_GB2312" w:eastAsia="仿宋_GB2312"/>
                <w:sz w:val="21"/>
              </w:rPr>
              <w:t>3.其他服务要求：供应商为本项目提供的所有产品、辅材中属于《国家强制性产品认证目录》范围内产品的，均应通过国家强制性产品认证并取得认证证书或经过强制性认证产品符合性自我声明。供应商为本项目提供的所有产品、辅材应符合现行的强制性国家相关标准、行业标准。</w:t>
            </w:r>
          </w:p>
        </w:tc>
      </w:tr>
    </w:tbl>
    <w:p>
      <w:pPr>
        <w:pStyle w:val="null3"/>
        <w:jc w:val="left"/>
      </w:pPr>
      <w:r>
        <w:rPr>
          <w:rFonts w:ascii="仿宋_GB2312" w:hAnsi="仿宋_GB2312" w:cs="仿宋_GB2312" w:eastAsia="仿宋_GB2312"/>
        </w:rPr>
        <w:t>标的名称：数据库同步软件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w:t>
            </w:r>
          </w:p>
        </w:tc>
        <w:tc>
          <w:tcPr>
            <w:tcW w:type="dxa" w:w="5814"/>
          </w:tcPr>
          <w:tbl>
            <w:tblPr>
              <w:tblBorders>
                <w:top w:val="single"/>
                <w:left w:val="single"/>
                <w:bottom w:val="single"/>
                <w:right w:val="single"/>
                <w:insideH w:val="single"/>
                <w:insideV w:val="single"/>
              </w:tblBorders>
            </w:tblPr>
            <w:tblGrid>
              <w:gridCol w:w="1120"/>
              <w:gridCol w:w="1120"/>
              <w:gridCol w:w="1120"/>
              <w:gridCol w:w="1120"/>
              <w:gridCol w:w="1120"/>
            </w:tblGrid>
            <w:tr>
              <w:tc>
                <w:tcPr>
                  <w:tcW w:type="dxa" w:w="1120"/>
                </w:tcPr>
                <w:p>
                  <w:pPr>
                    <w:pStyle w:val="null3"/>
                    <w:jc w:val="left"/>
                  </w:pPr>
                  <w:r>
                    <w:rPr>
                      <w:rFonts w:ascii="仿宋_GB2312" w:hAnsi="仿宋_GB2312" w:cs="仿宋_GB2312" w:eastAsia="仿宋_GB2312"/>
                    </w:rPr>
                    <w:t>序号</w:t>
                  </w:r>
                </w:p>
              </w:tc>
              <w:tc>
                <w:tcPr>
                  <w:tcW w:type="dxa" w:w="1120"/>
                </w:tcPr>
                <w:p>
                  <w:pPr>
                    <w:pStyle w:val="null3"/>
                    <w:jc w:val="left"/>
                  </w:pPr>
                  <w:r>
                    <w:rPr>
                      <w:rFonts w:ascii="仿宋_GB2312" w:hAnsi="仿宋_GB2312" w:cs="仿宋_GB2312" w:eastAsia="仿宋_GB2312"/>
                      <w:sz w:val="15"/>
                      <w:b/>
                      <w:color w:val="000000"/>
                    </w:rPr>
                    <w:t>项目名称</w:t>
                  </w:r>
                </w:p>
              </w:tc>
              <w:tc>
                <w:tcPr>
                  <w:tcW w:type="dxa" w:w="1120"/>
                </w:tcPr>
                <w:p>
                  <w:pPr>
                    <w:pStyle w:val="null3"/>
                    <w:jc w:val="left"/>
                  </w:pPr>
                  <w:r>
                    <w:rPr>
                      <w:rFonts w:ascii="仿宋_GB2312" w:hAnsi="仿宋_GB2312" w:cs="仿宋_GB2312" w:eastAsia="仿宋_GB2312"/>
                      <w:sz w:val="15"/>
                      <w:b/>
                      <w:color w:val="000000"/>
                    </w:rPr>
                    <w:t>相关要求</w:t>
                  </w:r>
                </w:p>
              </w:tc>
              <w:tc>
                <w:tcPr>
                  <w:tcW w:type="dxa" w:w="1120"/>
                </w:tcPr>
                <w:p>
                  <w:pPr>
                    <w:pStyle w:val="null3"/>
                    <w:jc w:val="left"/>
                  </w:pPr>
                  <w:r>
                    <w:rPr>
                      <w:rFonts w:ascii="仿宋_GB2312" w:hAnsi="仿宋_GB2312" w:cs="仿宋_GB2312" w:eastAsia="仿宋_GB2312"/>
                      <w:sz w:val="15"/>
                      <w:b/>
                      <w:color w:val="000000"/>
                    </w:rPr>
                    <w:t>单位</w:t>
                  </w:r>
                </w:p>
              </w:tc>
              <w:tc>
                <w:tcPr>
                  <w:tcW w:type="dxa" w:w="1120"/>
                </w:tcPr>
                <w:p>
                  <w:pPr>
                    <w:pStyle w:val="null3"/>
                    <w:jc w:val="left"/>
                  </w:pPr>
                  <w:r>
                    <w:rPr>
                      <w:rFonts w:ascii="仿宋_GB2312" w:hAnsi="仿宋_GB2312" w:cs="仿宋_GB2312" w:eastAsia="仿宋_GB2312"/>
                    </w:rPr>
                    <w:t>数量</w:t>
                  </w:r>
                </w:p>
              </w:tc>
            </w:tr>
            <w:tr>
              <w:tc>
                <w:tcPr>
                  <w:tcW w:type="dxa" w:w="1120"/>
                </w:tcPr>
                <w:p>
                  <w:pPr>
                    <w:pStyle w:val="null3"/>
                    <w:jc w:val="left"/>
                  </w:pPr>
                  <w:r>
                    <w:rPr>
                      <w:rFonts w:ascii="仿宋_GB2312" w:hAnsi="仿宋_GB2312" w:cs="仿宋_GB2312" w:eastAsia="仿宋_GB2312"/>
                    </w:rPr>
                    <w:t>1</w:t>
                  </w:r>
                </w:p>
              </w:tc>
              <w:tc>
                <w:tcPr>
                  <w:tcW w:type="dxa" w:w="1120"/>
                </w:tcPr>
                <w:p>
                  <w:pPr>
                    <w:pStyle w:val="null3"/>
                    <w:jc w:val="left"/>
                  </w:pPr>
                  <w:r>
                    <w:rPr>
                      <w:rFonts w:ascii="仿宋_GB2312" w:hAnsi="仿宋_GB2312" w:cs="仿宋_GB2312" w:eastAsia="仿宋_GB2312"/>
                      <w:sz w:val="18"/>
                      <w:color w:val="000000"/>
                    </w:rPr>
                    <w:t>数据库同步软件</w:t>
                  </w:r>
                </w:p>
              </w:tc>
              <w:tc>
                <w:tcPr>
                  <w:tcW w:type="dxa" w:w="1120"/>
                </w:tcPr>
                <w:p>
                  <w:pPr>
                    <w:pStyle w:val="null3"/>
                    <w:jc w:val="left"/>
                  </w:pPr>
                  <w:r>
                    <w:rPr>
                      <w:rFonts w:ascii="仿宋_GB2312" w:hAnsi="仿宋_GB2312" w:cs="仿宋_GB2312" w:eastAsia="仿宋_GB2312"/>
                      <w:sz w:val="21"/>
                      <w:color w:val="000000"/>
                    </w:rPr>
                    <w:t>1、支持在源数据库提供在线服务的同时，实现对其全量数据或增量数据至目的数据库的同步功能。</w:t>
                  </w:r>
                  <w:r>
                    <w:br/>
                  </w:r>
                  <w:r>
                    <w:rPr>
                      <w:rFonts w:ascii="仿宋_GB2312" w:hAnsi="仿宋_GB2312" w:cs="仿宋_GB2312" w:eastAsia="仿宋_GB2312"/>
                      <w:sz w:val="21"/>
                      <w:color w:val="000000"/>
                    </w:rPr>
                    <w:t>2、支持通过日志解析实现数据同步，不依赖源数据库触发器规则。</w:t>
                  </w:r>
                  <w:r>
                    <w:br/>
                  </w:r>
                  <w:r>
                    <w:rPr>
                      <w:rFonts w:ascii="仿宋_GB2312" w:hAnsi="仿宋_GB2312" w:cs="仿宋_GB2312" w:eastAsia="仿宋_GB2312"/>
                      <w:sz w:val="21"/>
                      <w:color w:val="000000"/>
                    </w:rPr>
                    <w:t>3、支持通过配置压缩参数开启同步数据压缩，可以将源数据库的数据压缩后进行传输并同步至目的数据库</w:t>
                  </w:r>
                  <w:r>
                    <w:br/>
                  </w:r>
                  <w:r>
                    <w:rPr>
                      <w:rFonts w:ascii="仿宋_GB2312" w:hAnsi="仿宋_GB2312" w:cs="仿宋_GB2312" w:eastAsia="仿宋_GB2312"/>
                      <w:sz w:val="21"/>
                      <w:color w:val="000000"/>
                    </w:rPr>
                    <w:t>4、提供的流存储服务支持多数据源，能够将源端数据发送并存储于流存储模块中</w:t>
                  </w:r>
                  <w:r>
                    <w:br/>
                  </w:r>
                  <w:r>
                    <w:rPr>
                      <w:rFonts w:ascii="仿宋_GB2312" w:hAnsi="仿宋_GB2312" w:cs="仿宋_GB2312" w:eastAsia="仿宋_GB2312"/>
                      <w:sz w:val="21"/>
                      <w:color w:val="000000"/>
                    </w:rPr>
                    <w:t>5、支持配置同步数据过程的清洗和转换规则，可以根据需求清洗和转换源端数据</w:t>
                  </w:r>
                  <w:r>
                    <w:br/>
                  </w:r>
                  <w:r>
                    <w:rPr>
                      <w:rFonts w:ascii="仿宋_GB2312" w:hAnsi="仿宋_GB2312" w:cs="仿宋_GB2312" w:eastAsia="仿宋_GB2312"/>
                      <w:sz w:val="21"/>
                      <w:color w:val="000000"/>
                    </w:rPr>
                    <w:t>6、支持提供数据比对工具，实现同构数据和异构数据比对</w:t>
                  </w:r>
                  <w:r>
                    <w:br/>
                  </w:r>
                  <w:r>
                    <w:rPr>
                      <w:rFonts w:ascii="仿宋_GB2312" w:hAnsi="仿宋_GB2312" w:cs="仿宋_GB2312" w:eastAsia="仿宋_GB2312"/>
                      <w:sz w:val="21"/>
                      <w:color w:val="000000"/>
                    </w:rPr>
                    <w:t>7、支持跨网络隔离环境的数据比对，可以在不同安全等级的网络之间进行数据对比分析</w:t>
                  </w:r>
                  <w:r>
                    <w:br/>
                  </w:r>
                  <w:r>
                    <w:rPr>
                      <w:rFonts w:ascii="仿宋_GB2312" w:hAnsi="仿宋_GB2312" w:cs="仿宋_GB2312" w:eastAsia="仿宋_GB2312"/>
                      <w:sz w:val="21"/>
                      <w:color w:val="000000"/>
                    </w:rPr>
                    <w:t>8、支持基于数据比对结果的数据修复，可以在比对结果不一致时对目的端数据进行修复。</w:t>
                  </w:r>
                  <w:r>
                    <w:br/>
                  </w:r>
                  <w:r>
                    <w:rPr>
                      <w:rFonts w:ascii="仿宋_GB2312" w:hAnsi="仿宋_GB2312" w:cs="仿宋_GB2312" w:eastAsia="仿宋_GB2312"/>
                      <w:sz w:val="21"/>
                      <w:color w:val="000000"/>
                    </w:rPr>
                    <w:t>9、在复杂网络环境中，支持从源数据库向目标数据库进行单向数据抽取。</w:t>
                  </w:r>
                  <w:r>
                    <w:br/>
                  </w:r>
                  <w:r>
                    <w:rPr>
                      <w:rFonts w:ascii="仿宋_GB2312" w:hAnsi="仿宋_GB2312" w:cs="仿宋_GB2312" w:eastAsia="仿宋_GB2312"/>
                      <w:sz w:val="21"/>
                      <w:color w:val="000000"/>
                    </w:rPr>
                    <w:t>10、系统能够根据用户的具体需求，灵活地配置多种数据同步拓扑结构，包括一对多广播型同步、多对一聚合型同步、级联同步和多对多同步等，以满足用户的各种复杂数据同步需求。</w:t>
                  </w:r>
                  <w:r>
                    <w:br/>
                  </w:r>
                  <w:r>
                    <w:rPr>
                      <w:rFonts w:ascii="仿宋_GB2312" w:hAnsi="仿宋_GB2312" w:cs="仿宋_GB2312" w:eastAsia="仿宋_GB2312"/>
                      <w:sz w:val="21"/>
                      <w:color w:val="000000"/>
                    </w:rPr>
                    <w:t>11、系统能够高效地解析归档日志，日志解析速度超过100MB/秒</w:t>
                  </w:r>
                  <w:r>
                    <w:br/>
                  </w:r>
                  <w:r>
                    <w:rPr>
                      <w:rFonts w:ascii="仿宋_GB2312" w:hAnsi="仿宋_GB2312" w:cs="仿宋_GB2312" w:eastAsia="仿宋_GB2312"/>
                      <w:sz w:val="21"/>
                      <w:color w:val="000000"/>
                    </w:rPr>
                    <w:t>12、源端执行单条数据插入、更新、删除操作，目的端的同步延迟时间均不超过0.5秒</w:t>
                  </w:r>
                  <w:r>
                    <w:br/>
                  </w:r>
                  <w:r>
                    <w:rPr>
                      <w:rFonts w:ascii="仿宋_GB2312" w:hAnsi="仿宋_GB2312" w:cs="仿宋_GB2312" w:eastAsia="仿宋_GB2312"/>
                      <w:sz w:val="21"/>
                      <w:color w:val="000000"/>
                    </w:rPr>
                    <w:t>13、在数据同步流程运行过程中，停止被测软件服务模拟故障，同步流程停止，重启软件服务后，数据同步流程继续执行。同步流程结束后，目的端和源端数据一致。</w:t>
                  </w:r>
                  <w:r>
                    <w:br/>
                  </w:r>
                  <w:r>
                    <w:rPr>
                      <w:rFonts w:ascii="仿宋_GB2312" w:hAnsi="仿宋_GB2312" w:cs="仿宋_GB2312" w:eastAsia="仿宋_GB2312"/>
                      <w:sz w:val="21"/>
                      <w:color w:val="000000"/>
                    </w:rPr>
                    <w:t>14、支持事务级别的数据同步粒度，源数据库与目的数据库的事务具有一致性。</w:t>
                  </w:r>
                  <w:r>
                    <w:br/>
                  </w:r>
                  <w:r>
                    <w:rPr>
                      <w:rFonts w:ascii="仿宋_GB2312" w:hAnsi="仿宋_GB2312" w:cs="仿宋_GB2312" w:eastAsia="仿宋_GB2312"/>
                      <w:sz w:val="21"/>
                      <w:color w:val="000000"/>
                    </w:rPr>
                    <w:t>15、支持使用加密算法将源端传输数据加密处理，</w:t>
                  </w:r>
                  <w:r>
                    <w:br/>
                  </w:r>
                  <w:r>
                    <w:rPr>
                      <w:rFonts w:ascii="仿宋_GB2312" w:hAnsi="仿宋_GB2312" w:cs="仿宋_GB2312" w:eastAsia="仿宋_GB2312"/>
                      <w:sz w:val="21"/>
                      <w:color w:val="000000"/>
                    </w:rPr>
                    <w:t>16、支持通过调整配置参数来启用带宽限制，从而实现对数据传输流量的控制。</w:t>
                  </w:r>
                  <w:r>
                    <w:br/>
                  </w:r>
                  <w:r>
                    <w:rPr>
                      <w:rFonts w:ascii="仿宋_GB2312" w:hAnsi="仿宋_GB2312" w:cs="仿宋_GB2312" w:eastAsia="仿宋_GB2312"/>
                      <w:sz w:val="21"/>
                      <w:color w:val="000000"/>
                    </w:rPr>
                    <w:t>17、支持同步链路监控，包括延迟分析、速率分析和同步数据量统计；支持节点服务监控，包括服务总览和节点CPU、内存等负载监控；支持主机监控，包括主机总览和节点CPU、内存等负载监控</w:t>
                  </w:r>
                  <w:r>
                    <w:br/>
                  </w:r>
                  <w:r>
                    <w:rPr>
                      <w:rFonts w:ascii="仿宋_GB2312" w:hAnsi="仿宋_GB2312" w:cs="仿宋_GB2312" w:eastAsia="仿宋_GB2312"/>
                      <w:sz w:val="21"/>
                      <w:color w:val="000000"/>
                    </w:rPr>
                    <w:t>18、支持设置告警阈值，通过模拟执行告警事件，触发阈值后会立即产生告警提示，便于及时响应和处理问题。</w:t>
                  </w:r>
                </w:p>
              </w:tc>
              <w:tc>
                <w:tcPr>
                  <w:tcW w:type="dxa" w:w="1120"/>
                </w:tcPr>
                <w:p>
                  <w:pPr>
                    <w:pStyle w:val="null3"/>
                    <w:jc w:val="left"/>
                  </w:pPr>
                  <w:r>
                    <w:rPr>
                      <w:rFonts w:ascii="仿宋_GB2312" w:hAnsi="仿宋_GB2312" w:cs="仿宋_GB2312" w:eastAsia="仿宋_GB2312"/>
                    </w:rPr>
                    <w:t>套</w:t>
                  </w:r>
                </w:p>
              </w:tc>
              <w:tc>
                <w:tcPr>
                  <w:tcW w:type="dxa" w:w="1120"/>
                </w:tcPr>
                <w:p>
                  <w:pPr>
                    <w:pStyle w:val="null3"/>
                    <w:jc w:val="left"/>
                  </w:pPr>
                  <w:r>
                    <w:rPr>
                      <w:rFonts w:ascii="仿宋_GB2312" w:hAnsi="仿宋_GB2312" w:cs="仿宋_GB2312" w:eastAsia="仿宋_GB2312"/>
                    </w:rPr>
                    <w:t>2</w:t>
                  </w:r>
                </w:p>
              </w:tc>
            </w:tr>
          </w:tbl>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left"/>
            </w:pPr>
            <w:r>
              <w:rPr>
                <w:rFonts w:ascii="仿宋_GB2312" w:hAnsi="仿宋_GB2312" w:cs="仿宋_GB2312" w:eastAsia="仿宋_GB2312"/>
                <w:sz w:val="21"/>
              </w:rPr>
              <w:t>1.质量要求：投标人为采购人提供的产品必须是正规厂家生产，投标人必须保证提供的货物（包括零部件）是全新的、未使用过的，具有稳定性、可靠性、安全性，并完全符合国家、行业规定的质量、规格和性能要求等技术标准。如在产品验收的过程，或使用过程中，发现产品质量问题，中标人应负责更换至合格的产品并承担一切相关费用，以及由此产生的违约责任。</w:t>
            </w:r>
          </w:p>
          <w:p>
            <w:pPr>
              <w:pStyle w:val="null3"/>
              <w:ind w:firstLine="482"/>
              <w:jc w:val="left"/>
            </w:pPr>
            <w:r>
              <w:rPr>
                <w:rFonts w:ascii="仿宋_GB2312" w:hAnsi="仿宋_GB2312" w:cs="仿宋_GB2312" w:eastAsia="仿宋_GB2312"/>
                <w:sz w:val="21"/>
              </w:rPr>
              <w:t>2.</w:t>
            </w:r>
            <w:r>
              <w:rPr>
                <w:rFonts w:ascii="仿宋_GB2312" w:hAnsi="仿宋_GB2312" w:cs="仿宋_GB2312" w:eastAsia="仿宋_GB2312"/>
                <w:sz w:val="21"/>
              </w:rPr>
              <w:t>技术参数中所有涉及的国家法规、标准、规定等描述与国家最新要求不一致时以国家最新要求为准，若出现国家相关标准已废止的以国家最新现行要求为准，若履约过程中出现国家最新要求时以国家最新现行要求为准。</w:t>
            </w:r>
          </w:p>
          <w:p>
            <w:pPr>
              <w:pStyle w:val="null3"/>
              <w:ind w:firstLine="482"/>
              <w:jc w:val="left"/>
            </w:pPr>
            <w:r>
              <w:rPr>
                <w:rFonts w:ascii="仿宋_GB2312" w:hAnsi="仿宋_GB2312" w:cs="仿宋_GB2312" w:eastAsia="仿宋_GB2312"/>
                <w:sz w:val="21"/>
              </w:rPr>
              <w:t>3.其他服务要求：供应商为本项目提供的所有产品、辅材中属于《国家强制性产品认证目录》范围内产品的，均应通过国家强制性产品认证并取得认证证书或经过强制性认证产品符合性自我声明。供应商为本项目提供的所有产品、辅材应符合现行的强制性国家相关标准、行业标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合同管理安排</w:t>
            </w:r>
          </w:p>
        </w:tc>
        <w:tc>
          <w:tcPr>
            <w:tcW w:type="dxa" w:w="5814"/>
          </w:tcPr>
          <w:p>
            <w:pPr>
              <w:pStyle w:val="null3"/>
              <w:jc w:val="left"/>
            </w:pPr>
            <w:r>
              <w:rPr>
                <w:rFonts w:ascii="仿宋_GB2312" w:hAnsi="仿宋_GB2312" w:cs="仿宋_GB2312" w:eastAsia="仿宋_GB2312"/>
              </w:rPr>
              <w:t>1）合同类型：买卖合同</w:t>
            </w:r>
          </w:p>
          <w:p>
            <w:pPr>
              <w:pStyle w:val="null3"/>
              <w:jc w:val="left"/>
            </w:pPr>
            <w:r>
              <w:rPr>
                <w:rFonts w:ascii="仿宋_GB2312" w:hAnsi="仿宋_GB2312" w:cs="仿宋_GB2312" w:eastAsia="仿宋_GB2312"/>
              </w:rPr>
              <w:t>2）合同定价方式：固定总价</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四川省成都市天府新区（四川省低空空域运行服务中心）及采购人指定地点（成都平原7个点位，川南8个点位，川东10个点位，川北10个点位，川西5个点位）</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1、签订合同后，且收到等额发票后，达到付款条件起30日内，支付合同总金额的40.00%</w:t>
            </w:r>
          </w:p>
          <w:p>
            <w:pPr>
              <w:pStyle w:val="null3"/>
              <w:jc w:val="left"/>
            </w:pPr>
            <w:r>
              <w:rPr>
                <w:rFonts w:ascii="仿宋_GB2312" w:hAnsi="仿宋_GB2312" w:cs="仿宋_GB2312" w:eastAsia="仿宋_GB2312"/>
              </w:rPr>
              <w:t>2、货物到货验收后，且收到等额发票后，达到付款条件起30日内，支付合同总金额的30.00%</w:t>
            </w:r>
          </w:p>
          <w:p>
            <w:pPr>
              <w:pStyle w:val="null3"/>
              <w:jc w:val="left"/>
            </w:pPr>
            <w:r>
              <w:rPr>
                <w:rFonts w:ascii="仿宋_GB2312" w:hAnsi="仿宋_GB2312" w:cs="仿宋_GB2312" w:eastAsia="仿宋_GB2312"/>
              </w:rPr>
              <w:t>3、服务器安装调试完毕并进入试运行阶段，且收到等额发票后，达到付款条件起30日内，支付合同总金额的15.00%</w:t>
            </w:r>
          </w:p>
          <w:p>
            <w:pPr>
              <w:pStyle w:val="null3"/>
              <w:jc w:val="left"/>
            </w:pPr>
            <w:r>
              <w:rPr>
                <w:rFonts w:ascii="仿宋_GB2312" w:hAnsi="仿宋_GB2312" w:cs="仿宋_GB2312" w:eastAsia="仿宋_GB2312"/>
              </w:rPr>
              <w:t>4、项目终验合格后，且收到等额发票，达到付款条件起30日内，支付合同总金额的10.00%</w:t>
            </w:r>
          </w:p>
          <w:p>
            <w:pPr>
              <w:pStyle w:val="null3"/>
              <w:jc w:val="left"/>
            </w:pPr>
            <w:r>
              <w:rPr>
                <w:rFonts w:ascii="仿宋_GB2312" w:hAnsi="仿宋_GB2312" w:cs="仿宋_GB2312" w:eastAsia="仿宋_GB2312"/>
              </w:rPr>
              <w:t>5、质保期结束后，且收到等额发票后，达到付款条件起30日内，支付合同总金额的5.00%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严格按照政府采购相关法律法规以及《财政部关于进一步加强政府采购需求和履约验收管理的指导意见》（财库〔2016〕205号）文件的要求、采购文件规定的要求和中标人的投标文件及合同约定的内容进行验收。 ②验收时间及方法：中标人完成交货及安装、调试后，中标人提出验收申请，达到验收条件起45日历日内，验收合同总金额的95.00%。由采购人组织相关单位进行验收。 ③验收要求：1.货物到达现场后，中标人应在采购人在场情况下当面开包，共同清点、检查外观，作出验货记录，双方签字确认后开始安装调试。 2.中标人应保证货物到达采购人所在地完好无损，如有缺漏、损坏，由中标人负责调换、补齐或赔偿。3.中标人应提供完备的装箱清单、配件、随机工具、用户使用手册、原厂保修卡和生产厂商提供的原厂正品出货证明材料（非装箱清单组成材料）等，并派遣专业技术人员进行现场部署调试。验收合格条件如下：a.产品技术参数与投标文件一致，性能指标达到规定的标准；b.产品技术资料、装箱单等资料齐全；c.在产品（系统）试运行期间所出现的问题得到解决，并运行正常；d.在规定时间内完成交货并验收，并经采购人确认。4.产品在部署调试并试运行符合要求后，才作为最终验收。5.采购人对中标人交付的产品（包括质量、技术参数等）进行确认，并出具书面验收意见。</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硬件产品质保期：≥3年，软件产品质保期：≥1年。①质保范围包含但不限于招标文件技术要求中的所有配置。在质保期内，中标人负责产品维护、维修及抢修，所更换零部件（更换部件为原厂全新配件）及中标人技术服务人员所需费用包含在投标总价中。 ②质保期内每年需保证开机率95%以上（以一年365天计算），故障停机时间每超过1天，维保期顺延5天。质保期内每年提供2次预防性保养服务。提供设备所涉及的软件的安全性补丁升级。</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在执行本合同中发生的或与本合同有关的争端，双方应通过友好协商解决，经协商在30天内不能达成协议时，应提交项目所在地仲裁委员会仲裁。仲裁裁决应为最终决定，并对双方具有约束力。</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2024年或2025年任一年度经审计的财务报告（包含审计报告和审计报告中所涉及的财务报表和报表附注）。（2）可提供2024年或2025年任一年度供应商财务报表（至少包括资产负债表）。（3）可提供截至投标文件提交截止日一年内银行出具的资信证明。（4）供应商注册时间截至投标文件提交截止日不足一年的，可提供在市场监督管理部门备案的公司章程。（5）供应商为个体工商户或自然人时，可提供《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谈判文件实质性要求（谈判文件不允许实质性变动的实质性要求）</w:t>
            </w:r>
          </w:p>
        </w:tc>
        <w:tc>
          <w:tcPr>
            <w:tcW w:type="dxa" w:w="3322"/>
          </w:tcPr>
          <w:p>
            <w:pPr>
              <w:pStyle w:val="null3"/>
              <w:jc w:val="left"/>
            </w:pPr>
            <w:r>
              <w:rPr>
                <w:rFonts w:ascii="仿宋_GB2312" w:hAnsi="仿宋_GB2312" w:cs="仿宋_GB2312" w:eastAsia="仿宋_GB2312"/>
              </w:rPr>
              <w:t>供应商须针对采购文件的要求进行响应或提供相关证明材料</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