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4A872">
      <w:pPr>
        <w:keepNext w:val="0"/>
        <w:keepLines w:val="0"/>
        <w:widowControl/>
        <w:suppressLineNumbers w:val="0"/>
        <w:jc w:val="center"/>
        <w:rPr>
          <w:color w:val="auto"/>
          <w:sz w:val="32"/>
          <w:szCs w:val="32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具有健全财务会计制度的证明材料</w:t>
      </w:r>
    </w:p>
    <w:p w14:paraId="14E94A0D">
      <w:pPr>
        <w:keepNext w:val="0"/>
        <w:keepLines w:val="0"/>
        <w:widowControl/>
        <w:suppressLineNumbers w:val="0"/>
        <w:jc w:val="left"/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1A4B9694">
      <w:pPr>
        <w:keepNext w:val="0"/>
        <w:keepLines w:val="0"/>
        <w:widowControl/>
        <w:suppressLineNumbers w:val="0"/>
        <w:jc w:val="left"/>
        <w:rPr>
          <w:color w:val="auto"/>
          <w:sz w:val="28"/>
          <w:szCs w:val="28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供应商提供2024年或2025年，经审计的财务报告（包含审计报告和审计报告中所涉及的财务报表和报表附注）或者银行出具的资信证明。未经审计的提供财务报告（包括资产负债表、利润表、现金流量表、所有者权益变动表及其附注）。供应商注册时间截至响应文件提交截止之日前不足一年的，也可提供在相关主管部门备案的公司章程等证明材料。</w:t>
      </w:r>
      <w:r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 </w:t>
      </w:r>
    </w:p>
    <w:p w14:paraId="3CAAA3D2"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7A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2026-04-09T03:28:54Z</dcterms:created>
  <dc:creator>Administrator</dc:creator>
  <cp:lastModifiedBy>啊              爽</cp:lastModifiedBy>
  <dcterms:modified xsi:type="dcterms:W3CDTF">2026-04-09T03:30:15Z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eyJoZGlkIjoiNThlYTQ1YjU3MjllYmMxNmYwYTQwMDljYzgwZmE5MjEiLCJ1c2VySWQiOiIyNDUyNTU4NTgifQ==</vt:lpwstr>
  </property>
  <property fmtid="{D5CDD505-2E9C-101B-9397-08002B2CF9AE}" pid="4" name="ICV">
    <vt:lpwstr>9240857A9E254347A25AB66B6FC3C0F0_12</vt:lpwstr>
  </property>
</Properties>
</file>